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مطارح الأنظار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345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80346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803462_1280447820">
            <w:r>
              <w:rPr>
                <w:webHidden/>
                <w:rStyle w:val="IndexLink"/>
                <w:rtl w:val="true"/>
              </w:rPr>
              <w:t xml:space="preserve">[ </w:t>
            </w:r>
            <w:r>
              <w:rPr>
                <w:rStyle w:val="IndexLink"/>
                <w:rtl w:val="true"/>
              </w:rPr>
              <w:t xml:space="preserve">في القطع </w:t>
            </w:r>
            <w:r>
              <w:rPr>
                <w:rStyle w:val="IndexLink"/>
                <w:rtl w:val="true"/>
              </w:rPr>
              <w:t>]</w:t>
              <w:tab/>
            </w:r>
            <w:r>
              <w:rPr>
                <w:rStyle w:val="IndexLink"/>
              </w:rPr>
              <w:t>8</w:t>
            </w:r>
          </w:hyperlink>
        </w:p>
        <w:p>
          <w:pPr>
            <w:pStyle w:val="Contents3"/>
            <w:tabs>
              <w:tab w:val="clear" w:pos="8459"/>
              <w:tab w:val="right" w:pos="9026" w:leader="dot"/>
            </w:tabs>
            <w:rPr/>
          </w:pPr>
          <w:hyperlink w:anchor="__RefHeading___Toc4803464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803466_1280447820">
            <w:r>
              <w:rPr>
                <w:webHidden/>
                <w:rStyle w:val="IndexLink"/>
                <w:rtl w:val="true"/>
              </w:rPr>
              <w:t xml:space="preserve">وينبغي التنبيه على أمور </w:t>
            </w:r>
            <w:r>
              <w:rPr>
                <w:rStyle w:val="IndexLink"/>
                <w:rtl w:val="true"/>
              </w:rPr>
              <w:t>:</w:t>
              <w:tab/>
            </w:r>
            <w:r>
              <w:rPr>
                <w:rStyle w:val="IndexLink"/>
              </w:rPr>
              <w:t>16</w:t>
            </w:r>
          </w:hyperlink>
        </w:p>
        <w:p>
          <w:pPr>
            <w:pStyle w:val="Contents4"/>
            <w:tabs>
              <w:tab w:val="clear" w:pos="8176"/>
              <w:tab w:val="right" w:pos="9026" w:leader="dot"/>
            </w:tabs>
            <w:rPr/>
          </w:pPr>
          <w:hyperlink w:anchor="__RefHeading___Toc4803468_1280447820">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w:t>
              <w:tab/>
            </w:r>
            <w:r>
              <w:rPr>
                <w:rStyle w:val="IndexLink"/>
              </w:rPr>
              <w:t>16</w:t>
            </w:r>
          </w:hyperlink>
        </w:p>
        <w:p>
          <w:pPr>
            <w:pStyle w:val="Contents4"/>
            <w:tabs>
              <w:tab w:val="clear" w:pos="8176"/>
              <w:tab w:val="right" w:pos="9026" w:leader="dot"/>
            </w:tabs>
            <w:rPr/>
          </w:pPr>
          <w:hyperlink w:anchor="__RefHeading___Toc4803470_1280447820">
            <w:r>
              <w:rPr>
                <w:webHidden/>
                <w:rStyle w:val="IndexLink"/>
                <w:rtl w:val="true"/>
              </w:rPr>
              <w:t xml:space="preserve">الامر الثاني </w:t>
            </w:r>
            <w:r>
              <w:rPr>
                <w:rStyle w:val="IndexLink"/>
                <w:rtl w:val="true"/>
              </w:rPr>
              <w:t>:</w:t>
              <w:tab/>
            </w:r>
            <w:r>
              <w:rPr>
                <w:rStyle w:val="IndexLink"/>
              </w:rPr>
              <w:t>22</w:t>
            </w:r>
          </w:hyperlink>
        </w:p>
        <w:p>
          <w:pPr>
            <w:pStyle w:val="Contents4"/>
            <w:tabs>
              <w:tab w:val="clear" w:pos="8176"/>
              <w:tab w:val="right" w:pos="9026" w:leader="dot"/>
            </w:tabs>
            <w:rPr/>
          </w:pPr>
          <w:hyperlink w:anchor="__RefHeading___Toc4803472_1280447820">
            <w:r>
              <w:rPr>
                <w:webHidden/>
                <w:rStyle w:val="IndexLink"/>
                <w:rtl w:val="true"/>
              </w:rPr>
              <w:t xml:space="preserve">الامر الثالث </w:t>
            </w:r>
            <w:r>
              <w:rPr>
                <w:rStyle w:val="IndexLink"/>
                <w:rtl w:val="true"/>
              </w:rPr>
              <w:t>:</w:t>
              <w:tab/>
            </w:r>
            <w:r>
              <w:rPr>
                <w:rStyle w:val="IndexLink"/>
              </w:rPr>
              <w:t>32</w:t>
            </w:r>
          </w:hyperlink>
        </w:p>
        <w:p>
          <w:pPr>
            <w:pStyle w:val="Contents5"/>
            <w:tabs>
              <w:tab w:val="clear" w:pos="7892"/>
              <w:tab w:val="right" w:pos="9026" w:leader="dot"/>
            </w:tabs>
            <w:rPr/>
          </w:pPr>
          <w:hyperlink w:anchor="__RefHeading___Toc4803474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4803476_1280447820">
            <w:r>
              <w:rPr>
                <w:webHidden/>
                <w:rStyle w:val="IndexLink"/>
                <w:rtl w:val="true"/>
              </w:rPr>
              <w:t xml:space="preserve">تذييل </w:t>
            </w:r>
            <w:r>
              <w:rPr>
                <w:rStyle w:val="IndexLink"/>
                <w:rtl w:val="true"/>
              </w:rPr>
              <w:t>:</w:t>
              <w:tab/>
            </w:r>
            <w:r>
              <w:rPr>
                <w:rStyle w:val="IndexLink"/>
              </w:rPr>
              <w:t>34</w:t>
            </w:r>
          </w:hyperlink>
        </w:p>
        <w:p>
          <w:pPr>
            <w:pStyle w:val="Contents4"/>
            <w:tabs>
              <w:tab w:val="clear" w:pos="8176"/>
              <w:tab w:val="right" w:pos="9026" w:leader="dot"/>
            </w:tabs>
            <w:rPr/>
          </w:pPr>
          <w:hyperlink w:anchor="__RefHeading___Toc4803478_1280447820">
            <w:r>
              <w:rPr>
                <w:webHidden/>
                <w:rStyle w:val="IndexLink"/>
                <w:rtl w:val="true"/>
              </w:rPr>
              <w:t xml:space="preserve">الأمر الرابع </w:t>
            </w:r>
            <w:r>
              <w:rPr>
                <w:rStyle w:val="IndexLink"/>
                <w:rtl w:val="true"/>
              </w:rPr>
              <w:t>:</w:t>
              <w:tab/>
            </w:r>
            <w:r>
              <w:rPr>
                <w:rStyle w:val="IndexLink"/>
              </w:rPr>
              <w:t>36</w:t>
            </w:r>
          </w:hyperlink>
        </w:p>
        <w:p>
          <w:pPr>
            <w:pStyle w:val="Contents4"/>
            <w:tabs>
              <w:tab w:val="clear" w:pos="8176"/>
              <w:tab w:val="right" w:pos="9026" w:leader="dot"/>
            </w:tabs>
            <w:rPr/>
          </w:pPr>
          <w:hyperlink w:anchor="__RefHeading___Toc4803480_1280447820">
            <w:r>
              <w:rPr>
                <w:webHidden/>
                <w:rStyle w:val="IndexLink"/>
                <w:rtl w:val="true"/>
              </w:rPr>
              <w:t>تتمّة</w:t>
            </w:r>
            <w:r>
              <w:rPr>
                <w:rStyle w:val="IndexLink"/>
                <w:rtl w:val="true"/>
              </w:rPr>
              <w:tab/>
            </w:r>
            <w:r>
              <w:rPr>
                <w:rStyle w:val="IndexLink"/>
              </w:rPr>
              <w:t>42</w:t>
            </w:r>
          </w:hyperlink>
        </w:p>
        <w:p>
          <w:pPr>
            <w:pStyle w:val="Contents2"/>
            <w:tabs>
              <w:tab w:val="clear" w:pos="8743"/>
              <w:tab w:val="right" w:pos="9026" w:leader="dot"/>
            </w:tabs>
            <w:rPr/>
          </w:pPr>
          <w:hyperlink w:anchor="__RefHeading___Toc4803482_1280447820">
            <w:r>
              <w:rPr>
                <w:webHidden/>
                <w:rStyle w:val="IndexLink"/>
                <w:rtl w:val="true"/>
              </w:rPr>
              <w:t xml:space="preserve">[ </w:t>
            </w:r>
            <w:r>
              <w:rPr>
                <w:rStyle w:val="IndexLink"/>
                <w:rtl w:val="true"/>
              </w:rPr>
              <w:t xml:space="preserve">في الظنّ </w:t>
            </w:r>
            <w:r>
              <w:rPr>
                <w:rStyle w:val="IndexLink"/>
                <w:rtl w:val="true"/>
              </w:rPr>
              <w:t>]</w:t>
              <w:tab/>
            </w:r>
            <w:r>
              <w:rPr>
                <w:rStyle w:val="IndexLink"/>
              </w:rPr>
              <w:t>66</w:t>
            </w:r>
          </w:hyperlink>
        </w:p>
        <w:p>
          <w:pPr>
            <w:pStyle w:val="Contents3"/>
            <w:tabs>
              <w:tab w:val="clear" w:pos="8459"/>
              <w:tab w:val="right" w:pos="9026" w:leader="dot"/>
            </w:tabs>
            <w:rPr/>
          </w:pPr>
          <w:hyperlink w:anchor="__RefHeading___Toc4803484_128044782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4803486_1280447820">
            <w:r>
              <w:rPr>
                <w:webHidden/>
                <w:rStyle w:val="IndexLink"/>
                <w:rtl w:val="true"/>
              </w:rPr>
              <w:t>أمّا المقام الأوّل</w:t>
            </w:r>
            <w:r>
              <w:rPr>
                <w:rStyle w:val="IndexLink"/>
                <w:rtl w:val="true"/>
              </w:rPr>
              <w:tab/>
            </w:r>
            <w:r>
              <w:rPr>
                <w:rStyle w:val="IndexLink"/>
              </w:rPr>
              <w:t>66</w:t>
            </w:r>
          </w:hyperlink>
        </w:p>
        <w:p>
          <w:pPr>
            <w:pStyle w:val="Contents3"/>
            <w:tabs>
              <w:tab w:val="clear" w:pos="8459"/>
              <w:tab w:val="right" w:pos="9026" w:leader="dot"/>
            </w:tabs>
            <w:rPr/>
          </w:pPr>
          <w:hyperlink w:anchor="__RefHeading___Toc4803488_1280447820">
            <w:r>
              <w:rPr>
                <w:webHidden/>
                <w:rStyle w:val="IndexLink"/>
                <w:rtl w:val="true"/>
              </w:rPr>
              <w:t>وأمّا المقام الثاني</w:t>
            </w:r>
            <w:r>
              <w:rPr>
                <w:rStyle w:val="IndexLink"/>
                <w:rtl w:val="true"/>
              </w:rPr>
              <w:tab/>
            </w:r>
            <w:r>
              <w:rPr>
                <w:rStyle w:val="IndexLink"/>
              </w:rPr>
              <w:t>74</w:t>
            </w:r>
          </w:hyperlink>
        </w:p>
        <w:p>
          <w:pPr>
            <w:pStyle w:val="Contents3"/>
            <w:tabs>
              <w:tab w:val="clear" w:pos="8459"/>
              <w:tab w:val="right" w:pos="9026" w:leader="dot"/>
            </w:tabs>
            <w:rPr/>
          </w:pPr>
          <w:hyperlink w:anchor="__RefHeading___Toc4803490_1280447820">
            <w:r>
              <w:rPr>
                <w:webHidden/>
                <w:rStyle w:val="IndexLink"/>
                <w:rtl w:val="true"/>
              </w:rPr>
              <w:t xml:space="preserve">[ </w:t>
            </w:r>
            <w:r>
              <w:rPr>
                <w:rStyle w:val="IndexLink"/>
                <w:rtl w:val="true"/>
              </w:rPr>
              <w:t xml:space="preserve">في حجّية الظواهر </w:t>
            </w:r>
            <w:r>
              <w:rPr>
                <w:rStyle w:val="IndexLink"/>
                <w:rtl w:val="true"/>
              </w:rPr>
              <w:t>]</w:t>
              <w:tab/>
            </w:r>
            <w:r>
              <w:rPr>
                <w:rStyle w:val="IndexLink"/>
              </w:rPr>
              <w:t>83</w:t>
            </w:r>
          </w:hyperlink>
        </w:p>
        <w:p>
          <w:pPr>
            <w:pStyle w:val="Contents3"/>
            <w:tabs>
              <w:tab w:val="clear" w:pos="8459"/>
              <w:tab w:val="right" w:pos="9026" w:leader="dot"/>
            </w:tabs>
            <w:rPr/>
          </w:pPr>
          <w:hyperlink w:anchor="__RefHeading___Toc4803492_1280447820">
            <w:r>
              <w:rPr>
                <w:webHidden/>
                <w:rStyle w:val="IndexLink"/>
                <w:rtl w:val="true"/>
              </w:rPr>
              <w:t>فوائد</w:t>
            </w:r>
            <w:r>
              <w:rPr>
                <w:rStyle w:val="IndexLink"/>
                <w:rtl w:val="true"/>
              </w:rPr>
              <w:tab/>
            </w:r>
            <w:r>
              <w:rPr>
                <w:rStyle w:val="IndexLink"/>
              </w:rPr>
              <w:t>98</w:t>
            </w:r>
          </w:hyperlink>
        </w:p>
        <w:p>
          <w:pPr>
            <w:pStyle w:val="Contents3"/>
            <w:tabs>
              <w:tab w:val="clear" w:pos="8459"/>
              <w:tab w:val="right" w:pos="9026" w:leader="dot"/>
            </w:tabs>
            <w:rPr/>
          </w:pPr>
          <w:hyperlink w:anchor="__RefHeading___Toc4803494_1280447820">
            <w:r>
              <w:rPr>
                <w:webHidden/>
                <w:rStyle w:val="IndexLink"/>
                <w:rtl w:val="true"/>
              </w:rPr>
              <w:t xml:space="preserve">[ </w:t>
            </w:r>
            <w:r>
              <w:rPr>
                <w:rStyle w:val="IndexLink"/>
                <w:rtl w:val="true"/>
              </w:rPr>
              <w:t xml:space="preserve">في حجّية ظواهر الكتاب لغير المشافهين </w:t>
            </w:r>
            <w:r>
              <w:rPr>
                <w:rStyle w:val="IndexLink"/>
                <w:rtl w:val="true"/>
              </w:rPr>
              <w:t>]</w:t>
              <w:tab/>
            </w:r>
            <w:r>
              <w:rPr>
                <w:rStyle w:val="IndexLink"/>
              </w:rPr>
              <w:t>101</w:t>
            </w:r>
          </w:hyperlink>
        </w:p>
        <w:p>
          <w:pPr>
            <w:pStyle w:val="Contents2"/>
            <w:tabs>
              <w:tab w:val="clear" w:pos="8743"/>
              <w:tab w:val="right" w:pos="9026" w:leader="dot"/>
            </w:tabs>
            <w:rPr/>
          </w:pPr>
          <w:hyperlink w:anchor="__RefHeading___Toc4803496_1280447820">
            <w:r>
              <w:rPr>
                <w:webHidden/>
                <w:rStyle w:val="IndexLink"/>
                <w:rtl w:val="true"/>
              </w:rPr>
              <w:t xml:space="preserve">[ </w:t>
            </w:r>
            <w:r>
              <w:rPr>
                <w:rStyle w:val="IndexLink"/>
                <w:rtl w:val="true"/>
              </w:rPr>
              <w:t xml:space="preserve">القول في الإجماع المنقول </w:t>
            </w:r>
            <w:r>
              <w:rPr>
                <w:rStyle w:val="IndexLink"/>
                <w:rtl w:val="true"/>
              </w:rPr>
              <w:t>]</w:t>
              <w:tab/>
            </w:r>
            <w:r>
              <w:rPr>
                <w:rStyle w:val="IndexLink"/>
              </w:rPr>
              <w:t>112</w:t>
            </w:r>
          </w:hyperlink>
        </w:p>
        <w:p>
          <w:pPr>
            <w:pStyle w:val="Contents3"/>
            <w:tabs>
              <w:tab w:val="clear" w:pos="8459"/>
              <w:tab w:val="right" w:pos="9026" w:leader="dot"/>
            </w:tabs>
            <w:rPr/>
          </w:pPr>
          <w:hyperlink w:anchor="__RefHeading___Toc4803498_128044782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4803500_1280447820">
            <w:r>
              <w:rPr>
                <w:webHidden/>
                <w:rStyle w:val="IndexLink"/>
                <w:rtl w:val="true"/>
              </w:rPr>
              <w:t xml:space="preserve">وينبغي التنبيه على أمور </w:t>
            </w:r>
            <w:r>
              <w:rPr>
                <w:rStyle w:val="IndexLink"/>
                <w:rtl w:val="true"/>
              </w:rPr>
              <w:t>:</w:t>
              <w:tab/>
            </w:r>
            <w:r>
              <w:rPr>
                <w:rStyle w:val="IndexLink"/>
              </w:rPr>
              <w:t>115</w:t>
            </w:r>
          </w:hyperlink>
        </w:p>
        <w:p>
          <w:pPr>
            <w:pStyle w:val="Contents2"/>
            <w:tabs>
              <w:tab w:val="clear" w:pos="8743"/>
              <w:tab w:val="right" w:pos="9026" w:leader="dot"/>
            </w:tabs>
            <w:rPr/>
          </w:pPr>
          <w:hyperlink w:anchor="__RefHeading___Toc4803502_1280447820">
            <w:r>
              <w:rPr>
                <w:webHidden/>
                <w:rStyle w:val="IndexLink"/>
                <w:rtl w:val="true"/>
              </w:rPr>
              <w:t xml:space="preserve">[ </w:t>
            </w:r>
            <w:r>
              <w:rPr>
                <w:rStyle w:val="IndexLink"/>
                <w:rtl w:val="true"/>
              </w:rPr>
              <w:t xml:space="preserve">القول في الشهرة </w:t>
            </w:r>
            <w:r>
              <w:rPr>
                <w:rStyle w:val="IndexLink"/>
                <w:rtl w:val="true"/>
              </w:rPr>
              <w:t>]</w:t>
              <w:tab/>
            </w:r>
            <w:r>
              <w:rPr>
                <w:rStyle w:val="IndexLink"/>
              </w:rPr>
              <w:t>120</w:t>
            </w:r>
          </w:hyperlink>
        </w:p>
        <w:p>
          <w:pPr>
            <w:pStyle w:val="Contents2"/>
            <w:tabs>
              <w:tab w:val="clear" w:pos="8743"/>
              <w:tab w:val="right" w:pos="9026" w:leader="dot"/>
            </w:tabs>
            <w:rPr/>
          </w:pPr>
          <w:hyperlink w:anchor="__RefHeading___Toc4803504_1280447820">
            <w:r>
              <w:rPr>
                <w:webHidden/>
                <w:rStyle w:val="IndexLink"/>
                <w:rtl w:val="true"/>
              </w:rPr>
              <w:t xml:space="preserve">[ </w:t>
            </w:r>
            <w:r>
              <w:rPr>
                <w:rStyle w:val="IndexLink"/>
                <w:rtl w:val="true"/>
              </w:rPr>
              <w:t xml:space="preserve">القول في حجّية خبر الواحد </w:t>
            </w:r>
            <w:r>
              <w:rPr>
                <w:rStyle w:val="IndexLink"/>
                <w:rtl w:val="true"/>
              </w:rPr>
              <w:t>]</w:t>
              <w:tab/>
            </w:r>
            <w:r>
              <w:rPr>
                <w:rStyle w:val="IndexLink"/>
              </w:rPr>
              <w:t>124</w:t>
            </w:r>
          </w:hyperlink>
        </w:p>
        <w:p>
          <w:pPr>
            <w:pStyle w:val="Contents3"/>
            <w:tabs>
              <w:tab w:val="clear" w:pos="8459"/>
              <w:tab w:val="right" w:pos="9026" w:leader="dot"/>
            </w:tabs>
            <w:rPr/>
          </w:pPr>
          <w:hyperlink w:anchor="__RefHeading___Toc4803506_128044782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4803508_1280447820">
            <w:r>
              <w:rPr>
                <w:webHidden/>
                <w:rStyle w:val="IndexLink"/>
                <w:rtl w:val="true"/>
              </w:rPr>
              <w:t xml:space="preserve">حجّة المانعين وجوه </w:t>
            </w:r>
            <w:r>
              <w:rPr>
                <w:rStyle w:val="IndexLink"/>
                <w:rtl w:val="true"/>
              </w:rPr>
              <w:t>:</w:t>
              <w:tab/>
            </w:r>
            <w:r>
              <w:rPr>
                <w:rStyle w:val="IndexLink"/>
              </w:rPr>
              <w:t>127</w:t>
            </w:r>
          </w:hyperlink>
        </w:p>
        <w:p>
          <w:pPr>
            <w:pStyle w:val="Contents3"/>
            <w:tabs>
              <w:tab w:val="clear" w:pos="8459"/>
              <w:tab w:val="right" w:pos="9026" w:leader="dot"/>
            </w:tabs>
            <w:rPr/>
          </w:pPr>
          <w:hyperlink w:anchor="__RefHeading___Toc4803510_1280447820">
            <w:r>
              <w:rPr>
                <w:webHidden/>
                <w:rStyle w:val="IndexLink"/>
                <w:rtl w:val="true"/>
              </w:rPr>
              <w:t xml:space="preserve">المقام الثاني في بيان الوجوه التي تعمّ الخبر من الأدلّة العقلية وهي أربعة </w:t>
            </w:r>
            <w:r>
              <w:rPr>
                <w:rStyle w:val="IndexLink"/>
                <w:rtl w:val="true"/>
              </w:rPr>
              <w:t>:</w:t>
              <w:tab/>
            </w:r>
            <w:r>
              <w:rPr>
                <w:rStyle w:val="IndexLink"/>
              </w:rPr>
              <w:t>185</w:t>
            </w:r>
          </w:hyperlink>
        </w:p>
        <w:p>
          <w:pPr>
            <w:pStyle w:val="Contents2"/>
            <w:tabs>
              <w:tab w:val="clear" w:pos="8743"/>
              <w:tab w:val="right" w:pos="9026" w:leader="dot"/>
            </w:tabs>
            <w:rPr/>
          </w:pPr>
          <w:hyperlink w:anchor="__RefHeading___Toc4803512_1280447820">
            <w:r>
              <w:rPr>
                <w:webHidden/>
                <w:rStyle w:val="IndexLink"/>
                <w:rtl w:val="true"/>
              </w:rPr>
              <w:t xml:space="preserve">[ </w:t>
            </w:r>
            <w:r>
              <w:rPr>
                <w:rStyle w:val="IndexLink"/>
                <w:rtl w:val="true"/>
              </w:rPr>
              <w:t xml:space="preserve">في دليل الانسداد </w:t>
            </w:r>
            <w:r>
              <w:rPr>
                <w:rStyle w:val="IndexLink"/>
                <w:rtl w:val="true"/>
              </w:rPr>
              <w:t>]</w:t>
              <w:tab/>
            </w:r>
            <w:r>
              <w:rPr>
                <w:rStyle w:val="IndexLink"/>
              </w:rPr>
              <w:t>199</w:t>
            </w:r>
          </w:hyperlink>
        </w:p>
        <w:p>
          <w:pPr>
            <w:pStyle w:val="Contents3"/>
            <w:tabs>
              <w:tab w:val="clear" w:pos="8459"/>
              <w:tab w:val="right" w:pos="9026" w:leader="dot"/>
            </w:tabs>
            <w:rPr/>
          </w:pPr>
          <w:hyperlink w:anchor="__RefHeading___Toc4803514_128044782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4803516_1280447820">
            <w:r>
              <w:rPr>
                <w:webHidden/>
                <w:rStyle w:val="IndexLink"/>
                <w:rtl w:val="true"/>
              </w:rPr>
              <w:t xml:space="preserve">ثمّ إنّه ينبغي التنبيه على أمور </w:t>
            </w:r>
            <w:r>
              <w:rPr>
                <w:rStyle w:val="IndexLink"/>
                <w:rtl w:val="true"/>
              </w:rPr>
              <w:t>:</w:t>
              <w:tab/>
            </w:r>
            <w:r>
              <w:rPr>
                <w:rStyle w:val="IndexLink"/>
              </w:rPr>
              <w:t>225</w:t>
            </w:r>
          </w:hyperlink>
        </w:p>
        <w:p>
          <w:pPr>
            <w:pStyle w:val="Contents3"/>
            <w:tabs>
              <w:tab w:val="clear" w:pos="8459"/>
              <w:tab w:val="right" w:pos="9026" w:leader="dot"/>
            </w:tabs>
            <w:rPr/>
          </w:pPr>
          <w:hyperlink w:anchor="__RefHeading___Toc4803518_1280447820">
            <w:r>
              <w:rPr>
                <w:webHidden/>
                <w:rStyle w:val="IndexLink"/>
                <w:rtl w:val="true"/>
              </w:rPr>
              <w:t>تذنيب</w:t>
            </w:r>
            <w:r>
              <w:rPr>
                <w:rStyle w:val="IndexLink"/>
                <w:rtl w:val="true"/>
              </w:rPr>
              <w:tab/>
            </w:r>
            <w:r>
              <w:rPr>
                <w:rStyle w:val="IndexLink"/>
              </w:rPr>
              <w:t>344</w:t>
            </w:r>
          </w:hyperlink>
        </w:p>
        <w:p>
          <w:pPr>
            <w:pStyle w:val="Contents2"/>
            <w:tabs>
              <w:tab w:val="clear" w:pos="8743"/>
              <w:tab w:val="right" w:pos="9026" w:leader="dot"/>
            </w:tabs>
            <w:rPr/>
          </w:pPr>
          <w:hyperlink w:anchor="__RefHeading___Toc4803520_1280447820">
            <w:r>
              <w:rPr>
                <w:webHidden/>
                <w:rStyle w:val="IndexLink"/>
                <w:rtl w:val="true"/>
              </w:rPr>
              <w:t xml:space="preserve">[ </w:t>
            </w:r>
            <w:r>
              <w:rPr>
                <w:rStyle w:val="IndexLink"/>
                <w:rtl w:val="true"/>
              </w:rPr>
              <w:t xml:space="preserve">مباحث الأصول العملية البراءة والاشتغال </w:t>
            </w:r>
            <w:r>
              <w:rPr>
                <w:rStyle w:val="IndexLink"/>
                <w:rtl w:val="true"/>
              </w:rPr>
              <w:t>]</w:t>
              <w:tab/>
            </w:r>
            <w:r>
              <w:rPr>
                <w:rStyle w:val="IndexLink"/>
              </w:rPr>
              <w:t>345</w:t>
            </w:r>
          </w:hyperlink>
        </w:p>
        <w:p>
          <w:pPr>
            <w:pStyle w:val="Contents3"/>
            <w:tabs>
              <w:tab w:val="clear" w:pos="8459"/>
              <w:tab w:val="right" w:pos="9026" w:leader="dot"/>
            </w:tabs>
            <w:rPr/>
          </w:pPr>
          <w:hyperlink w:anchor="__RefHeading___Toc4803522_1280447820">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4803524_1280447820">
            <w:r>
              <w:rPr>
                <w:webHidden/>
                <w:rStyle w:val="IndexLink"/>
                <w:rtl w:val="true"/>
              </w:rPr>
              <w:t xml:space="preserve">أصل </w:t>
            </w:r>
            <w:r>
              <w:rPr>
                <w:rStyle w:val="IndexLink"/>
                <w:rtl w:val="true"/>
              </w:rPr>
              <w:t xml:space="preserve">[ </w:t>
            </w:r>
            <w:r>
              <w:rPr>
                <w:rStyle w:val="IndexLink"/>
                <w:rtl w:val="true"/>
              </w:rPr>
              <w:t xml:space="preserve">فى الأصول العقلية </w:t>
            </w:r>
            <w:r>
              <w:rPr>
                <w:rStyle w:val="IndexLink"/>
                <w:rtl w:val="true"/>
              </w:rPr>
              <w:t>]</w:t>
              <w:tab/>
            </w:r>
            <w:r>
              <w:rPr>
                <w:rStyle w:val="IndexLink"/>
              </w:rPr>
              <w:t>347</w:t>
            </w:r>
          </w:hyperlink>
        </w:p>
        <w:p>
          <w:pPr>
            <w:pStyle w:val="Contents4"/>
            <w:tabs>
              <w:tab w:val="clear" w:pos="8176"/>
              <w:tab w:val="right" w:pos="9026" w:leader="dot"/>
            </w:tabs>
            <w:rPr/>
          </w:pPr>
          <w:hyperlink w:anchor="__RefHeading___Toc4803526_1280447820">
            <w:r>
              <w:rPr>
                <w:webHidden/>
                <w:rStyle w:val="IndexLink"/>
                <w:rtl w:val="true"/>
              </w:rPr>
              <w:t xml:space="preserve">[ </w:t>
            </w:r>
            <w:r>
              <w:rPr>
                <w:rStyle w:val="IndexLink"/>
                <w:rtl w:val="true"/>
              </w:rPr>
              <w:t xml:space="preserve">البراءة العقلية </w:t>
            </w:r>
            <w:r>
              <w:rPr>
                <w:rStyle w:val="IndexLink"/>
                <w:rtl w:val="true"/>
              </w:rPr>
              <w:t>]</w:t>
              <w:tab/>
            </w:r>
            <w:r>
              <w:rPr>
                <w:rStyle w:val="IndexLink"/>
              </w:rPr>
              <w:t>347</w:t>
            </w:r>
          </w:hyperlink>
        </w:p>
        <w:p>
          <w:pPr>
            <w:pStyle w:val="Contents5"/>
            <w:tabs>
              <w:tab w:val="clear" w:pos="7892"/>
              <w:tab w:val="right" w:pos="9026" w:leader="dot"/>
            </w:tabs>
            <w:rPr/>
          </w:pPr>
          <w:hyperlink w:anchor="__RefHeading___Toc4803528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4803530_1280447820">
            <w:r>
              <w:rPr>
                <w:webHidden/>
                <w:rStyle w:val="IndexLink"/>
                <w:rtl w:val="true"/>
              </w:rPr>
              <w:t xml:space="preserve">[ </w:t>
            </w:r>
            <w:r>
              <w:rPr>
                <w:rStyle w:val="IndexLink"/>
                <w:rtl w:val="true"/>
              </w:rPr>
              <w:t xml:space="preserve">قاعدة الاشتغال </w:t>
            </w:r>
            <w:r>
              <w:rPr>
                <w:rStyle w:val="IndexLink"/>
                <w:rtl w:val="true"/>
              </w:rPr>
              <w:t>]</w:t>
              <w:tab/>
            </w:r>
            <w:r>
              <w:rPr>
                <w:rStyle w:val="IndexLink"/>
              </w:rPr>
              <w:t>352</w:t>
            </w:r>
          </w:hyperlink>
        </w:p>
        <w:p>
          <w:pPr>
            <w:pStyle w:val="Contents5"/>
            <w:tabs>
              <w:tab w:val="clear" w:pos="7892"/>
              <w:tab w:val="right" w:pos="9026" w:leader="dot"/>
            </w:tabs>
            <w:rPr/>
          </w:pPr>
          <w:hyperlink w:anchor="__RefHeading___Toc4803532_1280447820">
            <w:r>
              <w:rPr>
                <w:webHidden/>
                <w:rStyle w:val="IndexLink"/>
                <w:rtl w:val="true"/>
              </w:rPr>
              <w:t xml:space="preserve">[ </w:t>
            </w:r>
            <w:r>
              <w:rPr>
                <w:rStyle w:val="IndexLink"/>
                <w:rtl w:val="true"/>
              </w:rPr>
              <w:t xml:space="preserve">أصالة التخيير </w:t>
            </w:r>
            <w:r>
              <w:rPr>
                <w:rStyle w:val="IndexLink"/>
                <w:rtl w:val="true"/>
              </w:rPr>
              <w:t>]</w:t>
              <w:tab/>
            </w:r>
            <w:r>
              <w:rPr>
                <w:rStyle w:val="IndexLink"/>
              </w:rPr>
              <w:t>357</w:t>
            </w:r>
          </w:hyperlink>
        </w:p>
        <w:p>
          <w:pPr>
            <w:pStyle w:val="Contents3"/>
            <w:tabs>
              <w:tab w:val="clear" w:pos="8459"/>
              <w:tab w:val="right" w:pos="9026" w:leader="dot"/>
            </w:tabs>
            <w:rPr/>
          </w:pPr>
          <w:hyperlink w:anchor="__RefHeading___Toc4803534_1280447820">
            <w:r>
              <w:rPr>
                <w:webHidden/>
                <w:rStyle w:val="IndexLink"/>
                <w:rtl w:val="true"/>
              </w:rPr>
              <w:t xml:space="preserve">أصل </w:t>
            </w:r>
            <w:r>
              <w:rPr>
                <w:rStyle w:val="IndexLink"/>
                <w:rtl w:val="true"/>
              </w:rPr>
              <w:t xml:space="preserve">[ </w:t>
            </w:r>
            <w:r>
              <w:rPr>
                <w:rStyle w:val="IndexLink"/>
                <w:rtl w:val="true"/>
              </w:rPr>
              <w:t xml:space="preserve">في البراءة في الشبهة الحكمية الوجوبية </w:t>
            </w:r>
            <w:r>
              <w:rPr>
                <w:rStyle w:val="IndexLink"/>
                <w:rtl w:val="true"/>
              </w:rPr>
              <w:t>]</w:t>
              <w:tab/>
            </w:r>
            <w:r>
              <w:rPr>
                <w:rStyle w:val="IndexLink"/>
              </w:rPr>
              <w:t>361</w:t>
            </w:r>
          </w:hyperlink>
        </w:p>
        <w:p>
          <w:pPr>
            <w:pStyle w:val="Contents3"/>
            <w:tabs>
              <w:tab w:val="clear" w:pos="8459"/>
              <w:tab w:val="right" w:pos="9026" w:leader="dot"/>
            </w:tabs>
            <w:rPr/>
          </w:pPr>
          <w:hyperlink w:anchor="__RefHeading___Toc4803536_1280447820">
            <w:r>
              <w:rPr>
                <w:webHidden/>
                <w:rStyle w:val="IndexLink"/>
                <w:rtl w:val="true"/>
              </w:rPr>
              <w:t xml:space="preserve">أصل </w:t>
            </w:r>
            <w:r>
              <w:rPr>
                <w:rStyle w:val="IndexLink"/>
                <w:rtl w:val="true"/>
              </w:rPr>
              <w:t xml:space="preserve">[ </w:t>
            </w:r>
            <w:r>
              <w:rPr>
                <w:rStyle w:val="IndexLink"/>
                <w:rtl w:val="true"/>
              </w:rPr>
              <w:t xml:space="preserve">في البراءة في الشبهة الحكمية التحريمية </w:t>
            </w:r>
            <w:r>
              <w:rPr>
                <w:rStyle w:val="IndexLink"/>
                <w:rtl w:val="true"/>
              </w:rPr>
              <w:t>]</w:t>
              <w:tab/>
            </w:r>
            <w:r>
              <w:rPr>
                <w:rStyle w:val="IndexLink"/>
              </w:rPr>
              <w:t>371</w:t>
            </w:r>
          </w:hyperlink>
        </w:p>
        <w:p>
          <w:pPr>
            <w:pStyle w:val="Contents3"/>
            <w:tabs>
              <w:tab w:val="clear" w:pos="8459"/>
              <w:tab w:val="right" w:pos="9026" w:leader="dot"/>
            </w:tabs>
            <w:rPr/>
          </w:pPr>
          <w:hyperlink w:anchor="__RefHeading___Toc4803538_1280447820">
            <w:r>
              <w:rPr>
                <w:webHidden/>
                <w:rStyle w:val="IndexLink"/>
                <w:rtl w:val="true"/>
              </w:rPr>
              <w:t xml:space="preserve">أصل </w:t>
            </w:r>
            <w:r>
              <w:rPr>
                <w:rStyle w:val="IndexLink"/>
                <w:rtl w:val="true"/>
              </w:rPr>
              <w:t xml:space="preserve">[ </w:t>
            </w:r>
            <w:r>
              <w:rPr>
                <w:rStyle w:val="IndexLink"/>
                <w:rtl w:val="true"/>
              </w:rPr>
              <w:t xml:space="preserve">في دوران الأمر بين المحذورين </w:t>
            </w:r>
            <w:r>
              <w:rPr>
                <w:rStyle w:val="IndexLink"/>
                <w:rtl w:val="true"/>
              </w:rPr>
              <w:t>]</w:t>
              <w:tab/>
            </w:r>
            <w:r>
              <w:rPr>
                <w:rStyle w:val="IndexLink"/>
              </w:rPr>
              <w:t>416</w:t>
            </w:r>
          </w:hyperlink>
        </w:p>
        <w:p>
          <w:pPr>
            <w:pStyle w:val="Contents4"/>
            <w:tabs>
              <w:tab w:val="clear" w:pos="8176"/>
              <w:tab w:val="right" w:pos="9026" w:leader="dot"/>
            </w:tabs>
            <w:rPr/>
          </w:pPr>
          <w:hyperlink w:anchor="__RefHeading___Toc4803540_1280447820">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4803542_1280447820">
            <w:r>
              <w:rPr>
                <w:webHidden/>
                <w:rStyle w:val="IndexLink"/>
                <w:rtl w:val="true"/>
              </w:rPr>
              <w:t xml:space="preserve">المقام الأوّل </w:t>
            </w:r>
            <w:r>
              <w:rPr>
                <w:rStyle w:val="IndexLink"/>
                <w:rtl w:val="true"/>
              </w:rPr>
              <w:t xml:space="preserve">: [ </w:t>
            </w:r>
            <w:r>
              <w:rPr>
                <w:rStyle w:val="IndexLink"/>
                <w:rtl w:val="true"/>
              </w:rPr>
              <w:t xml:space="preserve">في اللاحرجية العقلية </w:t>
            </w:r>
            <w:r>
              <w:rPr>
                <w:rStyle w:val="IndexLink"/>
                <w:rtl w:val="true"/>
              </w:rPr>
              <w:t>]</w:t>
              <w:tab/>
            </w:r>
            <w:r>
              <w:rPr>
                <w:rStyle w:val="IndexLink"/>
              </w:rPr>
              <w:t>416</w:t>
            </w:r>
          </w:hyperlink>
        </w:p>
        <w:p>
          <w:pPr>
            <w:pStyle w:val="Contents4"/>
            <w:tabs>
              <w:tab w:val="clear" w:pos="8176"/>
              <w:tab w:val="right" w:pos="9026" w:leader="dot"/>
            </w:tabs>
            <w:rPr/>
          </w:pPr>
          <w:hyperlink w:anchor="__RefHeading___Toc4803544_1280447820">
            <w:r>
              <w:rPr>
                <w:webHidden/>
                <w:rStyle w:val="IndexLink"/>
                <w:rtl w:val="true"/>
              </w:rPr>
              <w:t xml:space="preserve">المقام الثاني </w:t>
            </w:r>
            <w:r>
              <w:rPr>
                <w:rStyle w:val="IndexLink"/>
                <w:rtl w:val="true"/>
              </w:rPr>
              <w:t xml:space="preserve">: [ </w:t>
            </w:r>
            <w:r>
              <w:rPr>
                <w:rStyle w:val="IndexLink"/>
                <w:rtl w:val="true"/>
              </w:rPr>
              <w:t xml:space="preserve">في التخيير أو الترجيح </w:t>
            </w:r>
            <w:r>
              <w:rPr>
                <w:rStyle w:val="IndexLink"/>
                <w:rtl w:val="true"/>
              </w:rPr>
              <w:t>]</w:t>
              <w:tab/>
            </w:r>
            <w:r>
              <w:rPr>
                <w:rStyle w:val="IndexLink"/>
              </w:rPr>
              <w:t>421</w:t>
            </w:r>
          </w:hyperlink>
        </w:p>
        <w:p>
          <w:pPr>
            <w:pStyle w:val="Contents4"/>
            <w:tabs>
              <w:tab w:val="clear" w:pos="8176"/>
              <w:tab w:val="right" w:pos="9026" w:leader="dot"/>
            </w:tabs>
            <w:rPr/>
          </w:pPr>
          <w:hyperlink w:anchor="__RefHeading___Toc4803546_1280447820">
            <w:r>
              <w:rPr>
                <w:webHidden/>
                <w:rStyle w:val="IndexLink"/>
                <w:rtl w:val="true"/>
              </w:rPr>
              <w:t xml:space="preserve">المقام الثالث </w:t>
            </w:r>
            <w:r>
              <w:rPr>
                <w:rStyle w:val="IndexLink"/>
                <w:rtl w:val="true"/>
              </w:rPr>
              <w:t xml:space="preserve">: [ </w:t>
            </w:r>
            <w:r>
              <w:rPr>
                <w:rStyle w:val="IndexLink"/>
                <w:rtl w:val="true"/>
              </w:rPr>
              <w:t xml:space="preserve">في كون التخيير بدويا أو استمراريا </w:t>
            </w:r>
            <w:r>
              <w:rPr>
                <w:rStyle w:val="IndexLink"/>
                <w:rtl w:val="true"/>
              </w:rPr>
              <w:t>]</w:t>
              <w:tab/>
            </w:r>
            <w:r>
              <w:rPr>
                <w:rStyle w:val="IndexLink"/>
              </w:rPr>
              <w:t>424</w:t>
            </w:r>
          </w:hyperlink>
        </w:p>
        <w:p>
          <w:pPr>
            <w:pStyle w:val="Contents4"/>
            <w:tabs>
              <w:tab w:val="clear" w:pos="8176"/>
              <w:tab w:val="right" w:pos="9026" w:leader="dot"/>
            </w:tabs>
            <w:rPr/>
          </w:pPr>
          <w:hyperlink w:anchor="__RefHeading___Toc4803548_1280447820">
            <w:r>
              <w:rPr>
                <w:webHidden/>
                <w:rStyle w:val="IndexLink"/>
                <w:rtl w:val="true"/>
              </w:rPr>
              <w:t xml:space="preserve">المقام الرابع </w:t>
            </w:r>
            <w:r>
              <w:rPr>
                <w:rStyle w:val="IndexLink"/>
                <w:rtl w:val="true"/>
              </w:rPr>
              <w:t xml:space="preserve">: [ </w:t>
            </w:r>
            <w:r>
              <w:rPr>
                <w:rStyle w:val="IndexLink"/>
                <w:rtl w:val="true"/>
              </w:rPr>
              <w:t xml:space="preserve">في كون التخيير أصوليا أو فقهيا </w:t>
            </w:r>
            <w:r>
              <w:rPr>
                <w:rStyle w:val="IndexLink"/>
                <w:rtl w:val="true"/>
              </w:rPr>
              <w:t>]</w:t>
              <w:tab/>
            </w:r>
            <w:r>
              <w:rPr>
                <w:rStyle w:val="IndexLink"/>
              </w:rPr>
              <w:t>427</w:t>
            </w:r>
          </w:hyperlink>
        </w:p>
        <w:p>
          <w:pPr>
            <w:pStyle w:val="Contents4"/>
            <w:tabs>
              <w:tab w:val="clear" w:pos="8176"/>
              <w:tab w:val="right" w:pos="9026" w:leader="dot"/>
            </w:tabs>
            <w:rPr/>
          </w:pPr>
          <w:hyperlink w:anchor="__RefHeading___Toc4803550_1280447820">
            <w:r>
              <w:rPr>
                <w:webHidden/>
                <w:rStyle w:val="IndexLink"/>
                <w:rtl w:val="true"/>
              </w:rPr>
              <w:t xml:space="preserve">وينبغي التنبيه على أمور </w:t>
            </w:r>
            <w:r>
              <w:rPr>
                <w:rStyle w:val="IndexLink"/>
                <w:rtl w:val="true"/>
              </w:rPr>
              <w:t>:</w:t>
              <w:tab/>
            </w:r>
            <w:r>
              <w:rPr>
                <w:rStyle w:val="IndexLink"/>
              </w:rPr>
              <w:t>429</w:t>
            </w:r>
          </w:hyperlink>
        </w:p>
        <w:p>
          <w:pPr>
            <w:pStyle w:val="Contents5"/>
            <w:tabs>
              <w:tab w:val="clear" w:pos="7892"/>
              <w:tab w:val="right" w:pos="9026" w:leader="dot"/>
            </w:tabs>
            <w:rPr/>
          </w:pPr>
          <w:hyperlink w:anchor="__RefHeading___Toc4803552_1280447820">
            <w:r>
              <w:rPr>
                <w:webHidden/>
                <w:rStyle w:val="IndexLink"/>
                <w:rtl w:val="true"/>
              </w:rPr>
              <w:t xml:space="preserve">الأوّل </w:t>
            </w:r>
            <w:r>
              <w:rPr>
                <w:rStyle w:val="IndexLink"/>
                <w:rtl w:val="true"/>
              </w:rPr>
              <w:t>:</w:t>
              <w:tab/>
            </w:r>
            <w:r>
              <w:rPr>
                <w:rStyle w:val="IndexLink"/>
              </w:rPr>
              <w:t>429</w:t>
            </w:r>
          </w:hyperlink>
        </w:p>
        <w:p>
          <w:pPr>
            <w:pStyle w:val="Contents5"/>
            <w:tabs>
              <w:tab w:val="clear" w:pos="7892"/>
              <w:tab w:val="right" w:pos="9026" w:leader="dot"/>
            </w:tabs>
            <w:rPr/>
          </w:pPr>
          <w:hyperlink w:anchor="__RefHeading___Toc4803554_1280447820">
            <w:r>
              <w:rPr>
                <w:webHidden/>
                <w:rStyle w:val="IndexLink"/>
                <w:rtl w:val="true"/>
              </w:rPr>
              <w:t xml:space="preserve">الثاني </w:t>
            </w:r>
            <w:r>
              <w:rPr>
                <w:rStyle w:val="IndexLink"/>
                <w:rtl w:val="true"/>
              </w:rPr>
              <w:t>:</w:t>
              <w:tab/>
            </w:r>
            <w:r>
              <w:rPr>
                <w:rStyle w:val="IndexLink"/>
              </w:rPr>
              <w:t>430</w:t>
            </w:r>
          </w:hyperlink>
        </w:p>
        <w:p>
          <w:pPr>
            <w:pStyle w:val="Contents5"/>
            <w:tabs>
              <w:tab w:val="clear" w:pos="7892"/>
              <w:tab w:val="right" w:pos="9026" w:leader="dot"/>
            </w:tabs>
            <w:rPr/>
          </w:pPr>
          <w:hyperlink w:anchor="__RefHeading___Toc4803556_1280447820">
            <w:r>
              <w:rPr>
                <w:webHidden/>
                <w:rStyle w:val="IndexLink"/>
                <w:rtl w:val="true"/>
              </w:rPr>
              <w:t xml:space="preserve">الثالث </w:t>
            </w:r>
            <w:r>
              <w:rPr>
                <w:rStyle w:val="IndexLink"/>
                <w:rtl w:val="true"/>
              </w:rPr>
              <w:t>:</w:t>
              <w:tab/>
            </w:r>
            <w:r>
              <w:rPr>
                <w:rStyle w:val="IndexLink"/>
              </w:rPr>
              <w:t>430</w:t>
            </w:r>
          </w:hyperlink>
        </w:p>
        <w:p>
          <w:pPr>
            <w:pStyle w:val="Contents3"/>
            <w:tabs>
              <w:tab w:val="clear" w:pos="8459"/>
              <w:tab w:val="right" w:pos="9026" w:leader="dot"/>
            </w:tabs>
            <w:rPr/>
          </w:pPr>
          <w:hyperlink w:anchor="__RefHeading___Toc4803558_1280447820">
            <w:r>
              <w:rPr>
                <w:webHidden/>
                <w:rStyle w:val="IndexLink"/>
                <w:rtl w:val="true"/>
              </w:rPr>
              <w:t xml:space="preserve">أصل </w:t>
            </w:r>
            <w:r>
              <w:rPr>
                <w:rStyle w:val="IndexLink"/>
                <w:rtl w:val="true"/>
              </w:rPr>
              <w:t xml:space="preserve">[ </w:t>
            </w:r>
            <w:r>
              <w:rPr>
                <w:rStyle w:val="IndexLink"/>
                <w:rtl w:val="true"/>
              </w:rPr>
              <w:t xml:space="preserve">في الشبهة الموضوعية الوجوبية والتحريمية </w:t>
            </w:r>
            <w:r>
              <w:rPr>
                <w:rStyle w:val="IndexLink"/>
                <w:rtl w:val="true"/>
              </w:rPr>
              <w:t>]</w:t>
              <w:tab/>
            </w:r>
            <w:r>
              <w:rPr>
                <w:rStyle w:val="IndexLink"/>
              </w:rPr>
              <w:t>432</w:t>
            </w:r>
          </w:hyperlink>
        </w:p>
        <w:p>
          <w:pPr>
            <w:pStyle w:val="Contents3"/>
            <w:tabs>
              <w:tab w:val="clear" w:pos="8459"/>
              <w:tab w:val="right" w:pos="9026" w:leader="dot"/>
            </w:tabs>
            <w:rPr/>
          </w:pPr>
          <w:hyperlink w:anchor="__RefHeading___Toc4803560_1280447820">
            <w:r>
              <w:rPr>
                <w:webHidden/>
                <w:rStyle w:val="IndexLink"/>
                <w:rtl w:val="true"/>
              </w:rPr>
              <w:t xml:space="preserve">أصل </w:t>
            </w:r>
            <w:r>
              <w:rPr>
                <w:rStyle w:val="IndexLink"/>
                <w:rtl w:val="true"/>
              </w:rPr>
              <w:t xml:space="preserve">[ </w:t>
            </w:r>
            <w:r>
              <w:rPr>
                <w:rStyle w:val="IndexLink"/>
                <w:rtl w:val="true"/>
              </w:rPr>
              <w:t xml:space="preserve">في اشتباه الواجب بالحرام </w:t>
            </w:r>
            <w:r>
              <w:rPr>
                <w:rStyle w:val="IndexLink"/>
                <w:rtl w:val="true"/>
              </w:rPr>
              <w:t>]</w:t>
              <w:tab/>
            </w:r>
            <w:r>
              <w:rPr>
                <w:rStyle w:val="IndexLink"/>
              </w:rPr>
              <w:t>440</w:t>
            </w:r>
          </w:hyperlink>
        </w:p>
        <w:p>
          <w:pPr>
            <w:pStyle w:val="Contents3"/>
            <w:tabs>
              <w:tab w:val="clear" w:pos="8459"/>
              <w:tab w:val="right" w:pos="9026" w:leader="dot"/>
            </w:tabs>
            <w:rPr/>
          </w:pPr>
          <w:hyperlink w:anchor="__RefHeading___Toc4803562_1280447820">
            <w:r>
              <w:rPr>
                <w:webHidden/>
                <w:rStyle w:val="IndexLink"/>
                <w:rtl w:val="true"/>
              </w:rPr>
              <w:t xml:space="preserve">أصل </w:t>
            </w:r>
            <w:r>
              <w:rPr>
                <w:rStyle w:val="IndexLink"/>
                <w:rtl w:val="true"/>
              </w:rPr>
              <w:t xml:space="preserve">[ </w:t>
            </w:r>
            <w:r>
              <w:rPr>
                <w:rStyle w:val="IndexLink"/>
                <w:rtl w:val="true"/>
              </w:rPr>
              <w:t xml:space="preserve">في الشبهة الموضوعية الوجوبية من الشكّ في المكلّف به </w:t>
            </w:r>
            <w:r>
              <w:rPr>
                <w:rStyle w:val="IndexLink"/>
                <w:rtl w:val="true"/>
              </w:rPr>
              <w:t>]</w:t>
              <w:tab/>
            </w:r>
            <w:r>
              <w:rPr>
                <w:rStyle w:val="IndexLink"/>
              </w:rPr>
              <w:t>446</w:t>
            </w:r>
          </w:hyperlink>
        </w:p>
        <w:p>
          <w:pPr>
            <w:pStyle w:val="Contents4"/>
            <w:tabs>
              <w:tab w:val="clear" w:pos="8176"/>
              <w:tab w:val="right" w:pos="9026" w:leader="dot"/>
            </w:tabs>
            <w:rPr/>
          </w:pPr>
          <w:hyperlink w:anchor="__RefHeading___Toc4803564_1280447820">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4803566_1280447820">
            <w:r>
              <w:rPr>
                <w:webHidden/>
                <w:rStyle w:val="IndexLink"/>
                <w:rtl w:val="true"/>
              </w:rPr>
              <w:t xml:space="preserve">وينبغي التنبيه على أمور </w:t>
            </w:r>
            <w:r>
              <w:rPr>
                <w:rStyle w:val="IndexLink"/>
                <w:rtl w:val="true"/>
              </w:rPr>
              <w:t>:</w:t>
              <w:tab/>
            </w:r>
            <w:r>
              <w:rPr>
                <w:rStyle w:val="IndexLink"/>
              </w:rPr>
              <w:t>452</w:t>
            </w:r>
          </w:hyperlink>
        </w:p>
        <w:p>
          <w:pPr>
            <w:pStyle w:val="Contents5"/>
            <w:tabs>
              <w:tab w:val="clear" w:pos="7892"/>
              <w:tab w:val="right" w:pos="9026" w:leader="dot"/>
            </w:tabs>
            <w:rPr/>
          </w:pPr>
          <w:hyperlink w:anchor="__RefHeading___Toc4803568_1280447820">
            <w:r>
              <w:rPr>
                <w:webHidden/>
                <w:rStyle w:val="IndexLink"/>
                <w:rtl w:val="true"/>
              </w:rPr>
              <w:t xml:space="preserve">الأوّل </w:t>
            </w:r>
            <w:r>
              <w:rPr>
                <w:rStyle w:val="IndexLink"/>
                <w:rtl w:val="true"/>
              </w:rPr>
              <w:t>:</w:t>
              <w:tab/>
            </w:r>
            <w:r>
              <w:rPr>
                <w:rStyle w:val="IndexLink"/>
              </w:rPr>
              <w:t>452</w:t>
            </w:r>
          </w:hyperlink>
        </w:p>
        <w:p>
          <w:pPr>
            <w:pStyle w:val="Contents5"/>
            <w:tabs>
              <w:tab w:val="clear" w:pos="7892"/>
              <w:tab w:val="right" w:pos="9026" w:leader="dot"/>
            </w:tabs>
            <w:rPr/>
          </w:pPr>
          <w:hyperlink w:anchor="__RefHeading___Toc4803570_1280447820">
            <w:r>
              <w:rPr>
                <w:webHidden/>
                <w:rStyle w:val="IndexLink"/>
                <w:rtl w:val="true"/>
              </w:rPr>
              <w:t xml:space="preserve">الثاني </w:t>
            </w:r>
            <w:r>
              <w:rPr>
                <w:rStyle w:val="IndexLink"/>
                <w:rtl w:val="true"/>
              </w:rPr>
              <w:t>:</w:t>
              <w:tab/>
            </w:r>
            <w:r>
              <w:rPr>
                <w:rStyle w:val="IndexLink"/>
              </w:rPr>
              <w:t>453</w:t>
            </w:r>
          </w:hyperlink>
        </w:p>
        <w:p>
          <w:pPr>
            <w:pStyle w:val="Contents5"/>
            <w:tabs>
              <w:tab w:val="clear" w:pos="7892"/>
              <w:tab w:val="right" w:pos="9026" w:leader="dot"/>
            </w:tabs>
            <w:rPr/>
          </w:pPr>
          <w:hyperlink w:anchor="__RefHeading___Toc4803572_1280447820">
            <w:r>
              <w:rPr>
                <w:webHidden/>
                <w:rStyle w:val="IndexLink"/>
                <w:rtl w:val="true"/>
              </w:rPr>
              <w:t xml:space="preserve">الثالث </w:t>
            </w:r>
            <w:r>
              <w:rPr>
                <w:rStyle w:val="IndexLink"/>
                <w:rtl w:val="true"/>
              </w:rPr>
              <w:t>:</w:t>
              <w:tab/>
            </w:r>
            <w:r>
              <w:rPr>
                <w:rStyle w:val="IndexLink"/>
              </w:rPr>
              <w:t>455</w:t>
            </w:r>
          </w:hyperlink>
        </w:p>
        <w:p>
          <w:pPr>
            <w:pStyle w:val="Contents5"/>
            <w:tabs>
              <w:tab w:val="clear" w:pos="7892"/>
              <w:tab w:val="right" w:pos="9026" w:leader="dot"/>
            </w:tabs>
            <w:rPr/>
          </w:pPr>
          <w:hyperlink w:anchor="__RefHeading___Toc4803574_1280447820">
            <w:r>
              <w:rPr>
                <w:webHidden/>
                <w:rStyle w:val="IndexLink"/>
                <w:rtl w:val="true"/>
              </w:rPr>
              <w:t xml:space="preserve">الرابع </w:t>
            </w:r>
            <w:r>
              <w:rPr>
                <w:rStyle w:val="IndexLink"/>
                <w:rtl w:val="true"/>
              </w:rPr>
              <w:t>:</w:t>
              <w:tab/>
            </w:r>
            <w:r>
              <w:rPr>
                <w:rStyle w:val="IndexLink"/>
              </w:rPr>
              <w:t>457</w:t>
            </w:r>
          </w:hyperlink>
        </w:p>
        <w:p>
          <w:pPr>
            <w:pStyle w:val="Contents3"/>
            <w:tabs>
              <w:tab w:val="clear" w:pos="8459"/>
              <w:tab w:val="right" w:pos="9026" w:leader="dot"/>
            </w:tabs>
            <w:rPr/>
          </w:pPr>
          <w:hyperlink w:anchor="__RefHeading___Toc4803576_1280447820">
            <w:r>
              <w:rPr>
                <w:webHidden/>
                <w:rStyle w:val="IndexLink"/>
                <w:rtl w:val="true"/>
              </w:rPr>
              <w:t xml:space="preserve">أصل </w:t>
            </w:r>
            <w:r>
              <w:rPr>
                <w:rStyle w:val="IndexLink"/>
                <w:rtl w:val="true"/>
              </w:rPr>
              <w:t xml:space="preserve">[ </w:t>
            </w:r>
            <w:r>
              <w:rPr>
                <w:rStyle w:val="IndexLink"/>
                <w:rtl w:val="true"/>
              </w:rPr>
              <w:t xml:space="preserve">في الشبهة الموضوعية التحريمية من الشكّ في المكلّف به </w:t>
            </w:r>
            <w:r>
              <w:rPr>
                <w:rStyle w:val="IndexLink"/>
                <w:rtl w:val="true"/>
              </w:rPr>
              <w:t>]</w:t>
              <w:tab/>
            </w:r>
            <w:r>
              <w:rPr>
                <w:rStyle w:val="IndexLink"/>
              </w:rPr>
              <w:t>466</w:t>
            </w:r>
          </w:hyperlink>
        </w:p>
        <w:p>
          <w:pPr>
            <w:pStyle w:val="Contents4"/>
            <w:tabs>
              <w:tab w:val="clear" w:pos="8176"/>
              <w:tab w:val="right" w:pos="9026" w:leader="dot"/>
            </w:tabs>
            <w:rPr/>
          </w:pPr>
          <w:hyperlink w:anchor="__RefHeading___Toc4803578_1280447820">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4803580_1280447820">
            <w:r>
              <w:rPr>
                <w:webHidden/>
                <w:rStyle w:val="IndexLink"/>
                <w:rtl w:val="true"/>
              </w:rPr>
              <w:t xml:space="preserve">وتحقيق المقام في موردين </w:t>
            </w:r>
            <w:r>
              <w:rPr>
                <w:rStyle w:val="IndexLink"/>
                <w:rtl w:val="true"/>
              </w:rPr>
              <w:t>:</w:t>
              <w:tab/>
            </w:r>
            <w:r>
              <w:rPr>
                <w:rStyle w:val="IndexLink"/>
              </w:rPr>
              <w:t>466</w:t>
            </w:r>
          </w:hyperlink>
        </w:p>
        <w:p>
          <w:pPr>
            <w:pStyle w:val="Contents5"/>
            <w:tabs>
              <w:tab w:val="clear" w:pos="7892"/>
              <w:tab w:val="right" w:pos="9026" w:leader="dot"/>
            </w:tabs>
            <w:rPr/>
          </w:pPr>
          <w:hyperlink w:anchor="__RefHeading___Toc4803582_1280447820">
            <w:r>
              <w:rPr>
                <w:webHidden/>
                <w:rStyle w:val="IndexLink"/>
                <w:rtl w:val="true"/>
              </w:rPr>
              <w:t>المورد الأوّل</w:t>
            </w:r>
            <w:r>
              <w:rPr>
                <w:rStyle w:val="IndexLink"/>
                <w:rtl w:val="true"/>
              </w:rPr>
              <w:tab/>
            </w:r>
            <w:r>
              <w:rPr>
                <w:rStyle w:val="IndexLink"/>
              </w:rPr>
              <w:t>466</w:t>
            </w:r>
          </w:hyperlink>
        </w:p>
        <w:p>
          <w:pPr>
            <w:pStyle w:val="Contents5"/>
            <w:tabs>
              <w:tab w:val="clear" w:pos="7892"/>
              <w:tab w:val="right" w:pos="9026" w:leader="dot"/>
            </w:tabs>
            <w:rPr/>
          </w:pPr>
          <w:hyperlink w:anchor="__RefHeading___Toc4803584_1280447820">
            <w:r>
              <w:rPr>
                <w:webHidden/>
                <w:rStyle w:val="IndexLink"/>
                <w:rtl w:val="true"/>
              </w:rPr>
              <w:t>المورد الثاني</w:t>
            </w:r>
            <w:r>
              <w:rPr>
                <w:rStyle w:val="IndexLink"/>
                <w:rtl w:val="true"/>
              </w:rPr>
              <w:tab/>
            </w:r>
            <w:r>
              <w:rPr>
                <w:rStyle w:val="IndexLink"/>
              </w:rPr>
              <w:t>475</w:t>
            </w:r>
          </w:hyperlink>
        </w:p>
        <w:p>
          <w:pPr>
            <w:pStyle w:val="Contents4"/>
            <w:tabs>
              <w:tab w:val="clear" w:pos="8176"/>
              <w:tab w:val="right" w:pos="9026" w:leader="dot"/>
            </w:tabs>
            <w:rPr/>
          </w:pPr>
          <w:hyperlink w:anchor="__RefHeading___Toc4803586_1280447820">
            <w:r>
              <w:rPr>
                <w:webHidden/>
                <w:rStyle w:val="IndexLink"/>
                <w:rtl w:val="true"/>
              </w:rPr>
              <w:t xml:space="preserve">وينبغي التنبيه على أمور </w:t>
            </w:r>
            <w:r>
              <w:rPr>
                <w:rStyle w:val="IndexLink"/>
                <w:rtl w:val="true"/>
              </w:rPr>
              <w:t>:</w:t>
              <w:tab/>
            </w:r>
            <w:r>
              <w:rPr>
                <w:rStyle w:val="IndexLink"/>
              </w:rPr>
              <w:t>489</w:t>
            </w:r>
          </w:hyperlink>
        </w:p>
        <w:p>
          <w:pPr>
            <w:pStyle w:val="Contents5"/>
            <w:tabs>
              <w:tab w:val="clear" w:pos="7892"/>
              <w:tab w:val="right" w:pos="9026" w:leader="dot"/>
            </w:tabs>
            <w:rPr/>
          </w:pPr>
          <w:hyperlink w:anchor="__RefHeading___Toc4803588_1280447820">
            <w:r>
              <w:rPr>
                <w:webHidden/>
                <w:rStyle w:val="IndexLink"/>
                <w:rtl w:val="true"/>
              </w:rPr>
              <w:t xml:space="preserve">الأوّل </w:t>
            </w:r>
            <w:r>
              <w:rPr>
                <w:rStyle w:val="IndexLink"/>
                <w:rtl w:val="true"/>
              </w:rPr>
              <w:t>:</w:t>
              <w:tab/>
            </w:r>
            <w:r>
              <w:rPr>
                <w:rStyle w:val="IndexLink"/>
              </w:rPr>
              <w:t>489</w:t>
            </w:r>
          </w:hyperlink>
        </w:p>
        <w:p>
          <w:pPr>
            <w:pStyle w:val="Contents5"/>
            <w:tabs>
              <w:tab w:val="clear" w:pos="7892"/>
              <w:tab w:val="right" w:pos="9026" w:leader="dot"/>
            </w:tabs>
            <w:rPr/>
          </w:pPr>
          <w:hyperlink w:anchor="__RefHeading___Toc4803590_1280447820">
            <w:r>
              <w:rPr>
                <w:webHidden/>
                <w:rStyle w:val="IndexLink"/>
                <w:rtl w:val="true"/>
              </w:rPr>
              <w:t xml:space="preserve">الثاني </w:t>
            </w:r>
            <w:r>
              <w:rPr>
                <w:rStyle w:val="IndexLink"/>
                <w:rtl w:val="true"/>
              </w:rPr>
              <w:t>:</w:t>
              <w:tab/>
            </w:r>
            <w:r>
              <w:rPr>
                <w:rStyle w:val="IndexLink"/>
              </w:rPr>
              <w:t>490</w:t>
            </w:r>
          </w:hyperlink>
        </w:p>
        <w:p>
          <w:pPr>
            <w:pStyle w:val="Contents5"/>
            <w:tabs>
              <w:tab w:val="clear" w:pos="7892"/>
              <w:tab w:val="right" w:pos="9026" w:leader="dot"/>
            </w:tabs>
            <w:rPr/>
          </w:pPr>
          <w:hyperlink w:anchor="__RefHeading___Toc4803592_1280447820">
            <w:r>
              <w:rPr>
                <w:webHidden/>
                <w:rStyle w:val="IndexLink"/>
                <w:rtl w:val="true"/>
              </w:rPr>
              <w:t xml:space="preserve">الثالث </w:t>
            </w:r>
            <w:r>
              <w:rPr>
                <w:rStyle w:val="IndexLink"/>
                <w:rtl w:val="true"/>
              </w:rPr>
              <w:t>:</w:t>
              <w:tab/>
            </w:r>
            <w:r>
              <w:rPr>
                <w:rStyle w:val="IndexLink"/>
              </w:rPr>
              <w:t>491</w:t>
            </w:r>
          </w:hyperlink>
        </w:p>
        <w:p>
          <w:pPr>
            <w:pStyle w:val="Contents5"/>
            <w:tabs>
              <w:tab w:val="clear" w:pos="7892"/>
              <w:tab w:val="right" w:pos="9026" w:leader="dot"/>
            </w:tabs>
            <w:rPr/>
          </w:pPr>
          <w:hyperlink w:anchor="__RefHeading___Toc4803594_1280447820">
            <w:r>
              <w:rPr>
                <w:webHidden/>
                <w:rStyle w:val="IndexLink"/>
                <w:rtl w:val="true"/>
              </w:rPr>
              <w:t xml:space="preserve">الرابع </w:t>
            </w:r>
            <w:r>
              <w:rPr>
                <w:rStyle w:val="IndexLink"/>
                <w:rtl w:val="true"/>
              </w:rPr>
              <w:t>:</w:t>
              <w:tab/>
            </w:r>
            <w:r>
              <w:rPr>
                <w:rStyle w:val="IndexLink"/>
              </w:rPr>
              <w:t>496</w:t>
            </w:r>
          </w:hyperlink>
        </w:p>
        <w:p>
          <w:pPr>
            <w:pStyle w:val="Contents5"/>
            <w:tabs>
              <w:tab w:val="clear" w:pos="7892"/>
              <w:tab w:val="right" w:pos="9026" w:leader="dot"/>
            </w:tabs>
            <w:rPr/>
          </w:pPr>
          <w:hyperlink w:anchor="__RefHeading___Toc4803596_1280447820">
            <w:r>
              <w:rPr>
                <w:webHidden/>
                <w:rStyle w:val="IndexLink"/>
                <w:rtl w:val="true"/>
              </w:rPr>
              <w:t xml:space="preserve">الخامس </w:t>
            </w:r>
            <w:r>
              <w:rPr>
                <w:rStyle w:val="IndexLink"/>
                <w:rtl w:val="true"/>
              </w:rPr>
              <w:t>:</w:t>
              <w:tab/>
            </w:r>
            <w:r>
              <w:rPr>
                <w:rStyle w:val="IndexLink"/>
              </w:rPr>
              <w:t>501</w:t>
            </w:r>
          </w:hyperlink>
        </w:p>
        <w:p>
          <w:pPr>
            <w:pStyle w:val="Contents5"/>
            <w:tabs>
              <w:tab w:val="clear" w:pos="7892"/>
              <w:tab w:val="right" w:pos="9026" w:leader="dot"/>
            </w:tabs>
            <w:rPr/>
          </w:pPr>
          <w:hyperlink w:anchor="__RefHeading___Toc4803598_1280447820">
            <w:r>
              <w:rPr>
                <w:webHidden/>
                <w:rStyle w:val="IndexLink"/>
                <w:rtl w:val="true"/>
              </w:rPr>
              <w:t xml:space="preserve">السابع </w:t>
            </w:r>
            <w:r>
              <w:rPr>
                <w:rStyle w:val="IndexLink"/>
                <w:rtl w:val="true"/>
              </w:rPr>
              <w:t>:</w:t>
              <w:tab/>
            </w:r>
            <w:r>
              <w:rPr>
                <w:rStyle w:val="IndexLink"/>
              </w:rPr>
              <w:t>503</w:t>
            </w:r>
          </w:hyperlink>
        </w:p>
        <w:p>
          <w:pPr>
            <w:pStyle w:val="Contents5"/>
            <w:tabs>
              <w:tab w:val="clear" w:pos="7892"/>
              <w:tab w:val="right" w:pos="9026" w:leader="dot"/>
            </w:tabs>
            <w:rPr/>
          </w:pPr>
          <w:hyperlink w:anchor="__RefHeading___Toc4803600_1280447820">
            <w:r>
              <w:rPr>
                <w:webHidden/>
                <w:rStyle w:val="IndexLink"/>
                <w:rtl w:val="true"/>
              </w:rPr>
              <w:t xml:space="preserve">الثامن </w:t>
            </w:r>
            <w:r>
              <w:rPr>
                <w:rStyle w:val="IndexLink"/>
                <w:rtl w:val="true"/>
              </w:rPr>
              <w:t>:</w:t>
              <w:tab/>
            </w:r>
            <w:r>
              <w:rPr>
                <w:rStyle w:val="IndexLink"/>
              </w:rPr>
              <w:t>504</w:t>
            </w:r>
          </w:hyperlink>
        </w:p>
        <w:p>
          <w:pPr>
            <w:pStyle w:val="Contents5"/>
            <w:tabs>
              <w:tab w:val="clear" w:pos="7892"/>
              <w:tab w:val="right" w:pos="9026" w:leader="dot"/>
            </w:tabs>
            <w:rPr/>
          </w:pPr>
          <w:hyperlink w:anchor="__RefHeading___Toc4803602_1280447820">
            <w:r>
              <w:rPr>
                <w:webHidden/>
                <w:rStyle w:val="IndexLink"/>
                <w:rtl w:val="true"/>
              </w:rPr>
              <w:t xml:space="preserve">التاسع </w:t>
            </w:r>
            <w:r>
              <w:rPr>
                <w:rStyle w:val="IndexLink"/>
                <w:rtl w:val="true"/>
              </w:rPr>
              <w:t>:</w:t>
              <w:tab/>
            </w:r>
            <w:r>
              <w:rPr>
                <w:rStyle w:val="IndexLink"/>
              </w:rPr>
              <w:t>504</w:t>
            </w:r>
          </w:hyperlink>
        </w:p>
        <w:p>
          <w:pPr>
            <w:pStyle w:val="Contents5"/>
            <w:tabs>
              <w:tab w:val="clear" w:pos="7892"/>
              <w:tab w:val="right" w:pos="9026" w:leader="dot"/>
            </w:tabs>
            <w:rPr/>
          </w:pPr>
          <w:hyperlink w:anchor="__RefHeading___Toc4803604_1280447820">
            <w:r>
              <w:rPr>
                <w:webHidden/>
                <w:rStyle w:val="IndexLink"/>
                <w:rtl w:val="true"/>
              </w:rPr>
              <w:t xml:space="preserve">العاشر </w:t>
            </w:r>
            <w:r>
              <w:rPr>
                <w:rStyle w:val="IndexLink"/>
                <w:rtl w:val="true"/>
              </w:rPr>
              <w:t>:</w:t>
              <w:tab/>
            </w:r>
            <w:r>
              <w:rPr>
                <w:rStyle w:val="IndexLink"/>
              </w:rPr>
              <w:t>505</w:t>
            </w:r>
          </w:hyperlink>
        </w:p>
        <w:p>
          <w:pPr>
            <w:pStyle w:val="Contents5"/>
            <w:tabs>
              <w:tab w:val="clear" w:pos="7892"/>
              <w:tab w:val="right" w:pos="9026" w:leader="dot"/>
            </w:tabs>
            <w:rPr/>
          </w:pPr>
          <w:hyperlink w:anchor="__RefHeading___Toc4803606_1280447820">
            <w:r>
              <w:rPr>
                <w:webHidden/>
                <w:rStyle w:val="IndexLink"/>
                <w:rtl w:val="true"/>
              </w:rPr>
              <w:t xml:space="preserve">الحادي عشر </w:t>
            </w:r>
            <w:r>
              <w:rPr>
                <w:rStyle w:val="IndexLink"/>
                <w:rtl w:val="true"/>
              </w:rPr>
              <w:t>:</w:t>
              <w:tab/>
            </w:r>
            <w:r>
              <w:rPr>
                <w:rStyle w:val="IndexLink"/>
              </w:rPr>
              <w:t>505</w:t>
            </w:r>
          </w:hyperlink>
        </w:p>
        <w:p>
          <w:pPr>
            <w:pStyle w:val="Contents4"/>
            <w:tabs>
              <w:tab w:val="clear" w:pos="8176"/>
              <w:tab w:val="right" w:pos="9026" w:leader="dot"/>
            </w:tabs>
            <w:rPr/>
          </w:pPr>
          <w:hyperlink w:anchor="__RefHeading___Toc4803608_1280447820">
            <w:r>
              <w:rPr>
                <w:webHidden/>
                <w:rStyle w:val="IndexLink"/>
                <w:rtl w:val="true"/>
              </w:rPr>
              <w:t>المقام الأوّل</w:t>
            </w:r>
            <w:r>
              <w:rPr>
                <w:rStyle w:val="IndexLink"/>
                <w:rtl w:val="true"/>
              </w:rPr>
              <w:tab/>
            </w:r>
            <w:r>
              <w:rPr>
                <w:rStyle w:val="IndexLink"/>
              </w:rPr>
              <w:t>506</w:t>
            </w:r>
          </w:hyperlink>
        </w:p>
        <w:p>
          <w:pPr>
            <w:pStyle w:val="Contents4"/>
            <w:tabs>
              <w:tab w:val="clear" w:pos="8176"/>
              <w:tab w:val="right" w:pos="9026" w:leader="dot"/>
            </w:tabs>
            <w:rPr/>
          </w:pPr>
          <w:hyperlink w:anchor="__RefHeading___Toc4803610_1280447820">
            <w:r>
              <w:rPr>
                <w:webHidden/>
                <w:rStyle w:val="IndexLink"/>
                <w:rtl w:val="true"/>
              </w:rPr>
              <w:t>المقام الثاني</w:t>
            </w:r>
            <w:r>
              <w:rPr>
                <w:rStyle w:val="IndexLink"/>
                <w:rtl w:val="true"/>
              </w:rPr>
              <w:tab/>
            </w:r>
            <w:r>
              <w:rPr>
                <w:rStyle w:val="IndexLink"/>
              </w:rPr>
              <w:t>510</w:t>
            </w:r>
          </w:hyperlink>
        </w:p>
        <w:p>
          <w:pPr>
            <w:pStyle w:val="Contents4"/>
            <w:tabs>
              <w:tab w:val="clear" w:pos="8176"/>
              <w:tab w:val="right" w:pos="9026" w:leader="dot"/>
            </w:tabs>
            <w:rPr/>
          </w:pPr>
          <w:hyperlink w:anchor="__RefHeading___Toc4803612_1280447820">
            <w:r>
              <w:rPr>
                <w:webHidden/>
                <w:rStyle w:val="IndexLink"/>
                <w:rtl w:val="true"/>
              </w:rPr>
              <w:t>المقام الثالث</w:t>
            </w:r>
            <w:r>
              <w:rPr>
                <w:rStyle w:val="IndexLink"/>
                <w:rtl w:val="true"/>
              </w:rPr>
              <w:tab/>
            </w:r>
            <w:r>
              <w:rPr>
                <w:rStyle w:val="IndexLink"/>
              </w:rPr>
              <w:t>515</w:t>
            </w:r>
          </w:hyperlink>
        </w:p>
        <w:p>
          <w:pPr>
            <w:pStyle w:val="Contents3"/>
            <w:tabs>
              <w:tab w:val="clear" w:pos="8459"/>
              <w:tab w:val="right" w:pos="9026" w:leader="dot"/>
            </w:tabs>
            <w:rPr/>
          </w:pPr>
          <w:hyperlink w:anchor="__RefHeading___Toc4803614_1280447820">
            <w:r>
              <w:rPr>
                <w:webHidden/>
                <w:rStyle w:val="IndexLink"/>
                <w:rtl w:val="true"/>
              </w:rPr>
              <w:t xml:space="preserve">أصل </w:t>
            </w:r>
            <w:r>
              <w:rPr>
                <w:rStyle w:val="IndexLink"/>
                <w:rtl w:val="true"/>
              </w:rPr>
              <w:t xml:space="preserve">[ </w:t>
            </w:r>
            <w:r>
              <w:rPr>
                <w:rStyle w:val="IndexLink"/>
                <w:rtl w:val="true"/>
              </w:rPr>
              <w:t xml:space="preserve">في دوران الأمر بين الواجب والحرام من الشكّ في المكلّف به </w:t>
            </w:r>
            <w:r>
              <w:rPr>
                <w:rStyle w:val="IndexLink"/>
                <w:rtl w:val="true"/>
              </w:rPr>
              <w:t>]</w:t>
              <w:tab/>
            </w:r>
            <w:r>
              <w:rPr>
                <w:rStyle w:val="IndexLink"/>
              </w:rPr>
              <w:t>517</w:t>
            </w:r>
          </w:hyperlink>
        </w:p>
        <w:p>
          <w:pPr>
            <w:pStyle w:val="Contents3"/>
            <w:tabs>
              <w:tab w:val="clear" w:pos="8459"/>
              <w:tab w:val="right" w:pos="9026" w:leader="dot"/>
            </w:tabs>
            <w:rPr/>
          </w:pPr>
          <w:hyperlink w:anchor="__RefHeading___Toc4803616_1280447820">
            <w:r>
              <w:rPr>
                <w:webHidden/>
                <w:rStyle w:val="IndexLink"/>
                <w:rtl w:val="true"/>
              </w:rPr>
              <w:t xml:space="preserve">أصل </w:t>
            </w:r>
            <w:r>
              <w:rPr>
                <w:rStyle w:val="IndexLink"/>
                <w:rtl w:val="true"/>
              </w:rPr>
              <w:t xml:space="preserve">[ </w:t>
            </w:r>
            <w:r>
              <w:rPr>
                <w:rStyle w:val="IndexLink"/>
                <w:rtl w:val="true"/>
              </w:rPr>
              <w:t xml:space="preserve">في الشبهة الوجوبية الحكمية من الشكّ في المكلّف به فيما دار الأمر بين المتباينين </w:t>
            </w:r>
            <w:r>
              <w:rPr>
                <w:rStyle w:val="IndexLink"/>
                <w:rtl w:val="true"/>
              </w:rPr>
              <w:t>]</w:t>
              <w:tab/>
            </w:r>
            <w:r>
              <w:rPr>
                <w:rStyle w:val="IndexLink"/>
              </w:rPr>
              <w:t>519</w:t>
            </w:r>
          </w:hyperlink>
        </w:p>
        <w:p>
          <w:pPr>
            <w:pStyle w:val="Contents4"/>
            <w:tabs>
              <w:tab w:val="clear" w:pos="8176"/>
              <w:tab w:val="right" w:pos="9026" w:leader="dot"/>
            </w:tabs>
            <w:rPr/>
          </w:pPr>
          <w:hyperlink w:anchor="__RefHeading___Toc4803618_1280447820">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4803620_1280447820">
            <w:r>
              <w:rPr>
                <w:webHidden/>
                <w:rStyle w:val="IndexLink"/>
                <w:rtl w:val="true"/>
              </w:rPr>
              <w:t xml:space="preserve">تنبيه </w:t>
            </w:r>
            <w:r>
              <w:rPr>
                <w:rStyle w:val="IndexLink"/>
                <w:rtl w:val="true"/>
              </w:rPr>
              <w:t>:</w:t>
              <w:tab/>
            </w:r>
            <w:r>
              <w:rPr>
                <w:rStyle w:val="IndexLink"/>
              </w:rPr>
              <w:t>530</w:t>
            </w:r>
          </w:hyperlink>
        </w:p>
        <w:p>
          <w:pPr>
            <w:pStyle w:val="Contents3"/>
            <w:tabs>
              <w:tab w:val="clear" w:pos="8459"/>
              <w:tab w:val="right" w:pos="9026" w:leader="dot"/>
            </w:tabs>
            <w:rPr/>
          </w:pPr>
          <w:hyperlink w:anchor="__RefHeading___Toc4803622_1280447820">
            <w:r>
              <w:rPr>
                <w:webHidden/>
                <w:rStyle w:val="IndexLink"/>
                <w:rtl w:val="true"/>
              </w:rPr>
              <w:t>أصل</w:t>
            </w:r>
            <w:r>
              <w:rPr>
                <w:rStyle w:val="IndexLink"/>
                <w:rtl w:val="true"/>
              </w:rPr>
              <w:tab/>
            </w:r>
            <w:r>
              <w:rPr>
                <w:rStyle w:val="IndexLink"/>
              </w:rPr>
              <w:t>533</w:t>
            </w:r>
          </w:hyperlink>
        </w:p>
        <w:p>
          <w:pPr>
            <w:pStyle w:val="Contents3"/>
            <w:tabs>
              <w:tab w:val="clear" w:pos="8459"/>
              <w:tab w:val="right" w:pos="9026" w:leader="dot"/>
            </w:tabs>
            <w:rPr/>
          </w:pPr>
          <w:hyperlink w:anchor="__RefHeading___Toc4803624_1280447820">
            <w:r>
              <w:rPr>
                <w:webHidden/>
                <w:rStyle w:val="IndexLink"/>
                <w:rtl w:val="true"/>
              </w:rPr>
              <w:t>أصل</w:t>
            </w:r>
            <w:r>
              <w:rPr>
                <w:rStyle w:val="IndexLink"/>
                <w:rtl w:val="true"/>
              </w:rPr>
              <w:tab/>
            </w:r>
            <w:r>
              <w:rPr>
                <w:rStyle w:val="IndexLink"/>
              </w:rPr>
              <w:t>535</w:t>
            </w:r>
          </w:hyperlink>
        </w:p>
        <w:p>
          <w:pPr>
            <w:pStyle w:val="Contents3"/>
            <w:tabs>
              <w:tab w:val="clear" w:pos="8459"/>
              <w:tab w:val="right" w:pos="9026" w:leader="dot"/>
            </w:tabs>
            <w:rPr/>
          </w:pPr>
          <w:hyperlink w:anchor="__RefHeading___Toc4803626_1280447820">
            <w:r>
              <w:rPr>
                <w:webHidden/>
                <w:rStyle w:val="IndexLink"/>
                <w:rtl w:val="true"/>
              </w:rPr>
              <w:t>أصل</w:t>
            </w:r>
            <w:r>
              <w:rPr>
                <w:rStyle w:val="IndexLink"/>
                <w:rtl w:val="true"/>
              </w:rPr>
              <w:tab/>
            </w:r>
            <w:r>
              <w:rPr>
                <w:rStyle w:val="IndexLink"/>
              </w:rPr>
              <w:t>537</w:t>
            </w:r>
          </w:hyperlink>
        </w:p>
        <w:p>
          <w:pPr>
            <w:pStyle w:val="Contents4"/>
            <w:tabs>
              <w:tab w:val="clear" w:pos="8176"/>
              <w:tab w:val="right" w:pos="9026" w:leader="dot"/>
            </w:tabs>
            <w:rPr/>
          </w:pPr>
          <w:hyperlink w:anchor="__RefHeading___Toc4803628_1280447820">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4803630_1280447820">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الأوّل</w:t>
            </w:r>
            <w:r>
              <w:rPr>
                <w:rStyle w:val="IndexLink"/>
                <w:rtl w:val="true"/>
              </w:rPr>
              <w:tab/>
            </w:r>
            <w:r>
              <w:rPr>
                <w:rStyle w:val="IndexLink"/>
              </w:rPr>
              <w:t>549</w:t>
            </w:r>
          </w:hyperlink>
        </w:p>
        <w:p>
          <w:pPr>
            <w:pStyle w:val="Contents4"/>
            <w:tabs>
              <w:tab w:val="clear" w:pos="8176"/>
              <w:tab w:val="right" w:pos="9026" w:leader="dot"/>
            </w:tabs>
            <w:rPr/>
          </w:pPr>
          <w:hyperlink w:anchor="__RefHeading___Toc4803632_1280447820">
            <w:r>
              <w:rPr>
                <w:webHidden/>
                <w:rStyle w:val="IndexLink"/>
                <w:rtl w:val="true"/>
              </w:rPr>
              <w:t>المقام الثاني</w:t>
            </w:r>
            <w:r>
              <w:rPr>
                <w:rStyle w:val="IndexLink"/>
                <w:rtl w:val="true"/>
              </w:rPr>
              <w:tab/>
            </w:r>
            <w:r>
              <w:rPr>
                <w:rStyle w:val="IndexLink"/>
              </w:rPr>
              <w:t>551</w:t>
            </w:r>
          </w:hyperlink>
        </w:p>
        <w:p>
          <w:pPr>
            <w:pStyle w:val="Contents4"/>
            <w:tabs>
              <w:tab w:val="clear" w:pos="8176"/>
              <w:tab w:val="right" w:pos="9026" w:leader="dot"/>
            </w:tabs>
            <w:rPr/>
          </w:pPr>
          <w:hyperlink w:anchor="__RefHeading___Toc4803634_1280447820">
            <w:r>
              <w:rPr>
                <w:webHidden/>
                <w:rStyle w:val="IndexLink"/>
                <w:rtl w:val="true"/>
              </w:rPr>
              <w:t>المقام الثالث</w:t>
            </w:r>
            <w:r>
              <w:rPr>
                <w:rStyle w:val="IndexLink"/>
                <w:rtl w:val="true"/>
              </w:rPr>
              <w:tab/>
            </w:r>
            <w:r>
              <w:rPr>
                <w:rStyle w:val="IndexLink"/>
              </w:rPr>
              <w:t>554</w:t>
            </w:r>
          </w:hyperlink>
        </w:p>
        <w:p>
          <w:pPr>
            <w:pStyle w:val="Contents4"/>
            <w:tabs>
              <w:tab w:val="clear" w:pos="8176"/>
              <w:tab w:val="right" w:pos="9026" w:leader="dot"/>
            </w:tabs>
            <w:rPr/>
          </w:pPr>
          <w:hyperlink w:anchor="__RefHeading___Toc4803636_1280447820">
            <w:r>
              <w:rPr>
                <w:webHidden/>
                <w:rStyle w:val="IndexLink"/>
                <w:rtl w:val="true"/>
              </w:rPr>
              <w:t xml:space="preserve">وينبغي التنبيه على أمور </w:t>
            </w:r>
            <w:r>
              <w:rPr>
                <w:rStyle w:val="IndexLink"/>
                <w:rtl w:val="true"/>
              </w:rPr>
              <w:t>:</w:t>
              <w:tab/>
            </w:r>
            <w:r>
              <w:rPr>
                <w:rStyle w:val="IndexLink"/>
              </w:rPr>
              <w:t>571</w:t>
            </w:r>
          </w:hyperlink>
        </w:p>
        <w:p>
          <w:pPr>
            <w:pStyle w:val="Contents5"/>
            <w:tabs>
              <w:tab w:val="clear" w:pos="7892"/>
              <w:tab w:val="right" w:pos="9026" w:leader="dot"/>
            </w:tabs>
            <w:rPr/>
          </w:pPr>
          <w:hyperlink w:anchor="__RefHeading___Toc4803638_1280447820">
            <w:r>
              <w:rPr>
                <w:webHidden/>
                <w:rStyle w:val="IndexLink"/>
                <w:rtl w:val="true"/>
              </w:rPr>
              <w:t xml:space="preserve">الأوّل </w:t>
            </w:r>
            <w:r>
              <w:rPr>
                <w:rStyle w:val="IndexLink"/>
                <w:rtl w:val="true"/>
              </w:rPr>
              <w:t>:</w:t>
              <w:tab/>
            </w:r>
            <w:r>
              <w:rPr>
                <w:rStyle w:val="IndexLink"/>
              </w:rPr>
              <w:t>571</w:t>
            </w:r>
          </w:hyperlink>
        </w:p>
        <w:p>
          <w:pPr>
            <w:pStyle w:val="Contents5"/>
            <w:tabs>
              <w:tab w:val="clear" w:pos="7892"/>
              <w:tab w:val="right" w:pos="9026" w:leader="dot"/>
            </w:tabs>
            <w:rPr/>
          </w:pPr>
          <w:hyperlink w:anchor="__RefHeading___Toc4803640_1280447820">
            <w:r>
              <w:rPr>
                <w:webHidden/>
                <w:rStyle w:val="IndexLink"/>
                <w:rtl w:val="true"/>
              </w:rPr>
              <w:t xml:space="preserve">الأمر الثاني </w:t>
            </w:r>
            <w:r>
              <w:rPr>
                <w:rStyle w:val="IndexLink"/>
                <w:rtl w:val="true"/>
              </w:rPr>
              <w:t>:</w:t>
              <w:tab/>
            </w:r>
            <w:r>
              <w:rPr>
                <w:rStyle w:val="IndexLink"/>
              </w:rPr>
              <w:t>581</w:t>
            </w:r>
          </w:hyperlink>
        </w:p>
        <w:p>
          <w:pPr>
            <w:pStyle w:val="Contents4"/>
            <w:tabs>
              <w:tab w:val="clear" w:pos="8176"/>
              <w:tab w:val="right" w:pos="9026" w:leader="dot"/>
            </w:tabs>
            <w:rPr/>
          </w:pPr>
          <w:hyperlink w:anchor="__RefHeading___Toc4803642_1280447820">
            <w:r>
              <w:rPr>
                <w:webHidden/>
                <w:rStyle w:val="IndexLink"/>
                <w:rtl w:val="true"/>
              </w:rPr>
              <w:t>تذنيب</w:t>
            </w:r>
            <w:r>
              <w:rPr>
                <w:rStyle w:val="IndexLink"/>
                <w:rtl w:val="true"/>
              </w:rPr>
              <w:tab/>
            </w:r>
            <w:r>
              <w:rPr>
                <w:rStyle w:val="IndexLink"/>
              </w:rPr>
              <w:t>598</w:t>
            </w:r>
          </w:hyperlink>
        </w:p>
        <w:p>
          <w:pPr>
            <w:pStyle w:val="Contents3"/>
            <w:tabs>
              <w:tab w:val="clear" w:pos="8459"/>
              <w:tab w:val="right" w:pos="9026" w:leader="dot"/>
            </w:tabs>
            <w:rPr/>
          </w:pPr>
          <w:hyperlink w:anchor="__RefHeading___Toc4803644_1280447820">
            <w:r>
              <w:rPr>
                <w:webHidden/>
                <w:rStyle w:val="IndexLink"/>
                <w:rtl w:val="true"/>
              </w:rPr>
              <w:t>خاتمة</w:t>
            </w:r>
            <w:r>
              <w:rPr>
                <w:rStyle w:val="IndexLink"/>
                <w:rtl w:val="true"/>
              </w:rPr>
              <w:tab/>
            </w:r>
            <w:r>
              <w:rPr>
                <w:rStyle w:val="IndexLink"/>
              </w:rPr>
              <w:t>600</w:t>
            </w:r>
          </w:hyperlink>
        </w:p>
        <w:p>
          <w:pPr>
            <w:pStyle w:val="Contents4"/>
            <w:tabs>
              <w:tab w:val="clear" w:pos="8176"/>
              <w:tab w:val="right" w:pos="9026" w:leader="dot"/>
            </w:tabs>
            <w:rPr/>
          </w:pPr>
          <w:hyperlink w:anchor="__RefHeading___Toc4803646_1280447820">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4803648_1280447820">
            <w:r>
              <w:rPr>
                <w:webHidden/>
                <w:rStyle w:val="IndexLink"/>
                <w:rtl w:val="true"/>
              </w:rPr>
              <w:t>المقام الأوّل</w:t>
            </w:r>
            <w:r>
              <w:rPr>
                <w:rStyle w:val="IndexLink"/>
                <w:rtl w:val="true"/>
              </w:rPr>
              <w:tab/>
            </w:r>
            <w:r>
              <w:rPr>
                <w:rStyle w:val="IndexLink"/>
              </w:rPr>
              <w:t>600</w:t>
            </w:r>
          </w:hyperlink>
        </w:p>
        <w:p>
          <w:pPr>
            <w:pStyle w:val="Contents4"/>
            <w:tabs>
              <w:tab w:val="clear" w:pos="8176"/>
              <w:tab w:val="right" w:pos="9026" w:leader="dot"/>
            </w:tabs>
            <w:rPr/>
          </w:pPr>
          <w:hyperlink w:anchor="__RefHeading___Toc4803650_1280447820">
            <w:r>
              <w:rPr>
                <w:webHidden/>
                <w:rStyle w:val="IndexLink"/>
                <w:rtl w:val="true"/>
              </w:rPr>
              <w:t>وأمّا المقام الثاني</w:t>
            </w:r>
            <w:r>
              <w:rPr>
                <w:rStyle w:val="IndexLink"/>
                <w:rtl w:val="true"/>
              </w:rPr>
              <w:tab/>
            </w:r>
            <w:r>
              <w:rPr>
                <w:rStyle w:val="IndexLink"/>
              </w:rPr>
              <w:t>605</w:t>
            </w:r>
          </w:hyperlink>
        </w:p>
        <w:p>
          <w:pPr>
            <w:pStyle w:val="Contents4"/>
            <w:tabs>
              <w:tab w:val="clear" w:pos="8176"/>
              <w:tab w:val="right" w:pos="9026" w:leader="dot"/>
            </w:tabs>
            <w:rPr/>
          </w:pPr>
          <w:hyperlink w:anchor="__RefHeading___Toc4803652_1280447820">
            <w:r>
              <w:rPr>
                <w:webHidden/>
                <w:rStyle w:val="IndexLink"/>
                <w:rtl w:val="true"/>
              </w:rPr>
              <w:t>فرع</w:t>
            </w:r>
            <w:r>
              <w:rPr>
                <w:rStyle w:val="IndexLink"/>
                <w:rtl w:val="true"/>
              </w:rPr>
              <w:tab/>
            </w:r>
            <w:r>
              <w:rPr>
                <w:rStyle w:val="IndexLink"/>
              </w:rPr>
              <w:t>612</w:t>
            </w:r>
          </w:hyperlink>
        </w:p>
        <w:p>
          <w:pPr>
            <w:pStyle w:val="Contents4"/>
            <w:tabs>
              <w:tab w:val="clear" w:pos="8176"/>
              <w:tab w:val="right" w:pos="9026" w:leader="dot"/>
            </w:tabs>
            <w:rPr/>
          </w:pPr>
          <w:hyperlink w:anchor="__RefHeading___Toc4803654_1280447820">
            <w:r>
              <w:rPr>
                <w:webHidden/>
                <w:rStyle w:val="IndexLink"/>
                <w:rtl w:val="true"/>
              </w:rPr>
              <w:t xml:space="preserve">[ </w:t>
            </w:r>
            <w:r>
              <w:rPr>
                <w:rStyle w:val="IndexLink"/>
                <w:rtl w:val="true"/>
              </w:rPr>
              <w:t xml:space="preserve">عدم لزوم الفحص في الشبهات الموضوعية </w:t>
            </w:r>
            <w:r>
              <w:rPr>
                <w:rStyle w:val="IndexLink"/>
                <w:rtl w:val="true"/>
              </w:rPr>
              <w:t>]</w:t>
              <w:tab/>
            </w:r>
            <w:r>
              <w:rPr>
                <w:rStyle w:val="IndexLink"/>
              </w:rPr>
              <w:t>613</w:t>
            </w:r>
          </w:hyperlink>
        </w:p>
        <w:p>
          <w:pPr>
            <w:pStyle w:val="Contents4"/>
            <w:tabs>
              <w:tab w:val="clear" w:pos="8176"/>
              <w:tab w:val="right" w:pos="9026" w:leader="dot"/>
            </w:tabs>
            <w:rPr/>
          </w:pPr>
          <w:hyperlink w:anchor="__RefHeading___Toc4803656_1280447820">
            <w:r>
              <w:rPr>
                <w:webHidden/>
                <w:rStyle w:val="IndexLink"/>
                <w:rtl w:val="true"/>
              </w:rPr>
              <w:t>المقام الثاني</w:t>
            </w:r>
            <w:r>
              <w:rPr>
                <w:rStyle w:val="IndexLink"/>
                <w:rtl w:val="true"/>
              </w:rPr>
              <w:tab/>
            </w:r>
            <w:r>
              <w:rPr>
                <w:rStyle w:val="IndexLink"/>
              </w:rPr>
              <w:t>617</w:t>
            </w:r>
          </w:hyperlink>
        </w:p>
        <w:p>
          <w:pPr>
            <w:pStyle w:val="Contents5"/>
            <w:tabs>
              <w:tab w:val="clear" w:pos="7892"/>
              <w:tab w:val="right" w:pos="9026" w:leader="dot"/>
            </w:tabs>
            <w:rPr/>
          </w:pPr>
          <w:hyperlink w:anchor="__RefHeading___Toc4803658_1280447820">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4803660_1280447820">
            <w:r>
              <w:rPr>
                <w:webHidden/>
                <w:rStyle w:val="IndexLink"/>
                <w:rtl w:val="true"/>
              </w:rPr>
              <w:t>المطلب الأوّل</w:t>
            </w:r>
            <w:r>
              <w:rPr>
                <w:rStyle w:val="IndexLink"/>
                <w:rtl w:val="true"/>
              </w:rPr>
              <w:tab/>
            </w:r>
            <w:r>
              <w:rPr>
                <w:rStyle w:val="IndexLink"/>
              </w:rPr>
              <w:t>617</w:t>
            </w:r>
          </w:hyperlink>
        </w:p>
        <w:p>
          <w:pPr>
            <w:pStyle w:val="Contents5"/>
            <w:tabs>
              <w:tab w:val="clear" w:pos="7892"/>
              <w:tab w:val="right" w:pos="9026" w:leader="dot"/>
            </w:tabs>
            <w:rPr/>
          </w:pPr>
          <w:hyperlink w:anchor="__RefHeading___Toc4803662_1280447820">
            <w:r>
              <w:rPr>
                <w:webHidden/>
                <w:rStyle w:val="IndexLink"/>
                <w:rtl w:val="true"/>
              </w:rPr>
              <w:t>المطلب الثاني</w:t>
            </w:r>
            <w:r>
              <w:rPr>
                <w:rStyle w:val="IndexLink"/>
                <w:rtl w:val="true"/>
              </w:rPr>
              <w:tab/>
            </w:r>
            <w:r>
              <w:rPr>
                <w:rStyle w:val="IndexLink"/>
              </w:rPr>
              <w:t>618</w:t>
            </w:r>
          </w:hyperlink>
        </w:p>
        <w:p>
          <w:pPr>
            <w:pStyle w:val="Contents2"/>
            <w:tabs>
              <w:tab w:val="clear" w:pos="8743"/>
              <w:tab w:val="right" w:pos="9026" w:leader="dot"/>
            </w:tabs>
            <w:rPr/>
          </w:pPr>
          <w:hyperlink w:anchor="__RefHeading___Toc4803664_1280447820">
            <w:r>
              <w:rPr>
                <w:webHidden/>
                <w:rStyle w:val="IndexLink"/>
                <w:rtl w:val="true"/>
              </w:rPr>
              <w:t>فهرس المطالب</w:t>
            </w:r>
            <w:r>
              <w:rPr>
                <w:rStyle w:val="IndexLink"/>
                <w:rtl w:val="true"/>
              </w:rPr>
              <w:tab/>
            </w:r>
            <w:r>
              <w:rPr>
                <w:rStyle w:val="IndexLink"/>
              </w:rPr>
              <w:t>622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3_211373"/>
      <w:bookmarkStart w:id="1" w:name="pg16273_211373"/>
      <w:bookmarkEnd w:id="1"/>
    </w:p>
    <w:p>
      <w:pPr>
        <w:pStyle w:val="Heading2"/>
        <w:numPr>
          <w:ilvl w:val="1"/>
          <w:numId w:val="1"/>
        </w:numPr>
        <w:rPr/>
      </w:pPr>
      <w:bookmarkStart w:id="2" w:name="pg16273_211373"/>
      <w:bookmarkStart w:id="3" w:name="__RefHeading___Toc480345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الكلانتري الطهراني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الفاضلي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الإمام الخميني والثورة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العروج</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تقريرات الشيخ الأعظم الأنصاري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الميرزا أبوالقاسم الكلانتري الطهراني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p>
    <w:p>
      <w:pPr>
        <w:pStyle w:val="Heading2"/>
        <w:numPr>
          <w:ilvl w:val="1"/>
          <w:numId w:val="1"/>
        </w:numPr>
        <w:rPr/>
      </w:pPr>
      <w:bookmarkStart w:id="5" w:name="__RefHeading___Toc480346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القول في المظنّة واعتبارها ، وتفصيل الكلام على وجه يكشف اللثام ، عن وجه المرام ، يستدعي تمهيد </w:t>
      </w:r>
      <w:r>
        <w:rPr>
          <w:rStyle w:val="FootnoteAnchor"/>
          <w:rtl w:val="true"/>
        </w:rPr>
        <w:footnoteReference w:id="3"/>
      </w:r>
      <w:r>
        <w:rPr>
          <w:rFonts w:ascii="Amiri" w:hAnsi="Amiri" w:eastAsia="Amiri" w:cs="Amiri"/>
          <w:color w:val="111111"/>
          <w:sz w:val="28"/>
          <w:sz w:val="28"/>
          <w:szCs w:val="28"/>
          <w:rtl w:val="true"/>
          <w:lang w:bidi="ar-SA"/>
        </w:rPr>
        <w:t xml:space="preserve">مقدّمة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المكلّف إمّا أن يكون ملتفتا ومستشعرا بالتكليف ، أو لا يكون بل هو ذاهل ، ولا شكّ في أنّه في هذه الحالة معذور على ما تقتضيه قواعد </w:t>
      </w:r>
      <w:r>
        <w:rPr>
          <w:rStyle w:val="FootnoteAnchor"/>
          <w:rtl w:val="true"/>
        </w:rPr>
        <w:footnoteReference w:id="4"/>
      </w:r>
      <w:r>
        <w:rPr>
          <w:rFonts w:ascii="Amiri" w:hAnsi="Amiri" w:eastAsia="Amiri" w:cs="Amiri"/>
          <w:color w:val="111111"/>
          <w:sz w:val="28"/>
          <w:sz w:val="28"/>
          <w:szCs w:val="28"/>
          <w:rtl w:val="true"/>
          <w:lang w:bidi="ar-SA"/>
        </w:rPr>
        <w:t>العدلية لكنّه بالنسبة إلى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الوضعية ، فتفصيل الكلام فيها له محلّ آخر ، والأوّل إمّا أن يكون شاكّا ، أو ظانّا ، أو قاطعا ؛ لأنّ المدرك تارة يدرك بحيث لا يحتمل الخلاف في نفسه من حيث هو مدرك ، وأخرى على وجه يحتمله ، فمرّة يحتمل احتمالا مرجوحا ، وأخرى احتمالا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الإدراك العلمي ، وينقسم بأقسامه المعهودة من التقليد واليقين والجهل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الإدراك الظنّي ، ويختلف باختلاف مراتبه شدّة وضعفا</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 وقد يسمّى غير الأوّل به إلاّ أنّه خلاف المعهود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شكّ في عدم اعتبار الشكّ ، وكفاك شاهدا نفي الشكّ فيه ، وإن أبيت عن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حجّة ومعتبرا ، لزم الترجيح من غير مرجّح ؛ إذ لا نعني باعتباره إلاّ أنّ الشيء بمجرّد كونه مشكوكا يحكم فيه بأحد طرفي الشكّ وهو المراد من اللازم كما لا يخفى إلاّ أنّ المكلّف في حالة الشكّ لا يخلو عن أحد الأصول الأربعة من البراءة والاشتغال والاستصحاب والتخيير بحسب اختلاف أحواله من الشكّ في التكليف ، أو في المكلّف به ، أو وجود الحالة السابقة وليس ذلك من جهة اعتبار الشكّ بل هو موضوع لتلك الأحكام ، والمتكفّل لبيان هذه الأصول ومواردها مباحث الأدلّة العقلية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الظنّ ، فعقد الباب فيه ، وسيجيء تحقيق القول فيه بما لا مزيد عليه</w:t>
      </w:r>
      <w:r>
        <w:rPr>
          <w:rFonts w:eastAsia="Amiri" w:cs="Amiri" w:ascii="Amiri" w:hAnsi="Amiri"/>
          <w:color w:val="111111"/>
          <w:sz w:val="28"/>
          <w:szCs w:val="28"/>
          <w:rtl w:val="true"/>
          <w:lang w:bidi="ar-SA"/>
        </w:rPr>
        <w:t xml:space="preserve">. </w:t>
      </w:r>
      <w:bookmarkStart w:id="7" w:name="pg16273_211375"/>
    </w:p>
    <w:p>
      <w:pPr>
        <w:pStyle w:val="Heading2"/>
        <w:numPr>
          <w:ilvl w:val="1"/>
          <w:numId w:val="1"/>
        </w:numPr>
        <w:rPr/>
      </w:pPr>
      <w:bookmarkStart w:id="8" w:name="__RefHeading___Toc4803462_1280447820"/>
      <w:bookmarkStart w:id="9" w:name="_Toc3"/>
      <w:bookmarkEnd w:id="7"/>
      <w:bookmarkEnd w:id="8"/>
      <w:r>
        <w:rPr>
          <w:rtl w:val="true"/>
        </w:rPr>
        <w:t xml:space="preserve">[ </w:t>
      </w:r>
      <w:r>
        <w:rPr>
          <w:rtl w:val="true"/>
        </w:rPr>
        <w:t xml:space="preserve">في القطع </w:t>
      </w:r>
      <w:r>
        <w:rPr>
          <w:rtl w:val="true"/>
        </w:rPr>
        <w:t>]</w:t>
      </w:r>
      <w:bookmarkEnd w:id="9"/>
    </w:p>
    <w:p>
      <w:pPr>
        <w:pStyle w:val="Heading3"/>
        <w:numPr>
          <w:ilvl w:val="2"/>
          <w:numId w:val="1"/>
        </w:numPr>
        <w:rPr/>
      </w:pPr>
      <w:bookmarkStart w:id="10" w:name="__RefHeading___Toc4803464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وأمّا العلم ، فلا ريب أنّه على تقديره لا مجال للشكّ في وجوب العمل به واعتباره ، كما يدلّ عليه نفي الريب عنه بل هو معتبر بنفسه ، ودليل اعتباره ليس خارجا عن نفسه بل لا يحتاج إلى دليل ؛ إذ هو مع إفادة الظنّ لا يغني من جوع ؛ لاستلزامه إثبات الأخصّ بالأخسّ ، ومع إفادة العلم يدور أو يتسلسل ، فلا بدّ من الانتهاء إلى دليل هو حجّة بنفسه وهو المطلوب ، ومعنى حجّيته أنّه لا حجّة على عامله معه لا أنّه حجّة وواسطة في إثبات آثار متعلّقه عليه كما هو الشأن في غيره من الحجج الاصطلاحية ، ففي إطلاق الحجّة عليه تسامح</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في مصطلح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المبيّن في علم </w:t>
      </w:r>
      <w:r>
        <w:rPr>
          <w:rStyle w:val="FootnoteAnchor"/>
          <w:rtl w:val="true"/>
        </w:rPr>
        <w:footnoteReference w:id="5"/>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وسطا لإثبات أحكام الموضوعات من المحمولات لها ، ويستكشف منها آثارها المترتّب عليها في القضايا المطلوبة والنتائج كما يظهر ذلك بالرجوع إلى البرهان السائر على ألسنتهم في إثبات حدوث العالم ، فإنّ المتغيّر هو الحجّة والواسطة في إثبات الحدوث الأكبر للعالم الأصغر ، ففي الحقيقة تسمية البرهان حجّة إنّما هي لأجل اشتماله عليها ، ويكشف عن ذلك إتيانها بعد لام التعليل مفردا ، فالعلم بحدوث </w:t>
      </w:r>
    </w:p>
    <w:p>
      <w:pPr>
        <w:pStyle w:val="BookText"/>
        <w:rPr/>
      </w:pPr>
      <w:r>
        <w:rPr>
          <w:rFonts w:ascii="Amiri" w:hAnsi="Amiri" w:eastAsia="Amiri" w:cs="Amiri"/>
          <w:color w:val="111111"/>
          <w:sz w:val="28"/>
          <w:sz w:val="28"/>
          <w:szCs w:val="28"/>
          <w:rtl w:val="true"/>
          <w:lang w:bidi="ar-SA"/>
        </w:rPr>
        <w:t>العالم إنّما يستند إلى العلم بالتغيّر ، فهو من حيث إنّه متغيّر حادث ؛ لأنّ التغيّر طريق ومرآة لحدوثه على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قد عرفت المراد من الحجّة ، ظهر أنّ العلم ليس بهذه المثابة ؛ فإنّ العلم مرآة وطريق إلى الواقع ، وليس واسطة في ترتّب أحكام متعلّقه عليه بل هو آلة للوصول إليه واقعا عند العالم ، فكما أنّ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واسطة لثبوت الأحكام الواقعية الثابتة بواسطة عللها الواقعية للأشياء المختفية لعارض الظلمة ، ولا لإثباتها لها بل به يمكن الوصول إلى تلك الآثار الثابتة لها ، فكذا العلم ليس واسطة في ثبوت آثار المعلوم له ، ولا في إثباتها له ، ففي ترتّب حكم من الأحكام على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طالبنا أحد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تعليله بالعلم ، فلا بدّ من بيان ما هو المستند في ترتّب ذلك الحكم على المعلوم من جعل جاعل كما في الأحكام الجعلية وغيره في غيرها كما يظهر ذلك عند ملاحظة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النجاسة لا تترتّب على العلم بها ؛ لاستنادها إلى جعل الشارع مثلا ، فهو من حيث علّتها الواقعية نجس ، لا من حيث إنّه معلوم كما هو الشأن في الواسطة العلمية ، وليس سائر الأمارات الظنّية مثل فتوى المجتهد والاستصحاب والخبر كذلك ، فإنّها أوساط في الأدلّة التي يستدلّ بها على إثبات الآثار على متعلّقاتها كما ترى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واجبة ، لأنّها ممّا أخبر العادل بوجوبه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قد أخبر العادل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 عليه سائر الأمارات من ظنّ المجتهد وغيره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أدّى إليه ظنّي ، وكلّ ما أدّى إليه ظنّي ، فهو حكم اللّه في حقّي ، فالموضوع في النتيجة من حيث كونه مظنونا صار موضوعا لمحمولها ؛ وكذا يقال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علمنا طهارته قبل ، وكلّ ما علمنا طهارته قبل ، فلا بدّ من إجراء أحكام الطهارة عليه ، فهذا ممّا لا بدّ من إجراء أحكام الطهارة عليه ، فالاستصحاب واسطة في إثبات أحكام المستصحب له وترتّب آثاره عليه ، ولهذا ما لم يدلّ دليل على اعتبار الاستصحاب أو </w:t>
      </w:r>
    </w:p>
    <w:p>
      <w:pPr>
        <w:pStyle w:val="BookText"/>
        <w:rPr/>
      </w:pPr>
      <w:r>
        <w:rPr>
          <w:rFonts w:ascii="Amiri" w:hAnsi="Amiri" w:eastAsia="Amiri" w:cs="Amiri"/>
          <w:color w:val="111111"/>
          <w:sz w:val="28"/>
          <w:sz w:val="28"/>
          <w:szCs w:val="28"/>
          <w:rtl w:val="true"/>
          <w:lang w:bidi="ar-SA"/>
        </w:rPr>
        <w:t>خبر الواحد أو غيرهما لا يصحّ الاستدلال بها ، فظهر الفرق بين العلم وسائر الأمارات ؛ فإنّها أوساط وحجج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شيء على شيء لا بدّ أن تكون بواسطة ملازمة بينهما من العلّية لأحد الطرفين للآخر ، أو لاشتراكهما في علّة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العلّية تعبّدية شرعية لا عقلية كما في الأمارات التي ثبت حجّيتها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 العلم ومعلومه ، كيف وهو متأخّر عنه زمانا ، والآثار المترتّبة على المعلوم وإن كانت متأخّرة عنه ذاتا وفي نفس المرتبة </w:t>
      </w:r>
      <w:r>
        <w:rPr>
          <w:rStyle w:val="FootnoteAnchor"/>
          <w:rtl w:val="true"/>
        </w:rPr>
        <w:footnoteReference w:id="6"/>
      </w:r>
      <w:r>
        <w:rPr>
          <w:rFonts w:ascii="Amiri" w:hAnsi="Amiri" w:eastAsia="Amiri" w:cs="Amiri"/>
          <w:color w:val="111111"/>
          <w:sz w:val="28"/>
          <w:sz w:val="28"/>
          <w:szCs w:val="28"/>
          <w:rtl w:val="true"/>
          <w:lang w:bidi="ar-SA"/>
        </w:rPr>
        <w:t xml:space="preserve">إلاّ أنّها مقارنة للمعلوم زمانا ؛ لعدم الانفكاك بينهما ؛ فإنّها مجعولات بجعل ماهيّة الملزوم والمعلوم ، ولا يتعقّل تأثير العلم المتأخّر بحسب الزمان في المتقدّم بحسبه </w:t>
      </w:r>
      <w:r>
        <w:rPr>
          <w:rStyle w:val="FootnoteAnchor"/>
          <w:rtl w:val="true"/>
        </w:rPr>
        <w:footnoteReference w:id="7"/>
      </w:r>
      <w:r>
        <w:rPr>
          <w:rFonts w:ascii="Amiri" w:hAnsi="Amiri" w:eastAsia="Amiri" w:cs="Amiri"/>
          <w:color w:val="111111"/>
          <w:sz w:val="28"/>
          <w:sz w:val="28"/>
          <w:szCs w:val="28"/>
          <w:rtl w:val="true"/>
          <w:lang w:bidi="ar-SA"/>
        </w:rPr>
        <w:t>؛ ضرورة استلزامه وجود الشيء قبل وجوده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ذكرت لا يجوز أن يكون الظنّ واسطة أيضا ؛ فإنّه متأخّر عن المظنون وتابع له ، فتأثير المتأخّر في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تقديم المتأخّر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تابع للحكم في </w:t>
      </w:r>
      <w:r>
        <w:rPr>
          <w:rStyle w:val="FootnoteAnchor"/>
          <w:rtl w:val="true"/>
        </w:rPr>
        <w:footnoteReference w:id="8"/>
      </w:r>
      <w:r>
        <w:rPr>
          <w:rFonts w:ascii="IRNazanin" w:hAnsi="IRNazanin" w:eastAsia="IRNazanin"/>
          <w:color w:val="111111"/>
          <w:sz w:val="28"/>
          <w:sz w:val="28"/>
          <w:szCs w:val="28"/>
          <w:rtl w:val="true"/>
          <w:lang w:bidi="fa-IR"/>
        </w:rPr>
        <w:t xml:space="preserve">نفس الأمر </w:t>
      </w:r>
      <w:r>
        <w:rPr>
          <w:rStyle w:val="FootnoteAnchor"/>
          <w:rtl w:val="true"/>
        </w:rPr>
        <w:footnoteReference w:id="9"/>
      </w:r>
      <w:r>
        <w:rPr>
          <w:rFonts w:ascii="Amiri" w:hAnsi="Amiri" w:eastAsia="Amiri" w:cs="Amiri"/>
          <w:color w:val="111111"/>
          <w:sz w:val="28"/>
          <w:sz w:val="28"/>
          <w:szCs w:val="28"/>
          <w:rtl w:val="true"/>
          <w:lang w:bidi="ar-SA"/>
        </w:rPr>
        <w:t xml:space="preserve">وهو ليس </w:t>
      </w:r>
      <w:r>
        <w:rPr>
          <w:rStyle w:val="FootnoteAnchor"/>
          <w:rtl w:val="true"/>
        </w:rPr>
        <w:footnoteReference w:id="10"/>
      </w:r>
      <w:r>
        <w:rPr>
          <w:rFonts w:ascii="Amiri" w:hAnsi="Amiri" w:eastAsia="Amiri" w:cs="Amiri"/>
          <w:color w:val="111111"/>
          <w:sz w:val="28"/>
          <w:sz w:val="28"/>
          <w:szCs w:val="28"/>
          <w:rtl w:val="true"/>
          <w:lang w:bidi="ar-SA"/>
        </w:rPr>
        <w:t xml:space="preserve">واسطة في إثباته </w:t>
      </w:r>
      <w:r>
        <w:rPr>
          <w:rStyle w:val="FootnoteAnchor"/>
          <w:rtl w:val="true"/>
        </w:rPr>
        <w:footnoteReference w:id="11"/>
      </w:r>
      <w:r>
        <w:rPr>
          <w:rFonts w:ascii="Amiri" w:hAnsi="Amiri" w:eastAsia="Amiri" w:cs="Amiri"/>
          <w:color w:val="111111"/>
          <w:sz w:val="28"/>
          <w:sz w:val="28"/>
          <w:szCs w:val="28"/>
          <w:rtl w:val="true"/>
          <w:lang w:bidi="ar-SA"/>
        </w:rPr>
        <w:t xml:space="preserve">بل هو واسطة في إثبات الحكم الظاهري </w:t>
      </w:r>
      <w:r>
        <w:rPr>
          <w:rStyle w:val="FootnoteAnchor"/>
          <w:rtl w:val="true"/>
        </w:rPr>
        <w:footnoteReference w:id="12"/>
      </w:r>
      <w:r>
        <w:rPr>
          <w:rFonts w:ascii="IRNazanin" w:hAnsi="IRNazanin" w:eastAsia="IRNazanin"/>
          <w:color w:val="111111"/>
          <w:sz w:val="28"/>
          <w:sz w:val="28"/>
          <w:szCs w:val="28"/>
          <w:rtl w:val="true"/>
          <w:lang w:bidi="fa-IR"/>
        </w:rPr>
        <w:t>وهو متأخّر عنه ، فلا 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الخمر نجس ، والظنّ في هذه القضية كالعلم تابع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الكلّية القائلة بأنّ كلّ ظنّ حجّة ، المتكفّلة لبيان النجاسة الظنّية ، فلا شكّ في تأخّر الحكم المستفاد منها عن الظنّ ، فلا يلزم المحذورات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نقول </w:t>
      </w:r>
      <w:r>
        <w:rPr>
          <w:rStyle w:val="FootnoteAnchor"/>
          <w:rtl w:val="true"/>
        </w:rPr>
        <w:footnoteReference w:id="13"/>
      </w:r>
      <w:r>
        <w:rPr>
          <w:rFonts w:ascii="Amiri" w:hAnsi="Amiri" w:eastAsia="Amiri" w:cs="Amiri"/>
          <w:color w:val="111111"/>
          <w:sz w:val="28"/>
          <w:sz w:val="28"/>
          <w:szCs w:val="28"/>
          <w:rtl w:val="true"/>
          <w:lang w:bidi="ar-SA"/>
        </w:rPr>
        <w:t xml:space="preserve">بعينه في العلم ؛ فإنّ ما يتوقّف </w:t>
      </w:r>
      <w:r>
        <w:rPr>
          <w:rStyle w:val="FootnoteAnchor"/>
          <w:rtl w:val="true"/>
        </w:rPr>
        <w:footnoteReference w:id="14"/>
      </w:r>
      <w:r>
        <w:rPr>
          <w:rFonts w:ascii="Amiri" w:hAnsi="Amiri" w:eastAsia="Amiri" w:cs="Amiri"/>
          <w:color w:val="111111"/>
          <w:sz w:val="28"/>
          <w:sz w:val="28"/>
          <w:szCs w:val="28"/>
          <w:rtl w:val="true"/>
          <w:lang w:bidi="ar-SA"/>
        </w:rPr>
        <w:t xml:space="preserve">عليه العلم هو نفس </w:t>
      </w:r>
    </w:p>
    <w:p>
      <w:pPr>
        <w:pStyle w:val="BookText"/>
        <w:rPr/>
      </w:pPr>
      <w:r>
        <w:rPr>
          <w:rFonts w:ascii="Amiri" w:hAnsi="Amiri" w:eastAsia="Amiri" w:cs="Amiri"/>
          <w:color w:val="111111"/>
          <w:sz w:val="28"/>
          <w:sz w:val="28"/>
          <w:szCs w:val="28"/>
          <w:rtl w:val="true"/>
          <w:lang w:bidi="ar-SA"/>
        </w:rPr>
        <w:t xml:space="preserve">الحكم الواقعي المدلول عليه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يتوقّف حصوله على حصول العلم هو القضية الكلّية القائلة بأنّ العلم حجّة ، المستتبعة لبيان النجاسة المعلومة ، فالقضيّتان متغايرتان ؛ لتغاير طرفيهما ؛ فإنّ الموضوع والمحمول في الأولى غيرهما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إلاّ أنّ القضية الثانية لا تغاير الأولى ؛ فإنّ العلم بالحكم الواقعي هو العلم بنجاسة </w:t>
      </w:r>
      <w:r>
        <w:rPr>
          <w:rStyle w:val="FootnoteAnchor"/>
          <w:rtl w:val="true"/>
        </w:rPr>
        <w:footnoteReference w:id="15"/>
      </w:r>
      <w:r>
        <w:rPr>
          <w:rFonts w:ascii="Amiri" w:hAnsi="Amiri" w:eastAsia="Amiri" w:cs="Amiri"/>
          <w:color w:val="111111"/>
          <w:sz w:val="28"/>
          <w:sz w:val="28"/>
          <w:szCs w:val="28"/>
          <w:rtl w:val="true"/>
          <w:lang w:bidi="ar-SA"/>
        </w:rPr>
        <w:t>الخمر بل المعلوم الواقعي عين الواقع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زيادة توضيح ، فاعلم أنّ العلم في القضية تارة يؤخذ قيدا </w:t>
      </w:r>
      <w:r>
        <w:rPr>
          <w:rStyle w:val="FootnoteAnchor"/>
          <w:rtl w:val="true"/>
        </w:rPr>
        <w:footnoteReference w:id="16"/>
      </w:r>
      <w:r>
        <w:rPr>
          <w:rFonts w:ascii="Amiri" w:hAnsi="Amiri" w:eastAsia="Amiri" w:cs="Amiri"/>
          <w:color w:val="111111"/>
          <w:sz w:val="28"/>
          <w:sz w:val="28"/>
          <w:szCs w:val="28"/>
          <w:rtl w:val="true"/>
          <w:lang w:bidi="ar-SA"/>
        </w:rPr>
        <w:t xml:space="preserve">للحكم والإدراك التصديقي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قيّدنا الحكم بالقيام على زيد بكونه علميا ؛ دفعا لاحتمال أن يكون التصديق بقيام زيد ظنّيا مثلا ، وقد يؤخذ جزءا لموضوع أو محمول ، فهو حينئذ </w:t>
      </w:r>
      <w:r>
        <w:rPr>
          <w:rStyle w:val="FootnoteAnchor"/>
          <w:rtl w:val="true"/>
        </w:rPr>
        <w:footnoteReference w:id="17"/>
      </w:r>
      <w:r>
        <w:rPr>
          <w:rFonts w:ascii="Amiri" w:hAnsi="Amiri" w:eastAsia="Amiri" w:cs="Amiri"/>
          <w:color w:val="111111"/>
          <w:sz w:val="28"/>
          <w:sz w:val="28"/>
          <w:szCs w:val="28"/>
          <w:rtl w:val="true"/>
          <w:lang w:bidi="ar-SA"/>
        </w:rPr>
        <w:t xml:space="preserve">كنفس الموضوع أو المحمول ، ولا يكون مرآة وآلة لملاحظة حال المحمول ، ثابتا للموضوع ، والقضية القائلة بأنّ كلّ ما هو معلوم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إنّما يراد بها ثبوت المحمول للموضوع ثبوتا علميا ، ولا مدخل للعلم في الموضوع ؛ فإنّه قيد للحكم ، فالموضوع والمحمول في القضيتين ليسا بمتغايرين كما هو مبنى الاعتراض ، وذلك نظير ما لو علمنا الإنسان حيوانا </w:t>
      </w:r>
      <w:r>
        <w:rPr>
          <w:rStyle w:val="FootnoteAnchor"/>
          <w:rtl w:val="true"/>
        </w:rPr>
        <w:footnoteReference w:id="18"/>
      </w:r>
      <w:r>
        <w:rPr>
          <w:rFonts w:ascii="Amiri" w:hAnsi="Amiri" w:eastAsia="Amiri" w:cs="Amiri"/>
          <w:color w:val="111111"/>
          <w:sz w:val="28"/>
          <w:sz w:val="28"/>
          <w:szCs w:val="28"/>
          <w:rtl w:val="true"/>
          <w:lang w:bidi="ar-SA"/>
        </w:rPr>
        <w:t xml:space="preserve">دائما ، فالدوام في القضية مثلا جهة للنسبة ، فلو جعلناه جزءا للمحمول ، لم يصحّ ، وهذا هو منشأ الخلط في المقام من أخذ ما هو قيد للحكم أو جهة للنسبة جزءا للموضوع والمحمول ، ولا يجري مثل هذا الكلام في الظنّ حيث إنّ جريان تلك الأحكام في العلم إنّما هو من جهة عدم حاجة </w:t>
      </w:r>
      <w:r>
        <w:rPr>
          <w:rStyle w:val="FootnoteAnchor"/>
          <w:rtl w:val="true"/>
        </w:rPr>
        <w:footnoteReference w:id="19"/>
      </w:r>
      <w:r>
        <w:rPr>
          <w:rFonts w:ascii="Amiri" w:hAnsi="Amiri" w:eastAsia="Amiri" w:cs="Amiri"/>
          <w:color w:val="111111"/>
          <w:sz w:val="28"/>
          <w:sz w:val="28"/>
          <w:szCs w:val="28"/>
          <w:rtl w:val="true"/>
          <w:lang w:bidi="ar-SA"/>
        </w:rPr>
        <w:t>جعل العلم طريقا للواقع بخلاف الظنّ ؛ فإنّه محتاج إلى جعله طريقا ، ويستتبعه أحكام ظاهرية بها يصير الظنّ واسطة في إثباتها كما عرفت في الأقيسة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يناقض ما تقدّم في بعض المباحث السالفة من عدم الإجزاء بالأمر الظاهري إذا انكشف الخلاف حيث إنّ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ثانوي جعل </w:t>
      </w:r>
      <w:r>
        <w:rPr>
          <w:rStyle w:val="FootnoteAnchor"/>
          <w:rtl w:val="true"/>
        </w:rPr>
        <w:footnoteReference w:id="20"/>
      </w:r>
      <w:r>
        <w:rPr>
          <w:rFonts w:ascii="Amiri" w:hAnsi="Amiri" w:eastAsia="Amiri" w:cs="Amiri"/>
          <w:color w:val="111111"/>
          <w:sz w:val="28"/>
          <w:sz w:val="28"/>
          <w:szCs w:val="28"/>
          <w:rtl w:val="true"/>
          <w:lang w:bidi="ar-SA"/>
        </w:rPr>
        <w:t xml:space="preserve">في مرحلة الظاهر بدلا </w:t>
      </w:r>
      <w:r>
        <w:rPr>
          <w:rStyle w:val="FootnoteAnchor"/>
          <w:rtl w:val="true"/>
        </w:rPr>
        <w:footnoteReference w:id="21"/>
      </w:r>
      <w:r>
        <w:rPr>
          <w:rFonts w:ascii="Amiri" w:hAnsi="Amiri" w:eastAsia="Amiri" w:cs="Amiri"/>
          <w:color w:val="111111"/>
          <w:sz w:val="28"/>
          <w:sz w:val="28"/>
          <w:szCs w:val="28"/>
          <w:rtl w:val="true"/>
          <w:lang w:bidi="ar-SA"/>
        </w:rPr>
        <w:t>عن الواقع ، وظاهر أنّ البدل يكفي وجوده في محلّه عن 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يكفي وجوده عن المبدل منه فيما لو كان في عرض المبدل منه كما في خصال الكفّارة ؛ فإنّ العتق فيه مصلحة تكافئ مصلحة الصوم مثلا ، وأمّا فيما لو كان مرتّبا على المبدل منه ، وكان جعله من جهة عدم الوصول إلى المبدل منه ، فمن المعلوم عدم كفاية البدل عن المبدل منه فيما لو انكشف الخلاف ، فلا تنافي بين المقامين ؛ للفرق الظاهر بين أن يكون الجعل في مرحلة بدلا عنه </w:t>
      </w:r>
      <w:r>
        <w:rPr>
          <w:rStyle w:val="FootnoteAnchor"/>
          <w:rtl w:val="true"/>
        </w:rPr>
        <w:footnoteReference w:id="22"/>
      </w:r>
      <w:r>
        <w:rPr>
          <w:rFonts w:ascii="Amiri" w:hAnsi="Amiri" w:eastAsia="Amiri" w:cs="Amiri"/>
          <w:color w:val="111111"/>
          <w:sz w:val="28"/>
          <w:sz w:val="28"/>
          <w:szCs w:val="28"/>
          <w:rtl w:val="true"/>
          <w:lang w:bidi="ar-SA"/>
        </w:rPr>
        <w:t>في مرحلة أخرى ، وبين أن يكون المجعول بدلا عنه في مورد كما هو كذلك في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ظهر ممّا تقدّم أنّ العلم له حالات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طريقا للوصول إلى متعلّقه كما في العلم بالنجاسة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موضوعا أو جزء موضوع للآثار الشرعية أو العقلية الخارجة عن متعلّقه ، فهو بالنسبة إلى متعلّقه أيضا طريق ، وموضوعيته بملاحظة الآثار المترتّبة عليه شرعا أو عقلا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أمثلة الأوّل </w:t>
      </w:r>
      <w:r>
        <w:rPr>
          <w:rStyle w:val="FootnoteAnchor"/>
          <w:rtl w:val="true"/>
        </w:rPr>
        <w:footnoteReference w:id="24"/>
      </w:r>
      <w:r>
        <w:rPr>
          <w:rFonts w:ascii="Amiri" w:hAnsi="Amiri" w:eastAsia="Amiri" w:cs="Amiri"/>
          <w:color w:val="111111"/>
          <w:sz w:val="28"/>
          <w:sz w:val="28"/>
          <w:szCs w:val="28"/>
          <w:rtl w:val="true"/>
          <w:lang w:bidi="ar-SA"/>
        </w:rPr>
        <w:t xml:space="preserve">الثواب والعقاب المترتّبان على نفس العلم في صورتي التجرّي والانقياد ؛ فإنّ من اعتقد وعلم بوجوب شيء ، فيجب عليه الإتيان بالواجب المعتقد انقيادا ، وكذا فيما علم حرمته ، فالإتيان به محرّم للتجرّي ، فالشارع قد جعل العلم موضوعا لترتّب الثواب والعقاب في صورة الإتيان بما يعتقد وجوبه والاحتراز عمّا </w:t>
      </w:r>
    </w:p>
    <w:p>
      <w:pPr>
        <w:pStyle w:val="BookText"/>
        <w:rPr/>
      </w:pPr>
      <w:r>
        <w:rPr>
          <w:rFonts w:ascii="Amiri" w:hAnsi="Amiri" w:eastAsia="Amiri" w:cs="Amiri"/>
          <w:color w:val="111111"/>
          <w:sz w:val="28"/>
          <w:sz w:val="28"/>
          <w:szCs w:val="28"/>
          <w:rtl w:val="true"/>
          <w:lang w:bidi="ar-SA"/>
        </w:rPr>
        <w:t>يعلم حرمته ، أو ترك الواجب وفعل المحرّم المعلومين ، وإن لم يكن هو في الواقع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5"/>
      </w:r>
      <w:r>
        <w:rPr>
          <w:rFonts w:ascii="Amiri" w:hAnsi="Amiri" w:eastAsia="Amiri" w:cs="Amiri"/>
          <w:color w:val="111111"/>
          <w:sz w:val="28"/>
          <w:sz w:val="28"/>
          <w:szCs w:val="28"/>
          <w:rtl w:val="true"/>
          <w:lang w:bidi="ar-SA"/>
        </w:rPr>
        <w:t>ممّا يترتّب على نفس العلم شرعا جواز الإفتاء بالمعلوم ولو بالمعنى الشامل للظنّ المعلوم حجّيته بالخصوص كأخبار الآحاد على القول به ؛ فإنّه لا يجوز شرعا فيما إذا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الثاني </w:t>
      </w:r>
      <w:r>
        <w:rPr>
          <w:rStyle w:val="FootnoteAnchor"/>
          <w:rtl w:val="true"/>
        </w:rPr>
        <w:footnoteReference w:id="26"/>
      </w:r>
      <w:r>
        <w:rPr>
          <w:rFonts w:ascii="Amiri" w:hAnsi="Amiri" w:eastAsia="Amiri" w:cs="Amiri"/>
          <w:color w:val="111111"/>
          <w:sz w:val="28"/>
          <w:sz w:val="28"/>
          <w:szCs w:val="28"/>
          <w:rtl w:val="true"/>
          <w:lang w:bidi="ar-SA"/>
        </w:rPr>
        <w:t>العلم بالحكم الواقعي عند الإطاعة والامتثال أو المخالفة ، فالعقل يستقلّ بإدراك الثواب والعقاب المترتّبين على العلم في الصورة المفروضة ، فالعلم في المقام جزء موضوع عقلي للآثار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الظنّ أيضا قد يعتبر موضوعا لترتيب آثار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أمثلته جواز التيمّم عند حصول الظنّ الغالب على عدم وجود الماء لا مجرّد عدم الماء </w:t>
      </w:r>
      <w:r>
        <w:rPr>
          <w:rStyle w:val="FootnoteAnchor"/>
          <w:rtl w:val="true"/>
        </w:rPr>
        <w:footnoteReference w:id="27"/>
      </w:r>
      <w:r>
        <w:rPr>
          <w:rFonts w:ascii="Amiri" w:hAnsi="Amiri" w:eastAsia="Amiri" w:cs="Amiri"/>
          <w:color w:val="111111"/>
          <w:sz w:val="28"/>
          <w:sz w:val="28"/>
          <w:szCs w:val="28"/>
          <w:rtl w:val="true"/>
          <w:lang w:bidi="ar-SA"/>
        </w:rPr>
        <w:t>، ولذا لا يصحّ التعويل على أصالة عدم الماء ؛ إذ المدار شرعا في الجواز وعدمه على الظنّ وعدمه ، والأصل المذكور لا ينهض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مرتّبا على عدم الماء ، فله وجه في وجه ، فهو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لمتعلّقه ، ولا يتعقّل الموضوعية بالنسبة إليه ، وموضوع بالنسبة إلى الأحكام المترتّبة عليه ، فلا معنى للطريقية </w:t>
      </w:r>
      <w:r>
        <w:rPr>
          <w:rStyle w:val="FootnoteAnchor"/>
          <w:rtl w:val="true"/>
        </w:rPr>
        <w:footnoteReference w:id="28"/>
      </w:r>
      <w:r>
        <w:rPr>
          <w:rFonts w:ascii="Amiri" w:hAnsi="Amiri" w:eastAsia="Amiri" w:cs="Amiri"/>
          <w:color w:val="111111"/>
          <w:sz w:val="28"/>
          <w:sz w:val="28"/>
          <w:szCs w:val="28"/>
          <w:rtl w:val="true"/>
          <w:lang w:bidi="ar-SA"/>
        </w:rPr>
        <w:t xml:space="preserve">بالنسبة إليها </w:t>
      </w:r>
      <w:r>
        <w:rPr>
          <w:rStyle w:val="FootnoteAnchor"/>
          <w:rtl w:val="true"/>
        </w:rPr>
        <w:footnoteReference w:id="29"/>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اعتبار العلم إذا كان طريقا بين أفراد العلم ، ولا بين أفراد العالم </w:t>
      </w:r>
      <w:r>
        <w:rPr>
          <w:rStyle w:val="FootnoteAnchor"/>
          <w:rtl w:val="true"/>
        </w:rPr>
        <w:footnoteReference w:id="30"/>
      </w:r>
      <w:r>
        <w:rPr>
          <w:rFonts w:ascii="Amiri" w:hAnsi="Amiri" w:eastAsia="Amiri" w:cs="Amiri"/>
          <w:color w:val="111111"/>
          <w:sz w:val="28"/>
          <w:sz w:val="28"/>
          <w:szCs w:val="28"/>
          <w:rtl w:val="true"/>
          <w:lang w:bidi="ar-SA"/>
        </w:rPr>
        <w:t xml:space="preserve">والمعلوم ، فكلّ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أو شرعي عن كلّ عالم فقيه أو عامي على أيّ شيء من أصلي وفرعي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بنفسه لا يحتاج إلى جعل ، فهو منجعل بذاته ، والذاتي لا يتخلّف ولا يختلف كما يشهد به الوجدان ، فضلا عمّا </w:t>
      </w:r>
      <w:r>
        <w:rPr>
          <w:rStyle w:val="FootnoteAnchor"/>
          <w:rtl w:val="true"/>
        </w:rPr>
        <w:footnoteReference w:id="31"/>
      </w:r>
      <w:r>
        <w:rPr>
          <w:rFonts w:ascii="Amiri" w:hAnsi="Amiri" w:eastAsia="Amiri" w:cs="Amiri"/>
          <w:color w:val="111111"/>
          <w:sz w:val="28"/>
          <w:sz w:val="28"/>
          <w:szCs w:val="28"/>
          <w:rtl w:val="true"/>
          <w:lang w:bidi="ar-SA"/>
        </w:rPr>
        <w:t xml:space="preserve">هو المقرّر في محلّه من البرهان ، وذلك بخلاف ما إذا كان موضوعا لحكم ؛ إذ المناط في عمومه وخصوصه هو جعل الجاعل ، </w:t>
      </w:r>
    </w:p>
    <w:p>
      <w:pPr>
        <w:pStyle w:val="BookText"/>
        <w:rPr/>
      </w:pPr>
      <w:r>
        <w:rPr>
          <w:rFonts w:ascii="Amiri" w:hAnsi="Amiri" w:eastAsia="Amiri" w:cs="Amiri"/>
          <w:color w:val="111111"/>
          <w:sz w:val="28"/>
          <w:sz w:val="28"/>
          <w:szCs w:val="28"/>
          <w:rtl w:val="true"/>
          <w:lang w:bidi="ar-SA"/>
        </w:rPr>
        <w:t>فربّما يجعله عامّا كما إذا كان الجاعل هو العقل أو الشرع ، وربّما يجعله خاصّا كالعلم الحاصل من الإحساس مثلا من عالم خاصّ كالمجتهد مثلا في مورد خاصّ كالفقه مثلا ، وربّما يجعل موضوع الحكم ما يكشف عن الواقع سواء كان ظنّيا أو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فالجاعل على حسب اختلاف الأغراض يختلف جعله ، والمدار في تميزه عموما وخصوصا على الدليل الدالّ على موضوعيته إن عامّا فعامّ ، وإن خاصّا فخاصّ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العلم لو كان طريقا ، يقوم مقامه سائر الأمارات الشرعية التي جعلها الشارع بمنزلة الواقع ، فكما أنّ العلم طريق وجداني فالاستصحاب أيضا في محلّه ومجراه طريق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 العلم موضوعا ، فتارة يعتبر على وجه يكون لوصف العلم مدخل فيه ، وأخرى على وجه عامّ لا مدخل لخصوص وصف العلم القائم بالنفس فيه ، فعلى الأوّل لا يصحّ قيام دليل غير علمي مقامه ؛ لانتفاء موضوع الحكم على تقديره ، وعلى الثاني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الثمرة فيما لو نذر شخص على تقدير علمه بحياة زيد إعطاء درهم ، فعلى الأوّل لا يجب عليه التصدّق لو علمه بالاستصحاب ، أو قامت له البيّنة مع انتفاء العلم حقيقة في الصورتين كما أنّه لا يجب عليه التصدّق فيما لو اعتبر العلم خاصّا كالحاصل من الإبصار على 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يجب عليه التصدّق في الصورة المذكورة ؛ لحصول موضوع الحكم على تقديره ، فالمعيار في التميز </w:t>
      </w:r>
      <w:r>
        <w:rPr>
          <w:rStyle w:val="FootnoteAnchor"/>
          <w:rtl w:val="true"/>
        </w:rPr>
        <w:footnoteReference w:id="32"/>
      </w:r>
      <w:r>
        <w:rPr>
          <w:rFonts w:ascii="Amiri" w:hAnsi="Amiri" w:eastAsia="Amiri" w:cs="Amiri"/>
          <w:color w:val="111111"/>
          <w:sz w:val="28"/>
          <w:sz w:val="28"/>
          <w:szCs w:val="28"/>
          <w:rtl w:val="true"/>
          <w:lang w:bidi="ar-SA"/>
        </w:rPr>
        <w:t>بين الموضوعات المترتّبة عليها الآثار الشرعية هو الدليل ، فلا بدّ من الرجوع إليه في تميزها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 في كون العلم طريقا أو موضوعا بواسطة اشتباه جهة القضية بموضوعها </w:t>
      </w:r>
    </w:p>
    <w:p>
      <w:pPr>
        <w:pStyle w:val="BookText"/>
        <w:rPr/>
      </w:pPr>
      <w:r>
        <w:rPr>
          <w:rFonts w:ascii="Amiri" w:hAnsi="Amiri" w:eastAsia="Amiri" w:cs="Amiri"/>
          <w:color w:val="111111"/>
          <w:sz w:val="28"/>
          <w:sz w:val="28"/>
          <w:szCs w:val="28"/>
          <w:rtl w:val="true"/>
          <w:lang w:bidi="ar-SA"/>
        </w:rPr>
        <w:t xml:space="preserve">على ما أشرنا إليه ، وعلى تقدير كونه موضوعا ، في </w:t>
      </w:r>
      <w:r>
        <w:rPr>
          <w:rStyle w:val="FootnoteAnchor"/>
          <w:rtl w:val="true"/>
        </w:rPr>
        <w:footnoteReference w:id="33"/>
      </w:r>
      <w:r>
        <w:rPr>
          <w:rFonts w:ascii="Amiri" w:hAnsi="Amiri" w:eastAsia="Amiri" w:cs="Amiri"/>
          <w:color w:val="111111"/>
          <w:sz w:val="28"/>
          <w:sz w:val="28"/>
          <w:szCs w:val="28"/>
          <w:rtl w:val="true"/>
          <w:lang w:bidi="ar-SA"/>
        </w:rPr>
        <w:t>أنّه موضوع على الوجه الأوّل ، أو على الوجه الثاني فكثيرا ما يقع لفظ العلم واليقين في الدليل الذي يدلّ على الحكم الشرعي ، فيتردّد الأمر بين أنّ ذكر الشارع له هل هو من جهة تأكيده لحكم العقل من كونه طريقا إلى الواقع ، أو من جهة اعتباره موضوعا؟ وعلى تقديره لا يعلم الوجه في موضوعيته على الاحتمالين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قد ورد في بعض أخبار الاستصحاب لفظ اليقين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ورد في بعض الروايات </w:t>
      </w:r>
      <w:r>
        <w:rPr>
          <w:rStyle w:val="FootnoteAnchor"/>
          <w:rtl w:val="true"/>
        </w:rPr>
        <w:footnoteReference w:id="34"/>
      </w:r>
      <w:r>
        <w:rPr>
          <w:rFonts w:ascii="Amiri" w:hAnsi="Amiri" w:eastAsia="Amiri" w:cs="Amiri"/>
          <w:color w:val="111111"/>
          <w:sz w:val="28"/>
          <w:sz w:val="28"/>
          <w:szCs w:val="28"/>
          <w:rtl w:val="true"/>
          <w:lang w:bidi="ar-SA"/>
        </w:rPr>
        <w:t>تعليق جواز الصلاة على استيقان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ورد في بعض أخبار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فاشهد أودع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مشيرا عليه‌السلام به إلى الشمس ، فربّما يشتبه الأمر بين اعتبار العلم فيها على وجه الطريقية أو على الوجه الموضوعية ، وعلى تقديرها بين وجهيها ، والترجيح فيها موكول على نظر المجتهد فلا ينضبط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بين الوجوه تظهر فيما عرفت من جواز التعدّي إلى سائر الأمارات ، ففي الشهادة لو قلنا بأنّ اعتبار العلم إنّما هو من جهة خصوصية في نفس العلم طريقا وموضوعا ، فلا يجوز التعدّي إلى غيره ، فلا يجوز الشهادة بالاستصحاب ، ولا يجوز بالحدس ؛ إذ لعلّها تختصّ بالحسيّات ، ولو قلنا بعدمه ، فهو مؤكّد لحكم العقل ، فيجوز على تقديره الشهادة بالاستصحاب والحدس إلى غير ذلك من الثمرات على ما لا يخفى</w:t>
      </w:r>
      <w:r>
        <w:rPr>
          <w:rFonts w:eastAsia="Amiri" w:cs="Amiri" w:ascii="Amiri" w:hAnsi="Amiri"/>
          <w:color w:val="111111"/>
          <w:sz w:val="28"/>
          <w:szCs w:val="28"/>
          <w:rtl w:val="true"/>
          <w:lang w:bidi="ar-SA"/>
        </w:rPr>
        <w:t xml:space="preserve">. </w:t>
      </w:r>
      <w:bookmarkStart w:id="12" w:name="pg16273_211383"/>
    </w:p>
    <w:p>
      <w:pPr>
        <w:pStyle w:val="Heading3"/>
        <w:numPr>
          <w:ilvl w:val="2"/>
          <w:numId w:val="1"/>
        </w:numPr>
        <w:rPr/>
      </w:pPr>
      <w:bookmarkStart w:id="13" w:name="__RefHeading___Toc4803466_1280447820"/>
      <w:bookmarkStart w:id="14" w:name="_Toc5"/>
      <w:bookmarkEnd w:id="12"/>
      <w:bookmarkEnd w:id="13"/>
      <w:r>
        <w:rPr>
          <w:rtl w:val="true"/>
        </w:rPr>
        <w:t xml:space="preserve">وينبغي التنبيه على أمور </w:t>
      </w:r>
      <w:r>
        <w:rPr>
          <w:rtl w:val="true"/>
        </w:rPr>
        <w:t>:</w:t>
      </w:r>
      <w:bookmarkEnd w:id="14"/>
    </w:p>
    <w:p>
      <w:pPr>
        <w:pStyle w:val="Heading4"/>
        <w:numPr>
          <w:ilvl w:val="3"/>
          <w:numId w:val="1"/>
        </w:numPr>
        <w:rPr/>
      </w:pPr>
      <w:bookmarkStart w:id="15" w:name="__RefHeading___Toc4803468_1280447820"/>
      <w:bookmarkStart w:id="16" w:name="_Toc6"/>
      <w:bookmarkEnd w:id="15"/>
      <w:r>
        <w:rPr>
          <w:rtl w:val="true"/>
        </w:rPr>
        <w:t xml:space="preserve">[ </w:t>
      </w:r>
      <w:r>
        <w:rPr>
          <w:rtl w:val="true"/>
        </w:rPr>
        <w:t xml:space="preserve">الأمر </w:t>
      </w:r>
      <w:r>
        <w:rPr>
          <w:rtl w:val="true"/>
        </w:rPr>
        <w:t xml:space="preserve">] </w:t>
      </w:r>
      <w:r>
        <w:rPr>
          <w:rtl w:val="true"/>
        </w:rPr>
        <w:t xml:space="preserve">الأوّل </w:t>
      </w:r>
      <w:r>
        <w:rPr>
          <w:rtl w:val="true"/>
        </w:rPr>
        <w:t>:</w:t>
      </w:r>
      <w:bookmarkEnd w:id="16"/>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6"/>
      </w:r>
      <w:r>
        <w:rPr>
          <w:rFonts w:ascii="Amiri" w:hAnsi="Amiri" w:eastAsia="Amiri" w:cs="Amiri"/>
          <w:color w:val="111111"/>
          <w:sz w:val="28"/>
          <w:sz w:val="28"/>
          <w:szCs w:val="28"/>
          <w:rtl w:val="true"/>
          <w:lang w:bidi="ar-SA"/>
        </w:rPr>
        <w:t xml:space="preserve">تبعا لجماعة أنّ العلم بوجوب شيء أو حرمته بمجرّده يوجب الثواب والعقاب في صورتي الانقياد والتجرّي وإن لم يكن ما علمه موافقا لما في نفس الأمر وحاقّ الواقع ، وقد يظهر من بعضهم </w:t>
      </w:r>
      <w:r>
        <w:rPr>
          <w:rStyle w:val="FootnoteAnchor"/>
          <w:rtl w:val="true"/>
        </w:rPr>
        <w:footnoteReference w:id="37"/>
      </w:r>
      <w:r>
        <w:rPr>
          <w:rFonts w:ascii="Amiri" w:hAnsi="Amiri" w:eastAsia="Amiri" w:cs="Amiri"/>
          <w:color w:val="111111"/>
          <w:sz w:val="28"/>
          <w:sz w:val="28"/>
          <w:szCs w:val="28"/>
          <w:rtl w:val="true"/>
          <w:lang w:bidi="ar-SA"/>
        </w:rPr>
        <w:t xml:space="preserve">خلاف ذلك مطلقا ، وعن بعض آخر </w:t>
      </w:r>
      <w:r>
        <w:rPr>
          <w:rStyle w:val="FootnoteAnchor"/>
          <w:rtl w:val="true"/>
        </w:rPr>
        <w:footnoteReference w:id="38"/>
      </w:r>
      <w:r>
        <w:rPr>
          <w:rFonts w:ascii="Amiri" w:hAnsi="Amiri" w:eastAsia="Amiri" w:cs="Amiri"/>
          <w:color w:val="111111"/>
          <w:sz w:val="28"/>
          <w:sz w:val="28"/>
          <w:szCs w:val="28"/>
          <w:rtl w:val="true"/>
          <w:lang w:bidi="ar-SA"/>
        </w:rPr>
        <w:t>التفصيل بين ما إذا قطع بوجوب شيء محرّم ، أو حرمة شيء واجب ، فقال بعدم ترتّب الثواب والعقاب ، وبين ما إذا قطع بوجوب شيء مباح أو حرمته ، فحكم بترتّبه مستندا في ذلك إلى تعارض مصلحة ترك التجرّي مع المفسدة المترتّبة على فعل الحرام فيما إذا علم بوجوب شيء محرّم مثلا ، وأمّا إذا لم يكن في الفعل مفسدة كأن يكون مباحا أو مكروها ، فلا معارض لمصلحة ترك التجرّي ، فيترتّب الثواب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سهو ؛ إذ لا ينبغي الفرق المذكور بعد ما فرض من أنّ الاعتقاد يوجب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المصلحة الفعلية الناشئة عن </w:t>
      </w:r>
      <w:r>
        <w:rPr>
          <w:rStyle w:val="FootnoteAnchor"/>
          <w:rtl w:val="true"/>
        </w:rPr>
        <w:footnoteReference w:id="40"/>
      </w:r>
      <w:r>
        <w:rPr>
          <w:rFonts w:ascii="Amiri" w:hAnsi="Amiri" w:eastAsia="Amiri" w:cs="Amiri"/>
          <w:color w:val="111111"/>
          <w:sz w:val="28"/>
          <w:sz w:val="28"/>
          <w:szCs w:val="28"/>
          <w:rtl w:val="true"/>
          <w:lang w:bidi="ar-SA"/>
        </w:rPr>
        <w:t>اعتقاد الوجوب في الفعل ، وحيث إنّ التكليف بالواقع بعد اعتقاد الخلاف ساقط ، فلا مفسدة في فعله فعلا ، فلا يصلح معارضا ، وذلك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عدم ترتّب الثواب والعقاب المترتّبين على نفس فعل الواجب والحرام الواقعيين في صورتي الانقياد والتجرّي ؛ إذ المفروض ترتّبهما على الواجب والحرام الواقعيين ، وانتفاؤهما معلوم بالفرض أيضا ، كما أنّه لا ريب في استحسان فعل المنقاد عند العقلاء ، وعدّهم في عداد المحسنين ، ومدحهم إيّاه ؛ لكشفه عندهم عن حسن سريرته وصفاء طينته ، واستقباح فعل المتجرّي عندهم ، وذمّهم له مستكشفين بذلك عن سوء السريرة وخبث الباطن ، كيف وقد استقرّ طريقتهم في التحسين والتقبيح فيما لو عزم على الفعل والترك إذا اعتقد وجوبه أو حرمته ،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الشأن في أنّ الإتيان بفعل علمنا وجوبه علما غير مطابق للواقع من حيث كونه معلوما هل يوجب فعله ثوابا ، و </w:t>
      </w:r>
      <w:r>
        <w:rPr>
          <w:rStyle w:val="FootnoteAnchor"/>
          <w:rtl w:val="true"/>
        </w:rPr>
        <w:footnoteReference w:id="41"/>
      </w:r>
      <w:r>
        <w:rPr>
          <w:rFonts w:ascii="Amiri" w:hAnsi="Amiri" w:eastAsia="Amiri" w:cs="Amiri"/>
          <w:color w:val="111111"/>
          <w:sz w:val="28"/>
          <w:sz w:val="28"/>
          <w:szCs w:val="28"/>
          <w:rtl w:val="true"/>
          <w:lang w:bidi="ar-SA"/>
        </w:rPr>
        <w:t>تركه عقابا أم لا؟ وحينئذ يمكن منعه ؛ لعدم الدليل على ترتّبه ، وإنّما المسلّم منه هو ما عرفت من المدح والذمّ والتحسين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يستند </w:t>
      </w:r>
      <w:r>
        <w:rPr>
          <w:rStyle w:val="FootnoteAnchor"/>
          <w:rtl w:val="true"/>
        </w:rPr>
        <w:footnoteReference w:id="42"/>
      </w:r>
      <w:r>
        <w:rPr>
          <w:rFonts w:ascii="Amiri" w:hAnsi="Amiri" w:eastAsia="Amiri" w:cs="Amiri"/>
          <w:color w:val="111111"/>
          <w:sz w:val="28"/>
          <w:sz w:val="28"/>
          <w:szCs w:val="28"/>
          <w:rtl w:val="true"/>
          <w:lang w:bidi="ar-SA"/>
        </w:rPr>
        <w:t>للقول بحرمة التجرّي إلى تساوي فاعل الحرام واقعا ، وفاعل الحرام اعتقادا من كلّ جهة إلاّ فيما ليس مقدورا للمكلّف وهو مصادفة الواقع في الأوّل وعدمها في الثاني ، وحينئذ فإمّا أن يتعلّق العقاب بهما جميعا ، أو بالأوّل دون الثاني ، والأوّل هو المطلوب ، والثاني باطل ؛ لمنافاته لما تقرّر عند العدلية من عدم جواز الظلم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باختيار الشقّ الثاني </w:t>
      </w:r>
      <w:r>
        <w:rPr>
          <w:rStyle w:val="FootnoteAnchor"/>
          <w:rtl w:val="true"/>
        </w:rPr>
        <w:footnoteReference w:id="43"/>
      </w:r>
      <w:r>
        <w:rPr>
          <w:rFonts w:ascii="Amiri" w:hAnsi="Amiri" w:eastAsia="Amiri" w:cs="Amiri"/>
          <w:color w:val="111111"/>
          <w:sz w:val="28"/>
          <w:sz w:val="28"/>
          <w:szCs w:val="28"/>
          <w:rtl w:val="true"/>
          <w:lang w:bidi="ar-SA"/>
        </w:rPr>
        <w:t xml:space="preserve">، ولا ينافي ما هو المقرّر عندنا ؛ فإنّ الإتيان بالمحرّم الواقعي يستند إلى اختياره ، فيصحّ العقاب عليه دون الآخر ؛ لعدم </w:t>
      </w:r>
    </w:p>
    <w:p>
      <w:pPr>
        <w:pStyle w:val="BookText"/>
        <w:rPr/>
      </w:pPr>
      <w:r>
        <w:rPr>
          <w:rFonts w:ascii="Amiri" w:hAnsi="Amiri" w:eastAsia="Amiri" w:cs="Amiri"/>
          <w:color w:val="111111"/>
          <w:sz w:val="28"/>
          <w:sz w:val="28"/>
          <w:szCs w:val="28"/>
          <w:rtl w:val="true"/>
          <w:lang w:bidi="ar-SA"/>
        </w:rPr>
        <w:t xml:space="preserve">صدور المحرّم الواقعي منه وإن كان مستندا إلى أمر خارج عن إرادته ، ولنعم ما قيل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شكر اين نعمت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مردم آزارى ندارم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فإنّ عدم القدرة أيضا نوع من العصمة ، وعلى مثل هذا الوجه يبنى في الجواب عن الإشكال المشهور بينهم في أنّ للمصيب أجرين ، وللمخطئ أجرا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الاستدلال بوجه آخر بأنّ اللازم على ذلك التقدير مساواتهما في كيفية العقاب وكمّيته ، بل اللازم على هذا التقدير مساواة الفاعل مع العازم كما لا يخفى ، مع أنّ فساد اللازم ممّا لا يكاد يخفى على أوائل العقول ، وقد أشعر بذلك مولانا أمير المؤمنين عليه‌السلام في بعض خطبه المنقول في نهج البلاغة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الراضي بفعل قوم كالداخل فيه معهم ، وعلى الداخل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العزم ، وإثم الدخول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طريق النجاة ، فيحسن الإتيان </w:t>
      </w:r>
      <w:r>
        <w:rPr>
          <w:rStyle w:val="FootnoteAnchor"/>
          <w:rtl w:val="true"/>
        </w:rPr>
        <w:footnoteReference w:id="46"/>
      </w:r>
      <w:r>
        <w:rPr>
          <w:rFonts w:ascii="Amiri" w:hAnsi="Amiri" w:eastAsia="Amiri" w:cs="Amiri"/>
          <w:color w:val="111111"/>
          <w:sz w:val="28"/>
          <w:sz w:val="28"/>
          <w:szCs w:val="28"/>
          <w:rtl w:val="true"/>
          <w:lang w:bidi="ar-SA"/>
        </w:rPr>
        <w:t>بالفعل عند اعتقاد وجوبه ، وتركه في العكس ، إلاّ أنّه لا يغني من جوع ؛ إذ غاية ما في الباب إثبات الاستحباب وليس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على حرمة التجرّي بأنّه على تقديره فاستحقاق الذمّ والعقاب ممّا لا ريب فيه كما يشهد به الوجدان ، واستقرّ بناء العقلاء عليه أيضا وفيه الكفاية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ورد في جملة من الأخبار الدالّة على حرمة العزم على المعصية ، وفي النبوي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من همّ بها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والروايات </w:t>
      </w:r>
      <w:r>
        <w:rPr>
          <w:rStyle w:val="FootnoteAnchor"/>
          <w:rtl w:val="true"/>
        </w:rPr>
        <w:footnoteReference w:id="48"/>
      </w:r>
      <w:r>
        <w:rPr>
          <w:rFonts w:ascii="Amiri" w:hAnsi="Amiri" w:eastAsia="Amiri" w:cs="Amiri"/>
          <w:color w:val="111111"/>
          <w:sz w:val="28"/>
          <w:sz w:val="28"/>
          <w:szCs w:val="28"/>
          <w:rtl w:val="true"/>
          <w:lang w:bidi="ar-SA"/>
        </w:rPr>
        <w:t xml:space="preserve">الدالّة على العفو عن العزم المحرّم ؛ إذ العفو فرع الاستحقاق ، ففي المقام يثبت الاستحقاق بطريق أولى ، وبعد الثبوت لا دليل </w:t>
      </w:r>
    </w:p>
    <w:p>
      <w:pPr>
        <w:pStyle w:val="BookText"/>
        <w:rPr/>
      </w:pPr>
      <w:r>
        <w:rPr>
          <w:rFonts w:ascii="Amiri" w:hAnsi="Amiri" w:eastAsia="Amiri" w:cs="Amiri"/>
          <w:color w:val="111111"/>
          <w:sz w:val="28"/>
          <w:sz w:val="28"/>
          <w:szCs w:val="28"/>
          <w:rtl w:val="true"/>
          <w:lang w:bidi="ar-SA"/>
        </w:rPr>
        <w:t>على العفو فيه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المتجرّي لم يصدر منه ما يزيد على العزم ؛ إذ المفروض عدم تحقّق الحرام في فعله ، فأخبار العفو ناهضة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9"/>
      </w:r>
      <w:r>
        <w:rPr>
          <w:rFonts w:ascii="Amiri" w:hAnsi="Amiri" w:eastAsia="Amiri" w:cs="Amiri"/>
          <w:color w:val="111111"/>
          <w:sz w:val="28"/>
          <w:sz w:val="28"/>
          <w:szCs w:val="28"/>
          <w:rtl w:val="true"/>
          <w:lang w:bidi="ar-SA"/>
        </w:rPr>
        <w:t xml:space="preserve">مجرّد عدم تحقّق الحرام لا يكفي في عدم تحقّق فعل منه غير العزم ؛ فإنّه يحتمل ترتّب العقاب على تشبيهه بالعاصي كما هو الوجه أيضا ، ولذلك ترى الشهيد رحمه‌اللّه في القواعد مع حكمه بالعفو في العزم تنظّر في المقام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تؤثّر نيّة المعصية ذمّا ولا عقابا ما لم يتلبّس بها ، وهو ممّا ثبت في الأخبار العفو عنه ، ولو نوى المعصية وتلبّس بما يراه معصية ، فظهر بخلافها ، ففي تأثير هذه النيّة نظر 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تصادف المعصي فيه ، صارت كنيّة مجرّدة وهي غير مؤاخذ بها ، ومن دلالتها على انتهاكه الحرمة والجرأة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الأصحاب أنّه لو شرب المباح متشبّها بشارب المسكر ، فعل حراما ، ولعلّه ليس بمجرّد النيّة بل بانضمام فعل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ويتصوّر محلّ النظر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امرأة في منزل غيره فظنّها </w:t>
      </w:r>
      <w:r>
        <w:rPr>
          <w:rStyle w:val="FootnoteAnchor"/>
          <w:rtl w:val="true"/>
        </w:rPr>
        <w:footnoteReference w:id="50"/>
      </w:r>
      <w:r>
        <w:rPr>
          <w:rFonts w:ascii="Amiri" w:hAnsi="Amiri" w:eastAsia="Amiri" w:cs="Amiri"/>
          <w:color w:val="111111"/>
          <w:sz w:val="28"/>
          <w:sz w:val="28"/>
          <w:szCs w:val="28"/>
          <w:rtl w:val="true"/>
          <w:lang w:bidi="ar-SA"/>
        </w:rPr>
        <w:t>أجنبية فأصابها ، فتبيّن أنّها زوجته ، أو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زوجته مظنّة </w:t>
      </w:r>
      <w:r>
        <w:rPr>
          <w:rStyle w:val="FootnoteAnchor"/>
          <w:rtl w:val="true"/>
        </w:rPr>
        <w:footnoteReference w:id="51"/>
      </w:r>
      <w:r>
        <w:rPr>
          <w:rFonts w:ascii="IRNazanin" w:hAnsi="IRNazanin" w:eastAsia="IRNazanin"/>
          <w:color w:val="111111"/>
          <w:sz w:val="28"/>
          <w:sz w:val="28"/>
          <w:szCs w:val="28"/>
          <w:rtl w:val="true"/>
          <w:lang w:bidi="fa-IR"/>
        </w:rPr>
        <w:t>أنّها حائض ، فبانت طاهرا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على طعام بيد غيره ، فأكل منها ، ثمّ تبيّن أنّه ملك الآكل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شاة بظنّها ملك الغير ، فظنّ العدوان ، فظهرت ملكيّته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قتل نفسا بظنّها معصومة ، فبانت مهدورة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أفاد قدس‌سره بأنّه قد 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بفسق متعاطي ذلك ؛ لدلالته </w:t>
      </w:r>
    </w:p>
    <w:p>
      <w:pPr>
        <w:pStyle w:val="BookText"/>
        <w:rPr/>
      </w:pPr>
      <w:r>
        <w:rPr>
          <w:rFonts w:ascii="Amiri" w:hAnsi="Amiri" w:eastAsia="Amiri" w:cs="Amiri"/>
          <w:color w:val="111111"/>
          <w:sz w:val="28"/>
          <w:sz w:val="28"/>
          <w:szCs w:val="28"/>
          <w:rtl w:val="true"/>
          <w:lang w:bidi="ar-SA"/>
        </w:rPr>
        <w:t>على عدم المبالاة بالمعاصي ، ويعاقب في الآخرة ما لم يتب عقابا متوسّطا بين عقاب الكبيرة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تحكّم وتخرّص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تقييده بأن لا يكون في مورد تكون الكبيرة مع الندم غير موجبة للفسق ؛ لندرة وقوعها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الغيب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ذكرنا أنّ القول بالعقاب على المتجرّي لا يخلو من </w:t>
      </w:r>
      <w:r>
        <w:rPr>
          <w:rStyle w:val="FootnoteAnchor"/>
          <w:rtl w:val="true"/>
        </w:rPr>
        <w:footnoteReference w:id="54"/>
      </w:r>
      <w:r>
        <w:rPr>
          <w:rFonts w:ascii="Amiri" w:hAnsi="Amiri" w:eastAsia="Amiri" w:cs="Amiri"/>
          <w:color w:val="111111"/>
          <w:sz w:val="28"/>
          <w:sz w:val="28"/>
          <w:szCs w:val="28"/>
          <w:rtl w:val="true"/>
          <w:lang w:bidi="ar-SA"/>
        </w:rPr>
        <w:t xml:space="preserve">قوّة ، وكذا القول بترتّب الثواب على المنقاد ، مضافا إلى الأخبار الواردة </w:t>
      </w:r>
      <w:r>
        <w:rPr>
          <w:rStyle w:val="FootnoteAnchor"/>
          <w:rtl w:val="true"/>
        </w:rPr>
        <w:footnoteReference w:id="55"/>
      </w:r>
      <w:r>
        <w:rPr>
          <w:rFonts w:ascii="Amiri" w:hAnsi="Amiri" w:eastAsia="Amiri" w:cs="Amiri"/>
          <w:color w:val="111111"/>
          <w:sz w:val="28"/>
          <w:sz w:val="28"/>
          <w:szCs w:val="28"/>
          <w:rtl w:val="true"/>
          <w:lang w:bidi="ar-SA"/>
        </w:rPr>
        <w:t>في التسامح ؛ فإنّ العمل بما بلغه لو كان ممّا يوجب الثواب وإن لم يكن كما بلغه ، فالمعتقد على وجه لا يحتمل الخلاف لو أتى بما اعتقده ، فهو أولى بأن يثاب ، أو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العزم على المعصية والطاعة ، والرضا بالمعصية والطاعة إذا وقعتا </w:t>
      </w:r>
      <w:r>
        <w:rPr>
          <w:rStyle w:val="FootnoteAnchor"/>
          <w:rtl w:val="true"/>
        </w:rPr>
        <w:footnoteReference w:id="56"/>
      </w:r>
      <w:r>
        <w:rPr>
          <w:rFonts w:ascii="Amiri" w:hAnsi="Amiri" w:eastAsia="Amiri" w:cs="Amiri"/>
          <w:color w:val="111111"/>
          <w:sz w:val="28"/>
          <w:sz w:val="28"/>
          <w:szCs w:val="28"/>
          <w:rtl w:val="true"/>
          <w:lang w:bidi="ar-SA"/>
        </w:rPr>
        <w:t xml:space="preserve">من الغير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 فهي ظاهرة في أنّ العزم أيضا معصية ، فمنها ما مرّ آنفا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خلّد أهل النار في النار ؛ لأنّ نيّاتهم كانت في الدنيا أن لو خلّدوا فيها أن يعصوا اللّه أبدا ، وإنّما خلّد أهل </w:t>
      </w:r>
    </w:p>
    <w:p>
      <w:pPr>
        <w:pStyle w:val="BookText"/>
        <w:rPr/>
      </w:pPr>
      <w:r>
        <w:rPr>
          <w:rFonts w:ascii="Amiri" w:hAnsi="Amiri" w:eastAsia="Amiri" w:cs="Amiri"/>
          <w:color w:val="111111"/>
          <w:sz w:val="28"/>
          <w:sz w:val="28"/>
          <w:szCs w:val="28"/>
          <w:rtl w:val="true"/>
          <w:lang w:bidi="ar-SA"/>
        </w:rPr>
        <w:t xml:space="preserve">الجنّة في الجنّة ؛ لأنّ نيّاتهم كانت في الدنيا أن لو بقوا أن يطيعوا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فبالنيّات خلّد هؤلاء وهؤلاء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المرء مجزيّ بعمله إن خيرا فخير ، وإن شرّا فشرّ </w:t>
      </w:r>
      <w:r>
        <w:rPr>
          <w:rStyle w:val="FootnoteAnchor"/>
          <w:rtl w:val="true"/>
        </w:rPr>
        <w:footnoteReference w:id="58"/>
      </w:r>
      <w:r>
        <w:rPr>
          <w:rFonts w:ascii="Amiri" w:hAnsi="Amiri" w:eastAsia="Amiri" w:cs="Amiri"/>
          <w:color w:val="111111"/>
          <w:sz w:val="28"/>
          <w:sz w:val="28"/>
          <w:szCs w:val="28"/>
          <w:rtl w:val="true"/>
          <w:lang w:bidi="ar-SA"/>
        </w:rPr>
        <w:t>، إلى غير ذلك إلاّ أنّها تنافي ظواهر جملة من الأخبار الدالّة على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الفضيل </w:t>
      </w:r>
      <w:r>
        <w:rPr>
          <w:rStyle w:val="FootnoteAnchor"/>
          <w:rtl w:val="true"/>
        </w:rPr>
        <w:footnoteReference w:id="59"/>
      </w:r>
      <w:r>
        <w:rPr>
          <w:rFonts w:ascii="Amiri" w:hAnsi="Amiri" w:eastAsia="Amiri" w:cs="Amiri"/>
          <w:color w:val="111111"/>
          <w:sz w:val="28"/>
          <w:sz w:val="28"/>
          <w:szCs w:val="28"/>
          <w:rtl w:val="true"/>
          <w:lang w:bidi="ar-SA"/>
        </w:rPr>
        <w:t xml:space="preserve">بن عثمان المرادي سمع أبا عبد اللّه عليه‌السلام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لم يهلك على اللّه عزّ وجلّ </w:t>
      </w:r>
      <w:r>
        <w:rPr>
          <w:rStyle w:val="FootnoteAnchor"/>
          <w:rtl w:val="true"/>
        </w:rPr>
        <w:footnoteReference w:id="60"/>
      </w:r>
      <w:r>
        <w:rPr>
          <w:rFonts w:ascii="Amiri" w:hAnsi="Amiri" w:eastAsia="Amiri" w:cs="Amiri"/>
          <w:color w:val="111111"/>
          <w:sz w:val="28"/>
          <w:sz w:val="28"/>
          <w:szCs w:val="28"/>
          <w:rtl w:val="true"/>
          <w:lang w:bidi="ar-SA"/>
        </w:rPr>
        <w:t xml:space="preserve">بعدهنّ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الحسنة فيعملها فإن هو لم يعملها ، كتب اللّه عزّ وجل له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عملها ، كتب اللّه له عشرا ، 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يعملها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لم يعملها ، لم يكتب عليه شيء ، وإن هو عملها ، أمهل </w:t>
      </w:r>
      <w:r>
        <w:rPr>
          <w:rStyle w:val="FootnoteAnchor"/>
          <w:rtl w:val="true"/>
        </w:rPr>
        <w:footnoteReference w:id="61"/>
      </w:r>
      <w:r>
        <w:rPr>
          <w:rFonts w:ascii="IRNazanin" w:hAnsi="IRNazanin" w:eastAsia="IRNazanin"/>
          <w:color w:val="111111"/>
          <w:sz w:val="28"/>
          <w:sz w:val="28"/>
          <w:szCs w:val="28"/>
          <w:rtl w:val="true"/>
          <w:lang w:bidi="fa-IR"/>
        </w:rPr>
        <w:t xml:space="preserve">سبع ساعات </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بأنّ ما يتعلّق بأصول الدين لا يغتفر فيه نيّة المعصية ، وما يتعلّق بغيرها من الفرعيّات 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وبوجه آخر هو أنّ القاصد للمعصية لو نواها وكان تركها لأجل أمر خارج عن مقدرته </w:t>
      </w:r>
      <w:r>
        <w:rPr>
          <w:rStyle w:val="FootnoteAnchor"/>
          <w:rtl w:val="true"/>
        </w:rPr>
        <w:footnoteReference w:id="63"/>
      </w:r>
      <w:r>
        <w:rPr>
          <w:rFonts w:ascii="Amiri" w:hAnsi="Amiri" w:eastAsia="Amiri" w:cs="Amiri"/>
          <w:color w:val="111111"/>
          <w:sz w:val="28"/>
          <w:sz w:val="28"/>
          <w:szCs w:val="28"/>
          <w:rtl w:val="true"/>
          <w:lang w:bidi="ar-SA"/>
        </w:rPr>
        <w:t>كالموت ونحوه ، فلا يغتفر ، وإن تركها باختياره ، فيغتفر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الحال في قاصد الطاعة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الرضا على فعل المعصية والطاعة ، فهو كما عرفت فيما نقلناه عن نهج البلاغة </w:t>
      </w:r>
      <w:r>
        <w:rPr>
          <w:rStyle w:val="FootnoteAnchor"/>
          <w:rtl w:val="true"/>
        </w:rPr>
        <w:footnoteReference w:id="64"/>
      </w:r>
      <w:r>
        <w:rPr>
          <w:rFonts w:ascii="Amiri" w:hAnsi="Amiri" w:eastAsia="Amiri" w:cs="Amiri"/>
          <w:color w:val="111111"/>
          <w:sz w:val="28"/>
          <w:sz w:val="28"/>
          <w:szCs w:val="28"/>
          <w:rtl w:val="true"/>
          <w:lang w:bidi="ar-SA"/>
        </w:rPr>
        <w:t>، فحاله حال العاصي والمطيع ؛ ويؤيّده بعض فقرات الزيارات المأثورة عنهم عليهم‌السلام</w:t>
      </w:r>
      <w:r>
        <w:rPr>
          <w:rFonts w:eastAsia="Amiri" w:cs="Amiri" w:ascii="Amiri" w:hAnsi="Amiri"/>
          <w:color w:val="111111"/>
          <w:sz w:val="28"/>
          <w:szCs w:val="28"/>
          <w:rtl w:val="true"/>
          <w:lang w:bidi="ar-SA"/>
        </w:rPr>
        <w:t xml:space="preserve">. </w:t>
      </w:r>
      <w:bookmarkStart w:id="17" w:name="pg16273_211389"/>
    </w:p>
    <w:p>
      <w:pPr>
        <w:pStyle w:val="Heading4"/>
        <w:numPr>
          <w:ilvl w:val="3"/>
          <w:numId w:val="1"/>
        </w:numPr>
        <w:rPr/>
      </w:pPr>
      <w:bookmarkStart w:id="18" w:name="__RefHeading___Toc4803470_1280447820"/>
      <w:bookmarkStart w:id="19" w:name="_Toc7"/>
      <w:bookmarkEnd w:id="17"/>
      <w:bookmarkEnd w:id="18"/>
      <w:r>
        <w:rPr>
          <w:rtl w:val="true"/>
        </w:rPr>
        <w:t xml:space="preserve">الامر الثاني </w:t>
      </w:r>
      <w:r>
        <w:rPr>
          <w:rtl w:val="true"/>
        </w:rPr>
        <w:t>:</w:t>
      </w:r>
      <w:bookmarkEnd w:id="19"/>
    </w:p>
    <w:p>
      <w:pPr>
        <w:pStyle w:val="BookText"/>
        <w:rPr/>
      </w:pPr>
      <w:r>
        <w:rPr>
          <w:rFonts w:ascii="Amiri" w:hAnsi="Amiri" w:eastAsia="Amiri" w:cs="Amiri"/>
          <w:color w:val="111111"/>
          <w:sz w:val="28"/>
          <w:sz w:val="28"/>
          <w:szCs w:val="28"/>
          <w:rtl w:val="true"/>
          <w:lang w:bidi="ar-SA"/>
        </w:rPr>
        <w:t xml:space="preserve">قد تقرّر فيما تقدّم أنّ العلم فيما لو كان طريقا إلى الواقع ، فهو حجّة بنفسه لا يحتاج إلى جعل بل هو منجعل بنفسه ، فلا فرق بين أفراد العلم ، ولا المعلوم إلاّ أنّه قد يظهر من جماعة من أصحابنا المنتسبين إلى الأخبار ما يخالف ذلك ، فقد قال أمين الأخبارية في الفوائد المدنية في عداد ما استدلّ به على انحصار الدليل فيما ليس من ضروريات الدين في السماع عن الصادقين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التاسع مبني على دقيقة </w:t>
      </w:r>
      <w:r>
        <w:rPr>
          <w:rStyle w:val="FootnoteAnchor"/>
          <w:rtl w:val="true"/>
        </w:rPr>
        <w:footnoteReference w:id="65"/>
      </w:r>
      <w:r>
        <w:rPr>
          <w:rFonts w:ascii="Amiri" w:hAnsi="Amiri" w:eastAsia="Amiri" w:cs="Amiri"/>
          <w:color w:val="111111"/>
          <w:sz w:val="28"/>
          <w:sz w:val="28"/>
          <w:szCs w:val="28"/>
          <w:rtl w:val="true"/>
          <w:lang w:bidi="ar-SA"/>
        </w:rPr>
        <w:t xml:space="preserve">شريفة تفطّنت بها بتوفيق اللّه وهي أنّ العلوم النظرية قسمان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ينتهي إلى مادّة هي قريبة من الإحساس ، ومن هذا </w:t>
      </w:r>
      <w:r>
        <w:rPr>
          <w:rStyle w:val="FootnoteAnchor"/>
          <w:rtl w:val="true"/>
        </w:rPr>
        <w:footnoteReference w:id="66"/>
      </w:r>
      <w:r>
        <w:rPr>
          <w:rFonts w:ascii="Amiri" w:hAnsi="Amiri" w:eastAsia="Amiri" w:cs="Amiri"/>
          <w:color w:val="111111"/>
          <w:sz w:val="28"/>
          <w:sz w:val="28"/>
          <w:szCs w:val="28"/>
          <w:rtl w:val="true"/>
          <w:lang w:bidi="ar-SA"/>
        </w:rPr>
        <w:t xml:space="preserve">علم الهندسة والحساب وأكثر أبواب المنطق ، وهذا القسم لا يقع فيه الاختلاف بين العلماء والخطأ في نتائج الأفكار ، والسبب فيه أنّ الخطأ في الفكر إمّا من جهة الصورة ، أو من جهة المادّة </w:t>
      </w:r>
      <w:r>
        <w:rPr>
          <w:rStyle w:val="FootnoteAnchor"/>
          <w:rtl w:val="true"/>
        </w:rPr>
        <w:footnoteReference w:id="6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والخطأ في الصورة </w:t>
      </w:r>
      <w:r>
        <w:rPr>
          <w:rStyle w:val="FootnoteAnchor"/>
          <w:rtl w:val="true"/>
        </w:rPr>
        <w:footnoteReference w:id="68"/>
      </w:r>
      <w:r>
        <w:rPr>
          <w:rFonts w:ascii="Amiri" w:hAnsi="Amiri" w:eastAsia="Amiri" w:cs="Amiri"/>
          <w:color w:val="111111"/>
          <w:sz w:val="28"/>
          <w:sz w:val="28"/>
          <w:szCs w:val="28"/>
          <w:rtl w:val="true"/>
          <w:lang w:bidi="ar-SA"/>
        </w:rPr>
        <w:t xml:space="preserve">لا يقع من العلماء ؛ لأنّ معرفة الصورة من الأمور الواضحة عند الأذهان المستقيمة </w:t>
      </w:r>
      <w:r>
        <w:rPr>
          <w:rStyle w:val="FootnoteAnchor"/>
          <w:rtl w:val="true"/>
        </w:rPr>
        <w:footnoteReference w:id="69"/>
      </w:r>
      <w:r>
        <w:rPr>
          <w:rFonts w:ascii="Amiri" w:hAnsi="Amiri" w:eastAsia="Amiri" w:cs="Amiri"/>
          <w:color w:val="111111"/>
          <w:sz w:val="28"/>
          <w:sz w:val="28"/>
          <w:szCs w:val="28"/>
          <w:rtl w:val="true"/>
          <w:lang w:bidi="ar-SA"/>
        </w:rPr>
        <w:t>، والخطأ من جهة المادّة لا يتصوّر في هذه العلوم ؛ لقرب مادّة الموادّ فيها إلى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ينتهي إلى مادّة هي بعيدة عن </w:t>
      </w:r>
      <w:r>
        <w:rPr>
          <w:rStyle w:val="FootnoteAnchor"/>
          <w:rtl w:val="true"/>
        </w:rPr>
        <w:footnoteReference w:id="70"/>
      </w:r>
      <w:r>
        <w:rPr>
          <w:rFonts w:ascii="Amiri" w:hAnsi="Amiri" w:eastAsia="Amiri" w:cs="Amiri"/>
          <w:color w:val="111111"/>
          <w:sz w:val="28"/>
          <w:sz w:val="28"/>
          <w:szCs w:val="28"/>
          <w:rtl w:val="true"/>
          <w:lang w:bidi="ar-SA"/>
        </w:rPr>
        <w:t xml:space="preserve">الإحساس ، ومن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الإلهية ، والطبيعية ، وعلم الكلام ، وعلم أصول الفقه ، والمسائل النظرية الفقهية ، وبعض القواعد المذكورة في كتب المنطق </w:t>
      </w:r>
      <w:r>
        <w:rPr>
          <w:rStyle w:val="FootnoteAnchor"/>
          <w:rtl w:val="true"/>
        </w:rPr>
        <w:footnoteReference w:id="71"/>
      </w:r>
      <w:r>
        <w:rPr>
          <w:rFonts w:ascii="Amiri" w:hAnsi="Amiri" w:eastAsia="Amiri" w:cs="Amiri"/>
          <w:color w:val="111111"/>
          <w:sz w:val="28"/>
          <w:sz w:val="28"/>
          <w:szCs w:val="28"/>
          <w:rtl w:val="true"/>
          <w:lang w:bidi="ar-SA"/>
        </w:rPr>
        <w:t xml:space="preserve">، ومن ثمّ وقع الاختلافات والمشاجرات بين الفلاسفة في الحكمة الإلهية والطبيعية ، وبين علماء الإسلام في أصول الفقه والمسائل الفقهية وعلم الكلام وغير ذلك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في ذلك أنّ القواعد هي </w:t>
      </w:r>
      <w:r>
        <w:rPr>
          <w:rStyle w:val="FootnoteAnchor"/>
          <w:rtl w:val="true"/>
        </w:rPr>
        <w:footnoteReference w:id="73"/>
      </w:r>
      <w:r>
        <w:rPr>
          <w:rFonts w:ascii="Amiri" w:hAnsi="Amiri" w:eastAsia="Amiri" w:cs="Amiri"/>
          <w:color w:val="111111"/>
          <w:sz w:val="28"/>
          <w:sz w:val="28"/>
          <w:szCs w:val="28"/>
          <w:rtl w:val="true"/>
          <w:lang w:bidi="ar-SA"/>
        </w:rPr>
        <w:t xml:space="preserve">عاصمة في </w:t>
      </w:r>
      <w:r>
        <w:rPr>
          <w:rStyle w:val="FootnoteAnchor"/>
          <w:rtl w:val="true"/>
        </w:rPr>
        <w:footnoteReference w:id="74"/>
      </w:r>
      <w:r>
        <w:rPr>
          <w:rFonts w:ascii="Amiri" w:hAnsi="Amiri" w:eastAsia="Amiri" w:cs="Amiri"/>
          <w:color w:val="111111"/>
          <w:sz w:val="28"/>
          <w:sz w:val="28"/>
          <w:szCs w:val="28"/>
          <w:rtl w:val="true"/>
          <w:lang w:bidi="ar-SA"/>
        </w:rPr>
        <w:t xml:space="preserve">الخطأ من جهة الصورة لا من جهة المادّة </w:t>
      </w:r>
      <w:r>
        <w:rPr>
          <w:rStyle w:val="FootnoteAnchor"/>
          <w:rtl w:val="true"/>
        </w:rPr>
        <w:footnoteReference w:id="75"/>
      </w:r>
      <w:r>
        <w:rPr>
          <w:rFonts w:ascii="Amiri" w:hAnsi="Amiri" w:eastAsia="Amiri" w:cs="Amiri"/>
          <w:color w:val="111111"/>
          <w:sz w:val="28"/>
          <w:sz w:val="28"/>
          <w:szCs w:val="28"/>
          <w:rtl w:val="true"/>
          <w:lang w:bidi="ar-SA"/>
        </w:rPr>
        <w:t xml:space="preserve">، وليس في المنطق قاعدة بها يعلم أنّ كلّ مادّة </w:t>
      </w:r>
      <w:r>
        <w:rPr>
          <w:rStyle w:val="FootnoteAnchor"/>
          <w:rtl w:val="true"/>
        </w:rPr>
        <w:footnoteReference w:id="76"/>
      </w:r>
      <w:r>
        <w:rPr>
          <w:rFonts w:ascii="Amiri" w:hAnsi="Amiri" w:eastAsia="Amiri" w:cs="Amiri"/>
          <w:color w:val="111111"/>
          <w:sz w:val="28"/>
          <w:sz w:val="28"/>
          <w:szCs w:val="28"/>
          <w:rtl w:val="true"/>
          <w:lang w:bidi="ar-SA"/>
        </w:rPr>
        <w:t xml:space="preserve">داخلة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الأقسام ، ومن المعلوم امتناع وضع قاعدة تكفل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اللّه روحه بعد ما استظهر وجوها من التأييد أورد على نفسه بأنّه لا فرق في ذلك بين العقليات والشرعيات ، واستشهد على ذلك بكثرة الاختلافات المشاهدة بين أهل الشرع في الأصوليين وفي الفروع الفقهية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نشأ ذلك من ضمّ مقدّمة باطلة بالمقدّمة النقلية الظنّية </w:t>
      </w:r>
    </w:p>
    <w:p>
      <w:pPr>
        <w:pStyle w:val="BookText"/>
        <w:rPr/>
      </w:pPr>
      <w:r>
        <w:rPr>
          <w:rFonts w:ascii="Amiri" w:hAnsi="Amiri" w:eastAsia="Amiri" w:cs="Amiri"/>
          <w:color w:val="111111"/>
          <w:sz w:val="28"/>
          <w:sz w:val="28"/>
          <w:szCs w:val="28"/>
          <w:rtl w:val="true"/>
          <w:lang w:bidi="ar-SA"/>
        </w:rPr>
        <w:t xml:space="preserve">أو القطعية ، ومن الموضحات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في المنطق قانون يعصم عن الخطأ في مادّة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المشّائين ادّعوا البداهة في أنّ تفريق ماء كوز إلى كوزين إعدام لشخص </w:t>
      </w:r>
      <w:r>
        <w:rPr>
          <w:rStyle w:val="FootnoteAnchor"/>
          <w:rtl w:val="true"/>
        </w:rPr>
        <w:footnoteReference w:id="77"/>
      </w:r>
      <w:r>
        <w:rPr>
          <w:rFonts w:ascii="Amiri" w:hAnsi="Amiri" w:eastAsia="Amiri" w:cs="Amiri"/>
          <w:color w:val="111111"/>
          <w:sz w:val="28"/>
          <w:sz w:val="28"/>
          <w:szCs w:val="28"/>
          <w:rtl w:val="true"/>
          <w:lang w:bidi="ar-SA"/>
        </w:rPr>
        <w:t>، وإحداث لشخصين آخرين ، وعلى هذه المقدّمة بنوا إثبات الهيولى ، والإشراقيين ادّعوا البداهة في أنّه ليس إعداما للشخص الأوّل ، وإنّما انعدمت صفة من صفاته وهو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مهّدناه من الدقيقة الشريفة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تمسّكنا بكلامهم عليهم‌السلام ، فقد عصمنا من الخطأ ، وإن تمسّكنا بغيره ، لم نعصم منه </w:t>
      </w:r>
      <w:r>
        <w:rPr>
          <w:rStyle w:val="FootnoteAnchor"/>
          <w:rtl w:val="true"/>
        </w:rPr>
        <w:footnoteReference w:id="78"/>
      </w:r>
      <w:r>
        <w:rPr>
          <w:rFonts w:ascii="Amiri" w:hAnsi="Amiri" w:eastAsia="Amiri" w:cs="Amiri"/>
          <w:color w:val="111111"/>
          <w:sz w:val="28"/>
          <w:sz w:val="28"/>
          <w:szCs w:val="28"/>
          <w:rtl w:val="true"/>
          <w:lang w:bidi="ar-SA"/>
        </w:rPr>
        <w:t xml:space="preserve">إلى غير ذلك ممّا ذكرناه في المقام ، والمستفاد من كلامه رحمه‌اللّه عدم حجّية إدراكات العقل في غير المحسوسات وما يكون مباديه قريبة من المحسوسات بل وفيما يقطع به على سبيل البداهة إذا لم يكن محسوسا أو قريبا منه </w:t>
      </w:r>
      <w:r>
        <w:rPr>
          <w:rStyle w:val="FootnoteAnchor"/>
          <w:rtl w:val="true"/>
        </w:rPr>
        <w:footnoteReference w:id="79"/>
      </w:r>
      <w:r>
        <w:rPr>
          <w:rFonts w:ascii="Amiri" w:hAnsi="Amiri" w:eastAsia="Amiri" w:cs="Amiri"/>
          <w:color w:val="111111"/>
          <w:sz w:val="28"/>
          <w:sz w:val="28"/>
          <w:szCs w:val="28"/>
          <w:rtl w:val="true"/>
          <w:lang w:bidi="ar-SA"/>
        </w:rPr>
        <w:t>إذا لم يكن ممّا توافقت عليه العقول ، وتسالمت فيه الأنظار ، وقد استحسنه في ذلك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السيّد الجزائري في أوائل شرح التهذيب بعد نقله </w:t>
      </w:r>
      <w:r>
        <w:rPr>
          <w:rStyle w:val="FootnoteAnchor"/>
          <w:rtl w:val="true"/>
        </w:rPr>
        <w:footnoteReference w:id="80"/>
      </w:r>
      <w:r>
        <w:rPr>
          <w:rFonts w:ascii="Amiri" w:hAnsi="Amiri" w:eastAsia="Amiri" w:cs="Amiri"/>
          <w:color w:val="111111"/>
          <w:sz w:val="28"/>
          <w:sz w:val="28"/>
          <w:szCs w:val="28"/>
          <w:rtl w:val="true"/>
          <w:lang w:bidi="ar-SA"/>
        </w:rPr>
        <w:t xml:space="preserve">كلام الأمين بطوله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يقتضي ما ذهب إليه ، ثمّ أورد على نفسه سؤالا بأنّه بعد ما عزلت العقل عن الحكم في الأصول والفروع ، فهل يبقى له حكم في مسألة من المسائل؟</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البديهيات ، فهي 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النظريات ، فإن وافقه النقل وحكم بحكمه </w:t>
      </w:r>
      <w:r>
        <w:rPr>
          <w:rStyle w:val="FootnoteAnchor"/>
          <w:rtl w:val="true"/>
        </w:rPr>
        <w:footnoteReference w:id="81"/>
      </w:r>
      <w:r>
        <w:rPr>
          <w:rFonts w:ascii="Amiri" w:hAnsi="Amiri" w:eastAsia="Amiri" w:cs="Amiri"/>
          <w:color w:val="111111"/>
          <w:sz w:val="28"/>
          <w:sz w:val="28"/>
          <w:szCs w:val="28"/>
          <w:rtl w:val="true"/>
          <w:lang w:bidi="ar-SA"/>
        </w:rPr>
        <w:t>، قدّم حكمه على النقل وحده ، وأمّا لو تعارض هو والنقلي ، فلا شكّ عندنا في ترجيح النقل وعدم الالتفات إلى حكم العقل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فرّع على هذا الدليل فروعا كثيرة وقضية كلامه حجّية العقل في البديهيات ، </w:t>
      </w:r>
    </w:p>
    <w:p>
      <w:pPr>
        <w:pStyle w:val="BookText"/>
        <w:rPr/>
      </w:pPr>
      <w:r>
        <w:rPr>
          <w:rFonts w:ascii="Amiri" w:hAnsi="Amiri" w:eastAsia="Amiri" w:cs="Amiri"/>
          <w:color w:val="111111"/>
          <w:sz w:val="28"/>
          <w:sz w:val="28"/>
          <w:szCs w:val="28"/>
          <w:rtl w:val="true"/>
          <w:lang w:bidi="ar-SA"/>
        </w:rPr>
        <w:t xml:space="preserve">وعدمها في النظريات إلاّ أن يعاضده حكم النقل ، فيرجّح به على الآخر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مراده من البديهي في المقام غير معلوم فإن أراد به ما يكون كذلك بحسب معتقده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كذلك عند غيره أو لا يعلم حال الغير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فيما اختاره من التحقيق في كلام الأمين بعدم حجّيته ، وإن أراد به البديهي عند جميع العقلاء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العلم بتحقّقه متعذّر غالبا إلاّ بطريق الحدس الذي هو أيضا من العلوم الضرورية التي حجّيتها موقوفة على الاتّفاق عليها فيما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ليس في اتّفاق الكلّ على بداهة شيء مزية اختصاص في الحجّية إلاّ من جهة توافق الأفهام ، والحدس بموافقته للواقع على ما هو طريق الكشف في الإجماع وحصوله في العلوم العقلية ممنوع ، ولو سلّم ، فليس أقوى من سائر العلوم الضرورية ، فهو في عرض غيرها ، فلا يصحّ جعلها معيارا في حجّية 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في ذلك المحقّق البحراني في الحدائق حيث حكى عنه كلاما أورده في الأنوار النعمانية يشبه كلامه المتقدّم ، فاستحسنه إلاّ أنّه يظهر منه تفصيل آخر فيما صرّح بحجّية العقل الفطري الصحيح ، وقال بالقضية المشهورة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نصّ على أنّه لا مدخل للعقل في شيء من الأحكام الفقهية من عبادات وغيرها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إليها إلاّ السماع عنهم لقصور العقل المذكور عن الاطّلاع عليها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الكلام بالنسبة إلى ما يتوقّف على التوقيف ، فأفاد في ذلك بأنّه إن كان الدليل العقلي المتعلّق بذلك بديهيا ظاهر البداهة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 فلا ريب في صحّة العمل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لم يعارضه دليل عقلي ولا نقلي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عارضه دليل عقلي آخر ، فإن تأيّد أحدهما بنقلي ، كان الترجيح للمؤيّد بالدليل العقلي ، وإلاّ فلا إشكال ، وإن عارضه دليل نقلي فإن تأيّد ذلك العقلي ، أيضا بنقلي ، كان </w:t>
      </w:r>
    </w:p>
    <w:p>
      <w:pPr>
        <w:pStyle w:val="BookText"/>
        <w:rPr/>
      </w:pPr>
      <w:r>
        <w:rPr>
          <w:rFonts w:ascii="Amiri" w:hAnsi="Amiri" w:eastAsia="Amiri" w:cs="Amiri"/>
          <w:color w:val="111111"/>
          <w:sz w:val="28"/>
          <w:sz w:val="28"/>
          <w:szCs w:val="28"/>
          <w:rtl w:val="true"/>
          <w:lang w:bidi="ar-SA"/>
        </w:rPr>
        <w:t>الترجيح للعقلي إلاّ أنّ هذا في الحقيقة تعارض في النقليات ، وإلاّ فالترجيح للنقلي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للسيّد المحدّث المتقدّم ، وخلافا للأكثر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العقلي بقول مطلق ، أمّا لو أريد بمعنى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الفطري الخالي عن شوائب الأوهام ، الذي هو حجّة من حجج الملك العلاّم وإن شذّ وجوده بين الأنام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ترجيح النقلي عليه إشكال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ومواضع النظر فيه وفي سابقه ما لا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من عدم اعتبار العلم فيما قالوا به من الموارد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علما والمكلّف عالما بحسب معتقده وإن لم يكن كذلك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كونه تكليفا بما لا يطاق ، وفساده ممّا نطق به الكتاب الكريم بل هو مذكور في عداد المسلّمات بين الشيعة والمعتزلة ، فلا مجال لإنكاره ؛ فإنّ التكليف بشيء فرع العلم بذلك الشيء ، ولا أقلّ من احتماله والمفروض 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 بعد ملاحظة ما يعارضه من الدليل النقلي أو ملاحظة الاختلاف الواقع في العلوم العقلية ، فلا يبقى علما ، فبعد الغضّ عن الصغرى ووجود الاختلاف في النقلي أيضا ، فهو خلاف 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 الدليل النقلي في محلّ تعارضه أيضا قطعي ، فهو يستلزم اجتماع المتناقضين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أرادوا عدم حجّيته من جهة الأخبار الواردة عنهم عليهم‌السلام في النهي عن الخوض في العلوم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بعد النهي لو لم يصادفوا الواقع ، فيجري عليهم حكم المقصّر ، ويعاقب نظرا إلى أنّ الامتناع بالاختيار لا ينافي الاختيار عقابا وإن كان ينافيه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ورود النهي عنهم عليهم‌السلام في ذلك بل قضية العمومات الآمرة بطلب </w:t>
      </w:r>
    </w:p>
    <w:p>
      <w:pPr>
        <w:pStyle w:val="BookText"/>
        <w:rPr/>
      </w:pPr>
      <w:r>
        <w:rPr>
          <w:rFonts w:ascii="Amiri" w:hAnsi="Amiri" w:eastAsia="Amiri" w:cs="Amiri"/>
          <w:color w:val="111111"/>
          <w:sz w:val="28"/>
          <w:sz w:val="28"/>
          <w:szCs w:val="28"/>
          <w:rtl w:val="true"/>
          <w:lang w:bidi="ar-SA"/>
        </w:rPr>
        <w:t xml:space="preserve">العلم ولو بالصين </w:t>
      </w:r>
      <w:r>
        <w:rPr>
          <w:rStyle w:val="FootnoteAnchor"/>
          <w:rtl w:val="true"/>
        </w:rPr>
        <w:footnoteReference w:id="85"/>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بغير 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ألزمه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جميع ليله ، وصام جميع نهاره ، وحجّ جميع دهره ، وتصدّق بجميع ما له ولم يعرف وليّ اللّه فيواليه ، ويكون جميع أعماله بدلالته ، لم يكن له على اللّه حقّ ولا هو من أهل الإيمان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أبعد في دين اللّه من عقول الرجال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كثرة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العلوم العقلية المستندة إلى اختلاف مراتب إدراكاتهم المنتهية إلى اختلاف استعداداتهم وملكاتهم في فنون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اختلالا فيما هو صونه مطلوب ، وبقاؤه مرغوب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الواردة في هذا المضمار ، فستعرف تحقيق القول فيها بما لا مزيد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الاختلاف ، فهو لا يختلف في المقامين ؛ فإنّ أسباب الاختلاف لو لم يكن في العلوم النقلية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أيضا كما يشاهد ذلك في المسائل المرتبطة بالكتاب والسنّة والمباحث المنتسبة إلى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تساويهما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من عدم حجّية العقل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بديهيا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فالضرورة </w:t>
      </w:r>
    </w:p>
    <w:p>
      <w:pPr>
        <w:pStyle w:val="BookText"/>
        <w:rPr/>
      </w:pPr>
      <w:r>
        <w:rPr>
          <w:rFonts w:ascii="Amiri" w:hAnsi="Amiri" w:eastAsia="Amiri" w:cs="Amiri"/>
          <w:color w:val="111111"/>
          <w:sz w:val="28"/>
          <w:sz w:val="28"/>
          <w:szCs w:val="28"/>
          <w:rtl w:val="true"/>
          <w:lang w:bidi="ar-SA"/>
        </w:rPr>
        <w:t>قاضية بخلافه ، وإن أرادوا من عدم حجّيته إن كان نظريا ، فالضرورة قاضية أيضا بلزوم انتهائه إلى ضروري ، دفعا للدور والتسلسل ، واحتمال عدم كونه بديهيا في الواقع موجود فيما اختاروه من حجّية البديهي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اعترافهم لمطلق البديهي بل خصوص ما تسالمت فيه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النظري لا بدّ وأن ينتهي إلى بديهي كذلك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زعموه على تقدير تماميته ، فهو بعينه موجود في الأدلّة العقلية التي يستدلّ عليها بوجود الصانع ولزوم إرسال الرسل وغير ذلك من الأمور الاعتقادية التي يستعمل فيها البراهين النيّرة </w:t>
      </w:r>
      <w:r>
        <w:rPr>
          <w:rStyle w:val="FootnoteAnchor"/>
          <w:rtl w:val="true"/>
        </w:rPr>
        <w:footnoteReference w:id="90"/>
      </w:r>
      <w:r>
        <w:rPr>
          <w:rFonts w:ascii="Amiri" w:hAnsi="Amiri" w:eastAsia="Amiri" w:cs="Amiri"/>
          <w:color w:val="111111"/>
          <w:sz w:val="28"/>
          <w:sz w:val="28"/>
          <w:szCs w:val="28"/>
          <w:rtl w:val="true"/>
          <w:lang w:bidi="ar-SA"/>
        </w:rPr>
        <w:t>العقلية ؛ فإنّا لا نجد فرقا في الأدلّة المستندة إليها فيها وفيما يستند إليها في عدم جواز اجتماع الأمر والنهي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أشكل على صاحب الحدائق من تعارض العقل الفطري والدليل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يعقل له وجه صحيح إلاّ أن يرجع النزاع معه لفظيا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الفاضل شارح الوافية بعد ما سلّم إدراك العقل أورد كلاما حاصله منع إناطة الإطاعة والعصيان بالواقع بل المدار عليه فيما لو أخبر به الرسول صلى‌اللّه‌عليه‌وآله ، أو أحد الأئمّة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من نام فرأى في نومه أحدا من أهل العصمة أخبر بحكم فقطع به ، لا يجب إطاعته ، وقد استند في ذلك بالأخبار المتقدّمة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ما ادّعاه من الأخبار ممّا يتحقّق به موضوع الإطاعة والعصيان موقوف على دلالة دليل الإطاعة والعصيان على ذلك ، ولا ريب </w:t>
      </w:r>
      <w:r>
        <w:rPr>
          <w:rStyle w:val="FootnoteAnchor"/>
          <w:rtl w:val="true"/>
        </w:rPr>
        <w:footnoteReference w:id="92"/>
      </w:r>
      <w:r>
        <w:rPr>
          <w:rFonts w:ascii="Amiri" w:hAnsi="Amiri" w:eastAsia="Amiri" w:cs="Amiri"/>
          <w:color w:val="111111"/>
          <w:sz w:val="28"/>
          <w:sz w:val="28"/>
          <w:szCs w:val="28"/>
          <w:rtl w:val="true"/>
          <w:lang w:bidi="ar-SA"/>
        </w:rPr>
        <w:t xml:space="preserve">أنّهما من الآثار العقلية المترتّبة على مطلق حكم اللّه الواقعي المعلوم على أيّ وجه ، ولا يمكن فيه التخصيص بالنسبة إلى أفراد العلم ، أو العالم على ما عرفت ، مع أنّ المفروض حصول </w:t>
      </w:r>
    </w:p>
    <w:p>
      <w:pPr>
        <w:pStyle w:val="BookText"/>
        <w:rPr/>
      </w:pPr>
      <w:r>
        <w:rPr>
          <w:rFonts w:ascii="Amiri" w:hAnsi="Amiri" w:eastAsia="Amiri" w:cs="Amiri"/>
          <w:color w:val="111111"/>
          <w:sz w:val="28"/>
          <w:sz w:val="28"/>
          <w:szCs w:val="28"/>
          <w:rtl w:val="true"/>
          <w:lang w:bidi="ar-SA"/>
        </w:rPr>
        <w:t xml:space="preserve">القطع بأنّ المدرك هو حكم اللّه تعالى ، فلا يجامع احتمال حرمته الأخبار فيه ؛ لأدائه إلى خلاف الفرض المستلزم لاجتماع النقيضين على ما لا يخفى ، فالأخبار الواردة في المقام على ما زعموه مخالفة </w:t>
      </w:r>
      <w:r>
        <w:rPr>
          <w:rStyle w:val="FootnoteAnchor"/>
          <w:rtl w:val="true"/>
        </w:rPr>
        <w:footnoteReference w:id="93"/>
      </w:r>
      <w:r>
        <w:rPr>
          <w:rFonts w:ascii="Amiri" w:hAnsi="Amiri" w:eastAsia="Amiri" w:cs="Amiri"/>
          <w:color w:val="111111"/>
          <w:sz w:val="28"/>
          <w:sz w:val="28"/>
          <w:szCs w:val="28"/>
          <w:rtl w:val="true"/>
          <w:lang w:bidi="ar-SA"/>
        </w:rPr>
        <w:t xml:space="preserve">للقطع ، فلا بدّ من حملها على ما كانوا يتعاطونه في تلك الأزمنة من استنباط الأحكام الشرعية من القياسات العاميّة مضافا إلى أنّه هو الظاهر من مساقها ؛ لوضوح عدم نهوضها على النهي عن طريقة الاستدلال بالبراهين العقلية القطعية في استنباط الأحكام الشرعية مع ظهور معارضتها بالأخبار الدالّة على حجّية العقل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يثاب ويعاقب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ما عبد به الرحمن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وقوله عليه‌السلام في رواية هشام المروية في الكافى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لله حجّتين حجّة في الظاهر وهي الرسل وحجّة في الباطن وهو العقل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سيّما بعد اعتضادها بعمل الكلّ وخصوصا مع حمل الكلّ لها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وجه الحمل باختصاص الأخبار الناهية في العقل الغير الصافي ، والآمرة بالعقل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 لا شاهد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لا فرق في ترتّب أحكام القطع عليه بين حصوله من دليل عقلي ، أو 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تلك الأحكام قبل حصوله كوجوب تحصيله في المطالب الاعتقادية ، أو مقارنة لحصوله كاستحالة التكليف بخلافه ، أو بعد حصوله كأحكام الطهارة والنجاسة والكفر والإيمان والقضاء والإعادة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مدّعي الفرق كالأخباري إقامة دليل بيّن في الفرق بينهما ، وتخصيص ما يدلّ على عدم الفرق مع امتناع تخصيصها عقلا بل شرعا ، فإنّه من بديهيات المعلومات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أصالة عدم الحجّية في غير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مرّ من بداهة اعتبار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الوهن ، بيّنة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يفصّل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العقلية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من طريق المصالح والمفاسد التي هي علل للأحكام الشرعية عند العدلية كأن يستدلّ على الحكم استدلالا لمّيّا مثل ما استدلّ بعضهم في لزوم عدالة الولي للصغير بأنّه يستحيل في حكمة الشارع تسليط من لا يأتمن على مال الطفل الذي لا يقدر على القيام بمصالحه ومفاسده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ليس كذلك بل استدلال إنّي كالاستدلال على وجوب مقدّمة الواجب وحرمة الضدّ ، فيقال بحرمة القسم الأوّل تنزيلا للأخبار الناهية عليه ، وبصحّة الثاني حملا للأخبار الدالّة على حجّية العقل عليه ، والشاهد على ذلك دلالة سياقها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تعارف الاستدلال اللمّي في زمنهم ، ولا مانع من حملها على العقل القطعي نظرا إلى جواز التكليف بما لا يطاق وبخلاف المعلوم إذا كان ناشئا عن سوء الاختيار على ما يراه بعضهم ، ولا ينافيه تداول الاستدلالات العقلية بين علمائنا ؛ لكونها من الدليل الإنّي دون اللمّي ، فإنّ الوسط في البراهين المتداولة بينهم مأخوذ من الشرع كما في الحكم بوجوب المقدّمة وحرمة الضدّ بخلاف اللمّ ؛ فإنّ الوسط فيه مستنبط من العقل ولو ظنّ المستنبط كونه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المأخوذة من العلم كحرمة الظلم ونحوها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الوسط مأخوذ من الشرع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ذلك مأخوذة </w:t>
      </w:r>
      <w:r>
        <w:rPr>
          <w:rStyle w:val="FootnoteAnchor"/>
          <w:rtl w:val="true"/>
        </w:rPr>
        <w:footnoteReference w:id="98"/>
      </w:r>
      <w:r>
        <w:rPr>
          <w:rFonts w:ascii="Amiri" w:hAnsi="Amiri" w:eastAsia="Amiri" w:cs="Amiri"/>
          <w:color w:val="111111"/>
          <w:sz w:val="28"/>
          <w:sz w:val="28"/>
          <w:szCs w:val="28"/>
          <w:rtl w:val="true"/>
          <w:lang w:bidi="ar-SA"/>
        </w:rPr>
        <w:t xml:space="preserve">من العقل المستقلّ من الضروريات ، ولو لا ذلك ، لما كان من اللمّي ، ويشهد بذلك ملاحظة خبر أبان </w:t>
      </w:r>
      <w:r>
        <w:rPr>
          <w:rStyle w:val="FootnoteAnchor"/>
          <w:rtl w:val="true"/>
        </w:rPr>
        <w:footnoteReference w:id="99"/>
      </w:r>
      <w:r>
        <w:rPr>
          <w:rFonts w:ascii="Amiri" w:hAnsi="Amiri" w:eastAsia="Amiri" w:cs="Amiri"/>
          <w:color w:val="111111"/>
          <w:sz w:val="28"/>
          <w:sz w:val="28"/>
          <w:szCs w:val="28"/>
          <w:rtl w:val="true"/>
          <w:lang w:bidi="ar-SA"/>
        </w:rPr>
        <w:t xml:space="preserve">أيضا في وجه دون وجه ؛ لأنّه يمكن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w:t>
      </w:r>
      <w:r>
        <w:rPr>
          <w:rStyle w:val="FootnoteAnchor"/>
          <w:rtl w:val="true"/>
        </w:rPr>
        <w:footnoteReference w:id="100"/>
      </w:r>
      <w:r>
        <w:rPr>
          <w:rFonts w:ascii="Amiri" w:hAnsi="Amiri" w:eastAsia="Amiri" w:cs="Amiri"/>
          <w:color w:val="111111"/>
          <w:sz w:val="28"/>
          <w:sz w:val="28"/>
          <w:szCs w:val="28"/>
          <w:rtl w:val="true"/>
          <w:lang w:bidi="ar-SA"/>
        </w:rPr>
        <w:t>كان ظانّا بالظنّ القوي ، وإنكار المعصوم عليه إنّما هو لتعجّبه بعد كشف الواقع له ، فإنّه لا معنى للتعجّب بعد ذلك ، أو يجعل ظنّه الشخصي معارضا لكلامه عليه‌السلام ، فحينئذ تخرج الرواية عن الشهادة ، بل يمكن دعوى أنّ الأظهر في جميع ذلك النهي عن العقل الظنّي ، فالحقّ عدم التفصيل بين أفراد العلم</w:t>
      </w:r>
      <w:r>
        <w:rPr>
          <w:rFonts w:eastAsia="Amiri" w:cs="Amiri" w:ascii="Amiri" w:hAnsi="Amiri"/>
          <w:color w:val="111111"/>
          <w:sz w:val="28"/>
          <w:szCs w:val="28"/>
          <w:rtl w:val="true"/>
          <w:lang w:bidi="ar-SA"/>
        </w:rPr>
        <w:t xml:space="preserve">. </w:t>
      </w:r>
      <w:bookmarkStart w:id="20" w:name="pg16273_211399"/>
    </w:p>
    <w:p>
      <w:pPr>
        <w:pStyle w:val="Heading4"/>
        <w:numPr>
          <w:ilvl w:val="3"/>
          <w:numId w:val="1"/>
        </w:numPr>
        <w:rPr/>
      </w:pPr>
      <w:bookmarkStart w:id="21" w:name="__RefHeading___Toc4803472_1280447820"/>
      <w:bookmarkStart w:id="22" w:name="_Toc8"/>
      <w:bookmarkEnd w:id="20"/>
      <w:bookmarkEnd w:id="21"/>
      <w:r>
        <w:rPr>
          <w:rtl w:val="true"/>
        </w:rPr>
        <w:t xml:space="preserve">الامر الثالث </w:t>
      </w:r>
      <w:r>
        <w:rPr>
          <w:rtl w:val="true"/>
        </w:rPr>
        <w:t>:</w:t>
      </w:r>
      <w:bookmarkEnd w:id="22"/>
    </w:p>
    <w:p>
      <w:pPr>
        <w:pStyle w:val="Heading5"/>
        <w:numPr>
          <w:ilvl w:val="4"/>
          <w:numId w:val="1"/>
        </w:numPr>
        <w:rPr/>
      </w:pPr>
      <w:bookmarkStart w:id="23" w:name="__RefHeading___Toc4803474_1280447820"/>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قد يستفاد من تضاعيف كلمات 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الأجلّ فيلسوف القوم الشيخ جعفر في مقدّمات كتابه الموسوم بكشف الغطاء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قطع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منه ما لا يستند قطعه بأمارة تفيده غالبا ، وأمّا إذا استند إلى سبب مفيد له كالإجماع ، فلا ينبغي الارتياب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إن أرادوا من عدم اعتبار قطعه عدم ترتّب أحكام القطع على قطعه فيما يعتبر فيه العلم الموضوعي بالنسبة إلى غير القاطع من عدم جواز تقليده وعدم قبول شهادته ، فهو في محلّه ، كما لو أريد ذلك بالنسبة إلى القاطع كذلك كالإفتاء والشهادة ، فلا يجوز له الإفتاء وإن كان يجوز له العمل به لكنّ الكلام على تقديره في انصراف الدليل الدالّ على اعتبار العلم في موضوع الإفتاء والشهادة إلى مثل المقام وعدمه على ما عرفت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 قطعه غير معتبر في حقّه بالنسبة إلى أحكام ما علمه المترتّبة عليه بواسطة عللها الواقعية على أن يكون طريقا إليه ، فسقوطه واضح ؛ لاستلزامه خلاف الفرض في وجه ، واجتماع النقيضين في وجه آخر ، والتكليف بما لا يطاق مرّة ، وتخصيص عمومات الأدلّة من غير مخصّص أخرى ، واللوازم بيّنة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الملازمة ، فلأنّه لو حصل له القطع بموضوع من الموضوعات </w:t>
      </w:r>
      <w:r>
        <w:rPr>
          <w:rStyle w:val="FootnoteAnchor"/>
          <w:rtl w:val="true"/>
        </w:rPr>
        <w:footnoteReference w:id="102"/>
      </w:r>
      <w:r>
        <w:rPr>
          <w:rFonts w:ascii="Amiri" w:hAnsi="Amiri" w:eastAsia="Amiri" w:cs="Amiri"/>
          <w:color w:val="111111"/>
          <w:sz w:val="28"/>
          <w:sz w:val="28"/>
          <w:szCs w:val="28"/>
          <w:rtl w:val="true"/>
          <w:lang w:bidi="ar-SA"/>
        </w:rPr>
        <w:t>للأحكام الشرعية كأن قطع بأنّ اليوم الفلاني من أيّام شهر رمضان ، فلا يخلو إمّا أن يجب عليه الصوم فيه ، أو لا يجب ، والأوّل هو المطلوب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إمّا أن يكون مكلّفا بخلاف ما قطعه ، أو لا يكون مكلّفا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 إمّا أن يقطع بتكليفه بخلاف ما قطعه أوّلا مع بقاء قطعه ، أو يقطع بخلافه مع زوال قطعه ، والرابع هو الأوّل ، والثالث هو الثاني كما هو ظاهر ، والثاني هو الرابع ؛ فإنّ ما دلّ على وجوب الصوم في شهر رمضان بعمومه يشمل القطّاع ولا مخصّص كما في المسافر والمريض ، والأوّل هو الثالث ، إذ شرط التكليف لو لم يكن هو العلم به ، فلا أقلّ من الاحتمال ، والمفروض أنّ بعد العلم لا يتصوّر الاحتمال بخلافه ، فكيف بالعلم بخلافه ، وظهوره ممّا يأبى عن إطالة الكلام ؛ فإنّ عدم الجواز والجواز فرع احتمالهما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وجوب تنبيهه على خلاف قطعه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عدم جريانه فيما لو علم بمطابقة قطعه للواقع أو شكّ فيها ؛ إذ لا دليل على وجوبه مضافا إلى وجوده على عدم جوازه فيما لو علم بمطابقته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إن أريد من وجوب التنبيه وجوبه فيما لو علمنا باشتباهه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يقطع بوجوب شيء محرّم أو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ينحصر ذلك في القطّاع ؛ لعموم ما دلّ على وجوب الإرشاد ، فيجري في غير القطّاع أيضا كآية النفر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وجوب تنبيهه فيما إذا اشتبه في موضوع من موضوعات الأحكام الشرعية كأن اعتقد الخمر خلاّ ، أو مال الغير مالا له ، فإن قلنا بوجوب الأمر بالمعروف فيه ، فلا اختصاص له فيه ، فيجري في غيره أيضا ، وإلاّ فلا يجب مطلقا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الإقدام في الموضوع المشتبه يوجب فسادا في العرض كما إذا اعتقد الأجنبية زوجته ، فالإقدام في وطئها يوجب فسادا في العرض ، أو في النفس كأن اعتقد غير القاتل قاتلا ، أو فسادا في العقل كأن اعتقد الخمر خلاّ ، يجب على قاطبة الناس إرشاده وردعه إلى خلاف معتقده ؛ أمرا بالمعروف ونهيا عن المنكر ، ففي الأمثلة المذكورة يجب ردعه بخلاف ما إذا حسب مال غيره ملكا لنفسه ، أو اعتقد النجس طاهرا فاستعمله أو نسي صلاته إلى غير ذلك من الأمثلة ، فلا يجب ردعه</w:t>
      </w:r>
      <w:r>
        <w:rPr>
          <w:rFonts w:eastAsia="Amiri" w:cs="Amiri" w:ascii="Amiri" w:hAnsi="Amiri"/>
          <w:color w:val="111111"/>
          <w:sz w:val="28"/>
          <w:szCs w:val="28"/>
          <w:rtl w:val="true"/>
          <w:lang w:bidi="ar-SA"/>
        </w:rPr>
        <w:t xml:space="preserve">. </w:t>
      </w:r>
      <w:bookmarkStart w:id="25" w:name="pg16273_211401"/>
    </w:p>
    <w:p>
      <w:pPr>
        <w:pStyle w:val="Heading5"/>
        <w:numPr>
          <w:ilvl w:val="4"/>
          <w:numId w:val="1"/>
        </w:numPr>
        <w:rPr/>
      </w:pPr>
      <w:bookmarkStart w:id="26" w:name="__RefHeading___Toc4803476_1280447820"/>
      <w:bookmarkStart w:id="27" w:name="_Toc10"/>
      <w:bookmarkEnd w:id="25"/>
      <w:bookmarkEnd w:id="26"/>
      <w:r>
        <w:rPr>
          <w:rtl w:val="true"/>
        </w:rPr>
        <w:t xml:space="preserve">تذييل </w:t>
      </w:r>
      <w:r>
        <w:rPr>
          <w:rtl w:val="true"/>
        </w:rPr>
        <w:t>:</w:t>
      </w:r>
      <w:bookmarkEnd w:id="27"/>
    </w:p>
    <w:p>
      <w:pPr>
        <w:pStyle w:val="BookText"/>
        <w:rPr/>
      </w:pPr>
      <w:r>
        <w:rPr>
          <w:rFonts w:ascii="Amiri" w:hAnsi="Amiri" w:eastAsia="Amiri" w:cs="Amiri"/>
          <w:color w:val="111111"/>
          <w:sz w:val="28"/>
          <w:sz w:val="28"/>
          <w:szCs w:val="28"/>
          <w:rtl w:val="true"/>
          <w:lang w:bidi="ar-SA"/>
        </w:rPr>
        <w:t xml:space="preserve">تذييل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تمسّك بعض </w:t>
      </w:r>
      <w:r>
        <w:rPr>
          <w:rStyle w:val="FootnoteAnchor"/>
          <w:rtl w:val="true"/>
        </w:rPr>
        <w:footnoteReference w:id="104"/>
      </w:r>
      <w:r>
        <w:rPr>
          <w:rFonts w:ascii="Amiri" w:hAnsi="Amiri" w:eastAsia="Amiri" w:cs="Amiri"/>
          <w:color w:val="111111"/>
          <w:sz w:val="28"/>
          <w:sz w:val="28"/>
          <w:szCs w:val="28"/>
          <w:rtl w:val="true"/>
          <w:lang w:bidi="ar-SA"/>
        </w:rPr>
        <w:t xml:space="preserve">من يرى عدم حجّية القطع فيما لم يرد فيه </w:t>
      </w:r>
      <w:r>
        <w:rPr>
          <w:rStyle w:val="FootnoteAnchor"/>
          <w:rtl w:val="true"/>
        </w:rPr>
        <w:footnoteReference w:id="105"/>
      </w:r>
      <w:r>
        <w:rPr>
          <w:rFonts w:ascii="Amiri" w:hAnsi="Amiri" w:eastAsia="Amiri" w:cs="Amiri"/>
          <w:color w:val="111111"/>
          <w:sz w:val="28"/>
          <w:sz w:val="28"/>
          <w:szCs w:val="28"/>
          <w:rtl w:val="true"/>
          <w:lang w:bidi="ar-SA"/>
        </w:rPr>
        <w:t xml:space="preserve">دليل شرعي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القمّي رحمه‌اللّه </w:t>
      </w:r>
      <w:r>
        <w:rPr>
          <w:rStyle w:val="FootnoteAnchor"/>
          <w:rtl w:val="true"/>
        </w:rPr>
        <w:footnoteReference w:id="107"/>
      </w:r>
      <w:r>
        <w:rPr>
          <w:rFonts w:ascii="Amiri" w:hAnsi="Amiri" w:eastAsia="Amiri" w:cs="Amiri"/>
          <w:color w:val="111111"/>
          <w:sz w:val="28"/>
          <w:sz w:val="28"/>
          <w:szCs w:val="28"/>
          <w:rtl w:val="true"/>
          <w:lang w:bidi="ar-SA"/>
        </w:rPr>
        <w:t>بأنّ بعد التسليم من دلالة الآية على ما زعمه المستدلّ لا بدّ من تأويله في مقابلة ما دلّ على وجوب اتّباع حكم العقل القطعي ، لعدم مقاومة الدليل الظنّي للدليل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فاعترضه بعض الأجلّة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على إطلاقه غير مستقيم عندي ؛ لأنّ استلزام الحكم العقلي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واقعيا كان أو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في نظر العقل بعدم ثبوت منع شرعي عنده من جواز تعويله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يصحّ عقلا أن يقول المولى الحكيم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تعوّل في معرفة أوامري وتكاليفي على ما تقطع به من قبل عقلك ، أو يؤدّي إليه حدسك بل اقتصر في ذلك على ما يصل منّي إليك بطريق المشافهة أو المراسلة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ما أفتى به بعض المحقّقين من أنّ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يكثر قطعه بالأمارات التي لا توجب </w:t>
      </w:r>
      <w:r>
        <w:rPr>
          <w:rStyle w:val="FootnoteAnchor"/>
          <w:rtl w:val="true"/>
        </w:rPr>
        <w:footnoteReference w:id="108"/>
      </w:r>
      <w:r>
        <w:rPr>
          <w:rFonts w:ascii="Amiri" w:hAnsi="Amiri" w:eastAsia="Amiri" w:cs="Amiri"/>
          <w:color w:val="111111"/>
          <w:sz w:val="28"/>
          <w:sz w:val="28"/>
          <w:szCs w:val="28"/>
          <w:rtl w:val="true"/>
          <w:lang w:bidi="ar-SA"/>
        </w:rPr>
        <w:t xml:space="preserve">القطع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المتعارف ولا يعوّل على قطعه الخارج عنه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إنّما يصحّ إذا علم القطّاع ، أو احتمل أن يكون حجّية </w:t>
      </w:r>
      <w:r>
        <w:rPr>
          <w:rStyle w:val="FootnoteAnchor"/>
          <w:rtl w:val="true"/>
        </w:rPr>
        <w:footnoteReference w:id="109"/>
      </w:r>
      <w:r>
        <w:rPr>
          <w:rFonts w:ascii="Amiri" w:hAnsi="Amiri" w:eastAsia="Amiri" w:cs="Amiri"/>
          <w:color w:val="111111"/>
          <w:sz w:val="28"/>
          <w:sz w:val="28"/>
          <w:szCs w:val="28"/>
          <w:rtl w:val="true"/>
          <w:lang w:bidi="ar-SA"/>
        </w:rPr>
        <w:t xml:space="preserve">قطعه مشروطة </w:t>
      </w:r>
      <w:r>
        <w:rPr>
          <w:rStyle w:val="FootnoteAnchor"/>
          <w:rtl w:val="true"/>
        </w:rPr>
        <w:footnoteReference w:id="110"/>
      </w:r>
      <w:r>
        <w:rPr>
          <w:rFonts w:ascii="Amiri" w:hAnsi="Amiri" w:eastAsia="Amiri" w:cs="Amiri"/>
          <w:color w:val="111111"/>
          <w:sz w:val="28"/>
          <w:sz w:val="28"/>
          <w:szCs w:val="28"/>
          <w:rtl w:val="true"/>
          <w:lang w:bidi="ar-SA"/>
        </w:rPr>
        <w:t xml:space="preserve">بعدم كونه قطّاعا ، فيرجع إلى ما ذكرنا من اشتراط حجّية القطع بعدم المنع ، </w:t>
      </w:r>
    </w:p>
    <w:p>
      <w:pPr>
        <w:pStyle w:val="BookText"/>
        <w:rPr/>
      </w:pPr>
      <w:r>
        <w:rPr>
          <w:rFonts w:ascii="Amiri" w:hAnsi="Amiri" w:eastAsia="Amiri" w:cs="Amiri"/>
          <w:color w:val="111111"/>
          <w:sz w:val="28"/>
          <w:sz w:val="28"/>
          <w:szCs w:val="28"/>
          <w:rtl w:val="true"/>
          <w:lang w:bidi="ar-SA"/>
        </w:rPr>
        <w:t xml:space="preserve">لكنّ العقل قد يستقلّ في بعض الموارد بعدم ورود منع شرعي ؛ لمنافاته لحكمة فعلية قطعية ، وقد لا يستقلّ بذلك لكن حينئذ يستقلّ بحجّية القطع في الظاهر ما لم يثبت المنع ، والاحتجاج بالآية على تقدير دلالتها إنّما يقتضي منع حجّية القسم الثاني ، والجواب المذكور إنّما يقتضي منع دلالتها على القسم الأوّل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أحطت خبرا بما قدّمنا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على أنّه لا مساس للاعتراض المذكور على الإيراد المزبور حيث إنّه يمتنع </w:t>
      </w:r>
      <w:r>
        <w:rPr>
          <w:rStyle w:val="FootnoteAnchor"/>
          <w:rtl w:val="true"/>
        </w:rPr>
        <w:footnoteReference w:id="112"/>
      </w:r>
      <w:r>
        <w:rPr>
          <w:rFonts w:ascii="Amiri" w:hAnsi="Amiri" w:eastAsia="Amiri" w:cs="Amiri"/>
          <w:color w:val="111111"/>
          <w:sz w:val="28"/>
          <w:sz w:val="28"/>
          <w:szCs w:val="28"/>
          <w:rtl w:val="true"/>
          <w:lang w:bidi="ar-SA"/>
        </w:rPr>
        <w:t>تكليف العالم على خلاف ما علمه حين ما علمه إلاّ أن يزول علمه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حجّية القطع بعدم ورود حكم الشرع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يتصوّر قبل حصول العلم ، وأمّا بعد حصوله ، فلا يعقل فتدبّر ، ولا تغفل</w:t>
      </w:r>
      <w:r>
        <w:rPr>
          <w:rFonts w:eastAsia="Amiri" w:cs="Amiri" w:ascii="Amiri" w:hAnsi="Amiri"/>
          <w:color w:val="111111"/>
          <w:sz w:val="28"/>
          <w:szCs w:val="28"/>
          <w:rtl w:val="true"/>
          <w:lang w:bidi="ar-SA"/>
        </w:rPr>
        <w:t xml:space="preserve">. </w:t>
      </w:r>
      <w:bookmarkStart w:id="28" w:name="pg16273_211403"/>
    </w:p>
    <w:p>
      <w:pPr>
        <w:pStyle w:val="Heading4"/>
        <w:numPr>
          <w:ilvl w:val="3"/>
          <w:numId w:val="1"/>
        </w:numPr>
        <w:rPr/>
      </w:pPr>
      <w:bookmarkStart w:id="29" w:name="__RefHeading___Toc4803478_1280447820"/>
      <w:bookmarkStart w:id="30" w:name="_Toc11"/>
      <w:bookmarkEnd w:id="28"/>
      <w:bookmarkEnd w:id="29"/>
      <w:r>
        <w:rPr>
          <w:rtl w:val="true"/>
        </w:rPr>
        <w:t xml:space="preserve">الأمر الرابع </w:t>
      </w:r>
      <w:r>
        <w:rPr>
          <w:rtl w:val="true"/>
        </w:rPr>
        <w:t>:</w:t>
      </w:r>
      <w:bookmarkEnd w:id="30"/>
    </w:p>
    <w:p>
      <w:pPr>
        <w:pStyle w:val="BookText"/>
        <w:rPr/>
      </w:pPr>
      <w:r>
        <w:rPr>
          <w:rFonts w:ascii="IRNazanin" w:hAnsi="IRNazanin" w:eastAsia="IRNazanin"/>
          <w:color w:val="111111"/>
          <w:sz w:val="28"/>
          <w:sz w:val="28"/>
          <w:szCs w:val="28"/>
          <w:rtl w:val="true"/>
          <w:lang w:bidi="fa-IR"/>
        </w:rPr>
        <w:t xml:space="preserve">الأمر الرابع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فيما سبق أحكام العلم التفصيلي تفصيلا ، فلا بأس بالإشارة إلى الأحكام الثابتة للعلم الإجمالي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عبارة عن حالة بين العالم والمعلوم ، بها ينكشف المعلوم عنده ، فلا ريب في كونها أمرا بسيطا غير قابل للإجمال والتفصيل ، ففي توصيفه بهما تسامح من جهة اتّصاف متعلّقه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بأنّ العلم لو كان من العلوم التصوّرية ، وقلنا بأنّ </w:t>
      </w:r>
      <w:r>
        <w:rPr>
          <w:rStyle w:val="FootnoteAnchor"/>
          <w:rtl w:val="true"/>
        </w:rPr>
        <w:footnoteReference w:id="114"/>
      </w:r>
      <w:r>
        <w:rPr>
          <w:rFonts w:ascii="Amiri" w:hAnsi="Amiri" w:eastAsia="Amiri" w:cs="Amiri"/>
          <w:color w:val="111111"/>
          <w:sz w:val="28"/>
          <w:sz w:val="28"/>
          <w:szCs w:val="28"/>
          <w:rtl w:val="true"/>
          <w:lang w:bidi="ar-SA"/>
        </w:rPr>
        <w:t>العلم هو الصورة الحاصلة ، فيصحّ اتّصاف نفس العلم بالوصفين المذكورين إلاّ أنّه خارج عمّا نحن بصدده ؛ فإنّ العلم المبحوث عنه في المقام هو العلم التصديقي لا التصوّري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w:t>
      </w:r>
      <w:r>
        <w:rPr>
          <w:rStyle w:val="FootnoteAnchor"/>
          <w:rtl w:val="true"/>
        </w:rPr>
        <w:footnoteReference w:id="115"/>
      </w:r>
      <w:r>
        <w:rPr>
          <w:rFonts w:ascii="Amiri" w:hAnsi="Amiri" w:eastAsia="Amiri" w:cs="Amiri"/>
          <w:color w:val="111111"/>
          <w:sz w:val="28"/>
          <w:sz w:val="28"/>
          <w:szCs w:val="28"/>
          <w:rtl w:val="true"/>
          <w:lang w:bidi="ar-SA"/>
        </w:rPr>
        <w:t xml:space="preserve">كان ، فالبحث فيه تارة يقع من حيث ثبوت التكليف به بمعنى أنّه بعد حصول العلم إجمالا بوجوب شيء ، فهل يتنجّز التكليف به مثل ما إذا علمه تفصيلا ، أو لا ، كما إذا علمنا بوجوب صلاة مردّدة بين الظهر والجمعة ، وأخرى يقع من حيث كفايته في الامتثال بمعنى أنّه كما يمتثل مع الإتيان بالمأمور به مثلا تفصيلا ، فهل يكفي في الامتثال إتيان المكلّف بعدّة أمور يعلم إجمالا وقوع المأمور به فيها أو لا ، كما إذا اشتبهت جهة القبلة ، فيأتي بأربع صلوات في أربع جهات ، أو لا بدّ من تعيين جهة القبلة تفصيلا؟ فهاهنا مقامان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المقام الأوّل ، فيقع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جواز المخالفة القطعية وعدمه ، الثاني في أنّه على تقدير عدم جواز المخالفة القطعية ، فهل الواجب تحصيل الموافقة القطعية ، أو يكفي فيه الفرار من المخالفة القطعية؟ والمتكفّل لبيان هذا المورد هو </w:t>
      </w:r>
    </w:p>
    <w:p>
      <w:pPr>
        <w:pStyle w:val="BookText"/>
        <w:rPr/>
      </w:pPr>
      <w:r>
        <w:rPr>
          <w:rFonts w:ascii="Amiri" w:hAnsi="Amiri" w:eastAsia="Amiri" w:cs="Amiri"/>
          <w:color w:val="111111"/>
          <w:sz w:val="28"/>
          <w:sz w:val="28"/>
          <w:szCs w:val="28"/>
          <w:rtl w:val="true"/>
          <w:lang w:bidi="ar-SA"/>
        </w:rPr>
        <w:t>الأدلّة القطعية ، فليطلب منها ، وأمّا الكلام في المورد الأوّل ، فسيجيء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فلنشرع لبيان المقام الثاني لقلّة أبحاثه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دلّنا دليل شرعي على وجوب شيء خاصّ ، فلا يخلو إمّا أن نتمكّن من الامتثال تفصيلا كأن نعلمه بالخصوص ، أو لا نتمكّن منه ، فعلى الثاني فلا ريب في كفاية الامتثال الإجمالي بل لا كلام لأحد فيه عدا ما يظهر من الحلّي ، فإنّه قال في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16"/>
      </w:r>
      <w:r>
        <w:rPr>
          <w:rFonts w:ascii="Amiri" w:hAnsi="Amiri" w:eastAsia="Amiri" w:cs="Amiri"/>
          <w:color w:val="111111"/>
          <w:sz w:val="28"/>
          <w:sz w:val="28"/>
          <w:szCs w:val="28"/>
          <w:rtl w:val="true"/>
          <w:lang w:bidi="ar-SA"/>
        </w:rPr>
        <w:t xml:space="preserve">وجد ثوبين يقطع بنجاسة أحدهما دون الآخر عليه الصلاة عاريا ، ولا يجوز تكرار الصلاة فيهما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فالتحقيق في المقام التفصيل بين العبادات وغيرها ، فعلى الأوّل يحكم ببطلان العبادة كأن يأتي بالصلاة في أربع جهات مع إمكان تحصيل العلم بالقبلة تفصيلا ، أو مع حصول العلم تفصيلا ، وفي الثاني يحكم بصحّة المعاملة كأن يأتي بالبيع مشتملا على جميع ما يحتمل اشتراطه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 فلأنّ المقصود فيه حصول ما هو في نفس الأمر معتبر في تأثيره وهو حاصل ولو مع عدم علمه به ، فيقع مؤثّرا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اشتراط صحّة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معاملة أيضا بالاجتهاد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واهية جدّا ، ولا فرق في ذلك بين علمه بالوجه الصحيح إجمالا لكن مع اشتباهه بعده وجهله به رأسا ، فإنّه لو طابق الواقع ، يؤثّر أثره المطلوب منه على أيّ وجه اتّفق ، ولا مدخل للعلم والجهل فيه بل قد نفى الخلاف عن ذلك بعضهم إلاّ عن بعض متأخّري المتأخّرين </w:t>
      </w:r>
      <w:r>
        <w:rPr>
          <w:rStyle w:val="FootnoteAnchor"/>
          <w:rtl w:val="true"/>
        </w:rPr>
        <w:footnoteReference w:id="118"/>
      </w:r>
      <w:r>
        <w:rPr>
          <w:rFonts w:ascii="Amiri" w:hAnsi="Amiri" w:eastAsia="Amiri" w:cs="Amiri"/>
          <w:color w:val="111111"/>
          <w:sz w:val="28"/>
          <w:sz w:val="28"/>
          <w:szCs w:val="28"/>
          <w:rtl w:val="true"/>
          <w:lang w:bidi="ar-SA"/>
        </w:rPr>
        <w:t xml:space="preserve">القائلين باشتراط صحّة العمل بالاجتهاد و </w:t>
      </w:r>
      <w:r>
        <w:rPr>
          <w:rStyle w:val="FootnoteAnchor"/>
          <w:rtl w:val="true"/>
        </w:rPr>
        <w:footnoteReference w:id="119"/>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أيضا بين أن يقع العمل مكرّرا كما إذا تكرّر الصيغة المعتبرة في العقود فيما إذا كان مختلفا فيها وبين أن يقع العمل واحدا جامعا لجميع ما يحتمل تأثيره </w:t>
      </w:r>
    </w:p>
    <w:p>
      <w:pPr>
        <w:pStyle w:val="BookText"/>
        <w:rPr/>
      </w:pPr>
      <w:r>
        <w:rPr>
          <w:rFonts w:ascii="Amiri" w:hAnsi="Amiri" w:eastAsia="Amiri" w:cs="Amiri"/>
          <w:color w:val="111111"/>
          <w:sz w:val="28"/>
          <w:sz w:val="28"/>
          <w:szCs w:val="28"/>
          <w:rtl w:val="true"/>
          <w:lang w:bidi="ar-SA"/>
        </w:rPr>
        <w:t>فيه وجودا وعدما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فتفصيل الكلام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يراد الامتثال بها على وجه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وجهين ، فتارة على وجه يتكرّر العمل كأن يصلّي إلى أربع جهات مع التمكّن به من استعلام حال القبلة الواقعية ، وأخرى على وجه لا يتكرّر بل العمل مع وحدته يشتمل على جميع ما يحتمل اعتباره فيه كالصوم فيما إذا أمسك المكلّف عن جميع ما يحتمل كونها مفطرا ، ضرورة عدم خروج العمل عن وحدته حينئذ ، فعلى الأوّل لا شكّ في بطلان العمل كما هو المأخوذ من طريقة الشرع وسيرة العلماء ، وقد نفى الخلاف عنه المحدّث البحراني ؛ فإنّه بعد ما حكى عن العلاّمة </w:t>
      </w:r>
      <w:r>
        <w:rPr>
          <w:rStyle w:val="FootnoteAnchor"/>
          <w:rtl w:val="true"/>
        </w:rPr>
        <w:footnoteReference w:id="120"/>
      </w:r>
      <w:r>
        <w:rPr>
          <w:rFonts w:ascii="Amiri" w:hAnsi="Amiri" w:eastAsia="Amiri" w:cs="Amiri"/>
          <w:color w:val="111111"/>
          <w:sz w:val="28"/>
          <w:sz w:val="28"/>
          <w:szCs w:val="28"/>
          <w:rtl w:val="true"/>
          <w:lang w:bidi="ar-SA"/>
        </w:rPr>
        <w:t xml:space="preserve">عدم جواز الصلاة في الثياب المشتبه طاهرها بنجسها على وجه التكرار مع التمكّن من الصلاة في الثوب الطاهر يقينا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حسنا إلاّ أنّ وجهه لا يبلغ حدّ الوجوب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جوازه مع التمكّن من تحصيل العلم التفصيلي باستعمال ما يوجبه من غير لزوم عسر على تقديره إلاّ أنّ الدليل لا يساعد عليه بل قضية صدق الإطاعة في الصورة المفروضة عرفا من دون تزلزل في النيّة جواز الامتثال الإجمالي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الوجه وقصده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فلا يصدق الإطاعة بدونها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وجوبه ، فلا ريب في كفايتهما ولو على وجه إجمالي ، فإنّ المفروض قطع العامل باشتمال عمله على جميع أجزائه وشرائطه ، فينوي على هذا </w:t>
      </w:r>
    </w:p>
    <w:p>
      <w:pPr>
        <w:pStyle w:val="BookText"/>
        <w:rPr/>
      </w:pPr>
      <w:r>
        <w:rPr>
          <w:rFonts w:ascii="Amiri" w:hAnsi="Amiri" w:eastAsia="Amiri" w:cs="Amiri"/>
          <w:color w:val="111111"/>
          <w:sz w:val="28"/>
          <w:sz w:val="28"/>
          <w:szCs w:val="28"/>
          <w:rtl w:val="true"/>
          <w:lang w:bidi="ar-SA"/>
        </w:rPr>
        <w:t>الوجه ، وبعد صدق الإطاعة التي عليها المدار لا ضير في عدم النيّة تفصيلا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وجوب العلم بوجه وجوب العمل ومعرفة الواجب والمندوب عهدتها على مدّعيها ؛ فإنّه إن كان من جهة عدم صدق الإطاعة بدونه ، فقد عرفت صدقها بدونه ، وإن كان من جهة وجوب نيّة الوجه ، فقد عرفت آنفا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السيّد رضي الدين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سأل عن أخيه علم الهدى من إتمام الجاهل بالحكم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بطلان صلاة من لم يعرف </w:t>
      </w:r>
      <w:r>
        <w:rPr>
          <w:rStyle w:val="FootnoteAnchor"/>
          <w:rtl w:val="true"/>
        </w:rPr>
        <w:footnoteReference w:id="123"/>
      </w:r>
      <w:r>
        <w:rPr>
          <w:rFonts w:ascii="Amiri" w:hAnsi="Amiri" w:eastAsia="Amiri" w:cs="Amiri"/>
          <w:color w:val="111111"/>
          <w:sz w:val="28"/>
          <w:sz w:val="28"/>
          <w:szCs w:val="28"/>
          <w:rtl w:val="true"/>
          <w:lang w:bidi="ar-SA"/>
        </w:rPr>
        <w:t xml:space="preserve">أحكامها ، فأجاب السيّد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الإجماع على المسألة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أيّ مانع من الحكم بالصحّة في خصوص المورد من جهة دليل خاصّ؟ فالإجماع على ما ادّعاه السيّد ، وقرّره علم الهدى </w:t>
      </w:r>
      <w:r>
        <w:rPr>
          <w:rStyle w:val="FootnoteAnchor"/>
          <w:rtl w:val="true"/>
        </w:rPr>
        <w:footnoteReference w:id="124"/>
      </w:r>
      <w:r>
        <w:rPr>
          <w:rFonts w:ascii="Amiri" w:hAnsi="Amiri" w:eastAsia="Amiri" w:cs="Amiri"/>
          <w:color w:val="111111"/>
          <w:sz w:val="28"/>
          <w:sz w:val="28"/>
          <w:szCs w:val="28"/>
          <w:rtl w:val="true"/>
          <w:lang w:bidi="ar-SA"/>
        </w:rPr>
        <w:t>منعقد على بطلان العمل فيما لم يعرف وجه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دعوى الإجماع من السيّد على بطلان عمل الجاهل من غير استناده فيه إلى تقليد أو اجتهاد كما هو الحال في أكثر عوامّ العباد </w:t>
      </w:r>
      <w:r>
        <w:rPr>
          <w:rStyle w:val="FootnoteAnchor"/>
          <w:rtl w:val="true"/>
        </w:rPr>
        <w:footnoteReference w:id="125"/>
      </w:r>
      <w:r>
        <w:rPr>
          <w:rFonts w:ascii="Amiri" w:hAnsi="Amiri" w:eastAsia="Amiri" w:cs="Amiri"/>
          <w:color w:val="111111"/>
          <w:sz w:val="28"/>
          <w:sz w:val="28"/>
          <w:szCs w:val="28"/>
          <w:rtl w:val="true"/>
          <w:lang w:bidi="ar-SA"/>
        </w:rPr>
        <w:t>، وهو كذلك لكن لا ربط له بالمقام ، فإنّا ندّعي كفاية الامتثال الإجمالي ؛ لانتهائه إلى الاجتهاد أو التقليد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ضعف ما قد </w:t>
      </w:r>
      <w:r>
        <w:rPr>
          <w:rStyle w:val="FootnoteAnchor"/>
          <w:rtl w:val="true"/>
        </w:rPr>
        <w:footnoteReference w:id="126"/>
      </w:r>
      <w:r>
        <w:rPr>
          <w:rFonts w:ascii="Amiri" w:hAnsi="Amiri" w:eastAsia="Amiri" w:cs="Amiri"/>
          <w:color w:val="111111"/>
          <w:sz w:val="28"/>
          <w:sz w:val="28"/>
          <w:szCs w:val="28"/>
          <w:rtl w:val="true"/>
          <w:lang w:bidi="ar-SA"/>
        </w:rPr>
        <w:t xml:space="preserve">يمكن الاستناد إليه في المقام ممّا اشتهر بينهم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ومقلّد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ينبغي مراعاة جانب الاحتياط ، فإنّه طريق </w:t>
      </w:r>
    </w:p>
    <w:p>
      <w:pPr>
        <w:pStyle w:val="BookText"/>
        <w:rPr/>
      </w:pPr>
      <w:r>
        <w:rPr>
          <w:rFonts w:ascii="Amiri" w:hAnsi="Amiri" w:eastAsia="Amiri" w:cs="Amiri"/>
          <w:color w:val="111111"/>
          <w:sz w:val="28"/>
          <w:sz w:val="28"/>
          <w:szCs w:val="28"/>
          <w:rtl w:val="true"/>
          <w:lang w:bidi="ar-SA"/>
        </w:rPr>
        <w:t>النجاة وتحصيل العلم التفصيلي كما رآه المشهور فيما يمكن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للاحتياط في المقام ؛ فإنّه يصحّ فيما لم يكن الشكّ في وجوده كافيا في الحكم بعدم وجوده كأن </w:t>
      </w:r>
      <w:r>
        <w:rPr>
          <w:rStyle w:val="FootnoteAnchor"/>
          <w:rtl w:val="true"/>
        </w:rPr>
        <w:footnoteReference w:id="128"/>
      </w:r>
      <w:r>
        <w:rPr>
          <w:rFonts w:ascii="Amiri" w:hAnsi="Amiri" w:eastAsia="Amiri" w:cs="Amiri"/>
          <w:color w:val="111111"/>
          <w:sz w:val="28"/>
          <w:sz w:val="28"/>
          <w:szCs w:val="28"/>
          <w:rtl w:val="true"/>
          <w:lang w:bidi="ar-SA"/>
        </w:rPr>
        <w:t>يكون هنا إطلاق يرجع إليه ومثل ذلك ، وأمّا في المقام ، فلا يصحّ ؛ لأنّ الإطاعة والامتثال من المفاهيم المنتزعة من وقوع فعل المأمور به على وجهه ، فمع انتزاع العقل لها لا معنى للحكم بالاحتياط فيها ، ومع عدم الانتزاع لا شكّ في عدم وقوع الفعل على وجهه ، ولا مناص عن العمل به ، فلا احتياط ، وكذا ما يتعلّق بكيفية الإطاعة والامتثال من كونها تفصيليا أو إجماليا وذلك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الشارع في أوامره قد يعتبر حصول الإطاعة والامتثال على وجه خاصّ ، فيشكّ في حصوله مع حصول الامتثال على وجه يعمّه ، فالاحتياط يقضي بتحصيل الإطاعة على ذلك الوجه ؛ لاحتمال أن يكون الداعي في الأمر حصولها على وجه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تارة يأمر أمرا توصّليا غير مقيّد بحصول الإطاعة والامتثال ، وأخرى يأمر أمرا تعبّديا مقيّدا بحصول الإطاعة ، فلا بدّ من تحصيلها ، فمرّة على وجه خاصّ كأن يعتبر الامتثال التفصيلي مثلا ، وأخرى على وجه يعمّ الإجمالي أيضا ، فيمكن حصول الإطاعة العامّة بانتزاعها العقل مع الشكّ في وجود الإطاعة الخاصّة مع احتمال مطلوبيّتها على هذا الوجه ، فيحسن في العقل الاحتياط وتحصيل العلم بالمأمور به الواقعي بتحصيل الامتثال التفصيلي ، فلا إشكال ، هذا كلّه فيما إذا دار الأمر بين الامتثال الاجمالي والتفصيلي العلمي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لو دار الأمر بين الامتثال الإجمالي والتفصيلي الظنّي بالظنّ الخاصّ كالتقليد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رآه الجماعة من كونه من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بعينه هو الكلام تقسيما وحكما على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فيما لو دار الأمر بين الامتثال الإجمالي والتفصيلي المظنون بالظنون المطلقة ، فلا ريب في تقدّم الامتثال الإجمالي ؛ لأنّ القول باعتبار الامتثال الظنّي موقوف على بطلان الامتثال الإجمالي والاحتياط على ما سيجيء إن شاء اللّه ، وذلك بخلاف الظنون الخاصّة ؛ فإنّها بمنزلة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الظنون المطلقة ، فبعد لم يثبت حجّيتها في قبال الامتثال الإجمالي والمفروض عدم التمكّن من الامتثال العلمي التفصيلي ؛ لانسداد باب العلم ، فلا مناص من الامتثال الإجمالي كما تقدّم عدم الخلاف فيه إلاّ المنقول عن ابن إدريس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كفاية الظنّ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مفاد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w:t>
      </w:r>
      <w:r>
        <w:rPr>
          <w:rStyle w:val="FootnoteAnchor"/>
          <w:rtl w:val="true"/>
        </w:rPr>
        <w:footnoteReference w:id="130"/>
      </w:r>
      <w:r>
        <w:rPr>
          <w:rFonts w:ascii="Amiri" w:hAnsi="Amiri" w:eastAsia="Amiri" w:cs="Amiri"/>
          <w:color w:val="111111"/>
          <w:sz w:val="28"/>
          <w:sz w:val="28"/>
          <w:szCs w:val="28"/>
          <w:rtl w:val="true"/>
          <w:lang w:bidi="ar-SA"/>
        </w:rPr>
        <w:t>على بطلان الاحتياط ، أو كونه مستلزما للحرج الشديد ، فما لم يثبت بطلان الاحتياط والامتثال الإجمالي لا يثبت كفاية الامتثال الظنّي ؛ فإنّ العقل رجّحه على العمل بالظنّ ما لم يستلزم محذورا ؛ لأنّ المدار عند العقل على حصول الواقع والوصول إليه ، ولا شكّ أنّ الاحتياط هو الأقرب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دار الأمر بين الامتثال الإجمالي ومثله لكن كان أحد الإجمالين أقلّ إجمالا وأقرب إلى التفصيل من الآخر ، يقدّم ما هو الأقرب إلى التفصيل وجوبا أو احتياطا على حسب اختلاف المذاهب كما عرفت من صاحب المدارك والعلاّمة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فروعه ما </w:t>
      </w:r>
      <w:r>
        <w:rPr>
          <w:rStyle w:val="FootnoteAnchor"/>
          <w:rtl w:val="true"/>
        </w:rPr>
        <w:footnoteReference w:id="131"/>
      </w:r>
      <w:r>
        <w:rPr>
          <w:rFonts w:ascii="Amiri" w:hAnsi="Amiri" w:eastAsia="Amiri" w:cs="Amiri"/>
          <w:color w:val="111111"/>
          <w:sz w:val="28"/>
          <w:sz w:val="28"/>
          <w:szCs w:val="28"/>
          <w:rtl w:val="true"/>
          <w:lang w:bidi="ar-SA"/>
        </w:rPr>
        <w:t>لو دار الأمر بين الصلاة في أوّل الفجر في أربع جهات وبين تأخير الصلاة إلى انتشار ضوء النهار ليعلم أنّ القبلة ليست إلاّ في جهات ثلاثة مثلا فيقلّ تكرار الصلاة ، ونظائره كثيرة</w:t>
      </w:r>
      <w:r>
        <w:rPr>
          <w:rFonts w:eastAsia="Amiri" w:cs="Amiri" w:ascii="Amiri" w:hAnsi="Amiri"/>
          <w:color w:val="111111"/>
          <w:sz w:val="28"/>
          <w:szCs w:val="28"/>
          <w:rtl w:val="true"/>
          <w:lang w:bidi="ar-SA"/>
        </w:rPr>
        <w:t xml:space="preserve">. </w:t>
      </w:r>
      <w:bookmarkStart w:id="31" w:name="pg16273_211409"/>
    </w:p>
    <w:p>
      <w:pPr>
        <w:pStyle w:val="Heading4"/>
        <w:numPr>
          <w:ilvl w:val="3"/>
          <w:numId w:val="1"/>
        </w:numPr>
        <w:rPr/>
      </w:pPr>
      <w:bookmarkStart w:id="32" w:name="__RefHeading___Toc4803480_1280447820"/>
      <w:bookmarkStart w:id="33" w:name="_Toc12"/>
      <w:bookmarkEnd w:id="31"/>
      <w:bookmarkEnd w:id="32"/>
      <w:r>
        <w:rPr>
          <w:rtl w:val="true"/>
        </w:rPr>
        <w:t>تتمّة</w:t>
      </w:r>
      <w:bookmarkEnd w:id="33"/>
    </w:p>
    <w:p>
      <w:pPr>
        <w:pStyle w:val="BookText"/>
        <w:rPr/>
      </w:pPr>
      <w:r>
        <w:rPr>
          <w:rFonts w:ascii="Amiri" w:hAnsi="Amiri" w:eastAsia="Amiri" w:cs="Amiri"/>
          <w:color w:val="111111"/>
          <w:sz w:val="28"/>
          <w:sz w:val="28"/>
          <w:szCs w:val="28"/>
          <w:rtl w:val="true"/>
          <w:lang w:bidi="ar-SA"/>
        </w:rPr>
        <w:t xml:space="preserve">لو كان عند المكلّف تكليفان يتمكّن من الامتثال في أحدهما تفصيلا ولا يتمكّن منه في الآخر ، ولكنّه يقلّ إجماله فيما لو ترك الامتثال تفصيلا في الأوّل ، فهل له تركه </w:t>
      </w:r>
      <w:r>
        <w:rPr>
          <w:rStyle w:val="FootnoteAnchor"/>
          <w:rtl w:val="true"/>
        </w:rPr>
        <w:footnoteReference w:id="132"/>
      </w:r>
      <w:r>
        <w:rPr>
          <w:rFonts w:ascii="Amiri" w:hAnsi="Amiri" w:eastAsia="Amiri" w:cs="Amiri"/>
          <w:color w:val="111111"/>
          <w:sz w:val="28"/>
          <w:sz w:val="28"/>
          <w:szCs w:val="28"/>
          <w:rtl w:val="true"/>
          <w:lang w:bidi="ar-SA"/>
        </w:rPr>
        <w:t xml:space="preserve">تقليلا لإجمال الآخر ، 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العدم ؛ فإنّ ترك التفصيل في الأوّل لتحصيل قلّة الإجمال في الثاني يوجب ترجيح المرجوح على الراجح ، وظهور قبحه يكفي عن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وجاهة ما ذهب إليه العلاّمة في النهاية من أوّل احتماليه ؛ فإنّه أورد فيه كلاما على ما حكي عنه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نذر شخص لكلّ صلاة من صلاته اليومية تيمّما ، فاتّفق نسيان صلاتين من يوم واحد له ، فللخروج عن عهدتهما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يتيمّم أوّلا ويأتي بأربع صلوات مردّدة بين الفجر والظهرين والمغرب ، ثمّ يتيمّم ثانيا ويأتي أيضا </w:t>
      </w:r>
      <w:r>
        <w:rPr>
          <w:rStyle w:val="FootnoteAnchor"/>
          <w:rtl w:val="true"/>
        </w:rPr>
        <w:footnoteReference w:id="133"/>
      </w:r>
      <w:r>
        <w:rPr>
          <w:rFonts w:ascii="Amiri" w:hAnsi="Amiri" w:eastAsia="Amiri" w:cs="Amiri"/>
          <w:color w:val="111111"/>
          <w:sz w:val="28"/>
          <w:sz w:val="28"/>
          <w:szCs w:val="28"/>
          <w:rtl w:val="true"/>
          <w:lang w:bidi="ar-SA"/>
        </w:rPr>
        <w:t>بأربع صلوات مردّدة بين الظهرين والعشاءين فيمتثل التكليف بالتيمّم تفصيلا ، والتكليف بالصلاة في كلّ واحدة منهما مجملة مردّدة بين الأربع ، فالمجموع الحاصل منه تيمّمان وصلاة ثمانية ، فتلك عشرة كاملة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يتيمّم لكلّ صلاة من الصلوات الخمس </w:t>
      </w:r>
      <w:r>
        <w:rPr>
          <w:rStyle w:val="FootnoteAnchor"/>
          <w:rtl w:val="true"/>
        </w:rPr>
        <w:footnoteReference w:id="134"/>
      </w:r>
      <w:r>
        <w:rPr>
          <w:rFonts w:ascii="Amiri" w:hAnsi="Amiri" w:eastAsia="Amiri" w:cs="Amiri"/>
          <w:color w:val="111111"/>
          <w:sz w:val="28"/>
          <w:sz w:val="28"/>
          <w:szCs w:val="28"/>
          <w:rtl w:val="true"/>
          <w:lang w:bidi="ar-SA"/>
        </w:rPr>
        <w:t xml:space="preserve">، فيقطع بخروج ذمّته عن الصلاتين الفائتتين والتيمّمين في ضمن تيمّمات خمسة وصلوات خمس </w:t>
      </w:r>
      <w:r>
        <w:rPr>
          <w:rStyle w:val="FootnoteAnchor"/>
          <w:rtl w:val="true"/>
        </w:rPr>
        <w:footnoteReference w:id="135"/>
      </w:r>
      <w:r>
        <w:rPr>
          <w:rFonts w:ascii="Amiri" w:hAnsi="Amiri" w:eastAsia="Amiri" w:cs="Amiri"/>
          <w:color w:val="111111"/>
          <w:sz w:val="28"/>
          <w:sz w:val="28"/>
          <w:szCs w:val="28"/>
          <w:rtl w:val="true"/>
          <w:lang w:bidi="ar-SA"/>
        </w:rPr>
        <w:t xml:space="preserve">، ولا شكّ في </w:t>
      </w:r>
      <w:r>
        <w:rPr>
          <w:rStyle w:val="FootnoteAnchor"/>
          <w:rtl w:val="true"/>
        </w:rPr>
        <w:footnoteReference w:id="136"/>
      </w:r>
      <w:r>
        <w:rPr>
          <w:rFonts w:ascii="Amiri" w:hAnsi="Amiri" w:eastAsia="Amiri" w:cs="Amiri"/>
          <w:color w:val="111111"/>
          <w:sz w:val="28"/>
          <w:sz w:val="28"/>
          <w:szCs w:val="28"/>
          <w:rtl w:val="true"/>
          <w:lang w:bidi="ar-SA"/>
        </w:rPr>
        <w:t>أنّ الأوّل أولى ؛ لأنّ ترك التفصيل في الأوّل إلى قلّة الإجمال في الثاني يوجب ترجيح المرجوح على الراجح ، وقس عليه صورا أخر لذلك ، فلا حاجة في التعرّض لها بعد العلم بالقاعدة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الكلام في المورد الأوّل من المقام الأوّل الباحث فيه عن جواز المخالفة القطعية وعدمها بعد العلم الإجمالي ، فاعلم أنّ الإجمال إمّا في نفس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كدوران الأمر بين الواجب والحرام أو المستحبّ أو المكروه ، وكلّ واحد منها مع الآخر وغيرها من صور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موضوع التكليف بعد العلم به كالواجب المردّد بين الظهر والجمعة ، 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العلم الإجمالي تارة يتعلّق بالحكم الشرعي الكلّي كالأمثلة المتقدّمة ، وأخرى يتعلّق بموضوعاته </w:t>
      </w:r>
      <w:r>
        <w:rPr>
          <w:rStyle w:val="FootnoteAnchor"/>
          <w:rtl w:val="true"/>
        </w:rPr>
        <w:footnoteReference w:id="137"/>
      </w:r>
      <w:r>
        <w:rPr>
          <w:rFonts w:ascii="Amiri" w:hAnsi="Amiri" w:eastAsia="Amiri" w:cs="Amiri"/>
          <w:color w:val="111111"/>
          <w:sz w:val="28"/>
          <w:sz w:val="28"/>
          <w:szCs w:val="28"/>
          <w:rtl w:val="true"/>
          <w:lang w:bidi="ar-SA"/>
        </w:rPr>
        <w:t xml:space="preserve">الخارجية كما في الشبهة المحصورة واشتباه جهة القبلة أو اشتباه المرأة المنذور وطؤها بالأجنبية إلى غير ذلك ، أو في نفس المكلّف ، فتارة من جهة دوران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غيره ، وأخرى من جهة دورانه بين موضوعين كالخنثى المردّد بين موضوعي الذكورة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بيان أحكامها ، فلنذكر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المقام وجودا وعدما إنّما هو من جهة أنّ العلم الإجمالي هل هو طريق إجمالي إلى الواقع ، أو لا؟ كما أنّ العلم التفصيلي طريق تفصيلي </w:t>
      </w:r>
      <w:r>
        <w:rPr>
          <w:rStyle w:val="FootnoteAnchor"/>
          <w:rtl w:val="true"/>
        </w:rPr>
        <w:footnoteReference w:id="138"/>
      </w:r>
      <w:r>
        <w:rPr>
          <w:rFonts w:ascii="Amiri" w:hAnsi="Amiri" w:eastAsia="Amiri" w:cs="Amiri"/>
          <w:color w:val="111111"/>
          <w:sz w:val="28"/>
          <w:sz w:val="28"/>
          <w:szCs w:val="28"/>
          <w:rtl w:val="true"/>
          <w:lang w:bidi="ar-SA"/>
        </w:rPr>
        <w:t>إليه ، فكما أنّ الأحكام الثابتة بواسطة عللها الواقعية تترتّب على متعلّقاتها عند العلم التفصيلي ، فهل تترتّب تلك الأحكام على موضوعاتها عند العلم الإجمالي ، أو لا؟ وأمّا من جهة الموضوعية ، فلا يتعلّق غرض بالبحث عنه ، لعدم دخولها تحت ضابطة وقاعدة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أنّه إذا تولّد من </w:t>
      </w:r>
      <w:r>
        <w:rPr>
          <w:rStyle w:val="FootnoteAnchor"/>
          <w:rtl w:val="true"/>
        </w:rPr>
        <w:footnoteReference w:id="139"/>
      </w:r>
      <w:r>
        <w:rPr>
          <w:rFonts w:ascii="Amiri" w:hAnsi="Amiri" w:eastAsia="Amiri" w:cs="Amiri"/>
          <w:color w:val="111111"/>
          <w:sz w:val="28"/>
          <w:sz w:val="28"/>
          <w:szCs w:val="28"/>
          <w:rtl w:val="true"/>
          <w:lang w:bidi="ar-SA"/>
        </w:rPr>
        <w:t xml:space="preserve">العلم الإجمالي في واقعة علم تفصيلي في واقعة أخرى فهو ممّا لا مناص عن العمل به في محلّه ، فكأنّه هو خارج عمّا نحن فيه ؛ لما تقدّم من أنّه معتبر بنفسه لا يحتاج إلى جعل ، والذاتي لا يتخلّف ولا يختلف ، فلو لاقى ثوبه لكلّ من الإناءين فيما إذا علم بنجاسة أحدهما إجمالا ، يجب الاجتناب عنه ، </w:t>
      </w:r>
    </w:p>
    <w:p>
      <w:pPr>
        <w:pStyle w:val="BookText"/>
        <w:rPr/>
      </w:pPr>
      <w:r>
        <w:rPr>
          <w:rFonts w:ascii="Amiri" w:hAnsi="Amiri" w:eastAsia="Amiri" w:cs="Amiri"/>
          <w:color w:val="111111"/>
          <w:sz w:val="28"/>
          <w:sz w:val="28"/>
          <w:szCs w:val="28"/>
          <w:rtl w:val="true"/>
          <w:lang w:bidi="ar-SA"/>
        </w:rPr>
        <w:t xml:space="preserve">وكذا لا يجوز الاقتداء في الصلاة لمن وجد في ثوب مشترك بينه وبين غيره المنيّ </w:t>
      </w:r>
      <w:r>
        <w:rPr>
          <w:rStyle w:val="FootnoteAnchor"/>
          <w:rtl w:val="true"/>
        </w:rPr>
        <w:footnoteReference w:id="140"/>
      </w:r>
      <w:r>
        <w:rPr>
          <w:rFonts w:ascii="Amiri" w:hAnsi="Amiri" w:eastAsia="Amiri" w:cs="Amiri"/>
          <w:color w:val="111111"/>
          <w:sz w:val="28"/>
          <w:sz w:val="28"/>
          <w:szCs w:val="28"/>
          <w:rtl w:val="true"/>
          <w:lang w:bidi="ar-SA"/>
        </w:rPr>
        <w:t>؛ للعلم التفصيلي بنجاسة ثوبه في الأوّل ، وبطلان صلاته في الثاني ، فإنّه لو كان منه ، فهو ظاهر ، وكذا لو كان من الإمام ؛ لإناطة صحّة صلاته بصحّة صلاة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يظهر من بعضهم </w:t>
      </w:r>
      <w:r>
        <w:rPr>
          <w:rStyle w:val="FootnoteAnchor"/>
          <w:rtl w:val="true"/>
        </w:rPr>
        <w:footnoteReference w:id="141"/>
      </w:r>
      <w:r>
        <w:rPr>
          <w:rFonts w:ascii="Amiri" w:hAnsi="Amiri" w:eastAsia="Amiri" w:cs="Amiri"/>
          <w:color w:val="111111"/>
          <w:sz w:val="28"/>
          <w:sz w:val="28"/>
          <w:szCs w:val="28"/>
          <w:rtl w:val="true"/>
          <w:lang w:bidi="ar-SA"/>
        </w:rPr>
        <w:t>صحّة الصلاة في الفرض بل قد يلوح منهم في موارد أخر عدم الأخذ بالعلم التفصيلي الحاصل من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يستفاد من جملة منهم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تقدّمه في هذا الكلام شيخه المولى الأردبيلي وقد جرى على هذا المنوال جملة ممّن تأخّر عنه من علمائنا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الحدائق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بالنسبة إلى المحصور ؛ فإنّ الحكم فيه ما ذكرناه كما عليه كافّة الأصحاب إلى أن انتهت النوبة إلى السيّد السند السيّد محمّد والشيخ حسن وقبلهما شيخهما المحقّق الأردبيلي فنازعوا في الحكم المذكور ، وتبعهم جمع ممّن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لزوم الاجتناب في الشبهة المحصورة ولو لم يضع قدر المحرّم من المشتبهات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العلاّمة في التهذيب </w:t>
      </w:r>
      <w:r>
        <w:rPr>
          <w:rStyle w:val="FootnoteAnchor"/>
          <w:rtl w:val="true"/>
        </w:rPr>
        <w:footnoteReference w:id="143"/>
      </w:r>
      <w:r>
        <w:rPr>
          <w:rFonts w:ascii="Amiri" w:hAnsi="Amiri" w:eastAsia="Amiri" w:cs="Amiri"/>
          <w:color w:val="111111"/>
          <w:sz w:val="28"/>
          <w:sz w:val="28"/>
          <w:szCs w:val="28"/>
          <w:rtl w:val="true"/>
          <w:lang w:bidi="ar-SA"/>
        </w:rPr>
        <w:t xml:space="preserve">من جواز خرق الإجماع المركّب ، وترك القولين إلى الرجوع إلى أحد </w:t>
      </w:r>
      <w:r>
        <w:rPr>
          <w:rStyle w:val="FootnoteAnchor"/>
          <w:rtl w:val="true"/>
        </w:rPr>
        <w:footnoteReference w:id="144"/>
      </w:r>
      <w:r>
        <w:rPr>
          <w:rFonts w:ascii="Amiri" w:hAnsi="Amiri" w:eastAsia="Amiri" w:cs="Amiri"/>
          <w:color w:val="111111"/>
          <w:sz w:val="28"/>
          <w:sz w:val="28"/>
          <w:szCs w:val="28"/>
          <w:rtl w:val="true"/>
          <w:lang w:bidi="ar-SA"/>
        </w:rPr>
        <w:t xml:space="preserve">الأصول ، وعن الشيخ </w:t>
      </w:r>
      <w:r>
        <w:rPr>
          <w:rStyle w:val="FootnoteAnchor"/>
          <w:rtl w:val="true"/>
        </w:rPr>
        <w:footnoteReference w:id="145"/>
      </w:r>
      <w:r>
        <w:rPr>
          <w:rFonts w:ascii="IRNazanin" w:hAnsi="IRNazanin" w:eastAsia="IRNazanin"/>
          <w:color w:val="111111"/>
          <w:sz w:val="28"/>
          <w:sz w:val="28"/>
          <w:szCs w:val="28"/>
          <w:rtl w:val="true"/>
          <w:lang w:bidi="fa-IR"/>
        </w:rPr>
        <w:t xml:space="preserve">من </w:t>
      </w:r>
      <w:r>
        <w:rPr>
          <w:rStyle w:val="FootnoteAnchor"/>
          <w:rtl w:val="true"/>
        </w:rPr>
        <w:footnoteReference w:id="146"/>
      </w:r>
      <w:r>
        <w:rPr>
          <w:rFonts w:ascii="Amiri" w:hAnsi="Amiri" w:eastAsia="Amiri" w:cs="Amiri"/>
          <w:color w:val="111111"/>
          <w:sz w:val="28"/>
          <w:sz w:val="28"/>
          <w:szCs w:val="28"/>
          <w:rtl w:val="true"/>
          <w:lang w:bidi="ar-SA"/>
        </w:rPr>
        <w:t xml:space="preserve">القول بالتخيير الواقعي ، ولا ريب أنّها مخالفة للعلم التفصيلي من حيث الوقوع في المحرّم قطعا تفصيلا في الأوّل ، وطرح </w:t>
      </w:r>
    </w:p>
    <w:p>
      <w:pPr>
        <w:pStyle w:val="BookText"/>
        <w:rPr/>
      </w:pPr>
      <w:r>
        <w:rPr>
          <w:rFonts w:ascii="Amiri" w:hAnsi="Amiri" w:eastAsia="Amiri" w:cs="Amiri"/>
          <w:color w:val="111111"/>
          <w:sz w:val="28"/>
          <w:sz w:val="28"/>
          <w:szCs w:val="28"/>
          <w:rtl w:val="true"/>
          <w:lang w:bidi="ar-SA"/>
        </w:rPr>
        <w:t>قول الإمام في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w:t>
      </w:r>
      <w:r>
        <w:rPr>
          <w:rStyle w:val="FootnoteAnchor"/>
          <w:rtl w:val="true"/>
        </w:rPr>
        <w:footnoteReference w:id="147"/>
      </w:r>
      <w:r>
        <w:rPr>
          <w:rFonts w:ascii="Amiri" w:hAnsi="Amiri" w:eastAsia="Amiri" w:cs="Amiri"/>
          <w:color w:val="111111"/>
          <w:sz w:val="28"/>
          <w:sz w:val="28"/>
          <w:szCs w:val="28"/>
          <w:rtl w:val="true"/>
          <w:lang w:bidi="ar-SA"/>
        </w:rPr>
        <w:t>في كتاب الصلح من أنّه لو أودع شخصان عند أمين ثلاثة دراهم أحدهما لأحدهما والباقي للآخر ، فاشتبهت الدراهم ، فتلف درهم منها ، ثمّ ادّعى أحدهما والآخر كلاّ منهما ، كان لصاحب الدرهمين درهم ونصف ، وللآخر نصف درهم ، فإنّ قضية ذلك على ما قلنا عدم جواز التصرّف في النصفين لغيرهما فيما لو اجتمعا عنده ؛ للعلم التفصيلي بأنّ أحد النصفين لأحدهما ، وأنّه 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ما ذكروه </w:t>
      </w:r>
      <w:r>
        <w:rPr>
          <w:rStyle w:val="FootnoteAnchor"/>
          <w:rtl w:val="true"/>
        </w:rPr>
        <w:footnoteReference w:id="148"/>
      </w:r>
      <w:r>
        <w:rPr>
          <w:rFonts w:ascii="Amiri" w:hAnsi="Amiri" w:eastAsia="Amiri" w:cs="Amiri"/>
          <w:color w:val="111111"/>
          <w:sz w:val="28"/>
          <w:sz w:val="28"/>
          <w:szCs w:val="28"/>
          <w:rtl w:val="true"/>
          <w:lang w:bidi="ar-SA"/>
        </w:rPr>
        <w:t>في كتاب القضاء من أنّه لو تداعيا عينا في يدهما ولا بيّنة ، قضي بها بينهما نصفين إمّا مع الحلف ، أو بدونه على الخلاف المزبور في محلّه ، ومقتضاه جواز تصرّف غيرهما فيما لو اجتمع النصفان عنده على حدّ تصرّفه في ملكه مع العلم تفصيلا بتصرّفه في ملك الغير من 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أيضا من أنّه لو اختلف البائع والمشتري في أنّ المبيع ثوب أو عبد ، أو في الثمن كذلك أنّهما يتحالفان ، ورجع الثمن إلى المشتري ، والمبيع إلى البائع مع أنّ أحدهما عالم بأنّه متصرّف في مال الغير بدون إذنه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كلّه </w:t>
      </w:r>
      <w:r>
        <w:rPr>
          <w:rStyle w:val="FootnoteAnchor"/>
          <w:rtl w:val="true"/>
        </w:rPr>
        <w:footnoteReference w:id="149"/>
      </w:r>
      <w:r>
        <w:rPr>
          <w:rFonts w:ascii="Amiri" w:hAnsi="Amiri" w:eastAsia="Amiri" w:cs="Amiri"/>
          <w:color w:val="111111"/>
          <w:sz w:val="28"/>
          <w:sz w:val="28"/>
          <w:szCs w:val="28"/>
          <w:rtl w:val="true"/>
          <w:lang w:bidi="ar-SA"/>
        </w:rPr>
        <w:t xml:space="preserve">أمّا إجمالا ، فبما عرفت مرارا من أنّ العقل يستقلّ في أنّ العلم التفصيلي من أيّ سبب حصل ينهض طريقا إلى الواقع ، ويستقيم دليلا عليه </w:t>
      </w:r>
    </w:p>
    <w:p>
      <w:pPr>
        <w:pStyle w:val="BookText"/>
        <w:rPr/>
      </w:pPr>
      <w:r>
        <w:rPr>
          <w:rFonts w:ascii="Amiri" w:hAnsi="Amiri" w:eastAsia="Amiri" w:cs="Amiri"/>
          <w:color w:val="111111"/>
          <w:sz w:val="28"/>
          <w:sz w:val="28"/>
          <w:szCs w:val="28"/>
          <w:rtl w:val="true"/>
          <w:lang w:bidi="ar-SA"/>
        </w:rPr>
        <w:t>وكاشفا عنه ، فلا بدّ من طرح ما يخالفه ، أو تأويله إلى ما لا ينافيه بتصرّف في صغرى القضية أو في كبراها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فتوى غير واحد من العلماء بصحّة صلاة المقتدي في الصورة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لعلّها مبنية على أنّ الطهارة ليست من الشروط الواقعية بل هي من الشروط العلمية ولو بأحد الأسباب الشرعية كالاستصحاب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الشبهة المحصورة ، فواضح السقوط ؛ لعدم كونه من موارد النقض ؛ لأنّ العلم التفصيلي إنّما يحصل بعد الارتكاب ، والانتقاض إنّما هو فيما لو ارتكبها دفعة ولا قائل به ، ومن هنا يظهر عدم الانتقاض فيما لو اقتدى شخص ثالث بكلّ منهما في الفرض السابق في صلاتين ؛ فإنّ العلم بالفساد يحصل بعد الاقتداء ، فلا يصلح نقضا ، ولو فرض أحد </w:t>
      </w:r>
      <w:r>
        <w:rPr>
          <w:rStyle w:val="FootnoteAnchor"/>
          <w:rtl w:val="true"/>
        </w:rPr>
        <w:footnoteReference w:id="150"/>
      </w:r>
      <w:r>
        <w:rPr>
          <w:rFonts w:ascii="Amiri" w:hAnsi="Amiri" w:eastAsia="Amiri" w:cs="Amiri"/>
          <w:color w:val="111111"/>
          <w:sz w:val="28"/>
          <w:sz w:val="28"/>
          <w:szCs w:val="28"/>
          <w:rtl w:val="true"/>
          <w:lang w:bidi="ar-SA"/>
        </w:rPr>
        <w:t xml:space="preserve">من العلماء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جواز الارتكاب في الشبهة المحصورة دفعة واحدة ، فلعلّه مبني على عدم تسليمه الوجوب في الاجتناب عن مطلق النجس ولو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المنقول عن الشيخ ، فيمكن حمل كلامه على التخيير ولو في مرحلة الظاهر كما صرّح به المحقّقون ، وبهذا يندفع ما قد يورد عليه ، والتعرّض له يوجب الخروج عن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العلاّمة ، فلم نقف له على وجه صحيح إلاّ ما قد يتخيّل من حمل كلامه على خصوص الموارد التي لا يلزم من فرق القولين فرق عمل </w:t>
      </w:r>
      <w:r>
        <w:rPr>
          <w:rStyle w:val="FootnoteAnchor"/>
          <w:rtl w:val="true"/>
        </w:rPr>
        <w:footnoteReference w:id="151"/>
      </w:r>
      <w:r>
        <w:rPr>
          <w:rFonts w:ascii="Amiri" w:hAnsi="Amiri" w:eastAsia="Amiri" w:cs="Amiri"/>
          <w:color w:val="111111"/>
          <w:sz w:val="28"/>
          <w:sz w:val="28"/>
          <w:szCs w:val="28"/>
          <w:rtl w:val="true"/>
          <w:lang w:bidi="ar-SA"/>
        </w:rPr>
        <w:t xml:space="preserve">الفريقين كما لو اختلف الأمّة على قولين في وجوب شيء وحرمته ، فالرجوع إلى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عمل الفريقين في صورتي الترك والفعل ؛ لتوافقه في الحالتين أحد القولين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هو مخالف لهما في مجرّد الفتوى ، ولا ضير فيه بادّعاء عدم شمول ما دلّ على </w:t>
      </w:r>
    </w:p>
    <w:p>
      <w:pPr>
        <w:pStyle w:val="BookText"/>
        <w:rPr/>
      </w:pPr>
      <w:r>
        <w:rPr>
          <w:rFonts w:ascii="IRNazanin" w:hAnsi="IRNazanin" w:eastAsia="IRNazanin"/>
          <w:color w:val="111111"/>
          <w:sz w:val="28"/>
          <w:sz w:val="28"/>
          <w:szCs w:val="28"/>
          <w:rtl w:val="true"/>
          <w:lang w:bidi="fa-IR"/>
        </w:rPr>
        <w:t xml:space="preserve">عدم جواز الإفتاء </w:t>
      </w:r>
      <w:r>
        <w:rPr>
          <w:rStyle w:val="FootnoteAnchor"/>
          <w:rtl w:val="true"/>
        </w:rPr>
        <w:footnoteReference w:id="152"/>
      </w:r>
      <w:r>
        <w:rPr>
          <w:rFonts w:ascii="Amiri" w:hAnsi="Amiri" w:eastAsia="Amiri" w:cs="Amiri"/>
          <w:color w:val="111111"/>
          <w:sz w:val="28"/>
          <w:sz w:val="28"/>
          <w:szCs w:val="28"/>
          <w:rtl w:val="true"/>
          <w:lang w:bidi="ar-SA"/>
        </w:rPr>
        <w:t>بغير ما أنزل اللّه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القول بالفصل ينافي القولين في العمل أيضا كأن يفتي المجتهد مثلا في الظهر والجمعة بعدم وجوبه ، فالأدلّة الناهية عن الفتوى بغير ما أنزل اللّه به قائمة فيه ، ولا يجوز قطعا ، ويحتمل حمل كلامه على جوازه فيما لو كان أحدهما موافقا للأصل وإن كان بعيدا في الغاية ، وغريبا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في كتاب الصلح ، فهو لو اقتضى ما ذكر ، فلا بدّ من القول بالصلح القهري بينهما بمعنى أنّ الشارع قد تعبّدنا بالحكم بالتنصيف بينهما على وجه يكون ذلك سببا لإدخال ملك الغير في ملكه حسما لمادّة النزاع ؛ ومن هنا يظهر الوجه في مسائل التداعي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التحالف ، فإن قلنا بأنّ التحالف يوجب فسخ العقد ، فالأمر واضح لكنّه شاذّ جدّا ، وإلاّ فلا بدّ من أن يكون التصرّف فيه من جهة التقاصّ إلاّ أنّه يشكل فيما يزيد قيمة الثمن أو المثمن عن الآخر ؛ فإنّ قضيّة التقاصّ جواز التصرّف في ملك </w:t>
      </w:r>
      <w:r>
        <w:rPr>
          <w:rStyle w:val="FootnoteAnchor"/>
          <w:rtl w:val="true"/>
        </w:rPr>
        <w:footnoteReference w:id="153"/>
      </w:r>
      <w:r>
        <w:rPr>
          <w:rFonts w:ascii="Amiri" w:hAnsi="Amiri" w:eastAsia="Amiri" w:cs="Amiri"/>
          <w:color w:val="111111"/>
          <w:sz w:val="28"/>
          <w:sz w:val="28"/>
          <w:szCs w:val="28"/>
          <w:rtl w:val="true"/>
          <w:lang w:bidi="ar-SA"/>
        </w:rPr>
        <w:t>الغير على قدر ماله لا فيما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الإجماع على إمضاء الشارع تصرّف أحدهما في مال الآخر مطلقا ، فلا إشكال أيضا ؛ لجواز أن يجعل الشارع ما يزيد عوضا عمّا ينقص ؛ لحكمة تقتضيه ، وإلاّ فلا بدّ من القول بوجوب الدّس في ماله على ما يزيد عن </w:t>
      </w:r>
      <w:r>
        <w:rPr>
          <w:rStyle w:val="FootnoteAnchor"/>
          <w:rtl w:val="true"/>
        </w:rPr>
        <w:footnoteReference w:id="154"/>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عرفت ما تقدّم من الأمرين ، فاعلم أنّ المخالفة القطعية في العلم الإجمالي على قسمين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يخالف ما علم استقرار فتواهم عليه وإن لم يلازم المخالفة في العمل على حذو ما قرّره فيما نقل عن العلاّمة من جواز الخرق في الإجماع المركّب ، ولا فرق </w:t>
      </w:r>
    </w:p>
    <w:p>
      <w:pPr>
        <w:pStyle w:val="BookText"/>
        <w:rPr/>
      </w:pPr>
      <w:r>
        <w:rPr>
          <w:rFonts w:ascii="Amiri" w:hAnsi="Amiri" w:eastAsia="Amiri" w:cs="Amiri"/>
          <w:color w:val="111111"/>
          <w:sz w:val="28"/>
          <w:sz w:val="28"/>
          <w:szCs w:val="28"/>
          <w:rtl w:val="true"/>
          <w:lang w:bidi="ar-SA"/>
        </w:rPr>
        <w:t xml:space="preserve">في ذلك بين أن يكون الواجب تعبّديا أو توصّليا إلاّ من جهة قصد القربة المعتبرة </w:t>
      </w:r>
      <w:r>
        <w:rPr>
          <w:rStyle w:val="FootnoteAnchor"/>
          <w:rtl w:val="true"/>
        </w:rPr>
        <w:footnoteReference w:id="155"/>
      </w:r>
      <w:r>
        <w:rPr>
          <w:rFonts w:ascii="Amiri" w:hAnsi="Amiri" w:eastAsia="Amiri" w:cs="Amiri"/>
          <w:color w:val="111111"/>
          <w:sz w:val="28"/>
          <w:sz w:val="28"/>
          <w:szCs w:val="28"/>
          <w:rtl w:val="true"/>
          <w:lang w:bidi="ar-SA"/>
        </w:rPr>
        <w:t xml:space="preserve">في الأوّل دون الثاني ، ففي المقام لو قصد القربة في فعله ، يوافق في </w:t>
      </w:r>
      <w:r>
        <w:rPr>
          <w:rStyle w:val="FootnoteAnchor"/>
          <w:rtl w:val="true"/>
        </w:rPr>
        <w:footnoteReference w:id="156"/>
      </w:r>
      <w:r>
        <w:rPr>
          <w:rFonts w:ascii="IRNazanin" w:hAnsi="IRNazanin" w:eastAsia="IRNazanin"/>
          <w:color w:val="111111"/>
          <w:sz w:val="28"/>
          <w:sz w:val="28"/>
          <w:szCs w:val="28"/>
          <w:rtl w:val="true"/>
          <w:lang w:bidi="fa-IR"/>
        </w:rPr>
        <w:t xml:space="preserve">العمل القائل بالوجوب </w:t>
      </w:r>
      <w:r>
        <w:rPr>
          <w:rStyle w:val="FootnoteAnchor"/>
          <w:rtl w:val="true"/>
        </w:rPr>
        <w:footnoteReference w:id="157"/>
      </w:r>
      <w:r>
        <w:rPr>
          <w:rFonts w:ascii="Amiri" w:hAnsi="Amiri" w:eastAsia="Amiri" w:cs="Amiri"/>
          <w:color w:val="111111"/>
          <w:sz w:val="28"/>
          <w:sz w:val="28"/>
          <w:szCs w:val="28"/>
          <w:rtl w:val="true"/>
          <w:lang w:bidi="ar-SA"/>
        </w:rPr>
        <w:t>، وإلاّ فيوافق القول بالحرمة مطلقا على ما مرّ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يخالفه من حين العمل أيضا كما فيما لو اختلف الأمّة على قولين في وجوب الظهر والجمعة ، فالقول بعدم وجوبهما جميعا </w:t>
      </w:r>
      <w:r>
        <w:rPr>
          <w:rStyle w:val="FootnoteAnchor"/>
          <w:rtl w:val="true"/>
        </w:rPr>
        <w:footnoteReference w:id="158"/>
      </w:r>
      <w:r>
        <w:rPr>
          <w:rFonts w:ascii="IRNazanin" w:hAnsi="IRNazanin" w:eastAsia="IRNazanin"/>
          <w:color w:val="111111"/>
          <w:sz w:val="28"/>
          <w:sz w:val="28"/>
          <w:szCs w:val="28"/>
          <w:rtl w:val="true"/>
          <w:lang w:bidi="fa-IR"/>
        </w:rPr>
        <w:t xml:space="preserve">مخالف لما علم إجمالا من </w:t>
      </w:r>
      <w:r>
        <w:rPr>
          <w:rStyle w:val="FootnoteAnchor"/>
          <w:rtl w:val="true"/>
        </w:rPr>
        <w:footnoteReference w:id="159"/>
      </w:r>
      <w:r>
        <w:rPr>
          <w:rFonts w:ascii="Amiri" w:hAnsi="Amiri" w:eastAsia="Amiri" w:cs="Amiri"/>
          <w:color w:val="111111"/>
          <w:sz w:val="28"/>
          <w:sz w:val="28"/>
          <w:szCs w:val="28"/>
          <w:rtl w:val="true"/>
          <w:lang w:bidi="ar-SA"/>
        </w:rPr>
        <w:t xml:space="preserve">وجوب أحدهما حتّى في العمل ، وكذا القول بعدم وجوب الصلاة لا قصرا ولا تماما في أربعة فراسخ ، وكلاّ من القسمين تارة يلاحظ بالنسبة إلى الموضوع الخارجي ، وأخرى بالنسبة إلى الحكم الشرعي ، فهاهنا أقسام أربعة لا بدّ لنا من بيانها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w:t>
      </w:r>
      <w:r>
        <w:rPr>
          <w:rStyle w:val="FootnoteAnchor"/>
          <w:rtl w:val="true"/>
        </w:rPr>
        <w:footnoteReference w:id="160"/>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المخالفة القطعية في الفتوى فقط في الموضوعات الخارجية مع موافقة العمل لأحد طرفي العلم الإجمالي إجماعا </w:t>
      </w:r>
      <w:r>
        <w:rPr>
          <w:rStyle w:val="FootnoteAnchor"/>
          <w:rtl w:val="true"/>
        </w:rPr>
        <w:footnoteReference w:id="161"/>
      </w:r>
      <w:r>
        <w:rPr>
          <w:rFonts w:ascii="Amiri" w:hAnsi="Amiri" w:eastAsia="Amiri" w:cs="Amiri"/>
          <w:color w:val="111111"/>
          <w:sz w:val="28"/>
          <w:sz w:val="28"/>
          <w:szCs w:val="28"/>
          <w:rtl w:val="true"/>
          <w:lang w:bidi="ar-SA"/>
        </w:rPr>
        <w:t>على ما ادّعاه أستادنا المرتضى ، وأمثلته كثيرة في الفقه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مائع معلوم هل هو ماء أو بول؟ فلو توضّأ منه ، يحكم بطهارة بدنه وبقاء حدثه مع العلم إجمالا بتلازم الطهارة ورفع الحدث في الواقع وجودا وعدما لكنّ العمل ليس بخارج عنه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Style w:val="FootnoteAnchor"/>
          <w:rtl w:val="true"/>
        </w:rPr>
        <w:footnoteReference w:id="162"/>
      </w:r>
      <w:r>
        <w:rPr>
          <w:rFonts w:ascii="Amiri" w:hAnsi="Amiri" w:eastAsia="Amiri" w:cs="Amiri"/>
          <w:color w:val="111111"/>
          <w:sz w:val="28"/>
          <w:sz w:val="28"/>
          <w:szCs w:val="28"/>
          <w:rtl w:val="true"/>
          <w:lang w:bidi="ar-SA"/>
        </w:rPr>
        <w:t>أقرّ واحد بأخوة الآخر أو بزوجية امرأة ، وأنكر الآخر والزوجة أخوّته وزوجيته ؛ فإنّه يؤخذ بإقراره فيهما دونهما مع أنّ العلم الإجمالي يخالفه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الاستصحابين فيما لم يكن أحدهما مزيلا ، والآخر مزالا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المخالفة العملية في الموضوعات أو لا؟ فيه تفصيل بين ما يلزم من المخالفة طرح خطاب تفصيلي يتوجّه إلى المخاطب ، فلا يجوز ؛ للزوم الإطاعة شرعا وعقلا بعد التكليف ، وبين ما لا يلزم ، فيجوز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63"/>
      </w:r>
      <w:r>
        <w:rPr>
          <w:rFonts w:ascii="Amiri" w:hAnsi="Amiri" w:eastAsia="Amiri" w:cs="Amiri"/>
          <w:color w:val="111111"/>
          <w:sz w:val="28"/>
          <w:sz w:val="28"/>
          <w:szCs w:val="28"/>
          <w:rtl w:val="true"/>
          <w:lang w:bidi="ar-SA"/>
        </w:rPr>
        <w:t xml:space="preserve">من أمثلة الأوّل الشبهة المحصورة كما إذا علمنا بنجاسة أحد الإناءين إجمالا ؛ فإنّ قضيّة النهي عن استعمال النجاسة الظاهرة في الواقعية منها لزوم </w:t>
      </w:r>
      <w:r>
        <w:rPr>
          <w:rStyle w:val="FootnoteAnchor"/>
          <w:rtl w:val="true"/>
        </w:rPr>
        <w:footnoteReference w:id="164"/>
      </w:r>
      <w:r>
        <w:rPr>
          <w:rFonts w:ascii="Amiri" w:hAnsi="Amiri" w:eastAsia="Amiri" w:cs="Amiri"/>
          <w:color w:val="111111"/>
          <w:sz w:val="28"/>
          <w:sz w:val="28"/>
          <w:szCs w:val="28"/>
          <w:rtl w:val="true"/>
          <w:lang w:bidi="ar-SA"/>
        </w:rPr>
        <w:t xml:space="preserve">الاجتناب ، فيحرم المخالفة القطعية ، فيجب الموافقة القطعية ؛ فإنّ بعد ما فرض من </w:t>
      </w:r>
      <w:r>
        <w:rPr>
          <w:rStyle w:val="FootnoteAnchor"/>
          <w:rtl w:val="true"/>
        </w:rPr>
        <w:footnoteReference w:id="165"/>
      </w:r>
      <w:r>
        <w:rPr>
          <w:rFonts w:ascii="Amiri" w:hAnsi="Amiri" w:eastAsia="Amiri" w:cs="Amiri"/>
          <w:color w:val="111111"/>
          <w:sz w:val="28"/>
          <w:sz w:val="28"/>
          <w:szCs w:val="28"/>
          <w:rtl w:val="true"/>
          <w:lang w:bidi="ar-SA"/>
        </w:rPr>
        <w:t>أنّ المطلوب الاجتناب عن النجاسة الواقعية المشتبهة في الخارج ، فلا ريب في وجوب الاجتناب عن أطراف الشبهة بتمامها ، وإلاّ فلا بدّ من القول بجواز الارتكاب مطلقا ، أو فيما سوى مقدار المحرّم ، فظهر أنّ القول بحرمة المخالفة القطعية يلازم القول بوجوب الموافقة القطعية في المقام ، والمنكر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لو جهل جهة القبلة ، فلا بدّ من الإتيان بالصلاة مكرّرا على الجهات على حسب ما يقتضيه الجهل فيها ، وإلاّ فيلزم طرح خطاب تفصيلي يدلّ على وجوب الصلاة على جهة القبلة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ممّا لو علم بأنّ الموجود المعلوم إمّا خمر أو بول ، فمقتضى لزوم الاجتناب عن النجس لزومه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ما لو تزوّج أحد امرأة واشترى أمة ، فعلم حريّة الأمة أو مرضعية الزوجة ، فيلزم الاجتناب عنهما في لوازمهما ؛ لئلاّ يلزم طرح خطاب تفصيلي متوجّه إليه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فإنّ المفروض في صورة عدم الاجتناب القطع بأنّه مقدم على الابتغاء بما وراء ما ذكره في صدر الآية ، فلا بدّ من الاجتناب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أنّ المناط في الجواز وعدمه لزوم طرح الخطاب تفصيلا لا كون طرفي العلم الإجمالي من الأمور المتجانسة كما تخيّله صاحب الحدائق </w:t>
      </w:r>
      <w:r>
        <w:rPr>
          <w:rStyle w:val="FootnoteAnchor"/>
          <w:rtl w:val="true"/>
        </w:rPr>
        <w:footnoteReference w:id="167"/>
      </w:r>
      <w:r>
        <w:rPr>
          <w:rFonts w:ascii="Amiri" w:hAnsi="Amiri" w:eastAsia="Amiri" w:cs="Amiri"/>
          <w:color w:val="111111"/>
          <w:sz w:val="28"/>
          <w:sz w:val="28"/>
          <w:szCs w:val="28"/>
          <w:rtl w:val="true"/>
          <w:lang w:bidi="ar-SA"/>
        </w:rPr>
        <w:t xml:space="preserve">، وبنى عليه في الردّ على صاحب المدارك </w:t>
      </w:r>
      <w:r>
        <w:rPr>
          <w:rStyle w:val="FootnoteAnchor"/>
          <w:rtl w:val="true"/>
        </w:rPr>
        <w:footnoteReference w:id="168"/>
      </w:r>
      <w:r>
        <w:rPr>
          <w:rFonts w:ascii="Amiri" w:hAnsi="Amiri" w:eastAsia="Amiri" w:cs="Amiri"/>
          <w:color w:val="111111"/>
          <w:sz w:val="28"/>
          <w:sz w:val="28"/>
          <w:szCs w:val="28"/>
          <w:rtl w:val="true"/>
          <w:lang w:bidi="ar-SA"/>
        </w:rPr>
        <w:t xml:space="preserve">حيث استدلّ الأخير على عدم لزوم الاجتناب في الشبهة المحصورة مطلقا بأنّه لو كان واجبا ، لوجب الاجتناب أيضا لو علم بوقوع نجاسة من الميزاب مثلا ، وشكّ في أنّه وقع في الثوب أو القدح ؛ فإنّه أيضا شبهة محصورة ، واللازم باطل ؛ لوضوح عدم لزوم الاجتناب عن مثله ، فكذا الملزوم ولو كان من غير الفرض ؛ لعدم تعقّل الفرق بين الأقسام ، فأورد عليه الأوّل بإحداث الفرق وإبداء الفارق بين المفروض وغيره بأنّ طرفي الشبهة فيه ليسا </w:t>
      </w:r>
      <w:r>
        <w:rPr>
          <w:rStyle w:val="FootnoteAnchor"/>
          <w:rtl w:val="true"/>
        </w:rPr>
        <w:footnoteReference w:id="169"/>
      </w:r>
      <w:r>
        <w:rPr>
          <w:rFonts w:ascii="Amiri" w:hAnsi="Amiri" w:eastAsia="Amiri" w:cs="Amiri"/>
          <w:color w:val="111111"/>
          <w:sz w:val="28"/>
          <w:sz w:val="28"/>
          <w:szCs w:val="28"/>
          <w:rtl w:val="true"/>
          <w:lang w:bidi="ar-SA"/>
        </w:rPr>
        <w:t>بمتجانسين ، فلا يتمّ التقريب ، وعلى ما قلنا يظهر الوجه في ضعف الدليل والإيراد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كلام صاحب الحدائق بوجه يرجع إلى ما بنينا عليه كأن يقال إنّ مراده أنّ مرجع لزوم الاجتناب عن الأرض النجسة إلى النهي عن الصلاة فيها بخلاف لزوم الاجتناب عن القدح ، فإنّه ينحلّ إلى النهي عن شربه مثلا ، فالخطابان مختلفان لا يعلم مخالفة أحدهما تفصيلا كما في الفرض الأوّل ، فالأصل براءة الذمّة عنهما معا مع عدم المعارض على ما ستعرفه إن شاء اللّه إلاّ أنّه لا يخفى ما فيه أيضا ، فإنّ تحليل الخطاب إلى ما ذكر يوجب التفصيل في المتجانسين أيضا في بعض الأحوال كما إذا كان هناك قدحان أحدهما من جنس المأكول ، والآخر من جنس المشروب ، فإنّ الاجتناب عن كلّ منهما في ظرف التحليل يرجع إلى </w:t>
      </w:r>
      <w:r>
        <w:rPr>
          <w:rStyle w:val="FootnoteAnchor"/>
          <w:rtl w:val="true"/>
        </w:rPr>
        <w:footnoteReference w:id="170"/>
      </w:r>
      <w:r>
        <w:rPr>
          <w:rFonts w:ascii="Amiri" w:hAnsi="Amiri" w:eastAsia="Amiri" w:cs="Amiri"/>
          <w:color w:val="111111"/>
          <w:sz w:val="28"/>
          <w:sz w:val="28"/>
          <w:szCs w:val="28"/>
          <w:rtl w:val="true"/>
          <w:lang w:bidi="ar-SA"/>
        </w:rPr>
        <w:t>النهي عن أكله وشربه ، ومثل ذلك لا يلتزم به أحد لا هو ولا غيره ، فتأمّل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فيما يلزم عند عدم الاجتناب طرح خطاب تفصيلي ، وأمّا إذا لم </w:t>
      </w:r>
    </w:p>
    <w:p>
      <w:pPr>
        <w:pStyle w:val="BookText"/>
        <w:rPr/>
      </w:pPr>
      <w:r>
        <w:rPr>
          <w:rFonts w:ascii="Amiri" w:hAnsi="Amiri" w:eastAsia="Amiri" w:cs="Amiri"/>
          <w:color w:val="111111"/>
          <w:sz w:val="28"/>
          <w:sz w:val="28"/>
          <w:szCs w:val="28"/>
          <w:rtl w:val="true"/>
          <w:lang w:bidi="ar-SA"/>
        </w:rPr>
        <w:t xml:space="preserve">يلزم ، فلا يجب الاجتناب وإن لزم العلم بمخالفة أحد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في كلتا الواقعتين للأصل السالم عن معارضة خطاب تفصيلي ، والعلم بمخالفة أحد الخطابين إجمالا لم يعلم تأثيره في قطع الأصل ؛ لعدم الدليل عليه ، فالأصل عدم انقطاعه به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أمثلته لو اشترى دارا وتزوّج امرأة ، ثمّ علم إجمالا أنّ أحد العقدين فاسد إمّا لأنّ الزوجة مرضعة له ، أو أنّ الدار وقف على الفقراء والمساكين ، ولا فرق في ذلك بين علمه بذلك قبل الإقدام أو بعده بإحدى الواقعتين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تعليق </w:t>
      </w:r>
      <w:r>
        <w:rPr>
          <w:rStyle w:val="FootnoteAnchor"/>
          <w:rtl w:val="true"/>
        </w:rPr>
        <w:footnoteReference w:id="172"/>
      </w:r>
      <w:r>
        <w:rPr>
          <w:rFonts w:ascii="Amiri" w:hAnsi="Amiri" w:eastAsia="Amiri" w:cs="Amiri"/>
          <w:color w:val="111111"/>
          <w:sz w:val="28"/>
          <w:sz w:val="28"/>
          <w:szCs w:val="28"/>
          <w:rtl w:val="true"/>
          <w:lang w:bidi="ar-SA"/>
        </w:rPr>
        <w:t>أدلّة البراءة موردها بحصول العلم عدم جريانها عند حصوله مطلقا إجماليا كان أو تفصيليا كما في الشبهة المحصورة ، فلا وجه للاستناد إليها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العلم الإجمالي في المقام إلى شكّين تفصيليّين عند التحليل بخلاف الشبهة المحصورة ، فلو لم يكن فيها خطاب تفصيلي يجب الأخذ به ، لما قلنا بالاجتناب فيها أيضا ، فإنّ أدلّة البراءة عقلا ونقلا في مورد الشكّ محكّمة ، والعلم المردّد بين الواقعتين لا يوجب العلم بخصوصية إحداهما ، فكلّ منهما مشكوك تفصيلا ، ولا يجب امتثال خطابات الشارع ما لم يعلم </w:t>
      </w:r>
      <w:r>
        <w:rPr>
          <w:rStyle w:val="FootnoteAnchor"/>
          <w:rtl w:val="true"/>
        </w:rPr>
        <w:footnoteReference w:id="173"/>
      </w:r>
      <w:r>
        <w:rPr>
          <w:rFonts w:ascii="Amiri" w:hAnsi="Amiri" w:eastAsia="Amiri" w:cs="Amiri"/>
          <w:color w:val="111111"/>
          <w:sz w:val="28"/>
          <w:sz w:val="28"/>
          <w:szCs w:val="28"/>
          <w:rtl w:val="true"/>
          <w:lang w:bidi="ar-SA"/>
        </w:rPr>
        <w:t>تعلّقها بالخصوص ، ولو كان مجملا في محلّه كأن نعلم في المثال المفروض تعلّق الخطاب إجمالا بحرمة الزوجة ، وعدمه على هذا الوجه في المقام أيضا معلوم ؛ إذ الإجمال يكون بين الواقعتين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أيضا خطاب تفصيلي يلزم طرحه عند طرح العلم الإجمالي في الواقعتين وهو ما دلّ على وجوب الانتهاء عن المحرّمات وحرمة ارتكابها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 فلا يكفي ولا يجدي فيما نحن فيه ؛ فإنّه على تقديره أمر </w:t>
      </w:r>
    </w:p>
    <w:p>
      <w:pPr>
        <w:pStyle w:val="BookText"/>
        <w:rPr/>
      </w:pPr>
      <w:r>
        <w:rPr>
          <w:rFonts w:ascii="Amiri" w:hAnsi="Amiri" w:eastAsia="Amiri" w:cs="Amiri"/>
          <w:color w:val="111111"/>
          <w:sz w:val="28"/>
          <w:sz w:val="28"/>
          <w:szCs w:val="28"/>
          <w:rtl w:val="true"/>
          <w:lang w:bidi="ar-SA"/>
        </w:rPr>
        <w:t>إرشادي عقلي لا يورث ثوابا ولا عقابا ، وإلاّ يلزم أنّ من ترك واجبا ، أو أتى بمحرّم أن يعاقب بعقابين ولم يقل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استقرار بناء العقلاء على الاجتناب عن </w:t>
      </w:r>
      <w:r>
        <w:rPr>
          <w:rStyle w:val="FootnoteAnchor"/>
          <w:rtl w:val="true"/>
        </w:rPr>
        <w:footnoteReference w:id="174"/>
      </w:r>
      <w:r>
        <w:rPr>
          <w:rFonts w:ascii="Amiri" w:hAnsi="Amiri" w:eastAsia="Amiri" w:cs="Amiri"/>
          <w:color w:val="111111"/>
          <w:sz w:val="28"/>
          <w:sz w:val="28"/>
          <w:szCs w:val="28"/>
          <w:rtl w:val="true"/>
          <w:lang w:bidi="ar-SA"/>
        </w:rPr>
        <w:t>مثل المقام عهدتها على مدّعيها ، بل لنا أن ندّعي أنّ بناءهم على الخلاف ؛ ألا ترى قبول عذر المرتكب لإحدى الواقعتين بعدم العلم؟</w:t>
      </w:r>
    </w:p>
    <w:p>
      <w:pPr>
        <w:pStyle w:val="BookText"/>
        <w:rPr/>
      </w:pPr>
      <w:r>
        <w:rPr>
          <w:rFonts w:ascii="IRNazanin" w:hAnsi="IRNazanin" w:eastAsia="IRNazanin"/>
          <w:color w:val="111111"/>
          <w:sz w:val="28"/>
          <w:sz w:val="28"/>
          <w:szCs w:val="28"/>
          <w:rtl w:val="true"/>
          <w:lang w:bidi="fa-IR"/>
        </w:rPr>
        <w:t xml:space="preserve">والقول بعدم الفرق </w:t>
      </w:r>
      <w:r>
        <w:rPr>
          <w:rStyle w:val="FootnoteAnchor"/>
          <w:rtl w:val="true"/>
        </w:rPr>
        <w:footnoteReference w:id="175"/>
      </w:r>
      <w:r>
        <w:rPr>
          <w:rFonts w:ascii="Amiri" w:hAnsi="Amiri" w:eastAsia="Amiri" w:cs="Amiri"/>
          <w:color w:val="111111"/>
          <w:sz w:val="28"/>
          <w:sz w:val="28"/>
          <w:szCs w:val="28"/>
          <w:rtl w:val="true"/>
          <w:lang w:bidi="ar-SA"/>
        </w:rPr>
        <w:t>بين المعلوم بالإجمال في المقام وغيره فيما يجب الاجتناب بعد وضوح الفرق واه جدّا ، وكفاك شاهدا في الفرق جواز تصريح الشارع بعدم اعتبار العلم الإجمالي في مثل المقام دون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أنّ اعتبار مثل العلم يحتاج إلى جعل فما لم يثبت فالأصل عدمه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مع توجّه الخطاب التفصيلي على المكلّف وبقائه على ظاهره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يجوز ذلك مع ارتكاب تأويل في ظاهر الخطاب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الاجتناب عن النجس إذا كان معلوما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إنّ مبنى هذا التحقيق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الأوامر الشرعية على ظواهرها ، وعدم تقييدها بالعلم التفصيلي كما فعله البعض</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الاعتماد بالخطابات المنتزعة من الخطابات الشرعية الواردة في مقام بيان الأحكام ، فلا يصحّ في الفرض المذكور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بالاجتناب المنتزع عن إحدى الواقعتين موجود إجمالا ؛ فإنّه ليس من الأدلّة الشرعية ، والقول باعتبار مثله يتوقّف على دعوى استقلال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ملاحظة خطاب الشارع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الاجتناب ، فيكون الخطاب التفصيلي خطابا عقليا وإن لم يكن شرعيّا ، ولا أظنّ </w:t>
      </w:r>
    </w:p>
    <w:p>
      <w:pPr>
        <w:pStyle w:val="BookText"/>
        <w:rPr/>
      </w:pPr>
      <w:r>
        <w:rPr>
          <w:rFonts w:ascii="Amiri" w:hAnsi="Amiri" w:eastAsia="Amiri" w:cs="Amiri"/>
          <w:color w:val="111111"/>
          <w:sz w:val="28"/>
          <w:sz w:val="28"/>
          <w:szCs w:val="28"/>
          <w:rtl w:val="true"/>
          <w:lang w:bidi="ar-SA"/>
        </w:rPr>
        <w:t xml:space="preserve">صدقها بل والمدّعي بذلك </w:t>
      </w:r>
      <w:r>
        <w:rPr>
          <w:rStyle w:val="FootnoteAnchor"/>
          <w:rtl w:val="true"/>
        </w:rPr>
        <w:footnoteReference w:id="176"/>
      </w:r>
      <w:r>
        <w:rPr>
          <w:rFonts w:ascii="Amiri" w:hAnsi="Amiri" w:eastAsia="Amiri" w:cs="Amiri"/>
          <w:color w:val="111111"/>
          <w:sz w:val="28"/>
          <w:sz w:val="28"/>
          <w:szCs w:val="28"/>
          <w:rtl w:val="true"/>
          <w:lang w:bidi="ar-SA"/>
        </w:rPr>
        <w:t>لا يدّعيها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الفرق بين الشبهة المحصورة وبين المقام ؛ فإنّه يجب الاجتناب فيها دون المقام ، فلو ارتكب أحد إحدى الإناءات المشتبهة ، وصادف النجس الواقعي ، ترتّب عليها ما يترتّب عليه من الأحكام الواقعية من الثواب والعقاب والمفسدة والمصلحة وغير ذلك ، فلم لم </w:t>
      </w:r>
      <w:r>
        <w:rPr>
          <w:rStyle w:val="FootnoteAnchor"/>
          <w:rtl w:val="true"/>
        </w:rPr>
        <w:footnoteReference w:id="177"/>
      </w:r>
      <w:r>
        <w:rPr>
          <w:rFonts w:ascii="Amiri" w:hAnsi="Amiri" w:eastAsia="Amiri" w:cs="Amiri"/>
          <w:color w:val="111111"/>
          <w:sz w:val="28"/>
          <w:sz w:val="28"/>
          <w:szCs w:val="28"/>
          <w:rtl w:val="true"/>
          <w:lang w:bidi="ar-SA"/>
        </w:rPr>
        <w:t xml:space="preserve">يصادف ينعطف الحكم إلى ما ذكرناه في التجرّي ، ولا يلزم من عدم التفطّن </w:t>
      </w:r>
      <w:r>
        <w:rPr>
          <w:rStyle w:val="FootnoteAnchor"/>
          <w:rtl w:val="true"/>
        </w:rPr>
        <w:footnoteReference w:id="178"/>
      </w:r>
      <w:r>
        <w:rPr>
          <w:rFonts w:ascii="Amiri" w:hAnsi="Amiri" w:eastAsia="Amiri" w:cs="Amiri"/>
          <w:color w:val="111111"/>
          <w:sz w:val="28"/>
          <w:sz w:val="28"/>
          <w:szCs w:val="28"/>
          <w:rtl w:val="true"/>
          <w:lang w:bidi="ar-SA"/>
        </w:rPr>
        <w:t>بالخطابات كون الشاكّ مكلّفا ولو لم يكن عالما إجمالا كما قد يتوهّم ؛ فإنّ عدم التكليف إنّما هو من جهة جهل المكلّف لا من قصور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 الأعيان بالحلّ والحرمة ، والنجاسة والطهارة راجع إلى ملاحظة حال فعل المكلّف ، فحرمة الخمر راجعة إلى حرمة شربه وإن كان ذلك ممّا تقتضيه الحكمة الكامنة </w:t>
      </w:r>
      <w:r>
        <w:rPr>
          <w:rStyle w:val="FootnoteAnchor"/>
          <w:rtl w:val="true"/>
        </w:rPr>
        <w:footnoteReference w:id="179"/>
      </w:r>
      <w:r>
        <w:rPr>
          <w:rFonts w:ascii="Amiri" w:hAnsi="Amiri" w:eastAsia="Amiri" w:cs="Amiri"/>
          <w:color w:val="111111"/>
          <w:sz w:val="28"/>
          <w:sz w:val="28"/>
          <w:szCs w:val="28"/>
          <w:rtl w:val="true"/>
          <w:lang w:bidi="ar-SA"/>
        </w:rPr>
        <w:t>في نفس تلك الأعيان بأنفسها من غير ملاحظة العلم والجهل فيها إلاّ أنّ إضافتها إلى المكلّف تقضي بلزوم العلم فيها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باعتبار العلم في معاني تلك الأعيان ، فسقوطه واضح ؛ لأنّ ما ذكر لا يصلح وجها للتصرّف في معنى اللفظ </w:t>
      </w:r>
      <w:r>
        <w:rPr>
          <w:rStyle w:val="FootnoteAnchor"/>
          <w:rtl w:val="true"/>
        </w:rPr>
        <w:footnoteReference w:id="180"/>
      </w:r>
      <w:r>
        <w:rPr>
          <w:rFonts w:ascii="Amiri" w:hAnsi="Amiri" w:eastAsia="Amiri" w:cs="Amiri"/>
          <w:color w:val="111111"/>
          <w:sz w:val="28"/>
          <w:sz w:val="28"/>
          <w:szCs w:val="28"/>
          <w:rtl w:val="true"/>
          <w:lang w:bidi="ar-SA"/>
        </w:rPr>
        <w:t xml:space="preserve">، وإن أريد بقيد الخطاب بمطلق العلم ، فلا جدوى فيه ؛ لأنّه موجود في صورة الإكمال أيضا ، وليس كذلك فيما لم يكن هناك خطاب تفصيلي كما في المثال المفروض ؛ إذ وجود كلّ من الخطابين مشكوك بالشكّ التفصيلي ، والعلم الإجمالي لا ينتج شيئا إلاّ بعد ضمّ كبرى كلّية إليه إمّا بأن يدلّ على اعتباره في المقام دليل ، أو يكون في الشرع دليل خاصّ تفصيلي ينهض كبرى للقياس ، ومن المعلوم انتفاؤها </w:t>
      </w:r>
      <w:r>
        <w:rPr>
          <w:rStyle w:val="FootnoteAnchor"/>
          <w:rtl w:val="true"/>
        </w:rPr>
        <w:footnoteReference w:id="181"/>
      </w:r>
      <w:r>
        <w:rPr>
          <w:rFonts w:ascii="Amiri" w:hAnsi="Amiri" w:eastAsia="Amiri" w:cs="Amiri"/>
          <w:color w:val="111111"/>
          <w:sz w:val="28"/>
          <w:sz w:val="28"/>
          <w:szCs w:val="28"/>
          <w:rtl w:val="true"/>
          <w:lang w:bidi="ar-SA"/>
        </w:rPr>
        <w:t>، والخطاب الانتزاعي قد مرّ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هاهنا أقوالا أخر في المسألة لا بأس بالتنبيه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الارتكاب مطلقا ، ومبناه دعوى ظهور الألفاظ في المعلومة منها تفصيلا وضعا أو إطلاقا ، وعموم أدلّة البراءة القاضية برفع ما حجب اللّه علمه عن العباد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 ما قلنا من عدم جواز التصرّف في الظواهر الظاهرة في معانيها الواقعية ، ومنع عمومها الشامل للمقام مطلقا بعد وجود الخطاب التفصيلي على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الاجتناب مطلقا سواء استلزم طرح خطاب تفصيلي على ما اخترناه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عدم دليل على لزومه فيما لم يستلزم طرح دليل تفصيلي إلاّ ما قد ينتزع من الخطاب ، ثمّ </w:t>
      </w:r>
      <w:r>
        <w:rPr>
          <w:rStyle w:val="FootnoteAnchor"/>
          <w:rtl w:val="true"/>
        </w:rPr>
        <w:footnoteReference w:id="183"/>
      </w:r>
      <w:r>
        <w:rPr>
          <w:rFonts w:ascii="Amiri" w:hAnsi="Amiri" w:eastAsia="Amiri" w:cs="Amiri"/>
          <w:color w:val="111111"/>
          <w:sz w:val="28"/>
          <w:sz w:val="28"/>
          <w:szCs w:val="28"/>
          <w:rtl w:val="true"/>
          <w:lang w:bidi="ar-SA"/>
        </w:rPr>
        <w:t xml:space="preserve">بانضمام كبرى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طريقة العقلاء ، أو الحكم العقلي القاطع ، أو غير ذلك ممّا استوفينا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صغرى انتزاعية يتمّ المطلوب ؛ ونحن قد فرغنا عن إبطال صغراه وكبراه على حسب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على ما اختاره صاحب الحدائق ؛ وقد مرّ الكلام فيه بجوابه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عزي إلى بعضهم من التفصيل بين أن يكون طرفا الشبهة حكما واحدا كالحرمة أو الوجوب ، أو حكمين مختلفين ، فقضى بالاجتناب في الثاني دون الأوّل ، فلو علمنا إجمالا إمّا أنّ المرأة الفلانية مرضعة ، أو في القدح الفلاني خمر ، يجب الاجتناب كما لو علمنا بأنّ اليوم هذا من شهر رمضان ، أو سلّم علينا شخص ، يجب ردّ السلام ويحرم عليه الإفطار ؛ ولعلّ مبنى هذا القول تخيّل عدم إمكان الاحتياط فيما لو دار الأمر بين موضوعي الوجوب أو الحرمة كما لو دار الأمر بين كلّ منهما مع الآخر ؛ وهو بمكان من الضعف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الشبهة الوجوبية كاشتباه جهة القبلة بين الجهات ، فيجب </w:t>
      </w:r>
    </w:p>
    <w:p>
      <w:pPr>
        <w:pStyle w:val="BookText"/>
        <w:rPr/>
      </w:pPr>
      <w:r>
        <w:rPr>
          <w:rFonts w:ascii="Amiri" w:hAnsi="Amiri" w:eastAsia="Amiri" w:cs="Amiri"/>
          <w:color w:val="111111"/>
          <w:sz w:val="28"/>
          <w:sz w:val="28"/>
          <w:szCs w:val="28"/>
          <w:rtl w:val="true"/>
          <w:lang w:bidi="ar-SA"/>
        </w:rPr>
        <w:t xml:space="preserve">الاحتياط ، أو التحريمية كاشتباه أحد الإناءين بالآخر ، فيحرم لو قصد ارتكاب الجميع في أوّل الأمر ، وإلاّ فلا وإن ارتكب الجميع أيضا ، ومبناه في الشبهة الوجوبية ظاهر ، وفي الشبهة التحريمية أنّه على الأوّل تعلّق قصده بارتكاب المحرّم فيحرم ، وعلى الثاني لم يقصده وإنّما ارتكبه </w:t>
      </w:r>
      <w:r>
        <w:rPr>
          <w:rStyle w:val="FootnoteAnchor"/>
          <w:rtl w:val="true"/>
        </w:rPr>
        <w:footnoteReference w:id="185"/>
      </w:r>
      <w:r>
        <w:rPr>
          <w:rFonts w:ascii="Amiri" w:hAnsi="Amiri" w:eastAsia="Amiri" w:cs="Amiri"/>
          <w:color w:val="111111"/>
          <w:sz w:val="28"/>
          <w:sz w:val="28"/>
          <w:szCs w:val="28"/>
          <w:rtl w:val="true"/>
          <w:lang w:bidi="ar-SA"/>
        </w:rPr>
        <w:t>من غير اختيار واستناد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يحتاج إلى مقدّمة وهي أنّ الألفاظ وإن قلنا بوضعها للمعاني الواقعية من غير استنادها إلى الاختيار وعدمه إلاّ أنّ وقوعها تلو الأمر والنهي يقضي </w:t>
      </w:r>
      <w:r>
        <w:rPr>
          <w:rStyle w:val="FootnoteAnchor"/>
          <w:rtl w:val="true"/>
        </w:rPr>
        <w:footnoteReference w:id="186"/>
      </w:r>
      <w:r>
        <w:rPr>
          <w:rFonts w:ascii="Amiri" w:hAnsi="Amiri" w:eastAsia="Amiri" w:cs="Amiri"/>
          <w:color w:val="111111"/>
          <w:sz w:val="28"/>
          <w:sz w:val="28"/>
          <w:szCs w:val="28"/>
          <w:rtl w:val="true"/>
          <w:lang w:bidi="ar-SA"/>
        </w:rPr>
        <w:t xml:space="preserve">بكونها ألفاظا للمعاني المستندة إلى الاختيار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 معناه طلب ضرب اختياري من المخاطب ، فلو ضرب وهو نائم ، لا يعدّ ممتثلا ، وعلى قياسه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مثلا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قد تمهّد هذه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المفصّل أراد أنّه عند عدم القصد والاختيار لا يكون منهيّا عنه ، فلا يحرم ، وكما أنّه لو أراد ضرب اليتيم تأديبا ، فضربه ، فبان مقتولا ، فإنّه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الطفل المنهيّ عنه اختيارا ، فكذا لو شرب أحد الإناءين لا بعنوان نجاسته بل رجاء </w:t>
      </w:r>
      <w:r>
        <w:rPr>
          <w:rStyle w:val="FootnoteAnchor"/>
          <w:rtl w:val="true"/>
        </w:rPr>
        <w:footnoteReference w:id="188"/>
      </w:r>
      <w:r>
        <w:rPr>
          <w:rFonts w:ascii="Amiri" w:hAnsi="Amiri" w:eastAsia="Amiri" w:cs="Amiri"/>
          <w:color w:val="111111"/>
          <w:sz w:val="28"/>
          <w:sz w:val="28"/>
          <w:szCs w:val="28"/>
          <w:rtl w:val="true"/>
          <w:lang w:bidi="ar-SA"/>
        </w:rPr>
        <w:t xml:space="preserve">منه بأنّ النجس إنّما هو الآخر ، ثمّ بان أنّ المشروب هو النجس ، لا 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شرب النجس ، فليس منهيّا عنه ؛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يتوهّم أنّ المقدّمة المزبورة هي المسألة المعنونة في كلماتهم بأنّ الأصل في الأوامر أن يكون متعلّقها تعبّديا لا توصّليا ، و </w:t>
      </w:r>
      <w:r>
        <w:rPr>
          <w:rStyle w:val="FootnoteAnchor"/>
          <w:rtl w:val="true"/>
        </w:rPr>
        <w:footnoteReference w:id="189"/>
      </w:r>
      <w:r>
        <w:rPr>
          <w:rFonts w:ascii="Amiri" w:hAnsi="Amiri" w:eastAsia="Amiri" w:cs="Amiri"/>
          <w:color w:val="111111"/>
          <w:sz w:val="28"/>
          <w:sz w:val="28"/>
          <w:szCs w:val="28"/>
          <w:rtl w:val="true"/>
          <w:lang w:bidi="ar-SA"/>
        </w:rPr>
        <w:t xml:space="preserve">ليس على ما توهّم ؛ فإنّ الكلام في المقام من جهة اعتبار القصد والاختيار مطلقا </w:t>
      </w:r>
      <w:r>
        <w:rPr>
          <w:rStyle w:val="FootnoteAnchor"/>
          <w:rtl w:val="true"/>
        </w:rPr>
        <w:footnoteReference w:id="190"/>
      </w:r>
      <w:r>
        <w:rPr>
          <w:rFonts w:ascii="Amiri" w:hAnsi="Amiri" w:eastAsia="Amiri" w:cs="Amiri"/>
          <w:color w:val="111111"/>
          <w:sz w:val="28"/>
          <w:sz w:val="28"/>
          <w:szCs w:val="28"/>
          <w:rtl w:val="true"/>
          <w:lang w:bidi="ar-SA"/>
        </w:rPr>
        <w:t>، وفيها من حيث قصد القربة وعدمها ، فالقاعدة المزبورة تغاير المسألة المذكورة ، وحينئذ يمكن منع الثاني ؛ لعدم الدليل على اعتبار أمر زائد على مطلق القصد بخلاف الأوّل كما هو ظاهر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أنّ ما ذكره من تعلّق الطلب بالأمور الاختيارية ممّا لا يدانيه شائبة </w:t>
      </w:r>
    </w:p>
    <w:p>
      <w:pPr>
        <w:pStyle w:val="BookText"/>
        <w:rPr/>
      </w:pPr>
      <w:r>
        <w:rPr>
          <w:rFonts w:ascii="Amiri" w:hAnsi="Amiri" w:eastAsia="Amiri" w:cs="Amiri"/>
          <w:color w:val="111111"/>
          <w:sz w:val="28"/>
          <w:sz w:val="28"/>
          <w:szCs w:val="28"/>
          <w:rtl w:val="true"/>
          <w:lang w:bidi="ar-SA"/>
        </w:rPr>
        <w:t xml:space="preserve">الارتياب إلاّ أنّه لا يجدي ؛ فإنّ قضيّة مراعاة قواعد اللفظ حصول المقصود من الأمر ، وترتّب ما يترتّب عليه من المصالح والمفاسد على كلّ من الاختياري وغيره ، لما قد نقل عليه إجماع السكّاكي </w:t>
      </w:r>
      <w:r>
        <w:rPr>
          <w:rStyle w:val="FootnoteAnchor"/>
          <w:rtl w:val="true"/>
        </w:rPr>
        <w:footnoteReference w:id="191"/>
      </w:r>
      <w:r>
        <w:rPr>
          <w:rFonts w:ascii="Amiri" w:hAnsi="Amiri" w:eastAsia="Amiri" w:cs="Amiri"/>
          <w:color w:val="111111"/>
          <w:sz w:val="28"/>
          <w:sz w:val="28"/>
          <w:szCs w:val="28"/>
          <w:rtl w:val="true"/>
          <w:lang w:bidi="ar-SA"/>
        </w:rPr>
        <w:t xml:space="preserve">من أنّ المصادر المجرّدة عن اللام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متعلّقات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للماهية </w:t>
      </w:r>
      <w:r>
        <w:rPr>
          <w:rStyle w:val="FootnoteAnchor"/>
          <w:rtl w:val="true"/>
        </w:rPr>
        <w:footnoteReference w:id="192"/>
      </w:r>
      <w:r>
        <w:rPr>
          <w:rFonts w:ascii="Amiri" w:hAnsi="Amiri" w:eastAsia="Amiri" w:cs="Amiri"/>
          <w:color w:val="111111"/>
          <w:sz w:val="28"/>
          <w:sz w:val="28"/>
          <w:szCs w:val="28"/>
          <w:rtl w:val="true"/>
          <w:lang w:bidi="ar-SA"/>
        </w:rPr>
        <w:t xml:space="preserve">المعرّاة عن جميع اللواحق ، ومدلول الهيئة لا يزيد على طلب تلك المادّة من غير تقييدها </w:t>
      </w:r>
      <w:r>
        <w:rPr>
          <w:rStyle w:val="FootnoteAnchor"/>
          <w:rtl w:val="true"/>
        </w:rPr>
        <w:footnoteReference w:id="193"/>
      </w:r>
      <w:r>
        <w:rPr>
          <w:rFonts w:ascii="Amiri" w:hAnsi="Amiri" w:eastAsia="Amiri" w:cs="Amiri"/>
          <w:color w:val="111111"/>
          <w:sz w:val="28"/>
          <w:sz w:val="28"/>
          <w:szCs w:val="28"/>
          <w:rtl w:val="true"/>
          <w:lang w:bidi="ar-SA"/>
        </w:rPr>
        <w:t xml:space="preserve">باختيار ولا غيرها ، غاية الأمر أنّ الطلب الصادر من الآمر لا يتعلّق بغير الاختياري </w:t>
      </w:r>
      <w:r>
        <w:rPr>
          <w:rStyle w:val="FootnoteAnchor"/>
          <w:rtl w:val="true"/>
        </w:rPr>
        <w:footnoteReference w:id="194"/>
      </w:r>
      <w:r>
        <w:rPr>
          <w:rFonts w:ascii="Amiri" w:hAnsi="Amiri" w:eastAsia="Amiri" w:cs="Amiri"/>
          <w:color w:val="111111"/>
          <w:sz w:val="28"/>
          <w:sz w:val="28"/>
          <w:szCs w:val="28"/>
          <w:rtl w:val="true"/>
          <w:lang w:bidi="ar-SA"/>
        </w:rPr>
        <w:t xml:space="preserve">، وذلك لا يوجب تقييد </w:t>
      </w:r>
      <w:r>
        <w:rPr>
          <w:rStyle w:val="FootnoteAnchor"/>
          <w:rtl w:val="true"/>
        </w:rPr>
        <w:footnoteReference w:id="195"/>
      </w:r>
      <w:r>
        <w:rPr>
          <w:rFonts w:ascii="Amiri" w:hAnsi="Amiri" w:eastAsia="Amiri" w:cs="Amiri"/>
          <w:color w:val="111111"/>
          <w:sz w:val="28"/>
          <w:sz w:val="28"/>
          <w:szCs w:val="28"/>
          <w:rtl w:val="true"/>
          <w:lang w:bidi="ar-SA"/>
        </w:rPr>
        <w:t xml:space="preserve">مدلول المادّة به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نفرّق بين المقصود والمطلوب ، ففي الأوّل يكفي اختيارية الفعل نوعا ، وفي الثاني لا بدّ من كونه اختياريا شخصا ، والمدار على الأوّل في الامتثال ؛ إذ لا يقضي لفظ الأمر بأمر زائد عليه ؛ وعدم الكفاية في الثاني إنّما هو من جهة قصور في الطلب لا من جهة عدم صلوح اللفظ ؛ فما ذكره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الامتثال فيهما لو ضرب نائما بعد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المنع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ذلك الضرب ليس مطلوبا ، واختلاف أحكام الطلب وما تعلّق به الأمر ممّا لا يخفى على أحد ، وعلى مثل ذلك يبنى في صحّة الصلاة في الدار المغصوبة ؛ فإنّ الصلاة الصادرة على وجه </w:t>
      </w:r>
      <w:r>
        <w:rPr>
          <w:rStyle w:val="FootnoteAnchor"/>
          <w:rtl w:val="true"/>
        </w:rPr>
        <w:footnoteReference w:id="197"/>
      </w:r>
      <w:r>
        <w:rPr>
          <w:rFonts w:ascii="Amiri" w:hAnsi="Amiri" w:eastAsia="Amiri" w:cs="Amiri"/>
          <w:color w:val="111111"/>
          <w:sz w:val="28"/>
          <w:sz w:val="28"/>
          <w:szCs w:val="28"/>
          <w:rtl w:val="true"/>
          <w:lang w:bidi="ar-SA"/>
        </w:rPr>
        <w:t xml:space="preserve">المحرّم تنافي كونها مطلوبة لكن لا تنافي التوصّل بها إلى مقصود المولى ، فإنّ الماهيّة بجميع أفرادها من حيث إطلاقها متعلّقة للأمر ، ومتصوّرة في أوّل </w:t>
      </w:r>
      <w:r>
        <w:rPr>
          <w:rStyle w:val="FootnoteAnchor"/>
          <w:rtl w:val="true"/>
        </w:rPr>
        <w:footnoteReference w:id="198"/>
      </w:r>
      <w:r>
        <w:rPr>
          <w:rFonts w:ascii="Amiri" w:hAnsi="Amiri" w:eastAsia="Amiri" w:cs="Amiri"/>
          <w:color w:val="111111"/>
          <w:sz w:val="28"/>
          <w:sz w:val="28"/>
          <w:szCs w:val="28"/>
          <w:rtl w:val="true"/>
          <w:lang w:bidi="ar-SA"/>
        </w:rPr>
        <w:t xml:space="preserve">الأمر ، وعدم كون الفرد المحرّم مطلوبا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w:t>
      </w:r>
      <w:r>
        <w:rPr>
          <w:rStyle w:val="FootnoteAnchor"/>
          <w:rtl w:val="true"/>
        </w:rPr>
        <w:footnoteReference w:id="199"/>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قصور في الطلب </w:t>
      </w:r>
    </w:p>
    <w:p>
      <w:pPr>
        <w:pStyle w:val="BookText"/>
        <w:rPr/>
      </w:pPr>
      <w:r>
        <w:rPr>
          <w:rFonts w:ascii="Amiri" w:hAnsi="Amiri" w:eastAsia="Amiri" w:cs="Amiri"/>
          <w:color w:val="111111"/>
          <w:sz w:val="28"/>
          <w:sz w:val="28"/>
          <w:szCs w:val="28"/>
          <w:rtl w:val="true"/>
          <w:lang w:bidi="ar-SA"/>
        </w:rPr>
        <w:t>لا من جهة عدم تعلّق القصد به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أيضا بأنّ المرتكب في الصورة المفروضة لا يعدّ عرفا غير قاصد ، ولا فرق في ذلك بين قصده شرب الكلّ والبعض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يمكن القول بذلك فيما لو قطع بالخلاف ، فانكشف الخلاف ؛ فإنّه يلحقه أحكام الاضطرار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المخالفة هو المخالفة القطعية الحكمية في مجرّد الفتوى كما إذا اختلفت الأمّة في وجوب شيء وحرمته على قولين ، فالحكم بأصالة البراءة والقول بالإباحة مخالف لفتوى الفريقين في نفس القول ، وأمّا العمل ففي صورة اختيار الفعل يوافق القول بالوجوب ، وفي صورة اختيار الترك يطابق القول بالحرمة ، فلا مخالفة في العمل فلا ريب </w:t>
      </w:r>
      <w:r>
        <w:rPr>
          <w:rStyle w:val="FootnoteAnchor"/>
          <w:rtl w:val="true"/>
        </w:rPr>
        <w:footnoteReference w:id="201"/>
      </w:r>
      <w:r>
        <w:rPr>
          <w:rFonts w:ascii="Amiri" w:hAnsi="Amiri" w:eastAsia="Amiri" w:cs="Amiri"/>
          <w:color w:val="111111"/>
          <w:sz w:val="28"/>
          <w:sz w:val="28"/>
          <w:szCs w:val="28"/>
          <w:rtl w:val="true"/>
          <w:lang w:bidi="ar-SA"/>
        </w:rPr>
        <w:t>في جوازها كما تقدّم منّا في توجيه كلام العلاّمة نظرا إلى عدم انصراف الحكم على خلاف ما أنزل اللّه تعالى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بمقتضى الأدلّة الظاهرية بعد امتناع الوصول إلى الواقع إلاّ أنّه يظهر من الأصحاب فيما إذا دار الأمر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التخيّر بين الحكمين والتديّن بأحد الوجهين تخييرا بدويا أو استمراريا على الخلاف المقرّر كما في أخذ المقلّد وتديّنه بفتوى أحد المجتهدين عند اختلافهما في الحكم بوجوب شيء وحرمته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على ما ينبغي ؛ فإنّ مبناه تخيّلهم اعتبار العلم الإجمالي في مثل المقام ولا دليل عليه ، وعلى تقديره ، فاللازم منه بعده هو التخيير </w:t>
      </w:r>
      <w:r>
        <w:rPr>
          <w:rStyle w:val="FootnoteAnchor"/>
          <w:rtl w:val="true"/>
        </w:rPr>
        <w:footnoteReference w:id="202"/>
      </w:r>
      <w:r>
        <w:rPr>
          <w:rFonts w:ascii="Amiri" w:hAnsi="Amiri" w:eastAsia="Amiri" w:cs="Amiri"/>
          <w:color w:val="111111"/>
          <w:sz w:val="28"/>
          <w:sz w:val="28"/>
          <w:szCs w:val="28"/>
          <w:rtl w:val="true"/>
          <w:lang w:bidi="ar-SA"/>
        </w:rPr>
        <w:t xml:space="preserve">بين الفعل والترك المساوق للإباحة لا التخيير </w:t>
      </w:r>
      <w:r>
        <w:rPr>
          <w:rStyle w:val="FootnoteAnchor"/>
          <w:rtl w:val="true"/>
        </w:rPr>
        <w:footnoteReference w:id="203"/>
      </w:r>
      <w:r>
        <w:rPr>
          <w:rFonts w:ascii="Amiri" w:hAnsi="Amiri" w:eastAsia="Amiri" w:cs="Amiri"/>
          <w:color w:val="111111"/>
          <w:sz w:val="28"/>
          <w:sz w:val="28"/>
          <w:szCs w:val="28"/>
          <w:rtl w:val="true"/>
          <w:lang w:bidi="ar-SA"/>
        </w:rPr>
        <w:t>بينهما على جهة استنادهما إلى أحد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أنّ مقتضى العلم الإجمالي فيما دار الأمر بين المتباينين كالظهر والجمعة أوّلا تحصيل الموافقة القطعية ، فلا بدّ في المقام من الفعل والترك حيث إنّ ذلك غير ممكن ، فلا بدّ من المصير إلى ما لا يلزم معه المخالفة القطعية ، وهذه لا تقضي بأزيد من التخيير </w:t>
      </w:r>
      <w:r>
        <w:rPr>
          <w:rStyle w:val="FootnoteAnchor"/>
          <w:rtl w:val="true"/>
        </w:rPr>
        <w:footnoteReference w:id="204"/>
      </w:r>
      <w:r>
        <w:rPr>
          <w:rFonts w:ascii="Amiri" w:hAnsi="Amiri" w:eastAsia="Amiri" w:cs="Amiri"/>
          <w:color w:val="111111"/>
          <w:sz w:val="28"/>
          <w:sz w:val="28"/>
          <w:szCs w:val="28"/>
          <w:rtl w:val="true"/>
          <w:lang w:bidi="ar-SA"/>
        </w:rPr>
        <w:t xml:space="preserve">بين الفعل والترك المساوق للإباحة ، وأمّا أنّ الفعل أو الترك لا بدّ وأن يقع على أحد الوجهين ، فلا دليل عليه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حكمهم بالتخيير </w:t>
      </w:r>
      <w:r>
        <w:rPr>
          <w:rStyle w:val="FootnoteAnchor"/>
          <w:rtl w:val="true"/>
        </w:rPr>
        <w:footnoteReference w:id="205"/>
      </w:r>
      <w:r>
        <w:rPr>
          <w:rFonts w:ascii="Amiri" w:hAnsi="Amiri" w:eastAsia="Amiri" w:cs="Amiri"/>
          <w:color w:val="111111"/>
          <w:sz w:val="28"/>
          <w:sz w:val="28"/>
          <w:szCs w:val="28"/>
          <w:rtl w:val="true"/>
          <w:lang w:bidi="ar-SA"/>
        </w:rPr>
        <w:t xml:space="preserve">على هذا الوجه مبني على دليل آخر كأدلّة وجوب الإطاعة نظرا إلى عدم تحقّقها إلاّ على الوجه المذكور ولو احتياطا ، وللأخبار الواردة في علاج المتعارضين الحاكمة بالتخيير </w:t>
      </w:r>
      <w:r>
        <w:rPr>
          <w:rStyle w:val="FootnoteAnchor"/>
          <w:rtl w:val="true"/>
        </w:rPr>
        <w:footnoteReference w:id="206"/>
      </w:r>
      <w:r>
        <w:rPr>
          <w:rFonts w:ascii="Amiri" w:hAnsi="Amiri" w:eastAsia="Amiri" w:cs="Amiri"/>
          <w:color w:val="111111"/>
          <w:sz w:val="28"/>
          <w:sz w:val="28"/>
          <w:szCs w:val="28"/>
          <w:rtl w:val="true"/>
          <w:lang w:bidi="ar-SA"/>
        </w:rPr>
        <w:t>بينهما بدعوى ظهورها فيه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المخالفة هو المخالفة الحكمية في الفتوى والعمل أيضا 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قسمين ؛ فإنّه تارة يلزم فيها طرح خطاب تفصيلي ، وأخرى لا يلزم ، مثال الأوّل اختلافهم في وجوب الظهر والجمعة ، فلو قيل بعدم وجوبهما رأسا ، يلزم مخالفة العلم الإجمالي فتوى وعملا ، ويلزم طرح خطاب الصلاة المتوجّه على المكلّف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صلاة الجمعة يغاير خطاب صلاة الظهر ، فليس من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المكلّف وقت الظهر في الجمعة خطاب واحد وإن كان مردّدا بين الصلاتين ، ومجملا بالنسبة إليهما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سلّمنا تعدّد الخطاب إلاّ أنّهما </w:t>
      </w:r>
      <w:r>
        <w:rPr>
          <w:rStyle w:val="FootnoteAnchor"/>
          <w:rtl w:val="true"/>
        </w:rPr>
        <w:footnoteReference w:id="207"/>
      </w:r>
      <w:r>
        <w:rPr>
          <w:rFonts w:ascii="Amiri" w:hAnsi="Amiri" w:eastAsia="Amiri" w:cs="Amiri"/>
          <w:color w:val="111111"/>
          <w:sz w:val="28"/>
          <w:sz w:val="28"/>
          <w:szCs w:val="28"/>
          <w:rtl w:val="true"/>
          <w:lang w:bidi="ar-SA"/>
        </w:rPr>
        <w:t xml:space="preserve">في حكم الواحد بعد العلم بأنّ البراءة في أحدهما تقضي </w:t>
      </w:r>
      <w:r>
        <w:rPr>
          <w:rStyle w:val="FootnoteAnchor"/>
          <w:rtl w:val="true"/>
        </w:rPr>
        <w:footnoteReference w:id="208"/>
      </w:r>
      <w:r>
        <w:rPr>
          <w:rFonts w:ascii="Amiri" w:hAnsi="Amiri" w:eastAsia="Amiri" w:cs="Amiri"/>
          <w:color w:val="111111"/>
          <w:sz w:val="28"/>
          <w:sz w:val="28"/>
          <w:szCs w:val="28"/>
          <w:rtl w:val="true"/>
          <w:lang w:bidi="ar-SA"/>
        </w:rPr>
        <w:t xml:space="preserve">بها في الآخر ، وتعدّد الخطاب إنّما يجدي فيما إذا لم يكن بين الخطابين </w:t>
      </w:r>
    </w:p>
    <w:p>
      <w:pPr>
        <w:pStyle w:val="BookText"/>
        <w:rPr/>
      </w:pPr>
      <w:r>
        <w:rPr>
          <w:rFonts w:ascii="Amiri" w:hAnsi="Amiri" w:eastAsia="Amiri" w:cs="Amiri"/>
          <w:color w:val="111111"/>
          <w:sz w:val="28"/>
          <w:sz w:val="28"/>
          <w:szCs w:val="28"/>
          <w:rtl w:val="true"/>
          <w:lang w:bidi="ar-SA"/>
        </w:rPr>
        <w:t xml:space="preserve">علقة يرتفع أحدهما بارتفاع الآخر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Style w:val="FootnoteAnchor"/>
          <w:rtl w:val="true"/>
        </w:rPr>
        <w:footnoteReference w:id="210"/>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إنّما يراد منه الصلاة الوسطى في يوم </w:t>
      </w:r>
      <w:r>
        <w:rPr>
          <w:rStyle w:val="FootnoteAnchor"/>
          <w:rtl w:val="true"/>
        </w:rPr>
        <w:footnoteReference w:id="212"/>
      </w:r>
      <w:r>
        <w:rPr>
          <w:rFonts w:ascii="Amiri" w:hAnsi="Amiri" w:eastAsia="Amiri" w:cs="Amiri"/>
          <w:color w:val="111111"/>
          <w:sz w:val="28"/>
          <w:sz w:val="28"/>
          <w:szCs w:val="28"/>
          <w:rtl w:val="true"/>
          <w:lang w:bidi="ar-SA"/>
        </w:rPr>
        <w:t xml:space="preserve">الجمعة ، إمّا الجمعة وإمّا الظهر وهو خطاب واحد ، كيف كان </w:t>
      </w:r>
      <w:r>
        <w:rPr>
          <w:rStyle w:val="FootnoteAnchor"/>
          <w:rtl w:val="true"/>
        </w:rPr>
        <w:footnoteReference w:id="213"/>
      </w:r>
      <w:r>
        <w:rPr>
          <w:rFonts w:ascii="Amiri" w:hAnsi="Amiri" w:eastAsia="Amiri" w:cs="Amiri"/>
          <w:color w:val="111111"/>
          <w:sz w:val="28"/>
          <w:sz w:val="28"/>
          <w:szCs w:val="28"/>
          <w:rtl w:val="true"/>
          <w:lang w:bidi="ar-SA"/>
        </w:rPr>
        <w:t>، ففي المفروض التحقيق عدم جواز المخالفة ؛ إذ لو بنينا في أمثال المقام على جوازها ، يلزم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 كما لو فرضنا وجود رواية على وجوب الصلاة عند سماع اسم النبيّ صلى‌اللّه‌عليه‌وآله ، ورواية أخرى تدلّ على وجوب قراءة الدعاء عند رؤية الهلال ، وعلمنا أنّ إحدى الروايتين إجمالا مطابقة للواقع ، فإنّه لا يلزم من طرحها والرجوع إلى البراءة طرح خطاب تفصيلي ولا ضير فيها على ما مرّ مفصّلا في الشبهة الموضوعية مع جريان أقوالها إلاّ التفصيل الأخير ؛ فإنّه يختصّ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يفصّل في المقام أيضا بما لا يجري فيها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متعلّق العلم الإجمالي في الأحكام انتقاض أحد الأصلين العمليين ، فلا عبرة به كما لو ثبت جواز شرب العصير العنبي بأصالة البراءة وجواز شرب التتن بها أيضا ، فعلمنا بانتقاض أحدهما إجمالا بغيره </w:t>
      </w:r>
      <w:r>
        <w:rPr>
          <w:rStyle w:val="FootnoteAnchor"/>
          <w:rtl w:val="true"/>
        </w:rPr>
        <w:footnoteReference w:id="214"/>
      </w:r>
      <w:r>
        <w:rPr>
          <w:rFonts w:ascii="Amiri" w:hAnsi="Amiri" w:eastAsia="Amiri" w:cs="Amiri"/>
          <w:color w:val="111111"/>
          <w:sz w:val="28"/>
          <w:sz w:val="28"/>
          <w:szCs w:val="28"/>
          <w:rtl w:val="true"/>
          <w:lang w:bidi="ar-SA"/>
        </w:rPr>
        <w:t xml:space="preserve">، وإن كان تعلّق العلم الإجمالي بانتقاض أحد الأصلين اللفظيّين فنعتبره كما إذا دلّ دليل على عدم جواز الصوم في السفر ، ودليل آخر على أنّ مسافة القصر أربعة فراسخ ، ثمّ علمنا </w:t>
      </w:r>
      <w:r>
        <w:rPr>
          <w:rStyle w:val="FootnoteAnchor"/>
          <w:rtl w:val="true"/>
        </w:rPr>
        <w:footnoteReference w:id="215"/>
      </w:r>
      <w:r>
        <w:rPr>
          <w:rFonts w:ascii="Amiri" w:hAnsi="Amiri" w:eastAsia="Amiri" w:cs="Amiri"/>
          <w:color w:val="111111"/>
          <w:sz w:val="28"/>
          <w:sz w:val="28"/>
          <w:szCs w:val="28"/>
          <w:rtl w:val="true"/>
          <w:lang w:bidi="ar-SA"/>
        </w:rPr>
        <w:t xml:space="preserve">بأنّ المعصوم عليه‌السلام صام في يوم عرفة ، فنعلم إجمالا بأنّ أحد الدليلين لا يراد منه ظاهره ، فيسري الإجمال منه إلى الآخر </w:t>
      </w:r>
      <w:r>
        <w:rPr>
          <w:rStyle w:val="FootnoteAnchor"/>
          <w:rtl w:val="true"/>
        </w:rPr>
        <w:footnoteReference w:id="216"/>
      </w:r>
      <w:r>
        <w:rPr>
          <w:rFonts w:ascii="Amiri" w:hAnsi="Amiri" w:eastAsia="Amiri" w:cs="Amiri"/>
          <w:color w:val="111111"/>
          <w:sz w:val="28"/>
          <w:sz w:val="28"/>
          <w:szCs w:val="28"/>
          <w:rtl w:val="true"/>
          <w:lang w:bidi="ar-SA"/>
        </w:rPr>
        <w:t>، فيحتاط فيهما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قد يوجد في بعض الأخبار ما يستفاد منها بطلان الصلاة من المرأة المقتدية </w:t>
      </w:r>
    </w:p>
    <w:p>
      <w:pPr>
        <w:pStyle w:val="BookText"/>
        <w:rPr/>
      </w:pPr>
      <w:r>
        <w:rPr>
          <w:rFonts w:ascii="Amiri" w:hAnsi="Amiri" w:eastAsia="Amiri" w:cs="Amiri"/>
          <w:color w:val="111111"/>
          <w:sz w:val="28"/>
          <w:sz w:val="28"/>
          <w:szCs w:val="28"/>
          <w:rtl w:val="true"/>
          <w:lang w:bidi="ar-SA"/>
        </w:rPr>
        <w:t>بالإمام إذا كانت محاذية للرجال ، وكذا لو كانت صلاتها مخالفة لصلاة الإمام نوعا ؛ فإنّه يعلم إجمالا أنّ جهة الفساد إمّا التحاذي ، وإمّا التخالف ، فلا بدّ من التصرّف في أحد الدليلين الدالّ أحدهما على جواز التحاذي ، والآخر على جواز التخالف ، فلا يراد من أحدهما ظاهره فيسري منه الإجمال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المقام بين الأصلين اللفظيّين والعمليّين ، فلا وجه للتفصيل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المقامين ، فإنّ الأصول العملية معتبرة من باب التعبّد والسببية المطلقة ، والظاهر من أدلّتها انقطاعها بعد وجود العلم التفصيلي في مجراها كما يشهد بذلك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بيقين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 فالعلم الإجمالي لا ينقطع بشيء منها في مجراها بخلاف الأصول اللفظية ، فإنّ اعتبارها من جهة الكشف ، وبعد ما فرضنا من تعلّق العلم الإجمالي بما يخالف أحدهما لا يحصل الكشف ،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يطلب من محلّه ؛ لجواز انقطاع الأصل بالعلم الإجمالي ، والتطويل في بيانه يوجب الخروج عن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بالنسبة إلى الشكّ في التكليف والمكلّف 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الكلام في الشكّ في المكلّف ، فيرجع إجمالا إلى ما تقدّم من الاجتناب فيما يلزم طرح خطاب تفصيلي ، وعدمه فيما إذا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فيه أنّه ينقسم إلى </w:t>
      </w:r>
      <w:r>
        <w:rPr>
          <w:rStyle w:val="FootnoteAnchor"/>
          <w:rtl w:val="true"/>
        </w:rPr>
        <w:footnoteReference w:id="218"/>
      </w:r>
      <w:r>
        <w:rPr>
          <w:rFonts w:ascii="Amiri" w:hAnsi="Amiri" w:eastAsia="Amiri" w:cs="Amiri"/>
          <w:color w:val="111111"/>
          <w:sz w:val="28"/>
          <w:sz w:val="28"/>
          <w:szCs w:val="28"/>
          <w:rtl w:val="true"/>
          <w:lang w:bidi="ar-SA"/>
        </w:rPr>
        <w:t xml:space="preserve">قسمين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يتردّد </w:t>
      </w:r>
      <w:r>
        <w:rPr>
          <w:rStyle w:val="FootnoteAnchor"/>
          <w:rtl w:val="true"/>
        </w:rPr>
        <w:footnoteReference w:id="219"/>
      </w:r>
      <w:r>
        <w:rPr>
          <w:rFonts w:ascii="Amiri" w:hAnsi="Amiri" w:eastAsia="Amiri" w:cs="Amiri"/>
          <w:color w:val="111111"/>
          <w:sz w:val="28"/>
          <w:sz w:val="28"/>
          <w:szCs w:val="28"/>
          <w:rtl w:val="true"/>
          <w:lang w:bidi="ar-SA"/>
        </w:rPr>
        <w:t xml:space="preserve">موضوع من الموضوعات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عليه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المكلّفين فصاعدا كما لو علم حصول الجنابة ولم يعلم تعلّقها بشخص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مكلّف واحد بين موضوعين من الموضوعات الشرعية كالخنثى المردّد بين الصنفين بعد العلم بعدم خروجه عنهما ، فالكلام في القسم الأوّل يقع في موارد ؛ فإنّه تارة يتكلّم من حيث أحكام كلّ واحد منهما بالنسبة إلى نفسه ، وأخرى بالنسبة إلى آخر ، ومرّة من حيث أحكام غيرهما بالنسبة إليهما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بالنسبة إلى الأحكام الراجعة إلى نفسهما ، فالظاهر جريان البراءة في كلّ منهما </w:t>
      </w:r>
      <w:r>
        <w:rPr>
          <w:rStyle w:val="FootnoteAnchor"/>
          <w:rtl w:val="true"/>
        </w:rPr>
        <w:footnoteReference w:id="220"/>
      </w:r>
      <w:r>
        <w:rPr>
          <w:rFonts w:ascii="Amiri" w:hAnsi="Amiri" w:eastAsia="Amiri" w:cs="Amiri"/>
          <w:color w:val="111111"/>
          <w:sz w:val="28"/>
          <w:sz w:val="28"/>
          <w:szCs w:val="28"/>
          <w:rtl w:val="true"/>
          <w:lang w:bidi="ar-SA"/>
        </w:rPr>
        <w:t>، والحكم بالطهارة في المفروض بل قد يقال بنفي الخلاف فيه بعد جهل التكليف ، ولا يلزم من جريانها طرح خطاب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بالنسبة إلى كلّ منهما مع الآخر كاقتداء أحدهما بالآخر ، فإن قلنا بأنّ الطهارة شرط في الاقتداء واقعا كما هو الظاهر ، فلا يصحّ قطعا ؛ لما عرفت من اعتبار العلم التفصيلي المتولّد من العلم الإجمالي ، وإن قلنا بأنّها من الشروط العلمية ، فيمكن القول بالصحّة وعدم اعتبار العلم حسبما فصّل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أنّه لو استأجر أحدهما الآخر لقراءة العزائم حتّى يتبعه في القراءة من أمثلة المقام ، وليس كذلك ؛ فإنّ القراءة فيهما راجعة إلى نفسهما ، ولا علقة بين عملهما كالاقتداء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بأنّ الموجر مثلا يعلم بأنّه إمّا </w:t>
      </w:r>
      <w:r>
        <w:rPr>
          <w:rStyle w:val="FootnoteAnchor"/>
          <w:rtl w:val="true"/>
        </w:rPr>
        <w:footnoteReference w:id="221"/>
      </w:r>
      <w:r>
        <w:rPr>
          <w:rFonts w:ascii="Amiri" w:hAnsi="Amiri" w:eastAsia="Amiri" w:cs="Amiri"/>
          <w:color w:val="111111"/>
          <w:sz w:val="28"/>
          <w:sz w:val="28"/>
          <w:szCs w:val="28"/>
          <w:rtl w:val="true"/>
          <w:lang w:bidi="ar-SA"/>
        </w:rPr>
        <w:t xml:space="preserve">فاعل للحرام من جهة قراءة نفسه </w:t>
      </w:r>
      <w:r>
        <w:rPr>
          <w:rStyle w:val="FootnoteAnchor"/>
          <w:rtl w:val="true"/>
        </w:rPr>
        <w:footnoteReference w:id="222"/>
      </w:r>
      <w:r>
        <w:rPr>
          <w:rFonts w:ascii="Amiri" w:hAnsi="Amiri" w:eastAsia="Amiri" w:cs="Amiri"/>
          <w:color w:val="111111"/>
          <w:sz w:val="28"/>
          <w:sz w:val="28"/>
          <w:szCs w:val="28"/>
          <w:rtl w:val="true"/>
          <w:lang w:bidi="ar-SA"/>
        </w:rPr>
        <w:t xml:space="preserve">على تقدير جنابته ، أو استأجر الآخر لعمل يحرم عليه </w:t>
      </w:r>
      <w:r>
        <w:rPr>
          <w:rStyle w:val="FootnoteAnchor"/>
          <w:rtl w:val="true"/>
        </w:rPr>
        <w:footnoteReference w:id="223"/>
      </w:r>
      <w:r>
        <w:rPr>
          <w:rFonts w:ascii="Amiri" w:hAnsi="Amiri" w:eastAsia="Amiri" w:cs="Amiri"/>
          <w:color w:val="111111"/>
          <w:sz w:val="28"/>
          <w:sz w:val="28"/>
          <w:szCs w:val="28"/>
          <w:rtl w:val="true"/>
          <w:lang w:bidi="ar-SA"/>
        </w:rPr>
        <w:t>على تقدير جنابة الآخر ، لكان أوجه إلاّ أنّه أيضا لا وجه له ؛ لعدم الدليل على عدم جواز استيجار الجنب لقراءة العزائم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 بجنابته واقعا ، يحرم الاستيجار ، وليس المقام منه كما لا يخفى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حكم ما لو حمل أحدهما الآخر في دخول المسجد ، فإنّه جائز ، أمّا </w:t>
      </w:r>
    </w:p>
    <w:p>
      <w:pPr>
        <w:pStyle w:val="BookText"/>
        <w:rPr/>
      </w:pPr>
      <w:r>
        <w:rPr>
          <w:rFonts w:ascii="Amiri" w:hAnsi="Amiri" w:eastAsia="Amiri" w:cs="Amiri"/>
          <w:color w:val="111111"/>
          <w:sz w:val="28"/>
          <w:sz w:val="28"/>
          <w:szCs w:val="28"/>
          <w:rtl w:val="true"/>
          <w:lang w:bidi="ar-SA"/>
        </w:rPr>
        <w:t>دخوله ، فلأنّه طاهر بالأصل ، وأمّا إدخاله الغير ، فلأنّ الغير طاهر أيضا بالأصل ، وعلى تقدير جنابته ، فلا دليل على عدم جواز إدخال الجنب في المسجد ؛ لأنّ الدخول غير الإدخال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بالنسبة إلى الخارج منهما معا ، فمثل ما مرّ آنفا من عدم جواز الاقتداء بهما في صلاتيه لو قلنا بالطهارة الواقعية ، وجوازه لو قلنا بالمعلومة ، وينبغي أن يعلم أنّ الإجارة وإن لم تكن حراما إلاّ أنّ الموجر لا يملك عملهما ؛ لكونه محرّما ، ولا يجوز للثالث التصرّف في أجرتهما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القسم الثاني أيضا يقع في موردين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 الغير بالنسبة إليه ، والمرجع في ذلك إلى ما تقتضيه الأصول فيعمل به </w:t>
      </w:r>
      <w:r>
        <w:rPr>
          <w:rStyle w:val="FootnoteAnchor"/>
          <w:rtl w:val="true"/>
        </w:rPr>
        <w:footnoteReference w:id="224"/>
      </w:r>
      <w:r>
        <w:rPr>
          <w:rFonts w:ascii="Amiri" w:hAnsi="Amiri" w:eastAsia="Amiri" w:cs="Amiri"/>
          <w:color w:val="111111"/>
          <w:sz w:val="28"/>
          <w:sz w:val="28"/>
          <w:szCs w:val="28"/>
          <w:rtl w:val="true"/>
          <w:lang w:bidi="ar-SA"/>
        </w:rPr>
        <w:t xml:space="preserve">، وإن خالف العلم الإجمالي فيما لم يلزم </w:t>
      </w:r>
      <w:r>
        <w:rPr>
          <w:rStyle w:val="FootnoteAnchor"/>
          <w:rtl w:val="true"/>
        </w:rPr>
        <w:footnoteReference w:id="225"/>
      </w:r>
      <w:r>
        <w:rPr>
          <w:rFonts w:ascii="Amiri" w:hAnsi="Amiri" w:eastAsia="Amiri" w:cs="Amiri"/>
          <w:color w:val="111111"/>
          <w:sz w:val="28"/>
          <w:sz w:val="28"/>
          <w:szCs w:val="28"/>
          <w:rtl w:val="true"/>
          <w:lang w:bidi="ar-SA"/>
        </w:rPr>
        <w:t xml:space="preserve">طرح خطاب تفصيلي ، فتزويج الغير ممّا لا يترتّب عليه الأثر ؛ لأصالة عدم الصحّة ، ودعوى عموم وجوب الوفاء بالعقد واهية ، لاختصاصها فيما إذا </w:t>
      </w:r>
      <w:r>
        <w:rPr>
          <w:rStyle w:val="FootnoteAnchor"/>
          <w:rtl w:val="true"/>
        </w:rPr>
        <w:footnoteReference w:id="226"/>
      </w:r>
      <w:r>
        <w:rPr>
          <w:rFonts w:ascii="Amiri" w:hAnsi="Amiri" w:eastAsia="Amiri" w:cs="Amiri"/>
          <w:color w:val="111111"/>
          <w:sz w:val="28"/>
          <w:sz w:val="28"/>
          <w:szCs w:val="28"/>
          <w:rtl w:val="true"/>
          <w:lang w:bidi="ar-SA"/>
        </w:rPr>
        <w:t>كان المحلّ قابلا ، فلا يصحّ التمسّك به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وطؤها ، ففي صورة الشبهة </w:t>
      </w:r>
      <w:r>
        <w:rPr>
          <w:rStyle w:val="FootnoteAnchor"/>
          <w:rtl w:val="true"/>
        </w:rPr>
        <w:footnoteReference w:id="227"/>
      </w:r>
      <w:r>
        <w:rPr>
          <w:rFonts w:ascii="Amiri" w:hAnsi="Amiri" w:eastAsia="Amiri" w:cs="Amiri"/>
          <w:color w:val="111111"/>
          <w:sz w:val="28"/>
          <w:sz w:val="28"/>
          <w:szCs w:val="28"/>
          <w:rtl w:val="true"/>
          <w:lang w:bidi="ar-SA"/>
        </w:rPr>
        <w:t xml:space="preserve">ممّا </w:t>
      </w:r>
      <w:r>
        <w:rPr>
          <w:rStyle w:val="FootnoteAnchor"/>
          <w:rtl w:val="true"/>
        </w:rPr>
        <w:footnoteReference w:id="228"/>
      </w:r>
      <w:r>
        <w:rPr>
          <w:rFonts w:ascii="Amiri" w:hAnsi="Amiri" w:eastAsia="Amiri" w:cs="Amiri"/>
          <w:color w:val="111111"/>
          <w:sz w:val="28"/>
          <w:sz w:val="28"/>
          <w:szCs w:val="28"/>
          <w:rtl w:val="true"/>
          <w:lang w:bidi="ar-SA"/>
        </w:rPr>
        <w:t>لا إشكال في عدم جوازه ، وأمّا بدونها ، فيحتمل الجواز نظرا إلى أنّ ثقبتها غير معلومة فرجيّتها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النظر إليها ، فيحتمل الجواز عملا بأصالة البراءة بعد عدم لزوم طرح الخطاب التفصيلي </w:t>
      </w:r>
      <w:r>
        <w:rPr>
          <w:rStyle w:val="FootnoteAnchor"/>
          <w:rtl w:val="true"/>
        </w:rPr>
        <w:footnoteReference w:id="229"/>
      </w:r>
      <w:r>
        <w:rPr>
          <w:rFonts w:ascii="Amiri" w:hAnsi="Amiri" w:eastAsia="Amiri" w:cs="Amiri"/>
          <w:color w:val="111111"/>
          <w:sz w:val="28"/>
          <w:sz w:val="28"/>
          <w:szCs w:val="28"/>
          <w:rtl w:val="true"/>
          <w:lang w:bidi="ar-SA"/>
        </w:rPr>
        <w:t xml:space="preserve">؛ لأنّ الناظر لو كان رجلا ، فيحتمل كونها مماثلا له في الرجولية ، فلا علم بتعلّق الخطاب ، وكذا لو كانت الناظرة أنثى ، ويحتمل عدم الجواز نظرا إلى عموم الأمر بالغضّ للمؤمن والمؤمنة ، خرج ما علم رجوليته للأوّل وأنوثيّته للثاني بقي الباقي تحت العامّ على الخلاف المقرّر من جواز التمسّك بالعامّ في الموضوعات وعدمه ولو اشترى الخنثى </w:t>
      </w:r>
    </w:p>
    <w:p>
      <w:pPr>
        <w:pStyle w:val="BookText"/>
        <w:rPr/>
      </w:pPr>
      <w:r>
        <w:rPr>
          <w:rFonts w:ascii="Amiri" w:hAnsi="Amiri" w:eastAsia="Amiri" w:cs="Amiri"/>
          <w:color w:val="111111"/>
          <w:sz w:val="28"/>
          <w:sz w:val="28"/>
          <w:szCs w:val="28"/>
          <w:rtl w:val="true"/>
          <w:lang w:bidi="ar-SA"/>
        </w:rPr>
        <w:t xml:space="preserve">أخوها ، فهل ينعتق عليه أم لا؟ الأصل عدم الانعتاق ، وأمّا في الإرث فالأصل عدم استحقاقها ممّا </w:t>
      </w:r>
      <w:r>
        <w:rPr>
          <w:rStyle w:val="FootnoteAnchor"/>
          <w:rtl w:val="true"/>
        </w:rPr>
        <w:footnoteReference w:id="230"/>
      </w:r>
      <w:r>
        <w:rPr>
          <w:rFonts w:ascii="Amiri" w:hAnsi="Amiri" w:eastAsia="Amiri" w:cs="Amiri"/>
          <w:color w:val="111111"/>
          <w:sz w:val="28"/>
          <w:sz w:val="28"/>
          <w:szCs w:val="28"/>
          <w:rtl w:val="true"/>
          <w:lang w:bidi="ar-SA"/>
        </w:rPr>
        <w:t>يزيد على حصّة النساء وإن كان قد يعارض بأنّ الأصل عدم زيادة حصّة الغير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حكمها بالنسبة إلى نفسها وإلى غيرها في المثال المفروض ، فالمرجع فيه أيضا إلى ما فصّلناه من طرح الخطاب وعدمه ، فلا يجوز لها النظر إلى الغير نظرا إلى علمه بوجوب الغضّ تفصيلا ، وجهل المتعلّق لا يسري في الحكم ، فيجب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للجواز بلزوم العسر المنفيّ على تقدير عدمه ، وأمّا وطؤه الغير ، فالأصل جوازه ؛ لاحتمال زيادة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الخنثى بالأنثى ، والرجل على الخنثى ، وجب الغسل على الخنثى دون الرجل والأنثى ؛ لحصول العلم التفصيلي بالنسبة إلى الخنثى دون الرجل والأنثى ، وأمّا تزويجها الغير فكما تقدّم الأصل عدم ترتّب الآثار عليه ، وكذا مسألة العتق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حكمها في العبادات فيختلف الموارد ، فلو رجع شكّها إلى ما هو شرط لها أوّلا كوجوب تغطية الرأس ، فيجب على القول بالاشتغال ، ولا يجب على البراءة ، ومثله الجهر والإخفات لو </w:t>
      </w:r>
      <w:r>
        <w:rPr>
          <w:rStyle w:val="FootnoteAnchor"/>
          <w:rtl w:val="true"/>
        </w:rPr>
        <w:footnoteReference w:id="231"/>
      </w:r>
      <w:r>
        <w:rPr>
          <w:rFonts w:ascii="Amiri" w:hAnsi="Amiri" w:eastAsia="Amiri" w:cs="Amiri"/>
          <w:color w:val="111111"/>
          <w:sz w:val="28"/>
          <w:sz w:val="28"/>
          <w:szCs w:val="28"/>
          <w:rtl w:val="true"/>
          <w:lang w:bidi="ar-SA"/>
        </w:rPr>
        <w:t>قلنا بجواز الإخفات لها في موضع الجهر ، وأمّا لو قلنا بوجوبه ، فيحتمل لزوم تكرير العمل بأن يقرأ حمدين وسورتين ، ويلتزم بجواز التكرير في المقام أو تكرير الصلاة ، ويحتمل التخيير بينهما كما عن الشهيد في الذكرى مع أنّ طريقها الاحتياط في 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يتخيّر في الجهر والإخفات ، وإن جهرت في موضع الإخفات </w:t>
      </w:r>
      <w:r>
        <w:rPr>
          <w:rStyle w:val="FootnoteAnchor"/>
          <w:rtl w:val="true"/>
        </w:rPr>
        <w:footnoteReference w:id="232"/>
      </w:r>
      <w:r>
        <w:rPr>
          <w:rFonts w:ascii="Amiri" w:hAnsi="Amiri" w:eastAsia="Amiri" w:cs="Amiri"/>
          <w:color w:val="111111"/>
          <w:sz w:val="28"/>
          <w:sz w:val="28"/>
          <w:szCs w:val="28"/>
          <w:rtl w:val="true"/>
          <w:lang w:bidi="ar-SA"/>
        </w:rPr>
        <w:t xml:space="preserve">فهو أولى إذا لم يستلزم سماع من يحرم سماعه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أورد عليه المحقّق القمّي </w:t>
      </w:r>
      <w:r>
        <w:rPr>
          <w:rStyle w:val="FootnoteAnchor"/>
          <w:rtl w:val="true"/>
        </w:rPr>
        <w:footnoteReference w:id="234"/>
      </w:r>
      <w:r>
        <w:rPr>
          <w:rFonts w:ascii="Amiri" w:hAnsi="Amiri" w:eastAsia="Amiri" w:cs="Amiri"/>
          <w:color w:val="111111"/>
          <w:sz w:val="28"/>
          <w:sz w:val="28"/>
          <w:szCs w:val="28"/>
          <w:rtl w:val="true"/>
          <w:lang w:bidi="ar-SA"/>
        </w:rPr>
        <w:t>بأنّ ذلك ينافي إلحاقه الخنثى في مسألة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بعض الأجلّة </w:t>
      </w:r>
      <w:r>
        <w:rPr>
          <w:rStyle w:val="FootnoteAnchor"/>
          <w:rtl w:val="true"/>
        </w:rPr>
        <w:footnoteReference w:id="235"/>
      </w:r>
      <w:r>
        <w:rPr>
          <w:rFonts w:ascii="Amiri" w:hAnsi="Amiri" w:eastAsia="Amiri" w:cs="Amiri"/>
          <w:color w:val="111111"/>
          <w:sz w:val="28"/>
          <w:sz w:val="28"/>
          <w:szCs w:val="28"/>
          <w:rtl w:val="true"/>
          <w:lang w:bidi="ar-SA"/>
        </w:rPr>
        <w:t>بأنّ الحكم بالتخيير إنّما هو لخصوصية قاضية وهو معذورية الجاهل بالحكم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فإنّ المسلّم من العذر فيما لو كان الحكم والموضوع معا مجهولا ، وأمّا إذا كان عالما بالحكم جاهلا بالموضوع ، فلا دليل على معذوريته كما في المقام ، فتدبّر جيّدا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6273_211433"/>
      <w:bookmarkStart w:id="35" w:name="pg16273_211433"/>
      <w:bookmarkEnd w:id="35"/>
    </w:p>
    <w:p>
      <w:pPr>
        <w:pStyle w:val="Heading2"/>
        <w:numPr>
          <w:ilvl w:val="1"/>
          <w:numId w:val="1"/>
        </w:numPr>
        <w:rPr/>
      </w:pPr>
      <w:bookmarkStart w:id="36" w:name="pg16273_211433"/>
      <w:bookmarkStart w:id="37" w:name="__RefHeading___Toc4803482_1280447820"/>
      <w:bookmarkStart w:id="38" w:name="_Toc13"/>
      <w:bookmarkEnd w:id="36"/>
      <w:bookmarkEnd w:id="37"/>
      <w:r>
        <w:rPr>
          <w:rtl w:val="true"/>
        </w:rPr>
        <w:t xml:space="preserve">[ </w:t>
      </w:r>
      <w:r>
        <w:rPr>
          <w:rtl w:val="true"/>
        </w:rPr>
        <w:t xml:space="preserve">في الظنّ </w:t>
      </w:r>
      <w:r>
        <w:rPr>
          <w:rtl w:val="true"/>
        </w:rPr>
        <w:t>]</w:t>
      </w:r>
      <w:bookmarkEnd w:id="38"/>
    </w:p>
    <w:p>
      <w:pPr>
        <w:pStyle w:val="Heading3"/>
        <w:numPr>
          <w:ilvl w:val="2"/>
          <w:numId w:val="1"/>
        </w:numPr>
        <w:rPr/>
      </w:pPr>
      <w:bookmarkStart w:id="39" w:name="__RefHeading___Toc4803484_1280447820"/>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وإذ قد عرفت تحقيق القول في العلم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والتفصيلي تفصيلا ، فلنعطف الكلام إلى ما هو عقد الباب له وهو حجّية الظنّ ، ويقع الكلام فيه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إمكان التعبّد به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التعبّد به فنقول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803486_1280447820"/>
      <w:bookmarkStart w:id="42" w:name="_Toc15"/>
      <w:bookmarkEnd w:id="41"/>
      <w:r>
        <w:rPr>
          <w:rtl w:val="true"/>
        </w:rPr>
        <w:t>أمّا المقام الأوّل</w:t>
      </w:r>
      <w:bookmarkEnd w:id="42"/>
    </w:p>
    <w:p>
      <w:pPr>
        <w:pStyle w:val="BookText"/>
        <w:rPr/>
      </w:pPr>
      <w:r>
        <w:rPr>
          <w:rFonts w:ascii="Amiri" w:hAnsi="Amiri" w:eastAsia="Amiri" w:cs="Amiri"/>
          <w:color w:val="111111"/>
          <w:sz w:val="28"/>
          <w:sz w:val="28"/>
          <w:szCs w:val="28"/>
          <w:rtl w:val="true"/>
          <w:lang w:bidi="ar-SA"/>
        </w:rPr>
        <w:t xml:space="preserve">أمّا المقام </w:t>
      </w:r>
      <w:r>
        <w:rPr>
          <w:rStyle w:val="FootnoteAnchor"/>
          <w:rtl w:val="true"/>
        </w:rPr>
        <w:footnoteReference w:id="236"/>
      </w: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 xml:space="preserve">في جواز التعبّد بالظنّ </w:t>
      </w:r>
      <w:r>
        <w:rPr>
          <w:rStyle w:val="FootnoteAnchor"/>
          <w:rtl w:val="true"/>
        </w:rPr>
        <w:footnoteReference w:id="237"/>
      </w:r>
      <w:r>
        <w:rPr>
          <w:rFonts w:ascii="Amiri" w:hAnsi="Amiri" w:eastAsia="Amiri" w:cs="Amiri"/>
          <w:color w:val="111111"/>
          <w:sz w:val="28"/>
          <w:sz w:val="28"/>
          <w:szCs w:val="28"/>
          <w:rtl w:val="true"/>
          <w:lang w:bidi="ar-SA"/>
        </w:rPr>
        <w:t xml:space="preserve">، فالمشهور بين أصحابنا ومخالفينا على ما نقل عنهم جواز التعبّد ، والمنقول عن بعض أصحابنا عدمه ، ومال إليه جملة من مخالفينا ، ثمّ المشهور حكاية هذا القول في أصحابنا عن ابن قبة </w:t>
      </w:r>
      <w:r>
        <w:rPr>
          <w:rStyle w:val="FootnoteAnchor"/>
          <w:rtl w:val="true"/>
        </w:rPr>
        <w:footnoteReference w:id="238"/>
      </w:r>
      <w:r>
        <w:rPr>
          <w:rFonts w:ascii="Amiri" w:hAnsi="Amiri" w:eastAsia="Amiri" w:cs="Amiri"/>
          <w:color w:val="111111"/>
          <w:sz w:val="28"/>
          <w:sz w:val="28"/>
          <w:szCs w:val="28"/>
          <w:rtl w:val="true"/>
          <w:lang w:bidi="ar-SA"/>
        </w:rPr>
        <w:t>ومقالتهم في العنوان وإن اختصّت بخبر الواحد إلاّ أنّ الاحتجاج المنقول منهم في دعواهم صريح في عدم جواز التعبّد بالظنّ مطلقا ، فلا بدّ من تنزيل المذكور في العنوان على المثال ، وهل النزاع في الإمكان والامتناع الذاتيين ، أو فيهما ولو بملاحظة ما يلزم على تقديره من القبيح؟</w:t>
      </w:r>
    </w:p>
    <w:p>
      <w:pPr>
        <w:pStyle w:val="BookText"/>
        <w:rPr/>
      </w:pPr>
      <w:r>
        <w:rPr>
          <w:rFonts w:ascii="Amiri" w:hAnsi="Amiri" w:eastAsia="Amiri" w:cs="Amiri"/>
          <w:color w:val="111111"/>
          <w:sz w:val="28"/>
          <w:sz w:val="28"/>
          <w:szCs w:val="28"/>
          <w:rtl w:val="true"/>
          <w:lang w:bidi="ar-SA"/>
        </w:rPr>
        <w:t>والظاهر هو الثاني ، والحقّ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الجواز وقوع التعبّد كثيرا كما يظهر من طريقة الموالي بالنسبة إلى عبيدهم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يستند في المقام وأمثاله إلى أصالة الإمكان كما في مسألة جواز التجزّي </w:t>
      </w:r>
    </w:p>
    <w:p>
      <w:pPr>
        <w:pStyle w:val="BookText"/>
        <w:rPr/>
      </w:pPr>
      <w:r>
        <w:rPr>
          <w:rFonts w:ascii="Amiri" w:hAnsi="Amiri" w:eastAsia="Amiri" w:cs="Amiri"/>
          <w:color w:val="111111"/>
          <w:sz w:val="28"/>
          <w:sz w:val="28"/>
          <w:szCs w:val="28"/>
          <w:rtl w:val="true"/>
          <w:lang w:bidi="ar-SA"/>
        </w:rPr>
        <w:t xml:space="preserve">واجتماع الأمر والنهي ، والأصل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في كلام بعض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الغلبة ، وليس على ما ينبغي ، لوضوح أنّ المناط فيها ليس على الموجودات فقط ، وأمّا المعدومات ، فمع ملاحظتها غلبة الممكن على الممتنع ممنوعة ، كيف ولم نعلم وجه العدم فيها ، ولعلّه لا امتناع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فيها أنّ قضيّة جبلّة كلّ عاقل فيما لم يدلّ على ضرورة وجود شيء ، أو ضرورة عدمه دليل يحكم </w:t>
      </w:r>
      <w:r>
        <w:rPr>
          <w:rStyle w:val="FootnoteAnchor"/>
          <w:rtl w:val="true"/>
        </w:rPr>
        <w:footnoteReference w:id="239"/>
      </w:r>
      <w:r>
        <w:rPr>
          <w:rFonts w:ascii="Amiri" w:hAnsi="Amiri" w:eastAsia="Amiri" w:cs="Amiri"/>
          <w:color w:val="111111"/>
          <w:sz w:val="28"/>
          <w:sz w:val="28"/>
          <w:szCs w:val="28"/>
          <w:rtl w:val="true"/>
          <w:lang w:bidi="ar-SA"/>
        </w:rPr>
        <w:t xml:space="preserve">بالإمكان فيه ، فيعامل معه </w:t>
      </w:r>
      <w:r>
        <w:rPr>
          <w:rStyle w:val="FootnoteAnchor"/>
          <w:rtl w:val="true"/>
        </w:rPr>
        <w:footnoteReference w:id="240"/>
      </w:r>
      <w:r>
        <w:rPr>
          <w:rFonts w:ascii="Amiri" w:hAnsi="Amiri" w:eastAsia="Amiri" w:cs="Amiri"/>
          <w:color w:val="111111"/>
          <w:sz w:val="28"/>
          <w:sz w:val="28"/>
          <w:szCs w:val="28"/>
          <w:rtl w:val="true"/>
          <w:lang w:bidi="ar-SA"/>
        </w:rPr>
        <w:t xml:space="preserve">معاملة الممكن كما لو شكّ في وجود شيء يعامل معاملة المعدوم ، فكما أنّ بناء العقلاء على الحكم بالعدم عند الشكّ فيه ، فكذلك عند الشكّ في ضرورة العدم ، فيحكمون بعدمها أيضا ، ففي الحقيقة هذه شعبة من أصالة العدم ، وكأنّه إلى هذا ينظر ما هو المنقول عن عبارة الشيخ الرئيس </w:t>
      </w:r>
      <w:r>
        <w:rPr>
          <w:rStyle w:val="FootnoteAnchor"/>
          <w:rtl w:val="true"/>
        </w:rPr>
        <w:footnoteReference w:id="241"/>
      </w:r>
      <w:r>
        <w:rPr>
          <w:rFonts w:ascii="Amiri" w:hAnsi="Amiri" w:eastAsia="Amiri" w:cs="Amiri"/>
          <w:color w:val="111111"/>
          <w:sz w:val="28"/>
          <w:sz w:val="28"/>
          <w:szCs w:val="28"/>
          <w:rtl w:val="true"/>
          <w:lang w:bidi="ar-SA"/>
        </w:rPr>
        <w:t xml:space="preserve">من أنّه كلّ ما قرع سمعك ولم يدلّ دليل على وجوبه وامتناعه ، فذره في بقعة الإمكان إلاّ أنّه مع ذلك غير مفيد ؛ فإنّ الإمكان إن قيس إلى الواقع ، فالأصل لا يقضي </w:t>
      </w:r>
      <w:r>
        <w:rPr>
          <w:rStyle w:val="FootnoteAnchor"/>
          <w:rtl w:val="true"/>
        </w:rPr>
        <w:footnoteReference w:id="242"/>
      </w:r>
      <w:r>
        <w:rPr>
          <w:rFonts w:ascii="Amiri" w:hAnsi="Amiri" w:eastAsia="Amiri" w:cs="Amiri"/>
          <w:color w:val="111111"/>
          <w:sz w:val="28"/>
          <w:sz w:val="28"/>
          <w:szCs w:val="28"/>
          <w:rtl w:val="true"/>
          <w:lang w:bidi="ar-SA"/>
        </w:rPr>
        <w:t xml:space="preserve">به ، وإن قيس إلى الظاهر ، فلا جدوى فيه إلاّ إثبات آثار الواقع له ، وليس الإمكان والامتناع موضوعين لحكم شرعي حتّى يترتّب عليهما مثلا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يثمر أصالة الإمكان فيما إذا دلّ الدليل على الإمكان فيقبل على الإمكان ، ولا يقبل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الدليل علميا ، فلا مجال لعدم القبول على التقديرين ، وإلاّ فلا مجال للقبول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يثمر في مقام الاحتجاج ، فلمدّعي الامتناع إقامة الدليل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القائل بالامتناع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لزوم تحليل الحرام وتحريم الحلال ، وبطلان </w:t>
      </w:r>
    </w:p>
    <w:p>
      <w:pPr>
        <w:pStyle w:val="BookText"/>
        <w:rPr/>
      </w:pPr>
      <w:r>
        <w:rPr>
          <w:rFonts w:ascii="Amiri" w:hAnsi="Amiri" w:eastAsia="Amiri" w:cs="Amiri"/>
          <w:color w:val="111111"/>
          <w:sz w:val="28"/>
          <w:sz w:val="28"/>
          <w:szCs w:val="28"/>
          <w:rtl w:val="true"/>
          <w:lang w:bidi="ar-SA"/>
        </w:rPr>
        <w:t>اللازم كالملازمة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تارة بالنقض بسائر الأمارات الغير العلمية في الأحكام كالفتوى والموضوعات كيد المسلم والبيّنة وأصالة الطهارة ، وبالقطع أيضا لجواز تخلّفه عن الواقع واقعا وإن لم يكن كذلك في نظر القاطع كما هو الوجه في النقض في الكلّ ؛ إذ من المعلوم جواز التخلّف في الجميع عن الواقع فيلزم تحليل الحرام ،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بالحلّ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 والحرمة في المضاف والمضاف إليه إن قيسا إلى الواقع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تجويز العمل بالظنّ يلزم تحليل الحرام الواقعي واقعا ، وتحريم الحلال كذلك ، أو إلى الظاهر ، كأن يقال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الحلال الظاهري في مرحلة الظاهر ، وتحليل الحرام كذلك ، فبطلان التالي في الشرطية مسلّم لكنّ الملازمة ممنوعة ؛ لجواز التخلّف في مرحلة الظاهر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قيس أحدهما إلى الواقع ، والآخر إلى الظاهر ، فالملازمة ظاهرة مسلّمة إلاّ أنّ بطلان التالي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على وجه يكشف اللثام ، عن وجه المرام يتوقّف على أنّ القائل بالامتناع إنّما يتمّ مقالته حالتي الانسداد والانفتاح أو لا ، بل يختصّ بالانفتاح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فلأنّ السيّد مع تأخّر زمانه من ابن قبة ادّعى الانفتاح ، وجماعة من متقدّمي أصحابنا كالشيخ في أوائل أمره إنّما كانوا يرون وجوب اللطف على الإمام حتّى أنّ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عليه دليل علمي كانوا يحكمون فيه بالتخيير الواقعي ، فكيف عمّن تقدّم عليه سيّما بمدّة طويلة ، فإنّ تلك الأزمنة لم تكن أزمنة الانسداد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 فلأنّ جلالة شأن القائل على ما يستظهر في ترجمته المذكورة في كتب </w:t>
      </w:r>
    </w:p>
    <w:p>
      <w:pPr>
        <w:pStyle w:val="BookText"/>
        <w:rPr/>
      </w:pPr>
      <w:r>
        <w:rPr>
          <w:rFonts w:ascii="Amiri" w:hAnsi="Amiri" w:eastAsia="Amiri" w:cs="Amiri"/>
          <w:color w:val="111111"/>
          <w:sz w:val="28"/>
          <w:sz w:val="28"/>
          <w:szCs w:val="28"/>
          <w:rtl w:val="true"/>
          <w:lang w:bidi="ar-SA"/>
        </w:rPr>
        <w:t xml:space="preserve">أصحابنا الرجاليين ، فإنّه كان شيخ الإمامية في زمانه يمنع صدور مثل </w:t>
      </w:r>
      <w:r>
        <w:rPr>
          <w:rStyle w:val="FootnoteAnchor"/>
          <w:rtl w:val="true"/>
        </w:rPr>
        <w:footnoteReference w:id="245"/>
      </w:r>
      <w:r>
        <w:rPr>
          <w:rFonts w:ascii="Amiri" w:hAnsi="Amiri" w:eastAsia="Amiri" w:cs="Amiri"/>
          <w:color w:val="111111"/>
          <w:sz w:val="28"/>
          <w:sz w:val="28"/>
          <w:szCs w:val="28"/>
          <w:rtl w:val="true"/>
          <w:lang w:bidi="ar-SA"/>
        </w:rPr>
        <w:t xml:space="preserve">هذه المقالة منه ، مع وضوح فسادها وظهور كسادها ، فإنّه على تقدير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اللّه تعالى نصب أمارة ظنّية ، فكيف لا يجوز العمل بها؟ فإنّه بعد الانسداد ، فإمّا يحكم ببقاء التكليف كما عليه المشهور ، أو لا يحكم كما عليه البعض على ما حكي ، فعلى الأوّل يجب نصب أمارة ظنّية كما عرفت حيث إنّه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وجه للقول باللازم بعد انتفاء جنس التكليف ، فتعيّن حمل كلامه على صورة الانفتاح ، وعلى تقدير الانفتاح وإمكان الوصول إلى الواقع مع أنّ المطلوب هو الوصول إليه ، فلا شكّ في قبح نصب طريق يتخلّف عنه ولو في وقت ؛ لاستلزامه خلاف الغرض في وجه ، ونقض الغرض في آخر إلاّ أن يكون العمل به من جهة ملاحظة وصف به يصير موضوعا مستقلاّ آخر ذا مصلحة متداركة لما يلزم في بعض صوره من المفسدة المترتّبة على عدم مصادفته للواقع كما إذا لاحظ الشارع احترام العادل ، فقال باعتبار خبره نظرا إلى أنّ التعبّد بخبره فيه مصلحة زائدة على مفسدة تخلّفه عن الواقع ، فعلى هذا التقدير فالواقع أحد الأمرين ، لكنّه لمانع أن يمنع غلبة مصلحة احترام العادل على مصلحة مصادفة </w:t>
      </w:r>
      <w:r>
        <w:rPr>
          <w:rStyle w:val="FootnoteAnchor"/>
          <w:rtl w:val="true"/>
        </w:rPr>
        <w:footnoteReference w:id="246"/>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لزوم التصويب على تقديره ، فظهر ممّا مرّ عدم ورود النقوض المذكورة على المستدلّ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الفتوى ، فلأنّ مشروعيتها في حالة الانسداد ، فلا وجه للانتقاض ، وعلى قياسه </w:t>
      </w:r>
      <w:r>
        <w:rPr>
          <w:rStyle w:val="FootnoteAnchor"/>
          <w:rtl w:val="true"/>
        </w:rPr>
        <w:footnoteReference w:id="247"/>
      </w:r>
      <w:r>
        <w:rPr>
          <w:rFonts w:ascii="Amiri" w:hAnsi="Amiri" w:eastAsia="Amiri" w:cs="Amiri"/>
          <w:color w:val="111111"/>
          <w:sz w:val="28"/>
          <w:sz w:val="28"/>
          <w:szCs w:val="28"/>
          <w:rtl w:val="true"/>
          <w:lang w:bidi="ar-SA"/>
        </w:rPr>
        <w:t xml:space="preserve">القطع فيما إذا تخلّف عن الواقع فإنّ باب العلم بالواقع للقاطع حينئذ منسدّ </w:t>
      </w:r>
      <w:r>
        <w:rPr>
          <w:rStyle w:val="FootnoteAnchor"/>
          <w:rtl w:val="true"/>
        </w:rPr>
        <w:footnoteReference w:id="248"/>
      </w:r>
      <w:r>
        <w:rPr>
          <w:rFonts w:ascii="Amiri" w:hAnsi="Amiri" w:eastAsia="Amiri" w:cs="Amiri"/>
          <w:color w:val="111111"/>
          <w:sz w:val="28"/>
          <w:sz w:val="28"/>
          <w:szCs w:val="28"/>
          <w:rtl w:val="true"/>
          <w:lang w:bidi="ar-SA"/>
        </w:rPr>
        <w:t>؛ إذ المحتمل قد يحتمل الواقع ولو احتمالا مساويا بل ولو احتمالا مرجوحا بخلاف القاطع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اليد والاستصحاب وسائر الأمارات الشرعية ممّا لا يتوقّف اعتبارها على الانسداد بل يعمّ الحالتين ، فلعلّه يلتزم بأنّ نصب الطريق لا من حيث هو طريق بل بواسطة حصول مصلحة متداركة فيه بها يصير موضوعا مستقلاّ ممّا لا ضير فيه إلاّ أنّ الإشكال في لزوم التصويب على تقديره ، فإنّ الخمر مثلا من حيث إنّ العادل أخبر بحلّيته مشتملة على مصلحة تزيد على المفسدة الكامنة على تقدير عدم إخبار العدل بكونه حلالا ، فالخمر من حيث نفسه لا حكم له في الواقع ؛ فإنّ حكمه يناط بالإخبار وعدمه ، ولا نعني بالتصويب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 بأنّ التصويب الباطل المجمع على فساده هو أن يكون أحد الحكمين في الواقعة في عرض الآخر ، ولا يكون مرتّبا عليه ، وأمّا لو جعل الشارع المقدّس لأصل الواقعة من حيث هي حكما من دون ملاحظة الظنّ وجودا وعدما فيها ولها من حيث تعلّق الظنّ بها حكما آخر على أن يكون حكما ثانويا ، فلا يلزم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أنّ التصويب في ألسنة أهله يستعمل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حكم الواقعة موكولا إلى ظنّ المجتهد ، فما ظنّه المجتهد حراما </w:t>
      </w:r>
      <w:r>
        <w:rPr>
          <w:rStyle w:val="FootnoteAnchor"/>
          <w:rtl w:val="true"/>
        </w:rPr>
        <w:footnoteReference w:id="249"/>
      </w:r>
      <w:r>
        <w:rPr>
          <w:rFonts w:ascii="Amiri" w:hAnsi="Amiri" w:eastAsia="Amiri" w:cs="Amiri"/>
          <w:color w:val="111111"/>
          <w:sz w:val="28"/>
          <w:sz w:val="28"/>
          <w:szCs w:val="28"/>
          <w:rtl w:val="true"/>
          <w:lang w:bidi="ar-SA"/>
        </w:rPr>
        <w:t>بظنّه يصير حراما ، ولا يكون هناك حكم مجعول في الواقع ، ولذلك قد أورد عليهم العلاّمة في النهاية بأنّ الظنّ كالعلم لا بدّ وأن يتعلّق بموضوع مقدّم عليه طبعا ، فما لم يكن هناك حكم مجعول في الواقع لا يصحّ الحوالة إلى الظنّ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أجاب عنه العضدي </w:t>
      </w:r>
      <w:r>
        <w:rPr>
          <w:rStyle w:val="FootnoteAnchor"/>
          <w:rtl w:val="true"/>
        </w:rPr>
        <w:footnoteReference w:id="250"/>
      </w:r>
      <w:r>
        <w:rPr>
          <w:rFonts w:ascii="Amiri" w:hAnsi="Amiri" w:eastAsia="Amiri" w:cs="Amiri"/>
          <w:color w:val="111111"/>
          <w:sz w:val="28"/>
          <w:sz w:val="28"/>
          <w:szCs w:val="28"/>
          <w:rtl w:val="true"/>
          <w:lang w:bidi="ar-SA"/>
        </w:rPr>
        <w:t xml:space="preserve">بأنّ متعلّق الظنّ هو الحكم الشأني بمعنى أنّه هناك شيء لو حكم الشارع به ، لحكم به ، فالمظنون </w:t>
      </w:r>
      <w:r>
        <w:rPr>
          <w:rStyle w:val="FootnoteAnchor"/>
          <w:rtl w:val="true"/>
        </w:rPr>
        <w:footnoteReference w:id="251"/>
      </w:r>
      <w:r>
        <w:rPr>
          <w:rFonts w:ascii="Amiri" w:hAnsi="Amiri" w:eastAsia="Amiri" w:cs="Amiri"/>
          <w:color w:val="111111"/>
          <w:sz w:val="28"/>
          <w:sz w:val="28"/>
          <w:szCs w:val="28"/>
          <w:rtl w:val="true"/>
          <w:lang w:bidi="ar-SA"/>
        </w:rPr>
        <w:t xml:space="preserve">هو الأليق بالقواعد ، والأشبه بالأصول ، فعلى إطلاقه غير مستقيم ؛ لاختصاصه بمقالة من يقول بالحكم الشأني من </w:t>
      </w:r>
    </w:p>
    <w:p>
      <w:pPr>
        <w:pStyle w:val="BookText"/>
        <w:rPr/>
      </w:pPr>
      <w:r>
        <w:rPr>
          <w:rFonts w:ascii="Amiri" w:hAnsi="Amiri" w:eastAsia="Amiri" w:cs="Amiri"/>
          <w:color w:val="111111"/>
          <w:sz w:val="28"/>
          <w:sz w:val="28"/>
          <w:szCs w:val="28"/>
          <w:rtl w:val="true"/>
          <w:lang w:bidi="ar-SA"/>
        </w:rPr>
        <w:t xml:space="preserve">المصوّبة ، وأمّا من لا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حكم الواقعة موكولا إلى الظنّ بل الشارع إنّما جعل على تقدير تعلّق الظنّ بالحرمة مثلا حكما ، وعلى تقدير عدم تعلّقه حكما آخر ، فالحكم يدور مدار الظنّ وخلافه في الواقع ، فكان موضوع الجهل يغاير موضوع العلم </w:t>
      </w:r>
      <w:r>
        <w:rPr>
          <w:rStyle w:val="FootnoteAnchor"/>
          <w:rtl w:val="true"/>
        </w:rPr>
        <w:footnoteReference w:id="252"/>
      </w:r>
      <w:r>
        <w:rPr>
          <w:rFonts w:ascii="Amiri" w:hAnsi="Amiri" w:eastAsia="Amiri" w:cs="Amiri"/>
          <w:color w:val="111111"/>
          <w:sz w:val="28"/>
          <w:sz w:val="28"/>
          <w:szCs w:val="28"/>
          <w:rtl w:val="true"/>
          <w:lang w:bidi="ar-SA"/>
        </w:rPr>
        <w:t>، فهو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الأوّل على زعمهم أنّ الحكم في القسم الأوّل يتّبع ظنّ المجتهد ، ولا يكون متقدّما عليه ، وفي القسم الثاني الحكم الواقعي يختلف باختلاف حالتي العلم أو تعلّق الظنّ به وعدمهما ، هذا ما بنوا عليه في الفرق بينهما ، وإلاّ فالتدبّر يقضي بعدم الفرق ؛ لخلوّ الواقعة في الحقيقة مع قطع النظر عن الحالتين عن الحكم ، فالالتزام بما ألزمهم العلاّمة في القسم الأوّل جار في القسم الثاني أيضا ، وهو بشيء من المعنيين لا 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الحكم فيما إذا دخل الشيء تحت عنوان قول العدل ليس في عرض الحكم في الواقع ، فللواقعة من حيث نفسها مع قطع النظر عن دخولها </w:t>
      </w:r>
      <w:r>
        <w:rPr>
          <w:rStyle w:val="FootnoteAnchor"/>
          <w:rtl w:val="true"/>
        </w:rPr>
        <w:footnoteReference w:id="253"/>
      </w:r>
      <w:r>
        <w:rPr>
          <w:rFonts w:ascii="Amiri" w:hAnsi="Amiri" w:eastAsia="Amiri" w:cs="Amiri"/>
          <w:color w:val="111111"/>
          <w:sz w:val="28"/>
          <w:sz w:val="28"/>
          <w:szCs w:val="28"/>
          <w:rtl w:val="true"/>
          <w:lang w:bidi="ar-SA"/>
        </w:rPr>
        <w:t>تحت عنوان حكم ، وعلى تقدير دخولها تحت العنوان حكم ثانوي مترتّب على الحكم الواقعي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فللواقعة في حدّ ذاتها وفي مرتبة يرتفع فيها النقيضان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فيها إلاّ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واقعي باعتبار ما يقتضيه من المصلحة الكامنة ، ولها من حيث دخولها تحت عنوان باعتبار مصلحة كامنة فيها من تلك الحيثية حكم ثانوي مترتّب على </w:t>
      </w:r>
    </w:p>
    <w:p>
      <w:pPr>
        <w:pStyle w:val="BookText"/>
        <w:rPr/>
      </w:pPr>
      <w:r>
        <w:rPr>
          <w:rFonts w:ascii="Amiri" w:hAnsi="Amiri" w:eastAsia="Amiri" w:cs="Amiri"/>
          <w:color w:val="111111"/>
          <w:sz w:val="28"/>
          <w:sz w:val="28"/>
          <w:szCs w:val="28"/>
          <w:rtl w:val="true"/>
          <w:lang w:bidi="ar-SA"/>
        </w:rPr>
        <w:t>الحكم الأوّلي ، ولذلك لا يجزي عند انكشاف الخلاف ، والتصويب بكلا معنييه يغاير ما ذكرنا ، فتأمّل ؛ فإنّ المقام من مزالّ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أيضا بتعارض المصلحة الحاصلة في قول العادل للمفسدة الكامنة المقتضية للحرمة في الخمر إذا أخبر العادل بحلّيته ؛ وهو بظاهره غير سديد ؛ لاستلزامه اجتماع المصلحة والمفسدة الفعليتين في واقعة خاصّة شخصية ، وقد تقدّم منّا في بعض المباحث السابقة ما يقضي بخلافه إلاّ أن يوجّه بإرجاعه إلى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يعزى في المقام إلى بعضهم القول بوجوب التعبّد بالخبر الواحد أو الظنّ على ما مرّ من أوله إليه ، والظاهر أنّه أراد </w:t>
      </w:r>
      <w:r>
        <w:rPr>
          <w:rStyle w:val="FootnoteAnchor"/>
          <w:rtl w:val="true"/>
        </w:rPr>
        <w:footnoteReference w:id="254"/>
      </w:r>
      <w:r>
        <w:rPr>
          <w:rFonts w:ascii="Amiri" w:hAnsi="Amiri" w:eastAsia="Amiri" w:cs="Amiri"/>
          <w:color w:val="111111"/>
          <w:sz w:val="28"/>
          <w:sz w:val="28"/>
          <w:szCs w:val="28"/>
          <w:rtl w:val="true"/>
          <w:lang w:bidi="ar-SA"/>
        </w:rPr>
        <w:t>من الوجوب لزوم جعله طريقا عليه تعالى من حيث إنّ الإخلال به إخلال باللطف قبالا لما صار إليه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تحريرهم ذلك في المقام ، وإلاّ فلا وجه لعدّه قولا آخر في قبال مقالة المشهور ، ومنشأ الاشتباه فيه تعليل القائل ذلك بوجوب دفع الضرر ، فقد يتخيّل منه وجوبه على العباد وليس كذلك ، وعلى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دفعه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أراد أنّ الإلزام بالعمل بالظنّ ، و </w:t>
      </w:r>
      <w:r>
        <w:rPr>
          <w:rStyle w:val="FootnoteAnchor"/>
          <w:rtl w:val="true"/>
        </w:rPr>
        <w:footnoteReference w:id="255"/>
      </w:r>
      <w:r>
        <w:rPr>
          <w:rFonts w:ascii="Amiri" w:hAnsi="Amiri" w:eastAsia="Amiri" w:cs="Amiri"/>
          <w:color w:val="111111"/>
          <w:sz w:val="28"/>
          <w:sz w:val="28"/>
          <w:szCs w:val="28"/>
          <w:rtl w:val="true"/>
          <w:lang w:bidi="ar-SA"/>
        </w:rPr>
        <w:t xml:space="preserve">إمضاءه بعد الانسداد وعدم الرجوع إلى الأصول العملية لازم عليه تعالى نظرا إلى كونه لطفا </w:t>
      </w:r>
      <w:r>
        <w:rPr>
          <w:rStyle w:val="FootnoteAnchor"/>
          <w:rtl w:val="true"/>
        </w:rPr>
        <w:footnoteReference w:id="256"/>
      </w:r>
      <w:r>
        <w:rPr>
          <w:rFonts w:ascii="Amiri" w:hAnsi="Amiri" w:eastAsia="Amiri" w:cs="Amiri"/>
          <w:color w:val="111111"/>
          <w:sz w:val="28"/>
          <w:sz w:val="28"/>
          <w:szCs w:val="28"/>
          <w:rtl w:val="true"/>
          <w:lang w:bidi="ar-SA"/>
        </w:rPr>
        <w:t>، فهو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أنّه يجب عليه تعالى جعله حجّة وطريقا ، أو امضاؤه للعمل به في حالة الانفتاح نظرا إلى العلّة المذكورة ، فلا يخلو إمّا أن يكون الظنّ موافقا للاحتياط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مخالفا أو لا مخالفا ولا موافقا إذ النسبة بين الاحتياط والظنّ هو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فالاجتماع ظاهر كالافتراق في الاحتياط</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الافتراق في الظنّ ، ففيما لو ظنّ بوجوب شيء مع احتمال الحرمة ولو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 فإنّ الاحتياط ليس في العمل بالظنّ </w:t>
      </w:r>
      <w:r>
        <w:rPr>
          <w:rStyle w:val="FootnoteAnchor"/>
          <w:rtl w:val="true"/>
        </w:rPr>
        <w:footnoteReference w:id="257"/>
      </w:r>
      <w:r>
        <w:rPr>
          <w:rFonts w:ascii="Amiri" w:hAnsi="Amiri" w:eastAsia="Amiri" w:cs="Amiri"/>
          <w:color w:val="111111"/>
          <w:sz w:val="28"/>
          <w:sz w:val="28"/>
          <w:szCs w:val="28"/>
          <w:rtl w:val="true"/>
          <w:lang w:bidi="ar-SA"/>
        </w:rPr>
        <w:t xml:space="preserve">بل الاحتياط يقضي بتحصيل العلم التفصيلي كما لا يخفى ، ففي صورة افتراق الظنّ عن الاحتياط لا وجه للقول بوجوب العمل به ؛ إذ لا قبح فيه عند العقول ، وفي صورة الاجتماع لا يبعد دعوى الوجوب التخييري بينه وبين العمل </w:t>
      </w:r>
      <w:r>
        <w:rPr>
          <w:rStyle w:val="FootnoteAnchor"/>
          <w:rtl w:val="true"/>
        </w:rPr>
        <w:footnoteReference w:id="258"/>
      </w:r>
      <w:r>
        <w:rPr>
          <w:rFonts w:ascii="Amiri" w:hAnsi="Amiri" w:eastAsia="Amiri" w:cs="Amiri"/>
          <w:color w:val="111111"/>
          <w:sz w:val="28"/>
          <w:sz w:val="28"/>
          <w:szCs w:val="28"/>
          <w:rtl w:val="true"/>
          <w:lang w:bidi="ar-SA"/>
        </w:rPr>
        <w:t>بالعلم التفصيلي ، لما عرفت فيما تقدّم فيما إذا دار الأمر بين الامتثال التفصيلي والإجمالي في بعض الوجوه على ما مرّ تفصيله</w:t>
      </w:r>
      <w:r>
        <w:rPr>
          <w:rFonts w:eastAsia="Amiri" w:cs="Amiri" w:ascii="Amiri" w:hAnsi="Amiri"/>
          <w:color w:val="111111"/>
          <w:sz w:val="28"/>
          <w:szCs w:val="28"/>
          <w:rtl w:val="true"/>
          <w:lang w:bidi="ar-SA"/>
        </w:rPr>
        <w:t xml:space="preserve">. </w:t>
      </w:r>
      <w:bookmarkStart w:id="43" w:name="pg16273_211441"/>
    </w:p>
    <w:p>
      <w:pPr>
        <w:pStyle w:val="Heading3"/>
        <w:numPr>
          <w:ilvl w:val="2"/>
          <w:numId w:val="1"/>
        </w:numPr>
        <w:rPr/>
      </w:pPr>
      <w:bookmarkStart w:id="44" w:name="__RefHeading___Toc4803488_1280447820"/>
      <w:bookmarkStart w:id="45" w:name="_Toc16"/>
      <w:bookmarkEnd w:id="43"/>
      <w:bookmarkEnd w:id="44"/>
      <w:r>
        <w:rPr>
          <w:rtl w:val="true"/>
        </w:rPr>
        <w:t>وأمّا المقام الثاني</w:t>
      </w:r>
      <w:bookmarkEnd w:id="45"/>
    </w:p>
    <w:p>
      <w:p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259"/>
      </w: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 xml:space="preserve">في وقوع التعبّد به شرعا ، فاختلف القائلون بالإمكان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وأتباعه </w:t>
      </w:r>
      <w:r>
        <w:rPr>
          <w:rStyle w:val="FootnoteAnchor"/>
          <w:rtl w:val="true"/>
        </w:rPr>
        <w:footnoteReference w:id="260"/>
      </w:r>
      <w:r>
        <w:rPr>
          <w:rFonts w:ascii="Amiri" w:hAnsi="Amiri" w:eastAsia="Amiri" w:cs="Amiri"/>
          <w:color w:val="111111"/>
          <w:sz w:val="28"/>
          <w:sz w:val="28"/>
          <w:szCs w:val="28"/>
          <w:rtl w:val="true"/>
          <w:lang w:bidi="ar-SA"/>
        </w:rPr>
        <w:t xml:space="preserve">على العدم والمشهور على الوقوع ، وقبل الخوض في الاحتجاج ينبغي تأسيس أساس ، وتأصيل أصل يرجع إليه عند الشكّ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الأصيل حرمة العمل بالظنّ بل بمطلق </w:t>
      </w:r>
      <w:r>
        <w:rPr>
          <w:rStyle w:val="FootnoteAnchor"/>
          <w:rtl w:val="true"/>
        </w:rPr>
        <w:footnoteReference w:id="261"/>
      </w:r>
      <w:r>
        <w:rPr>
          <w:rFonts w:ascii="Amiri" w:hAnsi="Amiri" w:eastAsia="Amiri" w:cs="Amiri"/>
          <w:color w:val="111111"/>
          <w:sz w:val="28"/>
          <w:sz w:val="28"/>
          <w:szCs w:val="28"/>
          <w:rtl w:val="true"/>
          <w:lang w:bidi="ar-SA"/>
        </w:rPr>
        <w:t xml:space="preserve">ما وراء العلم ؛ فإنّ للعمل بالظنّ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التديّن به وجعله مستندا في العمل من حيث هو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أفعاله مطابقا </w:t>
      </w:r>
      <w:r>
        <w:rPr>
          <w:rStyle w:val="FootnoteAnchor"/>
          <w:rtl w:val="true"/>
        </w:rPr>
        <w:footnoteReference w:id="262"/>
      </w:r>
      <w:r>
        <w:rPr>
          <w:rFonts w:ascii="Amiri" w:hAnsi="Amiri" w:eastAsia="Amiri" w:cs="Amiri"/>
          <w:color w:val="111111"/>
          <w:sz w:val="28"/>
          <w:sz w:val="28"/>
          <w:szCs w:val="28"/>
          <w:rtl w:val="true"/>
          <w:lang w:bidi="ar-SA"/>
        </w:rPr>
        <w:t>للظنّ وإن لم يستند إليه ، وفي الحقيقة ليس هذا عملا بالظنّ بل إنّما هو مجرّد مطابقة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 فلا شكّ في أنّه بدعة محرّمة وتشريع غير مجوّز ، وقد اتّفقت الأدلّة كتابا وسنّة وإجماعا وعقلا على حرمتها بل عدّه جملة من الأعلام من الضروريات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وجه الدلالة </w:t>
      </w:r>
    </w:p>
    <w:p>
      <w:pPr>
        <w:pStyle w:val="BookText"/>
        <w:rPr/>
      </w:pPr>
      <w:r>
        <w:rPr>
          <w:rFonts w:ascii="Amiri" w:hAnsi="Amiri" w:eastAsia="Amiri" w:cs="Amiri"/>
          <w:color w:val="111111"/>
          <w:sz w:val="28"/>
          <w:sz w:val="28"/>
          <w:szCs w:val="28"/>
          <w:rtl w:val="true"/>
          <w:lang w:bidi="ar-SA"/>
        </w:rPr>
        <w:t xml:space="preserve">حصر الأمر في الإذن </w:t>
      </w:r>
      <w:r>
        <w:rPr>
          <w:rStyle w:val="FootnoteAnchor"/>
          <w:rtl w:val="true"/>
        </w:rPr>
        <w:footnoteReference w:id="264"/>
      </w:r>
      <w:r>
        <w:rPr>
          <w:rFonts w:ascii="Amiri" w:hAnsi="Amiri" w:eastAsia="Amiri" w:cs="Amiri"/>
          <w:color w:val="111111"/>
          <w:sz w:val="28"/>
          <w:sz w:val="28"/>
          <w:szCs w:val="28"/>
          <w:rtl w:val="true"/>
          <w:lang w:bidi="ar-SA"/>
        </w:rPr>
        <w:t>والافتراء ، فغير الأوّل هو الثاني ، وبقرينة المقابلة والتشريع هو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آلذَّكَرَيْنِ حَرَّمَ أَمِ الْأُنْثَيَيْنِ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فإنّه تعالى في مقام التوبيخ من القول بالتحريم من دون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نَبِّئُونِي بِعِلْمٍ إِنْ كُنْتُمْ صادِقِينَ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وجه الدلالة ظاهر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 فكثيرة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العبد إنّما يكفر ربّه إذا سمّى النواة حصاة والحصاة نواة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النار ، وواحد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قضى بجور وهو لا يعلم ، فهو في النار ، ورجل قضى بحقّ وهو لا يعلم ، فهو في النار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بغير علم فليتبوّأ مقعده في النار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جعفر عليه‌السلام لأخيه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حلّل حلالا ، وحرّم حراما ، وفرض فرائض ، وضرب أمثالا ، وسنّ 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على بيّنة من ربّك ، ويقين </w:t>
      </w:r>
    </w:p>
    <w:p>
      <w:pPr>
        <w:pStyle w:val="BookText"/>
        <w:rPr/>
      </w:pPr>
      <w:r>
        <w:rPr>
          <w:rFonts w:ascii="Amiri" w:hAnsi="Amiri" w:eastAsia="Amiri" w:cs="Amiri"/>
          <w:color w:val="111111"/>
          <w:sz w:val="28"/>
          <w:sz w:val="28"/>
          <w:szCs w:val="28"/>
          <w:rtl w:val="true"/>
          <w:lang w:bidi="ar-SA"/>
        </w:rPr>
        <w:t xml:space="preserve">من أمرك ، وتبيان من شأنك ، فشأنك ، وإلاّ فلا ترو من أمرا أنت في شكّ منه وشبهة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نقلا وتحصيلا فموجود لا مخالف في البين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البهبهاني في جملة فائدة من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حرمة العمل بالظنّ من البديهيات عند الصبيان والنسوان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أنصف من نفسه وراجع وجدانه ، يحكم حكما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يدانيه ريبة ولا يعتريه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التشريع والبدعة فإنّها فرية بلا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فساد القول </w:t>
      </w:r>
      <w:r>
        <w:rPr>
          <w:rStyle w:val="FootnoteAnchor"/>
          <w:rtl w:val="true"/>
        </w:rPr>
        <w:footnoteReference w:id="274"/>
      </w:r>
      <w:r>
        <w:rPr>
          <w:rFonts w:ascii="Amiri" w:hAnsi="Amiri" w:eastAsia="Amiri" w:cs="Amiri"/>
          <w:color w:val="111111"/>
          <w:sz w:val="28"/>
          <w:sz w:val="28"/>
          <w:szCs w:val="28"/>
          <w:rtl w:val="true"/>
          <w:lang w:bidi="ar-SA"/>
        </w:rPr>
        <w:t>بأنّ الأصل هو الإباحة ؛ فإنّ أصالة الإباحة فيما لو لم يكن العقل مستقلاّ بإدراك حكمه وقد عرفت استقلاله في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قرّرنا سابقا اعتبار العلم والإرادة والاختيار فيما يتلوه الأمر والنهي ، فلا يصدق على العمل المزبور أنّه تشريع ما لم يقصد الإدخال في الدين لما ليس منه ، فإنّه عبارة عن إدخال ما ليس من الدين فيه ، فالإدخال في الدين لا يصدق إلاّ عند القصد وهو فرع العلم ولو كان كذلك واقعا ، والمقام ليس منه ، لعدم العلم بأنّ العمل بالظنّ ليس من الدين ، فلا يحرم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ينبغي أن لا يرتاب فيه صدق التشريع على العمل المذكور ، وتفصيل الكلام في أقسام التشريع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تارة يعلم بخروج ما أدخل في الدين ، فالمبدع </w:t>
      </w:r>
    </w:p>
    <w:p>
      <w:pPr>
        <w:pStyle w:val="BookText"/>
        <w:rPr/>
      </w:pPr>
      <w:r>
        <w:rPr>
          <w:rFonts w:ascii="Amiri" w:hAnsi="Amiri" w:eastAsia="Amiri" w:cs="Amiri"/>
          <w:color w:val="111111"/>
          <w:sz w:val="28"/>
          <w:sz w:val="28"/>
          <w:szCs w:val="28"/>
          <w:rtl w:val="true"/>
          <w:lang w:bidi="ar-SA"/>
        </w:rPr>
        <w:t>يدخله فيه بقصد أنّه من الدين تشريعا ، وهذا ممّا لا شكّ في كونه تشريعا وبدعة محرّمة ، والأدلّة المذكورة ناهضة بحرمتها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يدخله فيه مع جهله بالحكم ، فهذا تشريع اسما لا حكما ؛ إذ لا معنى لعقاب الجاهل قبل تقصيره ، لكنّ الكلام في الصغرى كما عرفت من استقلال العقل بقبحه وكونه ظلما ؛ فإنّ حرمة الظلم ممّا لا يجهله عامّة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يدخله مع جهله بالموضوع كأن يدخله في الدين جاهلا بكونه من الدين ، فهناك تحقّق التشريع حقيقة ؛ لأنّ المناط على الواقع في صدق موضوعه وإن لم يتحقّق حكمه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يدخل في الدين ما هو منه بقصد أنّه ليس من الدين ، ولا شكّ في كونه تشريعا وافتراء على اللّه تعالى أيضا عند العقل والعرف بالنسبة إلى التكليف الواقعي بل الظاهري ، فإنّ عند الشكّ لا بدّ من العمل بالأصول المقرّرة في الشريعة في موضوع الشكّ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قوله عليه‌السلام في عدّ القضاة الأربعة التي ثلاثة منها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قضى بالحقّ وهو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بالجور وهو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القسم الأوّل كما هو ممّا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تمام الكلام فيما لو كان العمل بالظنّ من جهة التديّن 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كأن لا يكون العمل بالظنّ من حيث التديّن به ، فهو حرام أيضا ؛ فإنّ الشاكّ لا بدّ وأن يعمل بالأصول المقرّرة في الشريعة من الاستصحاب فيما له حالة سابقة ، والبراءة فيما شكّ في التكليف ، والاشتغال فيما شكّ في المكلّف به مع إمكان الجمع ، والتخيير مع عدم إمكانه ، فطرح تلك الأصول محرّم وإن كان لا يسمّى هذا القسم عملا بالظنّ لكن يختصّ حرمته فيما إذا يلزم من العمل بالظنّ </w:t>
      </w:r>
      <w:r>
        <w:rPr>
          <w:rStyle w:val="FootnoteAnchor"/>
          <w:rtl w:val="true"/>
        </w:rPr>
        <w:footnoteReference w:id="276"/>
      </w:r>
      <w:r>
        <w:rPr>
          <w:rFonts w:ascii="IRNazanin" w:hAnsi="IRNazanin" w:eastAsia="IRNazanin"/>
          <w:color w:val="111111"/>
          <w:sz w:val="28"/>
          <w:sz w:val="28"/>
          <w:szCs w:val="28"/>
          <w:rtl w:val="true"/>
          <w:lang w:bidi="fa-IR"/>
        </w:rPr>
        <w:t xml:space="preserve">طرح أصل منها ، </w:t>
      </w:r>
    </w:p>
    <w:p>
      <w:pPr>
        <w:pStyle w:val="BookText"/>
        <w:rPr/>
      </w:pPr>
      <w:r>
        <w:rPr>
          <w:rFonts w:ascii="Amiri" w:hAnsi="Amiri" w:eastAsia="Amiri" w:cs="Amiri"/>
          <w:color w:val="111111"/>
          <w:sz w:val="28"/>
          <w:sz w:val="28"/>
          <w:szCs w:val="28"/>
          <w:rtl w:val="true"/>
          <w:lang w:bidi="ar-SA"/>
        </w:rPr>
        <w:t xml:space="preserve">وأمّا فيما لا يلزم فلا ، كأن يكون الظنّ موافقا للأصل المعمول في الواقعة ؛ لانتفاء ما يقضي </w:t>
      </w:r>
      <w:r>
        <w:rPr>
          <w:rStyle w:val="FootnoteAnchor"/>
          <w:rtl w:val="true"/>
        </w:rPr>
        <w:footnoteReference w:id="277"/>
      </w:r>
      <w:r>
        <w:rPr>
          <w:rFonts w:ascii="Amiri" w:hAnsi="Amiri" w:eastAsia="Amiri" w:cs="Amiri"/>
          <w:color w:val="111111"/>
          <w:sz w:val="28"/>
          <w:sz w:val="28"/>
          <w:szCs w:val="28"/>
          <w:rtl w:val="true"/>
          <w:lang w:bidi="ar-SA"/>
        </w:rPr>
        <w:t>بالحرمة لا تشريعا ولا طرحا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الواقعة من الوقائع التي يجب تحصيل العلم فيها ، فيكون حراما من جهة ترك الواجب ، والنسبة بين الوجهين هو العموم من وجه ؛ إذ التديّن قد يجتمع في مورد مع طرح الأصول وقد يفترقان ، فظهر أنّ العمل بالظنّ قد يحرم من جهتين في المعنى الأوّل ، وقد لا يحرم أصلا في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يقرّر الأصل بوجوه أخر لا يخلو كلّها عن حزازة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أشرنا إليه سابقا من أنّ الأصل فيه الإباحة ؛ إذ الأصل في الأشياء الخالية عن أمارة المفسدة المشتملة على أمارة المنفعة هو الإباحة ، وقد عرفت ما فيه سابقا </w:t>
      </w:r>
      <w:r>
        <w:rPr>
          <w:rStyle w:val="FootnoteAnchor"/>
          <w:rtl w:val="true"/>
        </w:rPr>
        <w:footnoteReference w:id="278"/>
      </w:r>
      <w:r>
        <w:rPr>
          <w:rFonts w:ascii="Amiri" w:hAnsi="Amiri" w:eastAsia="Amiri" w:cs="Amiri"/>
          <w:color w:val="111111"/>
          <w:sz w:val="28"/>
          <w:sz w:val="28"/>
          <w:szCs w:val="28"/>
          <w:rtl w:val="true"/>
          <w:lang w:bidi="ar-SA"/>
        </w:rPr>
        <w:t xml:space="preserve">، ونزيدك توضيحا في إبطاله أوّلا بأنّ مجرى أصالة الإباحة هو الأشياء الخالية عن أمارة المفسدة كما اعترف به ، والعقل حاكم بوجود المفسدة فيه ، فجريانها يختصّ بما لا يستقلّ </w:t>
      </w:r>
      <w:r>
        <w:rPr>
          <w:rStyle w:val="FootnoteAnchor"/>
          <w:rtl w:val="true"/>
        </w:rPr>
        <w:footnoteReference w:id="279"/>
      </w:r>
      <w:r>
        <w:rPr>
          <w:rFonts w:ascii="Amiri" w:hAnsi="Amiri" w:eastAsia="Amiri" w:cs="Amiri"/>
          <w:color w:val="111111"/>
          <w:sz w:val="28"/>
          <w:sz w:val="28"/>
          <w:szCs w:val="28"/>
          <w:rtl w:val="true"/>
          <w:lang w:bidi="ar-SA"/>
        </w:rPr>
        <w:t>العقل بحكمه ، فلا شكّ حتّى يجري الأصل فيه ، فظهر أنّ الأصل هو الحرمة ؛ لأنّ الأصل قد انقلب حرمة بعد أن كان هو الإباحة ؛ إذ العقل يحكم بالحرمة قبل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مؤدّى الظنّ هو وجوب شيء ، أو حرمته ، فلا معنى لإباحة العمل بالظنّ ، أو استحبابه ، أو كراهته ؛ لأوله في الحقيقة إلى إباحة العمل بالواجب ، فيخرج الواجب عن كونه واجبا ، والحرام عن كونه حراما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يمكن أن يوجّه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أدّى الظنّ إلى وجوب شيء ، أو حرمته يجوز العمل بمقتضى ظنّه ، أو الرجوع إلى أصالة البراءة ، أو أصل آخر غيرها على أن يكون العمل بالظنّ من جهة أنّه أحد فردي الواجب التخييري ، فإباحته من هذه الجهة ، ونظيره استحبابه ، أو كراهته ومع ذلك فلا يخلو عن إشكال ؛ لخروجه عمّا هو </w:t>
      </w:r>
    </w:p>
    <w:p>
      <w:pPr>
        <w:pStyle w:val="BookText"/>
        <w:rPr/>
      </w:pPr>
      <w:r>
        <w:rPr>
          <w:rFonts w:ascii="Amiri" w:hAnsi="Amiri" w:eastAsia="Amiri" w:cs="Amiri"/>
          <w:color w:val="111111"/>
          <w:sz w:val="28"/>
          <w:sz w:val="28"/>
          <w:szCs w:val="28"/>
          <w:rtl w:val="true"/>
          <w:lang w:bidi="ar-SA"/>
        </w:rPr>
        <w:t>الظاهر من مقالة القائل بالإباحة كما هو ظاهر ، وعدم مساعدة أصل من الأصول المقرّرة عليه على تقديره ؛ فإنّ الأصل عدم الوجوب مطلقا سواء كان عينيا أو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وجاهة ما أفاده المحقّق القمّي في ردّ من زعم باستحباب الحذر في آية النفر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أنّ القول باستحباب العمل بخبر الواحد المفيد للوجوب مع بقاء الوجوب على معناه الحقيقي ممّا لا يتصوّر له معنى محصّل ؛ فإنّ استحباب الواجب لا يتصوّر إلاّ في أفضل فردي الواجب التخييري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جيّد جدّا وإن أورد عليه بعض الأجلّة </w:t>
      </w:r>
      <w:r>
        <w:rPr>
          <w:rStyle w:val="FootnoteAnchor"/>
          <w:rtl w:val="true"/>
        </w:rPr>
        <w:footnoteReference w:id="281"/>
      </w:r>
      <w:r>
        <w:rPr>
          <w:rFonts w:ascii="IRNazanin" w:hAnsi="IRNazanin" w:eastAsia="IRNazanin"/>
          <w:color w:val="111111"/>
          <w:sz w:val="28"/>
          <w:sz w:val="28"/>
          <w:szCs w:val="28"/>
          <w:rtl w:val="true"/>
          <w:lang w:bidi="fa-IR"/>
        </w:rPr>
        <w:t>بوجوه لا طائل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الأواخر من أنّه لا أصل في البين ؛ لدوران الأمر بين الحرمة والوجوب ، إمّا لأنّ معنى الجواز في المقام هو الوجوب تجوّزا ، أو لأنّ الجواز يستلزم الوجوب للإجماع المركّب على ما هو المدّعى في كلام بعض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وفساده ممّا لا يخفى على أحد ؛ إذ دوران الأمر بين الحرمة والوجوب إنّما يقضي </w:t>
      </w:r>
      <w:r>
        <w:rPr>
          <w:rStyle w:val="FootnoteAnchor"/>
          <w:rtl w:val="true"/>
        </w:rPr>
        <w:footnoteReference w:id="282"/>
      </w:r>
      <w:r>
        <w:rPr>
          <w:rFonts w:ascii="Amiri" w:hAnsi="Amiri" w:eastAsia="Amiri" w:cs="Amiri"/>
          <w:color w:val="111111"/>
          <w:sz w:val="28"/>
          <w:sz w:val="28"/>
          <w:szCs w:val="28"/>
          <w:rtl w:val="true"/>
          <w:lang w:bidi="ar-SA"/>
        </w:rPr>
        <w:t>بانتفاء الأصل وثبوت التخيير فيما لو كانت الحرمة في عرض الوجوب من غير حصول علقة بينهما ؛ إذ العقل لا يمكن له الالتزام بأحدهما دون الآخر ؛ لامتناع الترجيح بلا داع كما في الجهر بالبسملة في الصلاة الإخفاتية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في عرض الوجوب بل كان مسبّبا عن عدم العلم به ، فمن الضروريّ أنّ العقل يلتزم </w:t>
      </w:r>
      <w:r>
        <w:rPr>
          <w:rStyle w:val="FootnoteAnchor"/>
          <w:rtl w:val="true"/>
        </w:rPr>
        <w:footnoteReference w:id="283"/>
      </w:r>
      <w:r>
        <w:rPr>
          <w:rFonts w:ascii="Amiri" w:hAnsi="Amiri" w:eastAsia="Amiri" w:cs="Amiri"/>
          <w:color w:val="111111"/>
          <w:sz w:val="28"/>
          <w:sz w:val="28"/>
          <w:szCs w:val="28"/>
          <w:rtl w:val="true"/>
          <w:lang w:bidi="ar-SA"/>
        </w:rPr>
        <w:t>بالمسبّب عند وجود السبب كما فيما نحن فيه حيث إنّ الحرمة في المقام على ما مرّ حرمة تشريعية ، ويكفي في العلم بها عدم العلم بالوجوب ، والمفروض عدم ثبوته ؛ لأنّ الكلام في الظنون المشكوكة الاعتبار ، فيحكم العقل بالتحريم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فالتحقيق أنّ الأمر دائر بين الوجوب وعدمه ، والأصل عدمه ، فيحرم كما عرفت ، وهو الشأن في أمثاله من التوقيفيات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w:t>
      </w:r>
      <w:r>
        <w:rPr>
          <w:rStyle w:val="FootnoteAnchor"/>
          <w:rtl w:val="true"/>
        </w:rPr>
        <w:footnoteReference w:id="284"/>
      </w:r>
      <w:r>
        <w:rPr>
          <w:rFonts w:ascii="IRNazanin" w:hAnsi="IRNazanin" w:eastAsia="IRNazanin"/>
          <w:color w:val="111111"/>
          <w:sz w:val="28"/>
          <w:sz w:val="28"/>
          <w:szCs w:val="28"/>
          <w:rtl w:val="true"/>
          <w:lang w:bidi="fa-IR"/>
        </w:rPr>
        <w:t xml:space="preserve">بعض الأفاضل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المكلّف به ليس إلاّ تحصيل الحكم الواقعي لكن نمنع أنّ الخروج عن عهدة هذا التكليف مستلزم للقطع بعدم المخالفة بالنسبة إلى الواقع حتّى يجب تحصيل العلم بالأحكام الواقعية بل القدر الواجب على المجتهد أن يحصل أمرا يحصل به عدم القطع بالمخالفة ولا ريب أنّ هذا ممّا يحصل له بعد تحصيل الاعتقاد ولو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 غاية الركاكة ؛ لأنّ كلّ أحد أذعن بأنّ القطع بالاشتغال مستلزم للقطع بالامتثال ولا يكفيه الظنّ بالامتثال لا يرضى بذلك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في ضوابط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أصالة الاشتغال تقضي بعدم كفاية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أنّه لا ريب في توقّف تكاليفنا الواقعية في حصول الامتثال بها بإدراكها ، فتارة بالعلم بها ، وأخرى بالظنّ ، والأوّل مسقط قطعا ، والثاني مشكوك ، فمقتضى الاشتغال تحصيل القطع ، فيحرم العمل بالظنّ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تحصيل الاعتقاد مقدّمي إمّا عقلا أو شرعا ، فليس من </w:t>
      </w:r>
    </w:p>
    <w:p>
      <w:pPr>
        <w:pStyle w:val="BookText"/>
        <w:rPr/>
      </w:pPr>
      <w:r>
        <w:rPr>
          <w:rFonts w:ascii="Amiri" w:hAnsi="Amiri" w:eastAsia="Amiri" w:cs="Amiri"/>
          <w:color w:val="111111"/>
          <w:sz w:val="28"/>
          <w:sz w:val="28"/>
          <w:szCs w:val="28"/>
          <w:rtl w:val="true"/>
          <w:lang w:bidi="ar-SA"/>
        </w:rPr>
        <w:t xml:space="preserve">الأمور التوقيفية بل هو موكول إلى العقل وهو يستقلّ في وجوب تحصيل العلم وعدم كفاية الظنّ وحرمته </w:t>
      </w:r>
      <w:r>
        <w:rPr>
          <w:rStyle w:val="FootnoteAnchor"/>
          <w:rtl w:val="true"/>
        </w:rPr>
        <w:footnoteReference w:id="286"/>
      </w:r>
      <w:r>
        <w:rPr>
          <w:rFonts w:ascii="Amiri" w:hAnsi="Amiri" w:eastAsia="Amiri" w:cs="Amiri"/>
          <w:color w:val="111111"/>
          <w:sz w:val="28"/>
          <w:sz w:val="28"/>
          <w:szCs w:val="28"/>
          <w:rtl w:val="true"/>
          <w:lang w:bidi="ar-SA"/>
        </w:rPr>
        <w:t>، فلا ترديد بين الأقلّ والأكثر على ما توهّم ، فلا مجرى للقاعدة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الظنّ أحد طرفي الاحتمال في تحصيل المقدّمة ممّا لا وجه له ؛ فإنّ الواقعة لا تخلو عن أصل ، والعمل بالظنّ فيما يخالفه يكفي في حرمة مخالفته لذلك الأصل ، فلا وجه للاحتمال بعد قطع العقل من هذه الجهة بعدم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المعاصرين </w:t>
      </w:r>
      <w:r>
        <w:rPr>
          <w:rStyle w:val="FootnoteAnchor"/>
          <w:rtl w:val="true"/>
        </w:rPr>
        <w:footnoteReference w:id="287"/>
      </w:r>
      <w:r>
        <w:rPr>
          <w:rFonts w:ascii="Amiri" w:hAnsi="Amiri" w:eastAsia="Amiri" w:cs="Amiri"/>
          <w:color w:val="111111"/>
          <w:sz w:val="28"/>
          <w:sz w:val="28"/>
          <w:szCs w:val="28"/>
          <w:rtl w:val="true"/>
          <w:lang w:bidi="ar-SA"/>
        </w:rPr>
        <w:t>من أنّ الأصل في الظنّ عدم الحجّية فإنّها أمر حادث يحتاج وجودها إلى سبق علّتها وهو جعله حجّة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الاحتياج في إحراز العدم بالأصل في ترتّب آثار عدم العلم عليه ممنوع ؛ لترتّبه على نفس الشكّ وعدم العلم بالحجّية من غير حاجة إلى إحراز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يترتّب على عدم حجّية الظنّ آثار شرعية من الحرمة التشريعية وطرح الأصول العملية من غير علم يرتفع به موضوعها ، ويترتّب هذه الآثار على نفس الشكّ في الحجّية كما عرفت ، فلا حاجة </w:t>
      </w:r>
      <w:r>
        <w:rPr>
          <w:rStyle w:val="FootnoteAnchor"/>
          <w:rtl w:val="true"/>
        </w:rPr>
        <w:footnoteReference w:id="288"/>
      </w:r>
      <w:r>
        <w:rPr>
          <w:rFonts w:ascii="IRNazanin" w:hAnsi="IRNazanin" w:eastAsia="IRNazanin"/>
          <w:color w:val="111111"/>
          <w:sz w:val="28"/>
          <w:sz w:val="28"/>
          <w:szCs w:val="28"/>
          <w:rtl w:val="true"/>
          <w:lang w:bidi="fa-IR"/>
        </w:rPr>
        <w:t>إلى الأصل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وبوجه أوضح إذا شكّ في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القول بحرمة العمل به للتشريع ، ولقوله </w:t>
      </w:r>
      <w:r>
        <w:rPr>
          <w:rStyle w:val="FootnoteAnchor"/>
          <w:rtl w:val="true"/>
        </w:rPr>
        <w:footnoteReference w:id="289"/>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دان اللّه بغير سماع من صادق ألزمه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وغير ذلك ، ولا يحتاج إلى توسيط أنّ الأصل عدم الحجّية ، فيحرم العمل به للتشريع ، فالتعويل على ما شيّدنا </w:t>
      </w:r>
      <w:r>
        <w:rPr>
          <w:rStyle w:val="FootnoteAnchor"/>
          <w:rtl w:val="true"/>
        </w:rPr>
        <w:footnoteReference w:id="291"/>
      </w:r>
      <w:r>
        <w:rPr>
          <w:rFonts w:ascii="Amiri" w:hAnsi="Amiri" w:eastAsia="Amiri" w:cs="Amiri"/>
          <w:color w:val="111111"/>
          <w:sz w:val="28"/>
          <w:sz w:val="28"/>
          <w:szCs w:val="28"/>
          <w:rtl w:val="true"/>
          <w:lang w:bidi="ar-SA"/>
        </w:rPr>
        <w:t>أركانه إلاّ أنّه أيضا إنّما يستقيم بناء على ما هو التحقيق في الأصول العملية من اعتبارها تعبّدا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ما يراه بعضهم من حجّيتها من جهة إفادتها الوصف </w:t>
      </w:r>
      <w:r>
        <w:rPr>
          <w:rStyle w:val="FootnoteAnchor"/>
          <w:rtl w:val="true"/>
        </w:rPr>
        <w:footnoteReference w:id="292"/>
      </w:r>
      <w:r>
        <w:rPr>
          <w:rFonts w:ascii="Amiri" w:hAnsi="Amiri" w:eastAsia="Amiri" w:cs="Amiri"/>
          <w:color w:val="111111"/>
          <w:sz w:val="28"/>
          <w:sz w:val="28"/>
          <w:szCs w:val="28"/>
          <w:rtl w:val="true"/>
          <w:lang w:bidi="ar-SA"/>
        </w:rPr>
        <w:t xml:space="preserve">، أو السّببية المقيّدة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القمّي رحمه‌اللّه على ما يظهر منه في بعض مواضع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القول بأنّ الأصل هو وجوب العمل بالظنّ إمّا عينا أو تخييرا في حالة الانسداد ، فإنّه على ذلك التقدير إذا تعارض الأصل بالظنّ ، فلا يفيد الأصل ظنّا ، فلا يجب العمل به ، وثبوت التكليف إجمالا يوجب العمل بأحدهما ، فإن رجّحنا الظنّ لقربه إلى الواقع ، فيجب العمل به عينا ، وإن لم نقل بالترجيح لكون الظنّ في مرتبة الأصل في الشكّ في الحجّية ، فلا بدّ من التخيير ، ولا فرق فيما ذكر بين الأصول اللفظية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قرّرنا صحّة ما أفاده المحقّق القمّي رحمه‌اللّه في تعريف الاجتهاد من عدم الحاجة إلى إدراج قيد الظنّ فيه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عرفت أنّه لا حاجة إلى إدراج قيد الظنّ في تعريف الاجتهاد ، فيظهر أنّ ما يحصل من الاجتهاد قد يكون قطعيا ، وقد يكون ظنّيا ، وكلاهما حجّة على المجتهد ومقلّده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المفروض انسداد باب العلم </w:t>
      </w:r>
      <w:r>
        <w:rPr>
          <w:rStyle w:val="FootnoteAnchor"/>
          <w:rtl w:val="true"/>
        </w:rPr>
        <w:footnoteReference w:id="294"/>
      </w:r>
      <w:r>
        <w:rPr>
          <w:rFonts w:ascii="Amiri" w:hAnsi="Amiri" w:eastAsia="Amiri" w:cs="Amiri"/>
          <w:color w:val="111111"/>
          <w:sz w:val="28"/>
          <w:sz w:val="28"/>
          <w:szCs w:val="28"/>
          <w:rtl w:val="true"/>
          <w:lang w:bidi="ar-SA"/>
        </w:rPr>
        <w:t xml:space="preserve">، ولا دليل على حرمة العمل به حينئذ مع بقاء التكليف جزما لو لم ندّع ثبوت الدليل على الجواز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ما أورده عليه بعض الأجلّة </w:t>
      </w:r>
      <w:r>
        <w:rPr>
          <w:rStyle w:val="FootnoteAnchor"/>
          <w:rtl w:val="true"/>
        </w:rPr>
        <w:footnoteReference w:id="296"/>
      </w:r>
      <w:r>
        <w:rPr>
          <w:rFonts w:ascii="Amiri" w:hAnsi="Amiri" w:eastAsia="Amiri" w:cs="Amiri"/>
          <w:color w:val="111111"/>
          <w:sz w:val="28"/>
          <w:sz w:val="28"/>
          <w:szCs w:val="28"/>
          <w:rtl w:val="true"/>
          <w:lang w:bidi="ar-SA"/>
        </w:rPr>
        <w:t xml:space="preserve">من أنّه لا وجه له أصلا ، فإنّ الوجه فيه ظاهر بعد القول بحجّية الأصول من باب الظنّ ، وأمّا إذا انفتح باب العلم ، وقلنا بعدم كفاية الظنّ في الامتثال ، فيحرم العمل بالظنّ بالمعنيين ، وأمّا على القول بالكفاية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المنقول عن المحقّق الخوانساري والقمّي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حرمة في العمل بالظنّ بل هو أحد </w:t>
      </w:r>
      <w:bookmarkStart w:id="46" w:name="pg16273_211450"/>
    </w:p>
    <w:p>
      <w:pPr>
        <w:pStyle w:val="BookText"/>
        <w:rPr/>
      </w:pPr>
      <w:bookmarkEnd w:id="46"/>
      <w:r>
        <w:rPr>
          <w:rFonts w:ascii="Amiri" w:hAnsi="Amiri" w:eastAsia="Amiri" w:cs="Amiri"/>
          <w:color w:val="111111"/>
          <w:sz w:val="28"/>
          <w:sz w:val="28"/>
          <w:szCs w:val="28"/>
          <w:rtl w:val="true"/>
          <w:lang w:bidi="ar-SA"/>
        </w:rPr>
        <w:t xml:space="preserve">فردي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تحصيل العلم ، والكفاية بالظنّ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 على ما هو التحقيق في الأصول من اعتبارها تعبّدا وعدم كفاية الظنّ بالامتثال ، بعد القطع بالاشتغال ، فلا شكّ في حرمة العمل بالظنّ على المعنيين المزبورين ؛ لإطباق أهل العقل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ذكره بعض الأواخر </w:t>
      </w:r>
      <w:r>
        <w:rPr>
          <w:rStyle w:val="FootnoteAnchor"/>
          <w:rtl w:val="true"/>
        </w:rPr>
        <w:footnoteReference w:id="298"/>
      </w:r>
      <w:r>
        <w:rPr>
          <w:rFonts w:ascii="Amiri" w:hAnsi="Amiri" w:eastAsia="Amiri" w:cs="Amiri"/>
          <w:color w:val="111111"/>
          <w:sz w:val="28"/>
          <w:sz w:val="28"/>
          <w:szCs w:val="28"/>
          <w:rtl w:val="true"/>
          <w:lang w:bidi="ar-SA"/>
        </w:rPr>
        <w:t xml:space="preserve">من أنّه يدلّ على الأصل المزبور مائة آية قرآنية وخمسمائة رواية إمامية ، فلا إشكال فيه ، وإنّما الشأن في أنّه هل خرج من الأصل المذكور شيء ، أو لا؟ والحقّ هو </w:t>
      </w:r>
      <w:r>
        <w:rPr>
          <w:rStyle w:val="FootnoteAnchor"/>
          <w:rtl w:val="true"/>
        </w:rPr>
        <w:footnoteReference w:id="299"/>
      </w:r>
      <w:r>
        <w:rPr>
          <w:rFonts w:ascii="Amiri" w:hAnsi="Amiri" w:eastAsia="Amiri" w:cs="Amiri"/>
          <w:color w:val="111111"/>
          <w:sz w:val="28"/>
          <w:sz w:val="28"/>
          <w:szCs w:val="28"/>
          <w:rtl w:val="true"/>
          <w:lang w:bidi="ar-SA"/>
        </w:rPr>
        <w:t xml:space="preserve">الأوّل وهو أمور نذكرها مع ما يقتضي تخصيص الأصل بها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803490_1280447820"/>
      <w:bookmarkStart w:id="48" w:name="_Toc17"/>
      <w:bookmarkEnd w:id="47"/>
      <w:r>
        <w:rPr>
          <w:rtl w:val="true"/>
        </w:rPr>
        <w:t xml:space="preserve">[ </w:t>
      </w:r>
      <w:r>
        <w:rPr>
          <w:rtl w:val="true"/>
        </w:rPr>
        <w:t xml:space="preserve">في حجّية الظواهر </w:t>
      </w:r>
      <w:r>
        <w:rPr>
          <w:rtl w:val="true"/>
        </w:rPr>
        <w:t>]</w:t>
      </w:r>
      <w:bookmarkEnd w:id="4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المستند إلى ظواهر الألفاظ ، المنتهى إلى إحدى الدلالات الثلاث ولو بمعونة القرائن الحالية أو المقالية المتعارفة في المحاورات لدى الإفادة والاستفادة ولو كانت بسبب سبق عهد بين المتكلّم والمخاطب ، أو اشتهار المشترك في أحد معانيه ، بخلاف غيرها ممّا لا تعويل عليها في العرف والعادة في استكشاف مقاصدهم من الألفاظ كالرمل ونحوه ، وبخلاف الظنون التي قد تستفاد من اللفظ ، ومن ينتسب إليه بواسطة أمر </w:t>
      </w:r>
      <w:r>
        <w:rPr>
          <w:rStyle w:val="FootnoteAnchor"/>
          <w:rtl w:val="true"/>
        </w:rPr>
        <w:footnoteReference w:id="300"/>
      </w:r>
      <w:r>
        <w:rPr>
          <w:rFonts w:ascii="Amiri" w:hAnsi="Amiri" w:eastAsia="Amiri" w:cs="Amiri"/>
          <w:color w:val="111111"/>
          <w:sz w:val="28"/>
          <w:sz w:val="28"/>
          <w:szCs w:val="28"/>
          <w:rtl w:val="true"/>
          <w:lang w:bidi="ar-SA"/>
        </w:rPr>
        <w:t xml:space="preserve">خارج عنه بالمرّة مثل فهم الأصحاب أو اشتهار مضمون اللفظ ، فإنّها في الحقيقة ليست من الظنون المنتهية إلى إحدى </w:t>
      </w:r>
      <w:r>
        <w:rPr>
          <w:rStyle w:val="FootnoteAnchor"/>
          <w:rtl w:val="true"/>
        </w:rPr>
        <w:footnoteReference w:id="301"/>
      </w:r>
      <w:r>
        <w:rPr>
          <w:rFonts w:ascii="Amiri" w:hAnsi="Amiri" w:eastAsia="Amiri" w:cs="Amiri"/>
          <w:color w:val="111111"/>
          <w:sz w:val="28"/>
          <w:sz w:val="28"/>
          <w:szCs w:val="28"/>
          <w:rtl w:val="true"/>
          <w:lang w:bidi="ar-SA"/>
        </w:rPr>
        <w:t xml:space="preserve">الدلالات بل هو ظنّ بمضمون اللفظ ، ويبنى اعتباره على اعتبار مطلق الظنّ ، وبخلاف الظنّ بواسطة الظنّ بالوضع </w:t>
      </w:r>
      <w:r>
        <w:rPr>
          <w:rStyle w:val="FootnoteAnchor"/>
          <w:rtl w:val="true"/>
        </w:rPr>
        <w:footnoteReference w:id="302"/>
      </w:r>
      <w:r>
        <w:rPr>
          <w:rFonts w:ascii="Amiri" w:hAnsi="Amiri" w:eastAsia="Amiri" w:cs="Amiri"/>
          <w:color w:val="111111"/>
          <w:sz w:val="28"/>
          <w:sz w:val="28"/>
          <w:szCs w:val="28"/>
          <w:rtl w:val="true"/>
          <w:lang w:bidi="ar-SA"/>
        </w:rPr>
        <w:t xml:space="preserve">كالظنّ بالوجوب المستند إلى الظنّ بكون الأمر موضوعا له ، وكالظنّ بوجوب التيمّم على </w:t>
      </w:r>
    </w:p>
    <w:p>
      <w:pPr>
        <w:pStyle w:val="BookText"/>
        <w:rPr/>
      </w:pPr>
      <w:r>
        <w:rPr>
          <w:rFonts w:ascii="Amiri" w:hAnsi="Amiri" w:eastAsia="Amiri" w:cs="Amiri"/>
          <w:color w:val="111111"/>
          <w:sz w:val="28"/>
          <w:sz w:val="28"/>
          <w:szCs w:val="28"/>
          <w:rtl w:val="true"/>
          <w:lang w:bidi="ar-SA"/>
        </w:rPr>
        <w:t xml:space="preserve">التراب الخالص المستند إلى الظنّ بوضع الصعيد له ، فإنّ الكلام في الظهور وعدمه إنّما هو بعد أن كان الوضع مفروغا عنه ثابتا بالأدلّة المعتبرة علما أو ظنّا قام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 ، والوجه في ذلك هو الإجماع تحصيلا ونقلا على لسان غير واحد من الفحول ، وإطباق العقلاء كافّة بل ولولاه لانسدّ سبيل المحاورة ، وانفتح طريق المكابرة ، وعليه جرت العادة ، من لدن آدم إلى يوم القيامة ، بل ربما ينسب القائل بخلافه إلى أصحاب السوداء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تعالى أجلّ من أن يخاطب قوما ويريد منهم خلاف ما يفهمونه ، وأنّه تعالى ما أرسل من رسول إلاّ بلسان قومه ، وقوله صلى‌اللّه‌عليه‌وآله لابن الزبعرى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أجهلك بلسان قومك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مع تقريرهم عليهم‌السلام أصحابهم فيما يفهمونه من الألفاظ المتداولة في محاوراتهم ، ومع ذلك كلّه فقد ينسب الخلاف في ذلك إلى بعضهم وهو شاذّ لا يلتفت إليه كما أنّه قد خالفت الأخبارية </w:t>
      </w:r>
      <w:r>
        <w:rPr>
          <w:rStyle w:val="FootnoteAnchor"/>
          <w:rtl w:val="true"/>
        </w:rPr>
        <w:footnoteReference w:id="304"/>
      </w:r>
      <w:r>
        <w:rPr>
          <w:rFonts w:ascii="Amiri" w:hAnsi="Amiri" w:eastAsia="Amiri" w:cs="Amiri"/>
          <w:color w:val="111111"/>
          <w:sz w:val="28"/>
          <w:sz w:val="28"/>
          <w:szCs w:val="28"/>
          <w:rtl w:val="true"/>
          <w:lang w:bidi="ar-SA"/>
        </w:rPr>
        <w:t>في خصوص ظواهر القرآن ما لم يرد عن أحدهم عليهم‌السلام نصّ في بيانهم ، وسواء في ذلك المشافهون وغيرهم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يظهر من المحقّق القمّي رحمه‌اللّه </w:t>
      </w:r>
      <w:r>
        <w:rPr>
          <w:rStyle w:val="FootnoteAnchor"/>
          <w:rtl w:val="true"/>
        </w:rPr>
        <w:footnoteReference w:id="305"/>
      </w:r>
      <w:r>
        <w:rPr>
          <w:rFonts w:ascii="Amiri" w:hAnsi="Amiri" w:eastAsia="Amiri" w:cs="Amiri"/>
          <w:color w:val="111111"/>
          <w:sz w:val="28"/>
          <w:sz w:val="28"/>
          <w:szCs w:val="28"/>
          <w:rtl w:val="true"/>
          <w:lang w:bidi="ar-SA"/>
        </w:rPr>
        <w:t xml:space="preserve">التفصيل بين المشافهين وغيرهم ، فقال بالاعتبار في حقّهم وعدمه في حقّ غيرهم ، ولقد وافق في ذلك صاحب المعالم </w:t>
      </w:r>
      <w:r>
        <w:rPr>
          <w:rStyle w:val="FootnoteAnchor"/>
          <w:rtl w:val="true"/>
        </w:rPr>
        <w:footnoteReference w:id="306"/>
      </w:r>
      <w:r>
        <w:rPr>
          <w:rFonts w:ascii="Amiri" w:hAnsi="Amiri" w:eastAsia="Amiri" w:cs="Amiri"/>
          <w:color w:val="111111"/>
          <w:sz w:val="28"/>
          <w:sz w:val="28"/>
          <w:szCs w:val="28"/>
          <w:rtl w:val="true"/>
          <w:lang w:bidi="ar-SA"/>
        </w:rPr>
        <w:t xml:space="preserve">حيث يظهر منه اختيار ما أفاده المحقّق القمّي في مقام بيان الدليل الرابع على حجّية أخبار الآحاد وإن كان قد يحتمل كلامه إرادة عدم الحجّية مطلقا ؛ حيث إنّه قد أورد في دفع الاعتراض على مظنونية الأحكام المستنبطة من الكتاب الكريم باختصاص الخطاب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المشافهة بالحاضرين بعد أنّ الكتاب منه </w:t>
      </w:r>
      <w:r>
        <w:rPr>
          <w:rStyle w:val="FootnoteAnchor"/>
          <w:rtl w:val="true"/>
        </w:rPr>
        <w:footnoteReference w:id="308"/>
      </w:r>
      <w:r>
        <w:rPr>
          <w:rFonts w:ascii="Amiri" w:hAnsi="Amiri" w:eastAsia="Amiri" w:cs="Amiri"/>
          <w:color w:val="111111"/>
          <w:sz w:val="28"/>
          <w:sz w:val="28"/>
          <w:szCs w:val="28"/>
          <w:rtl w:val="true"/>
          <w:lang w:bidi="ar-SA"/>
        </w:rPr>
        <w:t>، وثبوت الحكم للمتأخّر إنّما هو بواسطة أدلّة الاشتراك في التكليف ، وحينئذ فمن الجائز اقتران الخطاب بما يفيد خلاف ما هو الظاهر عندنا ، وقد وقع ذلك في مواضع علمناها بالإجماع ، فإنّ تجويز هذا الاحتمال لا يختصّ بالمشافهة وغيرهم أيضا ، ومن هنا قد يورد عليه بعدم اتّجاه تفريعه على الخطاب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فلنا في المقام دعويان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مطلقا قبالا للأخباريين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قبالا لصاحب المعالم والمحقّق القمّي ، فلنا على الأولى منهما وجوه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الأمّة قديما وحديثا وإجماعهم خلفا عن سلف عامّة وخاصّة ، حكيما وفقيها على حجّية ظواهره ويكشف عن ذلك استدلال الكلّ في الكلّ بها من غير نكير منهم ، ويرشدك إليه النظر في مصنّفاتهم ، والرجوع إلى مؤلّفاتهم بل كادت أن تكون من ضروريات الدين وأن ينسب الخلاف فيه إلى القاصرين بل ربما يعدّ المنكر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جدوى في التمسّك بالإجماع في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فيه لو كانت لها جهة فرعية كما فيما نحن فيه حيث إنّ جواز الاتّكال على الظنّ الخاصّ توقيفي منوط بالرخصة من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متمحّضة في جهة العقل كاجتماع الأمر والنهي مثلا ، فلا وجه للاستناد إليه فيها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القطعية الكاشفة المستمرّة على ما يشهد بها ملاحظة </w:t>
      </w:r>
      <w:r>
        <w:rPr>
          <w:rStyle w:val="FootnoteAnchor"/>
          <w:rtl w:val="true"/>
        </w:rPr>
        <w:footnoteReference w:id="309"/>
      </w:r>
      <w:r>
        <w:rPr>
          <w:rFonts w:ascii="Amiri" w:hAnsi="Amiri" w:eastAsia="Amiri" w:cs="Amiri"/>
          <w:color w:val="111111"/>
          <w:sz w:val="28"/>
          <w:sz w:val="28"/>
          <w:szCs w:val="28"/>
          <w:rtl w:val="true"/>
          <w:lang w:bidi="ar-SA"/>
        </w:rPr>
        <w:t>أحوال المسلمين من زمن النبيّ صلى‌اللّه‌عليه‌وآله إلى زماننا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العمل </w:t>
      </w:r>
      <w:r>
        <w:rPr>
          <w:rStyle w:val="FootnoteAnchor"/>
          <w:rtl w:val="true"/>
        </w:rPr>
        <w:footnoteReference w:id="310"/>
      </w:r>
      <w:r>
        <w:rPr>
          <w:rFonts w:ascii="Amiri" w:hAnsi="Amiri" w:eastAsia="Amiri" w:cs="Amiri"/>
          <w:color w:val="111111"/>
          <w:sz w:val="28"/>
          <w:sz w:val="28"/>
          <w:szCs w:val="28"/>
          <w:rtl w:val="true"/>
          <w:lang w:bidi="ar-SA"/>
        </w:rPr>
        <w:t>بها انسداد باب العلم ، فلا دلالة فيها على اعتبارها بالخصوص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استقرار طريقتهم في العمل بها حتّى في صورة الانفتاح أيضا ؛ فإنّ أصحاب الأئمّة مع تمكّنهم عن تحصيل العلم كانوا يستدلّون بظواهر القرآن على جلّ مطالبهم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فكان الانسداد من جهة عدم التمكّن غالبا من استفادة المطالب من الألفاظ بالعلم ، ولا ينافي ذلك اعتبار الظواهر بالخصوص بل هو الوجه في اعتماد العقلاء عليه فيصير ظنّا خاصّا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الانسداد من جهة عروض السدّ كما في أمثال زماننا ؛ لعدم إمكان الوصول غالبا إلى المعصوم لكنّه لا يخفى في انفتاح باب العلم ولو في بعض الأوقات ، فلا بدّ لهم من السؤال ، وإلاّ فلا بدّ من الحكم بتفسيقهم حاشاهم عن ذلك ، فإن أجاب المعصوم بالعمل بها ، فهو وإن لم يجبهم ووكلهم إلى ما هو طريق عندهم </w:t>
      </w:r>
      <w:r>
        <w:rPr>
          <w:rStyle w:val="FootnoteAnchor"/>
          <w:rtl w:val="true"/>
        </w:rPr>
        <w:footnoteReference w:id="311"/>
      </w:r>
      <w:r>
        <w:rPr>
          <w:rFonts w:ascii="Amiri" w:hAnsi="Amiri" w:eastAsia="Amiri" w:cs="Amiri"/>
          <w:color w:val="111111"/>
          <w:sz w:val="28"/>
          <w:sz w:val="28"/>
          <w:szCs w:val="28"/>
          <w:rtl w:val="true"/>
          <w:lang w:bidi="ar-SA"/>
        </w:rPr>
        <w:t>من الاعتماد على مطلق الظنّ ، فهو خلاف اللطف منهم ، وهو لا يجوز عليهم ، فإنّ السؤال ناظر إلى الواقع ، فهو كتأخير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عدم جواز الإحالة على الاستصحاب وغيره من الأصول العملية إذا سألوا عن المسألة الفرعية كنجاسة القليل بمجرّد ملاقاة النجاسة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فغاية ما هناك عدم العلم بجهة عملهم بظواهر الكتاب ولا ضير فيه ؛ إذ الجهل بالجهة إنّما يضرّ فيما لو احتملنا استناد العمل إلى جهة لم نكن واجدا لها ، وأمّا لو كنّا واجدين للجهة المحتملة أيضا من الاضطرار ونحوه مثلا ، فلا شكّ في اعتبار العمل عندنا ، غاية ما في الباب عدم العلم بخصوص الجهة على تقديره ، ولا ثمرة في العلم بها إلاّ عند التعارض ، فيقدّم على غيره لو كان من جهة الظنون الخاصّة ، ويتوقّف على </w:t>
      </w:r>
    </w:p>
    <w:p>
      <w:pPr>
        <w:pStyle w:val="BookText"/>
        <w:rPr/>
      </w:pPr>
      <w:r>
        <w:rPr>
          <w:rFonts w:ascii="Amiri" w:hAnsi="Amiri" w:eastAsia="Amiri" w:cs="Amiri"/>
          <w:color w:val="111111"/>
          <w:sz w:val="28"/>
          <w:sz w:val="28"/>
          <w:szCs w:val="28"/>
          <w:rtl w:val="true"/>
          <w:lang w:bidi="ar-SA"/>
        </w:rPr>
        <w:t>المرجّح لو كان من غيرها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لا بدّ من تقديم الظنون الاجتهادية على الظنّ الحاصل من استعمال الأصول اللفظية من أصالة الحقيقة ونحوها في الكتاب الكريم ؛ إذ بعد ما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حجّة ولو من جهة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مجرى لأصالة الحقيقة عند معارضتها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العملي من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على اعتبار أصالة الحقيقة المعمولة في الكتاب الكريم ، ولا وجه للاحتمال </w:t>
      </w:r>
      <w:r>
        <w:rPr>
          <w:rStyle w:val="FootnoteAnchor"/>
          <w:rtl w:val="true"/>
        </w:rPr>
        <w:footnoteReference w:id="312"/>
      </w:r>
      <w:r>
        <w:rPr>
          <w:rFonts w:ascii="Amiri" w:hAnsi="Amiri" w:eastAsia="Amiri" w:cs="Amiri"/>
          <w:color w:val="111111"/>
          <w:sz w:val="28"/>
          <w:sz w:val="28"/>
          <w:szCs w:val="28"/>
          <w:rtl w:val="true"/>
          <w:lang w:bidi="ar-SA"/>
        </w:rPr>
        <w:t>المذكور من أنّه لعلّ العمل المذكور من جهة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فلأنّ الانسداد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لما عرفت من التمكّن لتحصيل العلم ولو بالنسبة إلى بعضهم ولو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Style w:val="FootnoteAnchor"/>
          <w:rtl w:val="true"/>
        </w:rPr>
        <w:footnoteReference w:id="313"/>
      </w:r>
      <w:r>
        <w:rPr>
          <w:rFonts w:ascii="Amiri" w:hAnsi="Amiri" w:eastAsia="Amiri" w:cs="Amiri"/>
          <w:color w:val="111111"/>
          <w:sz w:val="28"/>
          <w:sz w:val="28"/>
          <w:szCs w:val="28"/>
          <w:rtl w:val="true"/>
          <w:lang w:bidi="ar-SA"/>
        </w:rPr>
        <w:t xml:space="preserve">حكمة </w:t>
      </w:r>
      <w:r>
        <w:rPr>
          <w:rStyle w:val="FootnoteAnchor"/>
          <w:rtl w:val="true"/>
        </w:rPr>
        <w:footnoteReference w:id="314"/>
      </w:r>
      <w:r>
        <w:rPr>
          <w:rFonts w:ascii="Amiri" w:hAnsi="Amiri" w:eastAsia="Amiri" w:cs="Amiri"/>
          <w:color w:val="111111"/>
          <w:sz w:val="28"/>
          <w:sz w:val="28"/>
          <w:szCs w:val="28"/>
          <w:rtl w:val="true"/>
          <w:lang w:bidi="ar-SA"/>
        </w:rPr>
        <w:t xml:space="preserve">لجواز العمل بالظنون اللفظية لا علّة كما هي قضية دليل الانسداد ، فالداعي في تشريع الحكم وجواز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فلأنّه لا وجه لتعيين الوجه إلاّ التقدّم في التعارض ، أو التوقّف إلى حصول مرجّح ، والظنون الاجتهادية تقدّم على الظنون اللفظية مطلقا ، فلا ثمرة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هذا المضمار ، عن السادة الأطهار ، عليهم صلوات الجبار ، وهي صنفان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منها دالّ على وجوب الأخذ بما وافق الكتاب وطرح ما خالفه </w:t>
      </w:r>
      <w:r>
        <w:rPr>
          <w:rStyle w:val="FootnoteAnchor"/>
          <w:rtl w:val="true"/>
        </w:rPr>
        <w:footnoteReference w:id="315"/>
      </w:r>
      <w:r>
        <w:rPr>
          <w:rFonts w:ascii="Amiri" w:hAnsi="Amiri" w:eastAsia="Amiri" w:cs="Amiri"/>
          <w:color w:val="111111"/>
          <w:sz w:val="28"/>
          <w:sz w:val="28"/>
          <w:szCs w:val="28"/>
          <w:rtl w:val="true"/>
          <w:lang w:bidi="ar-SA"/>
        </w:rPr>
        <w:t xml:space="preserve">، وإنّ الفتن إذا غلبت كقطع الليل المظلم ، لزم الرجوع إليه ؛ لأنّ فيه تفصيلا </w:t>
      </w:r>
      <w:r>
        <w:rPr>
          <w:rStyle w:val="FootnoteAnchor"/>
          <w:rtl w:val="true"/>
        </w:rPr>
        <w:footnoteReference w:id="316"/>
      </w:r>
      <w:r>
        <w:rPr>
          <w:rFonts w:ascii="Amiri" w:hAnsi="Amiri" w:eastAsia="Amiri" w:cs="Amiri"/>
          <w:color w:val="111111"/>
          <w:sz w:val="28"/>
          <w:sz w:val="28"/>
          <w:szCs w:val="28"/>
          <w:rtl w:val="true"/>
          <w:lang w:bidi="ar-SA"/>
        </w:rPr>
        <w:t xml:space="preserve">، وأنّ ما وجدتم فيه أو في السنّة ، لزمكم العمل به ، ولا عذر لكم في تركه </w:t>
      </w:r>
      <w:r>
        <w:rPr>
          <w:rStyle w:val="FootnoteAnchor"/>
          <w:rtl w:val="true"/>
        </w:rPr>
        <w:footnoteReference w:id="317"/>
      </w:r>
      <w:r>
        <w:rPr>
          <w:rFonts w:ascii="Amiri" w:hAnsi="Amiri" w:eastAsia="Amiri" w:cs="Amiri"/>
          <w:color w:val="111111"/>
          <w:sz w:val="28"/>
          <w:sz w:val="28"/>
          <w:szCs w:val="28"/>
          <w:rtl w:val="true"/>
          <w:lang w:bidi="ar-SA"/>
        </w:rPr>
        <w:t xml:space="preserve">، وأنّ كلّ شيء مردود إلى </w:t>
      </w:r>
    </w:p>
    <w:p>
      <w:pPr>
        <w:pStyle w:val="BookText"/>
        <w:rPr/>
      </w:pPr>
      <w:r>
        <w:rPr>
          <w:rFonts w:ascii="Amiri" w:hAnsi="Amiri" w:eastAsia="Amiri" w:cs="Amiri"/>
          <w:color w:val="111111"/>
          <w:sz w:val="28"/>
          <w:sz w:val="28"/>
          <w:szCs w:val="28"/>
          <w:rtl w:val="true"/>
          <w:lang w:bidi="ar-SA"/>
        </w:rPr>
        <w:t xml:space="preserve">الكتاب </w:t>
      </w:r>
      <w:r>
        <w:rPr>
          <w:rStyle w:val="FootnoteAnchor"/>
          <w:rtl w:val="true"/>
        </w:rPr>
        <w:footnoteReference w:id="318"/>
      </w:r>
      <w:r>
        <w:rPr>
          <w:rFonts w:ascii="Amiri" w:hAnsi="Amiri" w:eastAsia="Amiri" w:cs="Amiri"/>
          <w:color w:val="111111"/>
          <w:sz w:val="28"/>
          <w:sz w:val="28"/>
          <w:szCs w:val="28"/>
          <w:rtl w:val="true"/>
          <w:lang w:bidi="ar-SA"/>
        </w:rPr>
        <w:t xml:space="preserve">، وأنّ على كلّ حقّ حقيقة ، وعلى كلّ صواب نورا فما وافق كتاب اللّه فخذوه ، وما لم يوافق من الحديث القرآن ، فهو زخرف </w:t>
      </w:r>
      <w:r>
        <w:rPr>
          <w:rStyle w:val="FootnoteAnchor"/>
          <w:rtl w:val="true"/>
        </w:rPr>
        <w:footnoteReference w:id="319"/>
      </w:r>
      <w:r>
        <w:rPr>
          <w:rFonts w:ascii="Amiri" w:hAnsi="Amiri" w:eastAsia="Amiri" w:cs="Amiri"/>
          <w:color w:val="111111"/>
          <w:sz w:val="28"/>
          <w:sz w:val="28"/>
          <w:szCs w:val="28"/>
          <w:rtl w:val="true"/>
          <w:lang w:bidi="ar-SA"/>
        </w:rPr>
        <w:t xml:space="preserve">، وأنّ ما جاءكم منّي يوافق كتاب اللّه فأنا قلته ، وما جاءكم يخالف كتاب اللّه فلم أقله </w:t>
      </w:r>
      <w:r>
        <w:rPr>
          <w:rStyle w:val="FootnoteAnchor"/>
          <w:rtl w:val="true"/>
        </w:rPr>
        <w:footnoteReference w:id="320"/>
      </w:r>
      <w:r>
        <w:rPr>
          <w:rFonts w:ascii="Amiri" w:hAnsi="Amiri" w:eastAsia="Amiri" w:cs="Amiri"/>
          <w:color w:val="111111"/>
          <w:sz w:val="28"/>
          <w:sz w:val="28"/>
          <w:szCs w:val="28"/>
          <w:rtl w:val="true"/>
          <w:lang w:bidi="ar-SA"/>
        </w:rPr>
        <w:t xml:space="preserve">، وأنّ القرآن حقّ لا ريب فيه عند الجميع ، وأنّهم في حالة الاجتماع عليه مصيبون </w:t>
      </w:r>
      <w:r>
        <w:rPr>
          <w:rStyle w:val="FootnoteAnchor"/>
          <w:rtl w:val="true"/>
        </w:rPr>
        <w:footnoteReference w:id="321"/>
      </w:r>
      <w:r>
        <w:rPr>
          <w:rFonts w:ascii="Amiri" w:hAnsi="Amiri" w:eastAsia="Amiri" w:cs="Amiri"/>
          <w:color w:val="111111"/>
          <w:sz w:val="28"/>
          <w:sz w:val="28"/>
          <w:szCs w:val="28"/>
          <w:rtl w:val="true"/>
          <w:lang w:bidi="ar-SA"/>
        </w:rPr>
        <w:t xml:space="preserve">، وأنّه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حيث إنّه جعله كالإمام في جواز الرجوع إليه مستقلا ، فاحتمال إرادة الاجتماع لا يناسب مذهبنا في العترة بعد أنّه خلاف الظاهر من اللفظ كما لا يخفى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آخر هي الأخبار الخاصّة الآمرة باستنباط الأحكام من الكتاب الكريم والفرقان العظيم قولا أو فعلا أو تقريرا ، كرواية عبد الأعلى بن أعين عند السؤال عن الجبيرة عن الصادق عليه‌السلام من أنّه رجل عثر ، فوقع </w:t>
      </w:r>
      <w:r>
        <w:rPr>
          <w:rStyle w:val="FootnoteAnchor"/>
          <w:rtl w:val="true"/>
        </w:rPr>
        <w:footnoteReference w:id="323"/>
      </w:r>
      <w:r>
        <w:rPr>
          <w:rFonts w:ascii="Amiri" w:hAnsi="Amiri" w:eastAsia="Amiri" w:cs="Amiri"/>
          <w:color w:val="111111"/>
          <w:sz w:val="28"/>
          <w:sz w:val="28"/>
          <w:szCs w:val="28"/>
          <w:rtl w:val="true"/>
          <w:lang w:bidi="ar-SA"/>
        </w:rPr>
        <w:t xml:space="preserve">ظفره ، وجعل عليه مرارة ، فما ذا يصنع في الوضوء؟ فأجاب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وأشباهه يعرف من كتاب اللّه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فامسح عليه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فالمستفاد من الرواية جواز استنباط أمثال ذلك من الأحكام مع خفائها من الكتاب ، فكأنّه عليه‌السلام قد بيّن لنا قاعدة أيضا من الجواب المذكور فيما إذا دار الأمر بين سقوط المقيّد رأسا وسقوط قيده لعذر ، يقدّم الثاني ؛ فإنّ السؤال عن المسح المقيّد بالرجل وسقوطه رأسا ، أو بقائه بلا مباشرة الماسح للممسوح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اختصاص جواز الاستنباط للعارف لا ضير فيها بعد أنّ الفرض ظهوره </w:t>
      </w:r>
      <w:r>
        <w:rPr>
          <w:rStyle w:val="FootnoteAnchor"/>
          <w:rtl w:val="true"/>
        </w:rPr>
        <w:footnoteReference w:id="326"/>
      </w:r>
      <w:r>
        <w:rPr>
          <w:rFonts w:ascii="Amiri" w:hAnsi="Amiri" w:eastAsia="Amiri" w:cs="Amiri"/>
          <w:color w:val="111111"/>
          <w:sz w:val="28"/>
          <w:sz w:val="28"/>
          <w:szCs w:val="28"/>
          <w:rtl w:val="true"/>
          <w:lang w:bidi="ar-SA"/>
        </w:rPr>
        <w:t>في المراد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مستشهدا بعدم جواز نكاح العبد بدون إذن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عبد مملوك لا يقدر على شيء </w:t>
      </w:r>
      <w:r>
        <w:rPr>
          <w:rStyle w:val="FootnoteAnchor"/>
          <w:rtl w:val="true"/>
        </w:rPr>
        <w:footnoteReference w:id="327"/>
      </w:r>
      <w:r>
        <w:rPr>
          <w:rFonts w:ascii="Amiri" w:hAnsi="Amiri" w:eastAsia="Amiri" w:cs="Amiri"/>
          <w:color w:val="111111"/>
          <w:sz w:val="28"/>
          <w:sz w:val="28"/>
          <w:szCs w:val="28"/>
          <w:rtl w:val="true"/>
          <w:lang w:bidi="ar-SA"/>
        </w:rPr>
        <w:t xml:space="preserve">، وقوله في سماع الجواري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328"/>
      </w:r>
      <w:r>
        <w:rPr>
          <w:rStyle w:val="FootnoteAnchor"/>
          <w:rtl w:val="true"/>
        </w:rPr>
        <w:footnoteReference w:id="329"/>
      </w:r>
      <w:r>
        <w:rPr>
          <w:rFonts w:ascii="Amiri" w:hAnsi="Amiri" w:eastAsia="Amiri" w:cs="Amiri"/>
          <w:color w:val="111111"/>
          <w:sz w:val="28"/>
          <w:sz w:val="28"/>
          <w:szCs w:val="28"/>
          <w:rtl w:val="true"/>
          <w:lang w:bidi="ar-SA"/>
        </w:rPr>
        <w:t xml:space="preserve">فإنّ الاستشهاد بشيء فرع ظهوره في المطلب </w:t>
      </w:r>
      <w:r>
        <w:rPr>
          <w:rStyle w:val="FootnoteAnchor"/>
          <w:rtl w:val="true"/>
        </w:rPr>
        <w:footnoteReference w:id="330"/>
      </w:r>
      <w:r>
        <w:rPr>
          <w:rFonts w:ascii="Amiri" w:hAnsi="Amiri" w:eastAsia="Amiri" w:cs="Amiri"/>
          <w:color w:val="111111"/>
          <w:sz w:val="28"/>
          <w:sz w:val="28"/>
          <w:szCs w:val="28"/>
          <w:rtl w:val="true"/>
          <w:lang w:bidi="ar-SA"/>
        </w:rPr>
        <w:t xml:space="preserve">، ولو لم يستند إليه المستشهد كقوله فيما سأله زرارة عن كيفية الصلاة في السفر بأنّها ركعتان ، 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الحكيم نفى الجناح عن القصر ، ولا يدلّ على تعيّنه ، فعارضه الإمام عليه‌السلام بما ورد في الطواف من نفي الجناح </w:t>
      </w:r>
      <w:r>
        <w:rPr>
          <w:rStyle w:val="FootnoteAnchor"/>
          <w:rtl w:val="true"/>
        </w:rPr>
        <w:footnoteReference w:id="331"/>
      </w:r>
      <w:r>
        <w:rPr>
          <w:rFonts w:ascii="Amiri" w:hAnsi="Amiri" w:eastAsia="Amiri" w:cs="Amiri"/>
          <w:color w:val="111111"/>
          <w:sz w:val="28"/>
          <w:sz w:val="28"/>
          <w:szCs w:val="28"/>
          <w:rtl w:val="true"/>
          <w:lang w:bidi="ar-SA"/>
        </w:rPr>
        <w:t xml:space="preserve">إلى غير ذلك من الأخبار بل هي </w:t>
      </w:r>
      <w:r>
        <w:rPr>
          <w:rStyle w:val="FootnoteAnchor"/>
          <w:rtl w:val="true"/>
        </w:rPr>
        <w:footnoteReference w:id="332"/>
      </w:r>
      <w:r>
        <w:rPr>
          <w:rFonts w:ascii="Amiri" w:hAnsi="Amiri" w:eastAsia="Amiri" w:cs="Amiri"/>
          <w:color w:val="111111"/>
          <w:sz w:val="28"/>
          <w:sz w:val="28"/>
          <w:szCs w:val="28"/>
          <w:rtl w:val="true"/>
          <w:lang w:bidi="ar-SA"/>
        </w:rPr>
        <w:t>بالغة حدّ التواتر ، فعلى الطالب الرجوع إليها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للحجّية موجود ، والمانع منها مفقود ؛ لما ستعرف من بطلان ما تخيّله الخصم مانعا ، فلا مناص منها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 الأصل في كلّ كلام من كلّ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مستفاد من طريقة أهل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مسوقا لبيان ما هو المتعارف في الاستفادة منه إن حقيقة فحقيقة ، وإن مجازا فمجاز كما يكشف عن ذلك ملاحظة طريقتهم في استفادة مقاصدهم من الألفاظ أحياء وأمواتا ، مكاتبة ومراسلة ، قديما وحديثا ، فإنّ مجرّد انطباق لفظ 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بإرادة المعاني المستفادة منه في العادة شخصا أو نوعا ، </w:t>
      </w:r>
    </w:p>
    <w:p>
      <w:pPr>
        <w:pStyle w:val="BookText"/>
        <w:rPr/>
      </w:pPr>
      <w:r>
        <w:rPr>
          <w:rFonts w:ascii="Amiri" w:hAnsi="Amiri" w:eastAsia="Amiri" w:cs="Amiri"/>
          <w:color w:val="111111"/>
          <w:sz w:val="28"/>
          <w:sz w:val="28"/>
          <w:szCs w:val="28"/>
          <w:rtl w:val="true"/>
          <w:lang w:bidi="ar-SA"/>
        </w:rPr>
        <w:t xml:space="preserve">مادّة وهيئة بل وأطباعهم مجبولة على ذلك حتّى لو ورد بخلاف ذلك لفظ ، فإنّما هو لا بدّ وأن يكون بعد دلالة دليل عليه ، وذلك مثل ما فطرهم اللّه في حمل الألفاظ على المعاني الحقيقية عند الترديد بينها وبين مجازاتها ، وعليه يبنى </w:t>
      </w:r>
      <w:r>
        <w:rPr>
          <w:rStyle w:val="FootnoteAnchor"/>
          <w:rtl w:val="true"/>
        </w:rPr>
        <w:footnoteReference w:id="333"/>
      </w:r>
      <w:r>
        <w:rPr>
          <w:rFonts w:ascii="Amiri" w:hAnsi="Amiri" w:eastAsia="Amiri" w:cs="Amiri"/>
          <w:color w:val="111111"/>
          <w:sz w:val="28"/>
          <w:sz w:val="28"/>
          <w:szCs w:val="28"/>
          <w:rtl w:val="true"/>
          <w:lang w:bidi="ar-SA"/>
        </w:rPr>
        <w:t xml:space="preserve">جملة من الأحكام الشرعية في الأقارير والوصايا والأوقاف ونحوها ، فلو أقرّ زيد لعمر وبمال ، يؤخذ بإقراره ، ولو استند إلى إرادة معنى لا يتعارف استفادته منه ، لم يسمع منه ، كما أنّه كذلك فيما لو أنكر إرادة المعنى الحقيقي أو المعنى رأسا منه ، وليس ذلك كلّه إلاّ للقاعدة المزبورة ، وقضيّتها أن يكون كلّ كلام من كلّ متكلّم مسوقا لبيان ما هو المتعارف في الاستفادة منه ، وأن لا يكون واردا على سبيل التعمية والإلغاز ، فمتى شكّ في ذلك على أحد الوجهين ، يحكم بالأوّل إلى دلالة دليل على التعمية والإلغاز ، ومنه يستعلم حال أرباب التصانيف من ذوي الملل الفاسدة ، والمذاهب الكاسدة ، فوضوحه يمنع من </w:t>
      </w:r>
      <w:r>
        <w:rPr>
          <w:rStyle w:val="FootnoteAnchor"/>
          <w:rtl w:val="true"/>
        </w:rPr>
        <w:footnoteReference w:id="334"/>
      </w:r>
      <w:r>
        <w:rPr>
          <w:rFonts w:ascii="Amiri" w:hAnsi="Amiri" w:eastAsia="Amiri" w:cs="Amiri"/>
          <w:color w:val="111111"/>
          <w:sz w:val="28"/>
          <w:sz w:val="28"/>
          <w:szCs w:val="28"/>
          <w:rtl w:val="true"/>
          <w:lang w:bidi="ar-SA"/>
        </w:rPr>
        <w:t>إطالة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ضعف مقالة البعض </w:t>
      </w:r>
      <w:r>
        <w:rPr>
          <w:rStyle w:val="FootnoteAnchor"/>
          <w:rtl w:val="true"/>
        </w:rPr>
        <w:footnoteReference w:id="335"/>
      </w:r>
      <w:r>
        <w:rPr>
          <w:rFonts w:ascii="Amiri" w:hAnsi="Amiri" w:eastAsia="Amiri" w:cs="Amiri"/>
          <w:color w:val="111111"/>
          <w:sz w:val="28"/>
          <w:sz w:val="28"/>
          <w:szCs w:val="28"/>
          <w:rtl w:val="true"/>
          <w:lang w:bidi="ar-SA"/>
        </w:rPr>
        <w:t>في الردّ على الأخبارين بقبح التكليف وإرادة ما هو خلاف ظاهر الكلام منه ، فإنّ الكلام في أصل الإرادة والخطاب فربما يدّعي الخصم انتفاءها ، ويلتزم بأنّ الكتاب كلّه من الإلغاز والرموز مثل فواتح السور ، ولكن على ما قلنا ظهر وجود المقتضي ، فليس ظواهر الكتاب إلاّ كظواهر غيره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يتوهّم كونه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استند إليه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علم القرآن مخصوص بالأئمّة ، وعلى حرمة تفسيره بالرأي ، وهي كثيرة مذكورة في مجمع البيان </w:t>
      </w:r>
      <w:r>
        <w:rPr>
          <w:rStyle w:val="FootnoteAnchor"/>
          <w:rtl w:val="true"/>
        </w:rPr>
        <w:footnoteReference w:id="336"/>
      </w:r>
      <w:r>
        <w:rPr>
          <w:rFonts w:ascii="Amiri" w:hAnsi="Amiri" w:eastAsia="Amiri" w:cs="Amiri"/>
          <w:color w:val="111111"/>
          <w:sz w:val="28"/>
          <w:sz w:val="28"/>
          <w:szCs w:val="28"/>
          <w:rtl w:val="true"/>
          <w:lang w:bidi="ar-SA"/>
        </w:rPr>
        <w:t>، ويجمعها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التقييدات المتوافرة ، والتخصيصات </w:t>
      </w:r>
      <w:r>
        <w:rPr>
          <w:rStyle w:val="FootnoteAnchor"/>
          <w:rtl w:val="true"/>
        </w:rPr>
        <w:footnoteReference w:id="337"/>
      </w:r>
      <w:r>
        <w:rPr>
          <w:rFonts w:ascii="Amiri" w:hAnsi="Amiri" w:eastAsia="Amiri" w:cs="Amiri"/>
          <w:color w:val="111111"/>
          <w:sz w:val="28"/>
          <w:sz w:val="28"/>
          <w:szCs w:val="28"/>
          <w:rtl w:val="true"/>
          <w:lang w:bidi="ar-SA"/>
        </w:rPr>
        <w:t xml:space="preserve">المتكاثرة إنّما أوجب عدم العمل بها بواسطة إحداثها وهنا فيها بل ربّما اختصّ بفرد واحد ومورد متّحد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فإنّه قد اختصّ بقراءة الإمام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 فبعد الإغماض عمّا في إسناده بدعوى التواتر فيها إجمالا أنّ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كشف الغطاء ، واختصاص مورده عرفا ولغة بما إذا لم يكن منكشفا في نفسه ممّا لا ينبغي الارتياب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 والمعنى ، والمتكلّم ، والسامع ولا ريب في اختفاء المعنى في ذهن المتكلّم ، فيظهره باللفظ ، فتارة على نحو هو منكشف بنفسه ، وأخرى على وجه يحتاج إلى منكشف غيره ، فبعد ما يرتفع النقاب عن وجه المطلوب بواسطة اللفظ على الوجه الأوّل لا يحتاج في فهم المراد إلى شيء آخر بعد العلم بالوضع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اللسان أو </w:t>
      </w:r>
      <w:r>
        <w:rPr>
          <w:rStyle w:val="FootnoteAnchor"/>
          <w:rtl w:val="true"/>
        </w:rPr>
        <w:footnoteReference w:id="339"/>
      </w:r>
      <w:r>
        <w:rPr>
          <w:rFonts w:ascii="Amiri" w:hAnsi="Amiri" w:eastAsia="Amiri" w:cs="Amiri"/>
          <w:color w:val="111111"/>
          <w:sz w:val="28"/>
          <w:sz w:val="28"/>
          <w:szCs w:val="28"/>
          <w:rtl w:val="true"/>
          <w:lang w:bidi="ar-SA"/>
        </w:rPr>
        <w:t>العارف بالبيان المقرّر عندهم منكشف في نفسه لا يحتاج في بيانه إلى شيء آخر ، وإنّما انكشف عنه تكلّم المتكلّم به وتلفّظه كما هو ظاهر بعد الرجوع إلى العرف الحاكم في تميز معاني الألفاظ وصدقها ، فلا يصدق التفسير في مثله ؛ إذ المعنى لا خفاء فيه بعد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إنّما يصدق التفسير فيما لم يكن المعنى بعد التلفّظ منكشفا ، ولو فسّره من لا يروي في تفسيره عنهم عليهم‌السلام ، فلا شكّ في حرمته ، فلا دلالة في الأخبار المذكورة على المطلوب بل نحن أيضا نلتزم بمفادها ، وإنّما نمنع كون العمل بالظواهر منه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أنّ الترجمة أيضا من التفسير المحرّم ، وليس بشيء ؛ لأنّه لو كان تفسيرا ، فهو إنّما هو بالنسبة إلى المعاني اللغوية لا بالنسبة إلى المراد من اللفظ ، وظاهر </w:t>
      </w:r>
    </w:p>
    <w:p>
      <w:pPr>
        <w:pStyle w:val="BookText"/>
        <w:rPr/>
      </w:pPr>
      <w:r>
        <w:rPr>
          <w:rFonts w:ascii="Amiri" w:hAnsi="Amiri" w:eastAsia="Amiri" w:cs="Amiri"/>
          <w:color w:val="111111"/>
          <w:sz w:val="28"/>
          <w:sz w:val="28"/>
          <w:szCs w:val="28"/>
          <w:rtl w:val="true"/>
          <w:lang w:bidi="ar-SA"/>
        </w:rPr>
        <w:t>أنّ مساق الآيات ممّا لا ربط له بمثل المفروض ، ولو سلّمنا ، فهذه معارضة بما هو أوضح سندا ، وأقوى دلالة ، ومع التساوي فلا بدّ من الحمل على ما ذكر جمعا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الثاني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بالأخبار ، فإنّها ممّا قد نالها يد التخصيص والتقييد بكثير بحيث لا يكاد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Style w:val="FootnoteAnchor"/>
          <w:rtl w:val="true"/>
        </w:rPr>
        <w:footnoteReference w:id="340"/>
      </w:r>
      <w:r>
        <w:rPr>
          <w:rFonts w:ascii="Amiri" w:hAnsi="Amiri" w:eastAsia="Amiri" w:cs="Amiri"/>
          <w:color w:val="111111"/>
          <w:sz w:val="28"/>
          <w:sz w:val="28"/>
          <w:szCs w:val="28"/>
          <w:rtl w:val="true"/>
          <w:lang w:bidi="ar-SA"/>
        </w:rPr>
        <w:t xml:space="preserve">، فإنّ ورود التخصيص والتقييد كثيرا أو </w:t>
      </w:r>
      <w:r>
        <w:rPr>
          <w:rStyle w:val="FootnoteAnchor"/>
          <w:rtl w:val="true"/>
        </w:rPr>
        <w:footnoteReference w:id="341"/>
      </w:r>
      <w:r>
        <w:rPr>
          <w:rFonts w:ascii="Amiri" w:hAnsi="Amiri" w:eastAsia="Amiri" w:cs="Amiri"/>
          <w:color w:val="111111"/>
          <w:sz w:val="28"/>
          <w:sz w:val="28"/>
          <w:szCs w:val="28"/>
          <w:rtl w:val="true"/>
          <w:lang w:bidi="ar-SA"/>
        </w:rPr>
        <w:t xml:space="preserve">قليلا لا يقضي بإهمال الأدلّة وإجمال المراد بعدهما ؛ لأنّ العمل بالعامّ إنّما هو بعد الفحص ، ولا ضير فيه ؛ لما قد تقرّر من حجّية العامّ المخصّص في الباقي لو لم يكن مخصّصا بمجمل ، وعلى تقديره فعدم حجّيته إنّما هو من </w:t>
      </w:r>
      <w:r>
        <w:rPr>
          <w:rStyle w:val="FootnoteAnchor"/>
          <w:rtl w:val="true"/>
        </w:rPr>
        <w:footnoteReference w:id="342"/>
      </w:r>
      <w:r>
        <w:rPr>
          <w:rFonts w:ascii="Amiri" w:hAnsi="Amiri" w:eastAsia="Amiri" w:cs="Amiri"/>
          <w:color w:val="111111"/>
          <w:sz w:val="28"/>
          <w:sz w:val="28"/>
          <w:szCs w:val="28"/>
          <w:rtl w:val="true"/>
          <w:lang w:bidi="ar-SA"/>
        </w:rPr>
        <w:t>جهة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للفاضل السيّد صدر الدين في المقام كلاما لا بأس بنقله وذكر ما يرد عليه قال رحمه‌اللّه بعد جملة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الفصل مع تفصيل وتوضيح يظهر بعد تمهيد مقدّمتين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التكليف إلى الانقراض الذي </w:t>
      </w:r>
      <w:r>
        <w:rPr>
          <w:rStyle w:val="FootnoteAnchor"/>
          <w:rtl w:val="true"/>
        </w:rPr>
        <w:footnoteReference w:id="344"/>
      </w:r>
      <w:r>
        <w:rPr>
          <w:rFonts w:ascii="Amiri" w:hAnsi="Amiri" w:eastAsia="Amiri" w:cs="Amiri"/>
          <w:color w:val="111111"/>
          <w:sz w:val="28"/>
          <w:sz w:val="28"/>
          <w:szCs w:val="28"/>
          <w:rtl w:val="true"/>
          <w:lang w:bidi="ar-SA"/>
        </w:rPr>
        <w:t xml:space="preserve">ممّا لا شكّ فيه ، ولزوم العمل بمقتضاه موقوف على إفهام المكلّفين ما كلّفوا به ، وهو يكون في الأكثر بالقول ، ودلالة القول على المراد منه لا تكون قطعية إلاّ بضمّ أمور خارجية </w:t>
      </w:r>
      <w:r>
        <w:rPr>
          <w:rStyle w:val="FootnoteAnchor"/>
          <w:rtl w:val="true"/>
        </w:rPr>
        <w:footnoteReference w:id="345"/>
      </w:r>
      <w:r>
        <w:rPr>
          <w:rFonts w:ascii="Amiri" w:hAnsi="Amiri" w:eastAsia="Amiri" w:cs="Amiri"/>
          <w:color w:val="111111"/>
          <w:sz w:val="28"/>
          <w:sz w:val="28"/>
          <w:szCs w:val="28"/>
          <w:rtl w:val="true"/>
          <w:lang w:bidi="ar-SA"/>
        </w:rPr>
        <w:t xml:space="preserve">وكثيرا ما تكون ظنّية إذ مدار الإفهام وقطبه في كلّ لغة إنّما هو إلقاء الحقائق المجرّدة عن القرينة ، وإبقاء المجازات معها ، فيبني </w:t>
      </w:r>
      <w:r>
        <w:rPr>
          <w:rStyle w:val="FootnoteAnchor"/>
          <w:rtl w:val="true"/>
        </w:rPr>
        <w:footnoteReference w:id="346"/>
      </w:r>
      <w:r>
        <w:rPr>
          <w:rFonts w:ascii="Amiri" w:hAnsi="Amiri" w:eastAsia="Amiri" w:cs="Amiri"/>
          <w:color w:val="111111"/>
          <w:sz w:val="28"/>
          <w:sz w:val="28"/>
          <w:szCs w:val="28"/>
          <w:rtl w:val="true"/>
          <w:lang w:bidi="ar-SA"/>
        </w:rPr>
        <w:t xml:space="preserve">المخاطبون الاعتقاد أو العمل على ما يفهمونه ، وإن كان احتمال التجوّز في الأوّل وخفاء </w:t>
      </w:r>
      <w:r>
        <w:rPr>
          <w:rStyle w:val="FootnoteAnchor"/>
          <w:rtl w:val="true"/>
        </w:rPr>
        <w:footnoteReference w:id="347"/>
      </w:r>
      <w:r>
        <w:rPr>
          <w:rFonts w:ascii="Amiri" w:hAnsi="Amiri" w:eastAsia="Amiri" w:cs="Amiri"/>
          <w:color w:val="111111"/>
          <w:sz w:val="28"/>
          <w:sz w:val="28"/>
          <w:szCs w:val="28"/>
          <w:rtl w:val="true"/>
          <w:lang w:bidi="ar-SA"/>
        </w:rPr>
        <w:t xml:space="preserve">القرينة وأشباهها </w:t>
      </w:r>
      <w:r>
        <w:rPr>
          <w:rStyle w:val="FootnoteAnchor"/>
          <w:rtl w:val="true"/>
        </w:rPr>
        <w:footnoteReference w:id="348"/>
      </w:r>
      <w:r>
        <w:rPr>
          <w:rFonts w:ascii="Amiri" w:hAnsi="Amiri" w:eastAsia="Amiri" w:cs="Amiri"/>
          <w:color w:val="111111"/>
          <w:sz w:val="28"/>
          <w:sz w:val="28"/>
          <w:szCs w:val="28"/>
          <w:rtl w:val="true"/>
          <w:lang w:bidi="ar-SA"/>
        </w:rPr>
        <w:t xml:space="preserve">على المخاطب في الثاني باقيا ؛ لأنّه لا بعد في أن ينصب متكلّم قرينة لإرادة معنى مجازي آخر ؛ لكون القرينة مناسبة للمعنيين ، والذي </w:t>
      </w:r>
    </w:p>
    <w:p>
      <w:pPr>
        <w:pStyle w:val="BookText"/>
        <w:rPr/>
      </w:pPr>
      <w:r>
        <w:rPr>
          <w:rFonts w:ascii="Amiri" w:hAnsi="Amiri" w:eastAsia="Amiri" w:cs="Amiri"/>
          <w:color w:val="111111"/>
          <w:sz w:val="28"/>
          <w:sz w:val="28"/>
          <w:szCs w:val="28"/>
          <w:rtl w:val="true"/>
          <w:lang w:bidi="ar-SA"/>
        </w:rPr>
        <w:t xml:space="preserve">يكشف عمّا قلناه أنّا لو فرضنا كون صيغة الأمر للوجوب لغة ، فأمر لغوي عبده فأبطأ عن المسارعة إلى الامتثال معتذرا باحتمال التجوّز ، لذمّه العقلاء ، وكذا يذمّون المولى لو عذّب العبد ؛ لأنّه سارع </w:t>
      </w:r>
      <w:r>
        <w:rPr>
          <w:rStyle w:val="FootnoteAnchor"/>
          <w:rtl w:val="true"/>
        </w:rPr>
        <w:footnoteReference w:id="349"/>
      </w:r>
      <w:r>
        <w:rPr>
          <w:rFonts w:ascii="Amiri" w:hAnsi="Amiri" w:eastAsia="Amiri" w:cs="Amiri"/>
          <w:color w:val="111111"/>
          <w:sz w:val="28"/>
          <w:sz w:val="28"/>
          <w:szCs w:val="28"/>
          <w:rtl w:val="true"/>
          <w:lang w:bidi="ar-SA"/>
        </w:rPr>
        <w:t>إلى الامتثال بعد فراغ المولى من التكلّم ، ولم يصبر حتّى يظهر عليه القرينة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القرينة عن وقت الخطاب جائز على المشهور ، وعن وقت الحاجة أيضا كذلك إذا كان لأحد مصلحة </w:t>
      </w:r>
      <w:r>
        <w:rPr>
          <w:rStyle w:val="FootnoteAnchor"/>
          <w:rtl w:val="true"/>
        </w:rPr>
        <w:footnoteReference w:id="350"/>
      </w:r>
      <w:r>
        <w:rPr>
          <w:rFonts w:ascii="Amiri" w:hAnsi="Amiri" w:eastAsia="Amiri" w:cs="Amiri"/>
          <w:color w:val="111111"/>
          <w:sz w:val="28"/>
          <w:sz w:val="28"/>
          <w:szCs w:val="28"/>
          <w:rtl w:val="true"/>
          <w:lang w:bidi="ar-SA"/>
        </w:rPr>
        <w:t xml:space="preserve">داعية إلى التأخير ، راجحة عند العقل والشرع على العمل بخلاف ما أريد من الكلام ، مثلا لو فرضنا أنّ أحدا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دخل داري غدا وهو يريد غير زيد ، فأخّر البيان إلى الغد ، فلمّا حضر زيد وكان المولى خائفا من زيد على نفسه أو على العبد ، فترك البيان فأكرم العبد زيدا أيضا ، فلا ريب في رجحان مصلحة التقية والاتّقاء </w:t>
      </w:r>
      <w:r>
        <w:rPr>
          <w:rStyle w:val="FootnoteAnchor"/>
          <w:rtl w:val="true"/>
        </w:rPr>
        <w:footnoteReference w:id="351"/>
      </w:r>
      <w:r>
        <w:rPr>
          <w:rFonts w:ascii="Amiri" w:hAnsi="Amiri" w:eastAsia="Amiri" w:cs="Amiri"/>
          <w:color w:val="111111"/>
          <w:sz w:val="28"/>
          <w:sz w:val="28"/>
          <w:szCs w:val="28"/>
          <w:rtl w:val="true"/>
          <w:lang w:bidi="ar-SA"/>
        </w:rPr>
        <w:t xml:space="preserve">على ترك إكرام زيد ، فكيف يسوغ للعقلاء الذمّ إذا أبطأ العبد معتذرا بهذا الاحتمال الواقع في المحاورات ، وكذا كيف يجوز ذمّ المولى على العقاب مع مسارعة العبد إلى الامتثال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تصبر حتّى يظهر لك حقيقة </w:t>
      </w:r>
      <w:r>
        <w:rPr>
          <w:rStyle w:val="FootnoteAnchor"/>
          <w:rtl w:val="true"/>
        </w:rPr>
        <w:footnoteReference w:id="352"/>
      </w:r>
      <w:r>
        <w:rPr>
          <w:rFonts w:ascii="IRNazanin" w:hAnsi="IRNazanin" w:eastAsia="IRNazanin"/>
          <w:color w:val="111111"/>
          <w:sz w:val="28"/>
          <w:sz w:val="28"/>
          <w:szCs w:val="28"/>
          <w:rtl w:val="true"/>
          <w:lang w:bidi="fa-IR"/>
        </w:rPr>
        <w:t>الحال؟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نادر لا سيّما الأخير ، ولا عبرة بمثله عند العقلاء ، ولهذا يتسارعون إلى الذمّ مع قيام هذا الاحتمال عندهم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المتشابه كما يكون في أصل اللغة كاشتراك اللفظ </w:t>
      </w:r>
      <w:r>
        <w:rPr>
          <w:rStyle w:val="FootnoteAnchor"/>
          <w:rtl w:val="true"/>
        </w:rPr>
        <w:footnoteReference w:id="354"/>
      </w:r>
      <w:r>
        <w:rPr>
          <w:rFonts w:ascii="Amiri" w:hAnsi="Amiri" w:eastAsia="Amiri" w:cs="Amiri"/>
          <w:color w:val="111111"/>
          <w:sz w:val="28"/>
          <w:sz w:val="28"/>
          <w:szCs w:val="28"/>
          <w:rtl w:val="true"/>
          <w:lang w:bidi="ar-SA"/>
        </w:rPr>
        <w:t xml:space="preserve">، كذلك يكون بحسب الاصطلاح مثل أن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استعمل العمومات كثيرا وأنا أريد الخصوص من غير ضمّ قرينة متّصلة ، وأطلق المطلقات وأريد المقيّدات ، وربّما أحكم </w:t>
      </w:r>
    </w:p>
    <w:p>
      <w:pPr>
        <w:pStyle w:val="BookText"/>
        <w:rPr/>
      </w:pPr>
      <w:r>
        <w:rPr>
          <w:rFonts w:ascii="Amiri" w:hAnsi="Amiri" w:eastAsia="Amiri" w:cs="Amiri"/>
          <w:color w:val="111111"/>
          <w:sz w:val="28"/>
          <w:sz w:val="28"/>
          <w:szCs w:val="28"/>
          <w:rtl w:val="true"/>
          <w:lang w:bidi="ar-SA"/>
        </w:rPr>
        <w:t xml:space="preserve">حكما يدلّ ظاهرا </w:t>
      </w:r>
      <w:r>
        <w:rPr>
          <w:rStyle w:val="FootnoteAnchor"/>
          <w:rtl w:val="true"/>
        </w:rPr>
        <w:footnoteReference w:id="355"/>
      </w:r>
      <w:r>
        <w:rPr>
          <w:rFonts w:ascii="Amiri" w:hAnsi="Amiri" w:eastAsia="Amiri" w:cs="Amiri"/>
          <w:color w:val="111111"/>
          <w:sz w:val="28"/>
          <w:sz w:val="28"/>
          <w:szCs w:val="28"/>
          <w:rtl w:val="true"/>
          <w:lang w:bidi="ar-SA"/>
        </w:rPr>
        <w:t xml:space="preserve">على الاستمرار ، ولكن أنسخه </w:t>
      </w:r>
      <w:r>
        <w:rPr>
          <w:rStyle w:val="FootnoteAnchor"/>
          <w:rtl w:val="true"/>
        </w:rPr>
        <w:footnoteReference w:id="356"/>
      </w:r>
      <w:r>
        <w:rPr>
          <w:rFonts w:ascii="IRNazanin" w:hAnsi="IRNazanin" w:eastAsia="IRNazanin"/>
          <w:color w:val="111111"/>
          <w:sz w:val="28"/>
          <w:sz w:val="28"/>
          <w:szCs w:val="28"/>
          <w:rtl w:val="true"/>
          <w:lang w:bidi="fa-IR"/>
        </w:rPr>
        <w:t xml:space="preserve">من بعد </w:t>
      </w:r>
      <w:r>
        <w:rPr>
          <w:rStyle w:val="FootnoteAnchor"/>
          <w:rtl w:val="true"/>
        </w:rPr>
        <w:footnoteReference w:id="357"/>
      </w:r>
      <w:r>
        <w:rPr>
          <w:rFonts w:ascii="Amiri" w:hAnsi="Amiri" w:eastAsia="Amiri" w:cs="Amiri"/>
          <w:color w:val="111111"/>
          <w:sz w:val="28"/>
          <w:sz w:val="28"/>
          <w:szCs w:val="28"/>
          <w:rtl w:val="true"/>
          <w:lang w:bidi="ar-SA"/>
        </w:rPr>
        <w:t xml:space="preserve">، وربّما أخاطب أحدا وأنا أريد غيره ، أو أخصّص قوما بالخطاب وأنا أريدهم مع غيرهم ، أو نرى نحن أمثال ذلك في كلام متكلّم </w:t>
      </w:r>
      <w:r>
        <w:rPr>
          <w:rStyle w:val="FootnoteAnchor"/>
          <w:rtl w:val="true"/>
        </w:rPr>
        <w:footnoteReference w:id="358"/>
      </w:r>
      <w:r>
        <w:rPr>
          <w:rFonts w:ascii="Amiri" w:hAnsi="Amiri" w:eastAsia="Amiri" w:cs="Amiri"/>
          <w:color w:val="111111"/>
          <w:sz w:val="28"/>
          <w:sz w:val="28"/>
          <w:szCs w:val="28"/>
          <w:rtl w:val="true"/>
          <w:lang w:bidi="ar-SA"/>
        </w:rPr>
        <w:t>وإن لم يصرّح هو به مع علمنا بعدم غفلته ومسامحته ، فحينئذ لا يجوز لنا القطع بمراده ، ولا يحصل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العامّ الباقي على عمومه ، والمطلق الباقي على إطلاقه كثيرا بالنسبة إلى المخصّص </w:t>
      </w:r>
      <w:r>
        <w:rPr>
          <w:rStyle w:val="FootnoteAnchor"/>
          <w:rtl w:val="true"/>
        </w:rPr>
        <w:footnoteReference w:id="359"/>
      </w:r>
      <w:r>
        <w:rPr>
          <w:rFonts w:ascii="Amiri" w:hAnsi="Amiri" w:eastAsia="Amiri" w:cs="Amiri"/>
          <w:color w:val="111111"/>
          <w:sz w:val="28"/>
          <w:sz w:val="28"/>
          <w:szCs w:val="28"/>
          <w:rtl w:val="true"/>
          <w:lang w:bidi="ar-SA"/>
        </w:rPr>
        <w:t xml:space="preserve">والمقيّد ، وكذا غيرهما ، والقرآن من هذا القبيل ؛ لأنّه وإن كان عربيا لكن نزل على اصطلاح جديد </w:t>
      </w:r>
      <w:r>
        <w:rPr>
          <w:rStyle w:val="FootnoteAnchor"/>
          <w:rtl w:val="true"/>
        </w:rPr>
        <w:footnoteReference w:id="360"/>
      </w:r>
      <w:r>
        <w:rPr>
          <w:rFonts w:ascii="Amiri" w:hAnsi="Amiri" w:eastAsia="Amiri" w:cs="Amiri"/>
          <w:color w:val="111111"/>
          <w:sz w:val="28"/>
          <w:sz w:val="28"/>
          <w:szCs w:val="28"/>
          <w:rtl w:val="true"/>
          <w:lang w:bidi="ar-SA"/>
        </w:rPr>
        <w:t xml:space="preserve">، لا أقول على وضع جديد بل أعمّ من أن يكون كذلك ، أو يكون فيه مجازات لا يعرفها </w:t>
      </w:r>
      <w:r>
        <w:rPr>
          <w:rStyle w:val="FootnoteAnchor"/>
          <w:rtl w:val="true"/>
        </w:rPr>
        <w:footnoteReference w:id="361"/>
      </w:r>
      <w:r>
        <w:rPr>
          <w:rFonts w:ascii="Amiri" w:hAnsi="Amiri" w:eastAsia="Amiri" w:cs="Amiri"/>
          <w:color w:val="111111"/>
          <w:sz w:val="28"/>
          <w:sz w:val="28"/>
          <w:szCs w:val="28"/>
          <w:rtl w:val="true"/>
          <w:lang w:bidi="ar-SA"/>
        </w:rPr>
        <w:t xml:space="preserve">العرب ، ومع ذلك وجدت فيه كلمات لا يعلم المراد منها أصلا كالمقطّعات في أوائل السور ، ثمّ إنّ اللّه تعالى لم يدع المكلّفين حتّى أنزل إلى رسوله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الآية ، فذمّهم على اتّباع المتشابه ولم يبيّن لهم المتشابه </w:t>
      </w:r>
      <w:r>
        <w:rPr>
          <w:rStyle w:val="FootnoteAnchor"/>
          <w:rtl w:val="true"/>
        </w:rPr>
        <w:footnoteReference w:id="363"/>
      </w:r>
      <w:r>
        <w:rPr>
          <w:rFonts w:ascii="Amiri" w:hAnsi="Amiri" w:eastAsia="Amiri" w:cs="Amiri"/>
          <w:color w:val="111111"/>
          <w:sz w:val="28"/>
          <w:sz w:val="28"/>
          <w:szCs w:val="28"/>
          <w:rtl w:val="true"/>
          <w:lang w:bidi="ar-SA"/>
        </w:rPr>
        <w:t xml:space="preserve">ما هي؟ وكم هي؟ بل لم يبيّن لهم المراد من هذا اللفظ </w:t>
      </w:r>
      <w:r>
        <w:rPr>
          <w:rStyle w:val="FootnoteAnchor"/>
          <w:rtl w:val="true"/>
        </w:rPr>
        <w:footnoteReference w:id="364"/>
      </w:r>
      <w:r>
        <w:rPr>
          <w:rFonts w:ascii="Amiri" w:hAnsi="Amiri" w:eastAsia="Amiri" w:cs="Amiri"/>
          <w:color w:val="111111"/>
          <w:sz w:val="28"/>
          <w:sz w:val="28"/>
          <w:szCs w:val="28"/>
          <w:rtl w:val="true"/>
          <w:lang w:bidi="ar-SA"/>
        </w:rPr>
        <w:t xml:space="preserve">، وجعل البيان موكولا إلى خلفائه ، والنبيّ صلى‌اللّه‌عليه‌وآله نهى الناس عن التفسير بالآراء وكذا الأوصياء </w:t>
      </w:r>
      <w:r>
        <w:rPr>
          <w:rStyle w:val="FootnoteAnchor"/>
          <w:rtl w:val="true"/>
        </w:rPr>
        <w:footnoteReference w:id="365"/>
      </w:r>
      <w:r>
        <w:rPr>
          <w:rFonts w:ascii="Amiri" w:hAnsi="Amiri" w:eastAsia="Amiri" w:cs="Amiri"/>
          <w:color w:val="111111"/>
          <w:sz w:val="28"/>
          <w:sz w:val="28"/>
          <w:szCs w:val="28"/>
          <w:rtl w:val="true"/>
          <w:lang w:bidi="ar-SA"/>
        </w:rPr>
        <w:t xml:space="preserve">عليهم‌السلام ، وكذا جعلوا لنا الأصل عدم جواز </w:t>
      </w:r>
      <w:r>
        <w:rPr>
          <w:rStyle w:val="FootnoteAnchor"/>
          <w:rtl w:val="true"/>
        </w:rPr>
        <w:footnoteReference w:id="366"/>
      </w:r>
      <w:r>
        <w:rPr>
          <w:rFonts w:ascii="Amiri" w:hAnsi="Amiri" w:eastAsia="Amiri" w:cs="Amiri"/>
          <w:color w:val="111111"/>
          <w:sz w:val="28"/>
          <w:sz w:val="28"/>
          <w:szCs w:val="28"/>
          <w:rtl w:val="true"/>
          <w:lang w:bidi="ar-SA"/>
        </w:rPr>
        <w:t>العمل بالظنّ إلاّ ما أخرجه الدليل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تمهّدت هاتان المقدّمتان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المقدّمة الأولى هو العمل بالظواهر ، ومقتضى الثانية عدم جواز </w:t>
      </w:r>
      <w:r>
        <w:rPr>
          <w:rStyle w:val="FootnoteAnchor"/>
          <w:rtl w:val="true"/>
        </w:rPr>
        <w:footnoteReference w:id="367"/>
      </w:r>
      <w:r>
        <w:rPr>
          <w:rFonts w:ascii="IRNazanin" w:hAnsi="IRNazanin" w:eastAsia="IRNazanin"/>
          <w:color w:val="111111"/>
          <w:sz w:val="28"/>
          <w:sz w:val="28"/>
          <w:szCs w:val="28"/>
          <w:rtl w:val="true"/>
          <w:lang w:bidi="fa-IR"/>
        </w:rPr>
        <w:t xml:space="preserve">العمل بها </w:t>
      </w:r>
      <w:r>
        <w:rPr>
          <w:rStyle w:val="FootnoteAnchor"/>
          <w:rtl w:val="true"/>
        </w:rPr>
        <w:footnoteReference w:id="368"/>
      </w:r>
      <w:r>
        <w:rPr>
          <w:rFonts w:ascii="IRNazanin" w:hAnsi="IRNazanin" w:eastAsia="IRNazanin"/>
          <w:color w:val="111111"/>
          <w:sz w:val="28"/>
          <w:sz w:val="28"/>
          <w:szCs w:val="28"/>
          <w:rtl w:val="true"/>
          <w:lang w:bidi="fa-IR"/>
        </w:rPr>
        <w:t xml:space="preserve">؛ لأنّ ما صار منها </w:t>
      </w:r>
      <w:r>
        <w:rPr>
          <w:rStyle w:val="FootnoteAnchor"/>
          <w:rtl w:val="true"/>
        </w:rPr>
        <w:footnoteReference w:id="369"/>
      </w:r>
      <w:r>
        <w:rPr>
          <w:rFonts w:ascii="IRNazanin" w:hAnsi="IRNazanin" w:eastAsia="IRNazanin"/>
          <w:color w:val="111111"/>
          <w:sz w:val="28"/>
          <w:sz w:val="28"/>
          <w:szCs w:val="28"/>
          <w:rtl w:val="true"/>
          <w:lang w:bidi="fa-IR"/>
        </w:rPr>
        <w:t xml:space="preserve">متشابها لا </w:t>
      </w:r>
    </w:p>
    <w:p>
      <w:pPr>
        <w:pStyle w:val="BookText"/>
        <w:rPr/>
      </w:pPr>
      <w:r>
        <w:rPr>
          <w:rFonts w:ascii="Amiri" w:hAnsi="Amiri" w:eastAsia="Amiri" w:cs="Amiri"/>
          <w:color w:val="111111"/>
          <w:sz w:val="28"/>
          <w:sz w:val="28"/>
          <w:szCs w:val="28"/>
          <w:rtl w:val="true"/>
          <w:lang w:bidi="ar-SA"/>
        </w:rPr>
        <w:t xml:space="preserve">يحصل الظنّ بالمراد منه ، وما بقي على ظهوره وحصل منه الظنّ </w:t>
      </w:r>
      <w:r>
        <w:rPr>
          <w:rStyle w:val="FootnoteAnchor"/>
          <w:rtl w:val="true"/>
        </w:rPr>
        <w:footnoteReference w:id="370"/>
      </w:r>
      <w:r>
        <w:rPr>
          <w:rFonts w:ascii="Amiri" w:hAnsi="Amiri" w:eastAsia="Amiri" w:cs="Amiri"/>
          <w:color w:val="111111"/>
          <w:sz w:val="28"/>
          <w:sz w:val="28"/>
          <w:szCs w:val="28"/>
          <w:rtl w:val="true"/>
          <w:lang w:bidi="ar-SA"/>
        </w:rPr>
        <w:t xml:space="preserve">مندرج في الأصل المذكور ، فنطالب العامل به بدليل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الأصل الثابت عند الخاصّة </w:t>
      </w:r>
      <w:r>
        <w:rPr>
          <w:rStyle w:val="FootnoteAnchor"/>
          <w:rtl w:val="true"/>
        </w:rPr>
        <w:footnoteReference w:id="371"/>
      </w:r>
      <w:r>
        <w:rPr>
          <w:rFonts w:ascii="Amiri" w:hAnsi="Amiri" w:eastAsia="Amiri" w:cs="Amiri"/>
          <w:color w:val="111111"/>
          <w:sz w:val="28"/>
          <w:sz w:val="28"/>
          <w:szCs w:val="28"/>
          <w:rtl w:val="true"/>
          <w:lang w:bidi="ar-SA"/>
        </w:rPr>
        <w:t xml:space="preserve">هو عدم جواز العمل بالظنّ إلاّ ما أخرجه الدليل </w:t>
      </w:r>
      <w:r>
        <w:rPr>
          <w:rStyle w:val="FootnoteAnchor"/>
          <w:rtl w:val="true"/>
        </w:rPr>
        <w:footnoteReference w:id="372"/>
      </w:r>
      <w:r>
        <w:rPr>
          <w:rFonts w:ascii="Amiri" w:hAnsi="Amiri" w:eastAsia="Amiri" w:cs="Amiri"/>
          <w:color w:val="111111"/>
          <w:sz w:val="28"/>
          <w:sz w:val="28"/>
          <w:szCs w:val="28"/>
          <w:rtl w:val="true"/>
          <w:lang w:bidi="ar-SA"/>
        </w:rPr>
        <w:t>مثل عمل أصحاب النبيّ صلى‌اللّه‌عليه‌وآله والأئمّة عليهم‌السلام بالظنّ المستفاد من الأخبار إذا سمعوها منهم من غير فحص وتحصيل قطع بالمراد وتقريرهم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المحكم ووجوب العمل بالمحكم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نمنع الصغرى ، إذ المعلوم عندنا مساواة المحكم للنصّ ، وأمّا شموله للظاهر فلا ، كيف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عرّفوه بتعريفات مختلفة ، ولم يقيموا دليلا على أنّ المعنى الشامل للظاهر هو المراد منه في القرآن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يظهر من الأحاديث الواردة في تفسيره هذا الشمول بل ادّعى الشيخ الفاضل المحدّث حسين بن شهاب الدين العاملي في كتابه أيضا أنّ الذي يظهر من الأخبار مساواة المحكم للنصّ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من الأحاديث هو أنّ المحكم ما لا يحتمل غير ما يفهم منه مع </w:t>
      </w:r>
      <w:r>
        <w:rPr>
          <w:rStyle w:val="FootnoteAnchor"/>
          <w:rtl w:val="true"/>
        </w:rPr>
        <w:footnoteReference w:id="373"/>
      </w:r>
      <w:r>
        <w:rPr>
          <w:rFonts w:ascii="Amiri" w:hAnsi="Amiri" w:eastAsia="Amiri" w:cs="Amiri"/>
          <w:color w:val="111111"/>
          <w:sz w:val="28"/>
          <w:sz w:val="28"/>
          <w:szCs w:val="28"/>
          <w:rtl w:val="true"/>
          <w:lang w:bidi="ar-SA"/>
        </w:rPr>
        <w:t xml:space="preserve">بقاء حكمته على حاله والمتشابه ما عداه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ما دلّ على أنّ المتشابه يعمّ النصّ والظاهر من النصوص وكلمات الأصحاب ، ثمّ أورد سؤالا على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في عدم جواز العمل بظواهر القرآن إن تمّ لدلّ على عدم جواز العمل بظواهر الأخبار أيضا ؛ لأنّ فيها أيضا محكما ومتشابها ، وناسخا ومنسوخا ، وعامّا أريد منه الخاصّ ، ومطلقا أريد منه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قد سبق ما يستفاد منه الجواب ، ونقول هنا تأكيدا وتوضيحا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خلّينا وأنفسنا ، لعملنا بظواهر الكتاب والسنّة عند عدم نصب القرينة العقلية والفعلية والقولية المتّصلة على خلافها ، ولكن منعنا عن ذلك وعن </w:t>
      </w:r>
      <w:r>
        <w:rPr>
          <w:rStyle w:val="FootnoteAnchor"/>
          <w:rtl w:val="true"/>
        </w:rPr>
        <w:footnoteReference w:id="375"/>
      </w:r>
      <w:r>
        <w:rPr>
          <w:rFonts w:ascii="Amiri" w:hAnsi="Amiri" w:eastAsia="Amiri" w:cs="Amiri"/>
          <w:color w:val="111111"/>
          <w:sz w:val="28"/>
          <w:sz w:val="28"/>
          <w:szCs w:val="28"/>
          <w:rtl w:val="true"/>
          <w:lang w:bidi="ar-SA"/>
        </w:rPr>
        <w:t xml:space="preserve">العمل بالقرآن ؛ إذ منعنا اللّه من اتّباع المتشابه ، ولم يبيّن حقيقته لنا ، ومنعنا رسول اللّه </w:t>
      </w:r>
      <w:r>
        <w:rPr>
          <w:rStyle w:val="FootnoteAnchor"/>
          <w:rtl w:val="true"/>
        </w:rPr>
        <w:footnoteReference w:id="376"/>
      </w:r>
      <w:r>
        <w:rPr>
          <w:rFonts w:ascii="Amiri" w:hAnsi="Amiri" w:eastAsia="Amiri" w:cs="Amiri"/>
          <w:color w:val="111111"/>
          <w:sz w:val="28"/>
          <w:sz w:val="28"/>
          <w:szCs w:val="28"/>
          <w:rtl w:val="true"/>
          <w:lang w:bidi="ar-SA"/>
        </w:rPr>
        <w:t xml:space="preserve">صلى‌اللّه‌عليه‌وآله عن تفسير القرآن ، ولا ريب أنّ </w:t>
      </w:r>
      <w:r>
        <w:rPr>
          <w:rStyle w:val="FootnoteAnchor"/>
          <w:rtl w:val="true"/>
        </w:rPr>
        <w:footnoteReference w:id="377"/>
      </w:r>
      <w:r>
        <w:rPr>
          <w:rFonts w:ascii="Amiri" w:hAnsi="Amiri" w:eastAsia="Amiri" w:cs="Amiri"/>
          <w:color w:val="111111"/>
          <w:sz w:val="28"/>
          <w:sz w:val="28"/>
          <w:szCs w:val="28"/>
          <w:rtl w:val="true"/>
          <w:lang w:bidi="ar-SA"/>
        </w:rPr>
        <w:t xml:space="preserve">غير النصّ محتاج إلى التفسير لتحقيق الإجمال </w:t>
      </w:r>
      <w:r>
        <w:rPr>
          <w:rStyle w:val="FootnoteAnchor"/>
          <w:rtl w:val="true"/>
        </w:rPr>
        <w:footnoteReference w:id="378"/>
      </w:r>
      <w:r>
        <w:rPr>
          <w:rFonts w:ascii="Amiri" w:hAnsi="Amiri" w:eastAsia="Amiri" w:cs="Amiri"/>
          <w:color w:val="111111"/>
          <w:sz w:val="28"/>
          <w:sz w:val="28"/>
          <w:szCs w:val="28"/>
          <w:rtl w:val="true"/>
          <w:lang w:bidi="ar-SA"/>
        </w:rPr>
        <w:t xml:space="preserve">فيه ، وأوصياؤه عليهم‌السلام أيضا منعونا ، وأيضا ذمّ اللّه سبحانه من اتّبع </w:t>
      </w:r>
      <w:r>
        <w:rPr>
          <w:rStyle w:val="FootnoteAnchor"/>
          <w:rtl w:val="true"/>
        </w:rPr>
        <w:footnoteReference w:id="379"/>
      </w:r>
      <w:r>
        <w:rPr>
          <w:rFonts w:ascii="Amiri" w:hAnsi="Amiri" w:eastAsia="Amiri" w:cs="Amiri"/>
          <w:color w:val="111111"/>
          <w:sz w:val="28"/>
          <w:sz w:val="28"/>
          <w:szCs w:val="28"/>
          <w:rtl w:val="true"/>
          <w:lang w:bidi="ar-SA"/>
        </w:rPr>
        <w:t xml:space="preserve">الظنّ وكذا رسوله صلى‌اللّه‌عليه‌وآله وأوصياؤه ، ولم يستثنوا </w:t>
      </w:r>
      <w:r>
        <w:rPr>
          <w:rStyle w:val="FootnoteAnchor"/>
          <w:rtl w:val="true"/>
        </w:rPr>
        <w:footnoteReference w:id="380"/>
      </w:r>
      <w:r>
        <w:rPr>
          <w:rFonts w:ascii="Amiri" w:hAnsi="Amiri" w:eastAsia="Amiri" w:cs="Amiri"/>
          <w:color w:val="111111"/>
          <w:sz w:val="28"/>
          <w:sz w:val="28"/>
          <w:szCs w:val="28"/>
          <w:rtl w:val="true"/>
          <w:lang w:bidi="ar-SA"/>
        </w:rPr>
        <w:t xml:space="preserve">ظواهر القرآن لا قولا ولا تقريرا ، وليس هناك دليل قطعي بل ظنّي ، ولا إجماع على الاستثناء ، وأمّا </w:t>
      </w:r>
      <w:r>
        <w:rPr>
          <w:rStyle w:val="FootnoteAnchor"/>
          <w:rtl w:val="true"/>
        </w:rPr>
        <w:footnoteReference w:id="381"/>
      </w:r>
      <w:r>
        <w:rPr>
          <w:rFonts w:ascii="Amiri" w:hAnsi="Amiri" w:eastAsia="Amiri" w:cs="Amiri"/>
          <w:color w:val="111111"/>
          <w:sz w:val="28"/>
          <w:sz w:val="28"/>
          <w:szCs w:val="28"/>
          <w:rtl w:val="true"/>
          <w:lang w:bidi="ar-SA"/>
        </w:rPr>
        <w:t xml:space="preserve">الاعتذار في العمل بالظنّ بأنّا لمّا ظننّا كون حكم مستفاد </w:t>
      </w:r>
      <w:r>
        <w:rPr>
          <w:rStyle w:val="FootnoteAnchor"/>
          <w:rtl w:val="true"/>
        </w:rPr>
        <w:footnoteReference w:id="382"/>
      </w:r>
      <w:r>
        <w:rPr>
          <w:rFonts w:ascii="Amiri" w:hAnsi="Amiri" w:eastAsia="Amiri" w:cs="Amiri"/>
          <w:color w:val="111111"/>
          <w:sz w:val="28"/>
          <w:sz w:val="28"/>
          <w:szCs w:val="28"/>
          <w:rtl w:val="true"/>
          <w:lang w:bidi="ar-SA"/>
        </w:rPr>
        <w:t xml:space="preserve">من آية أنّه </w:t>
      </w:r>
      <w:r>
        <w:rPr>
          <w:rStyle w:val="FootnoteAnchor"/>
          <w:rtl w:val="true"/>
        </w:rPr>
        <w:footnoteReference w:id="383"/>
      </w:r>
      <w:r>
        <w:rPr>
          <w:rFonts w:ascii="IRNazanin" w:hAnsi="IRNazanin" w:eastAsia="IRNazanin"/>
          <w:color w:val="111111"/>
          <w:sz w:val="28"/>
          <w:sz w:val="28"/>
          <w:szCs w:val="28"/>
          <w:rtl w:val="true"/>
          <w:lang w:bidi="fa-IR"/>
        </w:rPr>
        <w:t xml:space="preserve">مراد اللّه ، علمنا به ؛ لأنّ </w:t>
      </w:r>
      <w:r>
        <w:rPr>
          <w:rStyle w:val="FootnoteAnchor"/>
          <w:rtl w:val="true"/>
        </w:rPr>
        <w:footnoteReference w:id="384"/>
      </w:r>
      <w:r>
        <w:rPr>
          <w:rFonts w:ascii="Amiri" w:hAnsi="Amiri" w:eastAsia="Amiri" w:cs="Amiri"/>
          <w:color w:val="111111"/>
          <w:sz w:val="28"/>
          <w:sz w:val="28"/>
          <w:szCs w:val="28"/>
          <w:rtl w:val="true"/>
          <w:lang w:bidi="ar-SA"/>
        </w:rPr>
        <w:t xml:space="preserve">تركه مورث لخوف المؤاخذة الأخروية </w:t>
      </w:r>
      <w:r>
        <w:rPr>
          <w:rStyle w:val="FootnoteAnchor"/>
          <w:rtl w:val="true"/>
        </w:rPr>
        <w:footnoteReference w:id="385"/>
      </w:r>
      <w:r>
        <w:rPr>
          <w:rFonts w:ascii="Amiri" w:hAnsi="Amiri" w:eastAsia="Amiri" w:cs="Amiri"/>
          <w:color w:val="111111"/>
          <w:sz w:val="28"/>
          <w:sz w:val="28"/>
          <w:szCs w:val="28"/>
          <w:rtl w:val="true"/>
          <w:lang w:bidi="ar-SA"/>
        </w:rPr>
        <w:t xml:space="preserve">ورفع الخوف المظنون واجب ، فيجاب عنه بأنّ عقلك دلّك أيضا على قبح المؤاخذة مع النهي المطلق عن اتّباع الظنّ وعدم بلوغ المخرج ، وكيف يسمع هذا الاعتذار مع أنّ القائس أيضا يعتذر بمثل عذرك وأنت تمنعه من القياس ، وسيأتي لهذا مزيد توضيح إن شاء اللّه تعالى في مبحث حجّية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الواحد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 فقد سبق في مبحث جواز العمل بالعامّ قبل الفحص عن المخصّص أنّ أصحاب الأئمّة كانوا عالمين بأخبار تبلغهم عن </w:t>
      </w:r>
      <w:r>
        <w:rPr>
          <w:rStyle w:val="FootnoteAnchor"/>
          <w:rtl w:val="true"/>
        </w:rPr>
        <w:footnoteReference w:id="386"/>
      </w:r>
      <w:r>
        <w:rPr>
          <w:rFonts w:ascii="Amiri" w:hAnsi="Amiri" w:eastAsia="Amiri" w:cs="Amiri"/>
          <w:color w:val="111111"/>
          <w:sz w:val="28"/>
          <w:sz w:val="28"/>
          <w:szCs w:val="28"/>
          <w:rtl w:val="true"/>
          <w:lang w:bidi="ar-SA"/>
        </w:rPr>
        <w:t xml:space="preserve">واحد منهم ، وما كان في قريب </w:t>
      </w:r>
    </w:p>
    <w:p>
      <w:pPr>
        <w:pStyle w:val="BookText"/>
        <w:rPr/>
      </w:pPr>
      <w:r>
        <w:rPr>
          <w:rFonts w:ascii="Amiri" w:hAnsi="Amiri" w:eastAsia="Amiri" w:cs="Amiri"/>
          <w:color w:val="111111"/>
          <w:sz w:val="28"/>
          <w:sz w:val="28"/>
          <w:szCs w:val="28"/>
          <w:rtl w:val="true"/>
          <w:lang w:bidi="ar-SA"/>
        </w:rPr>
        <w:t xml:space="preserve">من خمسين سنة فصاعدا </w:t>
      </w:r>
      <w:r>
        <w:rPr>
          <w:rStyle w:val="FootnoteAnchor"/>
          <w:rtl w:val="true"/>
        </w:rPr>
        <w:footnoteReference w:id="387"/>
      </w:r>
      <w:r>
        <w:rPr>
          <w:rFonts w:ascii="Amiri" w:hAnsi="Amiri" w:eastAsia="Amiri" w:cs="Amiri"/>
          <w:color w:val="111111"/>
          <w:sz w:val="28"/>
          <w:sz w:val="28"/>
          <w:szCs w:val="28"/>
          <w:rtl w:val="true"/>
          <w:lang w:bidi="ar-SA"/>
        </w:rPr>
        <w:t xml:space="preserve">أصل أو كتاب يراجعون إليه ، وكانوا إذا حدثت </w:t>
      </w:r>
      <w:r>
        <w:rPr>
          <w:rStyle w:val="FootnoteAnchor"/>
          <w:rtl w:val="true"/>
        </w:rPr>
        <w:footnoteReference w:id="388"/>
      </w:r>
      <w:r>
        <w:rPr>
          <w:rFonts w:ascii="Amiri" w:hAnsi="Amiri" w:eastAsia="Amiri" w:cs="Amiri"/>
          <w:color w:val="111111"/>
          <w:sz w:val="28"/>
          <w:sz w:val="28"/>
          <w:szCs w:val="28"/>
          <w:rtl w:val="true"/>
          <w:lang w:bidi="ar-SA"/>
        </w:rPr>
        <w:t xml:space="preserve">حادثة وروى ثقة فيها خبرا من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يعملون بخبره من غير تربّص وسؤال عن أنّه هل هناك عند أحد مخصّص أو معارض أو ناسخ أو مقيّد؟ وكانوا يعملون إلى أن يجيء من عند الإمام الحيّ معارض </w:t>
      </w:r>
      <w:r>
        <w:rPr>
          <w:rStyle w:val="FootnoteAnchor"/>
          <w:rtl w:val="true"/>
        </w:rPr>
        <w:footnoteReference w:id="389"/>
      </w:r>
      <w:r>
        <w:rPr>
          <w:rFonts w:ascii="Amiri" w:hAnsi="Amiri" w:eastAsia="Amiri" w:cs="Amiri"/>
          <w:color w:val="111111"/>
          <w:sz w:val="28"/>
          <w:sz w:val="28"/>
          <w:szCs w:val="28"/>
          <w:rtl w:val="true"/>
          <w:lang w:bidi="ar-SA"/>
        </w:rPr>
        <w:t xml:space="preserve">أو غيره ، ثمّ بعد جمع جلّ الأحاديث في الأصول والكتب ما كان عند كلّ واحد من فضلائهم إلاّ أصل </w:t>
      </w:r>
      <w:r>
        <w:rPr>
          <w:rStyle w:val="FootnoteAnchor"/>
          <w:rtl w:val="true"/>
        </w:rPr>
        <w:footnoteReference w:id="390"/>
      </w:r>
      <w:r>
        <w:rPr>
          <w:rFonts w:ascii="Amiri" w:hAnsi="Amiri" w:eastAsia="Amiri" w:cs="Amiri"/>
          <w:color w:val="111111"/>
          <w:sz w:val="28"/>
          <w:sz w:val="28"/>
          <w:szCs w:val="28"/>
          <w:rtl w:val="true"/>
          <w:lang w:bidi="ar-SA"/>
        </w:rPr>
        <w:t>لا غير ، أو مع أصل واحد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ما كان مجموع الأحاديث مجتمعا </w:t>
      </w:r>
      <w:r>
        <w:rPr>
          <w:rStyle w:val="FootnoteAnchor"/>
          <w:rtl w:val="true"/>
        </w:rPr>
        <w:footnoteReference w:id="391"/>
      </w:r>
      <w:r>
        <w:rPr>
          <w:rFonts w:ascii="Amiri" w:hAnsi="Amiri" w:eastAsia="Amiri" w:cs="Amiri"/>
          <w:color w:val="111111"/>
          <w:sz w:val="28"/>
          <w:sz w:val="28"/>
          <w:szCs w:val="28"/>
          <w:rtl w:val="true"/>
          <w:lang w:bidi="ar-SA"/>
        </w:rPr>
        <w:t xml:space="preserve">عندهم ، وما كان لهم مثل التهذيب بل مثل الفقيه والأئمّة عليهم‌السلام يعلمون </w:t>
      </w:r>
      <w:r>
        <w:rPr>
          <w:rStyle w:val="FootnoteAnchor"/>
          <w:rtl w:val="true"/>
        </w:rPr>
        <w:footnoteReference w:id="392"/>
      </w:r>
      <w:r>
        <w:rPr>
          <w:rFonts w:ascii="Amiri" w:hAnsi="Amiri" w:eastAsia="Amiri" w:cs="Amiri"/>
          <w:color w:val="111111"/>
          <w:sz w:val="28"/>
          <w:sz w:val="28"/>
          <w:szCs w:val="28"/>
          <w:rtl w:val="true"/>
          <w:lang w:bidi="ar-SA"/>
        </w:rPr>
        <w:t xml:space="preserve">هذه الطريقة منهم ، ولا ينكرونهم بل يحثّونهم على العمل بالأصول وكتابة </w:t>
      </w:r>
      <w:r>
        <w:rPr>
          <w:rStyle w:val="FootnoteAnchor"/>
          <w:rtl w:val="true"/>
        </w:rPr>
        <w:footnoteReference w:id="393"/>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قد حصل لنا علم قطعي من التتبّع بتجويز العمل من أئمّتنا عليهم‌السلام بخبر العدل الإمامي من غير فحص ، ولهذا عملنا بظواهر الأخبار مع ما قلنا من أنّ مدار التكاليف في كلّ اللغات على الظواهر من لدن آدم إلى يومنا هذا ، ولو لا هذا الذي قلنا ، لكنّا في العمل بظواهر الأخبار متوقّفين </w:t>
      </w:r>
      <w:r>
        <w:rPr>
          <w:rStyle w:val="FootnoteAnchor"/>
          <w:rtl w:val="true"/>
        </w:rPr>
        <w:footnoteReference w:id="394"/>
      </w:r>
      <w:r>
        <w:rPr>
          <w:rFonts w:ascii="Amiri" w:hAnsi="Amiri" w:eastAsia="Amiri" w:cs="Amiri"/>
          <w:color w:val="111111"/>
          <w:sz w:val="28"/>
          <w:sz w:val="28"/>
          <w:szCs w:val="28"/>
          <w:rtl w:val="true"/>
          <w:lang w:bidi="ar-SA"/>
        </w:rPr>
        <w:t xml:space="preserve">، واللّه الموفّق والمعين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نقلناه </w:t>
      </w:r>
      <w:r>
        <w:rPr>
          <w:rStyle w:val="FootnoteAnchor"/>
          <w:rtl w:val="true"/>
        </w:rPr>
        <w:footnoteReference w:id="397"/>
      </w:r>
      <w:r>
        <w:rPr>
          <w:rFonts w:ascii="Amiri" w:hAnsi="Amiri" w:eastAsia="Amiri" w:cs="Amiri"/>
          <w:color w:val="111111"/>
          <w:sz w:val="28"/>
          <w:sz w:val="28"/>
          <w:szCs w:val="28"/>
          <w:rtl w:val="true"/>
          <w:lang w:bidi="ar-SA"/>
        </w:rPr>
        <w:t xml:space="preserve">بطوله ليعلم موارد النظر فيه بعد ما قدّمنا لك من وجود المقتضي ورفع المانع ، وكفاك ردّا عليه ما قلنا من إجماع الأمّة على العمل به من لدن زمن النبيّ </w:t>
      </w:r>
      <w:bookmarkStart w:id="49" w:name="pg16273_211465"/>
    </w:p>
    <w:p>
      <w:pPr>
        <w:pStyle w:val="BookText"/>
        <w:rPr/>
      </w:pPr>
      <w:bookmarkEnd w:id="49"/>
      <w:r>
        <w:rPr>
          <w:rFonts w:ascii="Amiri" w:hAnsi="Amiri" w:eastAsia="Amiri" w:cs="Amiri"/>
          <w:color w:val="111111"/>
          <w:sz w:val="28"/>
          <w:sz w:val="28"/>
          <w:szCs w:val="28"/>
          <w:rtl w:val="true"/>
          <w:lang w:bidi="ar-SA"/>
        </w:rPr>
        <w:t xml:space="preserve">صلى‌اللّه‌عليه‌وآله والأئمّة عليهم‌السلام الذي به يستعلم عدم كون المعمول به </w:t>
      </w:r>
      <w:r>
        <w:rPr>
          <w:rStyle w:val="FootnoteAnchor"/>
          <w:rtl w:val="true"/>
        </w:rPr>
        <w:footnoteReference w:id="398"/>
      </w:r>
      <w:r>
        <w:rPr>
          <w:rFonts w:ascii="Amiri" w:hAnsi="Amiri" w:eastAsia="Amiri" w:cs="Amiri"/>
          <w:color w:val="111111"/>
          <w:sz w:val="28"/>
          <w:sz w:val="28"/>
          <w:szCs w:val="28"/>
          <w:rtl w:val="true"/>
          <w:lang w:bidi="ar-SA"/>
        </w:rPr>
        <w:t>متشابها ، وبه ينقطع الأصل الذي أجمعت الفرقة عليه من حرمة العمل بالظنّ كما في غيره من الظواهر ، ومنه يعلم عدم الافتراق بين الأخبار والقرآن في ذلك ، وأنت بعد الإحاطة بما مرّ في دليل المختار تقدر على استخراج وجوه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عدم حجّية الظواهر القرآنية قد يفضي إلى الدور الباطل ؛ فإنّه لا شكّ في إعجازها من جهة الفصاحة ، وقد تقرّر في محلّه أنّ وصف الفصاحة إنّما يلحق اللفظ باعتبار معناه ، فالإعجاز من الجهة المذكورة فرع فهم المراد منها ، وهو على ما تخيّله الأخباري فرع الإخبار به ، واعتباره فرع نبوّته صلى‌اللّه‌عليه‌وآله ، فلو توقّف نبوّته عليه ، لزم توقّف الشيء على نفسه وهو المراد باللازم وبالجملة ، فالمطلوب ممّا لا خفاء فيه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803492_1280447820"/>
      <w:bookmarkStart w:id="51" w:name="_Toc18"/>
      <w:bookmarkEnd w:id="50"/>
      <w:r>
        <w:rPr>
          <w:rtl w:val="true"/>
        </w:rPr>
        <w:t>فوائد</w:t>
      </w:r>
      <w:bookmarkEnd w:id="51"/>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في النزاع في حجّية الظواهر القرآنية ، فإنّ آيات الأحكام قليلة ، وجملة منها مكرّرات ، وجملة أخرى إنّما تثبت الأمور الإجمالية الضرورية مع إمكان استفادتها من الأخبار الواردة فيها أيضا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تحقّق الثمرة فيما إذا لم نقل بحجّية الأخبار الآحاد ، أو قلنا واستنبطنا منه ما لم نستنبطه من الأخبار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الفخر الرازي قد استنبط من آية مائة حكم </w:t>
      </w:r>
      <w:r>
        <w:rPr>
          <w:rStyle w:val="FootnoteAnchor"/>
          <w:rtl w:val="true"/>
        </w:rPr>
        <w:footnoteReference w:id="400"/>
      </w:r>
      <w:r>
        <w:rPr>
          <w:rFonts w:ascii="Amiri" w:hAnsi="Amiri" w:eastAsia="Amiri" w:cs="Amiri"/>
          <w:color w:val="111111"/>
          <w:sz w:val="28"/>
          <w:sz w:val="28"/>
          <w:szCs w:val="28"/>
          <w:rtl w:val="true"/>
          <w:lang w:bidi="ar-SA"/>
        </w:rPr>
        <w:t xml:space="preserve">مع ظهور الثمرة في المتعارضين من الأخبار ، فإنّ موافقة الكتاب من المرجّحات المنصوصة ، وقد تعرّض بعضهم لبيان مورد من الكتاب لم يوافق الخبر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وليس بشيء ، فإنّ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w:t>
      </w:r>
    </w:p>
    <w:p>
      <w:pPr>
        <w:pStyle w:val="BookText"/>
        <w:rPr/>
      </w:pPr>
      <w:r>
        <w:rPr>
          <w:rFonts w:ascii="IRNazanin" w:hAnsi="IRNazanin" w:eastAsia="IRNazanin"/>
          <w:color w:val="111111"/>
          <w:sz w:val="28"/>
          <w:sz w:val="28"/>
          <w:szCs w:val="28"/>
          <w:rtl w:val="true"/>
          <w:lang w:bidi="fa-IR"/>
        </w:rPr>
        <w:t xml:space="preserve">شروطهم </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أوضح دلالة منها على المطالب التي يستدلّ بها عليها ؛ لمكان لفظ الشرط مع تصريح الفيروزآبادي في القاموس </w:t>
      </w:r>
      <w:r>
        <w:rPr>
          <w:rStyle w:val="FootnoteAnchor"/>
          <w:rtl w:val="true"/>
        </w:rPr>
        <w:footnoteReference w:id="403"/>
      </w:r>
      <w:r>
        <w:rPr>
          <w:rFonts w:ascii="Amiri" w:hAnsi="Amiri" w:eastAsia="Amiri" w:cs="Amiri"/>
          <w:color w:val="111111"/>
          <w:sz w:val="28"/>
          <w:sz w:val="28"/>
          <w:szCs w:val="28"/>
          <w:rtl w:val="true"/>
          <w:lang w:bidi="ar-SA"/>
        </w:rPr>
        <w:t xml:space="preserve">بوضعه للإلزام والالتزام ، وأمّا ما خصّصه بالبيع </w:t>
      </w:r>
      <w:r>
        <w:rPr>
          <w:rStyle w:val="FootnoteAnchor"/>
          <w:rtl w:val="true"/>
        </w:rPr>
        <w:footnoteReference w:id="404"/>
      </w:r>
      <w:r>
        <w:rPr>
          <w:rFonts w:ascii="Amiri" w:hAnsi="Amiri" w:eastAsia="Amiri" w:cs="Amiri"/>
          <w:color w:val="111111"/>
          <w:sz w:val="28"/>
          <w:sz w:val="28"/>
          <w:szCs w:val="28"/>
          <w:rtl w:val="true"/>
          <w:lang w:bidi="ar-SA"/>
        </w:rPr>
        <w:t>، فالظاهر أنّه من جهة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جملة من الآثار أنّ في القرآن سقطا حتّى أنّ في بعضها سقوط الثلث ، ومن ثمّة فقد يستشكل الاتّكال عليه والأخذ بظواهره ؛ لعدم الوثوق ، ولكنّه مدفوع أوّلا بمنعه ، وبعد تسليم ذلك وجوده في خصوص آيات الأحكام غير مسلّم ، وعلى تقديره فالشبهة غير محصورة ، وعلى تقديرها فلا نسلّم سريان ذلك في الموجود من القرآن ، فإنّ سقوط فقرة لا يقضي بإهمال فقرة أخرى مطلقا إلاّ أن يحصل العلم بالارتباط بينهما ، والأصل يدفعه ، فيحتمل أن يكون الفقرة المحذوفة والساقطة مثل سقوط القرينة الموضحة أو المؤكّدة ، وأمّا ثانيا ، فالإجماع بقسميه على ما عرفت يغني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أنّ القول بحجّية الظواهر القرآنية يلازم القول بعدم حجّيتها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فإنّ الوقوف عليه وقوف على غير العلم ، فيلزم من وجوده عدمه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التفصّي عنه بتخصيص أمثال ذلك بأصول الدين ، على أنّ العمل بالقرآن بعد قيام الإجماع عليه عمل بالعلم ، مع أنّا لا نسلّم انصراف الآية إلى نفسها وما اشتمل عليها من الكتاب كما لا يخفى بعد الرجوع إلى العرف في أضرابه ، وعليه يبنى </w:t>
      </w:r>
    </w:p>
    <w:p>
      <w:pPr>
        <w:pStyle w:val="BookText"/>
        <w:rPr/>
      </w:pPr>
      <w:r>
        <w:rPr>
          <w:rFonts w:ascii="Amiri" w:hAnsi="Amiri" w:eastAsia="Amiri" w:cs="Amiri"/>
          <w:color w:val="111111"/>
          <w:sz w:val="28"/>
          <w:sz w:val="28"/>
          <w:szCs w:val="28"/>
          <w:rtl w:val="true"/>
          <w:lang w:bidi="ar-SA"/>
        </w:rPr>
        <w:t>في توجيه الاستدلال بإجماعي الشيخ والسيّد في حجّية الأخبار وعدمها عند من يرى اعتبار المنقول من الإجماع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w:t>
      </w:r>
      <w:r>
        <w:rPr>
          <w:rStyle w:val="FootnoteAnchor"/>
          <w:rtl w:val="true"/>
        </w:rPr>
        <w:footnoteReference w:id="406"/>
      </w:r>
      <w:r>
        <w:rPr>
          <w:rFonts w:ascii="Amiri" w:hAnsi="Amiri" w:eastAsia="Amiri" w:cs="Amiri"/>
          <w:color w:val="111111"/>
          <w:sz w:val="28"/>
          <w:sz w:val="28"/>
          <w:szCs w:val="28"/>
          <w:rtl w:val="true"/>
          <w:lang w:bidi="ar-SA"/>
        </w:rPr>
        <w:t>في تواتر القراءات السبع وعدم تواترها ، والمعروف بينهم هو الأوّل ، وخالف فيه جملة من الأواخر ، وهم بين القائل بحجّية جميعها وجواز قراءتها في الصلاة ، وبين المنع منها في غير المتواتر ولو جاز قراءتها في الصلاة ، ولا حاجة إلى إثبات أحد الوجهين بعد ما أطالوا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شيء هنا ينبغي التنبيه عليه وهو أنّه إذا اختلفت القراءات على وجه يختلف باختلافها المعنى ، فعلى تقدير تواتر الجميع أيّهما المقدّم فيما تعارضا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 ، فإنّه على الأوّل لا بدّ من الاغتسال في جواز الوطء ، وعلى الثاني يجوز وطؤها بمجرّد انقطاع الدم ولو قبل الاغتسال؟ فقيل بالأوّل ، وقيل بالثاني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القول بتواتر السبع لا بدّ أوّلا من إعمال قواعد المعارضة بين الأدلّة القطعية بحسب السند ، ثمّ الرجوع إلى الأصل إن أمكن ، كأن كان موافقا لأحدهما ، وإن لم يمكن بواسطة مطابقة الأصل الثالث غيرهما ، فالتخيير لكن بين الاحتمالات الواقعية ، وأمّا الآيتان فرجوعهما في الحقيقة إلى المتشابهات ممّا لا ريب </w:t>
      </w:r>
      <w:bookmarkStart w:id="52" w:name="pg16273_211468"/>
    </w:p>
    <w:p>
      <w:pPr>
        <w:pStyle w:val="BookText"/>
        <w:rPr/>
      </w:pPr>
      <w:bookmarkEnd w:id="52"/>
      <w:r>
        <w:rPr>
          <w:rFonts w:ascii="Amiri" w:hAnsi="Amiri" w:eastAsia="Amiri" w:cs="Amiri"/>
          <w:color w:val="111111"/>
          <w:sz w:val="28"/>
          <w:sz w:val="28"/>
          <w:szCs w:val="28"/>
          <w:rtl w:val="true"/>
          <w:lang w:bidi="ar-SA"/>
        </w:rPr>
        <w:t xml:space="preserve">فيه في الفرض ، وقد نهى الشارع عن العمل بها وذلك مثل ما قاله بعض الأفاضل في تعارض الحجّة واللاحجّة كالقياس والخبر الصحيح ، وكان الظنّ في طرف القياس ، فإنّه قال بالتخيير بينهما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التخيير بين العمل بالقياس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إعمال قواعد المعارضة أنّه لا بدّ أوّلا أن يلاحظ النسبة بينهما وإن كان من العامّين من وجه ، فإن كان أحدهما نصّا بالنسبة إلى الآخر ، فهو وإلاّ فيرجع إلى المرجّحات الخارجية وإن كان بينهما العموم والخصوص مطلقا لا من وجه ، فيحمل أحدهما على الآخر كما هو المرجع في غير المقام ، ومثل ذلك بعينه الكلام فيما لو لم نقل بتواتر السبع لكن قلنا بحجّية الجميع في مقام استنباط الأحكام كما يجوز القراءة في الصلاة بكلّ وجه من وجوه القراءة بلا خلاف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نقل بحجّية غير المتواتر ، فلا وجه للرجوع إلى المرجّحات فيما إذا كان المتعارضان عامّين من وجه ، بل يكون من باب اشتباه الحجّة بغيرها ، وحكمه التوقّف بعد العجز عن التمييز والرجوع إلى ما يطابق الأصل في صورة المطابقة لأحدهما ، ثمّ التخيير بين الاحتمالين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803494_1280447820"/>
      <w:bookmarkStart w:id="54" w:name="_Toc19"/>
      <w:bookmarkEnd w:id="53"/>
      <w:r>
        <w:rPr>
          <w:rtl w:val="true"/>
        </w:rPr>
        <w:t xml:space="preserve">[ </w:t>
      </w:r>
      <w:r>
        <w:rPr>
          <w:rtl w:val="true"/>
        </w:rPr>
        <w:t xml:space="preserve">في حجّية ظواهر الكتاب لغير المشافهين </w:t>
      </w:r>
      <w:r>
        <w:rPr>
          <w:rtl w:val="true"/>
        </w:rPr>
        <w:t>]</w:t>
      </w:r>
      <w:bookmarkEnd w:id="54"/>
    </w:p>
    <w:p>
      <w:pPr>
        <w:pStyle w:val="BookText"/>
        <w:rPr/>
      </w:pPr>
      <w:r>
        <w:rPr>
          <w:rFonts w:ascii="Amiri" w:hAnsi="Amiri" w:eastAsia="Amiri" w:cs="Amiri"/>
          <w:color w:val="111111"/>
          <w:sz w:val="28"/>
          <w:sz w:val="28"/>
          <w:szCs w:val="28"/>
          <w:rtl w:val="true"/>
          <w:lang w:bidi="ar-SA"/>
        </w:rPr>
        <w:t xml:space="preserve">وأمّا المقام الثاني فقد يظهر من المحقّق القمّي وصاحب المعالم فيما نقلنا كلامه إجمالا </w:t>
      </w:r>
      <w:r>
        <w:rPr>
          <w:rStyle w:val="FootnoteAnchor"/>
          <w:rtl w:val="true"/>
        </w:rPr>
        <w:footnoteReference w:id="408"/>
      </w:r>
      <w:r>
        <w:rPr>
          <w:rFonts w:ascii="Amiri" w:hAnsi="Amiri" w:eastAsia="Amiri" w:cs="Amiri"/>
          <w:color w:val="111111"/>
          <w:sz w:val="28"/>
          <w:sz w:val="28"/>
          <w:szCs w:val="28"/>
          <w:rtl w:val="true"/>
          <w:lang w:bidi="ar-SA"/>
        </w:rPr>
        <w:t xml:space="preserve">عدم حجّية الظواهر القرآنية لغير المشافهين ، ويمكن الاستدلال لهما بوجهين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الاطمئنان للمشافه بعد إعماله أصالة الحقيقة وأصالة عدم القرينة وغيرهما من الأصول المعمولة في استخراج المطالب عن الظواهر اللفظية عند العرف والعادة ، ولا أقلّ من حصول الظنّ القويّ للمشافه بواسطة علمه بالقرائن المحفوفة </w:t>
      </w:r>
    </w:p>
    <w:p>
      <w:pPr>
        <w:pStyle w:val="BookText"/>
        <w:rPr/>
      </w:pPr>
      <w:r>
        <w:rPr>
          <w:rFonts w:ascii="Amiri" w:hAnsi="Amiri" w:eastAsia="Amiri" w:cs="Amiri"/>
          <w:color w:val="111111"/>
          <w:sz w:val="28"/>
          <w:sz w:val="28"/>
          <w:szCs w:val="28"/>
          <w:rtl w:val="true"/>
          <w:lang w:bidi="ar-SA"/>
        </w:rPr>
        <w:t>بالكلام وسوق المقام ، فيعمل بمضمونه بخلاف غير المشافه ، فإنّه لا يحصل له الاطمئنان بواسطة احتمال اختفاء القرائن ، فإنّ المتعارف في أغلبها هو القرائن اللفظية وأمّا القرائن الحالية فلا ، مضافا إلى أنّه قد لا يمكن بيان الحال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يمكن دعوى العلم الإجمالي بسقوط جملة من الأمارات المفيدة للظنّ بالمراد والاطمئنان فيها لغير المشافه فيما لم يكن القصد إعلام غير المشافه بالمراد كما في كتب المصنّفين والوصايا والمراسلات ، فإنّ القصد فيها تعلّق بإعلام غير المشافه أيضا ، فالقرائن المعتبرة في إفادة المطالب موجودة فيها ومعتبرة عند المصنّف والكاتب والمراسل بخلاف ما إذا لم يتعلّق القصد بإعلام غير المشافه ، أو لم يكن معلوما كما في المقام ، فإنّه لا وجه للاستناد إلى أصالة الحقيقة في المقام ، لعدم حصول الاطمئنان بل الظنّ الشخصي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العمل بالظواهر إلاّ بعد الفحص ، وبعده لا نسلّم العلم الاجمالي بسقوط القرائن بل يحصل الظنّ الشخصي بالمراد لو لم نقل بحصول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فإنّ العلم الإجمالي حاصل بوجود القرائن الحالية القابلة لصرف اللفظ عن ظاهره ، وبأنّ الغائب عنّا والمخفيّ علينا إنّما يساوي أضعاف ما هو بأيدينا ، ومعه لا يحصل الظنّ الشخصي فضلا عن الاطمئنان ، وغاية الأمر إفادة الظنّ النوعي ، ولا دليل على اعتباره بالخصوص كما هو المراد في المقام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خلاف الظاهر من الخطاب للمشافه ليس إلاّ من جهة احتمال الاشتباه في المتكلّم ، أو تقصيره في عدم نصب القرينة ، أو اشتباه المخاطب ، أو قصوره عن فهم القرينة ، والأصل المجمع عليه الفريقان يقضي بعدم الخطأ والتقصير كما أنّ الأصل قصد المتكلّم مدلول الكلام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إلغاء احتمال خلاف ذلك في النصوص </w:t>
      </w:r>
      <w:r>
        <w:rPr>
          <w:rStyle w:val="FootnoteAnchor"/>
          <w:rtl w:val="true"/>
        </w:rPr>
        <w:footnoteReference w:id="409"/>
      </w:r>
      <w:r>
        <w:rPr>
          <w:rFonts w:ascii="Amiri" w:hAnsi="Amiri" w:eastAsia="Amiri" w:cs="Amiri"/>
          <w:color w:val="111111"/>
          <w:sz w:val="28"/>
          <w:sz w:val="28"/>
          <w:szCs w:val="28"/>
          <w:rtl w:val="true"/>
          <w:lang w:bidi="ar-SA"/>
        </w:rPr>
        <w:t xml:space="preserve">، فإنّه سئل عن امرأة أحلّت جاريت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لزوجها فأمضاها عليه‌السلام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لمزاح بينهما ، فأجاب عليه‌السلام بعدم اعتبار الاحتمال بخلاف غير المشافه ، فإنّ احتمال إرادة خلاف الظاهر لا ينحصر فيما عرفت دفعه بالإجماع بل يحتمل بواسطة سقوط قرينة وأمثاله ، ولا دليل على اعتبار أصالة عدم القرينة في حقّنا إلاّ من جهة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في استكشاف مطالبهم على التعويل بالأصول المعمولة في استخراج المراد من الظواهر ، والعلماء الأعلام مطبقون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العقلاء ، ففيما لم يفد الاطمئنان ، ولا أقلّ من الظنّ الشخصي فغير مسلّم كما عرفت في الوجه الأوّل ، وأمّا عمل العلماء ، فيحتمل أن يكون بواسطة مطلق الظنّ ، فلا دلالة فيه على المدّعى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كلا الوجهين ما ذكرناه في أدلّة المختار من إثبات حجّية الظواهر منه مطلقا ، فإنّ الإجماع من لدن زمن النبيّ صلى‌اللّه‌عليه‌وآله والأئمّة على العمل بها إلى زماننا ، ولم يظهر مخالف في ذلك ، ولذلك نرى عدم عنوان المسألة في كلام القدماء مع العلم الإجمالي بأنّ جملة منها ممّا لا يفيد الظنّ الشخصي فضلا عن الاطمئنان ، واحتمال التعويل عليها من جهة مطلق الظنّ نظرا إلى انسداد باب العلم في تلك الأزمنة ممّا لا يستقيم أصلا في زمن إمكان تحصيل العلم ، مع أنّ أوائل زمن الغيبة كزمن المرتضى على ما ادّعاه زمن انفتاح باب العلم ، فلا وجه للقول بالظنّ المطلق ، فإنّ السيّد كان يستنبط الأحكام من الأدلّة القطعية ، وعدّ منها المتواترات ولا سيّما بعد ملاحظة تحريمهم للعمل بالظنّ المطلق وحصرهم الأدلّة في الأربعة غالبا أو الخمسة بزيادة الاستصحاب عليها كما عن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 انسداد باب العلم بالأحكام لهم ولكن لا نسلّم انسداد باب العلم في طريقها أيضا لهم ، فالعلم في المسألة الأصولية كان ممكنا لهم ، ولعمري كيف يجوّز العاقل من أمثالهم إهمالهم في مثل هذه المسألة العظيمة مع أنّ أهل بيت العصمة والطهارة بيّنوا لهم أحكام دينهم ودنياهم حتّى أرش الخدش وآداب الأكل والشرب والنوم والخلوة والمقاربة ونحوها ، وهل هذا إلاّ للعلم برضاهم عليهم‌السلام بالعمل بظواهر الكتاب؟</w:t>
      </w:r>
    </w:p>
    <w:p>
      <w:pPr>
        <w:pStyle w:val="BookText"/>
        <w:rPr/>
      </w:pPr>
      <w:r>
        <w:rPr>
          <w:rFonts w:ascii="Amiri" w:hAnsi="Amiri" w:eastAsia="Amiri" w:cs="Amiri"/>
          <w:color w:val="111111"/>
          <w:sz w:val="28"/>
          <w:sz w:val="28"/>
          <w:szCs w:val="28"/>
          <w:rtl w:val="true"/>
          <w:lang w:bidi="ar-SA"/>
        </w:rPr>
        <w:t>ثمّ إنّ المحقّق القمّي قد بنى القول بحجّية الكتاب على أنّه من الظنون الخاصّة التي قام القاطع على اعتبارها ، وعدمها على القول بعموم الخطاب لغير المشافهين وعدمه ، وعلى ما عرفت لا وقع له ، فإنّ الإجماع منعقد على اعتباره ولو لغير المشافه كما مرّ ، مع أنّا لو سلّمنا العموم وقطعنا النظر عن الإجماع على العمل به ، فلا نسلّم حجّيته من باب الخصوصية ، فإنّ مجرّد القول بعموم الخطاب لا يقضي بارتفاع احتمال الخلاف في ظواهر الألفاظ ، ولذا يجب الفحص عن المعارض على القول بالظنون الخاصّة أيضا ، ومع ذلك لا يحصل الاطمئنان بإرادة ما هو الظاهر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لصاحب المعالم كلاما في المقام لا بأس بنقله ، قال بعد الاستدلال على حجّية أخبار الآحاد بالدليل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المستفاد من ظاهر الكتاب معلوم لا مظنون ، وذلك بواسطة ضميمة مقدّمة خارجية وهو </w:t>
      </w:r>
      <w:r>
        <w:rPr>
          <w:rStyle w:val="FootnoteAnchor"/>
          <w:rtl w:val="true"/>
        </w:rPr>
        <w:footnoteReference w:id="410"/>
      </w:r>
      <w:r>
        <w:rPr>
          <w:rFonts w:ascii="Amiri" w:hAnsi="Amiri" w:eastAsia="Amiri" w:cs="Amiri"/>
          <w:color w:val="111111"/>
          <w:sz w:val="28"/>
          <w:sz w:val="28"/>
          <w:szCs w:val="28"/>
          <w:rtl w:val="true"/>
          <w:lang w:bidi="ar-SA"/>
        </w:rPr>
        <w:t xml:space="preserve">قبح خطاب الحكيم بما له ظاهر وإرادة </w:t>
      </w:r>
      <w:r>
        <w:rPr>
          <w:rStyle w:val="FootnoteAnchor"/>
          <w:rtl w:val="true"/>
        </w:rPr>
        <w:footnoteReference w:id="411"/>
      </w:r>
      <w:r>
        <w:rPr>
          <w:rFonts w:ascii="Amiri" w:hAnsi="Amiri" w:eastAsia="Amiri" w:cs="Amiri"/>
          <w:color w:val="111111"/>
          <w:sz w:val="28"/>
          <w:sz w:val="28"/>
          <w:szCs w:val="28"/>
          <w:rtl w:val="true"/>
          <w:lang w:bidi="ar-SA"/>
        </w:rPr>
        <w:t>خلافه من غير دلالة تصرف عن ذلك الظاهر ، سلّمنا ولكنّه ظنّ مخصوص ، فهو من قبيل الشهادة لا يعدل عنه إلى غيره إلاّ بدليل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الكتاب كلّها من قبيل خطاب المشافهة ، وقد مرّ أنّه مخصوص بالموجودين في زمن الخطاب ، وأنّ ثبوت حكمه في حقّنا </w:t>
      </w:r>
      <w:r>
        <w:rPr>
          <w:rStyle w:val="FootnoteAnchor"/>
          <w:rtl w:val="true"/>
        </w:rPr>
        <w:footnoteReference w:id="412"/>
      </w:r>
      <w:r>
        <w:rPr>
          <w:rFonts w:ascii="IRNazanin" w:hAnsi="IRNazanin" w:eastAsia="IRNazanin"/>
          <w:color w:val="111111"/>
          <w:sz w:val="28"/>
          <w:sz w:val="28"/>
          <w:szCs w:val="28"/>
          <w:rtl w:val="true"/>
          <w:lang w:bidi="fa-IR"/>
        </w:rPr>
        <w:t xml:space="preserve">إنّما هو بالإجماع وقضاء </w:t>
      </w:r>
    </w:p>
    <w:p>
      <w:pPr>
        <w:pStyle w:val="BookText"/>
        <w:rPr/>
      </w:pPr>
      <w:r>
        <w:rPr>
          <w:rFonts w:ascii="Amiri" w:hAnsi="Amiri" w:eastAsia="Amiri" w:cs="Amiri"/>
          <w:color w:val="111111"/>
          <w:sz w:val="28"/>
          <w:sz w:val="28"/>
          <w:szCs w:val="28"/>
          <w:rtl w:val="true"/>
          <w:lang w:bidi="ar-SA"/>
        </w:rPr>
        <w:t xml:space="preserve">الضرورة بالاشتراك في التكليف </w:t>
      </w:r>
      <w:r>
        <w:rPr>
          <w:rStyle w:val="FootnoteAnchor"/>
          <w:rtl w:val="true"/>
        </w:rPr>
        <w:footnoteReference w:id="413"/>
      </w:r>
      <w:r>
        <w:rPr>
          <w:rFonts w:ascii="Amiri" w:hAnsi="Amiri" w:eastAsia="Amiri" w:cs="Amiri"/>
          <w:color w:val="111111"/>
          <w:sz w:val="28"/>
          <w:sz w:val="28"/>
          <w:szCs w:val="28"/>
          <w:rtl w:val="true"/>
          <w:lang w:bidi="ar-SA"/>
        </w:rPr>
        <w:t xml:space="preserve">، وحينئذ فمن الجائز أن يكون قد اقترن ببعض تلك الظواهر ما يدلّهم على إرادة خلافها ، وقد وقع ذلك في مواضع علمناها بالإجماع ونحوه ، فيحتمل الاعتماد في تعريفنا بسائره </w:t>
      </w:r>
      <w:r>
        <w:rPr>
          <w:rStyle w:val="FootnoteAnchor"/>
          <w:rtl w:val="true"/>
        </w:rPr>
        <w:footnoteReference w:id="414"/>
      </w:r>
      <w:r>
        <w:rPr>
          <w:rFonts w:ascii="Amiri" w:hAnsi="Amiri" w:eastAsia="Amiri" w:cs="Amiri"/>
          <w:color w:val="111111"/>
          <w:sz w:val="28"/>
          <w:sz w:val="28"/>
          <w:szCs w:val="28"/>
          <w:rtl w:val="true"/>
          <w:lang w:bidi="ar-SA"/>
        </w:rPr>
        <w:t xml:space="preserve">على الأمارات المفيدة للظنّ القويّ ، وخبر الواحد من جملتها ، ومع قيام هذا الاحتمال ينتفي القطع بالحكم الشرعي </w:t>
      </w:r>
      <w:r>
        <w:rPr>
          <w:rStyle w:val="FootnoteAnchor"/>
          <w:rtl w:val="true"/>
        </w:rPr>
        <w:footnoteReference w:id="415"/>
      </w:r>
      <w:r>
        <w:rPr>
          <w:rFonts w:ascii="Amiri" w:hAnsi="Amiri" w:eastAsia="Amiri" w:cs="Amiri"/>
          <w:color w:val="111111"/>
          <w:sz w:val="28"/>
          <w:sz w:val="28"/>
          <w:szCs w:val="28"/>
          <w:rtl w:val="true"/>
          <w:lang w:bidi="ar-SA"/>
        </w:rPr>
        <w:t xml:space="preserve">، ويستوي حينئذ الظنّ المستفاد من ظاهر الكتاب والحاصل من غيره بالنظر إلى إناطة التكليف به ، لابتناء الفرق بينهما على كون الخطاب متوجّها إلينا وقد تبيّن خلافه ، ولظهور اختصاص الإجماع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الدالّين على المشاركة في التكليف </w:t>
      </w:r>
      <w:r>
        <w:rPr>
          <w:rStyle w:val="FootnoteAnchor"/>
          <w:rtl w:val="true"/>
        </w:rPr>
        <w:footnoteReference w:id="416"/>
      </w:r>
      <w:r>
        <w:rPr>
          <w:rFonts w:ascii="Amiri" w:hAnsi="Amiri" w:eastAsia="Amiri" w:cs="Amiri"/>
          <w:color w:val="111111"/>
          <w:sz w:val="28"/>
          <w:sz w:val="28"/>
          <w:szCs w:val="28"/>
          <w:rtl w:val="true"/>
          <w:lang w:bidi="ar-SA"/>
        </w:rPr>
        <w:t xml:space="preserve">المستفادة من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صورة وجود الخبر الجامع للشرائط الآتية ، المفيد </w:t>
      </w:r>
      <w:r>
        <w:rPr>
          <w:rStyle w:val="FootnoteAnchor"/>
          <w:rtl w:val="true"/>
        </w:rPr>
        <w:footnoteReference w:id="417"/>
      </w:r>
      <w:r>
        <w:rPr>
          <w:rFonts w:ascii="Amiri" w:hAnsi="Amiri" w:eastAsia="Amiri" w:cs="Amiri"/>
          <w:color w:val="111111"/>
          <w:sz w:val="28"/>
          <w:sz w:val="28"/>
          <w:szCs w:val="28"/>
          <w:rtl w:val="true"/>
          <w:lang w:bidi="ar-SA"/>
        </w:rPr>
        <w:t xml:space="preserve">للظنّ الراجح بأنّ التكليف بخلاف ذلك الظنّ الظاهر ، ومثله يقال في أصالة البراءة لمن التفت إليها بنحو ما ذكر أخيرا في ظاهر الكتاب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وجوه النظر ما لا يخفى سؤالا وجوابا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 فلأنّ الواجب على الحكيم سوق الكلام ، على ما يقتضيه المقام باختلافه باحتفافه على القرائن المفيدة للمطلوب من غير تقصير له في البيان ، وأمّا قصور فهم المخاطب عن إدراك القرائن بواسطة غباوته أو سهوه أو نسيانه وأمثال ذلك </w:t>
      </w:r>
      <w:r>
        <w:rPr>
          <w:rStyle w:val="FootnoteAnchor"/>
          <w:rtl w:val="true"/>
        </w:rPr>
        <w:footnoteReference w:id="419"/>
      </w:r>
      <w:r>
        <w:rPr>
          <w:rFonts w:ascii="Amiri" w:hAnsi="Amiri" w:eastAsia="Amiri" w:cs="Amiri"/>
          <w:color w:val="111111"/>
          <w:sz w:val="28"/>
          <w:sz w:val="28"/>
          <w:szCs w:val="28"/>
          <w:rtl w:val="true"/>
          <w:lang w:bidi="ar-SA"/>
        </w:rPr>
        <w:t xml:space="preserve">ممّا لا دخل له بالحكيم ، فلا يجب عليه رفعه ، فعلى هذا لا يفيد ضمّ المقدّمة الخارجية في إفادة القطع كما هو ظاهر السؤال ، مع أنّا نقطع بأنّ كثيرا من خطابات 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النبيّ صلى‌اللّه‌عليه‌وآله والأئمّة عليهم‌السلام للمخاطبين 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إفادة الظنّ كما لا يخفى ، فلا يصحّ دعوى الفرق بين خطابات الحكيم وغيره في ذلك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الثاني ، فلأنّ دعوى الإجماع منه على إرادة خلاف الظاهر من الكتاب تنافي دعواه بامتناع الاطّلاع على الإجماع في تحرير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حكمه بفقد السنّة المتواترة فيه لفظا ومعنى غير موافق للواقع ؛ لوجودها كثيرا في الفقه مع أنّ تقدير الوجود في اللفظي منها لا يضرّ بما هو في صدده من انسداد باب العلم ، إذ لا يفيد العلم كالكتاب ، فكما أنّ وجود الكتاب غير مضرّ في مطلوبه ، فكذلك السنّة المتواترة اللفظية ، والمستفاد من كلامه تسليم إفادة القطع على تقدير وجودها ، وسيجيء إن شاء اللّه ما يظهر به بطلان ما أبطل به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ويستوي الظنّ الحاصل من ظاهر الكتاب والظنّ المستفاد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يستقيم لو جاز تعارض الظنّين ، وظاهر بطلانه إلاّ أن يراد من أحدهما الظنّ النوعي ، أو يراد من التسوية بينهما تساويهما من حيث الحجّية بمعنى أنّ الظنّ الحاصل من الخبر مثلا كما يكون حجّة من جهة الظنون الخاصّة ، فكذلك الظنّ الحاصل من الكتاب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ابتناؤه على الوجه المزبور ممّا لم نقف له على ابتناء في زبر الأوّلين ، فإنّ غرضه لو كان من جهة حصول القطع للمشافه دون غيره ، فقد عرفت عدم اطّراده في المشافه أيضا ، وإن كان من جهة حجّيته من باب الظنون الخاصّة ، فقد مرّ ما يعمّ بالنسبة إلى المشافه وغيره ، ولو لا الإجماع قديما وحديثا ، لكفى في الحجّية لغير المشافه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يمنع من صحّة الإجماع ؛ للزوم الفحص لغير المشافه دون المشافهين ، فواضح الضعف ، فإن لزوم الفحص لا يلازم عدم الحجّية من جهة الظنون الخاصّة ، كيف؟ ومنشأ الفحص العلم الإجمالي بكثرة المتعارضات ، ومبنى عدم الحجّية عدم الدليل على الحجّية ، وأين أحدهما من الآخر؟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ولظهور اختصاص الإجماع والضرورة الدالّين على اشتراك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عدم اختصاص الإجماع في صورة عدم وجود الخبر الجامع عليه ، بل الإجماع </w:t>
      </w:r>
    </w:p>
    <w:p>
      <w:pPr>
        <w:pStyle w:val="BookText"/>
        <w:rPr/>
      </w:pPr>
      <w:r>
        <w:rPr>
          <w:rFonts w:ascii="Amiri" w:hAnsi="Amiri" w:eastAsia="Amiri" w:cs="Amiri"/>
          <w:color w:val="111111"/>
          <w:sz w:val="28"/>
          <w:sz w:val="28"/>
          <w:szCs w:val="28"/>
          <w:rtl w:val="true"/>
          <w:lang w:bidi="ar-SA"/>
        </w:rPr>
        <w:t>قائم عليه في الصورتين كما عرفت ، وعدم جواز العمل بظاهر الكتاب في صورة المخالفة مع حجّية الخبر المخالف لا يقدح في حجّية الكتاب لو لم نقل بتعاضده كما هو الشأن في جميع المتعارضات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صالح العلماء قد وجّه كلام صاحب المعالم بتوجيه ، وكذا جمال المحقّقين قد وجّهه بتوجيه آخر ، ونحن أيضا نوجّهه بتوجيه لعلّه أوجه ، وبه يندفع جملة من الإيرادات المذكورة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دفع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المورد أوّلا من أنّ الظنّ </w:t>
      </w:r>
      <w:r>
        <w:rPr>
          <w:rStyle w:val="FootnoteAnchor"/>
          <w:rtl w:val="true"/>
        </w:rPr>
        <w:footnoteReference w:id="420"/>
      </w:r>
      <w:r>
        <w:rPr>
          <w:rFonts w:ascii="Amiri" w:hAnsi="Amiri" w:eastAsia="Amiri" w:cs="Amiri"/>
          <w:color w:val="111111"/>
          <w:sz w:val="28"/>
          <w:sz w:val="28"/>
          <w:szCs w:val="28"/>
          <w:rtl w:val="true"/>
          <w:lang w:bidi="ar-SA"/>
        </w:rPr>
        <w:t>المستفاد من ظاهر الكتاب معلوم لا مظنون ، دفع بهذا ما أورده ثانيا بعد التسليم من أنّ الظنّ المستفاد من ظاهر الكتاب ظنّ مخصوص ، فهو من قبيل الشهادة لا يعدل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الدفع أنّه إذا ثبت جواز حمل الظاهر على خلافه عند معارضة الخبر إيّاه ، صار الظاهر ظنّيا ويساوي </w:t>
      </w:r>
      <w:r>
        <w:rPr>
          <w:rStyle w:val="FootnoteAnchor"/>
          <w:rtl w:val="true"/>
        </w:rPr>
        <w:footnoteReference w:id="421"/>
      </w:r>
      <w:r>
        <w:rPr>
          <w:rFonts w:ascii="Amiri" w:hAnsi="Amiri" w:eastAsia="Amiri" w:cs="Amiri"/>
          <w:color w:val="111111"/>
          <w:sz w:val="28"/>
          <w:sz w:val="28"/>
          <w:szCs w:val="28"/>
          <w:rtl w:val="true"/>
          <w:lang w:bidi="ar-SA"/>
        </w:rPr>
        <w:t xml:space="preserve">غيره ممّا يفيد غيره </w:t>
      </w:r>
      <w:r>
        <w:rPr>
          <w:rStyle w:val="FootnoteAnchor"/>
          <w:rtl w:val="true"/>
        </w:rPr>
        <w:footnoteReference w:id="422"/>
      </w:r>
      <w:r>
        <w:rPr>
          <w:rFonts w:ascii="Amiri" w:hAnsi="Amiri" w:eastAsia="Amiri" w:cs="Amiri"/>
          <w:color w:val="111111"/>
          <w:sz w:val="28"/>
          <w:sz w:val="28"/>
          <w:szCs w:val="28"/>
          <w:rtl w:val="true"/>
          <w:lang w:bidi="ar-SA"/>
        </w:rPr>
        <w:t xml:space="preserve">في إفادة الظنّ وفي إناطة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المراد أنّهما متساويان من جميع الوجوه ، فلا يرد أنّ هذا ينافي ما مرّ من الخبر الراجح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أفاد أنّ وجه مساواتهما في ذلك أمران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الفرق والحكم بأنّ الظنّ المستفاد من ظاهر الكتاب من قبيل الشهادة ، فلا يعدل عنه إلى غيره ممّا يفيد الظنّ على كون الخطاب متوجّها إلينا ؛ إذ الصارف حينئذ هو الخبر وقد مضت </w:t>
      </w:r>
      <w:r>
        <w:rPr>
          <w:rStyle w:val="FootnoteAnchor"/>
          <w:rtl w:val="true"/>
        </w:rPr>
        <w:footnoteReference w:id="424"/>
      </w:r>
      <w:r>
        <w:rPr>
          <w:rFonts w:ascii="Amiri" w:hAnsi="Amiri" w:eastAsia="Amiri" w:cs="Amiri"/>
          <w:color w:val="111111"/>
          <w:sz w:val="28"/>
          <w:sz w:val="28"/>
          <w:szCs w:val="28"/>
          <w:rtl w:val="true"/>
          <w:lang w:bidi="ar-SA"/>
        </w:rPr>
        <w:t xml:space="preserve">ذلك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بحكم المقدّمة الثانية أنّ الخطاب ليس بمتوجّه إلينا ، بل إلى الموجودين في زمانه ، ويجوز أن يقترن به ما </w:t>
      </w:r>
    </w:p>
    <w:p>
      <w:pPr>
        <w:pStyle w:val="BookText"/>
        <w:rPr/>
      </w:pPr>
      <w:r>
        <w:rPr>
          <w:rFonts w:ascii="Amiri" w:hAnsi="Amiri" w:eastAsia="Amiri" w:cs="Amiri"/>
          <w:color w:val="111111"/>
          <w:sz w:val="28"/>
          <w:sz w:val="28"/>
          <w:szCs w:val="28"/>
          <w:rtl w:val="true"/>
          <w:lang w:bidi="ar-SA"/>
        </w:rPr>
        <w:t xml:space="preserve">يدلّ </w:t>
      </w:r>
      <w:r>
        <w:rPr>
          <w:rStyle w:val="FootnoteAnchor"/>
          <w:rtl w:val="true"/>
        </w:rPr>
        <w:footnoteReference w:id="425"/>
      </w:r>
      <w:r>
        <w:rPr>
          <w:rFonts w:ascii="Amiri" w:hAnsi="Amiri" w:eastAsia="Amiri" w:cs="Amiri"/>
          <w:color w:val="111111"/>
          <w:sz w:val="28"/>
          <w:sz w:val="28"/>
          <w:szCs w:val="28"/>
          <w:rtl w:val="true"/>
          <w:lang w:bidi="ar-SA"/>
        </w:rPr>
        <w:t>على إرادة خلافه قطعا ، والخبر حينئذ معرّف لا 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الدالّين على مشاركتنا لهم في التكليف بظاهر الكتاب ممّا </w:t>
      </w:r>
      <w:r>
        <w:rPr>
          <w:rStyle w:val="FootnoteAnchor"/>
          <w:rtl w:val="true"/>
        </w:rPr>
        <w:footnoteReference w:id="426"/>
      </w:r>
      <w:r>
        <w:rPr>
          <w:rFonts w:ascii="Amiri" w:hAnsi="Amiri" w:eastAsia="Amiri" w:cs="Amiri"/>
          <w:color w:val="111111"/>
          <w:sz w:val="28"/>
          <w:sz w:val="28"/>
          <w:szCs w:val="28"/>
          <w:rtl w:val="true"/>
          <w:lang w:bidi="ar-SA"/>
        </w:rPr>
        <w:t xml:space="preserve">تقتضيه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مختصّان بظاهر غير معارض للخبر </w:t>
      </w:r>
      <w:r>
        <w:rPr>
          <w:rStyle w:val="FootnoteAnchor"/>
          <w:rtl w:val="true"/>
        </w:rPr>
        <w:footnoteReference w:id="427"/>
      </w:r>
      <w:r>
        <w:rPr>
          <w:rFonts w:ascii="Amiri" w:hAnsi="Amiri" w:eastAsia="Amiri" w:cs="Amiri"/>
          <w:color w:val="111111"/>
          <w:sz w:val="28"/>
          <w:sz w:val="28"/>
          <w:szCs w:val="28"/>
          <w:rtl w:val="true"/>
          <w:lang w:bidi="ar-SA"/>
        </w:rPr>
        <w:t xml:space="preserve">الجامع للشرائط الآتية ، المفيدة للظنّ الراجح بأنّ التكليف بخلاف الظنّ المستفاد بظاهر </w:t>
      </w:r>
      <w:r>
        <w:rPr>
          <w:rStyle w:val="FootnoteAnchor"/>
          <w:rtl w:val="true"/>
        </w:rPr>
        <w:footnoteReference w:id="428"/>
      </w:r>
      <w:r>
        <w:rPr>
          <w:rFonts w:ascii="Amiri" w:hAnsi="Amiri" w:eastAsia="Amiri" w:cs="Amiri"/>
          <w:color w:val="111111"/>
          <w:sz w:val="28"/>
          <w:sz w:val="28"/>
          <w:szCs w:val="28"/>
          <w:rtl w:val="true"/>
          <w:lang w:bidi="ar-SA"/>
        </w:rPr>
        <w:t xml:space="preserve">الكتاب ، لأنّه لا إجماع ولا ضرورة على تلك المشاركة عند المعارضة فينتفي القطع به ، وينتفي كون الظنّ المستفاد منه من قبيل الشهادة أيضا فليتأمّل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الثاني بعد الإشارة إلى ما ذكره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لنا من تحقيق الحال فيما ذكره في الجواب عن ذلك الإيراد لا يخلو عن تشويش ، وكأنّه يحتمل وجهين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أبطل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الحكم المستفاد من ظاهر الكتاب معلوما لما ذكره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من كون أحكام الكتاب كلّها من قبيل خطاب المشافهة ، وأنّه مخصوص بالموجودين في زمن الخطاب ، وأنّ ثبوت حكمه فيمن تأخّر إنّما هو بالإجماع وقضاء الضرورة باشتراك التكليف من </w:t>
      </w:r>
      <w:r>
        <w:rPr>
          <w:rStyle w:val="FootnoteAnchor"/>
          <w:rtl w:val="true"/>
        </w:rPr>
        <w:footnoteReference w:id="430"/>
      </w:r>
      <w:r>
        <w:rPr>
          <w:rFonts w:ascii="Amiri" w:hAnsi="Amiri" w:eastAsia="Amiri" w:cs="Amiri"/>
          <w:color w:val="111111"/>
          <w:sz w:val="28"/>
          <w:sz w:val="28"/>
          <w:szCs w:val="28"/>
          <w:rtl w:val="true"/>
          <w:lang w:bidi="ar-SA"/>
        </w:rPr>
        <w:t xml:space="preserve">الكلّ ، فيكون حاصل جوابه أنّ الإجماع والضرورة إنّما هو بالاشتراك </w:t>
      </w:r>
      <w:r>
        <w:rPr>
          <w:rStyle w:val="FootnoteAnchor"/>
          <w:rtl w:val="true"/>
        </w:rPr>
        <w:footnoteReference w:id="431"/>
      </w:r>
      <w:r>
        <w:rPr>
          <w:rFonts w:ascii="Amiri" w:hAnsi="Amiri" w:eastAsia="Amiri" w:cs="Amiri"/>
          <w:color w:val="111111"/>
          <w:sz w:val="28"/>
          <w:sz w:val="28"/>
          <w:szCs w:val="28"/>
          <w:rtl w:val="true"/>
          <w:lang w:bidi="ar-SA"/>
        </w:rPr>
        <w:t xml:space="preserve">بيننا وبينهم فيما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لا في وجوب العمل بظواهر القرآن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نحن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لا نعلم كونهم مكلّفين بها </w:t>
      </w:r>
      <w:r>
        <w:rPr>
          <w:rStyle w:val="FootnoteAnchor"/>
          <w:rtl w:val="true"/>
        </w:rPr>
        <w:footnoteReference w:id="433"/>
      </w:r>
      <w:r>
        <w:rPr>
          <w:rFonts w:ascii="Amiri" w:hAnsi="Amiri" w:eastAsia="Amiri" w:cs="Amiri"/>
          <w:color w:val="111111"/>
          <w:sz w:val="28"/>
          <w:sz w:val="28"/>
          <w:szCs w:val="28"/>
          <w:rtl w:val="true"/>
          <w:lang w:bidi="ar-SA"/>
        </w:rPr>
        <w:t xml:space="preserve">فيما لم يقترن به قرينة صارفة عنه ، وأمّا فيما اقترن بها ، فكانوا مكلّفين بمقتضى القرينة لا بالظاهر ؛ لاحتمال </w:t>
      </w:r>
      <w:r>
        <w:rPr>
          <w:rStyle w:val="FootnoteAnchor"/>
          <w:rtl w:val="true"/>
        </w:rPr>
        <w:footnoteReference w:id="434"/>
      </w:r>
      <w:r>
        <w:rPr>
          <w:rFonts w:ascii="Amiri" w:hAnsi="Amiri" w:eastAsia="Amiri" w:cs="Amiri"/>
          <w:color w:val="111111"/>
          <w:sz w:val="28"/>
          <w:sz w:val="28"/>
          <w:szCs w:val="28"/>
          <w:rtl w:val="true"/>
          <w:lang w:bidi="ar-SA"/>
        </w:rPr>
        <w:t xml:space="preserve">أن يكون لهم قرينة صارفة عنه ، ولم تصل تلك القرينة إلينا ، فغاية الأمر أنّه لمّا لم يظهر تلك القرينة ، فيجوز أن يحصل لنا ظنّ بعدمها وبكونهم مكلّفين فيه بالظاهر ، وهذا ليس إلاّ مجرّد الظنّ ، ولم يقم على اعتباره بخصوصه </w:t>
      </w:r>
      <w:r>
        <w:rPr>
          <w:rStyle w:val="FootnoteAnchor"/>
          <w:rtl w:val="true"/>
        </w:rPr>
        <w:footnoteReference w:id="435"/>
      </w:r>
      <w:r>
        <w:rPr>
          <w:rFonts w:ascii="Amiri" w:hAnsi="Amiri" w:eastAsia="Amiri" w:cs="Amiri"/>
          <w:color w:val="111111"/>
          <w:sz w:val="28"/>
          <w:sz w:val="28"/>
          <w:szCs w:val="28"/>
          <w:rtl w:val="true"/>
          <w:lang w:bidi="ar-SA"/>
        </w:rPr>
        <w:t xml:space="preserve">دليل قطعي حتّى يقال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Style w:val="FootnoteAnchor"/>
          <w:rtl w:val="true"/>
        </w:rPr>
        <w:footnoteReference w:id="436"/>
      </w:r>
      <w:r>
        <w:rPr>
          <w:rFonts w:ascii="Amiri" w:hAnsi="Amiri" w:eastAsia="Amiri" w:cs="Amiri"/>
          <w:color w:val="111111"/>
          <w:sz w:val="28"/>
          <w:sz w:val="28"/>
          <w:szCs w:val="28"/>
          <w:rtl w:val="true"/>
          <w:lang w:bidi="ar-SA"/>
        </w:rPr>
        <w:t>ظنّ مخصوص لا يلزم من اعتباره اعتبار 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 يلائم الجواب </w:t>
      </w:r>
      <w:r>
        <w:rPr>
          <w:rStyle w:val="FootnoteAnchor"/>
          <w:rtl w:val="true"/>
        </w:rPr>
        <w:footnoteReference w:id="437"/>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ضميمة ذلك ، فيحتمل أن يكون إشارة إلى جواب آخر وهو أنّه يحتمل أن يكون من جملة تلك القرائن الموجبة للانتقال </w:t>
      </w:r>
      <w:r>
        <w:rPr>
          <w:rStyle w:val="FootnoteAnchor"/>
          <w:rtl w:val="true"/>
        </w:rPr>
        <w:footnoteReference w:id="438"/>
      </w:r>
      <w:r>
        <w:rPr>
          <w:rFonts w:ascii="Amiri" w:hAnsi="Amiri" w:eastAsia="Amiri" w:cs="Amiri"/>
          <w:color w:val="111111"/>
          <w:sz w:val="28"/>
          <w:sz w:val="28"/>
          <w:szCs w:val="28"/>
          <w:rtl w:val="true"/>
          <w:lang w:bidi="ar-SA"/>
        </w:rPr>
        <w:t xml:space="preserve">عن الظاهر خبر الواحد ، وحينئذ ففيما وجد فيه خبر الواحد على خلاف ظاهر القرآن لا علم لنا بكونهم مكلّفين بظاهر القرآن حتّى يعلم منه كوننا أيضا مكلّفين به بل يحتمل أن يكونوا مكلّفين بمقتضاه في مثلهم </w:t>
      </w:r>
      <w:r>
        <w:rPr>
          <w:rStyle w:val="FootnoteAnchor"/>
          <w:rtl w:val="true"/>
        </w:rPr>
        <w:footnoteReference w:id="439"/>
      </w:r>
      <w:r>
        <w:rPr>
          <w:rFonts w:ascii="Amiri" w:hAnsi="Amiri" w:eastAsia="Amiri" w:cs="Amiri"/>
          <w:color w:val="111111"/>
          <w:sz w:val="28"/>
          <w:sz w:val="28"/>
          <w:szCs w:val="28"/>
          <w:rtl w:val="true"/>
          <w:lang w:bidi="ar-SA"/>
        </w:rPr>
        <w:t xml:space="preserve">، فلا يمكن لنا في مثله طرح الخبر والعمل بالظاهر بناء على إفادة </w:t>
      </w:r>
      <w:r>
        <w:rPr>
          <w:rStyle w:val="FootnoteAnchor"/>
          <w:rtl w:val="true"/>
        </w:rPr>
        <w:footnoteReference w:id="440"/>
      </w:r>
      <w:r>
        <w:rPr>
          <w:rFonts w:ascii="Amiri" w:hAnsi="Amiri" w:eastAsia="Amiri" w:cs="Amiri"/>
          <w:color w:val="111111"/>
          <w:sz w:val="28"/>
          <w:sz w:val="28"/>
          <w:szCs w:val="28"/>
          <w:rtl w:val="true"/>
          <w:lang w:bidi="ar-SA"/>
        </w:rPr>
        <w:t xml:space="preserve">العلم ، أو لكونه مفيدا للظنّ </w:t>
      </w:r>
      <w:r>
        <w:rPr>
          <w:rStyle w:val="FootnoteAnchor"/>
          <w:rtl w:val="true"/>
        </w:rPr>
        <w:footnoteReference w:id="441"/>
      </w:r>
      <w:r>
        <w:rPr>
          <w:rFonts w:ascii="Amiri" w:hAnsi="Amiri" w:eastAsia="Amiri" w:cs="Amiri"/>
          <w:color w:val="111111"/>
          <w:sz w:val="28"/>
          <w:sz w:val="28"/>
          <w:szCs w:val="28"/>
          <w:rtl w:val="true"/>
          <w:lang w:bidi="ar-SA"/>
        </w:rPr>
        <w:t>؛ إذ قد ظهر انتفاء كليهما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وقوع الإجماع وقضاء الضرورة بكوننا أيضا مكلّفين بظاهر القرآن مثلهم وإن لم يشمل الخطاب لنا بكونه عامّا ، 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يكونوا مكلّفين بالظواهر مطلقا بل إذا لم تكن قرينة صارفة عنها كما ذكرنا ، فنحن أيضا بحكم </w:t>
      </w:r>
    </w:p>
    <w:p>
      <w:pPr>
        <w:pStyle w:val="BookText"/>
        <w:rPr/>
      </w:pPr>
      <w:r>
        <w:rPr>
          <w:rFonts w:ascii="Amiri" w:hAnsi="Amiri" w:eastAsia="Amiri" w:cs="Amiri"/>
          <w:color w:val="111111"/>
          <w:sz w:val="28"/>
          <w:sz w:val="28"/>
          <w:szCs w:val="28"/>
          <w:rtl w:val="true"/>
          <w:lang w:bidi="ar-SA"/>
        </w:rPr>
        <w:t xml:space="preserve">الإجماع والضرورة المزبورين نكون مكلّفين بالظواهر ، إذا لم تكن قرينة صارفة مطلقا ، وعلى هذا فيحتمل أن يكون من جملة تلك القرائن خبر الواحد المفيد للظنّ ، ففيما وجد فيه ذلك ليس لنا علم بكوننا مكلّفين بالظواهر وطرح الخبر ، فما يستفاد من الظنّ فيه ليس علما ولا ظنّا مخصوصا قام على وجوب العمل به دليل ، وعلى هذا يكون تمام الكلام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أنّه على هذا لا حاجة إلى التمسّك بحديث خطاب المشافهة واختصاصه بالموجودين ، بل يكفي فيه أنّ التمسّك بالظواهر لا ريب في اختصاصه بما إذا لم يقم قرينة صارفة عنها ، ويحتمل أن يكون أخبار الآحاد من جملة تلك القرائن ، فعلى هذا فمع وجود الأخبار الصارفة لا يحصل لنا العلم بالظواهر والظنّ </w:t>
      </w:r>
      <w:r>
        <w:rPr>
          <w:rStyle w:val="FootnoteAnchor"/>
          <w:rtl w:val="true"/>
        </w:rPr>
        <w:footnoteReference w:id="442"/>
      </w:r>
      <w:r>
        <w:rPr>
          <w:rFonts w:ascii="IRNazanin" w:hAnsi="IRNazanin" w:eastAsia="IRNazanin"/>
          <w:color w:val="111111"/>
          <w:sz w:val="28"/>
          <w:sz w:val="28"/>
          <w:szCs w:val="28"/>
          <w:rtl w:val="true"/>
          <w:lang w:bidi="fa-IR"/>
        </w:rPr>
        <w:t xml:space="preserve">المخصوص فتدبّر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فيهما بعد التدبّر لا سيّما الأخير منهما ، والتحقيق في التوجيه لكلام صاحب المعالم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الكتاب كلّه من قبيل خطاب المشافهة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أنّه مخصوص بالموجودين في زمن الخطاب وأنّ ثبوت حكمه في حقّ من تأخّر إنّما هو بالإجماع وقضاء الضرورة باشتراك التكليف ، إشارة إلى الجواب عن الشقّ الأوّل من الإيراد وهو كون الخطابات علميا </w:t>
      </w:r>
      <w:r>
        <w:rPr>
          <w:rStyle w:val="FootnoteAnchor"/>
          <w:rtl w:val="true"/>
        </w:rPr>
        <w:footnoteReference w:id="444"/>
      </w:r>
      <w:r>
        <w:rPr>
          <w:rFonts w:ascii="Amiri" w:hAnsi="Amiri" w:eastAsia="Amiri" w:cs="Amiri"/>
          <w:color w:val="111111"/>
          <w:sz w:val="28"/>
          <w:sz w:val="28"/>
          <w:szCs w:val="28"/>
          <w:rtl w:val="true"/>
          <w:lang w:bidi="ar-SA"/>
        </w:rPr>
        <w:t>؛ إذ من الجائز أن يكون قد اقترن ببعض تلك الظواهر ما يدلّهم على إرادة خلافها كما ذكره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شروع في الجواب عن الشقّ الثاني من الاستدلال وهو كون الكتاب من الظنون الخاصّة ، فإنّ الأوّل لا ينهض بذلك بل إنّما هو منع إجمالي ، وهذا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تفصيلي لبعض الأقسام بأنّه قد يعلم قيام القرينة بسبب الإجماع ونحوه ، وقد يشكّ كما في معارضة الخبر الجامع للشرائط المقرّرة في محلّه لها ، وكان الأنسب إلحاق قسم آخر وهو ما يعلم عدم صارف عنه أصلا ، ثمّ يبيّن بعده الحكم في صورة الشكّ ، وحكم بانتفاء القطع والتساوي في كونهما من الظنون المطلقة ، ثمّ علّل انتفاء القطع بما ذكره من الابتناء والتساوي باختصاص الإجماع والضرورة بغير صورة المعارضة مع الخبر الجامع للشرائط الآتية</w:t>
      </w:r>
      <w:r>
        <w:rPr>
          <w:rFonts w:eastAsia="Amiri" w:cs="Amiri" w:ascii="Amiri" w:hAnsi="Amiri"/>
          <w:color w:val="111111"/>
          <w:sz w:val="28"/>
          <w:szCs w:val="28"/>
          <w:rtl w:val="true"/>
          <w:lang w:bidi="ar-SA"/>
        </w:rPr>
        <w:t xml:space="preserve">. </w:t>
      </w:r>
      <w:bookmarkStart w:id="55" w:name="pg16273_211479"/>
    </w:p>
    <w:p>
      <w:pPr>
        <w:pStyle w:val="Heading2"/>
        <w:numPr>
          <w:ilvl w:val="1"/>
          <w:numId w:val="1"/>
        </w:numPr>
        <w:rPr/>
      </w:pPr>
      <w:bookmarkStart w:id="56" w:name="__RefHeading___Toc4803496_1280447820"/>
      <w:bookmarkStart w:id="57" w:name="_Toc20"/>
      <w:bookmarkEnd w:id="55"/>
      <w:bookmarkEnd w:id="56"/>
      <w:r>
        <w:rPr>
          <w:rtl w:val="true"/>
        </w:rPr>
        <w:t xml:space="preserve">[ </w:t>
      </w:r>
      <w:r>
        <w:rPr>
          <w:rtl w:val="true"/>
        </w:rPr>
        <w:t xml:space="preserve">القول في الإجماع المنقول </w:t>
      </w:r>
      <w:r>
        <w:rPr>
          <w:rtl w:val="true"/>
        </w:rPr>
        <w:t>]</w:t>
      </w:r>
      <w:bookmarkEnd w:id="57"/>
    </w:p>
    <w:p>
      <w:pPr>
        <w:pStyle w:val="Heading3"/>
        <w:numPr>
          <w:ilvl w:val="2"/>
          <w:numId w:val="1"/>
        </w:numPr>
        <w:rPr/>
      </w:pPr>
      <w:bookmarkStart w:id="58" w:name="__RefHeading___Toc4803498_1280447820"/>
      <w:bookmarkStart w:id="59" w:name="_Toc21"/>
      <w:bookmarkEnd w:id="58"/>
      <w:r>
        <w:rPr>
          <w:rtl w:val="true"/>
        </w:rPr>
        <w:t>اشارة</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الإجماع المنقول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الثالث من الأمور التي عدّت من الظنون الخاصّة الخارجة عن تحت الأصل هو الإجماع المنقول ، واعلم أنّ النزاع في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هل هو من الظنون الثابتة بالدليل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يتأتّى لو قلنا بحجّية أخبار الآحاد بادّعاء عموم أدلّة الخبر وشمولها له ، أو بعدم شمولها له بدعوى أنّ الظاهر منها إنّما هو حجّية الأخبار الحسّية دون الحدسية كما هو التحقيق ، وأمّا لو لم نقل بحجّية أخبار الآحاد ، فلا ينبغي التوهّم في عدم خروجه عن تحت الأصل بواسطة قيام القاطع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هذا الإجماع موقوف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الأخبار وشمولها له كما قلنا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وثانيتهما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الإجماعات المنقولة في كتب أصحابنا التي يستدلّ بها في المسائل الفرعية موافقة لما اصطلح عليه علماؤنا وهو الاتّفاق الكاشف عن دخول الإمام عليه‌السلام في المجمعين أو عن رضائه عليه‌السلام ، وكلتاهما بمكان من المنع عندنا ، سواء كان الإجماع المذكور محكيّا بطريق القدماء ، أو المتأخّرين ، فإنّ الأوّل منهما إخبار عن دخول قول المعصوم عليه‌السلام في أقوال المجمعين بطريق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منهما إخبار برضاه عليه‌السلام بطريق الحدس أيضا ، وتفصيل ذلك موكول إلى بحث الأخبار والإجماع ، فلا وجه </w:t>
      </w:r>
    </w:p>
    <w:p>
      <w:pPr>
        <w:pStyle w:val="BookText"/>
        <w:rPr/>
      </w:pPr>
      <w:r>
        <w:rPr>
          <w:rFonts w:ascii="IRNazanin" w:hAnsi="IRNazanin" w:eastAsia="IRNazanin"/>
          <w:color w:val="111111"/>
          <w:sz w:val="28"/>
          <w:sz w:val="28"/>
          <w:szCs w:val="28"/>
          <w:rtl w:val="true"/>
          <w:lang w:bidi="fa-IR"/>
        </w:rPr>
        <w:t xml:space="preserve">للتعرّض لهما </w:t>
      </w:r>
      <w:r>
        <w:rPr>
          <w:rStyle w:val="FootnoteAnchor"/>
          <w:rtl w:val="true"/>
        </w:rPr>
        <w:footnoteReference w:id="447"/>
      </w:r>
      <w:r>
        <w:rPr>
          <w:rFonts w:ascii="Amiri" w:hAnsi="Amiri" w:eastAsia="Amiri" w:cs="Amiri"/>
          <w:color w:val="111111"/>
          <w:sz w:val="28"/>
          <w:sz w:val="28"/>
          <w:szCs w:val="28"/>
          <w:rtl w:val="true"/>
          <w:lang w:bidi="ar-SA"/>
        </w:rPr>
        <w:t>فيما نحن فيه إلاّ أنّه لا بدّ أن يعلم إجمالا أنّ شمول أدلّة الأخبار للأخبار الحدسية يلازم جواز تقليد المجتهدين ، فإنّ المراد من الخبر حينئذ ما يقابل الإنشاء ، وفتوى المجتهد خبر عن قول الإمام ، أو عن رضاه عليه‌السلام وبطلان اللازم كالملازمة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على لزوم حمل الإجماعات في كلمات أصحابنا كالشيخ والسيّد وأضرابهما على المعنى الاصطلاحي إلاّ ما قد يتخيّل من أصالة إرادة كلّ متكلّم عن كلّ لفظ له فيه اصطلاح المعنى الذي اصطلح عليه </w:t>
      </w:r>
      <w:r>
        <w:rPr>
          <w:rStyle w:val="FootnoteAnchor"/>
          <w:rtl w:val="true"/>
        </w:rPr>
        <w:footnoteReference w:id="448"/>
      </w:r>
      <w:r>
        <w:rPr>
          <w:rFonts w:ascii="Amiri" w:hAnsi="Amiri" w:eastAsia="Amiri" w:cs="Amiri"/>
          <w:color w:val="111111"/>
          <w:sz w:val="28"/>
          <w:sz w:val="28"/>
          <w:szCs w:val="28"/>
          <w:rtl w:val="true"/>
          <w:lang w:bidi="ar-SA"/>
        </w:rPr>
        <w:t xml:space="preserve">ما لم يدلّ على خلافه دليل ، وهذا أيضا غير مقيّد في المقام ؛ لوجود موهنات كثيرة للحمل على هذا المعنى مثل أنّ جملة من الإجماعات المنقولة مخالفة لما اشتهر بينهم بل بعض مدّعي الإجماع قد ناقضه بنفسه في كتاب آخر ، بل في باب آخر ، وبعض آخر منهم قد صرّحوا بأنّ دعوى الإجماع مبنيّة على كون مدارك المسألة إجماعية ، فقد ذكر المحقّق </w:t>
      </w:r>
      <w:r>
        <w:rPr>
          <w:rStyle w:val="FootnoteAnchor"/>
          <w:rtl w:val="true"/>
        </w:rPr>
        <w:footnoteReference w:id="449"/>
      </w:r>
      <w:r>
        <w:rPr>
          <w:rFonts w:ascii="Amiri" w:hAnsi="Amiri" w:eastAsia="Amiri" w:cs="Amiri"/>
          <w:color w:val="111111"/>
          <w:sz w:val="28"/>
          <w:sz w:val="28"/>
          <w:szCs w:val="28"/>
          <w:rtl w:val="true"/>
          <w:lang w:bidi="ar-SA"/>
        </w:rPr>
        <w:t>في بعض الموارد أنّ دعوى الإجماع فيه لكون دليل المسألة البراءة واعتبارها إجماعي ، ولا ريب أنّ بعد ملاحظة هذه الموهنات لا يبقى بعد وثوق بإرادة المعنى المصطلح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فسقهم من جهة تدليسهم و </w:t>
      </w:r>
      <w:r>
        <w:rPr>
          <w:rStyle w:val="FootnoteAnchor"/>
          <w:rtl w:val="true"/>
        </w:rPr>
        <w:footnoteReference w:id="450"/>
      </w:r>
      <w:r>
        <w:rPr>
          <w:rFonts w:ascii="Amiri" w:hAnsi="Amiri" w:eastAsia="Amiri" w:cs="Amiri"/>
          <w:color w:val="111111"/>
          <w:sz w:val="28"/>
          <w:sz w:val="28"/>
          <w:szCs w:val="28"/>
          <w:rtl w:val="true"/>
          <w:lang w:bidi="ar-SA"/>
        </w:rPr>
        <w:t>حاشاهم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ذلك لو علمنا أنّ مقصودهم من الإجماع أن يكون دليلا لمن تأخّر عنهم ولم يعلم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الأجلّ الشيخ أسد اللّه الدزفولي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مسلكا آخر في اعتبار الإجماع المنقول ، وحاصله الفرق والتفصيل بين الإجماع الكاشف عن رضا المعصوم ونقله ، وبين نقل المنكشف ، وتحقيقه أنّ الإجماع </w:t>
      </w:r>
    </w:p>
    <w:p>
      <w:pPr>
        <w:pStyle w:val="BookText"/>
        <w:rPr/>
      </w:pPr>
      <w:r>
        <w:rPr>
          <w:rFonts w:ascii="Amiri" w:hAnsi="Amiri" w:eastAsia="Amiri" w:cs="Amiri"/>
          <w:color w:val="111111"/>
          <w:sz w:val="28"/>
          <w:sz w:val="28"/>
          <w:szCs w:val="28"/>
          <w:rtl w:val="true"/>
          <w:lang w:bidi="ar-SA"/>
        </w:rPr>
        <w:t xml:space="preserve">المدّعى على أمر يتضمّن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مدّعي الإجماع باتّفاق العلماء وإطباقهم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برضا المعصوم عليه‌السلام من حيث الاتّفاق في وجه ، أو بدخول المعصوم في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إخبار من العادل على </w:t>
      </w:r>
      <w:r>
        <w:rPr>
          <w:rStyle w:val="FootnoteAnchor"/>
          <w:rtl w:val="true"/>
        </w:rPr>
        <w:footnoteReference w:id="452"/>
      </w:r>
      <w:r>
        <w:rPr>
          <w:rFonts w:ascii="Amiri" w:hAnsi="Amiri" w:eastAsia="Amiri" w:cs="Amiri"/>
          <w:color w:val="111111"/>
          <w:sz w:val="28"/>
          <w:sz w:val="28"/>
          <w:szCs w:val="28"/>
          <w:rtl w:val="true"/>
          <w:lang w:bidi="ar-SA"/>
        </w:rPr>
        <w:t>أمر حسّي وهو موافقة فتاوى المجمعين جميعا ، والثاني إخبار منه على أمر حدسي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انتهاض أدلّة قبول خبر العدل إنّما هو </w:t>
      </w:r>
      <w:r>
        <w:rPr>
          <w:rStyle w:val="FootnoteAnchor"/>
          <w:rtl w:val="true"/>
        </w:rPr>
        <w:footnoteReference w:id="453"/>
      </w:r>
      <w:r>
        <w:rPr>
          <w:rFonts w:ascii="Amiri" w:hAnsi="Amiri" w:eastAsia="Amiri" w:cs="Amiri"/>
          <w:color w:val="111111"/>
          <w:sz w:val="28"/>
          <w:sz w:val="28"/>
          <w:szCs w:val="28"/>
          <w:rtl w:val="true"/>
          <w:lang w:bidi="ar-SA"/>
        </w:rPr>
        <w:t xml:space="preserve">في الثاني ، وأمّا الأوّل فمن المعلوم اندراجه في دليل اعتبار خبر العادل على تقدير دلالته عليه وحيث إنّ الخبر المذكور معنى قبوله ترتيب </w:t>
      </w:r>
      <w:r>
        <w:rPr>
          <w:rStyle w:val="FootnoteAnchor"/>
          <w:rtl w:val="true"/>
        </w:rPr>
        <w:footnoteReference w:id="454"/>
      </w:r>
      <w:r>
        <w:rPr>
          <w:rFonts w:ascii="Amiri" w:hAnsi="Amiri" w:eastAsia="Amiri" w:cs="Amiri"/>
          <w:color w:val="111111"/>
          <w:sz w:val="28"/>
          <w:sz w:val="28"/>
          <w:szCs w:val="28"/>
          <w:rtl w:val="true"/>
          <w:lang w:bidi="ar-SA"/>
        </w:rPr>
        <w:t xml:space="preserve">آثاره الواقعية على ما أخبر به ، فلا مناص من القول باعتباره ، فإنّ من جملة اللوازم العادية للاتّفاق كشفه عن رضا الإمام ومطابقته لقول المعصوم ، فلا بدّ من الالتزام بلوازمه ، فإنّ الأخذ بشيء أخذ بلوازمه ولو بحسب العادة فلكلّ إجماع منقول في لسان عدل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إخباره عن الاتّفاق الملزوم عادة ، لمطابقته لقول الإمام عليه‌السلام مثلا ، وجهة إخباره عن رضا المعصوم ، أو عن قوله بواسطة حدس ، أو تخمين منه ، فيقبل منه من الجهة الأولى كما فيما لو أخبر مائة عدل بسماعه عن مائة عدل أنّ زيدا مثلا قد مات ، وقضيّة حجّية إخبار العدل تنزيله منزلة الواقع ، والأخذ بلوازمه العادية والعقلية والشرعية ، ومن اللوازم العادية لإخبار مائة عدل </w:t>
      </w:r>
      <w:r>
        <w:rPr>
          <w:rStyle w:val="FootnoteAnchor"/>
          <w:rtl w:val="true"/>
        </w:rPr>
        <w:footnoteReference w:id="455"/>
      </w:r>
      <w:r>
        <w:rPr>
          <w:rFonts w:ascii="Amiri" w:hAnsi="Amiri" w:eastAsia="Amiri" w:cs="Amiri"/>
          <w:color w:val="111111"/>
          <w:sz w:val="28"/>
          <w:sz w:val="28"/>
          <w:szCs w:val="28"/>
          <w:rtl w:val="true"/>
          <w:lang w:bidi="ar-SA"/>
        </w:rPr>
        <w:t>مطابقة الخبر مثلا للواقع ، فيترتّب عليه آثار موت زيد ، ولا يقبل من الجهة الثانية ؛ لأنّ مرجعه إلى حجّية قطع الغير لغيره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لزوم الهرج والمرج على تقديره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لك أنّ جريان هذا الوجه إنّما هو فيما لو عبّر عن المقصود بلفظ </w:t>
      </w:r>
      <w:bookmarkStart w:id="60" w:name="pg16273_211482"/>
    </w:p>
    <w:p>
      <w:pPr>
        <w:pStyle w:val="BookText"/>
        <w:rPr/>
      </w:pPr>
      <w:bookmarkEnd w:id="60"/>
      <w:r>
        <w:rPr>
          <w:rFonts w:ascii="Amiri" w:hAnsi="Amiri" w:eastAsia="Amiri" w:cs="Amiri"/>
          <w:color w:val="111111"/>
          <w:sz w:val="28"/>
          <w:sz w:val="28"/>
          <w:szCs w:val="28"/>
          <w:rtl w:val="true"/>
          <w:lang w:bidi="ar-SA"/>
        </w:rPr>
        <w:t xml:space="preserve">الإجماع ونحوه من الألفاظ الدالّة على الاتّفاق كاتّفقت العصابة ، أو أجمعت الأمّة ونحوها ، وأمّا لو قال مثلا بلفظ آخر لا يدلّ على الاتّفاق ، فلا عبرة به قطعا كما فيما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التعبّد بخبر الواحد لا يزيد على الأخذ بنفسه ، وأمّا إجراء أحكامه العادية ولوازمه العقلية فلا ، كما في الأصول المثبتة على ما سيجيء تحقيقه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الاستصحاب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التعبّدية التي من الطرق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فإنّ نظر الشارع في جعل تلك الطرق ليس إلى الواقع ، وأمّا في الأدلّة الاجتهادية كخبر الواحد وأمثاله ، فليس كذلك ، فلو أخبرنا عدل </w:t>
      </w:r>
      <w:r>
        <w:rPr>
          <w:rStyle w:val="FootnoteAnchor"/>
          <w:rtl w:val="true"/>
        </w:rPr>
        <w:footnoteReference w:id="456"/>
      </w:r>
      <w:r>
        <w:rPr>
          <w:rFonts w:ascii="Amiri" w:hAnsi="Amiri" w:eastAsia="Amiri" w:cs="Amiri"/>
          <w:color w:val="111111"/>
          <w:sz w:val="28"/>
          <w:sz w:val="28"/>
          <w:szCs w:val="28"/>
          <w:rtl w:val="true"/>
          <w:lang w:bidi="ar-SA"/>
        </w:rPr>
        <w:t xml:space="preserve">بوجود النار في محلّ ، لا بدّ من الأخذ بلوازمه العادية كالإحراق ، والعقلية كالحرارة مثلا كما لو أخبرنا بطلوع الشمس فنحكم باستضاءة العالم ونحوه ، إلاّ أنّه لا بدّ وأن يعلم بأنّ العامل بالإجماع إذا لم يأخذ بما ادّعاه العدل من الانكشاف ، وأخذ </w:t>
      </w:r>
      <w:r>
        <w:rPr>
          <w:rStyle w:val="FootnoteAnchor"/>
          <w:rtl w:val="true"/>
        </w:rPr>
        <w:footnoteReference w:id="457"/>
      </w:r>
      <w:r>
        <w:rPr>
          <w:rFonts w:ascii="Amiri" w:hAnsi="Amiri" w:eastAsia="Amiri" w:cs="Amiri"/>
          <w:color w:val="111111"/>
          <w:sz w:val="28"/>
          <w:sz w:val="28"/>
          <w:szCs w:val="28"/>
          <w:rtl w:val="true"/>
          <w:lang w:bidi="ar-SA"/>
        </w:rPr>
        <w:t>بمجرّد الكاشف ، فتارة على وجه يحصل له الكشف من الكاشف المنقول ، وأخرى لا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 فلا إشكال في حجيته لو كان الكاشف والكشف قطعيا ، وإلاّ فهو طريق ظنّي مبنيّ حجّيته على اعتبار مطلق الظنّ ، وستسمع الكلام فيه عن قريب بما لا مزيد عليه إن شاء اللّه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803500_1280447820"/>
      <w:bookmarkStart w:id="62" w:name="_Toc22"/>
      <w:bookmarkEnd w:id="61"/>
      <w:r>
        <w:rPr>
          <w:rtl w:val="true"/>
        </w:rPr>
        <w:t xml:space="preserve">وينبغي التنبيه على أمور </w:t>
      </w:r>
      <w:r>
        <w:rPr>
          <w:rtl w:val="true"/>
        </w:rPr>
        <w:t>:</w:t>
      </w:r>
      <w:bookmarkEnd w:id="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المسلك ينبغي أن لا يكون فرق بين نقل الإجماع والشهرة كما لا يخفى سيّما بعد ملاحظة انطباق فتاويهم بالنصوص غالبا ؛ فإنّ السلف </w:t>
      </w:r>
    </w:p>
    <w:p>
      <w:pPr>
        <w:pStyle w:val="BookText"/>
        <w:rPr/>
      </w:pPr>
      <w:r>
        <w:rPr>
          <w:rFonts w:ascii="Amiri" w:hAnsi="Amiri" w:eastAsia="Amiri" w:cs="Amiri"/>
          <w:color w:val="111111"/>
          <w:sz w:val="28"/>
          <w:sz w:val="28"/>
          <w:szCs w:val="28"/>
          <w:rtl w:val="true"/>
          <w:lang w:bidi="ar-SA"/>
        </w:rPr>
        <w:t>كانوا يأخذون بفتاوى الشيخ أبي الحسن عليّ ابن بابويه القمّي عند إعواز النصوص ، فإنّ الشهرة قد تكون أدخل في كشفها عن وجود أمارة قطعية على الحكم خصوصا فيما إذا كان الحكم على خلاف الأصول والقواعد ، ولا سيّما إذا كانت المسألة مشهورة بين قدماء أصحابنا كالشيخ ومن قبله ، ولا سيّما إذا كانت عظيمة تكاد تبلغ حدّ الإجماع ، وكان المخالف فيها معدودا في زمرة الشذوذ ، بل قد يمكن الكشف على تقدير نقل اتّفاق جماعة كثيرة ، وتحصيل اتّفاق جماعة أخرى على أن يكون الكشف مستندا إلى المنقول والمحصّل ، فتأمّل ؛ فإنّ الشهرة المحكية قد يحتمل أن تكون أقوى من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المسلك إنّما يتمّ على تقدير عموم أدلّة الخبر الواحد بنقل فتاوى العلماء لا انحصاره فيما إذا حصل من النقل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يفهم من كلام القائل هذا لزوم الأخذ بالكاشف تعبّدا ؛ ثمّ الاستكشاف فقد يورد عليه بأنّ الكشف لا يتأتّى فيه التعبّد كما لا يخفى ، ولذلك وجّهنا كلامه بما مرّ من الأخذ باللوازم العادية للخبر على تقدير قبول الخبر تعبّدا كما في البيّنة ، فإنّه يؤخذ بلوازم الموضوع الثابت بها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عن ثاني الشهيدين والمحقّقين في شرح الألفية وجامع المقاصد </w:t>
      </w:r>
      <w:r>
        <w:rPr>
          <w:rStyle w:val="FootnoteAnchor"/>
          <w:rtl w:val="true"/>
        </w:rPr>
        <w:footnoteReference w:id="459"/>
      </w:r>
      <w:r>
        <w:rPr>
          <w:rFonts w:ascii="Amiri" w:hAnsi="Amiri" w:eastAsia="Amiri" w:cs="Amiri"/>
          <w:color w:val="111111"/>
          <w:sz w:val="28"/>
          <w:sz w:val="28"/>
          <w:szCs w:val="28"/>
          <w:rtl w:val="true"/>
          <w:lang w:bidi="ar-SA"/>
        </w:rPr>
        <w:t xml:space="preserve">ثبوت التواتر فيما كان التواتر فيه معتبرا لو كان منقولا بخبر الواحد العدل ، فإنّ قضية الأدلّة الدالّة على وجوب اتّباع قول العادل ذلك ، ومن هنا قد حكما بصحّة القراءة بقراءة ما عدا السبعة من القرّاء العشرة ، وهم مشايخ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وخلف </w:t>
      </w:r>
    </w:p>
    <w:p>
      <w:pPr>
        <w:pStyle w:val="BookText"/>
        <w:rPr/>
      </w:pPr>
      <w:r>
        <w:rPr>
          <w:rFonts w:ascii="Amiri" w:hAnsi="Amiri" w:eastAsia="Amiri" w:cs="Amiri"/>
          <w:color w:val="111111"/>
          <w:sz w:val="28"/>
          <w:sz w:val="28"/>
          <w:szCs w:val="28"/>
          <w:rtl w:val="true"/>
          <w:lang w:bidi="ar-SA"/>
        </w:rPr>
        <w:t xml:space="preserve">ويعقوب ، مع عدم كون قراءتهم متواترة لنقل العلاّمة والشهيد في الذكرى تواترها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قال في منتهى المطلب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بما نقل متواترا في المصحف الذي يقرأ به الناس أجمع ، ولا يقول على ما يوجد في مصحف ابن مسعود ؛ لأنّ القرآن ثبت بالتواتر ومصحف ابن مسعود لم يثبت بتواتر ، ولو قرأ به بطلت صلاته خلافا لبعض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يقرأ بأيّ قراءة شاء من السبعة ؛ لتواترها أجمع ، ولا يجوّز أن يقرأ بالشاذّ ، وإن اتّصلت روايته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قال في تحرير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الثاني في روض الجنان بعد نقل الشهرة عن المتأخّرين وشهادة الشهيد على التواتر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يقصر ذلك عن ثبوت الإجماع بخبر الواحد ، فيجوز القراءة بها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w:t>
      </w:r>
      <w:r>
        <w:rPr>
          <w:rStyle w:val="FootnoteAnchor"/>
          <w:rtl w:val="true"/>
        </w:rPr>
        <w:footnoteReference w:id="462"/>
      </w:r>
      <w:r>
        <w:rPr>
          <w:rFonts w:ascii="Amiri" w:hAnsi="Amiri" w:eastAsia="Amiri" w:cs="Amiri"/>
          <w:color w:val="111111"/>
          <w:sz w:val="28"/>
          <w:sz w:val="28"/>
          <w:szCs w:val="28"/>
          <w:rtl w:val="true"/>
          <w:lang w:bidi="ar-SA"/>
        </w:rPr>
        <w:t xml:space="preserve">في المدارك </w:t>
      </w:r>
      <w:r>
        <w:rPr>
          <w:rStyle w:val="FootnoteAnchor"/>
          <w:rtl w:val="true"/>
        </w:rPr>
        <w:footnoteReference w:id="463"/>
      </w:r>
      <w:r>
        <w:rPr>
          <w:rFonts w:ascii="Amiri" w:hAnsi="Amiri" w:eastAsia="Amiri" w:cs="Amiri"/>
          <w:color w:val="111111"/>
          <w:sz w:val="28"/>
          <w:sz w:val="28"/>
          <w:szCs w:val="28"/>
          <w:rtl w:val="true"/>
          <w:lang w:bidi="ar-SA"/>
        </w:rPr>
        <w:t>بأنّ ما اشترط فيه التواتر لا يكفي فيه نقل التواتر ، إذ النقل لا يجعل المنقول متواترا بل هو تواتر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اعتبار التواتر المنقول يتوقّف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ناقل التواتر مصرّحا بعدد المخبرين من حيث إنّ التواتر أيضا كالإجماع يشتمل على خبر حسّي ، وعلى خبر حدسي والأوّل معتبر دون الثاني ؛ لعدم انصراف الأدلّة إليه ، فيقبل منه في جهة الكاشف دون المنكشف ، وإن حصل الكشف ، فهو ، وإلاّ فيحكم به من جهة أنّ الكشف من جملة اللوازم العادية لإخبار مائة مخبر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دلّ على اشتراط التواتر فيما اشترط به دالاّ على اشتراط التواتر ولو لم يكن معلوما بالعلم الوجداني بل لو كان معلوما بالعلم الأعمّ من الوجداني والشرعي ، لكان أيضا كافيا ، فإنّه بعد تحقّق هذين الأمرين لا شكّ أنّه ممكن الاكتفاء بالتواتر المنقول ، وأمّا إذا لم يكن أحد الأمرين متحقّقا ، فلا يكتفى ، </w:t>
      </w:r>
    </w:p>
    <w:p>
      <w:pPr>
        <w:pStyle w:val="BookText"/>
        <w:rPr/>
      </w:pPr>
      <w:r>
        <w:rPr>
          <w:rFonts w:ascii="Amiri" w:hAnsi="Amiri" w:eastAsia="Amiri" w:cs="Amiri"/>
          <w:color w:val="111111"/>
          <w:sz w:val="28"/>
          <w:sz w:val="28"/>
          <w:szCs w:val="28"/>
          <w:rtl w:val="true"/>
          <w:lang w:bidi="ar-SA"/>
        </w:rPr>
        <w:t>وبهذا العلم وجد الاختلاف الحاصل بين هؤلاء الأعلام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على القول بحجّيته يجري عليه أحكام الخبر من حيث المتن والسند والمعارض ، فبملاحظة السند ينقسم إلى الصحيح والضعيف ، ومن حيث المتن إلى المطلق والمقيّد ، ومن حيث المعارض إلى أقسام التعارض الحاصلة من اختلاف النسب بين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قدماء أصحابنا بل وجماعة من المتأخّرين أنّهم لم يصطلحوا في الإجماع اصطلاحا جديدا بل إنّما اتّبعوا في ذلك ما اصطلحوا </w:t>
      </w:r>
      <w:r>
        <w:rPr>
          <w:rStyle w:val="FootnoteAnchor"/>
          <w:rtl w:val="true"/>
        </w:rPr>
        <w:footnoteReference w:id="464"/>
      </w:r>
      <w:r>
        <w:rPr>
          <w:rFonts w:ascii="Amiri" w:hAnsi="Amiri" w:eastAsia="Amiri" w:cs="Amiri"/>
          <w:color w:val="111111"/>
          <w:sz w:val="28"/>
          <w:sz w:val="28"/>
          <w:szCs w:val="28"/>
          <w:rtl w:val="true"/>
          <w:lang w:bidi="ar-SA"/>
        </w:rPr>
        <w:t>العامّة عليه ؛ حيث عرّفوه بأنّه اتّفاق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صرّح بذلك في أصول الغنية </w:t>
      </w:r>
      <w:r>
        <w:rPr>
          <w:rStyle w:val="FootnoteAnchor"/>
          <w:rtl w:val="true"/>
        </w:rPr>
        <w:footnoteReference w:id="465"/>
      </w:r>
      <w:r>
        <w:rPr>
          <w:rFonts w:ascii="Amiri" w:hAnsi="Amiri" w:eastAsia="Amiri" w:cs="Amiri"/>
          <w:color w:val="111111"/>
          <w:sz w:val="28"/>
          <w:sz w:val="28"/>
          <w:szCs w:val="28"/>
          <w:rtl w:val="true"/>
          <w:lang w:bidi="ar-SA"/>
        </w:rPr>
        <w:t>حيث حصر الأدلّة في غير الإجماع ، ثمّ أورد بأنّ الحصر لا يصحّ مع أنّ الإجماع 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عنه بأنّ الإجماع كان من الأدلّة عند العامّة ، ولمّا عرضوه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أنّه لا بدّ أن يكون حجّة من جهة الكشف عن دخول الإمام عليه‌السلام أو رضاه ، قلنا </w:t>
      </w:r>
      <w:r>
        <w:rPr>
          <w:rStyle w:val="FootnoteAnchor"/>
          <w:rtl w:val="true"/>
        </w:rPr>
        <w:footnoteReference w:id="466"/>
      </w:r>
      <w:r>
        <w:rPr>
          <w:rFonts w:ascii="Amiri" w:hAnsi="Amiri" w:eastAsia="Amiri" w:cs="Amiri"/>
          <w:color w:val="111111"/>
          <w:sz w:val="28"/>
          <w:sz w:val="28"/>
          <w:szCs w:val="28"/>
          <w:rtl w:val="true"/>
          <w:lang w:bidi="ar-SA"/>
        </w:rPr>
        <w:t xml:space="preserve">به ، فعلى هذا ، فما يوجد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المنقول في لسان السيّد والشيخ وأضرابهما ممّا يكون المخالف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يحمل على ما هو المصطلح عندهم إلاّ إذا كان المخالف في غاية الشذوذ بل لا بدّ من الحمل على أنّ مدار الحكم ومدركه إجماعي ، أو نحو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الحمل على المعنى المصطلح عندهم إذا فرض الغفلة والاشتباه وأمثال ذلك ممّا هو مدفوع بالأصل وعلى تقديره لا يمكن العمل به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273_211487"/>
      <w:bookmarkStart w:id="64" w:name="pg16273_211487"/>
      <w:bookmarkEnd w:id="64"/>
    </w:p>
    <w:p>
      <w:pPr>
        <w:pStyle w:val="Heading2"/>
        <w:numPr>
          <w:ilvl w:val="1"/>
          <w:numId w:val="1"/>
        </w:numPr>
        <w:rPr/>
      </w:pPr>
      <w:bookmarkStart w:id="65" w:name="pg16273_211487"/>
      <w:bookmarkStart w:id="66" w:name="__RefHeading___Toc4803502_1280447820"/>
      <w:bookmarkStart w:id="67" w:name="_Toc23"/>
      <w:bookmarkEnd w:id="65"/>
      <w:bookmarkEnd w:id="66"/>
      <w:r>
        <w:rPr>
          <w:rtl w:val="true"/>
        </w:rPr>
        <w:t xml:space="preserve">[ </w:t>
      </w:r>
      <w:r>
        <w:rPr>
          <w:rtl w:val="true"/>
        </w:rPr>
        <w:t xml:space="preserve">القول في الشهرة </w:t>
      </w:r>
      <w:r>
        <w:rPr>
          <w:rtl w:val="true"/>
        </w:rPr>
        <w:t>]</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الشهرة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الرابع من الأمور التي عدّت من الظنون الخاصّة الخارجة عن الأصل المذكور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بعضهم المشهور بالمجمع عليه ، فإن أراد في الإجماع ، فهو ممنوع ، وإن أراد في الحجّية ، فهو قريب </w:t>
      </w:r>
      <w:r>
        <w:rPr>
          <w:rStyle w:val="FootnoteAnchor"/>
          <w:rtl w:val="true"/>
        </w:rPr>
        <w:footnoteReference w:id="468"/>
      </w:r>
      <w:r>
        <w:rPr>
          <w:rFonts w:ascii="Amiri" w:hAnsi="Amiri" w:eastAsia="Amiri" w:cs="Amiri"/>
          <w:color w:val="111111"/>
          <w:sz w:val="28"/>
          <w:sz w:val="28"/>
          <w:szCs w:val="28"/>
          <w:rtl w:val="true"/>
          <w:lang w:bidi="ar-SA"/>
        </w:rPr>
        <w:t xml:space="preserve">لمثل ما قلناه ، ولقوّة الظنّ في جانب الشهرة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بقوله </w:t>
      </w:r>
      <w:r>
        <w:rPr>
          <w:rStyle w:val="FootnoteAnchor"/>
          <w:rtl w:val="true"/>
        </w:rPr>
        <w:footnoteReference w:id="4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لمثل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علّله به حجّية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أفتى جماعة ولم يعلم لهم مخالف من أنّ عدالتهم تمنع عن الاقتحام على الإفتاء بغير علم ، ولا يلزم من عدم الظفر بالدليل عدم الدليل خصوصا ، وقد تطرّق التغيّر </w:t>
      </w:r>
      <w:r>
        <w:rPr>
          <w:rStyle w:val="FootnoteAnchor"/>
          <w:rtl w:val="true"/>
        </w:rPr>
        <w:footnoteReference w:id="471"/>
      </w:r>
      <w:r>
        <w:rPr>
          <w:rFonts w:ascii="Amiri" w:hAnsi="Amiri" w:eastAsia="Amiri" w:cs="Amiri"/>
          <w:color w:val="111111"/>
          <w:sz w:val="28"/>
          <w:sz w:val="28"/>
          <w:szCs w:val="28"/>
          <w:rtl w:val="true"/>
          <w:lang w:bidi="ar-SA"/>
        </w:rPr>
        <w:t xml:space="preserve">إلى كثير من الأحاديث ، لمعارضة الدول المخالفة ، ومباينة الفرق المنافية ، وعدم تطرّق الباقين إلى الردّ له مع أنّ الظاهر وقوفهم عليه مع أنّهم لا يقربون </w:t>
      </w:r>
      <w:r>
        <w:rPr>
          <w:rStyle w:val="FootnoteAnchor"/>
          <w:rtl w:val="true"/>
        </w:rPr>
        <w:footnoteReference w:id="472"/>
      </w:r>
      <w:r>
        <w:rPr>
          <w:rFonts w:ascii="Amiri" w:hAnsi="Amiri" w:eastAsia="Amiri" w:cs="Amiri"/>
          <w:color w:val="111111"/>
          <w:sz w:val="28"/>
          <w:sz w:val="28"/>
          <w:szCs w:val="28"/>
          <w:rtl w:val="true"/>
          <w:lang w:bidi="ar-SA"/>
        </w:rPr>
        <w:t xml:space="preserve">ما يعلمون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الأصحاب يتمسّكون بما يجدونه في شرائع الشيخ أبي الحسن ابن بابويه القمّي عند إعواز النصوص ، لحسن ظنّهم به وأنّ فتواه كروايته ، وبالجملة تنزّل فتاويهم منزلة رواياتهم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 عليه في المعالم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عندي ضعيف ؛ لأنّ العدالة إنّما يؤمن معها تعمّد الإفتاء بغير ما يظنّ بالاجتهاد دليلا ، وليس الخطأ بمأمون على الظنون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لأنّ </w:t>
      </w:r>
      <w:r>
        <w:rPr>
          <w:rStyle w:val="FootnoteAnchor"/>
          <w:rtl w:val="true"/>
        </w:rPr>
        <w:footnoteReference w:id="475"/>
      </w:r>
      <w:r>
        <w:rPr>
          <w:rFonts w:ascii="Amiri" w:hAnsi="Amiri" w:eastAsia="Amiri" w:cs="Amiri"/>
          <w:color w:val="111111"/>
          <w:sz w:val="28"/>
          <w:sz w:val="28"/>
          <w:szCs w:val="28"/>
          <w:rtl w:val="true"/>
          <w:lang w:bidi="ar-SA"/>
        </w:rPr>
        <w:t>الظاهر أنّ مراد الشهيد ما يكون كاشفا كشفا قطعيا عن مدرك قطعي بقرينة الاستشهاد بأنّ الأصحاب كانوا يتمسّكون بها ، وتنزيل الفتاوي منزلة النصوص ، فإنّ المعهود من القدماء موافقة فتاويهم غالبا لألفاظ النصوص ، ولا ريب في حجّية مثل هذه الشهرة ، فإنّ الاعتماد حينئذ على المدرك المعلوم بالإجمال من طريق الشهرة ، ولا فرق بين أن يكون المدرك معلوما تفصيلا ، أو إجمالا كما أنّه لا ريب في إمكان هذا الكشف سيّما إذا كانت المسألة مخالفة للأصول والقواعد المقرّرة في المذهب ، وخصوصا فيما إذا كان المخالف شاذّا نادرا مع ظهور اختلاف مشارب العلماء في كيفية الأحكام ، وربّما يشعر بذلك عدّه قوّة الظنّ دليلا آخر ، فسقط ما زعمه صاحب المعالم ، فإنّ بعد المقدّمات المذكورة لا يحتمل تطرّق الخطأ بظنونهم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كلام في حجّية الشهرة من حيث الكشف كما أنّه لا كلام من حيث دخولها تحت الدليل الرابع ، وبرهان الانسداد على تقدير تماميته ، بل الكلام في المقام في أنّه هل دلّ دليل خاصّ على اعتبار الشهرة ، أو لا؟ فقد توهّم بعضهم </w:t>
      </w:r>
      <w:r>
        <w:rPr>
          <w:rStyle w:val="FootnoteAnchor"/>
          <w:rtl w:val="true"/>
        </w:rPr>
        <w:footnoteReference w:id="476"/>
      </w:r>
      <w:r>
        <w:rPr>
          <w:rFonts w:ascii="Amiri" w:hAnsi="Amiri" w:eastAsia="Amiri" w:cs="Amiri"/>
          <w:color w:val="111111"/>
          <w:sz w:val="28"/>
          <w:sz w:val="28"/>
          <w:szCs w:val="28"/>
          <w:rtl w:val="true"/>
          <w:lang w:bidi="ar-SA"/>
        </w:rPr>
        <w:t xml:space="preserve">ذلك مستندا إلى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دلّ على حجّية أخبار الآحاد ، فإنّ الشهرة قد تكون أقوى ظنّا منه ، ويتمّ في الباقي بعدم القول بالفصل ، وقد وقع نظير ذلك للشهيد </w:t>
      </w:r>
      <w:r>
        <w:rPr>
          <w:rStyle w:val="FootnoteAnchor"/>
          <w:rtl w:val="true"/>
        </w:rPr>
        <w:footnoteReference w:id="477"/>
      </w:r>
      <w:r>
        <w:rPr>
          <w:rFonts w:ascii="Amiri" w:hAnsi="Amiri" w:eastAsia="Amiri" w:cs="Amiri"/>
          <w:color w:val="111111"/>
          <w:sz w:val="28"/>
          <w:sz w:val="28"/>
          <w:szCs w:val="28"/>
          <w:rtl w:val="true"/>
          <w:lang w:bidi="ar-SA"/>
        </w:rPr>
        <w:t>في الحكم بحجّية الذياع والشياع بفحوى ما دلّ على حجّية الشهادة ، وقد سمّاه بعضهم بمفهوم الموافقة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وفساده أظهر من أن يخفى على ذي مسكة ؛ لأنّ الدليل الدالّ على حجّية الخبر لو </w:t>
      </w:r>
    </w:p>
    <w:p>
      <w:pPr>
        <w:pStyle w:val="BookText"/>
        <w:rPr/>
      </w:pPr>
      <w:r>
        <w:rPr>
          <w:rFonts w:ascii="Amiri" w:hAnsi="Amiri" w:eastAsia="Amiri" w:cs="Amiri"/>
          <w:color w:val="111111"/>
          <w:sz w:val="28"/>
          <w:sz w:val="28"/>
          <w:szCs w:val="28"/>
          <w:rtl w:val="true"/>
          <w:lang w:bidi="ar-SA"/>
        </w:rPr>
        <w:t>كان من باب الظنّ ، فليس الاقتصار على الشهرة في محلّه ، وإلاّ فلا وجه للاستناد إليه ، مضافا إلى ما في دعواه الإجماع المركّب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تسمية ذلك بمفهوم </w:t>
      </w:r>
      <w:r>
        <w:rPr>
          <w:rStyle w:val="FootnoteAnchor"/>
          <w:rtl w:val="true"/>
        </w:rPr>
        <w:footnoteReference w:id="478"/>
      </w:r>
      <w:r>
        <w:rPr>
          <w:rFonts w:ascii="Amiri" w:hAnsi="Amiri" w:eastAsia="Amiri" w:cs="Amiri"/>
          <w:color w:val="111111"/>
          <w:sz w:val="28"/>
          <w:sz w:val="28"/>
          <w:szCs w:val="28"/>
          <w:rtl w:val="true"/>
          <w:lang w:bidi="ar-SA"/>
        </w:rPr>
        <w:t>الموافقة ، فإنّما هو مجرّد تغيير في العبارة ، فإنّها أولوية صرفة ومفهوم الموافقة ما يكون مستفادا من اللفظ كآية التأفيف ، ومنه يظهر ما في كلام الشهيد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جملة من الروايات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عن الصادق عليه‌السلام في اختلاف الحاكمين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عند </w:t>
      </w:r>
      <w:r>
        <w:rPr>
          <w:rStyle w:val="FootnoteAnchor"/>
          <w:rtl w:val="true"/>
        </w:rPr>
        <w:footnoteReference w:id="479"/>
      </w:r>
      <w:r>
        <w:rPr>
          <w:rFonts w:ascii="Amiri" w:hAnsi="Amiri" w:eastAsia="Amiri" w:cs="Amiri"/>
          <w:color w:val="111111"/>
          <w:sz w:val="28"/>
          <w:sz w:val="28"/>
          <w:szCs w:val="28"/>
          <w:rtl w:val="true"/>
          <w:lang w:bidi="ar-SA"/>
        </w:rPr>
        <w:t xml:space="preserve">أصحابك ، فيؤخذ به من حكمهما ، ويترك الشاذّ الذي ليس بمشهور ، فإنّ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ويترك الشاذّ الذي ليس بمشهور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لزوم أخذ الشهرة وحينئذ لا بدّ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والحديثان المتعارضان ، فبأيّهما آخذ؟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 ودع الشاذّ النادر </w:t>
      </w:r>
      <w:r>
        <w:rPr>
          <w:rFonts w:eastAsia="Amiri" w:cs="Amiri" w:ascii="Amiri" w:hAnsi="Amiri"/>
          <w:color w:val="111111"/>
          <w:sz w:val="28"/>
          <w:szCs w:val="28"/>
          <w:rtl w:val="true"/>
          <w:lang w:bidi="ar-SA"/>
        </w:rPr>
        <w:t xml:space="preserve">... »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الاستدلال </w:t>
      </w:r>
      <w:r>
        <w:rPr>
          <w:rStyle w:val="FootnoteAnchor"/>
          <w:rtl w:val="true"/>
        </w:rPr>
        <w:footnoteReference w:id="483"/>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عامّ ، فيلزم الأخذ </w:t>
      </w:r>
      <w:r>
        <w:rPr>
          <w:rStyle w:val="FootnoteAnchor"/>
          <w:rtl w:val="true"/>
        </w:rPr>
        <w:footnoteReference w:id="484"/>
      </w:r>
      <w:r>
        <w:rPr>
          <w:rFonts w:ascii="Amiri" w:hAnsi="Amiri" w:eastAsia="Amiri" w:cs="Amiri"/>
          <w:color w:val="111111"/>
          <w:sz w:val="28"/>
          <w:sz w:val="28"/>
          <w:szCs w:val="28"/>
          <w:rtl w:val="true"/>
          <w:lang w:bidi="ar-SA"/>
        </w:rPr>
        <w:t>لكلّ مشهور ؛ لمكان الأمر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الأولى منهما أنّ صدر الرواية وذيلها يعطي أن يكون الشهرة على معناها لغة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شاهر أي عار ، وشهر سيفه أي أعراه ، فالرواية المشهورة حينئذ ما لا يخفى على أحد ، فيصحّ إطلاق المجمع عليه عليها ، ولا احتياج إلى ارتكاب مثل ذلك التأويل البعيد ، والرواية الغير المشهورة ما لا يكون بهذه المثابة ، فيكون في العمل بها ريب ، فظهر وجه التوصيف والتعليل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الثانية ، فبعد الغضّ عن ضعفها عدم عموم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الفتاوى كما هو محل الكلام ، وعلى تقدير التسليم فمعناها قد عرفت في الأولى ، مضافا إلى أنّ التمسّك بأمثال الروايات في أمثال المقام قد يكون دوريا على بعض الوجوه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الظنون الخاصّة ، فتأمّل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w:t>
      </w:r>
      <w:r>
        <w:rPr>
          <w:rStyle w:val="FootnoteAnchor"/>
          <w:rtl w:val="true"/>
        </w:rPr>
        <w:footnoteReference w:id="485"/>
      </w:r>
      <w:r>
        <w:rPr>
          <w:rFonts w:ascii="Amiri" w:hAnsi="Amiri" w:eastAsia="Amiri" w:cs="Amiri"/>
          <w:color w:val="111111"/>
          <w:sz w:val="28"/>
          <w:sz w:val="28"/>
          <w:szCs w:val="28"/>
          <w:rtl w:val="true"/>
          <w:lang w:bidi="ar-SA"/>
        </w:rPr>
        <w:t xml:space="preserve">من ادّعى انطباق الرواية على حجّية الشهرة فسّر الفقرة الموجودة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مشهوران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جهة التعارض بين شهرة القدماء وشهرة المتأخّرين ، ولعمري إنّه كلام سخيف يكاد تضحك منه الثكلى</w:t>
      </w:r>
      <w:r>
        <w:rPr>
          <w:rFonts w:eastAsia="Amiri" w:cs="Amiri" w:ascii="Amiri" w:hAnsi="Amiri"/>
          <w:color w:val="111111"/>
          <w:sz w:val="28"/>
          <w:szCs w:val="28"/>
          <w:rtl w:val="true"/>
          <w:lang w:bidi="ar-SA"/>
        </w:rPr>
        <w:t xml:space="preserve">. </w:t>
      </w:r>
      <w:bookmarkStart w:id="68" w:name="pg16273_211491"/>
    </w:p>
    <w:p>
      <w:pPr>
        <w:pStyle w:val="Heading2"/>
        <w:numPr>
          <w:ilvl w:val="1"/>
          <w:numId w:val="1"/>
        </w:numPr>
        <w:rPr/>
      </w:pPr>
      <w:bookmarkStart w:id="69" w:name="__RefHeading___Toc4803504_1280447820"/>
      <w:bookmarkStart w:id="70" w:name="_Toc24"/>
      <w:bookmarkEnd w:id="68"/>
      <w:bookmarkEnd w:id="69"/>
      <w:r>
        <w:rPr>
          <w:rtl w:val="true"/>
        </w:rPr>
        <w:t xml:space="preserve">[ </w:t>
      </w:r>
      <w:r>
        <w:rPr>
          <w:rtl w:val="true"/>
        </w:rPr>
        <w:t xml:space="preserve">القول في حجّية خبر الواحد </w:t>
      </w:r>
      <w:r>
        <w:rPr>
          <w:rtl w:val="true"/>
        </w:rPr>
        <w:t>]</w:t>
      </w:r>
      <w:bookmarkEnd w:id="70"/>
    </w:p>
    <w:p>
      <w:pPr>
        <w:pStyle w:val="Heading3"/>
        <w:numPr>
          <w:ilvl w:val="2"/>
          <w:numId w:val="1"/>
        </w:numPr>
        <w:rPr/>
      </w:pPr>
      <w:bookmarkStart w:id="71" w:name="__RefHeading___Toc4803506_1280447820"/>
      <w:bookmarkStart w:id="72" w:name="_Toc25"/>
      <w:bookmarkEnd w:id="71"/>
      <w:r>
        <w:rPr>
          <w:rtl w:val="true"/>
        </w:rPr>
        <w:t>اشارة</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حجّية خبر الواحد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عدّت من الظنون الخاصّة الخارجة عن الأصل المذكور هو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أوّلا أنّه قد يتوهّم أنّ التركيب </w:t>
      </w:r>
      <w:r>
        <w:rPr>
          <w:rStyle w:val="FootnoteAnchor"/>
          <w:rtl w:val="true"/>
        </w:rPr>
        <w:footnoteReference w:id="487"/>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توصيفي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وليس الأمر كذلك ، بل الحقّ </w:t>
      </w:r>
      <w:r>
        <w:rPr>
          <w:rStyle w:val="FootnoteAnchor"/>
          <w:rtl w:val="true"/>
        </w:rPr>
        <w:footnoteReference w:id="488"/>
      </w:r>
      <w:r>
        <w:rPr>
          <w:rFonts w:ascii="Amiri" w:hAnsi="Amiri" w:eastAsia="Amiri" w:cs="Amiri"/>
          <w:color w:val="111111"/>
          <w:sz w:val="28"/>
          <w:sz w:val="28"/>
          <w:szCs w:val="28"/>
          <w:rtl w:val="true"/>
          <w:lang w:bidi="ar-SA"/>
        </w:rPr>
        <w:t xml:space="preserve">أنّه تركيب إضافي ، ويشهد على ذلك صحّة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تواترت الأخبار واستفاضت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فالتواتر وصف للرواية نفسها بخلاف الوحدة ، فإنّها وصف لها باعتبار راويها ، وعلى هذا فلا بدّ من التخريج على بعض الوجوه ما قد يتراءى على خلاف ذلك ، كقولهم الرواية 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فالكلام في خبر الواحد يقع في جهات ثلاثة ، وكذا في كلّ دليل 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 حيث صدوره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من حيث جهة صدوره كأن يكون على وجه التقية أو لا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من حيث الدلالة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الكلام في الجهة الثالثة في الكتاب والسنّة بأقسامها وغيرهما ، فلا نطيل بإعادته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الكلام في الجهة الثانية ، فالكتاب والأخبار النبوية معلومة جهة صدورهما ؛ حيث إنّه لا معنى للتقية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صدورها على وجه الاتّقاء إلاّ أنّ التقية هي التورية على ما اقتضته المصلحة ، ولا يصار إليها إلاّ بعد دلالة دليل عليها ، وعلى تقدير عدمه فالأصل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الظاهر من الكلام على ما تقدّم أن يكون مسوقا لبيان ما هو المتعارف استفادته منه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الجهة الأولى ، فالكتاب قطعي الصدور ، ولا حاجة إلى تجشّم استدلال كما قد ارتكبه البعض ، وكذا السنّة المتواترة على تقدير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الآحاد ، فهي العمدة في المقام ، فذهب بعض قاصري الدراية من الأخبارية إلى أنّ صدورها قطعي ، واستند في ذلك الفاضل المحدّث الحرّ العاملي </w:t>
      </w:r>
      <w:r>
        <w:rPr>
          <w:rStyle w:val="FootnoteAnchor"/>
          <w:rtl w:val="true"/>
        </w:rPr>
        <w:footnoteReference w:id="489"/>
      </w:r>
      <w:r>
        <w:rPr>
          <w:rFonts w:ascii="Amiri" w:hAnsi="Amiri" w:eastAsia="Amiri" w:cs="Amiri"/>
          <w:color w:val="111111"/>
          <w:sz w:val="28"/>
          <w:sz w:val="28"/>
          <w:szCs w:val="28"/>
          <w:rtl w:val="true"/>
          <w:lang w:bidi="ar-SA"/>
        </w:rPr>
        <w:t>إلى وجوه تبلغ ثلاثة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أمينهم في فوائده </w:t>
      </w:r>
      <w:r>
        <w:rPr>
          <w:rStyle w:val="FootnoteAnchor"/>
          <w:rtl w:val="true"/>
        </w:rPr>
        <w:footnoteReference w:id="490"/>
      </w:r>
      <w:r>
        <w:rPr>
          <w:rFonts w:ascii="Amiri" w:hAnsi="Amiri" w:eastAsia="Amiri" w:cs="Amiri"/>
          <w:color w:val="111111"/>
          <w:sz w:val="28"/>
          <w:sz w:val="28"/>
          <w:szCs w:val="28"/>
          <w:rtl w:val="true"/>
          <w:lang w:bidi="ar-SA"/>
        </w:rPr>
        <w:t>وجوها عديدة متقاربة لا دلالة في كلّها فضلا عن بعضها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واستقربه المحدّث البحراني </w:t>
      </w:r>
      <w:r>
        <w:rPr>
          <w:rStyle w:val="FootnoteAnchor"/>
          <w:rtl w:val="true"/>
        </w:rPr>
        <w:footnoteReference w:id="491"/>
      </w:r>
      <w:r>
        <w:rPr>
          <w:rFonts w:ascii="Amiri" w:hAnsi="Amiri" w:eastAsia="Amiri" w:cs="Amiri"/>
          <w:color w:val="111111"/>
          <w:sz w:val="28"/>
          <w:sz w:val="28"/>
          <w:szCs w:val="28"/>
          <w:rtl w:val="true"/>
          <w:lang w:bidi="ar-SA"/>
        </w:rPr>
        <w:t>، وحيث إنّ فساد الدعوى بمكان من الوضوح ، فلا غائلة في الانصراف عنها إلى ما هو أهمّ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جملة منهم إلى أنّها قطعية اعتبارا بواسطة شهادة المؤلفين على صحّة مؤلّفاتهم ، وتبعهم في ذلك بعض الأصوليين </w:t>
      </w:r>
      <w:r>
        <w:rPr>
          <w:rStyle w:val="FootnoteAnchor"/>
          <w:rtl w:val="true"/>
        </w:rPr>
        <w:footnoteReference w:id="492"/>
      </w:r>
      <w:r>
        <w:rPr>
          <w:rFonts w:ascii="Amiri" w:hAnsi="Amiri" w:eastAsia="Amiri" w:cs="Amiri"/>
          <w:color w:val="111111"/>
          <w:sz w:val="28"/>
          <w:sz w:val="28"/>
          <w:szCs w:val="28"/>
          <w:rtl w:val="true"/>
          <w:lang w:bidi="ar-SA"/>
        </w:rPr>
        <w:t xml:space="preserve">إلاّ أنّه اشترط شرطين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الرواية مخالفة لما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الرواية مأخوذة من الأصول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جملة من أرباب الأصول إلى أنّها حجّة من جهة الظنون الخاصّة وهم جماعة كثيرة بين من يعتبر أوصاف الراوي ، ومن يعتمد على أوصاف الرواية كالمحقّق </w:t>
      </w:r>
      <w:r>
        <w:rPr>
          <w:rStyle w:val="FootnoteAnchor"/>
          <w:rtl w:val="true"/>
        </w:rPr>
        <w:footnoteReference w:id="493"/>
      </w:r>
      <w:r>
        <w:rPr>
          <w:rFonts w:ascii="Amiri" w:hAnsi="Amiri" w:eastAsia="Amiri" w:cs="Amiri"/>
          <w:color w:val="111111"/>
          <w:sz w:val="28"/>
          <w:sz w:val="28"/>
          <w:szCs w:val="28"/>
          <w:rtl w:val="true"/>
          <w:lang w:bidi="ar-SA"/>
        </w:rPr>
        <w:t>على ما حكي عنه من اعتباره كون الرواية معمولا بها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فالفرقة الأولى افترقوا على فرق ، فمنهم من يقتصر على الصحاح الأعلائية ، ومنهم من يتجاوز إلى المشهورية منها ، ومنهم من أضاف إليها الموثّقات ، ومنهم من زاد عليها الحسان ، وذهب جماعة من المتأخّرين إلى أنّها حجّة من حيث اندراجها تحت مطلق الظنّ ، وهم أيضا بين فرق كثيرة تعرف وجوه التفصيل فيما سيأتي ، ولا بدّ لنا من التكلّم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أصل الحجّية قبالا لمن أنكرها رأسا كالسيّد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اكتفاء الحجّة في الاستنباط وعدم الحاجة إلى التعدّي إلى الظنون المطلقة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جماعة من القدماء كالسيّد المرتضى وابن زهرة وابن برّاج وابن إدريس </w:t>
      </w:r>
      <w:r>
        <w:rPr>
          <w:rStyle w:val="FootnoteAnchor"/>
          <w:rtl w:val="true"/>
        </w:rPr>
        <w:footnoteReference w:id="494"/>
      </w:r>
      <w:r>
        <w:rPr>
          <w:rFonts w:ascii="Amiri" w:hAnsi="Amiri" w:eastAsia="Amiri" w:cs="Amiri"/>
          <w:color w:val="111111"/>
          <w:sz w:val="28"/>
          <w:sz w:val="28"/>
          <w:szCs w:val="28"/>
          <w:rtl w:val="true"/>
          <w:lang w:bidi="ar-SA"/>
        </w:rPr>
        <w:t xml:space="preserve">إلى عدم الحجّية بل ادّعى السيّد الضرورة من مذهب الإمامية على عدم جواز الاتّكال عليه ، وعزى إلى ظاهر الشيخ في أوائل التهذيب وإلى ابن بابويه ، وإلى المحقّق أيضا بل في محكيّ الوافية </w:t>
      </w:r>
      <w:r>
        <w:rPr>
          <w:rStyle w:val="FootnoteAnchor"/>
          <w:rtl w:val="true"/>
        </w:rPr>
        <w:footnoteReference w:id="495"/>
      </w:r>
      <w:r>
        <w:rPr>
          <w:rFonts w:ascii="Amiri" w:hAnsi="Amiri" w:eastAsia="Amiri" w:cs="Amiri"/>
          <w:color w:val="111111"/>
          <w:sz w:val="28"/>
          <w:sz w:val="28"/>
          <w:szCs w:val="28"/>
          <w:rtl w:val="true"/>
          <w:lang w:bidi="ar-SA"/>
        </w:rPr>
        <w:t>للفاضل التوني عدم تصريح الطائفة بحجّيته قبل زمان العلاّمة ، والمشهور بين المتأخّرين هو الحجّية</w:t>
      </w:r>
      <w:r>
        <w:rPr>
          <w:rFonts w:eastAsia="Amiri" w:cs="Amiri" w:ascii="Amiri" w:hAnsi="Amiri"/>
          <w:color w:val="111111"/>
          <w:sz w:val="28"/>
          <w:szCs w:val="28"/>
          <w:rtl w:val="true"/>
          <w:lang w:bidi="ar-SA"/>
        </w:rPr>
        <w:t xml:space="preserve">. </w:t>
      </w:r>
      <w:bookmarkStart w:id="73" w:name="pg16273_211494"/>
    </w:p>
    <w:p>
      <w:pPr>
        <w:pStyle w:val="Heading3"/>
        <w:numPr>
          <w:ilvl w:val="2"/>
          <w:numId w:val="1"/>
        </w:numPr>
        <w:rPr/>
      </w:pPr>
      <w:bookmarkStart w:id="74" w:name="__RefHeading___Toc4803508_1280447820"/>
      <w:bookmarkStart w:id="75" w:name="_Toc26"/>
      <w:bookmarkEnd w:id="73"/>
      <w:bookmarkEnd w:id="74"/>
      <w:r>
        <w:rPr>
          <w:rtl w:val="true"/>
        </w:rPr>
        <w:t xml:space="preserve">حجّة المانعين وجوه </w:t>
      </w:r>
      <w:r>
        <w:rPr>
          <w:rtl w:val="true"/>
        </w:rPr>
        <w:t>:</w:t>
      </w:r>
      <w:bookmarkEnd w:id="7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والآيات الناهيتان </w:t>
      </w:r>
      <w:r>
        <w:rPr>
          <w:rStyle w:val="FootnoteAnchor"/>
          <w:rtl w:val="true"/>
        </w:rPr>
        <w:footnoteReference w:id="496"/>
      </w:r>
      <w:r>
        <w:rPr>
          <w:rFonts w:ascii="IRNazanin" w:hAnsi="IRNazanin" w:eastAsia="IRNazanin"/>
          <w:color w:val="111111"/>
          <w:sz w:val="28"/>
          <w:sz w:val="28"/>
          <w:szCs w:val="28"/>
          <w:rtl w:val="true"/>
          <w:lang w:bidi="fa-IR"/>
        </w:rPr>
        <w:t>عن العمل بالظنّ بل بمطلق ما وراء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 أنّه على تقدير عمومهما وعدم اختصاصهما بأصول الدين ، أو ما يتّهم المسلمين مخصّصة بما سيجيء من الأدلّة الساطعة والبراهين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 في لسان السيّد وابن إدريس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498"/>
      </w:r>
      <w:r>
        <w:rPr>
          <w:rFonts w:ascii="Amiri" w:hAnsi="Amiri" w:eastAsia="Amiri" w:cs="Amiri"/>
          <w:color w:val="111111"/>
          <w:sz w:val="28"/>
          <w:sz w:val="28"/>
          <w:szCs w:val="28"/>
          <w:rtl w:val="true"/>
          <w:lang w:bidi="ar-SA"/>
        </w:rPr>
        <w:t xml:space="preserve">بعد ما ستعرف من الوجوه لا يفيد الظنّ فضلا عن العلم ، فلو لم ندّع الإجماع على خلافه ، فلا أقلّ من دعوى عدم قيام الإجماع عليه ، كيف؟ والشيخ مع حذاقته في الأخبار وخبرته بالفقه قد ادّعى الإجماع على خلافه </w:t>
      </w:r>
      <w:r>
        <w:rPr>
          <w:rStyle w:val="FootnoteAnchor"/>
          <w:rtl w:val="true"/>
        </w:rPr>
        <w:footnoteReference w:id="499"/>
      </w:r>
      <w:r>
        <w:rPr>
          <w:rFonts w:ascii="Amiri" w:hAnsi="Amiri" w:eastAsia="Amiri" w:cs="Amiri"/>
          <w:color w:val="111111"/>
          <w:sz w:val="28"/>
          <w:sz w:val="28"/>
          <w:szCs w:val="28"/>
          <w:rtl w:val="true"/>
          <w:lang w:bidi="ar-SA"/>
        </w:rPr>
        <w:t xml:space="preserve">وإن أمكن التوفيق بين الإجماعين ، فإنّ السيّد </w:t>
      </w:r>
      <w:r>
        <w:rPr>
          <w:rStyle w:val="FootnoteAnchor"/>
          <w:rtl w:val="true"/>
        </w:rPr>
        <w:footnoteReference w:id="500"/>
      </w:r>
      <w:r>
        <w:rPr>
          <w:rFonts w:ascii="Amiri" w:hAnsi="Amiri" w:eastAsia="Amiri" w:cs="Amiri"/>
          <w:color w:val="111111"/>
          <w:sz w:val="28"/>
          <w:sz w:val="28"/>
          <w:szCs w:val="28"/>
          <w:rtl w:val="true"/>
          <w:lang w:bidi="ar-SA"/>
        </w:rPr>
        <w:t xml:space="preserve">قد فسّر القطع بما يفيد سكون النفس والاطمئنان الذي هو علم عرفي ، فلعلّه قد خصّ حجّية الأخبار بصورة حصول الظنّ الاطمئناني المسمّى عنده بالعلم كما يعلم من مطاوي كلماته </w:t>
      </w:r>
      <w:r>
        <w:rPr>
          <w:rStyle w:val="FootnoteAnchor"/>
          <w:rtl w:val="true"/>
        </w:rPr>
        <w:footnoteReference w:id="501"/>
      </w:r>
      <w:r>
        <w:rPr>
          <w:rFonts w:ascii="Amiri" w:hAnsi="Amiri" w:eastAsia="Amiri" w:cs="Amiri"/>
          <w:color w:val="111111"/>
          <w:sz w:val="28"/>
          <w:sz w:val="28"/>
          <w:szCs w:val="28"/>
          <w:rtl w:val="true"/>
          <w:lang w:bidi="ar-SA"/>
        </w:rPr>
        <w:t>، فإنّ العلم قد يتسامح فيه عند أهل العرف فيستعمل في الاطمئنان وإن احتمل الخلاف عقلا أو عادة ، والعلم الحقيقي هو ما لا يحتمل الخلاف ، فتارة بالعقل كأن يستلزم فرض وقوعه محالا عقليا كالعلم بأنّ الواحد نصف الاثنين ، والعلم بأنّ الممكن في وجوده يفتقر إلى موجب موجد له ، ففرض وقوع الخلاف يوجب اجتماع النقيضين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بالعادة بمعنى أنّ فرض الخلاف لا يستلزم محالا عقليا إلاّ أنّه ينافي ما هو المعهود في العادة منه كانقلاب الجبل العظيم ذهبا ، فإنّ فرض وقوعه لا يوجب محالا لكنّه غير محتمل عادة ، فالعلم العادي كالعلم العقلي في عدم احتمال الخلاف عقلا في الثاني وعادة في الأوّل بل قد يمكن أن </w:t>
      </w:r>
    </w:p>
    <w:p>
      <w:pPr>
        <w:pStyle w:val="BookText"/>
        <w:rPr/>
      </w:pPr>
      <w:r>
        <w:rPr>
          <w:rFonts w:ascii="Amiri" w:hAnsi="Amiri" w:eastAsia="Amiri" w:cs="Amiri"/>
          <w:color w:val="111111"/>
          <w:sz w:val="28"/>
          <w:sz w:val="28"/>
          <w:szCs w:val="28"/>
          <w:rtl w:val="true"/>
          <w:lang w:bidi="ar-SA"/>
        </w:rPr>
        <w:t>يقال إنّ العلم العادي أقوى من العلم العقلي ، لوضوح المعلوم فيها من حيث وصوله مرتبة البداهة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العرفي المسمّى بالاطمئنان ، فلا ينافي احتمال الخلاف لا عقلا ولا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في الجمع بين الإجماعين بوجوه ضعيفة سيجيء ذكرها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من الروايات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اشتراط العلم في العلم بخبر الواحد مثل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الصفّار في بصائر الدرجات وابن إدريس في مستطرفات السرائر وأوّله والعلاّمة المجلسي في البحار على ما هو المحكيّ عنهم عن أبي الحسن الثالث عليه‌السلام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العلم المنقول إلينا عن آبائك وأجدادك ، ثمّ </w:t>
      </w:r>
      <w:r>
        <w:rPr>
          <w:rStyle w:val="FootnoteAnchor"/>
          <w:rtl w:val="true"/>
        </w:rPr>
        <w:footnoteReference w:id="502"/>
      </w:r>
      <w:r>
        <w:rPr>
          <w:rFonts w:ascii="Amiri" w:hAnsi="Amiri" w:eastAsia="Amiri" w:cs="Amiri"/>
          <w:color w:val="111111"/>
          <w:sz w:val="28"/>
          <w:sz w:val="28"/>
          <w:szCs w:val="28"/>
          <w:rtl w:val="true"/>
          <w:lang w:bidi="ar-SA"/>
        </w:rPr>
        <w:t xml:space="preserve">قد اختلف علينا فهمه </w:t>
      </w:r>
      <w:r>
        <w:rPr>
          <w:rStyle w:val="FootnoteAnchor"/>
          <w:rtl w:val="true"/>
        </w:rPr>
        <w:footnoteReference w:id="503"/>
      </w:r>
      <w:r>
        <w:rPr>
          <w:rFonts w:ascii="Amiri" w:hAnsi="Amiri" w:eastAsia="Amiri" w:cs="Amiri"/>
          <w:color w:val="111111"/>
          <w:sz w:val="28"/>
          <w:sz w:val="28"/>
          <w:szCs w:val="28"/>
          <w:rtl w:val="true"/>
          <w:lang w:bidi="ar-SA"/>
        </w:rPr>
        <w:t xml:space="preserve">، كيف العمل به على اختلاله فيما اختلف منه؟ قال عليه‌السلام </w:t>
      </w:r>
      <w:r>
        <w:rPr>
          <w:rStyle w:val="FootnoteAnchor"/>
          <w:rtl w:val="true"/>
        </w:rPr>
        <w:footnoteReference w:id="5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علمتم أنّه قولنا ، فالزموه ، وما لم تعلموه فردّوه إلينا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أنّه خبر الواحد غاية ما يستفاد منه الظنّ ولم يعلم أنّه من قولهم عليهم‌السلام ، مضافا إلى أنّه مرسلة مع أنّها مكاتبة ، فلا ينهض بإثبات المدّعى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اشتراط وجود شاهد أو شاهدين من كتاب اللّه أو سنّة رسوله صلى‌اللّه‌عليه‌وآله على صدق الرواية في جواز العمل به كما في 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w:t>
      </w:r>
      <w:r>
        <w:rPr>
          <w:rStyle w:val="FootnoteAnchor"/>
          <w:rtl w:val="true"/>
        </w:rPr>
        <w:footnoteReference w:id="507"/>
      </w:r>
      <w:r>
        <w:rPr>
          <w:rFonts w:ascii="Amiri" w:hAnsi="Amiri" w:eastAsia="Amiri" w:cs="Amiri"/>
          <w:color w:val="111111"/>
          <w:sz w:val="28"/>
          <w:sz w:val="28"/>
          <w:szCs w:val="28"/>
          <w:rtl w:val="true"/>
          <w:lang w:bidi="ar-SA"/>
        </w:rPr>
        <w:t xml:space="preserve">أمرنا وما جاءكم منّا ، فإن وجدتموه للقرآن موافقا ، فالزموه ، وإن اشتبه الأمر عليكم ، فقفوا عنده وردّوه إلينا حتّى نشرح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شرح لنا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والتقريب أنّ المانعين من العمل بخبر الواحد إنّما يعمل </w:t>
      </w:r>
      <w:r>
        <w:rPr>
          <w:rStyle w:val="FootnoteAnchor"/>
          <w:rtl w:val="true"/>
        </w:rPr>
        <w:footnoteReference w:id="509"/>
      </w:r>
      <w:r>
        <w:rPr>
          <w:rFonts w:ascii="Amiri" w:hAnsi="Amiri" w:eastAsia="Amiri" w:cs="Amiri"/>
          <w:color w:val="111111"/>
          <w:sz w:val="28"/>
          <w:sz w:val="28"/>
          <w:szCs w:val="28"/>
          <w:rtl w:val="true"/>
          <w:lang w:bidi="ar-SA"/>
        </w:rPr>
        <w:t xml:space="preserve">بالأخبار المحفوفة بقرائن تدلّ على صدقها ، فهم إنّما يمنعون منها </w:t>
      </w:r>
      <w:r>
        <w:rPr>
          <w:rStyle w:val="FootnoteAnchor"/>
          <w:rtl w:val="true"/>
        </w:rPr>
        <w:footnoteReference w:id="510"/>
      </w:r>
      <w:r>
        <w:rPr>
          <w:rFonts w:ascii="Amiri" w:hAnsi="Amiri" w:eastAsia="Amiri" w:cs="Amiri"/>
          <w:color w:val="111111"/>
          <w:sz w:val="28"/>
          <w:sz w:val="28"/>
          <w:szCs w:val="28"/>
          <w:rtl w:val="true"/>
          <w:lang w:bidi="ar-SA"/>
        </w:rPr>
        <w:t xml:space="preserve">ما لم تكن محفوفة بالقرينة ، ولا شكّ أنّ المراد بالقرينة إنّما هو أحد الأدلّة الأربعة كتابا وسنّة وإجماعا وعقلا ، والرواية المذكورة تنفي الحجّية عمّا لم يكن شاهدا </w:t>
      </w:r>
      <w:r>
        <w:rPr>
          <w:rStyle w:val="FootnoteAnchor"/>
          <w:rtl w:val="true"/>
        </w:rPr>
        <w:footnoteReference w:id="511"/>
      </w:r>
      <w:r>
        <w:rPr>
          <w:rFonts w:ascii="Amiri" w:hAnsi="Amiri" w:eastAsia="Amiri" w:cs="Amiri"/>
          <w:color w:val="111111"/>
          <w:sz w:val="28"/>
          <w:sz w:val="28"/>
          <w:szCs w:val="28"/>
          <w:rtl w:val="true"/>
          <w:lang w:bidi="ar-SA"/>
        </w:rPr>
        <w:t>عليها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والعقل ، فالإهمال فيهما إنّما لوضوح الحال فيهما حيث إنّ المسألة بعد ما كانت من المستقلاّت العقلية أو معقدا للإجماع ، فلا حاجة إلى التمسّك بالرواية فضلا عن قطعيتها والعلم بمطابقة مفادها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الصنف موثّقة ابن بكير عن أبي جعفر </w:t>
      </w:r>
      <w:r>
        <w:rPr>
          <w:rStyle w:val="FootnoteAnchor"/>
          <w:rtl w:val="true"/>
        </w:rPr>
        <w:footnoteReference w:id="512"/>
      </w: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عنّا حديث فوجدتم عليه شاهدا أو شاهدين من كتاب اللّه ، فخذوا به ، وإلاّ فقفوا عنده ، ثمّ ردّوا إلينا حتّى يستبين لكم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ومقبولة عمر بن حنظلة </w:t>
      </w:r>
      <w:r>
        <w:rPr>
          <w:rStyle w:val="FootnoteAnchor"/>
          <w:rtl w:val="true"/>
        </w:rPr>
        <w:footnoteReference w:id="514"/>
      </w:r>
      <w:r>
        <w:rPr>
          <w:rFonts w:ascii="Amiri" w:hAnsi="Amiri" w:eastAsia="Amiri" w:cs="Amiri"/>
          <w:color w:val="111111"/>
          <w:sz w:val="28"/>
          <w:sz w:val="28"/>
          <w:szCs w:val="28"/>
          <w:rtl w:val="true"/>
          <w:lang w:bidi="ar-SA"/>
        </w:rPr>
        <w:t xml:space="preserve">وروى الشيخ السعيد قطب الدين الراوندي عن 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سعد بن عبد اللّه ، عن يعقوب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عن محمّد ابن أبي عمير ، عن جميل بن درّاج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الشبهة خير من الاقتحام في الهلكة ، إنّ لكلّ </w:t>
      </w:r>
      <w:r>
        <w:rPr>
          <w:rStyle w:val="FootnoteAnchor"/>
          <w:rtl w:val="true"/>
        </w:rPr>
        <w:footnoteReference w:id="515"/>
      </w:r>
      <w:r>
        <w:rPr>
          <w:rFonts w:ascii="Amiri" w:hAnsi="Amiri" w:eastAsia="Amiri" w:cs="Amiri"/>
          <w:color w:val="111111"/>
          <w:sz w:val="28"/>
          <w:sz w:val="28"/>
          <w:szCs w:val="28"/>
          <w:rtl w:val="true"/>
          <w:lang w:bidi="ar-SA"/>
        </w:rPr>
        <w:t xml:space="preserve">حقّ حقيقة ، وعلى كلّ صواب نورا ، فما وافق كتاب اللّه فخذوه ، وما خالف فدعوه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إلى غير ذلك من الروايات الكثيرة المدّعى تواترها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الآمرة بطرح ما خالف الكتاب ، وأنّها زخرف واضربوه على الجدار ممّا قد سبق بعضها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 هذه الأخبار بالنسبة إلى الأخبار المخالفة للكتاب ظاهر ، وأمّا بالنسبة إلى غيرها ، فلا يتمّ إلاّ بدعوى أنّ الكتاب الكريم ولو على نحو العموم إنّما اشتمل على جميع الأحكام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إلى غير ذلك من العمومات المشتملة على جلّ الأحكام أو كلّها ؛ إذ ليس المراد من المخالفة خصوص التباين ، وإلاّ لم يبق للأخبار المزبورة مورد ، فلا يناسب كثرة ورودها والتأكيدات الأكيدة الواقعة فيها والتشديدات </w:t>
      </w:r>
      <w:r>
        <w:rPr>
          <w:rStyle w:val="FootnoteAnchor"/>
          <w:rtl w:val="true"/>
        </w:rPr>
        <w:footnoteReference w:id="521"/>
      </w:r>
      <w:r>
        <w:rPr>
          <w:rFonts w:ascii="Amiri" w:hAnsi="Amiri" w:eastAsia="Amiri" w:cs="Amiri"/>
          <w:color w:val="111111"/>
          <w:sz w:val="28"/>
          <w:sz w:val="28"/>
          <w:szCs w:val="28"/>
          <w:rtl w:val="true"/>
          <w:lang w:bidi="ar-SA"/>
        </w:rPr>
        <w:t>الشديدة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هو أنّ بعد العلم الإجمالي بأنّ هذه العمومات الكتابية والمطلقات القرآنية مخصّصة بمخصّصات كثيرة في أخبار الآحاد ، ومقيّدة بمقيّدات عديدة فيها لا يعلم مخالفة الكتاب لها ، على أنّ التحقيق عدم منافاة المقيّد للمطلق ؛ لعدم كونه مجازا ، فالأخبار المزبورة لا تنهض على إبطال العمل بالأخبار من حيث إنّها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استلزامها لزوم ردّ ما يخالف كتاب اللّه ولو علمنا بصدوره عن أهل العصمة الطاهرة عليهم‌السلام ولو بالسماع منهم ، فكيف بما إذا تواتر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بتخصيص هذه الأخبار بغيره يخالفه ما هو المستفاد من سياقها فكأنّها كالقواعد العقلية الآبية عن التخصيص ، فهي إذا أخبار متشابهة لا ملزم لنا في تأويلها ، وأقرب المحامل على تقدير التأويل هو حملها على الروايات الواردة في أصول الدين المخالفة للكتاب والسنّة كالأخبار الدالّة على الجبر والتفويض والقضاء والقدر </w:t>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الأخبار الدالّة على اعتبار الشاهد ، فقد يلتزم بمفادها في غير خبر العادل لما دلّ على حجّيته كما سيجيء ، وقد يحمل على أصول الدين لموافقة مضمونها في الغالب لهذه الأخبار واتّحاد سياقهما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المنع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أَنْ تُصِيبُوا قَوْماً بِجَهالَةٍ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وجه الدلالة أنّ الجهالة باقية عرفا ولغة في موارد أخبار الآحاد ولو كانت من عدل ، وقد حقّق في محلّه أنّ عموم التعليل لا يخصّص بخصوص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ثبوت الحجّية بالنسبة إلى أخبار العدل لا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في المقام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عليل بعد خصوص المفهوم من صدر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عرفا على عموم التعليل ولا يعارضه خصوص المفهوم ألا ترى أنّه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خبر الفاسق ؛ لاحتمال الكذب ، يفهم عرفا لزوم الاجتناب عن كلّ ما يحتمل الكذب ولو كان من العادل ، وسيظهر لك الحال في فساد هذه الحجّة أيضا في عداد أدلّة المجوّزين ، هذا خلاصة ما احتجّ به المانعون في المقام وأجوبتها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المجوّزون أيضا بوجوه عديدة كتابا وسنّة وإجماعا وعقلا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w:t>
      </w:r>
      <w:r>
        <w:rPr>
          <w:rStyle w:val="FootnoteAnchor"/>
          <w:rtl w:val="true"/>
        </w:rPr>
        <w:footnoteReference w:id="523"/>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وقد احتجّ بها الشيخ في العدّة </w:t>
      </w:r>
      <w:r>
        <w:rPr>
          <w:rStyle w:val="FootnoteAnchor"/>
          <w:rtl w:val="true"/>
        </w:rPr>
        <w:footnoteReference w:id="524"/>
      </w:r>
      <w:r>
        <w:rPr>
          <w:rFonts w:ascii="Amiri" w:hAnsi="Amiri" w:eastAsia="Amiri" w:cs="Amiri"/>
          <w:color w:val="111111"/>
          <w:sz w:val="28"/>
          <w:sz w:val="28"/>
          <w:szCs w:val="28"/>
          <w:rtl w:val="true"/>
          <w:lang w:bidi="ar-SA"/>
        </w:rPr>
        <w:t xml:space="preserve">واقتفى المتأخّرون أثره فيه ، واستند إليها شيخنا الطبرسي في مجمع البيان </w:t>
      </w:r>
      <w:r>
        <w:rPr>
          <w:rStyle w:val="FootnoteAnchor"/>
          <w:rtl w:val="true"/>
        </w:rPr>
        <w:footnoteReference w:id="525"/>
      </w:r>
      <w:r>
        <w:rPr>
          <w:rFonts w:ascii="Amiri" w:hAnsi="Amiri" w:eastAsia="Amiri" w:cs="Amiri"/>
          <w:color w:val="111111"/>
          <w:sz w:val="28"/>
          <w:sz w:val="28"/>
          <w:szCs w:val="28"/>
          <w:rtl w:val="true"/>
          <w:lang w:bidi="ar-SA"/>
        </w:rPr>
        <w:t>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فتقريب الاستدلال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المعالم </w:t>
      </w:r>
      <w:r>
        <w:rPr>
          <w:rStyle w:val="FootnoteAnchor"/>
          <w:rtl w:val="true"/>
        </w:rPr>
        <w:footnoteReference w:id="526"/>
      </w:r>
      <w:r>
        <w:rPr>
          <w:rFonts w:ascii="Amiri" w:hAnsi="Amiri" w:eastAsia="Amiri" w:cs="Amiri"/>
          <w:color w:val="111111"/>
          <w:sz w:val="28"/>
          <w:sz w:val="28"/>
          <w:szCs w:val="28"/>
          <w:rtl w:val="true"/>
          <w:lang w:bidi="ar-SA"/>
        </w:rPr>
        <w:t>ومحصّله أنّ وجوب التبيّن معلّق على شرط ، فينتفي على تقدير انتفائه ، فيكون مفاد الآية إن جاءكم عادل بنبإ ، فلا يجب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إمّا يجب الردّ ، أو يجب القبول ، والأوّل باطل ؛ لما يلزم من كونه أسوأ حالا من الفاسق ، فتعيّن الثاني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الحكم على الفاسق يقضي بانتفائه عند انتفاء وصف الفسق كما هو الشأن في أمثال المقام ممّا تعلّق الحكم فيه على ذات موصوفة ، وإلاّ لوجب أن يقترن الحكم بالذات العارية عن الوصف ، هذا مضافا إلى فهم العرف في خصوص المقام ؛ إذ لا كلام في اعتبار المفاهيم بقول مطلق </w:t>
      </w:r>
      <w:r>
        <w:rPr>
          <w:rStyle w:val="FootnoteAnchor"/>
          <w:rtl w:val="true"/>
        </w:rPr>
        <w:footnoteReference w:id="527"/>
      </w:r>
      <w:r>
        <w:rPr>
          <w:rFonts w:ascii="Amiri" w:hAnsi="Amiri" w:eastAsia="Amiri" w:cs="Amiri"/>
          <w:color w:val="111111"/>
          <w:sz w:val="28"/>
          <w:sz w:val="28"/>
          <w:szCs w:val="28"/>
          <w:rtl w:val="true"/>
          <w:lang w:bidi="ar-SA"/>
        </w:rPr>
        <w:t xml:space="preserve">في مقامات خاصّة وموارد مخصوصة من جهة الاحتفاف بالقرائن المعيّنة الدالّة على اعتبارها ، فمقتضى الوصف في الآية عدم وجوب التبيّن عند مجيء العادل ، فيجب القبول دون الردّ لما </w:t>
      </w:r>
      <w:r>
        <w:rPr>
          <w:rStyle w:val="FootnoteAnchor"/>
          <w:rtl w:val="true"/>
        </w:rPr>
        <w:footnoteReference w:id="528"/>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على الأوّل أنّ المعتبر في أخذ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موضوعي المنطوق والمفهوم ، وكذا سائر الوحدات المعتبرة في التناقض ، فالمفهوم من الآية إن لم يجئ الفاسق بنبإ لا يجب التبيّن لا أنّه إن جاءكم عادل بنبإ لا يجب كما هو المقصود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بالمفهوم إنّما هو من حيث عموم المفهوم فإنّ عدم مجيء الفاسق بالنبإ يعمّ ما إذا لم يكن هناك نبأ </w:t>
      </w:r>
      <w:r>
        <w:rPr>
          <w:rStyle w:val="FootnoteAnchor"/>
          <w:rtl w:val="true"/>
        </w:rPr>
        <w:footnoteReference w:id="529"/>
      </w:r>
      <w:r>
        <w:rPr>
          <w:rFonts w:ascii="IRNazanin" w:hAnsi="IRNazanin" w:eastAsia="IRNazanin"/>
          <w:color w:val="111111"/>
          <w:sz w:val="28"/>
          <w:sz w:val="28"/>
          <w:szCs w:val="28"/>
          <w:rtl w:val="true"/>
          <w:lang w:bidi="fa-IR"/>
        </w:rPr>
        <w:t xml:space="preserve">أصلا لا من العادل ولا من الفاسق ، وما إذا </w:t>
      </w:r>
    </w:p>
    <w:p>
      <w:pPr>
        <w:pStyle w:val="BookText"/>
        <w:rPr/>
      </w:pPr>
      <w:r>
        <w:rPr>
          <w:rFonts w:ascii="Amiri" w:hAnsi="Amiri" w:eastAsia="Amiri" w:cs="Amiri"/>
          <w:color w:val="111111"/>
          <w:sz w:val="28"/>
          <w:sz w:val="28"/>
          <w:szCs w:val="28"/>
          <w:rtl w:val="true"/>
          <w:lang w:bidi="ar-SA"/>
        </w:rPr>
        <w:t xml:space="preserve">كان الجائي بالخبر هو العادل ، فإنّ السالبة قد ينتفي </w:t>
      </w:r>
      <w:r>
        <w:rPr>
          <w:rStyle w:val="FootnoteAnchor"/>
          <w:rtl w:val="true"/>
        </w:rPr>
        <w:footnoteReference w:id="530"/>
      </w:r>
      <w:r>
        <w:rPr>
          <w:rFonts w:ascii="IRNazanin" w:hAnsi="IRNazanin" w:eastAsia="IRNazanin"/>
          <w:color w:val="111111"/>
          <w:sz w:val="28"/>
          <w:sz w:val="28"/>
          <w:szCs w:val="28"/>
          <w:rtl w:val="true"/>
          <w:lang w:bidi="fa-IR"/>
        </w:rPr>
        <w:t xml:space="preserve">بانتفاء موضوعه </w:t>
      </w:r>
      <w:r>
        <w:rPr>
          <w:rStyle w:val="FootnoteAnchor"/>
          <w:rtl w:val="true"/>
        </w:rPr>
        <w:footnoteReference w:id="531"/>
      </w:r>
      <w:r>
        <w:rPr>
          <w:rFonts w:ascii="IRNazanin" w:hAnsi="IRNazanin" w:eastAsia="IRNazanin"/>
          <w:color w:val="111111"/>
          <w:sz w:val="28"/>
          <w:sz w:val="28"/>
          <w:szCs w:val="28"/>
          <w:rtl w:val="true"/>
          <w:lang w:bidi="fa-IR"/>
        </w:rPr>
        <w:t xml:space="preserve">، وأخرى بانتفاء محموله </w:t>
      </w:r>
      <w:r>
        <w:rPr>
          <w:rStyle w:val="FootnoteAnchor"/>
          <w:rtl w:val="true"/>
        </w:rPr>
        <w:footnoteReference w:id="532"/>
      </w:r>
      <w:r>
        <w:rPr>
          <w:rFonts w:ascii="Amiri" w:hAnsi="Amiri" w:eastAsia="Amiri" w:cs="Amiri"/>
          <w:color w:val="111111"/>
          <w:sz w:val="28"/>
          <w:sz w:val="28"/>
          <w:szCs w:val="28"/>
          <w:rtl w:val="true"/>
          <w:lang w:bidi="ar-SA"/>
        </w:rPr>
        <w:t>، والظاهر هو الثاني ؛ لأنّ السالبة مجاز في انتفاء الموضوع ، فموضوع الحكم في المقامين متّحد باعتبار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الاشتراط في القضية الشرطية لا تزيد على انتفاء التالي عند فقد المقدّم ، فوجوب التبيّن مرفوع عند عدم إخبار الفاسق ، ولا عموم فيه بالنسبة إلى إخبار العادل ، فإنّه ليس من أفراده بل إنّما هو حال من الأحوال التي قد يقارن عدم إخبار الفاسق كموت زيد وحياته ، وأكله ولبسه مثلا هل ترى أحدا يقول بأنّ الحالات المقارنة اتّفاقا لفقدان الشرط في الجملة الشرطية من أفراد فقدان الشرط؟ نعم ، لو كان الكلام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المخبر فاسقا يجب التبيّن ، صحّ الاستناد إليه في حجّية خبر العادل بمفهوم الشرط ، لأنّ كون المخبر عادلا من أفراد عدم كون المخبر فاسقا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عدم جري الآية مجرى هذا القول كان </w:t>
      </w:r>
      <w:r>
        <w:rPr>
          <w:rStyle w:val="FootnoteAnchor"/>
          <w:rtl w:val="true"/>
        </w:rPr>
        <w:footnoteReference w:id="533"/>
      </w:r>
      <w:r>
        <w:rPr>
          <w:rFonts w:ascii="IRNazanin" w:hAnsi="IRNazanin" w:eastAsia="IRNazanin"/>
          <w:color w:val="111111"/>
          <w:sz w:val="28"/>
          <w:sz w:val="28"/>
          <w:szCs w:val="28"/>
          <w:rtl w:val="true"/>
          <w:lang w:bidi="fa-IR"/>
        </w:rPr>
        <w:t xml:space="preserve">هذا هو </w:t>
      </w:r>
      <w:r>
        <w:rPr>
          <w:rStyle w:val="FootnoteAnchor"/>
          <w:rtl w:val="true"/>
        </w:rPr>
        <w:footnoteReference w:id="534"/>
      </w:r>
      <w:r>
        <w:rPr>
          <w:rFonts w:ascii="Amiri" w:hAnsi="Amiri" w:eastAsia="Amiri" w:cs="Amiri"/>
          <w:color w:val="111111"/>
          <w:sz w:val="28"/>
          <w:sz w:val="28"/>
          <w:szCs w:val="28"/>
          <w:rtl w:val="true"/>
          <w:lang w:bidi="ar-SA"/>
        </w:rPr>
        <w:t>منشأ الخلط في الاستدلال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المناط في القضية الشرطية إنّما هو على انتفاء نفس الشرط ، ولا مدخل للوصف </w:t>
      </w:r>
      <w:r>
        <w:rPr>
          <w:rStyle w:val="FootnoteAnchor"/>
          <w:rtl w:val="true"/>
        </w:rPr>
        <w:footnoteReference w:id="535"/>
      </w:r>
      <w:r>
        <w:rPr>
          <w:rFonts w:ascii="Amiri" w:hAnsi="Amiri" w:eastAsia="Amiri" w:cs="Amiri"/>
          <w:color w:val="111111"/>
          <w:sz w:val="28"/>
          <w:sz w:val="28"/>
          <w:szCs w:val="28"/>
          <w:rtl w:val="true"/>
          <w:lang w:bidi="ar-SA"/>
        </w:rPr>
        <w:t>الواقع تلوه ، ولا للّقب فيه كما لا يخفى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أيضا أنّ الترديد بين الردّ والقبول بعد عدم وجوب التبيّن ممّا لا حاجة إليه في وجه ، ولا وجه له في آخر ؛ فإنّ التبيّن إمّا أن يكون واجبا غيريّا مقدّميا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التعليل ، وهو الظاهر من الأمر في خصوص المقام كما يشهد به العرف ، ويعاضده ظهور الإجماع كما حكي عن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واجبا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الجمود على ظاهر الأمر بناء على أنّ الأصل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لا حاجة إليه في </w:t>
      </w:r>
    </w:p>
    <w:p>
      <w:pPr>
        <w:pStyle w:val="BookText"/>
        <w:rPr/>
      </w:pPr>
      <w:r>
        <w:rPr>
          <w:rFonts w:ascii="Amiri" w:hAnsi="Amiri" w:eastAsia="Amiri" w:cs="Amiri"/>
          <w:color w:val="111111"/>
          <w:sz w:val="28"/>
          <w:sz w:val="28"/>
          <w:szCs w:val="28"/>
          <w:rtl w:val="true"/>
          <w:lang w:bidi="ar-SA"/>
        </w:rPr>
        <w:t>وجه ؛ لأنّ عدم وجوب التبيّن هو حينئذ عين القبول كما أنّ الأمر بالتبيّن ليس إلاّ ردّ الخبر والوقوف عنده إلى ظهور الحال ، فالحكم بعدم وجوب التبيّن يلازم جواز العمل قبله ، فهو كناية عن القبول ، فالترديد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لا وجه له ؛ لأنّ الردّ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يكون وجوب التبيّن وجوبا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كون العادل أسوأ حالا من الفاسق ، فإنّ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مصرّح به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ردّ خبر العادل قبل التبيّن وخبر الفاسق بعده ، وهذا هو عين مراعاة حقّ العادل وملاحظة احترامه ، لاحتمال أن يكون وجوب التبيّن في خبره بواسطة إفشاء أمره وتشييع فاحشته وظهور كذبه ، وأمّا في العادل ، فلا يجب التبيّن من جهة لزوم إخفاء أمره وحفظ سرّه وستر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فبعد قيام مثل هذا الاحتمال لا دلالة في ردّ خبر العادل قبل التبيّن وخبر الفاسق بعده على كونه أسوأ حالا منه كما هو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حجّية مفهوم الوصف مطلقا ولو فيما لم يتقدّمه موصوف لفظا أو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 بما يقتضيه التعليل في ذيل الآية ، فإنّ قضيته تعمّ خبر العادل أيضا ، لوجود الاحتمال فيه بعده ، واللازم حينئذ التساقط كما هو الشأن في غيره ممّا يكون النسبة بين المتعارضين عموما من وجه لو لم نقل بتقديم التعليل ؛ لكونه أقوى من المفهوم دلالة ، ولأنّ المستفاد من مثله عرفا هو القضية الكلّية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عن أكل الرمّان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خبر الواحد وإن كان عدلا كأمين الإسلام الطبرسي والشيخ رحمه‌اللّه ، أمّا الطبرسي رحمه‌اللّه فبنى وجه الاستدلال على أنّ الآية لا مفهوم لها ، وعموم التعليل بخوف الندم جار في خبر الواحد العدل أيضا ، فتدلّ على عدم جواز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رحمه‌اللّه ، فإنّه وإن سلّم كون الآية ممّا له مفهوم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الخطاب يعني المفهوم لا يقاوم عموم التعليل ؛ لأنّه أظهر من المفهوم والظاهر يترك بالأظهر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المتمسّكون بها بحجّية خبر العدل الواحد ، فلهم في ذلك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من باب مفهوم الشرط كما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من باب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بالعلّية التي يشعر بها تعليق الحكم على الوصف المناسب للعلّية وكثيرا ما يعبّر عنه في كلماتهم بالمناسبة والاقتران كما احتمل التمسّك به جمال المحقّقين رحمه‌اللّه في حواشي العضدي فإنّه ذكر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في الآية الكريمة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الفاسق ومفهوم الشرط المختار اعتباره لكن اعتباره لا يفيد هاهنا ؛ إذ لا يفيد إلاّ عدم وجوب التبيّن عند عدم المجيء وهو كذلك ومفهوم الفاسق الظاهر أنّه من قبيل مفهوم اللقب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ضعيف ؛ لأنّ بناءه على أنّ تخصيصه بالذكر يوهم أنّ غيره على خلافه وهو ضعيف كما سيجيء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ترتيب الحكم على الوصف المناسب للعلّية فيشعر بعلّيته أي بأنّ علّة وجوب التبيّن هو كون الجائي فاسقا ، فلو كان كون الخبر خبر واحد موجبا له ،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علل الشرع معرّفات لا يمتنع اجتماعها ، ويجوز أن يكون التخصيص به لكون الحكم فيه آكد ، وكون الوجه فيه أظهر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المنطوق يكفي في الاستدلال به على حجّية الخبر ولا حاجة إلى التمسّك بمفهومها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بالتعليل المذكور في الآية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علّة وجوب التبيّن عن خبر الفاسق هو أنّ الإقدام</w:t>
      </w:r>
    </w:p>
    <w:p>
      <w:pPr>
        <w:pStyle w:val="BookText"/>
        <w:rPr/>
      </w:pPr>
      <w:r>
        <w:rPr>
          <w:rFonts w:ascii="Amiri" w:hAnsi="Amiri" w:eastAsia="Amiri" w:cs="Amiri"/>
          <w:color w:val="111111"/>
          <w:sz w:val="28"/>
          <w:sz w:val="28"/>
          <w:szCs w:val="28"/>
          <w:rtl w:val="true"/>
          <w:lang w:bidi="ar-SA"/>
        </w:rPr>
        <w:t xml:space="preserve">على مقتضى قوله عمل بجهالة حتّى كان العامل به في ظلمة ، ولهذا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انكشاف الحال بعد ذلك كالإصباح عن ظلمة الليل ، ولا ريب في انتفاء الجهالة عن مقتضى خبر العادل ؛ لكونه موثوقا به صادرا عن روية وبصيرة في الدين ناشئا عن الجريان على مقتضى الشرع ، فينتفي وجوب التبيّن عن خبره بانتفاء علّته التي هي الجهالة المؤدّية إلى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فقد سلكه الأكثر ، ومنهم صاحب المعالم رحمه‌اللّه حيث قرّر وجه الدلالة بأنّه سبحانه علّق وجوب التبيّن على مجيء الفاسق فينتفي عند انتفائه عملا بمفهوم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مجيء الفاسق بالنبإ له فردان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يتحقّق هناك إخبار أصلا ، وهذا لا ينبغي التكلّم فيه ؛ لظهور عدم وجوب التبيّن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يتحقّق الإخبار لكن من العادل لا الفاسق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يجب التبيّن عند مجيئه بالخبر بحكم الآية ، فإمّا أن يتحقّق عدم وجوب التبيّن عن خبره حينئذ في ضمن القبول فيكون ذلك لكونه واجب القبول وهو المطلوب ، أو في ضمن الردّ وهو باطل ؛ لأنّه يلزم أن يكون أسوأ حالا من الفاسق ، وفساده بيّن ، فقد تحصل حجّية من مفهوم الشرط بضميمة مقدّمة أخرى وهي أنّه لو ردّ خبر العدل بغير تبيّن ، لزم كونه أسوأ حالا من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قد منع من الافتقار إلى ضميمة المقدّمة الأخرى صاحب الفصول رحمه‌اللّه فإنّه بيّن وجه الاستدلال بها من دون ضميمتها ، ثمّ أشار إلى فساد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أنّه تعالى علّق وجوب تبيّن النبأ على مجيء الفاسق به ، فيدلّ بمفهومه على عدم وجوب التبيّن عند مجيء العادل به ، ومقتضاه جواز القبول ؛ لأنّ الأمر بطلب البيان إمّا كناية عن عدم جواز القبول أو مجاز عنه أو مخصوص بما لو أريد العمل بمقتضى نبئه ، فيكون وجوبه شرطيا ، ويرجع إلى الوجه السابق أو بمواضع خاصّة لا بدّ من التبيّن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الواقعة التي نزلت الآية فيها حيث يجب فيها طلب البيان بمطالبتهم بالصدقات ، فإن انقادوا إلى الحقّ وأدّوها ، تبيّن كذب النبأ قضاء بظاهر الحال ، وإن استنكفوا عنها وأظهروا التمانع والمعاداة ، تبيّن صدقه ووجب التهجّم على جهادهم ، لكن هذا في الحقيقة راجع إلى طلب أمر مخصوص يحصل به البيان ، وليس بطلب نفس البيان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بدّ من حمل الأمر بالتبيّن على أحد هذه الوجوه للإجماع على عدم وجوب التبيّن عند خبر الفاسق مطلقا وعلى هذا ، فما تداول في كتب القوم في بيان وجه الاستدلال في أنّه تعالى علّق وجوب تبيّن النبأ على مجيء الفاسق به ، فعلى تقدير مجيء العادل به إمّا أن يجب القبول وهو المدّعى ، أو يجب الردّ ، فيلزم أن يكون العادل أسوأ حالا عن الفاسق غير مستقيم ؛ إذ مرجع الأمر بالتبيّن فيما عدا الوجه الأخير إلى ردّ نبئه وفي الوجه الأخير يجب التبيّن في نبأ العادل أيضا وإنّما يتمّ ما ذكروه إذا حمل الأمر بالتبيّن على وجوبه مطلقا وهذا ممّا لا ذاهب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رحمه‌اللّه ومحصّله أنّه قام الإجماع على أنّه ليس الواجب هو التبيّن عن حال خبر الفاسق مطلقا حتّى في صورة عدم إرادة العمل به بل الوجوب مختصّ بحال إرادة العمل ، فلا بدّ من التصرّف في إطلاق الآية لئلاّ يكون مخالفا للإجماع ، فلا بدّ من حملها إمّا على إرادة عدم القبول من التبيّن ، فيصير منطوق الآية إن جاءكم فاسق بنبإ ، فلا تقبلوا قوله ، فيكون مفهومه إن جاءكم عادل بنبإ جاز لكم قبول قوله ، أو كون وجوب التبيّن شرطيا ، فيصير المعنى أنّ قبول قول الفاسق مشروط بالتبيّن ، فيصير مفهومه أنّ قبول قول العادل ليس مشروطا بالتبيّن ، أو حمل وجوب التبيّن على مواضع خاصّة يجب فيها التبيّن لكنّه اعترف بأنّ هذا الوجه لا يفيد في الاستدلال ؛ لأنّه يلزمه التبيّن عن خبر العادل أيضا على هذا التقدير ، فلا بدّ من حمل الآية على ما عداه ، وحينئذ لا يبقى حاجة إلى ضميمة المقدّمة الأخرى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فهو مسلك جماعة ، وليعلم أنّه ربّما يتّجه على القول بثبوت الواسطة بين العادل والفاسق وليس هو المجهول الحال كما زعمه بعض من لم يمعن النظر ؛ لأنّه إمّا عادل في الواقع ، أو فاسق وليس واسطة بينهما بحسب الواقع ، وإنّما هو من أسلم ولم يصدر منه ذنب بعد إسلامه بالنسبة إلى مقدار زمان لا يتحقّق فيه الملكة ، وكذلك من بلغ ولم يصدر منه ذنب بالنسبة إلى ذلك المقدار ، فيتحقّق الواسطة بين العادل والفاسق على القول بكون العدالة عبارة عن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بغيرها ، فيدخل ما عدّ واسطة على القول المذكور تحت العادل ، فعلى القول بثبوت الواسطة لا يفيد مفهوم الآية عند من يقول بثبوته تعيّن قبول قول العادل بل يفيد قبول غير الفاسق مطلقا الشامل للواسطة ؛ لأنّ مقتضى قاعدة المفهوم إنّما هو دفع الموجود في المنطوق ، ورفع الفاسق يعطي ثبوت القسمين من العادل والواسطة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المفهوم على إقامته ما هو ضدّ للمذكور في المنطوق بحسب التعارف مقامه لا على إقامة نقيضه ، وحينئذ</w:t>
      </w:r>
    </w:p>
    <w:p>
      <w:pPr>
        <w:pStyle w:val="BookText"/>
        <w:rPr/>
      </w:pPr>
      <w:r>
        <w:rPr>
          <w:rFonts w:ascii="Amiri" w:hAnsi="Amiri" w:eastAsia="Amiri" w:cs="Amiri"/>
          <w:color w:val="111111"/>
          <w:sz w:val="28"/>
          <w:sz w:val="28"/>
          <w:szCs w:val="28"/>
          <w:rtl w:val="true"/>
          <w:lang w:bidi="ar-SA"/>
        </w:rPr>
        <w:t>يتمّ المطلوب لكون العادل بالنسبة إلى الفاسق ضدّا متعارفا لكن بناء المفهوم على ذلك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فقد عرفت أنّه احتمله المحقّق جمال الدين الخوانساري رحمه‌اللّه وعزاه السيّد المحقّق الكاظمي رحمه‌اللّه في شرح الوافية إلى العلاّمة رحمه‌اللّه بعد أن ذكر أنّ للعلماء في الاستدلال بالآية المذكورة مسالك وجعل أوّلها الاستدلال بمفهوم الشرط ، وثانيها الاستدلال بمفهوم الوصف ، وثالثها الاستدلال بالتعليل المستفاد من تعليق الحكم على الوصف ، لكن أورد عليه الأستاد سلّمه اللّه تعالى بأنّ ذلك ممّا لا يعقل له معنى محصّل سوى اعتبار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السيّد رحمه‌اللّه في جعل المسلك الثالث قسيما للثاني في محلّه ، ولا بأس بأن نأتي بكلامه بعينه ، ثمّ نبيّن الوجه في إتقانه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رحمه‌اللّه بعد الإشارة إلى اختلاف مسالك العلماء رضوان اللّه تعالى عليهم وذكره ما لا يهمّنا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فمفهوم الشرط هاهنا غير مراد ؛ إذ الشرط إنّما هو مجيء الفاسق لا الفسق ، ولم يبق بعد هذا إلاّ تخصيص الفاسق بالذكر ، ومن ثمّ ذهب جماعة منهم المصنّف إلى أنّ دلالتها على قبول خبر غير الفاسق من باب الوصف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أنّه مفهوم لقب إذ أقصى ما فيه تخصيص الفاسق بالذكر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بنبإ فتبيّن لا وصف مذكور بالفسق كما في إن جاءكم نبأ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الثالث ما سلكه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الطلب إنّما جاء من تعليق الحكم وترتيبه على الوصف المناسب للعلّية ، فيشعر بأنّ علّة وجوب التبيّن هو كون الجائي فاسقا ، وذلك يقتضي عدم وجوب التبيّن عند انتفاء الفسق ؛ لأنّ انتفاء العلّة قاض بانتفاء معلولها ، وإلاّ فلا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ما يقتضي تعليق الحكم على الوصف المناسب الإشعار بكون هذا الوصف علّة لذلك الحكم ، أمّا أنّه لا علّة له سوى هذا الوصف فلا ، وإن شئت فانظر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العلماء ، فإنّه يشعر بكون العلم علّة للإكرام ، ولا يمنع من ثبوت علّة أخرى كالأدب والإحسان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ذلك بحسب المقام فربّ مقام يقتضي انحصار العلّة في الوصف المذكور وما نحن</w:t>
      </w:r>
    </w:p>
    <w:p>
      <w:pPr>
        <w:pStyle w:val="BookText"/>
        <w:rPr/>
      </w:pPr>
      <w:r>
        <w:rPr>
          <w:rFonts w:ascii="Amiri" w:hAnsi="Amiri" w:eastAsia="Amiri" w:cs="Amiri"/>
          <w:color w:val="111111"/>
          <w:sz w:val="28"/>
          <w:sz w:val="28"/>
          <w:szCs w:val="28"/>
          <w:rtl w:val="true"/>
          <w:lang w:bidi="ar-SA"/>
        </w:rPr>
        <w:t>فيه من هذا القبيل ، وذلك لأنّ عادة الناس لمّا كانت جارية في قبول الأخبار في معاملاتهم وسياساتهم ومعاشراتهم ، ولم ينكر اللّه عليهم من ذلك إلاّ قبول خبر الفاسق ، علم اختصاص الإنكار به ، فإنّه لو كان هناك قسم آخر من الأخبار ، لا يجوز قبوله والتسارع إلى الأخذ به ، لأنكره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رحمه‌اللّه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تصحيح جعل السيّد رحمه‌اللّه المسلك الثالث قسيما للثاني على مذهبه وعلى مذهب العلاّمة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فبيانه أنّه رحمه‌اللّه يرى أنّ مفهوم الوصف عبارة عن المفهوم المستفاد من الوصف الذي ذكر معه الموصوف ، وأنّ محلّ النزاع في مبحث حجّية مفهوم الوصف ذلك كما أشار إليه في طيّ كلامه المذكور ، وصرّح به في ذلك المبحث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أنّهم إنّما يريدون من مفهوم الصفة ما يفهم من التقييد بها ، ولا يتمّ ذلك إلاّ إذا جيء بالموصوف والصفة معا ، فإن اقتصر على الصفة كادع لي صالحا كان من مفهوم اللقب كما نصّ عليه غير واحد ، والذي يدلّ على ذلك أنّهم لا يشترطون في مفهوم اللقب الجمود وكثيرا ما يشتبه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الوصف إذا كان لتمييز المسمّى عمّا شاركه في الاسم دون تقييد الحكم كان الموصوف مع صفته بمنزلة الاسم الخاصّ ، فلا يكون له مفهوم وصف بل من أثبت اللقب مفهوما ، قال به ، وبهذا يندفع ما أورده السيّد رحمه‌اللّه على مفهوم الوصف وكثيرا ما يشتبه هذا ، ولله درّ العميدي حيث قال في 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الخطاب الدالّ على حكم متعلّق باسم عامّ مقيّد بصفة خاصّة ، فكان فيه إشارة إلى كلا الأمرين ، ثمّ استشهد رحمه‌اللّه على ما ذكره بغير ذلك ، وعلى هذا فلا يكون دلالة آية النبأ عنده من باب مفهوم الوصف لعدم ذكر الموصوف مع لفظة فاسق ، ويكون من باب التعليل المستفاد من تعليق الحكم بالوصف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نسبه إلى الفاضل التوني من كونه يرى أنّ دلالة الآية من باب مفهوم الوصف ، فذلك لتصريح الفاضل المذكور في ردّ الاستدلال بالآية المذكورة بأنّه استدلال بمفهوم الصفة على أصل علمي ، فهذا الردّ من ذلك الفاضل مبنيّ على إنكاره حجّية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فبيانه أنّه وإن لم يقع التصريح من العلاّمة رحمه‌اللّه بما ذكره السيّد رحمه‌اللّه من معنى مفهوم الوصف بل ذكر في باب المنطوق والمفهوم في النهاية أقسام مفهوم المخالفة ، وجعل أوّلها تقييد</w:t>
      </w:r>
    </w:p>
    <w:p>
      <w:pPr>
        <w:pStyle w:val="BookText"/>
        <w:rPr/>
      </w:pPr>
      <w:r>
        <w:rPr>
          <w:rFonts w:ascii="Amiri" w:hAnsi="Amiri" w:eastAsia="Amiri" w:cs="Amiri"/>
          <w:color w:val="111111"/>
          <w:sz w:val="28"/>
          <w:sz w:val="28"/>
          <w:szCs w:val="28"/>
          <w:rtl w:val="true"/>
          <w:lang w:bidi="ar-SA"/>
        </w:rPr>
        <w:t xml:space="preserve">المطلق بالوصف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خامسها التخصيص بالأوصاف التي تفرّد بالذكر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السائمة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كلاّ منهما قسيما للآخر ، وأفردهما في العنوان إلاّ أنّه يظهر منه في التهذيب أنّ البحث عن مفهوم الوصف من حيث هو وصف لا لأمر خارج ، ولهذا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الوصف لا يقتضي عدم الأمر المعلّق به مثل زكّوا عن الغنم السائمة لانتفاء الدلالات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المطابقة والتضمّن ، فظاهر ، وأمّا الالتزام ، فلأنّ ثبوت المعلّق على الوصف يصدق مع ثبوته عند عدم الوصف ومع عدمه ، ولا يستلزم العامّ الخاصّ وقال رحمه‌اللّه في آخر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الوصف علّة ، لزم من نفيه نفي الحكم تحقيقا للعلّية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عدم حجّية مفهوم الوصف في حدّ ذاته لكنّه التزم بأنّه لو أفاد الوصف العلّية في مورد ، لزم من انتفائه انتفاء الحكم ، فهذا ليس من الوصف بل من العلّية المستفادة كما أشار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تحقيقا للعلّية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ولاحظت كلام العلاّمة في الاستدلال بآية النبأ ، علمت أنّه ليس من مفهوم الوصف على مذاقه لأنّه قال في التهذيب بعد 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التبيّن عند خبر الفاسق لكونه فاسقا للمناسبة والاقتران ، ولانتفاء الفائدة في التقييد لولاه ، إذ تعليق الحكم على الذاتي وهو كونه خبر واحد أولى من تعليقه على العرفي ، فمع الانتفاء إن وجب الترك كان العدل أسوأ حالا من الفاسق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بالتبيّن عند إخبار الفاسق وقد اجتمع فيه 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هو كونه خبر واحد ، وعرضي وهو كونه فاسقا ، والمقتضي للتبيين هو الثاني للمناسبة والاقتران ، لأنّ الفسق يناسب عدم القبول ، فلا يصلح الأوّل للعلّية ، وإلاّ لوجب الاستناد إليه ؛ إذ التعليل بالذاتي الصالح للعلّية أولى من التعليل بالعرضي ؛ لحصوله قبل حصول العرضي ، فيكون الحكم قد حصل به قبل حصول العرضي ، وإذا لم يجب التبيّن عند إخبار العدل ، فإمّا أن يجب القبول وهو المطلوب ، أو الردّ فيكون حاله أسوأ من حال الفاسق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تمسّك بالمناسبة والاقتران وذلك غير مفهوم الوصف من حيث هو الذي قد أنكره ، ومن هنا يظهر أنّ عدّ السيّد عميد الدين ممّن استند إلى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من الأستاد سلّمه اللّه تعالى لا وجه له ؛ لأنّه ذكر ما ذكره العلاّمة في النهاية ، ولم يذكر ما يدلّ على أنّ الاستدلال من جهة مفهوم الوصف ، فقد تحصّل أنّ إفادة تعليق الحكم على الوصف المناسب العلّية مغاير لحجّية</w:t>
      </w:r>
    </w:p>
    <w:p>
      <w:pPr>
        <w:pStyle w:val="BookText"/>
        <w:rPr/>
      </w:pPr>
      <w:r>
        <w:rPr>
          <w:rFonts w:ascii="Amiri" w:hAnsi="Amiri" w:eastAsia="Amiri" w:cs="Amiri"/>
          <w:color w:val="111111"/>
          <w:sz w:val="28"/>
          <w:sz w:val="28"/>
          <w:szCs w:val="28"/>
          <w:rtl w:val="true"/>
          <w:lang w:bidi="ar-SA"/>
        </w:rPr>
        <w:t>مفهوم الوصف ، ويشهد بذلك أنّه تمسّك به في الاستدلال بالآية بعض من لا يرى حجّية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كلام الفاضل القمّي رحمه‌اللّه في طيّ كلماته المتعلّقة بأخبار الآحاد وحجّية الظنّ ، وصوّره بصورة الوضوح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أنّ التبيّن أعمّ من التبيّن الإجمالي والتفصيلي ، ودعوى اختصاصه بالتفصيلي مكابرة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المعروف المشهور أنّ الخبر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والحسن والموثّق والضعيف ، وأنّ الأخير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منجبر بالشهرة وعمل الأصحاب ، وغير منجبر ، فهذه خمسة ، وأنّ الآية الكريمة تعطي عدم قبول الضعيف الغير المنجبر قطعا ، لعدم تحقّق التبيّن فيه ، وجواز قبول الضعيف المنجبر لتحقّق التبيّن التفصيلي ، وكذلك جواز قبول الموثّق من حيث كون رواته ثقاة في مذهبهم ، وكون العلم أو الظنّ بأنّ الراوي ثقة في مذهبه تبيّن إجمالي لخبره ، وكذلك جواز قبول الحسن من حيث كون رواته إماميّين ممدوحين وإن لم يبلغ مدح بعضهم أو جميعهم درجة العدالة ؛ لأنّ في تحقّق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الراوي شيخ الإجازة مثلا وإن لم ينصّ عليه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تبيّنا إجماليا بالنسبة إلى غيره كما قيل في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لم ينصّ عليه في كتب الرجال بالتوثيق إلاّ أنّ كونه قد نشر أحاديث الكوفيّين بقمّ مع كون أهلها ممّن يقدح في اعتبار قول الراوي بأدنى صفة مرجوحة فيه دليل على جلالة شأنه ، فقد اندرج اعتبار الأقسام الثلاثة في منطوق الآية من جهة تعميم التبيّن إلى التبيّن الإجمالي ، وبقي حال الصحيح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يحكم بحجّيته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تحقّقنا أنّ مناط حجّية ما أفادت الآية حجّيته من الأقسام الثلاثة إنّما هو الظنّ والوثوق بصدوره وهو موجود في الصحيح أيضا أو تحكم بحجّيته بالأولوية القطعية نظرا إلى أنّ الأقسام الثلاثة إذا اعتبرت من جهة الظنّ والوثوق مع كون رواتها ليس بأسرهم إماميّين عدولا ، فالصحيح الذي رواته بأسرهم إماميّون عدول يكون أولى بالقبول قطعا بل ربّما يزاد على هذه الجملة ،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الكريمة أفادت أنّ المناط في القبول هو التبيّن ، فكلّ تبيّن يكون حجّة ، ومن هنا يعتبر الشهرة والإجماع المنقول وغيرهما ممّا أفاد الظنّ فيكون مفاد الآية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الاستدلال بالتعليل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من إيضاح المقصود به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بالتبيّن هو تحصيل الوثوق</w:t>
      </w:r>
    </w:p>
    <w:p>
      <w:pPr>
        <w:pStyle w:val="BookText"/>
        <w:rPr/>
      </w:pPr>
      <w:r>
        <w:rPr>
          <w:rFonts w:ascii="Amiri" w:hAnsi="Amiri" w:eastAsia="Amiri" w:cs="Amiri"/>
          <w:color w:val="111111"/>
          <w:sz w:val="28"/>
          <w:sz w:val="28"/>
          <w:szCs w:val="28"/>
          <w:rtl w:val="true"/>
          <w:lang w:bidi="ar-SA"/>
        </w:rPr>
        <w:t>والاطمئنان بقول الفاسق حيث جاء بالخبر ، والمراد بالجهالة خلاف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بالتبيّن هو تحصيل العلم العرفي أطلق عليه لفظه ، لجريان عادة العقلاء على الاعتماد في أمورهم على ما يحصل به الوثوق والاطمئنان حتّى عبّروا عنه بالعلم في محاوراتهم ، فوقع الخطاب على طريقة أهل العرف ، وعلى هذا يكون اعتبار الوثوق والاطمئنان بقول العادل مستفادا من منطوق الآية الكريمة من جهة أمر اللّه تعالى بتحصيل الاطمئنان بقول الفاسق وتعليله بأنّ في ترك الاطمئنان إصابة قوم بجهالة مستعقبة للندم حتّى كان تلك الجهالة ظلمة يتبعها الندم بعد الإصباح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معنى العلّية ليس إلاّ الانتفاء عند الانتفاء فينتفي وجوب التبيّن عن خبر العادل من جهة انتفاء علّته التي هي الإصابة بالجهالة والوقوع فيما يستعقب الندم عند انكشاف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 أنّ الآية ناطقة بعلّية الإصابة من دون وثوق ، وتعرّض ما يستعقب الندم من غير اطمئنان للتبيّن ، ومعنى العلّية هو وجود المعلول عند وجود العلّة وانتفاؤه بانتفائها ، فتدلّ على عدم وجوب التبيّن عمّا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استعمال التبيّن في الوثوق ، واستعمال الجهالة في خلافه أمر شائع لا يأبى من الحمل عليه لفظ الكتاب ، وممّا يؤيّد هذا المعنى وقوع الإجماع على اعتبار الخبر الضعيف للوثوق بصدوره المفيد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التبيّن في الاطمئنان يلزمه اندراج الخبر الضعيف المذكور تحته ، واستعماله في العلم الوجداني يستلزم التخصيص في الآية ؛ إذ لا بدّ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الفاسق يجب تحصيل العلم فيه إلاّ إذا كان مفيدا للاطمئنان ، فلا يلزم تحصيل العلم حينئذ وهو تخصيص في لزوم تحصيل العلم بقول الفاسق إذا جاء بنبإ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تحمل الآية على ما لا يستلزم التخصيص لكن لا يخفى ما في هذا التأييد ؛ لدوران الأمر فيه بين المجاز والتخصيص ؛ ضرورة كون استعمال التبيّن في الاطمئنان مجازا وقد تقرّر في محلّه أنّ التخصيص أولى من المجاز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إنّما هو بحسب النوع ، وإلاّ فقد يتّفق كون شيء من المجاز أظهر من التخصيص بحسب المتعارف ، فيقدّم على التخصيص ؛ لأنّ ما ذكروه من تقدّمه على المجاز إنّما هو بحكم العرف ، وإذا وجدنا حكم العرف في شيء من</w:t>
      </w:r>
    </w:p>
    <w:p>
      <w:pPr>
        <w:pStyle w:val="BookText"/>
        <w:rPr/>
      </w:pPr>
      <w:r>
        <w:rPr>
          <w:rFonts w:ascii="Amiri" w:hAnsi="Amiri" w:eastAsia="Amiri" w:cs="Amiri"/>
          <w:color w:val="111111"/>
          <w:sz w:val="28"/>
          <w:sz w:val="28"/>
          <w:szCs w:val="28"/>
          <w:rtl w:val="true"/>
          <w:lang w:bidi="ar-SA"/>
        </w:rPr>
        <w:t xml:space="preserve">الموادّ على خلاف ما بنوا عليه في الغالب ، لزم اتّباعهم ، وما نحن فيه من هذا القبيل ؛ لكون استعمال التبيّن في الاطمئنان تجوّزا شائعا ، فيقدّم على التخصيص هذا ، ولازم هذه الطريقة ترك الجمود على قبول نوع الصحيح والحسن والموثّق بل لا بدّ من تنويعها والعمل بما أفاد الوثوق منها دون غيره ، فيعتبر بالصحيح الأعلى مثلا ، أو ما أفاد الوثوق من غير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الصحيح ، وكذلك الحسن ، فيعتبر منه ما بلغ مدح رواته أعلى المراتب ككونه شيخ الإجازة ، وكالمدح الواقع في إبراهيم بن هاشم من كونه قد نشر أحاديث الكوفيّين بقمّ مع كونهم ينفون من بلادهم من كان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فيعتبر منه ما أفاد الاطمئنان دون غيره ، وكذلك الموثّق فيعتبر منه ما كان راويه مع كونه ثقة في مذهبه ممدوحا بما يفيد الوثوق به مثل ما حكي عن عليّ بن الحسن بن فضّال مع كونه فطحيا أنّه لم يرو عن أبيه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أقابله بكتبه وسنّي ثماني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ولا أفهم إذ ذاك ، ولا أستحلّ أن أرويها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يعثر له على زلّة في الحديث ولا ما يشينه ، وقلّ ما روى عن ضعيف وقد شهد له بالثقة الشيخ والنجاشي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يفيد الوثوق ، فلا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 المراد بالآية هو الأمر بتحصيل الوثوق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استقرار طريقة العقلاء على العمل بالخبر المفيد للاطمئنان يمنع من حمل التبيّن في الآية عليه ؛ لأنّ لازم الأمر بالتبيّن بمعنى تحصيل الاطمئنان أن يكون المخاطبون بالآية قد عملوا بقول وليد من دون اطمئنان حتّى أمرهم اللّه تعالى بتحصيل الاطمئنان ، وذلك ينافي كونهم عقلاء وهو معلوم البطلان ، فظهر أنّ لازم كونهم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قرّرت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أخذوا بقول وليد ؛ لاطمئنانهم به إلاّ أنّه لمّا كان لا يكفي في العمل بقول الفاسق أمرهم اللّه تعالى بتحصيل 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وليدا ربّما كان بحسب الظاهر عادلا عندهم كما هو مقتضى كونه عامل الصدقات بأمر النبيّ صلى‌اللّه‌عليه‌وآله وإن كان سرّه محجوبا عنهم ، فلذلك وثّقوا واكتفوا بعدالته إلاّ أنّ اللّه نبّه على فسقه ولزوم التبيّن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الوثوق كان مبنيّا على زعمهم من عدالته ، فيزول بالتنبيه على انتفائها ، فيلزم التبيّن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وثوقهم بقوله وإن لم يكن عندهم عادلا ربّما كان ابتدائيا يزول بالالتفات وقد اشتبه</w:t>
      </w:r>
    </w:p>
    <w:p>
      <w:pPr>
        <w:pStyle w:val="BookText"/>
        <w:rPr/>
      </w:pPr>
      <w:r>
        <w:rPr>
          <w:rFonts w:ascii="Amiri" w:hAnsi="Amiri" w:eastAsia="Amiri" w:cs="Amiri"/>
          <w:color w:val="111111"/>
          <w:sz w:val="28"/>
          <w:sz w:val="28"/>
          <w:szCs w:val="28"/>
          <w:rtl w:val="true"/>
          <w:lang w:bidi="ar-SA"/>
        </w:rPr>
        <w:t>عليهم بالوثوق التامّ ، فجروا على مقتضاه ، ثمّ إنّ اللّه تعالى نبّههم وأمرهم بالوثوق التامّ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كلّه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التمسّك بالمفهوم الذي قد تقدّم أنّ فيه مسلكين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حجّية مفهوم الشرط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مفهوم الوصف ؛</w:t>
      </w:r>
    </w:p>
    <w:p>
      <w:pPr>
        <w:pStyle w:val="BookText"/>
        <w:rPr/>
      </w:pPr>
      <w:r>
        <w:rPr>
          <w:rFonts w:ascii="Amiri" w:hAnsi="Amiri" w:eastAsia="Amiri" w:cs="Amiri"/>
          <w:color w:val="111111"/>
          <w:sz w:val="28"/>
          <w:sz w:val="28"/>
          <w:szCs w:val="28"/>
          <w:rtl w:val="true"/>
          <w:lang w:bidi="ar-SA"/>
        </w:rPr>
        <w:t>فيرد على الأوّل منهما المنع من جهة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منهما المنع من جهة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على المتمسّكين بحجّية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فيقرّر تارة من جهة حزازة كيفية الاستدلال ، وأخرى من جهة المنع على نفس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فبيانه أنّه لا ريب في أنّ وجوب التبيّن ليس نفسيا بل شرطي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مادّة التبيّن كالفحص والبحث والتجسّس ممّا أخذ فيه كون معناه للوصول إلى غيره ، فلا يعقل أن يكون التبيّن مطلوبا لنفسه كالصلاة والصيام وأخواتهما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المذكور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يفيد ذلك للدلالة على أنّ وجوب التبيّن إنّما هو لأجل التحرّز عن الندم من قبول قول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التبيّن ليس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بعد تسليم إفادة الآية الكريمة للمفهوم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عادل بنبإ ، فلا يجب تبيّن 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حاجة إلى ضمّ المقدّمة الأخرى ، وهي أنّه إمّا أن يجب القبول ، فيثبت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يلزم الردّ ، فيلزم كونه أسوأ حالا من الفاسق ، وذلك لأنّ التبيّن قد كان شرطا لقبول قول الفاسق ، فيسقط بانتفاء المشروط به ، ومقتضاه جواز قبول قول العادل ، فلا حاجة إلى المقدّمة المذكورة ، فيكون الإتيان بها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عن كون وجوب تبيّن خبر الفاسق نفسيا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يضرّهم ولا ينفعهم ، وضمّ المقدّمة المذكورة لا يفيد ؛ لأنّ مقتضى المفهوم حينئذ نفي ذلك الوجوب النفسي عن تبيّن خبر العادل ، ولا يلزم منه قبول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خبر العادل بدون تبيّن ، لزم كونه أسوأ حالا من الفاسق ممّا يقابل بالمنع ، لأنّ التبيّن عن خبر المخبر ربّما أدّى إلى ظهور خلاف ما أخبر به ، وحينئذ يهتك ستره ، وينحطّ عن القلوب محلّه ، وحيث كان الفاسق ليس له خطر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بالتبيّن عن حال خبره</w:t>
      </w:r>
    </w:p>
    <w:p>
      <w:pPr>
        <w:pStyle w:val="BookText"/>
        <w:rPr/>
      </w:pPr>
      <w:r>
        <w:rPr>
          <w:rFonts w:ascii="Amiri" w:hAnsi="Amiri" w:eastAsia="Amiri" w:cs="Amiri"/>
          <w:color w:val="111111"/>
          <w:sz w:val="28"/>
          <w:sz w:val="28"/>
          <w:szCs w:val="28"/>
          <w:rtl w:val="true"/>
          <w:lang w:bidi="ar-SA"/>
        </w:rPr>
        <w:t>المؤدّي أحيانا إلى ظهور خلاف ما أخبر به الموجب لانحطاط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فتوضيح المقال فيه هو أنّ أهل هذه الصناعة قد قرّروا في باب المفاهيم أنّ طريقة أخذ المفهوم هو أن يترك القيود المعتبرة في المنطوق على حالها ، وتبدّل الكيفية ، فمن ذلك يحصل المفهوم المعتبر من الكلام الذي في شأنه إفادة المفهوم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الشرطية في الآية الكريمة بعد إبراز ما اعتبر فيها من القيود ليست إلاّ إن جاءكم فاسق بنبإ فتبيّنوا نبأ ذلك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مفهومه حينئذ إلاّ ما يعبّر عنه بأنّه إن لم يجئكم فاسق بنبإ ، فلا يجب عليكم تبيين نبأ ذلك الفاسق ، وهذا المعنى ممّا لا مساس له بخبر العادل أصلا ، فيكون مسكوتا عنه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المفهوم ممّا لا فائدة فيه أصلا ، وقصده بالكلام لغو لا مساغ للالتزام به في كلام الحكيم على الإطلاق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إثبات أنّ مقصوده تعالى ذلك ، بل المراد أنّ مثل هذه الجملة الشرطية لا يليق به مفهوم سوى ما ذكر ، وإلاّ فليس الكلام هنا مفيدا للمفهوم ، لعدم قابليته لإفادته ، وليس الكلام إلاّ مسوقا لإفادة الربط بين الشرط والجزاء في الوجود ، بمعنى وجود الثاني عند وجود الأوّل ، وليس مسوقا لإفادة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مسوق لبيان حال الموضوع بحسب الوجود فقط ، وهذا القسم في الجملة الشرطية ليس ممّا يعزّ وجوده ، ألا ترى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مسوقا إلاّ لبيان تحقّق الموضوع ، وليس المقصود منه أنّه إذا لم يتوجّه إليكم تحيّة ، فلا يجب مقابلتها بأحسن منها أو ردّوها ،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قُرِئَ الْقُرْآنُ فَاسْتَمِعُوا لَهُ وَأَنْصِتُوا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رزقت ولدا ، فاختنه ؛ وإن ركب زيد ، فالزم ركابه ؛ وإن قدم من السفر ، فاستقبله ؛ وإن تزوّجت ، فلا تضيّع حقّ زوجتك ؛ وإن آخيت أحدا ، فراع حقّه ، وأمثال ذلك ممّا لا يحصى ، وهذا النوع من الجملة الشرطية ليس مجازا إلاّ على القول باعتبار التقييد بالمفهوم في أصل الوضع ، على أن يكون التقييد داخلا والقيد خارجا ، وقد تقدّم تفصيل القول في وجه دلالة اللفظ على المفهوم في محلّه ، فراجع هكذا ينبغي أن يجاب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للفاضل القمّي رحمه‌اللّه في مقام الجواب عنه ما ينبغي التعرّض لما فيه ، وتمييز كدره من</w:t>
      </w:r>
    </w:p>
    <w:p>
      <w:pPr>
        <w:pStyle w:val="BookText"/>
        <w:rPr/>
      </w:pPr>
      <w:r>
        <w:rPr>
          <w:rFonts w:ascii="Amiri" w:hAnsi="Amiri" w:eastAsia="Amiri" w:cs="Amiri"/>
          <w:color w:val="111111"/>
          <w:sz w:val="28"/>
          <w:sz w:val="28"/>
          <w:szCs w:val="28"/>
          <w:rtl w:val="true"/>
          <w:lang w:bidi="ar-SA"/>
        </w:rPr>
        <w:t xml:space="preserve">صافيه ، وذلك أنّه رحمه‌اللّه بعد أن قرّر وجه الاستدلال على الوجه الذي حكيناه عن صاحب المعالم قدس‌سره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كثير من الأصوليين ، والوجه عندي أنّه ليس من باب مفهوم الشرط ؛ لأنّ غاية ما يمكن توجيهه على ذلك أن يكون المعنى إن جاءكم خبر الفاسق فتبيّنوا ، ومفهومه إن لم يجئكم خبر الفاسق ، فلا يجب التبيّن سواء لم يجئكم خبر أصلا ، أو جاءكم خبر عدل ، فالمطلوب داخل في المفهوم ولم يكن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إن جاءكم الفاسق بالخبر ، ومفهومه إن لم يجئ الفاسق بالخبر لا إن لم يجئ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بالتبيّن والتثبّت طلب ظهور حال خبر الفاسق والثبات والقرار حتّى يظهر حال خبر الفاسق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تبيّنوا خبر الفاسق ، فالمفهوم يقتضي عدم وجوب تبيّن حال خبر الفاسق لا خبر العادل ؛ للزوم وحدة الموضوع والمحمول في المفهوم والمنطوق في الشرط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كان مقدّم المفهوم إن لم يجئكم خبر الفاسق بحيث يشمل عدم خبر أصلا ، أو كان ولكن كان خبر العادل ، فيندرج فيه خبر العادل ، ولكن لا يدلّ على عدم وجوب تبيّنه مع أنّ ذلك خروج عن حقائق الكلام وترك للعرف والعادة بمجرّد احتمال كون السالبة منتفية الموضوع ، ولا ريب أنّه مجاز لا يصار إليه ، وقسمة المنطقيين السالبة إلى الموجود الموضوع ، والمنتفي الموضوع لا توجب كونه معنى حقيقيا لها ، أو عرفيا ، والكتاب والسنّة إنّما وردا على مصطلح أهل اللغة والعرف لا مصطلح أهل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يدلّ على عدم وجوب 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وجوب تبيين خبر العادل كما هو مدّعى المستدلّ بمفهوم الشرط ، وذلك لأنّه وإن سلّم أنّ عدم مجيء خبر الفاسق وعدم وجوب تبيين خبره في مثل هذه القضيّة التي هي إن لم يجئكم خبر الفاسق ، فلا يجب عليكم تبيين خبر ذلك الفاسق سواء كان هناك خبر عادل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حكم عدم وجوب التبيّن مختصّ بالفاسق ، وخبر العادل مسكوت عنه وإن كان عدم مجيء خبر الفاسق ووجوب التبيّن عنه أعمّ بالنسبة إلى حالتي مجيء خبر العادل وعدم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الاستدلال بمفهوم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إن لم يجئكم فاسق بنبإ ، فلا يجب عليكم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حقائق الكلام وترك للعرف والعادة بمجرّد احتمال كون السالبة منتفية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بالسالبة هي إن لم يجئكم فاسق بنبإ ، ولا ريب أنّ موضوعها هو الفاسق ، ويتصوّر كونها منتفية الموضوع بأن ينتفي الفاسق مع بقاء وجوب بناء المذكور في القضية السالبة التي هي المفهوم ، وكذا عدم وجوب التبيّن ، ولا ريب أنّ ثبوت البناء وتحقّق عدم التبيّن مع انتفاء الفاسق الذي هو موضوع لا يكون إلاّ بأن يكون هناك عادل جاء بالنبإ وأراد بالخروج عن حقائق الكلام حمل تلك السالبة على معنى يتحقّق فيه انتفاء الموضوع ، وكذلك المراد بترك العرف والعادة ذلك ؛ لعدم مساعدة العرف إلاّ على حمل السالبة على الموجود الموضوع ؛ لأنّ ذلك معناها الحقيقي عندهم ، وحاصل مراده أنّهم حملوا السالبة على المنتفية الموضوع بمجرّد الاحتمال مع وضوح أنّ حمل اللفظ على معناه المجازي بمجرّد احتماله لذلك من دون قيام قرينة ممّا لا مساغ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كلامه رحمه‌اللّه مواقع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تعميم مجيء نبأ العادل وعدم مجيئه ليس شيء منهما من أفراد عدم مجيء نبأ الفاسق ، ولا يقصد أحد من المتكلّمين التعميم في أمثاله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 زيد ، فلا تكرمه لا تقصد بشيء منهما التعميم بالنسبة إلى مجيء عمرو وعدم مجيئه ولا يعدّ شيء منهما من أفراد مجيء زيد وعدم مجيئه ، فالالتزام بالعموم كما صدر منه رحمه‌اللّه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المصير إلى حمل السالبة على المنتفي الموضوع بمجرّد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أنّه يسلم جريان احتمال كون السالبة منتفية الموضوع خصوصا بملاحظة دفعه بكونه مجازا بغير قرينة ، وذلك بمكان من البعد من مثله ؛ لأنّ السالبة في كلامه لا يمكن أن تكون إلاّ عبارة عن المفهوم ، ولا ريب أنّ المفهوم ليس إلاّ أمرا لبّيا وهو رفع المنطوق ، فكيف يعقل فيه إرادة انتفاء الموضوع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نبأ الفاسق فتبيّن ، يفهم منه معنى لازم يعبّر عنه في المحاورات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 نبأ الفاسق ، فلا يجب عليك التبيّن ، وأين هو من السالبة بانتفاء الموضوع بالمعنى الذي يريده ممّا بيّنّاه من انتفاء الفاسق وبقاء الخبر مع عدم وجوب تبيّنه؟ أم كيف يعقل فيه الخروج عن الحقيقة وليس من قبيل الألفاظ؟ مضافا إلى ما عرفت من أنّه لا</w:t>
      </w:r>
    </w:p>
    <w:p>
      <w:pPr>
        <w:pStyle w:val="BookText"/>
        <w:rPr/>
      </w:pPr>
      <w:r>
        <w:rPr>
          <w:rFonts w:ascii="Amiri" w:hAnsi="Amiri" w:eastAsia="Amiri" w:cs="Amiri"/>
          <w:color w:val="111111"/>
          <w:sz w:val="28"/>
          <w:sz w:val="28"/>
          <w:szCs w:val="28"/>
          <w:rtl w:val="true"/>
          <w:lang w:bidi="ar-SA"/>
        </w:rPr>
        <w:t>يقصد المفهوم بأمثال هذه الخطابات أصلا حتّى يجري احتمال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غاية توجيه ما ذكروه أن يكون المراد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خبر الفاسق ، فتبيّنوا ومفهومه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يجئكم خبر الفاسق ، فلا يجب التبيّن سواء لم يجئكم خبر أصلا ، أو جاءكم خبر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وجه لكونه توجيها ، فإن كان الوجه هو التعميم بالنسبة إلى عدم مجيء خبر أصلا ومجيء خبر العادل ، فذلك ممكن في نفس مفهوم الآية بدون صرفها عن ظاهرها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يجئكم فاسق بنبإ ، فلا يجب التبيّن سواء لم يكن هناك خبر أصلا ، أو كان هناك خبر أصلا ، أو كان هناك خبر العادل ، وإن كان أمرا وراء ذلك ، فلا نعقله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يعقله إلاّ العالمون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من جميع ما ذكرنا أنّ الجملة الشرطية المذكورة في الآية ممّا لا يفيد جواز قبول قول العادل ، نعم لو كان سبحانه قد قال بدل هذه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فسق الجائي بالنبإ ، فتبيّنوا نبأه ، كان مفهومه إن لم يفسق الجائي بالنبإ بل هي على عدالته ، فلا يجب عليكم تبيين نبئه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الآية مسوقة لبيان حال المنبئ ، فالمراد فيها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إن فسق الجائي إلخ فيفيد بالمفهوم جواز قبول قول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أنّ إمكان تحويل صورة قضيّة إلى أخرى لا يقتضي أن يكون مفاد الأولى هو مفاد الثانية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على المتمسّكين بمفهوم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نمنع من حجّية مفهوم الوصف من أصله ، مضافا إلى ما ذكره بعضهم من أنّا لو سلّمنا ذلك ، فإنّما نسلّمه فيما لو كان الموصوف مذكورا ، وأمّا ما لم يكن الموصوف مذكورا معه ، فهو من قبيل مفهوم اللقب لكن هذا غير مرضيّ عندنا ، لعموم النزاع هناك وكون ما استفيد فيه المفهوم واستدلّ به ممّا لم يذكر معه الموصوف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بعضهم في الاستدلال بالآية من باب مفهوم الوصف بوجه آخر وهو أنّ مفهوم الوصف وإن لم يكن حجّة إلاّ أنّه لا ريب في حجّيته إذا وقع في سياق الشرط ، وبذلك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دعوى لا شاهد عليها فتوجّه المنع إليها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 الفاضل القمّي رحمه‌اللّه بوجه آخر أشار إليه بعد ردّ الاستدلال بمفهوم الشرط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على مفهوم الوصف ، فإنّا وإن لم نقل بحجّيته في نفسه لكنّه قد يصير حجّة بانضمام</w:t>
      </w:r>
    </w:p>
    <w:p>
      <w:pPr>
        <w:pStyle w:val="BookText"/>
        <w:rPr/>
      </w:pPr>
      <w:r>
        <w:rPr>
          <w:rFonts w:ascii="Amiri" w:hAnsi="Amiri" w:eastAsia="Amiri" w:cs="Amiri"/>
          <w:color w:val="111111"/>
          <w:sz w:val="28"/>
          <w:sz w:val="28"/>
          <w:szCs w:val="28"/>
          <w:rtl w:val="true"/>
          <w:lang w:bidi="ar-SA"/>
        </w:rPr>
        <w:t>قرينة المقام كما أشرنا إليه في مباحث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الفصول رحمه‌اللّه بعد حكايته عنه بما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مساعدة المقام على استفادة حكم من التعليق على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دلالته عليه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لقرائن حالية وثبوتها في المقام ممنوع قطعا ، أو لقرائن لفظية راجعة إلى انحصار فائدة التعليق في الاحتراز ، أو ظهورها بحسب مقام التعليق من بين الفوائد ، فهذا إنّما جريانه بحسب تحصيل الوثوق والاعتداد به فيما إذا تعقّب الوصف الخاصّ للموصوف العامّ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بخبر فاسق أو رجل فاسق بنبإ ونحو ذلك ممّا يشتمل على التقييد اللفظي المقتضي اعتباره في الكلام لفائدة زائدة على فائدة بيان الحكم ، وظاهر أنّ المقام ليس من بابه بل من باب ترجيح التعبير عن موارد الحكم بعنوان خاصّ على التعبير عنه بعنوان عامّ ومثل هذا لا يستدعي فائدة ظاهرة تزيد على فائدة بيان الحكم في المورد الخاصّ ، ومع الإغماض عن ذلك ، فلا نجد لتعليق الحكم على الوصف في المقام مزيد خصوصية لا يوجد في غيره ، فإنّ ما ذكروه في منع دلالته على حكم المفهوم في غير المقام من عدم انحصار الفائدة فيه ، وأنّ من جملة الفوائد كون محلّ الوصف محلّ الحاجة متّجه في المقام أيضا ، مضافا إلى أنّ له في المقام نكتة أخرى أيضا وهي التنبيه على أنّ المخبر المتّصف بالفسق بعيد عن مقام الاعتماد والاستناد جدّا ؛ إذ يحتمل في حقّه ما يحتمل في حقّ المخبر العادل من السهو والنسيان مع زيادة وهي احتمال تعمّده الكذب ، أو تعويله في خبره على أمارات ضعيفة وأوهام سخيفة ناشئين من انتفاء صفة العدالة عنه الحاجزة عن الاقتحام في مثل ذلك ، وهذا ظاهر لا سترة عليه هذا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يوجّه كلام الفاضل القمّي رحمه‌اللّه بما لا يرد عليه المنع من قيام قرينة في المقام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بملاحظة نفس الحكم بالتبيّن المأخوذ فيه كونه للغير مع تعليق الحكم بالوصف وتعليله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باعتبار انضمام بعض الأمور المذكورة إلى بعض أنّ مقصوده تعالى بيان أنّ خبر الفاسق ليس طريقا إلى الواقع ، وأنّ خبر العادل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إنّ تلك الأمور بملاحظة انضمام بعضها إلى بعض قرينة في المقام تفيد أنّ مقصوده تعالى بيان ما هو طريق إلى الواقع ، وما ليس طريقا إليه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ما ذكره وإن كان فيه إشعار بما ذكره إلاّ أنّه ليس نصّا في ذلك ، ولا ظاهرا ظهورا يصحّ الركون إليه ؛ إذ يحتمل أن يكون المراد توجيه الذمّ إلى من قبل خبر وليد واعتمد عليه مع كونه فاسقا ، فيكون سياق الكلام للذمّ على ذلك لا لبيان طريق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ثبوت مفهوم الوصف في المقام إمّا بتسليم حجّية مفهوم الوصف مطلقا ، أو بتسليم ثبوت مفهوم الوصف إذا وقع في سياق الشرط ، أو بتسليم ثبوته بقرينة المقام كما عرفته من الفاضل القمّي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مقتضى المفهوم من الآية عدم وجوب تبيّن خبر العادل لكنّه معارض بعموم التعليل بلزوم التحرّز عن الندم مطلقا المقتضي للتحرّز عن كلّ خبر موجب له مطلقا سواء كان خبر الفاسق أم غيره ، فالمفهوم وإن اقتضى حجّية خبر العادل إلاّ أنّ التعليل بعمومه يقتضي عدم جواز قبول كلّ خبر موجب للندم ، ومنه خبر العادل الغير المفيد للعلم ، وما ذكرنا من حديث المعارضة ليس مبنيا على كون النسبة بين نبأ العادل الذي تضمّنه المفهوم ، والنبأ الموجب للندم أعمّ من أن يكون نبأ العادل ،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ليتعارضا في مورد الاجتماع وهو خبر العادل الغير المفيد للعلم ، فيلزم التماس المرجّح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المفهوم والتعليل ليست هي العموم من وجه لكون الخبر المفيد للعلم خارجا عن المنطوق والمفهوم جميعا ، لكونه حجّة بالاتّفاق حتّى لو كان راويه فاسقا ، وعلى هذا فيرتفع العموم من جانب المفهوم ويكون التعليل أعمّ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كون كلّ منهما أعمّ من الآخر من وجه لم يكن وجه لإعمال قاعدة تعارض العامّين من وجه في مثل المقام الذي وقع فيه التعارض بين الصدر والذيل من كلام واحد ، بل اللازم حينئذ ملاحظة الأظهر منهما وتقديمه على الظاهر منهما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 ولو سلّم جواز إعمالها في الكلام الواحد ، منعناه في العلّة والمعلول ؛ فإنّ الظاهر عند العرف أنّ المعلول يتبع العلّة في العموم والخصوص ، فالعلّة تارة تخصّص مورده المعلول وإن كان عامّا بحسب اللفظ 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 فيخصّصه بالأفراد الحامضة ، فيكون عدم التقيّد في الرمّان لغلبة الحموضة فيه ، وقد يوجب عموم المعلول فإن كان بحسب الدلالة اللفظية خاصّا 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الأدوية التي تصفها لك النسوان ، أو إذا وصفت لك امرأة دواء فلا تشربه ؛ لأنّك لا تأمن ضرره ، فيدلّ على أنّ الحكم عامّ في كلّ</w:t>
      </w:r>
    </w:p>
    <w:p>
      <w:pPr>
        <w:pStyle w:val="BookText"/>
        <w:rPr/>
      </w:pPr>
      <w:r>
        <w:rPr>
          <w:rFonts w:ascii="Amiri" w:hAnsi="Amiri" w:eastAsia="Amiri" w:cs="Amiri"/>
          <w:color w:val="111111"/>
          <w:sz w:val="28"/>
          <w:sz w:val="28"/>
          <w:szCs w:val="28"/>
          <w:rtl w:val="true"/>
          <w:lang w:bidi="ar-SA"/>
        </w:rPr>
        <w:t>دواء لا يؤمن ضرره من أيّ واصف كان ، ويكون تخصيص النسوان بالذكر من بين الجهّال لنكتة خاصّة ، أو عامّة لاحظها المتكلّم ، وما نحن فيه من هذا القبيل ، فلعلّ النكتة فيه التنبيه على فسق الوليد ، فتحصّل أنّ التعارض ليس مبنيّا على كون النسبة بين المفهوم والتعليل هي العموم من وجه بل مبنيّ على أنّ التعليل يفيد عدم جواز قبول كلّ خبر يورث الندم سواء كان خبر العادل أم خبر الفاسق ، وهو أقوى من المفهوم ، فيكون الحكم له ، فلا يجوز قبول خبر العادل أيضا إذا احتمل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أشار في الغنية 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الاستدلال بالآية والمنع منه بأنّه مبنيّ على دليل الخطاب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ظاهر الآية يمنع من العمل بخبر العدل ؛ لأنّه سبحانه علّل المنع من قبول قول الفاسق بعلّة هي قائمة في خبر العدل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العلّة ثابتة في خبر العدل ؛ لعدم العلم بحقيقة الأمر فيه وارتفاع الثقة بصدقه فيما يرويه ، وإذا شارك الفاسق في علّة المنع وجب الوقف في خبره كالفاسق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احتمال ذكر الندم في خبر الفاسق المذكور في الآية علّة حتّى يدور الحكم مداره بل هو حكمة في النهي عن قبول قول الفاسق ، فلا يسري إلى القول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حذف فيه الصدر المعلّل به الحكم مثل مخافة أو كراهة وأقيم ما أضيف إليه مقامه وهو ظاهر بل نصّ في التعليل ، فلا يجوز العدول عنه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لو تنزّلنا عن كون التعليل أقوى من المفهوم ، فلا أقلّ من المساواة ، فيتعارضان ولا معوّل إلاّ أصالة حرمة العمل بالظنّ ، فلا تفيد الآية اعتبار خبر العادل المفيد للظنّ ، وقد يختصّ حكم الآية بالتحرّز عن الندم بخصوص الخبر الموجب له ، أم يجري في كلّ ما أوجبه وإن لم يكن خبرا؟</w:t>
      </w:r>
    </w:p>
    <w:p>
      <w:pPr>
        <w:pStyle w:val="BookText"/>
        <w:rPr/>
      </w:pPr>
      <w:r>
        <w:rPr>
          <w:rFonts w:ascii="Amiri" w:hAnsi="Amiri" w:eastAsia="Amiri" w:cs="Amiri"/>
          <w:color w:val="111111"/>
          <w:sz w:val="28"/>
          <w:sz w:val="28"/>
          <w:szCs w:val="28"/>
          <w:rtl w:val="true"/>
          <w:lang w:bidi="ar-SA"/>
        </w:rPr>
        <w:t xml:space="preserve">الوجه هو الثاني ؛ لظهوره في العموم ، فيندرج فيه مثل الشهرة والإجماع المنقول وغير ذلك من الأمارات الظنّية فيكون مؤدّى الآية الكريمة مؤدّى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جواز تخصيص العامّ بمفهوم المخالفة وهو المختار عندكم ، وإذا كان التعليل أعمّ مطلقا من المفهوم ، كان اللازم تخصيص عموم عدم جواز قبول النبأ الموجب للندم من حيث كونه أعمّ من نبأ الفاسق ونبأ العادل الظنّيين بالمفهوم الذي مقتضاه جواز قبول نبأ العادل وعدم وجوب التبيّن فيه ، وحينئذ فلا يبقى تحت عموم التعليل سوى النهي عن قبول نبأ الفاسق الظنّي من دون 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هذا السؤال بنظير ما ذكرناه في العامّين من وجه ، وكأنّه مبنيّ على الغفلة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جواز تخصيص العامّ بمفهوم المخالفة وجملته من مباحث التخصيص كمبحث ورود العامّ والخاصّ إذا تنافى ظاهرهما ناظرة إلى المخصّصات المنفصلة بأن يكون هناك دليلان متعارضان أحدهما عامّ والآخر خاصّ ، وأمّا ما لو كان أحد جزءي الكلام عامّا والآخر خاصّا ، فهو خارج عن المباحث المذكورة ، وإنّما هو مندرج في مبحث تعارض الأحوال المعتورة على كلام واحد مثل ما لو دار أمره بين ارتكاب التخصيص فيه أو المجاز أو غير ذلك من الأمور المذكورة في بابه ، فإذا عارض أحد جزءي الكلام الآخر ، كان المناط فيه تحرّي الأظهر منهما وتقديمه على الظاهر سواء كان هو الصدر أو الذيل ، ولا ريب أنّ التعليل أقوى من سائر أجزاء الكلام بحكم أهل التعارف قاطبة ، فيقدّم على غيره عامّا كان أو خاصّا ولو سلّمنا كون النزاع في مبحث تخصيص العامّ بمفهوم المخالفة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الثالث من وجوه تقرير الإجماع على حجّية أخبار الآحاد هو أنّ العقلاء بأجمعهم قد أجمعوا على الاتّكال بالخبر الواحد في أمور معادهم ومعاشهم وإن لم يكن محفوفا بقرائن الصدق بل إنّما وجدنا بعد الرجوع إلى طريقتهم والعثور على شريعتهم أنّ جبلّة كلّ عاقل لو خلّي وطبعه يقضي بذلك حتّى أنّ الزوجة ترجع في أخذ أحكامها إلى زوجها ، والصبيان إلى معلّميهم ، وليس ذلك من حيث عدم مبالاتهم بل هو قضية ما أودعه اللّه فيهم من السليقة القويمة والطريقة المستقيمة ، كيف ولولاه لاختلّ أمور دينهم ودنياهم ، ولم يعتمد أوّلهم على آخرهم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جماعة من العقلاء جواز التعبّد به ينافي ما ذكر من إطباقهم على </w:t>
      </w:r>
    </w:p>
    <w:p>
      <w:pPr>
        <w:pStyle w:val="BookText"/>
        <w:rPr/>
      </w:pPr>
      <w:r>
        <w:rPr>
          <w:rFonts w:ascii="Amiri" w:hAnsi="Amiri" w:eastAsia="Amiri" w:cs="Amiri"/>
          <w:color w:val="111111"/>
          <w:sz w:val="28"/>
          <w:sz w:val="28"/>
          <w:szCs w:val="28"/>
          <w:rtl w:val="true"/>
          <w:lang w:bidi="ar-SA"/>
        </w:rPr>
        <w:t xml:space="preserve">العمل به كما هو المحكي عن ابن قبة </w:t>
      </w:r>
      <w:r>
        <w:rPr>
          <w:rStyle w:val="FootnoteAnchor"/>
          <w:rtl w:val="true"/>
        </w:rPr>
        <w:footnoteReference w:id="539"/>
      </w:r>
      <w:r>
        <w:rPr>
          <w:rFonts w:ascii="Amiri" w:hAnsi="Amiri" w:eastAsia="Amiri" w:cs="Amiri"/>
          <w:color w:val="111111"/>
          <w:sz w:val="28"/>
          <w:sz w:val="28"/>
          <w:szCs w:val="28"/>
          <w:rtl w:val="true"/>
          <w:lang w:bidi="ar-SA"/>
        </w:rPr>
        <w:t>وتابعيه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إنكارهم ذلك مستند </w:t>
      </w:r>
      <w:r>
        <w:rPr>
          <w:rStyle w:val="FootnoteAnchor"/>
          <w:rtl w:val="true"/>
        </w:rPr>
        <w:footnoteReference w:id="540"/>
      </w:r>
      <w:r>
        <w:rPr>
          <w:rFonts w:ascii="Amiri" w:hAnsi="Amiri" w:eastAsia="Amiri" w:cs="Amiri"/>
          <w:color w:val="111111"/>
          <w:sz w:val="28"/>
          <w:sz w:val="28"/>
          <w:szCs w:val="28"/>
          <w:rtl w:val="true"/>
          <w:lang w:bidi="ar-SA"/>
        </w:rPr>
        <w:t>إلى شبهة حصلت لهم ، قاضية بذلك بزعمهم ولا ينافي ذلك اعتمادهم عليه من حيث رجوعهم إلى ديدنهم البسيطة الخالصة من شوائب الريب والشبهات كما هو الشأن في أمثال المقام من الأمور الوجدانية المتنازع فيها كالتبادر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يمكن أن يستفاد ممّا ذكر تقرير المعصوم عليه‌السلام على العمل بخبر الواحد حيث لا دليل على اعتبار الاتّفاق المذكور إلاّ ما قد </w:t>
      </w:r>
      <w:r>
        <w:rPr>
          <w:rStyle w:val="FootnoteAnchor"/>
          <w:rtl w:val="true"/>
        </w:rPr>
        <w:footnoteReference w:id="541"/>
      </w:r>
      <w:r>
        <w:rPr>
          <w:rFonts w:ascii="Amiri" w:hAnsi="Amiri" w:eastAsia="Amiri" w:cs="Amiri"/>
          <w:color w:val="111111"/>
          <w:sz w:val="28"/>
          <w:sz w:val="28"/>
          <w:szCs w:val="28"/>
          <w:rtl w:val="true"/>
          <w:lang w:bidi="ar-SA"/>
        </w:rPr>
        <w:t>عرفت وهو بمكان من الضعف بعد ما أسلفنا لك من الأدلّة الدالّة على حرمة العمل بما وراء العلم ، فإنّها ردع منهم عليهم‌السلام عن العمل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الأدلّة المذكورة مرجعها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محرّم مثل ما دلّ على عدم جواز الافتراء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 الأصول العملية المقطوع بها من غير علم يرتفع به موضوعها غير جائز كما هو قضية تعليقها على العلم ، وعلى التقديرين لا ينهض ردعا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بعد التسليم عن استقرار بناء العقلاء على شيء لا ينبغي الارتياب في انتفاء التشريع ، وأنّه يعلم طريق الإطاعة والامتثال ، فإنّه بعد ما فرضنا من أنّ هذا هو طريق امتثال العبيد بالنسبة إلى مواليهم فهو في الحقيقة محقّق لموضوع لم يكن قبل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 البراءة والاحتياط والتخيير منها </w:t>
      </w:r>
      <w:r>
        <w:rPr>
          <w:rStyle w:val="FootnoteAnchor"/>
          <w:rtl w:val="true"/>
        </w:rPr>
        <w:footnoteReference w:id="542"/>
      </w:r>
      <w:r>
        <w:rPr>
          <w:rFonts w:ascii="Amiri" w:hAnsi="Amiri" w:eastAsia="Amiri" w:cs="Amiri"/>
          <w:color w:val="111111"/>
          <w:sz w:val="28"/>
          <w:sz w:val="28"/>
          <w:szCs w:val="28"/>
          <w:rtl w:val="true"/>
          <w:lang w:bidi="ar-SA"/>
        </w:rPr>
        <w:t xml:space="preserve">وإن كان قد ورد من الشرع ما يدلّ على اعتبارها إلاّ أنّ العمدة فيها هو حكم العقل المستقلّ القاطع بها على حسب مواردها كما سيأتي إن شاء اللّه ، ومن المعلوم أنّ بعد ما فرضنا من إطباقهم على ذلك لا </w:t>
      </w:r>
    </w:p>
    <w:p>
      <w:pPr>
        <w:pStyle w:val="BookText"/>
        <w:rPr/>
      </w:pPr>
      <w:r>
        <w:rPr>
          <w:rFonts w:ascii="Amiri" w:hAnsi="Amiri" w:eastAsia="Amiri" w:cs="Amiri"/>
          <w:color w:val="111111"/>
          <w:sz w:val="28"/>
          <w:sz w:val="28"/>
          <w:szCs w:val="28"/>
          <w:rtl w:val="true"/>
          <w:lang w:bidi="ar-SA"/>
        </w:rPr>
        <w:t>وجه لجريان البراءة وأختها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الاستصحاب ، فلم يدلّ دليل على اعتباره إلاّ عدّة من أخبار </w:t>
      </w:r>
      <w:r>
        <w:rPr>
          <w:rStyle w:val="FootnoteAnchor"/>
          <w:rtl w:val="true"/>
        </w:rPr>
        <w:footnoteReference w:id="543"/>
      </w:r>
      <w:r>
        <w:rPr>
          <w:rFonts w:ascii="Amiri" w:hAnsi="Amiri" w:eastAsia="Amiri" w:cs="Amiri"/>
          <w:color w:val="111111"/>
          <w:sz w:val="28"/>
          <w:sz w:val="28"/>
          <w:szCs w:val="28"/>
          <w:rtl w:val="true"/>
          <w:lang w:bidi="ar-SA"/>
        </w:rPr>
        <w:t xml:space="preserve">الآحاد ، ولا سبيل إلى الاستناد إليها في مثل المقام كما لا يخفى ، وبعد الغضّ عن ذلك والتزام قطعية الأخبار الواردة فيه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بدعوى تواترها ، أو باحتفافها بقرائن تدلّ على صدق إسنادها إليهم عليهم‌السلام 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ظنّية دلالتها ، غاية ما في الباب الاستناد إلى الأصول اللفظية من أصالة الحقيقة ونحوها ، وقد عرفت أنّ المرجع فيها في الحقيقة هو بناء العقلاء ، ففي مقام استقرّ بناؤهم على أمر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يتمشّى الأخذ بأصالة الحقيقة كما لا يخفى؟</w:t>
      </w:r>
    </w:p>
    <w:p>
      <w:pPr>
        <w:pStyle w:val="BookText"/>
        <w:rPr/>
      </w:pPr>
      <w:r>
        <w:rPr>
          <w:rFonts w:ascii="Amiri" w:hAnsi="Amiri" w:eastAsia="Amiri" w:cs="Amiri"/>
          <w:color w:val="111111"/>
          <w:sz w:val="28"/>
          <w:sz w:val="28"/>
          <w:szCs w:val="28"/>
          <w:rtl w:val="true"/>
          <w:lang w:bidi="ar-SA"/>
        </w:rPr>
        <w:t xml:space="preserve">وبالجملة ، أنّا نمنع من اعتبار الأصول اللفظية فيما انعقد </w:t>
      </w:r>
      <w:r>
        <w:rPr>
          <w:rStyle w:val="FootnoteAnchor"/>
          <w:rtl w:val="true"/>
        </w:rPr>
        <w:footnoteReference w:id="546"/>
      </w:r>
      <w:r>
        <w:rPr>
          <w:rFonts w:ascii="Amiri" w:hAnsi="Amiri" w:eastAsia="Amiri" w:cs="Amiri"/>
          <w:color w:val="111111"/>
          <w:sz w:val="28"/>
          <w:sz w:val="28"/>
          <w:szCs w:val="28"/>
          <w:rtl w:val="true"/>
          <w:lang w:bidi="ar-SA"/>
        </w:rPr>
        <w:t>إطباق العقلاء على خلاف مفادها سواء كان المرجع فيها إلى حكم العقل ، أو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عدم جواز التمسّك بإطلاقات الآيات الناهية عن العمل بمطلق ما وراء العلم في قبال ما ذكر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547"/>
      </w:r>
      <w:r>
        <w:rPr>
          <w:rFonts w:ascii="Amiri" w:hAnsi="Amiri" w:eastAsia="Amiri" w:cs="Amiri"/>
          <w:color w:val="111111"/>
          <w:sz w:val="28"/>
          <w:sz w:val="28"/>
          <w:szCs w:val="28"/>
          <w:rtl w:val="true"/>
          <w:lang w:bidi="ar-SA"/>
        </w:rPr>
        <w:t xml:space="preserve">حجّية الاستصحاب لو كانت </w:t>
      </w:r>
      <w:r>
        <w:rPr>
          <w:rStyle w:val="FootnoteAnchor"/>
          <w:rtl w:val="true"/>
        </w:rPr>
        <w:footnoteReference w:id="548"/>
      </w:r>
      <w:r>
        <w:rPr>
          <w:rFonts w:ascii="Amiri" w:hAnsi="Amiri" w:eastAsia="Amiri" w:cs="Amiri"/>
          <w:color w:val="111111"/>
          <w:sz w:val="28"/>
          <w:sz w:val="28"/>
          <w:szCs w:val="28"/>
          <w:rtl w:val="true"/>
          <w:lang w:bidi="ar-SA"/>
        </w:rPr>
        <w:t xml:space="preserve">من جهة ما يحصل منه الظنّ بالمستصحب ، جاز القول بعدم اعتباره فيما انعقد بناء العقلاء على خلاف مقتضاه ، وأمّا لو كانت </w:t>
      </w:r>
      <w:r>
        <w:rPr>
          <w:rStyle w:val="FootnoteAnchor"/>
          <w:rtl w:val="true"/>
        </w:rPr>
        <w:footnoteReference w:id="549"/>
      </w:r>
      <w:r>
        <w:rPr>
          <w:rFonts w:ascii="Amiri" w:hAnsi="Amiri" w:eastAsia="Amiri" w:cs="Amiri"/>
          <w:color w:val="111111"/>
          <w:sz w:val="28"/>
          <w:sz w:val="28"/>
          <w:szCs w:val="28"/>
          <w:rtl w:val="true"/>
          <w:lang w:bidi="ar-SA"/>
        </w:rPr>
        <w:t xml:space="preserve">من جهة التعبّد به ، فلا وجه لترك الاستصحاب في قباله ؛ إذ مقتضى التعبّد اعتباره مطلقا غير مقيّد بشيء ، وذلك ظاهر فيما لو كان الظنّ على خلاف الاستصحاب ، هذا غاية ما عندنا من البيان إلاّ أنّه مع ذلك لا ينطبق على الدعوى ، ولا ينهض بتمام المدّعى ؛ فإنّ النسبة بين الدليل والمدّعى في المقام هي العموم من وجه ؛ إذ ليس بناؤهم على العمل بكلّ خبر وإن لم يكن ممّا يعتمد عليه ويوثق به ، ويخرج به </w:t>
      </w:r>
    </w:p>
    <w:p>
      <w:pPr>
        <w:pStyle w:val="BookText"/>
        <w:rPr/>
      </w:pPr>
      <w:r>
        <w:rPr>
          <w:rFonts w:ascii="Amiri" w:hAnsi="Amiri" w:eastAsia="Amiri" w:cs="Amiri"/>
          <w:color w:val="111111"/>
          <w:sz w:val="28"/>
          <w:sz w:val="28"/>
          <w:szCs w:val="28"/>
          <w:rtl w:val="true"/>
          <w:lang w:bidi="ar-SA"/>
        </w:rPr>
        <w:t xml:space="preserve">العامل من الحيرة ، كما أنّ بناءهم على العمل بكلّ ما يعتمد عليه وإن لم يكن خبرا وذلك ظاهر ، فإن أراد المستدلّ استقرار بنائهم على هذا العنوان أعني الخبر ، فهو في محلّ المنع </w:t>
      </w:r>
      <w:r>
        <w:rPr>
          <w:rStyle w:val="FootnoteAnchor"/>
          <w:rtl w:val="true"/>
        </w:rPr>
        <w:footnoteReference w:id="550"/>
      </w:r>
      <w:r>
        <w:rPr>
          <w:rFonts w:ascii="Amiri" w:hAnsi="Amiri" w:eastAsia="Amiri" w:cs="Amiri"/>
          <w:color w:val="111111"/>
          <w:sz w:val="28"/>
          <w:sz w:val="28"/>
          <w:szCs w:val="28"/>
          <w:rtl w:val="true"/>
          <w:lang w:bidi="ar-SA"/>
        </w:rPr>
        <w:t>وإن أراد أنّهم يعملون بما هو موثوق به ، فلا يتمّ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وجوه تقرير الإجماع هو إطباق أصحاب الأئمّة عليهم‌السلام على العمل بخبر الواحد الكاشف عن رضا رئيسهم ، وهذا ممّا لا يدانيه ريب بعد ملاحظة حالاتهم المنقولة والتتبّع في كلمات أصحابنا الرجاليّين ، وقرّر العلاّمة هذا الإجماع في النهاية على ما حكي بإجماع أصحاب النبيّ صلى‌اللّه‌عليه‌وآله ، ولعلّه ينظر إلى دفع مقالة من لا يتعبّد بخبر الواحد من العامّة ، وإلاّ فلا يستقيم وجها للمدّعى لعين ما يراه المرتضى على الهدى بعد اعتراضه على نفسه بمثل ما ذكر </w:t>
      </w:r>
      <w:r>
        <w:rPr>
          <w:rStyle w:val="FootnoteAnchor"/>
          <w:rtl w:val="true"/>
        </w:rPr>
        <w:footnoteReference w:id="551"/>
      </w:r>
      <w:r>
        <w:rPr>
          <w:rFonts w:ascii="Amiri" w:hAnsi="Amiri" w:eastAsia="Amiri" w:cs="Amiri"/>
          <w:color w:val="111111"/>
          <w:sz w:val="28"/>
          <w:sz w:val="28"/>
          <w:szCs w:val="28"/>
          <w:rtl w:val="true"/>
          <w:lang w:bidi="ar-SA"/>
        </w:rPr>
        <w:t xml:space="preserve">من أنّ العمل من الأخيار </w:t>
      </w:r>
      <w:r>
        <w:rPr>
          <w:rStyle w:val="FootnoteAnchor"/>
          <w:rtl w:val="true"/>
        </w:rPr>
        <w:footnoteReference w:id="552"/>
      </w:r>
      <w:r>
        <w:rPr>
          <w:rFonts w:ascii="Amiri" w:hAnsi="Amiri" w:eastAsia="Amiri" w:cs="Amiri"/>
          <w:color w:val="111111"/>
          <w:sz w:val="28"/>
          <w:sz w:val="28"/>
          <w:szCs w:val="28"/>
          <w:rtl w:val="true"/>
          <w:lang w:bidi="ar-SA"/>
        </w:rPr>
        <w:t>منهم بالأخبار غير معلوم ، ولا عبرة بعمل غيرهم من المتّفقين للأمارة ، والمتكلّفين للخلافة ، الذين ما كان لأحدهم أن يردعهم كما يظهر من الأمثلة الواردة في النهاية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لطف ، وإظهار الحقّ لطف آخر ، وعدم ارتداعهم بذلك غير مضرّ في مقام الإظهار ، فسكوت الحجّة عن عملهم وعدم إظهار بطلان الطريقة المذكورة من العمل بخبر الواحد يدلّ على رضاه بالعمل المذكور ولا غبار عليه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المذكورة كتابا وسنّة وإجماعا مختلفة المفاد حيث إنّ برهة منها تدلّ على أنّ العبرة بخبر الواحد ، وجملة منها </w:t>
      </w:r>
      <w:r>
        <w:rPr>
          <w:rStyle w:val="FootnoteAnchor"/>
          <w:rtl w:val="true"/>
        </w:rPr>
        <w:footnoteReference w:id="553"/>
      </w:r>
      <w:r>
        <w:rPr>
          <w:rFonts w:ascii="Amiri" w:hAnsi="Amiri" w:eastAsia="Amiri" w:cs="Amiri"/>
          <w:color w:val="111111"/>
          <w:sz w:val="28"/>
          <w:sz w:val="28"/>
          <w:szCs w:val="28"/>
          <w:rtl w:val="true"/>
          <w:lang w:bidi="ar-SA"/>
        </w:rPr>
        <w:t xml:space="preserve">يظهر منها الاعتماد على الوثاقة ، وفرقة يكشف عنها الاتّكال على المظنّة كما أنّ فتاوى المجمعين أيضا تحتمل وجوها ، فمنهم من يحتمل اعتماده على عنوان الخبر ولو عن فاسق كما هو المنسوب إلى الحشوية ، ومنهم من يعتبر اشتهار الرواية وضبطها في الأصول المشهورة ، ومنهم من يقتصر على الأخبار الموثوق بها ، ومنهم من يتجاوز عن ذلك إلى الأخبار المظنون صدورها ، </w:t>
      </w:r>
    </w:p>
    <w:p>
      <w:pPr>
        <w:pStyle w:val="BookText"/>
        <w:rPr/>
      </w:pPr>
      <w:r>
        <w:rPr>
          <w:rFonts w:ascii="Amiri" w:hAnsi="Amiri" w:eastAsia="Amiri" w:cs="Amiri"/>
          <w:color w:val="111111"/>
          <w:sz w:val="28"/>
          <w:sz w:val="28"/>
          <w:szCs w:val="28"/>
          <w:rtl w:val="true"/>
          <w:lang w:bidi="ar-SA"/>
        </w:rPr>
        <w:t>ومنهم من يشترط في قبول الرواية عدالة راويها ، ومنهم من يعمل بالأخبار المروية المسموعة عنهم عليهم‌السلام شفاها ولا يبالون بترك المكاتبات إلى غير ذلك من الوجوه والاحتمالات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بعض هذه الوجوه أخصّ مطلقا من بعض ، فالمتيقّن هو الخاصّ كما في من يشترط الوثاقة ومن يعتبر المظنّة ، فإنّ القول بالوثاقة هو القدر المتيقّن وإن كان أعمّ وأخصّ من وجه ، فالمتيقّن من الوجوه المحتملة هو مورد الاجتماع كما فيمن يقول بالعدالة ، ومن يعتمد على الأخبار الشفاهية ، فإنّ القول بالخبر العدل المروي شفاها متيقّن ، وأمّا مورد الافتراق ، فلا ، فالقدر المتيقّن المعلوم اعتباره وحجّيته من الأدلّة المعهودة هو </w:t>
      </w:r>
      <w:r>
        <w:rPr>
          <w:rStyle w:val="FootnoteAnchor"/>
          <w:rtl w:val="true"/>
        </w:rPr>
        <w:footnoteReference w:id="554"/>
      </w:r>
      <w:r>
        <w:rPr>
          <w:rFonts w:ascii="Amiri" w:hAnsi="Amiri" w:eastAsia="Amiri" w:cs="Amiri"/>
          <w:color w:val="111111"/>
          <w:sz w:val="28"/>
          <w:sz w:val="28"/>
          <w:szCs w:val="28"/>
          <w:rtl w:val="true"/>
          <w:lang w:bidi="ar-SA"/>
        </w:rPr>
        <w:t xml:space="preserve">الخبر الجامع لجميع القيود المذكورة ، و </w:t>
      </w:r>
      <w:r>
        <w:rPr>
          <w:rStyle w:val="FootnoteAnchor"/>
          <w:rtl w:val="true"/>
        </w:rPr>
        <w:footnoteReference w:id="555"/>
      </w:r>
      <w:r>
        <w:rPr>
          <w:rFonts w:ascii="Amiri" w:hAnsi="Amiri" w:eastAsia="Amiri" w:cs="Amiri"/>
          <w:color w:val="111111"/>
          <w:sz w:val="28"/>
          <w:sz w:val="28"/>
          <w:szCs w:val="28"/>
          <w:rtl w:val="true"/>
          <w:lang w:bidi="ar-SA"/>
        </w:rPr>
        <w:t>على تقدير وجوده ، فلا شكّ في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اقتضاه النظر الجليّ ، وأمّا النظر الدقيق ، فما اقتضاه القول باعتبار الخبر الموثوق به الذي يحصل منه الاطمئنان ، فإنّ آية النبأ الآمرة بالتبيّن عن خبر الفاسق تقيّد الآيات المطلقة كآيتي النفر والكتمان ، فإنّ التبيّن على ما مرّ ظاهر في التبيّن العرفي سيّما بعد ملاحظة إقرانه بما يوجب الحمل عليه وإن كان بحسب اللغة حقيقة في خصوص العلم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بالتبيّن طلب العلم بحقيقة الحال في خبر الفاسق على أن يكون المناط في الحكم هو العلم من غير اعتماد على إخبار الفاسق له بعد ظهور صدقه وعدم خفاء مدلول خبره كما هو الظاهر من لفظه عند تجرّده عمّا يوجب حمله على خلافه ، وحينئذ يتّجه القول باعتبار العدالة تعبّدا ، ويحتمل أن يكون المراد به هو التبيّن العرفي بحيث يعدّ في العرف تبيّنا بأن يكون المناط هو وثاقة الخبر كما هو الظاهر في خصوص المقام ؛ للزوم حمل الخطابات على متفاهم </w:t>
      </w:r>
    </w:p>
    <w:p>
      <w:pPr>
        <w:pStyle w:val="BookText"/>
        <w:rPr/>
      </w:pPr>
      <w:r>
        <w:rPr>
          <w:rFonts w:ascii="Amiri" w:hAnsi="Amiri" w:eastAsia="Amiri" w:cs="Amiri"/>
          <w:color w:val="111111"/>
          <w:sz w:val="28"/>
          <w:sz w:val="28"/>
          <w:szCs w:val="28"/>
          <w:rtl w:val="true"/>
          <w:lang w:bidi="ar-SA"/>
        </w:rPr>
        <w:t xml:space="preserve">العرف ، وكثيرا ما يستعمل لفظ التبيّن عند العرف ويراد به الظهور وعدم الخفاء ، ولا نعني بالوثاقة إلاّ هذا المعنى ، مع أنّ التعليل المذكور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خوف إصابة القوم بجهالة والإصباح على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يرتفع به نقاب الشكّ عن وجه المطلوب حيث لا خوف مع حصول الوثاقة ، ولو رام الخصم دفع هذا الاحتمال رأسا بأن يلتزم بلزوم تحصيل العلم بانتفاء خوف الإصابة ، يلزمه </w:t>
      </w:r>
      <w:r>
        <w:rPr>
          <w:rStyle w:val="FootnoteAnchor"/>
          <w:rtl w:val="true"/>
        </w:rPr>
        <w:footnoteReference w:id="556"/>
      </w:r>
      <w:r>
        <w:rPr>
          <w:rFonts w:ascii="Amiri" w:hAnsi="Amiri" w:eastAsia="Amiri" w:cs="Amiri"/>
          <w:color w:val="111111"/>
          <w:sz w:val="28"/>
          <w:sz w:val="28"/>
          <w:szCs w:val="28"/>
          <w:rtl w:val="true"/>
          <w:lang w:bidi="ar-SA"/>
        </w:rPr>
        <w:t xml:space="preserve">عدم اعتبار خبر العادل أيضا ؛ فإنّ طريق احتمال خوف الإصابة والندامة لا ينسدّ بالعدالة ، فيناقض صدر الآية الدالّة على اعتبار خبر العادل ذيلها </w:t>
      </w:r>
      <w:r>
        <w:rPr>
          <w:rStyle w:val="FootnoteAnchor"/>
          <w:rtl w:val="true"/>
        </w:rPr>
        <w:footnoteReference w:id="557"/>
      </w:r>
      <w:r>
        <w:rPr>
          <w:rFonts w:ascii="Amiri" w:hAnsi="Amiri" w:eastAsia="Amiri" w:cs="Amiri"/>
          <w:color w:val="111111"/>
          <w:sz w:val="28"/>
          <w:sz w:val="28"/>
          <w:szCs w:val="28"/>
          <w:rtl w:val="true"/>
          <w:lang w:bidi="ar-SA"/>
        </w:rPr>
        <w:t>لما عرفت ، فمقتضى الجمع هو حمل التبيّن على التبيّن العرفي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 تقييد الآية المذكورة بحصول الوثاقة ، فلا بدّ من حمل مطلقات الآيات على مقيّداتها كما هو الشأن في غيرها من الأدلّة المطلقة مع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 فالمستفاد منها حقيقة هو الاعتماد على الخبر الموثوق به وإن لم يكن من عادل ، فإنّ جملة منها وإن كانت مطلقة إلاّ أنّ بعضها كما مرّ مقيّدة بالوثاقة ، فيقيّد مطلقها ، وإذ قد عرفت عدم اعتبار العدالة تعبّدا ، فلا سبيل إلى تقييد مطلقاتها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 فالإنصاف انعقاده على مطلق الخبر الموثوق به على وجه تسكن إليه النفس ، ولا يحتاج في تحصيل هذا الإجماع إلى ضمّ فتاوى جماعة يعتبرون العدالة ، فإنّ الرجوع إلى أحوال أصحاب الأئمّة وكلمات أصحاب الرجال وملاحظة ما يستفاد من مطاوي عبائرهم كاف في التحصيل </w:t>
      </w:r>
      <w:r>
        <w:rPr>
          <w:rStyle w:val="FootnoteAnchor"/>
          <w:rtl w:val="true"/>
        </w:rPr>
        <w:footnoteReference w:id="558"/>
      </w:r>
      <w:r>
        <w:rPr>
          <w:rFonts w:ascii="Amiri" w:hAnsi="Amiri" w:eastAsia="Amiri" w:cs="Amiri"/>
          <w:color w:val="111111"/>
          <w:sz w:val="28"/>
          <w:sz w:val="28"/>
          <w:szCs w:val="28"/>
          <w:rtl w:val="true"/>
          <w:lang w:bidi="ar-SA"/>
        </w:rPr>
        <w:t>غاية الكفاية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مناف لما انعقد عليه إجماعهم من اشتراط قبول خبر الواحد </w:t>
      </w:r>
    </w:p>
    <w:p>
      <w:pPr>
        <w:pStyle w:val="BookText"/>
        <w:rPr/>
      </w:pPr>
      <w:r>
        <w:rPr>
          <w:rFonts w:ascii="Amiri" w:hAnsi="Amiri" w:eastAsia="Amiri" w:cs="Amiri"/>
          <w:color w:val="111111"/>
          <w:sz w:val="28"/>
          <w:sz w:val="28"/>
          <w:szCs w:val="28"/>
          <w:rtl w:val="true"/>
          <w:lang w:bidi="ar-SA"/>
        </w:rPr>
        <w:t>بالعدالة على ما ادّعاه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شيخنا أبو جعفر الطوسي قدس‌سره القدوسي فقد فسّر العدالة بالتحرّز عن الكذب </w:t>
      </w:r>
      <w:r>
        <w:rPr>
          <w:rStyle w:val="FootnoteAnchor"/>
          <w:rtl w:val="true"/>
        </w:rPr>
        <w:footnoteReference w:id="559"/>
      </w:r>
      <w:r>
        <w:rPr>
          <w:rFonts w:ascii="Amiri" w:hAnsi="Amiri" w:eastAsia="Amiri" w:cs="Amiri"/>
          <w:color w:val="111111"/>
          <w:sz w:val="28"/>
          <w:sz w:val="28"/>
          <w:szCs w:val="28"/>
          <w:rtl w:val="true"/>
          <w:lang w:bidi="ar-SA"/>
        </w:rPr>
        <w:t xml:space="preserve">، وهذا المعنى ممّا لا ريب في اشتراطه ، ولا يضرّ لما نحن بصدده ، وأمّا من فسّرها بالملكة أو بغيرها ممّا ينافي ما ذكرنا ، فالتحقيق أنّه ناش من اجتهادهم في آية النبأ ، وذهابهم إلى أنّ المراد من التبيّن هو التحقّق والتثبّت العلمي ، وبعد ما عرفت من فساد المبنى ، فلا وجه للاتّكال على البناء ،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العمل بخبر الواحد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Style w:val="FootnoteAnchor"/>
          <w:rtl w:val="true"/>
        </w:rPr>
        <w:footnoteReference w:id="560"/>
      </w:r>
      <w:r>
        <w:rPr>
          <w:rFonts w:ascii="Amiri" w:hAnsi="Amiri" w:eastAsia="Amiri" w:cs="Amiri"/>
          <w:color w:val="111111"/>
          <w:sz w:val="28"/>
          <w:sz w:val="28"/>
          <w:szCs w:val="28"/>
          <w:rtl w:val="true"/>
          <w:lang w:bidi="ar-SA"/>
        </w:rPr>
        <w:t xml:space="preserve">قطع النظر عمّا يوجب الوثاقة من القرائن الخارجية والاكتفاء بالقرائن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كما هو صريح المحقّق في المعتبر </w:t>
      </w:r>
      <w:r>
        <w:rPr>
          <w:rStyle w:val="FootnoteAnchor"/>
          <w:rtl w:val="true"/>
        </w:rPr>
        <w:footnoteReference w:id="561"/>
      </w:r>
      <w:r>
        <w:rPr>
          <w:rFonts w:ascii="Amiri" w:hAnsi="Amiri" w:eastAsia="Amiri" w:cs="Amiri"/>
          <w:color w:val="111111"/>
          <w:sz w:val="28"/>
          <w:sz w:val="28"/>
          <w:szCs w:val="28"/>
          <w:rtl w:val="true"/>
          <w:lang w:bidi="ar-SA"/>
        </w:rPr>
        <w:t xml:space="preserve">، وليس ما قلنا حديثا مستحدثا أخبرناه من عند أنفسنا بل هذا هو بعينه ما اعتمد عليه القدماء من أصحابنا الإمامية من الأخبار الموثوق بها على ما صرّح به جماعة من أنّ الصحيح عندهم ليس على مصطلح المتأخّرين بل كلّ ما كان معمولا عند الأصحاب ، مقبولا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باكتنافه بالقرائن المفيدة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عندهم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المتأخّرون من أصحابنا أيضا اضطرّوا إلى تقسيم الأخبار إلى الأقسام الأربعة المعهودة بعد اختفاء القرائن المكتنفة بها ؛ تحصيلا لما يمكن استناد الوثوق إليها ، ولم يبق لنا قرينة تدلّ على الوثاقة إلاّ ما دوّنوها أصحابنا الرجاليين </w:t>
      </w:r>
      <w:r>
        <w:rPr>
          <w:rStyle w:val="FootnoteAnchor"/>
          <w:rtl w:val="true"/>
        </w:rPr>
        <w:footnoteReference w:id="562"/>
      </w:r>
      <w:r>
        <w:rPr>
          <w:rFonts w:ascii="Amiri" w:hAnsi="Amiri" w:eastAsia="Amiri" w:cs="Amiri"/>
          <w:color w:val="111111"/>
          <w:sz w:val="28"/>
          <w:sz w:val="28"/>
          <w:szCs w:val="28"/>
          <w:rtl w:val="true"/>
          <w:lang w:bidi="ar-SA"/>
        </w:rPr>
        <w:t xml:space="preserve">في تراجمة رواة الأخبار ، وما تكرّر من مضامين جملة من الآثار في الكتب المتداولة وسوى ما يوجّه من انطباق الخبر بعمل الأصحاب ، فجزاهم اللّه عن الإسلام خير الجزاء ، فلولا </w:t>
      </w:r>
    </w:p>
    <w:p>
      <w:pPr>
        <w:pStyle w:val="BookText"/>
        <w:rPr/>
      </w:pPr>
      <w:r>
        <w:rPr>
          <w:rFonts w:ascii="Amiri" w:hAnsi="Amiri" w:eastAsia="Amiri" w:cs="Amiri"/>
          <w:color w:val="111111"/>
          <w:sz w:val="28"/>
          <w:sz w:val="28"/>
          <w:szCs w:val="28"/>
          <w:rtl w:val="true"/>
          <w:lang w:bidi="ar-SA"/>
        </w:rPr>
        <w:t>تدوينهم أحوال رجال الرواية وما نصّهم الأخبار الموجبة للهداية ، وتصنيفهم الكتب الفقهية المورثة للدراية ، لاندرست آثار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بعد ملاحظة الآيات المذكورة ، والأخبار المسطورة والإجماعات المحكيّة ، عن الشيخ </w:t>
      </w:r>
      <w:r>
        <w:rPr>
          <w:rStyle w:val="FootnoteAnchor"/>
          <w:rtl w:val="true"/>
        </w:rPr>
        <w:footnoteReference w:id="563"/>
      </w:r>
      <w:r>
        <w:rPr>
          <w:rFonts w:ascii="IRNazanin" w:hAnsi="IRNazanin" w:eastAsia="IRNazanin"/>
          <w:color w:val="111111"/>
          <w:sz w:val="28"/>
          <w:sz w:val="28"/>
          <w:szCs w:val="28"/>
          <w:rtl w:val="true"/>
          <w:lang w:bidi="fa-IR"/>
        </w:rPr>
        <w:t xml:space="preserve">وابن طاوس </w:t>
      </w:r>
      <w:r>
        <w:rPr>
          <w:rStyle w:val="FootnoteAnchor"/>
          <w:rtl w:val="true"/>
        </w:rPr>
        <w:footnoteReference w:id="564"/>
      </w:r>
      <w:r>
        <w:rPr>
          <w:rFonts w:ascii="Amiri" w:hAnsi="Amiri" w:eastAsia="Amiri" w:cs="Amiri"/>
          <w:color w:val="111111"/>
          <w:sz w:val="28"/>
          <w:sz w:val="28"/>
          <w:szCs w:val="28"/>
          <w:rtl w:val="true"/>
          <w:lang w:bidi="ar-SA"/>
        </w:rPr>
        <w:t xml:space="preserve">والعلاّمة </w:t>
      </w:r>
      <w:r>
        <w:rPr>
          <w:rStyle w:val="FootnoteAnchor"/>
          <w:rtl w:val="true"/>
        </w:rPr>
        <w:footnoteReference w:id="565"/>
      </w:r>
      <w:r>
        <w:rPr>
          <w:rFonts w:ascii="IRNazanin" w:hAnsi="IRNazanin" w:eastAsia="IRNazanin"/>
          <w:color w:val="111111"/>
          <w:sz w:val="28"/>
          <w:sz w:val="28"/>
          <w:szCs w:val="28"/>
          <w:rtl w:val="true"/>
          <w:lang w:bidi="fa-IR"/>
        </w:rPr>
        <w:t xml:space="preserve">لنا </w:t>
      </w:r>
      <w:r>
        <w:rPr>
          <w:rStyle w:val="FootnoteAnchor"/>
          <w:rtl w:val="true"/>
        </w:rPr>
        <w:footnoteReference w:id="566"/>
      </w:r>
      <w:r>
        <w:rPr>
          <w:rFonts w:ascii="Amiri" w:hAnsi="Amiri" w:eastAsia="Amiri" w:cs="Amiri"/>
          <w:color w:val="111111"/>
          <w:sz w:val="28"/>
          <w:sz w:val="28"/>
          <w:szCs w:val="28"/>
          <w:rtl w:val="true"/>
          <w:lang w:bidi="ar-SA"/>
        </w:rPr>
        <w:t xml:space="preserve">يحصل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يشوبه ريب ، ولا يدانيه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 المعصوم عليه‌السلام على العمل بالأخبار الموثّقة المعمولة المقبولة التي تسكن النفس لدى العمل بها ولو من فاسق بل وكافر ، ولا ينبغي الجمود على ظاهر العدالة بعد ما قرّرنا من أنّها تكشف عن وثاقة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أوّل من اخترع هذا المذهب ، فإنّه بعينه هو المنقول من </w:t>
      </w:r>
      <w:r>
        <w:rPr>
          <w:rStyle w:val="FootnoteAnchor"/>
          <w:rtl w:val="true"/>
        </w:rPr>
        <w:footnoteReference w:id="567"/>
      </w:r>
      <w:r>
        <w:rPr>
          <w:rFonts w:ascii="Amiri" w:hAnsi="Amiri" w:eastAsia="Amiri" w:cs="Amiri"/>
          <w:color w:val="111111"/>
          <w:sz w:val="28"/>
          <w:sz w:val="28"/>
          <w:szCs w:val="28"/>
          <w:rtl w:val="true"/>
          <w:lang w:bidi="ar-SA"/>
        </w:rPr>
        <w:t xml:space="preserve">القدماء ، فهذا شيخنا البهائي قد أورد في مشرق الشمسين </w:t>
      </w:r>
      <w:r>
        <w:rPr>
          <w:rStyle w:val="FootnoteAnchor"/>
          <w:rtl w:val="true"/>
        </w:rPr>
        <w:footnoteReference w:id="568"/>
      </w:r>
      <w:r>
        <w:rPr>
          <w:rFonts w:ascii="Amiri" w:hAnsi="Amiri" w:eastAsia="Amiri" w:cs="Amiri"/>
          <w:color w:val="111111"/>
          <w:sz w:val="28"/>
          <w:sz w:val="28"/>
          <w:szCs w:val="28"/>
          <w:rtl w:val="true"/>
          <w:lang w:bidi="ar-SA"/>
        </w:rPr>
        <w:t>على ما حكاه المحقّق الثالث رحمه‌اللّه عنه ما فيه غنية عن غيره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للقول باشتراط العدالة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آية النبأ وقد مرّ وجه التقريب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في جملة من </w:t>
      </w:r>
      <w:r>
        <w:rPr>
          <w:rStyle w:val="FootnoteAnchor"/>
          <w:rtl w:val="true"/>
        </w:rPr>
        <w:footnoteReference w:id="569"/>
      </w:r>
      <w:r>
        <w:rPr>
          <w:rFonts w:ascii="Amiri" w:hAnsi="Amiri" w:eastAsia="Amiri" w:cs="Amiri"/>
          <w:color w:val="111111"/>
          <w:sz w:val="28"/>
          <w:sz w:val="28"/>
          <w:szCs w:val="28"/>
          <w:rtl w:val="true"/>
          <w:lang w:bidi="ar-SA"/>
        </w:rPr>
        <w:t xml:space="preserve">كلمات أساطين الفنّ وقد مرّت </w:t>
      </w:r>
      <w:r>
        <w:rPr>
          <w:rStyle w:val="FootnoteAnchor"/>
          <w:rtl w:val="true"/>
        </w:rPr>
        <w:footnoteReference w:id="570"/>
      </w:r>
      <w:r>
        <w:rPr>
          <w:rFonts w:ascii="Amiri" w:hAnsi="Amiri" w:eastAsia="Amiri" w:cs="Amiri"/>
          <w:color w:val="111111"/>
          <w:sz w:val="28"/>
          <w:sz w:val="28"/>
          <w:szCs w:val="28"/>
          <w:rtl w:val="true"/>
          <w:lang w:bidi="ar-SA"/>
        </w:rPr>
        <w:t>الإشارة إليها بجوابها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المأثورة في الباب ، وبرهة من الآثار المسطورة في أحوال الأصحاب مثل ما روي عنهم عليهم‌السلام بعد ما سئل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رووا وذروا ما رأوا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فإنّه بظاهره يعطي اشتراط العدالة ، وإلاّ فلا وجه للسؤال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نقل في ترجمة إبراهيم بن عبد الحميد من أنّه لم يعتمد عليه بعض مشايخ أصحابنا معلّلا بأنّه لم يرو عن الرضا عليه‌السلام مع إدراكه الصحبة </w:t>
      </w:r>
      <w:r>
        <w:rPr>
          <w:rStyle w:val="FootnoteAnchor"/>
          <w:rtl w:val="true"/>
        </w:rPr>
        <w:footnoteReference w:id="572"/>
      </w:r>
      <w:r>
        <w:rPr>
          <w:rFonts w:ascii="Amiri" w:hAnsi="Amiri" w:eastAsia="Amiri" w:cs="Amiri"/>
          <w:color w:val="111111"/>
          <w:sz w:val="28"/>
          <w:sz w:val="28"/>
          <w:szCs w:val="28"/>
          <w:rtl w:val="true"/>
          <w:lang w:bidi="ar-SA"/>
        </w:rPr>
        <w:t xml:space="preserve">إلى غير ذلك من الوجوه الغير الخفية على المتتبّع إلاّ أنّ الظاهر منها هو بيان طريق الوثاقة والاجتهاد فيه ، مع أنّ الرواية يمكن قلبها عليهم حيث أمر بالأخذ بروايتهم مع ظهور فسقهم مضافا إلى ما ادّعيناه من </w:t>
      </w:r>
      <w:r>
        <w:rPr>
          <w:rStyle w:val="FootnoteAnchor"/>
          <w:rtl w:val="true"/>
        </w:rPr>
        <w:footnoteReference w:id="573"/>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فالأمارات وإن تعارضت من الطرفين إلاّ أنّ المتدبّر المتفطّن المتدرّب بالأخبار وأحوال الرجال وفقه أصحابنا الأخيار يظهر له ما قلنا كما يكشف عنه ما ورد في بعض الأخبار العلاجية </w:t>
      </w:r>
      <w:r>
        <w:rPr>
          <w:rStyle w:val="FootnoteAnchor"/>
          <w:rtl w:val="true"/>
        </w:rPr>
        <w:footnoteReference w:id="574"/>
      </w:r>
      <w:r>
        <w:rPr>
          <w:rFonts w:ascii="Amiri" w:hAnsi="Amiri" w:eastAsia="Amiri" w:cs="Amiri"/>
          <w:color w:val="111111"/>
          <w:sz w:val="28"/>
          <w:sz w:val="28"/>
          <w:szCs w:val="28"/>
          <w:rtl w:val="true"/>
          <w:lang w:bidi="ar-SA"/>
        </w:rPr>
        <w:t xml:space="preserve">من الأمر بالأخذ بما قال به أوثق الراويين ، فتدبّر في المقام ؛ فإنّه من </w:t>
      </w:r>
      <w:r>
        <w:rPr>
          <w:rStyle w:val="FootnoteAnchor"/>
          <w:rtl w:val="true"/>
        </w:rPr>
        <w:footnoteReference w:id="575"/>
      </w:r>
      <w:r>
        <w:rPr>
          <w:rFonts w:ascii="Amiri" w:hAnsi="Amiri" w:eastAsia="Amiri" w:cs="Amiri"/>
          <w:color w:val="111111"/>
          <w:sz w:val="28"/>
          <w:sz w:val="28"/>
          <w:szCs w:val="28"/>
          <w:rtl w:val="true"/>
          <w:lang w:bidi="ar-SA"/>
        </w:rPr>
        <w:t>مزال الأقدام ، ومهابط الأوهام ، ومطارح الأفهام ، وعليك بالإنصاف ، وترك الاعتساف في تحصيل الوثاقة التي اعتبرناها ، فإنّها بعد إمعان النظر ممّا لا يقبل الإنكار ، فإنّ أكثر الأخبار المودعة في كتب أصحابنا ممّا تركن النفس إليه من جهة صدوره من الإمام ، واحتمال السهو والنسيان والإرسال ممّا يندفع بالأصول المتّفق عليها ، ولا يضرّ في تحصيل الوثاقة على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الآيات والأخبار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يحكم باعتبار أخبار الآحاد بالخصوص ، وأخرى يحكم بعنوان كلّي كالظنّ مثلا وهو يشمل بعمومه أخبار الآحاد أيضا ، فلنذكر كلاّ منهما في مقام خاصّ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في بيان الأدلّة التي تدلّ على حجّية أخبار الآحاد بالخصوص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بعد ما وجدنا وثاقة رواة الأخبار واجتهادهم في تصحيح الآثار مع وفور علمهم وكثرة ورعهم وزيادة حذاقتهم ، علمنا علما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يدانيه ، ولا شكّ يعتريه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جملة كثيرة من الأخبار المودعة في كتب أصحابنا مثلا من معادن الوحي ومهابط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وكفاك شاهدا في المقام مراجعة ما قيل في بعض مشايخ الرواية وهو العيّاشي صاحب التفسير من بذله ثلاثمائة ألف دينار في تنقيح الأخبار ، فكان بيته كالمسجد بين قار أو كاتب ومقابل ومصحّح ، وكيف لا مع أنّا لو حاولنا كتابة كتاب يشتمل </w:t>
      </w:r>
      <w:r>
        <w:rPr>
          <w:rStyle w:val="FootnoteAnchor"/>
          <w:rtl w:val="true"/>
        </w:rPr>
        <w:footnoteReference w:id="576"/>
      </w:r>
      <w:r>
        <w:rPr>
          <w:rFonts w:ascii="Amiri" w:hAnsi="Amiri" w:eastAsia="Amiri" w:cs="Amiri"/>
          <w:color w:val="111111"/>
          <w:sz w:val="28"/>
          <w:sz w:val="28"/>
          <w:szCs w:val="28"/>
          <w:rtl w:val="true"/>
          <w:lang w:bidi="ar-SA"/>
        </w:rPr>
        <w:t xml:space="preserve">على أحوال معاصرينا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يرتبط بأمر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نبذل الجهد في تنقيحها وتحصيل ما هو الواقع من حالهم والاحتراز عن الأكاذيب بل عمّا لا نثق به ، ولا نعتمد عليه ، ولعمري إنّ مؤلّفي كتب الأخبار لا يقصر حالهم عن أصحاب النقل ، وأرباب التواريخ وأئمّة اللغة ، فكما أنّا نعتمد عليهم في نقلهم ، ويحصل لنا العلم بل القطع بمطابقة جملة ما ألّفوها ، فكذا يحصل لنا العلم في المقام بصدور جملة من الأخبار ولو بألفاظ مترادفة تفيد مفادها من مخازن العلم ، وبعد إحراز هذا الموضوع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بما علمنا أنّه قول المعصوم من أمر أو نهي مثلا ، فإن علمناه بخصوصه ، فهو ، وإلاّ فلا بدّ إمّا </w:t>
      </w:r>
      <w:r>
        <w:rPr>
          <w:rStyle w:val="FootnoteAnchor"/>
          <w:rtl w:val="true"/>
        </w:rPr>
        <w:footnoteReference w:id="577"/>
      </w:r>
      <w:r>
        <w:rPr>
          <w:rFonts w:ascii="Amiri" w:hAnsi="Amiri" w:eastAsia="Amiri" w:cs="Amiri"/>
          <w:color w:val="111111"/>
          <w:sz w:val="28"/>
          <w:sz w:val="28"/>
          <w:szCs w:val="28"/>
          <w:rtl w:val="true"/>
          <w:lang w:bidi="ar-SA"/>
        </w:rPr>
        <w:t>من العمل بجميع المحتملات عند إمكان الاحتياط ، أو تعيين القول الصادر بطريق ظنّي لقضاء العقل القاطع به وهو المطلوب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أعمّية الدليل عن المدّعى ، فهو في الحقيقة ينهض على المقام الثاني ؛ فإنّ مناط وجوب العمل بقول المعصوم ليس هو قوله من حيث قوله بل من جهة كشفه عن الواقع ، ومع التنزّل ، فالعبرة بمطلق رضائه ونحن نعلم علما إجماليا بمطابقة جملة من الأمارات الظنّية كالإجماع المنقول والشهرة وعدم الخلاف ونحوها للواقع ، فيلزم رضا المعصوم به ، فالدليل المذكور لو تمّ ، يدلّ على اعتبار مطلق الأمارات الظنّية حيث </w:t>
      </w:r>
    </w:p>
    <w:p>
      <w:pPr>
        <w:pStyle w:val="BookText"/>
        <w:rPr/>
      </w:pPr>
      <w:r>
        <w:rPr>
          <w:rFonts w:ascii="Amiri" w:hAnsi="Amiri" w:eastAsia="Amiri" w:cs="Amiri"/>
          <w:color w:val="111111"/>
          <w:sz w:val="28"/>
          <w:sz w:val="28"/>
          <w:szCs w:val="28"/>
          <w:rtl w:val="true"/>
          <w:lang w:bidi="ar-SA"/>
        </w:rPr>
        <w:t>ما عرفت من تنقيح مناطه وحصوله في غير المدّعى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بمطابقة بعض مضامين الشهرات مثلا ممنوع ، فلا يستقيم دفعا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ادّعاء حصول العلم فيها إذ كما أنّ الأخبار حكايات عن الواقع ، فالشهرات أيضا كذلك ، فلا أقلّ من حصول العلم بانضمام أمارة ظنّية أخرى كالإجماع المنقول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عدم حصول العلم بانضمام الأمارات جميعها إليها ، فلا أقلّ من حصول العلم بانضمام الأخبار إليها ، وليس ذلك من جهة انضمام الأخبار إليها بحيث لم يكن لها مدخل في حصول العلم كما قد يتوهّم بل يحصل العلم بملاحظتها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يدلّك على ذلك أنّه لو ضمّ إليها صنف من الأخبار كالضعاف مثلا بحيث لم يحصل فيه العلم بملاحظة نفسه ، يحصل العلم بمطابقة جملة مردّدة بملاحظة </w:t>
      </w:r>
      <w:r>
        <w:rPr>
          <w:rStyle w:val="FootnoteAnchor"/>
          <w:rtl w:val="true"/>
        </w:rPr>
        <w:footnoteReference w:id="578"/>
      </w:r>
      <w:r>
        <w:rPr>
          <w:rFonts w:ascii="Amiri" w:hAnsi="Amiri" w:eastAsia="Amiri" w:cs="Amiri"/>
          <w:color w:val="111111"/>
          <w:sz w:val="28"/>
          <w:sz w:val="28"/>
          <w:szCs w:val="28"/>
          <w:rtl w:val="true"/>
          <w:lang w:bidi="ar-SA"/>
        </w:rPr>
        <w:t>المضموم والمضموم إليه بالواقع على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فالمناط في لزوم العمل بالخبر هو كشف الواقع مع اقترانه برضا المعصوم ، والعلم المدّعى بمطابقة جملة من الأخبار بالواقع أيضا حاصل في غيرها من الأمارات ، فلا وجه لتخصيص الدعوى بها دون غيرها بعد قضاء البرهان في غيرها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حصول العلم في غيرها من الأمارات ولو بانضمامها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الدليل مع ذلك يعمّ غير المدّعى ؛ فإنّ المدّعى اعتبار الأخبار المظنون صدورها ، وبعد ما عرفت من أنّ مناط الدليل هو مطابقة الواقع ، يلزم القول باعتبار الخبر الموهوم صدوره فيما لو طابق أمارة ظنّية كاشفة عن الواقع مثل انجباره بالشهرة ، أو بالإجماع المنقول وغير ذلك ، فإنّه حينئذ مفاده ظنّي يورث </w:t>
      </w:r>
    </w:p>
    <w:p>
      <w:pPr>
        <w:pStyle w:val="BookText"/>
        <w:rPr/>
      </w:pPr>
      <w:r>
        <w:rPr>
          <w:rFonts w:ascii="Amiri" w:hAnsi="Amiri" w:eastAsia="Amiri" w:cs="Amiri"/>
          <w:color w:val="111111"/>
          <w:sz w:val="28"/>
          <w:sz w:val="28"/>
          <w:szCs w:val="28"/>
          <w:rtl w:val="true"/>
          <w:lang w:bidi="ar-SA"/>
        </w:rPr>
        <w:t>الظنّ بالواقع مع وهم سنده وصدوره ، لكنّه يلزم العمل به بمقتضى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مطابقة </w:t>
      </w:r>
      <w:r>
        <w:rPr>
          <w:rStyle w:val="FootnoteAnchor"/>
          <w:rtl w:val="true"/>
        </w:rPr>
        <w:footnoteReference w:id="579"/>
      </w:r>
      <w:r>
        <w:rPr>
          <w:rFonts w:ascii="Amiri" w:hAnsi="Amiri" w:eastAsia="Amiri" w:cs="Amiri"/>
          <w:color w:val="111111"/>
          <w:sz w:val="28"/>
          <w:sz w:val="28"/>
          <w:szCs w:val="28"/>
          <w:rtl w:val="true"/>
          <w:lang w:bidi="ar-SA"/>
        </w:rPr>
        <w:t xml:space="preserve">مضمون الخبر بأمارة ظنّية ، وانجباره بها مثلا </w:t>
      </w:r>
      <w:r>
        <w:rPr>
          <w:rStyle w:val="FootnoteAnchor"/>
          <w:rtl w:val="true"/>
        </w:rPr>
        <w:footnoteReference w:id="580"/>
      </w:r>
      <w:r>
        <w:rPr>
          <w:rFonts w:ascii="Amiri" w:hAnsi="Amiri" w:eastAsia="Amiri" w:cs="Amiri"/>
          <w:color w:val="111111"/>
          <w:sz w:val="28"/>
          <w:sz w:val="28"/>
          <w:szCs w:val="28"/>
          <w:rtl w:val="true"/>
          <w:lang w:bidi="ar-SA"/>
        </w:rPr>
        <w:t xml:space="preserve">يوجب الظنّ بصدور الخبر ولو بلفظ يؤدّي مؤدّاه ، فالموهوم هو صدور تلك الألفاظ الخاصّة وهو لا ينافي ظنّية صدور مرادفاتها ، فيصدق عليه أنّه خبر مظنون الصدور ولو بلفظ مرادفه كما لو </w:t>
      </w:r>
      <w:r>
        <w:rPr>
          <w:rStyle w:val="FootnoteAnchor"/>
          <w:rtl w:val="true"/>
        </w:rPr>
        <w:footnoteReference w:id="581"/>
      </w:r>
      <w:r>
        <w:rPr>
          <w:rFonts w:ascii="Amiri" w:hAnsi="Amiri" w:eastAsia="Amiri" w:cs="Amiri"/>
          <w:color w:val="111111"/>
          <w:sz w:val="28"/>
          <w:sz w:val="28"/>
          <w:szCs w:val="28"/>
          <w:rtl w:val="true"/>
          <w:lang w:bidi="ar-SA"/>
        </w:rPr>
        <w:t xml:space="preserve">أخبر من لا يظنّ بصدقه من إمام بأنّه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الهرّة طاهر ، وكان موافقا لما عليه الأصحاب ، يظنّ بصدوره عن </w:t>
      </w:r>
      <w:r>
        <w:rPr>
          <w:rStyle w:val="FootnoteAnchor"/>
          <w:rtl w:val="true"/>
        </w:rPr>
        <w:footnoteReference w:id="582"/>
      </w:r>
      <w:r>
        <w:rPr>
          <w:rFonts w:ascii="Amiri" w:hAnsi="Amiri" w:eastAsia="Amiri" w:cs="Amiri"/>
          <w:color w:val="111111"/>
          <w:sz w:val="28"/>
          <w:sz w:val="28"/>
          <w:szCs w:val="28"/>
          <w:rtl w:val="true"/>
          <w:lang w:bidi="ar-SA"/>
        </w:rPr>
        <w:t>المعصوم ولو بلفظ آخر كالسنّور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أخصّ من المدّعى ، فإنّ قاعدة الشغل يقضي بوجوب العمل بالأخبار المثبتة للتكليف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النافية له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وما يدلّ على عدم لزوم الاجتناب عن المباحات العقلية والأخبار النافية لأجزاء الماهية </w:t>
      </w:r>
      <w:r>
        <w:rPr>
          <w:rStyle w:val="FootnoteAnchor"/>
          <w:rtl w:val="true"/>
        </w:rPr>
        <w:footnoteReference w:id="584"/>
      </w:r>
      <w:r>
        <w:rPr>
          <w:rFonts w:ascii="Amiri" w:hAnsi="Amiri" w:eastAsia="Amiri" w:cs="Amiri"/>
          <w:color w:val="111111"/>
          <w:sz w:val="28"/>
          <w:sz w:val="28"/>
          <w:szCs w:val="28"/>
          <w:rtl w:val="true"/>
          <w:lang w:bidi="ar-SA"/>
        </w:rPr>
        <w:t xml:space="preserve">وشروطها بخصوصها أو عمومها ، فلا دلالة في الاحتياط على لزوم العمل بها والاستناد إليها بل ومقتضى الاحتياط </w:t>
      </w:r>
      <w:r>
        <w:rPr>
          <w:rStyle w:val="FootnoteAnchor"/>
          <w:rtl w:val="true"/>
        </w:rPr>
        <w:footnoteReference w:id="585"/>
      </w:r>
      <w:r>
        <w:rPr>
          <w:rFonts w:ascii="Amiri" w:hAnsi="Amiri" w:eastAsia="Amiri" w:cs="Amiri"/>
          <w:color w:val="111111"/>
          <w:sz w:val="28"/>
          <w:sz w:val="28"/>
          <w:szCs w:val="28"/>
          <w:rtl w:val="true"/>
          <w:lang w:bidi="ar-SA"/>
        </w:rPr>
        <w:t xml:space="preserve">ترك العمل بها </w:t>
      </w:r>
      <w:r>
        <w:rPr>
          <w:rStyle w:val="FootnoteAnchor"/>
          <w:rtl w:val="true"/>
        </w:rPr>
        <w:footnoteReference w:id="586"/>
      </w:r>
      <w:r>
        <w:rPr>
          <w:rFonts w:ascii="Amiri" w:hAnsi="Amiri" w:eastAsia="Amiri" w:cs="Amiri"/>
          <w:color w:val="111111"/>
          <w:sz w:val="28"/>
          <w:sz w:val="28"/>
          <w:szCs w:val="28"/>
          <w:rtl w:val="true"/>
          <w:lang w:bidi="ar-SA"/>
        </w:rPr>
        <w:t xml:space="preserve">مثلا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قد دلّ بعمومه على نفي العقاب في شرب التتن عند فقد نصّ فيه بالخصوص أو مع وجوده ، وإجمال الدلالة والاحتياط لا يقضي بالأخذ بل ربّما كان الاحتياط على خلافه وترك الشرب </w:t>
      </w:r>
    </w:p>
    <w:p>
      <w:pPr>
        <w:pStyle w:val="BookText"/>
        <w:rPr/>
      </w:pPr>
      <w:r>
        <w:rPr>
          <w:rFonts w:ascii="Amiri" w:hAnsi="Amiri" w:eastAsia="Amiri" w:cs="Amiri"/>
          <w:color w:val="111111"/>
          <w:sz w:val="28"/>
          <w:sz w:val="28"/>
          <w:szCs w:val="28"/>
          <w:rtl w:val="true"/>
          <w:lang w:bidi="ar-SA"/>
        </w:rPr>
        <w:t>والإتيان بالمحتملات في مقام الشكّ في الشرط أو الجزء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إتمام الدليل والتقريب بعدم القائل بالفرق وانتفاء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مثل ذلك إنّما يصحّ فيما لو احتملنا اتّحاد طريق الحكم في طرفي الإجماع ، وأمّا فيما لو علمنا باختلاف جهتي الحكم في طرفي الإجماع ، فلا وجه للاستناد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فالإجماع المركّب إنّما يكشف عن اتّحاد علّة الحكم فيما إذا كان الحكم توقيفيا موقوفا على بيان الشارع ، وأمّا بعد ما فرضنا من العلم بعدم وجود شيء يجمعهما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إليها الفاضل الكامل الملاّ عبد اللّه التوني في محكيّ الوافية </w:t>
      </w:r>
      <w:r>
        <w:rPr>
          <w:rStyle w:val="FootnoteAnchor"/>
          <w:rtl w:val="true"/>
        </w:rPr>
        <w:footnoteReference w:id="588"/>
      </w:r>
      <w:r>
        <w:rPr>
          <w:rFonts w:ascii="Amiri" w:hAnsi="Amiri" w:eastAsia="Amiri" w:cs="Amiri"/>
          <w:color w:val="111111"/>
          <w:sz w:val="28"/>
          <w:sz w:val="28"/>
          <w:szCs w:val="28"/>
          <w:rtl w:val="true"/>
          <w:lang w:bidi="ar-SA"/>
        </w:rPr>
        <w:t xml:space="preserve">بعد ذهابه إلى اعتبار الأخبار المودعة في الكتب المعتبرة المعمولة عند جماعة بحيث يخرج عن وصف الشذوذ من </w:t>
      </w:r>
      <w:r>
        <w:rPr>
          <w:rStyle w:val="FootnoteAnchor"/>
          <w:rtl w:val="true"/>
        </w:rPr>
        <w:footnoteReference w:id="589"/>
      </w:r>
      <w:r>
        <w:rPr>
          <w:rFonts w:ascii="Amiri" w:hAnsi="Amiri" w:eastAsia="Amiri" w:cs="Amiri"/>
          <w:color w:val="111111"/>
          <w:sz w:val="28"/>
          <w:sz w:val="28"/>
          <w:szCs w:val="28"/>
          <w:rtl w:val="true"/>
          <w:lang w:bidi="ar-SA"/>
        </w:rPr>
        <w:t xml:space="preserve">أنّا نعلم علما ضروريا بكوننا مكلّفين بأصول كلّية ضرورية كالصلاة والزكاة والصوم وغيرها من العبادات والأحكام والعقود والإيقاعات مثلا ، ونعلم علما إجماليا بأنّ بيانات أجزاء تلك الأصول والكلّيات وشرائطها إنّما اشتملت عليها جملة من أخبار </w:t>
      </w:r>
      <w:r>
        <w:rPr>
          <w:rStyle w:val="FootnoteAnchor"/>
          <w:rtl w:val="true"/>
        </w:rPr>
        <w:footnoteReference w:id="590"/>
      </w:r>
      <w:r>
        <w:rPr>
          <w:rFonts w:ascii="Amiri" w:hAnsi="Amiri" w:eastAsia="Amiri" w:cs="Amiri"/>
          <w:color w:val="111111"/>
          <w:sz w:val="28"/>
          <w:sz w:val="28"/>
          <w:szCs w:val="28"/>
          <w:rtl w:val="true"/>
          <w:lang w:bidi="ar-SA"/>
        </w:rPr>
        <w:t>الآحاد وحيث لا نعلمها بالخصوص فلا بدّ من العمل بالأخبار في بيان تلك الحقائق ، وإلاّ لخرجت عن كونها تلك الحقائق ، بل ولا محيص عن ذلك ، فإن كان من ينكره باللسان فقلبه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الدليل يعمّ الدعوى في وجه ، ويخصّها في وجه آخر ، فلا يتمّ التقريب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 فلأنّ تلك الحقائق الكلّية إمّا أن تكون مجملة أو مطلقة ، ولا يكاد يشتبه الفرق بينهما عند أولي الأنظار المستقيمة ، فإنّها على الثاني تستقيم دفعا لبعض </w:t>
      </w:r>
    </w:p>
    <w:p>
      <w:pPr>
        <w:pStyle w:val="BookText"/>
        <w:rPr/>
      </w:pPr>
      <w:r>
        <w:rPr>
          <w:rFonts w:ascii="Amiri" w:hAnsi="Amiri" w:eastAsia="Amiri" w:cs="Amiri"/>
          <w:color w:val="111111"/>
          <w:sz w:val="28"/>
          <w:sz w:val="28"/>
          <w:szCs w:val="28"/>
          <w:rtl w:val="true"/>
          <w:lang w:bidi="ar-SA"/>
        </w:rPr>
        <w:t xml:space="preserve">المحتملات أخذا بالإطلاق بعد إحراز ما هو المتيقّن اعتباره فيها بخلاف الأوّل ، فلا ينهض برفع جزء محتمل ، أو شرط مردّد حيث إنّها من أصلها غير معلومة المراد على هذا التقدير ، فلا مناص من الإتيان بجميع المحتملات ، وذلك على حذو قولهم فيما لو قلنا بأنّ أسامي العبادات إنّما هي للصحيحة ، أو قلنا بأنّها للأعمّ لكن كثرة المخصّصات والمقيّدات قد أجملها </w:t>
      </w:r>
      <w:r>
        <w:rPr>
          <w:rStyle w:val="FootnoteAnchor"/>
          <w:rtl w:val="true"/>
        </w:rPr>
        <w:footnoteReference w:id="591"/>
      </w:r>
      <w:r>
        <w:rPr>
          <w:rFonts w:ascii="Amiri" w:hAnsi="Amiri" w:eastAsia="Amiri" w:cs="Amiri"/>
          <w:color w:val="111111"/>
          <w:sz w:val="28"/>
          <w:sz w:val="28"/>
          <w:szCs w:val="28"/>
          <w:rtl w:val="true"/>
          <w:lang w:bidi="ar-SA"/>
        </w:rPr>
        <w:t>، فلا ينهض بإطلاقه في دفع المحتملات في غير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فلو كانت تلك الحقائق مجملات ، فلا بدّ إمّا من الإتيان بجميع ما يحتمل كونه شرطا ، أو جزءا في بيان تلك الماهيات المجملة الثابتة بالضرورة لو قلنا بأنّ المعتمد بعد عدم التمكّن من الوصول إلى حقائق أجزاء تلك الحقائق وشروطها هو الاحتياط ، ولا فرق في ذلك في نظر العقل بين الأمارات من </w:t>
      </w:r>
      <w:r>
        <w:rPr>
          <w:rStyle w:val="FootnoteAnchor"/>
          <w:rtl w:val="true"/>
        </w:rPr>
        <w:footnoteReference w:id="592"/>
      </w:r>
      <w:r>
        <w:rPr>
          <w:rFonts w:ascii="Amiri" w:hAnsi="Amiri" w:eastAsia="Amiri" w:cs="Amiri"/>
          <w:color w:val="111111"/>
          <w:sz w:val="28"/>
          <w:sz w:val="28"/>
          <w:szCs w:val="28"/>
          <w:rtl w:val="true"/>
          <w:lang w:bidi="ar-SA"/>
        </w:rPr>
        <w:t xml:space="preserve">حيث إنّ اعتبار الأخبار أوّل المدّعى ، فلو احتملنا من الشهرة جزئية شيء لحقيقة الصلاة المجملة ، نقول بلزوم الإتيان به إلى غير ذلك من الموارد ، فلا وجه لتخصيص الاعتبار على هذا التقدير بالأخبار بعد جريان الدليل في غيرها أيضا كما أنّه لا وجه للتخصيص المذكور لو قلنا بأنّ المرجع في بيان المجمل في الفرض المذكور على الأجزاء المظنونة ؛ إذ لا فرق أيضا في نظر العقل بين الأمارات الظنّية فالقول باعتبار بعضها دون غيره مع اتّحاد المناط في الكلّ ممّا لا يصغى إليه ، ولو كانت الحقائق الثابتة بالضرورة مطلقة مع العلم بأنّ جملة من شرائطها وأجزائها تشتمل عليها الأخبار ، فليعمل في إحراز الشرائط والأجزاء بصنف </w:t>
      </w:r>
      <w:r>
        <w:rPr>
          <w:rStyle w:val="FootnoteAnchor"/>
          <w:rtl w:val="true"/>
        </w:rPr>
        <w:footnoteReference w:id="593"/>
      </w:r>
      <w:r>
        <w:rPr>
          <w:rFonts w:ascii="Amiri" w:hAnsi="Amiri" w:eastAsia="Amiri" w:cs="Amiri"/>
          <w:color w:val="111111"/>
          <w:sz w:val="28"/>
          <w:sz w:val="28"/>
          <w:szCs w:val="28"/>
          <w:rtl w:val="true"/>
          <w:lang w:bidi="ar-SA"/>
        </w:rPr>
        <w:t>خاصّ من الخبر مع دفع المحتملات الأخر بأصالة الإطلاق ، أو أصالة البراءة على القول بها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يعلم أيضا بوجود التقييدات في صنف آخر غير ما علمنا به ، </w:t>
      </w:r>
    </w:p>
    <w:p>
      <w:pPr>
        <w:pStyle w:val="BookText"/>
        <w:rPr/>
      </w:pPr>
      <w:r>
        <w:rPr>
          <w:rFonts w:ascii="Amiri" w:hAnsi="Amiri" w:eastAsia="Amiri" w:cs="Amiri"/>
          <w:color w:val="111111"/>
          <w:sz w:val="28"/>
          <w:sz w:val="28"/>
          <w:szCs w:val="28"/>
          <w:rtl w:val="true"/>
          <w:lang w:bidi="ar-SA"/>
        </w:rPr>
        <w:t xml:space="preserve">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أيضا بوجود التقييدات في غير الخبر من سائر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وجود العلم في الأخبار ولو فرضنا منها صنفا يبلغ مائتين مثلا ، أو أقلّ ، أو أكثر وعدمه في غيرها من </w:t>
      </w:r>
      <w:r>
        <w:rPr>
          <w:rStyle w:val="FootnoteAnchor"/>
          <w:rtl w:val="true"/>
        </w:rPr>
        <w:footnoteReference w:id="594"/>
      </w:r>
      <w:r>
        <w:rPr>
          <w:rFonts w:ascii="Amiri" w:hAnsi="Amiri" w:eastAsia="Amiri" w:cs="Amiri"/>
          <w:color w:val="111111"/>
          <w:sz w:val="28"/>
          <w:sz w:val="28"/>
          <w:szCs w:val="28"/>
          <w:rtl w:val="true"/>
          <w:lang w:bidi="ar-SA"/>
        </w:rPr>
        <w:t xml:space="preserve">الأمارات ولو بعد انضمام بعضها إلى الآخر مكابرة واضحة ، ومجازفة بيّنة ، وعهدتها على مدّعيها ، فإن استند إلى </w:t>
      </w:r>
      <w:r>
        <w:rPr>
          <w:rStyle w:val="FootnoteAnchor"/>
          <w:rtl w:val="true"/>
        </w:rPr>
        <w:footnoteReference w:id="595"/>
      </w:r>
      <w:r>
        <w:rPr>
          <w:rFonts w:ascii="Amiri" w:hAnsi="Amiri" w:eastAsia="Amiri" w:cs="Amiri"/>
          <w:color w:val="111111"/>
          <w:sz w:val="28"/>
          <w:sz w:val="28"/>
          <w:szCs w:val="28"/>
          <w:rtl w:val="true"/>
          <w:lang w:bidi="ar-SA"/>
        </w:rPr>
        <w:t xml:space="preserve">عدم الكفاية في الاكتفاء بالخبر الصحيح مثلا ،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الاستناد إليه في الاكتفاء بمطلق الخبر ، فلا بدّ من التعدية بحسب الدليل ، مع أنّ الدعوى خاصّة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فلأنّ الدليل المذكور يقضي بلزوم الإتيان بجميع ما يحتمل كونه جزءا ، وكان ممّا يستفاد من الخبر سواء كان ممّا اجتمع فيه القيدان المأخوذان في الدعوى ، أو لم يشتمل عليهما معا ، أو أحدهما لو لم يحكم بلزوم تعيين المقيّدات المثبتة للأجزاء والشرائط بطريق ظنّي كما أنّه يقضي بالاقتصار على الأخبار المظنونة في الظنّ ، مع أنّه لا يلازم القيدين المعتبرين في العنوان ، فيلزم اعتبار قيد الظنّ أيضا وهو ممّن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فالمرجع في الدليل إن كان هو الدليل الرابع ، فهو ، وإلاّ فلا نعرف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محصّل الدليل هو الأخذ بالاشتغال ، ومقتضاه لا يزيد عن العمل بالأخبار المثبتة للتكاليف دون غيره كما عرفت تفصيل القول فيه في الردّ على الوجه الأوّل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إلى الإجماع المركّب ، فكما مرّ لا وجه له بعد العلم بانتفاء العلّة المستندة إليها الحكم في أحد جزءي الإجماع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أعاظم محقّقي المتأخّرين في تعليقاته على المعالم </w:t>
      </w:r>
      <w:r>
        <w:rPr>
          <w:rStyle w:val="FootnoteAnchor"/>
          <w:rtl w:val="true"/>
        </w:rPr>
        <w:footnoteReference w:id="596"/>
      </w:r>
      <w:r>
        <w:rPr>
          <w:rFonts w:ascii="Amiri" w:hAnsi="Amiri" w:eastAsia="Amiri" w:cs="Amiri"/>
          <w:color w:val="111111"/>
          <w:sz w:val="28"/>
          <w:sz w:val="28"/>
          <w:szCs w:val="28"/>
          <w:rtl w:val="true"/>
          <w:lang w:bidi="ar-SA"/>
        </w:rPr>
        <w:t xml:space="preserve">في ضمن </w:t>
      </w:r>
    </w:p>
    <w:p>
      <w:pPr>
        <w:pStyle w:val="BookText"/>
        <w:rPr/>
      </w:pPr>
      <w:r>
        <w:rPr>
          <w:rFonts w:ascii="Amiri" w:hAnsi="Amiri" w:eastAsia="Amiri" w:cs="Amiri"/>
          <w:color w:val="111111"/>
          <w:sz w:val="28"/>
          <w:sz w:val="28"/>
          <w:szCs w:val="28"/>
          <w:rtl w:val="true"/>
          <w:lang w:bidi="ar-SA"/>
        </w:rPr>
        <w:t xml:space="preserve">كلام طويل ، فلنقتصر على بيان الملخّص منه وهو أنّ الضرورة الدينية قاضية بوجوب الرجوع في الكتاب في جميع الأعصار والسنّة ، مضافا إلى الأخبار الواردة في هذا المضمار البالغة حدّ التواتر ، وحيث علمناها </w:t>
      </w:r>
      <w:r>
        <w:rPr>
          <w:rStyle w:val="FootnoteAnchor"/>
          <w:rtl w:val="true"/>
        </w:rPr>
        <w:footnoteReference w:id="597"/>
      </w:r>
      <w:r>
        <w:rPr>
          <w:rFonts w:ascii="Amiri" w:hAnsi="Amiri" w:eastAsia="Amiri" w:cs="Amiri"/>
          <w:color w:val="111111"/>
          <w:sz w:val="28"/>
          <w:sz w:val="28"/>
          <w:szCs w:val="28"/>
          <w:rtl w:val="true"/>
          <w:lang w:bidi="ar-SA"/>
        </w:rPr>
        <w:t xml:space="preserve">بالخصوص ، فلا إشكال كما أنّه لا إشكال فيما لو قام قاطع على نفيها </w:t>
      </w:r>
      <w:r>
        <w:rPr>
          <w:rStyle w:val="FootnoteAnchor"/>
          <w:rtl w:val="true"/>
        </w:rPr>
        <w:footnoteReference w:id="598"/>
      </w:r>
      <w:r>
        <w:rPr>
          <w:rFonts w:ascii="Amiri" w:hAnsi="Amiri" w:eastAsia="Amiri" w:cs="Amiri"/>
          <w:color w:val="111111"/>
          <w:sz w:val="28"/>
          <w:sz w:val="28"/>
          <w:szCs w:val="28"/>
          <w:rtl w:val="true"/>
          <w:lang w:bidi="ar-SA"/>
        </w:rPr>
        <w:t xml:space="preserve">، وأمّا فيما لو انسدّ باب العلم أو ما قام مقامه إليهما ، فلا بدّ من إعمال الظنّ في طريق نفيهما </w:t>
      </w:r>
      <w:r>
        <w:rPr>
          <w:rStyle w:val="FootnoteAnchor"/>
          <w:rtl w:val="true"/>
        </w:rPr>
        <w:footnoteReference w:id="599"/>
      </w:r>
      <w:r>
        <w:rPr>
          <w:rFonts w:ascii="Amiri" w:hAnsi="Amiri" w:eastAsia="Amiri" w:cs="Amiri"/>
          <w:color w:val="111111"/>
          <w:sz w:val="28"/>
          <w:sz w:val="28"/>
          <w:szCs w:val="28"/>
          <w:rtl w:val="true"/>
          <w:lang w:bidi="ar-SA"/>
        </w:rPr>
        <w:t>كما هو الشأن في كلّ ما انسدّ فيه باب العلم على ما يقضي به العقل القاطع ، فيلزم لزوم العمل بالسنّة المظنونة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مرجعه في الحقيقة إلى دليل الانسداد ، فلا ينهض بإثبات لزوم </w:t>
      </w:r>
      <w:r>
        <w:rPr>
          <w:rStyle w:val="FootnoteAnchor"/>
          <w:rtl w:val="true"/>
        </w:rPr>
        <w:footnoteReference w:id="600"/>
      </w:r>
      <w:r>
        <w:rPr>
          <w:rFonts w:ascii="Amiri" w:hAnsi="Amiri" w:eastAsia="Amiri" w:cs="Amiri"/>
          <w:color w:val="111111"/>
          <w:sz w:val="28"/>
          <w:sz w:val="28"/>
          <w:szCs w:val="28"/>
          <w:rtl w:val="true"/>
          <w:lang w:bidi="ar-SA"/>
        </w:rPr>
        <w:t xml:space="preserve">العمل بالأخبار كما هو المناط في المقام ، وتفصيلا أنّ المستدلّ إن أراد من السنّة قول المعصوم وفعله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إليه دعواه بقيام الضرورة عليه ، واقترانه بالكتاب وبقاء التكليف 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محلّه إلاّ أنّه غير مختصّ بما زعمه من أخبار الآحاد حيث إنّ الشهرة والإجماع المنقول أيضا من السنّة المظنونة بهذا المعنى ، وغيرهما من الأمارات التي تكشف عن السنّة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الحاصل من المقدّمات المذكورة وجوب الأخذ بما ظنّ كونه سنّة بعد انسداد طريق العلم إليها ،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أيضا ممّا يظنّ كونه سنّة على ما هو المفروض من السنّة بل قد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أقوى في استكشاف السنّة عنها من </w:t>
      </w:r>
      <w:r>
        <w:rPr>
          <w:rStyle w:val="FootnoteAnchor"/>
          <w:rtl w:val="true"/>
        </w:rPr>
        <w:footnoteReference w:id="601"/>
      </w:r>
      <w:r>
        <w:rPr>
          <w:rFonts w:ascii="Amiri" w:hAnsi="Amiri" w:eastAsia="Amiri" w:cs="Amiri"/>
          <w:color w:val="111111"/>
          <w:sz w:val="28"/>
          <w:sz w:val="28"/>
          <w:szCs w:val="28"/>
          <w:rtl w:val="true"/>
          <w:lang w:bidi="ar-SA"/>
        </w:rPr>
        <w:t>غيرها ؛ إذ ابتذال مدلوله واشتهار مفاده عند الأصحاب مثلا ممّا يؤكّد صدور قول أو فعل أو حصول تقرير منهم فيه ، وهكذا نقول في غيرها من الأمارات الظنّية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هناك لزوم الأخذ بالشهرة والإجماع وغيرهما من الأمارات الكاشفة عن قول المعصوم أو فعله أو تقريره ، وأمّا غيرها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w:t>
      </w:r>
    </w:p>
    <w:p>
      <w:pPr>
        <w:pStyle w:val="BookText"/>
        <w:rPr/>
      </w:pPr>
      <w:r>
        <w:rPr>
          <w:rFonts w:ascii="Amiri" w:hAnsi="Amiri" w:eastAsia="Amiri" w:cs="Amiri"/>
          <w:color w:val="111111"/>
          <w:sz w:val="28"/>
          <w:sz w:val="28"/>
          <w:szCs w:val="28"/>
          <w:rtl w:val="true"/>
          <w:lang w:bidi="ar-SA"/>
        </w:rPr>
        <w:t xml:space="preserve">عرض قول المعصوم أو فعله أو تقريره ما يستكشف بها من المصلحة الكامنة </w:t>
      </w:r>
      <w:r>
        <w:rPr>
          <w:rStyle w:val="FootnoteAnchor"/>
          <w:rtl w:val="true"/>
        </w:rPr>
        <w:footnoteReference w:id="602"/>
      </w:r>
      <w:r>
        <w:rPr>
          <w:rFonts w:ascii="Amiri" w:hAnsi="Amiri" w:eastAsia="Amiri" w:cs="Amiri"/>
          <w:color w:val="111111"/>
          <w:sz w:val="28"/>
          <w:sz w:val="28"/>
          <w:szCs w:val="28"/>
          <w:rtl w:val="true"/>
          <w:lang w:bidi="ar-SA"/>
        </w:rPr>
        <w:t xml:space="preserve">والحكم الواقعي كالأولوية والاستقراء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البحث فيها ؛ فإنّ لها مقاما سيأتي ؛ إذ يكفي في الردّ على المستدلّ في المقام جريان دليله في غير مدّعاه بعد ما زعمه من الاختصاص ولو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أيضا كاشفة عن السنّة ؛ إذ ليس الكلام فيما حجب اللّه علمه عن العباد ، وجعله من مخزون العلم عنده بل الكلام في الأمور العادية التي بيّنوا أحكامها ، فالأولوية في واقعة كذائية تورث الظنّ بالواقع وهو يلازم ظنّ صدور سنّة منهم عليهم‌السلام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بالسنّة وجوبه ليس وجوبا نفسيا من جهة اعتبارها من حيث هي هي ؛ إذ الأدلّة التي دلّت على وجوب العمل بالسنّة لا يزيد مفادها على لزوم الأخذ بها من جهة كشفها عن الواقع والأولوية لو لم نقل بالأولوية من جهة كشفها عن الواقع ، فلا أقلّ من عدم اقتصارها عن غيرها ، فلا مناص من الاتّكال عليها وورودها على المستدلّ هذا ، وإن أراد المستدلّ من السنّة المدّعى على لزوم العمل بها ضرورة الدين والإجماع بالخبر الخالي عن قول المعصوم أو فعله أو تقريره ، فإن أريد بالخبر القطعي ، فمسلّم لكنّه غير مفيد ؛ إذ هو على تقدير معلوميّته ممّا لا ينبغي التكلّم فيه ، وعلى تقدير عدم معلوميّته والعلم به إجمالا يرجع الدليل إلى الوجه الأوّل ، وإن أريد الخبر الظنّي فالضرورة قضت بعدم ضرورة لزوم العمل به ، كيف وهو المعركة العظمى وأوّل المدّعى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آل إلى رابع الأدلّة ، فهو ، وإلاّ فلا نعرف له وجها ، هذا تمام الكلام في المقام الأوّل من وجوه الأدلّة التي يمكن الاستناد إليها في حجّية أخبار الآحاد </w:t>
      </w:r>
    </w:p>
    <w:p>
      <w:pPr>
        <w:pStyle w:val="BookText"/>
        <w:rPr/>
      </w:pPr>
      <w:r>
        <w:rPr>
          <w:rFonts w:ascii="Amiri" w:hAnsi="Amiri" w:eastAsia="Amiri" w:cs="Amiri"/>
          <w:color w:val="111111"/>
          <w:sz w:val="28"/>
          <w:sz w:val="28"/>
          <w:szCs w:val="28"/>
          <w:rtl w:val="true"/>
          <w:lang w:bidi="ar-SA"/>
        </w:rPr>
        <w:t>بالخصوص نقلا وعقلا ، وحاصلها اعتبار الأخبار الموثوق بها ، ولكن ينبغي أن يعلم أنّ الوثوق أمر إضافي لا ينضبط غالبا بل هو موكول إلى نظر المجتهد ، فربّما يتخيّل من لا خبرة له بأمر الأخبار والرواة أنّ شيئا من الروايات المودعة في كتب أصحابنا كالكافى والتهذيب والوافى والفقيه مثلا ممّا لا وثوق بها بل إنّما هو مجرّد سواد على بياض ، كما أنّه قد يتوهّم أنّ جلّ الأخبار بل كلّها أخبار موثوقة ، ولا اعتبار بما تخيّل ، ولا بما توهّم بل لا بدّ من العامل بذل جهده في تشخيص غثّها عن سمينها ، وصحيحها عن سقيمها ، ولنشرع في بيان الوجوه التي تدلّ بعمومها على حجّية الخبر وهي لعموم قضيتها وإن كانت تشمل غير الخبر من الأمارات الظنّية إلاّ أنّ بعد ما قرّرنا من اعتبار الأخبار الموثوقة يمكن استرجاع الدليل هذا إلى الخبر بدعوى كفايته في الفقه حيث إنّه لا يختصّ صنفا خاصّا دون غيره وكونه القدر المتيقّن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لمّا نفترق بين المسائل الأصولية والموارد الفقهية في العمل بالظنّ الموثوق به ، فلو ظنّنا ظنّا موثوقا به باعتبار أمارة ظنّية غير </w:t>
      </w:r>
      <w:r>
        <w:rPr>
          <w:rStyle w:val="FootnoteAnchor"/>
          <w:rtl w:val="true"/>
        </w:rPr>
        <w:footnoteReference w:id="603"/>
      </w:r>
      <w:r>
        <w:rPr>
          <w:rFonts w:ascii="IRNazanin" w:hAnsi="IRNazanin" w:eastAsia="IRNazanin"/>
          <w:color w:val="111111"/>
          <w:sz w:val="28"/>
          <w:sz w:val="28"/>
          <w:szCs w:val="28"/>
          <w:rtl w:val="true"/>
          <w:lang w:bidi="fa-IR"/>
        </w:rPr>
        <w:t xml:space="preserve">موثوق بها ، نلتزم بالعمل </w:t>
      </w:r>
      <w:r>
        <w:rPr>
          <w:rStyle w:val="FootnoteAnchor"/>
          <w:rtl w:val="true"/>
        </w:rPr>
        <w:footnoteReference w:id="604"/>
      </w:r>
      <w:r>
        <w:rPr>
          <w:rFonts w:ascii="Amiri" w:hAnsi="Amiri" w:eastAsia="Amiri" w:cs="Amiri"/>
          <w:color w:val="111111"/>
          <w:sz w:val="28"/>
          <w:sz w:val="28"/>
          <w:szCs w:val="28"/>
          <w:rtl w:val="true"/>
          <w:lang w:bidi="ar-SA"/>
        </w:rPr>
        <w:t xml:space="preserve">بها كما لو حصل لنا الظنّ الذي يسكن إليه النفس باعتبار الشهرة مثلا أو الأولوية الظنّية مثل ما لو حصل الوثوق في الحكم الفرعي من نفس الأولوية التي لا ترجع إلى دلالة اللفظ كما نرى في الحكم بحرمة امرأة ذات عدّة على من دخل بها في أيّام العدّة احتراما للفروج ، فإنّها أولى من امرأة ذات بعل </w:t>
      </w:r>
      <w:r>
        <w:rPr>
          <w:rStyle w:val="FootnoteAnchor"/>
          <w:rtl w:val="true"/>
        </w:rPr>
        <w:footnoteReference w:id="605"/>
      </w:r>
      <w:r>
        <w:rPr>
          <w:rFonts w:ascii="Amiri" w:hAnsi="Amiri" w:eastAsia="Amiri" w:cs="Amiri"/>
          <w:color w:val="111111"/>
          <w:sz w:val="28"/>
          <w:sz w:val="28"/>
          <w:szCs w:val="28"/>
          <w:rtl w:val="true"/>
          <w:lang w:bidi="ar-SA"/>
        </w:rPr>
        <w:t xml:space="preserve">أولوية لا تكاد تنكر بل لا يستبعد </w:t>
      </w:r>
      <w:r>
        <w:rPr>
          <w:rStyle w:val="FootnoteAnchor"/>
          <w:rtl w:val="true"/>
        </w:rPr>
        <w:footnoteReference w:id="606"/>
      </w:r>
      <w:r>
        <w:rPr>
          <w:rFonts w:ascii="Amiri" w:hAnsi="Amiri" w:eastAsia="Amiri" w:cs="Amiri"/>
          <w:color w:val="111111"/>
          <w:sz w:val="28"/>
          <w:sz w:val="28"/>
          <w:szCs w:val="28"/>
          <w:rtl w:val="true"/>
          <w:lang w:bidi="ar-SA"/>
        </w:rPr>
        <w:t xml:space="preserve">أن يستند إليها القائل بالظنّ الخاصّ أيضا كالأولوية التي تكون في أفعال الصلاة بالنسبة إلى ركعاتها مثلا ، لو قلنا بكفاية الظنّ في إحراز ركعات الصلاة عند الشكّ فيها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607"/>
      </w:r>
      <w:r>
        <w:rPr>
          <w:rFonts w:ascii="Amiri" w:hAnsi="Amiri" w:eastAsia="Amiri" w:cs="Amiri"/>
          <w:color w:val="111111"/>
          <w:sz w:val="28"/>
          <w:sz w:val="28"/>
          <w:szCs w:val="28"/>
          <w:rtl w:val="true"/>
          <w:lang w:bidi="ar-SA"/>
        </w:rPr>
        <w:t xml:space="preserve">أولى في الكفاية عن إحراز </w:t>
      </w:r>
      <w:r>
        <w:rPr>
          <w:rStyle w:val="FootnoteAnchor"/>
          <w:rtl w:val="true"/>
        </w:rPr>
        <w:footnoteReference w:id="608"/>
      </w:r>
      <w:r>
        <w:rPr>
          <w:rFonts w:ascii="Amiri" w:hAnsi="Amiri" w:eastAsia="Amiri" w:cs="Amiri"/>
          <w:color w:val="111111"/>
          <w:sz w:val="28"/>
          <w:sz w:val="28"/>
          <w:szCs w:val="28"/>
          <w:rtl w:val="true"/>
          <w:lang w:bidi="ar-SA"/>
        </w:rPr>
        <w:t xml:space="preserve">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موثوقة بها كما هو </w:t>
      </w:r>
      <w:bookmarkStart w:id="76" w:name="pg16273_211537"/>
    </w:p>
    <w:p>
      <w:pPr>
        <w:pStyle w:val="BookText"/>
        <w:rPr/>
      </w:pPr>
      <w:bookmarkEnd w:id="76"/>
      <w:r>
        <w:rPr>
          <w:rFonts w:ascii="Amiri" w:hAnsi="Amiri" w:eastAsia="Amiri" w:cs="Amiri"/>
          <w:color w:val="111111"/>
          <w:sz w:val="28"/>
          <w:sz w:val="28"/>
          <w:szCs w:val="28"/>
          <w:rtl w:val="true"/>
          <w:lang w:bidi="ar-SA"/>
        </w:rPr>
        <w:t>ظاهر ، بخلاف ما لو لم تفد الوثوق كما زعم بعضهم أولوية الماء المختلط بالدم في الحكم بكونه معفوّا عنه عن نفس الدم مثلا ، فتدبّر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803510_1280447820"/>
      <w:bookmarkStart w:id="78" w:name="_Toc27"/>
      <w:bookmarkEnd w:id="77"/>
      <w:r>
        <w:rPr>
          <w:rtl w:val="true"/>
        </w:rPr>
        <w:t xml:space="preserve">المقام الثاني في بيان الوجوه التي تعمّ الخبر من الأدلّة العقلية وهي أربعة </w:t>
      </w:r>
      <w:r>
        <w:rPr>
          <w:rtl w:val="true"/>
        </w:rPr>
        <w:t>:</w:t>
      </w:r>
      <w:bookmarkEnd w:id="7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جماعة من أصحابنا وجملة من الجماعة </w:t>
      </w:r>
      <w:r>
        <w:rPr>
          <w:rStyle w:val="FootnoteAnchor"/>
          <w:rtl w:val="true"/>
        </w:rPr>
        <w:footnoteReference w:id="609"/>
      </w:r>
      <w:r>
        <w:rPr>
          <w:rFonts w:ascii="Amiri" w:hAnsi="Amiri" w:eastAsia="Amiri" w:cs="Amiri"/>
          <w:color w:val="111111"/>
          <w:sz w:val="28"/>
          <w:sz w:val="28"/>
          <w:szCs w:val="28"/>
          <w:rtl w:val="true"/>
          <w:lang w:bidi="ar-SA"/>
        </w:rPr>
        <w:t>وهو أنّ في مخالفة ما ظنّه المجتهد مظنّة ضرر ، وكلّ ما فيه مظنّة الضرر يجب الاحتراز عنه ، فيجب الاحتراز عن مخالفة ما ظنّه المجتهد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 فلأنّ المخالفة تلازم إمّا خوف إصابة العقاب اللازم للأمر ، أو المفسدة القائمة المقتضية للأمر على ما هو قضية القواعد للطائفة العدلية على سبيل منع الخلوّ بناء على ما زعمه الأشاعرة من انتفاء المفسدة إلاّ أنّه لا أقلّ من مظنّة العقاب في صورة المخالفة على تقديره ، ولا ريب في أنّ العقاب والمفسدة ضرر ، فخوف إصابتهما خوف إصابة الضرر ، مثلا لو ظنّ المجتهد بوجوب واقعة من أمارة ، فلا شكّ أنّ العمل بخلافها حينئذ يلازم العقاب </w:t>
      </w:r>
      <w:r>
        <w:rPr>
          <w:rStyle w:val="FootnoteAnchor"/>
          <w:rtl w:val="true"/>
        </w:rPr>
        <w:footnoteReference w:id="610"/>
      </w:r>
      <w:r>
        <w:rPr>
          <w:rFonts w:ascii="Amiri" w:hAnsi="Amiri" w:eastAsia="Amiri" w:cs="Amiri"/>
          <w:color w:val="111111"/>
          <w:sz w:val="28"/>
          <w:sz w:val="28"/>
          <w:szCs w:val="28"/>
          <w:rtl w:val="true"/>
          <w:lang w:bidi="ar-SA"/>
        </w:rPr>
        <w:t>، أو الوقوع في مفسدة كامنة فيها وهو المراد بالصغرى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تقرير الصغرى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خوف إصابة الواقع تارة محمولا ، والوقوع في المفسدة أخرى كما عن العلاّمة في النهاية إلاّ أنّ فيما ذكرنا غنية عنه ، وأمّا الكبرى ، فضرورة العقل تقضي بها بل وهي من أجلى الضروريات بل عليها مدار جملة من الأصول الدينية ، ولولاه لانسدّ طريق النبوّات ، وانفتح سبيل الهفوات بل يمكن القول بلزوم دفع الضرر الموهوم ، فكيف بالمظنون ، وإنّ من البديهي استقرار طريقة العقلاء في الاجتناب عن إناء يحتمل السمّ فيه لو لم يكن معارضا بما هو أقوى منه ، أو مساو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ودعوى انتساب </w:t>
      </w:r>
      <w:r>
        <w:rPr>
          <w:rStyle w:val="FootnoteAnchor"/>
          <w:rtl w:val="true"/>
        </w:rPr>
        <w:footnoteReference w:id="611"/>
      </w:r>
      <w:r>
        <w:rPr>
          <w:rFonts w:ascii="Amiri" w:hAnsi="Amiri" w:eastAsia="Amiri" w:cs="Amiri"/>
          <w:color w:val="111111"/>
          <w:sz w:val="28"/>
          <w:sz w:val="28"/>
          <w:szCs w:val="28"/>
          <w:rtl w:val="true"/>
          <w:lang w:bidi="ar-SA"/>
        </w:rPr>
        <w:t>المجتنب عن الموهوم إلى أصحاب السوداء والجنون إنّما يسلّم في صورة المعارضة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الدليل بوجوه يرجع إلى منع الصغرى بعضها ، وإلى الكبرى بعضها الآخر ، وإلى عدم ترتّب النتيجة بعضها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 فوجوه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الحاجبي </w:t>
      </w:r>
      <w:r>
        <w:rPr>
          <w:rStyle w:val="FootnoteAnchor"/>
          <w:rtl w:val="true"/>
        </w:rPr>
        <w:footnoteReference w:id="612"/>
      </w:r>
      <w:r>
        <w:rPr>
          <w:rFonts w:ascii="Amiri" w:hAnsi="Amiri" w:eastAsia="Amiri" w:cs="Amiri"/>
          <w:color w:val="111111"/>
          <w:sz w:val="28"/>
          <w:sz w:val="28"/>
          <w:szCs w:val="28"/>
          <w:rtl w:val="true"/>
          <w:lang w:bidi="ar-SA"/>
        </w:rPr>
        <w:t>، وأمّا لو قلنا بالتحسين والتقبيح العقليين على ما رآه العدلية ، فالعقل إنّما يحكم بأولوية دفع الضرر المظنون ، ولا يحكم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العقول بين الضرر القطعي والظنّي ، فكما أنّ العقل يستقلّ بإدراك وجوب دفع الأوّل ، فكذا في الثاني ، كيف وهو من مباني أصول المعرفة كوجوب معرفة اللّه ولولاه ، لزم إفحام </w:t>
      </w:r>
      <w:r>
        <w:rPr>
          <w:rStyle w:val="FootnoteAnchor"/>
          <w:rtl w:val="true"/>
        </w:rPr>
        <w:footnoteReference w:id="613"/>
      </w:r>
      <w:r>
        <w:rPr>
          <w:rFonts w:ascii="Amiri" w:hAnsi="Amiri" w:eastAsia="Amiri" w:cs="Amiri"/>
          <w:color w:val="111111"/>
          <w:sz w:val="28"/>
          <w:sz w:val="28"/>
          <w:szCs w:val="28"/>
          <w:rtl w:val="true"/>
          <w:lang w:bidi="ar-SA"/>
        </w:rPr>
        <w:t xml:space="preserve">الأنبياء على ما قرّر الوجه في الجميع في محلّه ، وهذا القول منه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ختم اللّه على قلوبهم 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بعجب بعد إنكارهم أصل التحسين والتقبيح ، ولنعم </w:t>
      </w:r>
      <w:r>
        <w:rPr>
          <w:rStyle w:val="FootnoteAnchor"/>
          <w:rtl w:val="true"/>
        </w:rPr>
        <w:footnoteReference w:id="614"/>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الفقه ، فقد صنّف 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الشرعية قاضية أيضا بوجوب دفع الضرر ، فلا يتأتّى منه أيضا إنكار الكبرى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الَّذِينَ مَكَرُوا السَّيِّئاتِ أَنْ يَخْسِفَ اللّهُ بِهِمُ الْأَرْضَ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والتقريب في الكلّ واضح بعد ما ترى من </w:t>
      </w:r>
      <w:r>
        <w:rPr>
          <w:rStyle w:val="FootnoteAnchor"/>
          <w:rtl w:val="true"/>
        </w:rPr>
        <w:footnoteReference w:id="618"/>
      </w:r>
      <w:r>
        <w:rPr>
          <w:rFonts w:ascii="Amiri" w:hAnsi="Amiri" w:eastAsia="Amiri" w:cs="Amiri"/>
          <w:color w:val="111111"/>
          <w:sz w:val="28"/>
          <w:sz w:val="28"/>
          <w:szCs w:val="28"/>
          <w:rtl w:val="true"/>
          <w:lang w:bidi="ar-SA"/>
        </w:rPr>
        <w:t xml:space="preserve">الأمر بالتبيّن والحذر لخوف إصابة الفتنة والجهالة والندامة ، فالكبرى على أنّها ضرورية مبيّنة مبرهنة متبيّنة </w:t>
      </w:r>
      <w:r>
        <w:rPr>
          <w:rStyle w:val="FootnoteAnchor"/>
          <w:rtl w:val="true"/>
        </w:rPr>
        <w:footnoteReference w:id="61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وجدناه في كلام بعض الأجلّة </w:t>
      </w:r>
      <w:r>
        <w:rPr>
          <w:rStyle w:val="FootnoteAnchor"/>
          <w:rtl w:val="true"/>
        </w:rPr>
        <w:footnoteReference w:id="620"/>
      </w:r>
      <w:r>
        <w:rPr>
          <w:rFonts w:ascii="Amiri" w:hAnsi="Amiri" w:eastAsia="Amiri" w:cs="Amiri"/>
          <w:color w:val="111111"/>
          <w:sz w:val="28"/>
          <w:sz w:val="28"/>
          <w:szCs w:val="28"/>
          <w:rtl w:val="true"/>
          <w:lang w:bidi="ar-SA"/>
        </w:rPr>
        <w:t xml:space="preserve">وهو أنّ العقل إنّما يستقلّ في إدراك وجوب دفع الضرر الدنيوي الذي </w:t>
      </w:r>
      <w:r>
        <w:rPr>
          <w:rStyle w:val="FootnoteAnchor"/>
          <w:rtl w:val="true"/>
        </w:rPr>
        <w:footnoteReference w:id="621"/>
      </w:r>
      <w:r>
        <w:rPr>
          <w:rFonts w:ascii="IRNazanin" w:hAnsi="IRNazanin" w:eastAsia="IRNazanin"/>
          <w:color w:val="111111"/>
          <w:sz w:val="28"/>
          <w:sz w:val="28"/>
          <w:szCs w:val="28"/>
          <w:rtl w:val="true"/>
          <w:lang w:bidi="fa-IR"/>
        </w:rPr>
        <w:t xml:space="preserve">له تعلّق بأمور المعاش </w:t>
      </w:r>
      <w:r>
        <w:rPr>
          <w:rStyle w:val="FootnoteAnchor"/>
          <w:rtl w:val="true"/>
        </w:rPr>
        <w:footnoteReference w:id="622"/>
      </w:r>
      <w:r>
        <w:rPr>
          <w:rFonts w:ascii="Amiri" w:hAnsi="Amiri" w:eastAsia="Amiri" w:cs="Amiri"/>
          <w:color w:val="111111"/>
          <w:sz w:val="28"/>
          <w:sz w:val="28"/>
          <w:szCs w:val="28"/>
          <w:rtl w:val="true"/>
          <w:lang w:bidi="ar-SA"/>
        </w:rPr>
        <w:t xml:space="preserve">دون الأخروي الذي يرجع إلى المعاد وهو بظاهره غير سديد ؛ إذ بعد ما فرضنا من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متعلّقا بأمر الدين أو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الكبرى ممّا لا ينبغي لذي مسكة اللّهمّ إلاّ أن يوجّه بإرجاعه إلى إنكار الصغرى حيث إنّ الأمور الأخروية مبنيّة على دليل علمي ، فمتى لم نجد يحكم العقل بعدم التكليف ولو في مرحلة الظاهر ، فلا تكليف قطعا ولو بملاحظة أدلّة البراءة ، فلا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في المعارج </w:t>
      </w:r>
      <w:r>
        <w:rPr>
          <w:rStyle w:val="FootnoteAnchor"/>
          <w:rtl w:val="true"/>
        </w:rPr>
        <w:footnoteReference w:id="623"/>
      </w:r>
      <w:r>
        <w:rPr>
          <w:rFonts w:ascii="Amiri" w:hAnsi="Amiri" w:eastAsia="Amiri" w:cs="Amiri"/>
          <w:color w:val="111111"/>
          <w:sz w:val="28"/>
          <w:sz w:val="28"/>
          <w:szCs w:val="28"/>
          <w:rtl w:val="true"/>
          <w:lang w:bidi="ar-SA"/>
        </w:rPr>
        <w:t>من النقض بالخبر الفاسق والقياس وغيرهما ممّا قام القاطع على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 عنه أوّلا بما قد يستفاد من تضاعيف كلمات الفاضل القمّي رحمه‌اللّه </w:t>
      </w:r>
      <w:r>
        <w:rPr>
          <w:rStyle w:val="FootnoteAnchor"/>
          <w:rtl w:val="true"/>
        </w:rPr>
        <w:footnoteReference w:id="624"/>
      </w:r>
      <w:r>
        <w:rPr>
          <w:rFonts w:ascii="Amiri" w:hAnsi="Amiri" w:eastAsia="Amiri" w:cs="Amiri"/>
          <w:color w:val="111111"/>
          <w:sz w:val="28"/>
          <w:sz w:val="28"/>
          <w:szCs w:val="28"/>
          <w:rtl w:val="true"/>
          <w:lang w:bidi="ar-SA"/>
        </w:rPr>
        <w:t>من الالتزام به مرّة ، وإنكار حصول الظنّ أخرى ، وليس في محلّه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الظنّ الحاصل من القياس وإن كان يوجب خوف إصابة الفتنة إلاّ أنّه لا قبح في العقل أن يحكم الشارع بإلغاء ذلك نظرا إلى احتمال وقوع العامل بالقياس من جهة عمله به في محذور أشدّ مفسدة ، وأقوى فسادا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ظنّ المجتهد بواسطة قياس ظنّي بحكم ، فلا شكّ أنّ مقتضى لزوم </w:t>
      </w:r>
    </w:p>
    <w:p>
      <w:pPr>
        <w:pStyle w:val="BookText"/>
        <w:rPr/>
      </w:pPr>
      <w:r>
        <w:rPr>
          <w:rFonts w:ascii="Amiri" w:hAnsi="Amiri" w:eastAsia="Amiri" w:cs="Amiri"/>
          <w:color w:val="111111"/>
          <w:sz w:val="28"/>
          <w:sz w:val="28"/>
          <w:szCs w:val="28"/>
          <w:rtl w:val="true"/>
          <w:lang w:bidi="ar-SA"/>
        </w:rPr>
        <w:t xml:space="preserve">التحرّز عن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متابعة القياس والعمل بمفاده حيث </w:t>
      </w:r>
      <w:r>
        <w:rPr>
          <w:rStyle w:val="FootnoteAnchor"/>
          <w:rtl w:val="true"/>
        </w:rPr>
        <w:footnoteReference w:id="625"/>
      </w:r>
      <w:r>
        <w:rPr>
          <w:rFonts w:ascii="Amiri" w:hAnsi="Amiri" w:eastAsia="Amiri" w:cs="Amiri"/>
          <w:color w:val="111111"/>
          <w:sz w:val="28"/>
          <w:sz w:val="28"/>
          <w:szCs w:val="28"/>
          <w:rtl w:val="true"/>
          <w:lang w:bidi="ar-SA"/>
        </w:rPr>
        <w:t xml:space="preserve">إنّ العمل بالقياس أيضا واقعة من الوقائع ، فيحتمل أن يكون فيها مفسدة أشدّ من المفسدة التي تكون في الحكم المستنبط من القياس ، لأجلها قد ألغى الشارع العمل ، مثلا لو ظنّ بحرمة العصير العنبي قياسا له على الخمر ، ففي استعمال العصير بحكم الظنّ الحاصل من القياس مظنّة ضرر ، فكذا في العمل بالقياس والاجتناب عنه من حيث استناده إلى القياس ، ويجوز للشارع في مقام الجعل طرح الأوّل والحكم بأخذ الثاني متى ما كانت المفسدة الكامنة فيه أقوى ، وليس ذلك من التخصيص في حكم العقل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الشرع ليس موافقا لحكم العقل بل كلّ منهما يلازم الآخر بل هو تخصيص وتقييد لمورد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ففيما نحن بصدده نلتزم بعدم لزوم دفع الضرر المظنون في مخالفة المسألة الفرعية نظرا إلى لزوم دفع الضرر المظنون في المسألة الأصولية ؛ لاحتمال أن يكون الضرر المحتمل فيها أقوى ، وأمّا ما قد يجاب </w:t>
      </w:r>
      <w:r>
        <w:rPr>
          <w:rStyle w:val="FootnoteAnchor"/>
          <w:rtl w:val="true"/>
        </w:rPr>
        <w:footnoteReference w:id="626"/>
      </w:r>
      <w:r>
        <w:rPr>
          <w:rFonts w:ascii="Amiri" w:hAnsi="Amiri" w:eastAsia="Amiri" w:cs="Amiri"/>
          <w:color w:val="111111"/>
          <w:sz w:val="28"/>
          <w:sz w:val="28"/>
          <w:szCs w:val="28"/>
          <w:rtl w:val="true"/>
          <w:lang w:bidi="ar-SA"/>
        </w:rPr>
        <w:t>عن مثله بقيام الإجماع على خروجه ، فممّا لا يصغى إليه بعد ما عرفت من أنّ الكلام في جعل الشارع كما لا يخفى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ما استكشفنا من نهي الشارع مفسدة كامنة في العمل بالقياس لأجلها منعنا عن </w:t>
      </w:r>
      <w:r>
        <w:rPr>
          <w:rStyle w:val="FootnoteAnchor"/>
          <w:rtl w:val="true"/>
        </w:rPr>
        <w:footnoteReference w:id="627"/>
      </w:r>
      <w:r>
        <w:rPr>
          <w:rFonts w:ascii="Amiri" w:hAnsi="Amiri" w:eastAsia="Amiri" w:cs="Amiri"/>
          <w:color w:val="111111"/>
          <w:sz w:val="28"/>
          <w:sz w:val="28"/>
          <w:szCs w:val="28"/>
          <w:rtl w:val="true"/>
          <w:lang w:bidi="ar-SA"/>
        </w:rPr>
        <w:t xml:space="preserve">العمل به ، وحاولنا إنكار العمل به لاحتمال أن يكون المفسدة فيه أقوى من المفسدة في الحكم المستخرج منه ، فلا يجوز العمل بكلّ أمارة حيث إنّ الشارع قد نهى عن العمل بها لعموم ما دلّ على حرمة العمل بمطلق ما وراء العلم ، فبعد ملاحظة نهي الشارع عنها يحتمل أن يكون المفسدة الموجبة للنهي عن العمل بالظنّ زائدة على المصلحة المقتضية للعمل به ، وأشدّ من المفسدة المترتّبة على ترك العمل به ، فلا يلتفت إلى دفع </w:t>
      </w:r>
      <w:r>
        <w:rPr>
          <w:rStyle w:val="FootnoteAnchor"/>
          <w:rtl w:val="true"/>
        </w:rPr>
        <w:footnoteReference w:id="628"/>
      </w:r>
      <w:r>
        <w:rPr>
          <w:rFonts w:ascii="Amiri" w:hAnsi="Amiri" w:eastAsia="Amiri" w:cs="Amiri"/>
          <w:color w:val="111111"/>
          <w:sz w:val="28"/>
          <w:sz w:val="28"/>
          <w:szCs w:val="28"/>
          <w:rtl w:val="true"/>
          <w:lang w:bidi="ar-SA"/>
        </w:rPr>
        <w:t xml:space="preserve">الضرر الحاصل عن الترك دفعا للضرر الحاصل من </w:t>
      </w:r>
    </w:p>
    <w:p>
      <w:pPr>
        <w:pStyle w:val="BookText"/>
        <w:rPr/>
      </w:pPr>
      <w:r>
        <w:rPr>
          <w:rFonts w:ascii="Amiri" w:hAnsi="Amiri" w:eastAsia="Amiri" w:cs="Amiri"/>
          <w:color w:val="111111"/>
          <w:sz w:val="28"/>
          <w:sz w:val="28"/>
          <w:szCs w:val="28"/>
          <w:rtl w:val="true"/>
          <w:lang w:bidi="ar-SA"/>
        </w:rPr>
        <w:t>الفعل لاحتمال كونه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المقامين ، فإنّ القياس حرمته حرمة ذاتية كما يستفاد من الأدلّة الدالّة على حرمته من أنّ العامل به والمتّكل عليه وإن أصاب الواقع ، فهو مخطئ في الواقع ، فيجري فيه الاحتمال المذكور بخلاف العمل بالظنّ ، فإنّه قد تقدّم أنّ مرجع الأدلّة الدالّة على حرمته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لزوم التشريع ، وثانيهما لزوم طرح الأصول القطعية بلا دليل يرتفع به موضوعها ، فإنّ العامل به تارة يعمل على أنّه هو المرجع في عمله المستند في فعله ، وأخرى يجعل عمله موافقا لما ظهر له ، ومطابقا لإدراكه من غير أن يستند إليه وأخذه مبنى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الأوّل يلزم التشريع وهو البدعة المحرّمة بالعقل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يكون ظنّه موافقا لأصل من الأصول العملية أو مخالفا لها ، أو لا موافقا ولا مخالفا ، فعلى الأوّل والثالث ، فالمرجع في الحقيقة إمّا الأصل ، أو التخيير ، فلا عمل بالظنّ ، وعلى الثاني يلزم طرح الأصل المخالف من غير دليل علمي يرتفع به موضوعه ، ولا يلزم شيء من المحذورين فيما لو استندنا إلى الظنّ بعد حكم العقل بواسطة لزوم دفع الضرر لوجوب الاستناد كما لا يخفى ؛ إذ العمل به حينئذ عين الشرع ، فلا يلزم التشريع ونفس العلم ، فلا يلزم طرح الأصل من غير علم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بأنّ العمل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استناد العامل إليه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 ومن غير ما يوجبه من الاحتياط عمل بالباطل ، وأمّا بعد ملاحظة الاحتياط دفعا للزوم الضرر ، فلا شكّ أنّه أمر مستحسن عقلا بل وشرعا أيضا ، فإنّ المدار في الحكم بالتسامح في أدلّة السنن في المكروهات عليه كما ستعرف إن شاء اللّه حيث إنّ المناط حينئذ في العمل هو الاحتياط وهو ليس من القياس في شيء بل القياس محصّل لموضوع يحكم العقل فيه بالاحتياط ، ومحقّق لعنوان يلتزم بلزوم دفع </w:t>
      </w:r>
    </w:p>
    <w:p>
      <w:pPr>
        <w:pStyle w:val="BookText"/>
        <w:rPr/>
      </w:pPr>
      <w:r>
        <w:rPr>
          <w:rFonts w:ascii="Amiri" w:hAnsi="Amiri" w:eastAsia="Amiri" w:cs="Amiri"/>
          <w:color w:val="111111"/>
          <w:sz w:val="28"/>
          <w:sz w:val="28"/>
          <w:szCs w:val="28"/>
          <w:rtl w:val="true"/>
          <w:lang w:bidi="ar-SA"/>
        </w:rPr>
        <w:t xml:space="preserve">الضرر فيه ، أما ترى أنّ العقل في صورة الشكّ والاحتمال إنّما يلتزم بإتيان المحتملات كما في الشبهة المحصورة مع أنّه ليس من العمل بالشكّ والاحتمال في شيء ، وهل هذا إلاّ مثل اعتضاد القياس بالخبر الصحيح في عدم اتّكال العامل بالقياس وإن كان بينه وبين ما نحن بصدده </w:t>
      </w:r>
      <w:r>
        <w:rPr>
          <w:rStyle w:val="FootnoteAnchor"/>
          <w:rtl w:val="true"/>
        </w:rPr>
        <w:footnoteReference w:id="630"/>
      </w:r>
      <w:r>
        <w:rPr>
          <w:rFonts w:ascii="Amiri" w:hAnsi="Amiri" w:eastAsia="Amiri" w:cs="Amiri"/>
          <w:color w:val="111111"/>
          <w:sz w:val="28"/>
          <w:sz w:val="28"/>
          <w:szCs w:val="28"/>
          <w:rtl w:val="true"/>
          <w:lang w:bidi="ar-SA"/>
        </w:rPr>
        <w:t>فرق من جهة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من المستفاد من طريقة المذهب وسبيل المشرب إلغاء الشارع الاحتياط هذا </w:t>
      </w:r>
      <w:r>
        <w:rPr>
          <w:rStyle w:val="FootnoteAnchor"/>
          <w:rtl w:val="true"/>
        </w:rPr>
        <w:footnoteReference w:id="631"/>
      </w:r>
      <w:r>
        <w:rPr>
          <w:rFonts w:ascii="Amiri" w:hAnsi="Amiri" w:eastAsia="Amiri" w:cs="Amiri"/>
          <w:color w:val="111111"/>
          <w:sz w:val="28"/>
          <w:sz w:val="28"/>
          <w:szCs w:val="28"/>
          <w:rtl w:val="true"/>
          <w:lang w:bidi="ar-SA"/>
        </w:rPr>
        <w:t>نظرا إلى غلبة مصلحة تركه على مصلحة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بعد ما عرفت من أنّ مبنى الدليل على الاحتياط ، فممّا لا ينبغي الارتياب فيه بوجه ما وجّهنا مثله على الوجوه العقلية السابقة من أنّه </w:t>
      </w:r>
      <w:r>
        <w:rPr>
          <w:rStyle w:val="FootnoteAnchor"/>
          <w:rtl w:val="true"/>
        </w:rPr>
        <w:footnoteReference w:id="632"/>
      </w:r>
      <w:r>
        <w:rPr>
          <w:rFonts w:ascii="Amiri" w:hAnsi="Amiri" w:eastAsia="Amiri" w:cs="Amiri"/>
          <w:color w:val="111111"/>
          <w:sz w:val="28"/>
          <w:sz w:val="28"/>
          <w:szCs w:val="28"/>
          <w:rtl w:val="true"/>
          <w:lang w:bidi="ar-SA"/>
        </w:rPr>
        <w:t xml:space="preserve">غاية ما يستفاد من </w:t>
      </w:r>
      <w:r>
        <w:rPr>
          <w:rStyle w:val="FootnoteAnchor"/>
          <w:rtl w:val="true"/>
        </w:rPr>
        <w:footnoteReference w:id="633"/>
      </w:r>
      <w:r>
        <w:rPr>
          <w:rFonts w:ascii="Amiri" w:hAnsi="Amiri" w:eastAsia="Amiri" w:cs="Amiri"/>
          <w:color w:val="111111"/>
          <w:sz w:val="28"/>
          <w:sz w:val="28"/>
          <w:szCs w:val="28"/>
          <w:rtl w:val="true"/>
          <w:lang w:bidi="ar-SA"/>
        </w:rPr>
        <w:t>لزوم الاحتياط في الأجزاء المشكوكة الثابتة بالأمارات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الأمارات التي مفادها نفي التكليف ، فلا دلالة فيه </w:t>
      </w:r>
      <w:r>
        <w:rPr>
          <w:rStyle w:val="FootnoteAnchor"/>
          <w:rtl w:val="true"/>
        </w:rPr>
        <w:footnoteReference w:id="634"/>
      </w:r>
      <w:r>
        <w:rPr>
          <w:rFonts w:ascii="Amiri" w:hAnsi="Amiri" w:eastAsia="Amiri" w:cs="Amiri"/>
          <w:color w:val="111111"/>
          <w:sz w:val="28"/>
          <w:sz w:val="28"/>
          <w:szCs w:val="28"/>
          <w:rtl w:val="true"/>
          <w:lang w:bidi="ar-SA"/>
        </w:rPr>
        <w:t xml:space="preserve">على لزوم الإتيان بها مع أنّ الدعوى بعمومها تشملها أيضا ، ولا سبيل إلى الاستناد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المبنى ووضوح عدمه في أحد طرفي الإجماع ، وهل هذا إلاّ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إنفاق المال على الواقع في المخمصة بمظنّة فوته ، فيجب في غير تلك الحالة استنادا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 فلأنّه لا يخلو إمّا أن يكون الضرر المظنون في مخالفة ما ظنّه المجتهد حكما </w:t>
      </w:r>
      <w:r>
        <w:rPr>
          <w:rStyle w:val="FootnoteAnchor"/>
          <w:rtl w:val="true"/>
        </w:rPr>
        <w:footnoteReference w:id="635"/>
      </w:r>
      <w:r>
        <w:rPr>
          <w:rFonts w:ascii="Amiri" w:hAnsi="Amiri" w:eastAsia="Amiri" w:cs="Amiri"/>
          <w:color w:val="111111"/>
          <w:sz w:val="28"/>
          <w:sz w:val="28"/>
          <w:szCs w:val="28"/>
          <w:rtl w:val="true"/>
          <w:lang w:bidi="ar-SA"/>
        </w:rPr>
        <w:t>هو العقاب اللازم لترك الواجب ، أو فعل الحرام ، أو المفسدة الموجبة للوجوب ، أو الحرمة على ما أورده المستدلّ ، وليس على التقديرين على ما ينبغي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فلأنّه لا ملازمة بين الظنّ بالعقاب وبين ترك الحكم المظنون </w:t>
      </w:r>
      <w:r>
        <w:rPr>
          <w:rStyle w:val="FootnoteAnchor"/>
          <w:rtl w:val="true"/>
        </w:rPr>
        <w:footnoteReference w:id="636"/>
      </w:r>
      <w:r>
        <w:rPr>
          <w:rFonts w:ascii="Amiri" w:hAnsi="Amiri" w:eastAsia="Amiri" w:cs="Amiri"/>
          <w:color w:val="111111"/>
          <w:sz w:val="28"/>
          <w:sz w:val="28"/>
          <w:szCs w:val="28"/>
          <w:rtl w:val="true"/>
          <w:lang w:bidi="ar-SA"/>
        </w:rPr>
        <w:t xml:space="preserve">، إذ ليس </w:t>
      </w:r>
    </w:p>
    <w:p>
      <w:pPr>
        <w:pStyle w:val="BookText"/>
        <w:rPr/>
      </w:pPr>
      <w:r>
        <w:rPr>
          <w:rFonts w:ascii="Amiri" w:hAnsi="Amiri" w:eastAsia="Amiri" w:cs="Amiri"/>
          <w:color w:val="111111"/>
          <w:sz w:val="28"/>
          <w:sz w:val="28"/>
          <w:szCs w:val="28"/>
          <w:rtl w:val="true"/>
          <w:lang w:bidi="ar-SA"/>
        </w:rPr>
        <w:t>علّة له ولا معلولا منه ، ولا بمشتركين في علّة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فظاهر وفي ظهوره غنية عن التنبيه عليه كالثالث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فلأنّه لو كان ترك الحكم المظنون علّة للظنّ بالعقاب ، لكان ترك الحكم المشكوك </w:t>
      </w:r>
      <w:r>
        <w:rPr>
          <w:rStyle w:val="FootnoteAnchor"/>
          <w:rtl w:val="true"/>
        </w:rPr>
        <w:footnoteReference w:id="637"/>
      </w:r>
      <w:r>
        <w:rPr>
          <w:rFonts w:ascii="Amiri" w:hAnsi="Amiri" w:eastAsia="Amiri" w:cs="Amiri"/>
          <w:color w:val="111111"/>
          <w:sz w:val="28"/>
          <w:sz w:val="28"/>
          <w:szCs w:val="28"/>
          <w:rtl w:val="true"/>
          <w:lang w:bidi="ar-SA"/>
        </w:rPr>
        <w:t>علّة للشكّ في العقاب ، والملازمة كبطلان التالي ظاهرة ؛ لاستقلال العقل في الحكم بعدم العقاب عند الشكّ في الحكم ، فإنّه ممّا اتّفقت فيه كلمة الأخبارية والأصولية من الحكم بالبراءة ، كيف والقطع بترك الحكم في الواقع لا يوجب القطع بالعقاب ، كما إذا كان حين الترك غافلا أو جاهلا على ما يقتضيه قواعد العدلية ، فالعقاب إنّما يلازم التكليف ، وعدم الامتثال ومجرّد ترك المشكوك بل المظنون بل المقطوع لا يورث عقابا ولا ظنّا بالعقاب بل ولا شكّا حيث إنّ العقاب دائما إمّا يكون وجوده مقطوعا ، أو عدمه في صورتي التكليف وعدمه ، فالنسبة بين العقاب وترك الحكم الواقعي تباين جزئي قد يجتمعان في مورد واحد كما لو خالفه مع تنجّز التكليف به وتعلّق العلم به ، وقد يتحقّق العقاب من دون تحقّق الترك في صورة التجرّي على ما سبق ، وقد يتحقّق الترك من دون عقاب كما لو ترك غافلا أو جاهلا ، وعدم العقاب في صورة الجهل ليس من جهة مانعية الجهل بل لعدم وجود مقتضي العقاب وهو العلم بالوجوب والعلم بتعلّق التكليف على المكلّف ، إذ لا تكليف إلاّ بعد البيان ولا سبيل إلى دعوى أنّ أدلّة وجوب دفع الضرر بيان عامّ ولو بلسان العقل ، فإنّ الكلام في أصل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فالذي يؤمننا من الضرر في صورة الشكّ في الحكم مع ترك المشكوك يؤمننا منه عند ترك الحكم المظنون ؛ لاتّحاد سبيل الحكم فيهما قطعا ، فالعقاب إنّما يلازم مخالفة التكليف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بأنّ الظنّ أيضا مناط تنجّز التكليف بالنسبة إلى المكلّف كالعلم ، </w:t>
      </w:r>
    </w:p>
    <w:p>
      <w:pPr>
        <w:pStyle w:val="BookText"/>
        <w:rPr/>
      </w:pPr>
      <w:r>
        <w:rPr>
          <w:rFonts w:ascii="Amiri" w:hAnsi="Amiri" w:eastAsia="Amiri" w:cs="Amiri"/>
          <w:color w:val="111111"/>
          <w:sz w:val="28"/>
          <w:sz w:val="28"/>
          <w:szCs w:val="28"/>
          <w:rtl w:val="true"/>
          <w:lang w:bidi="ar-SA"/>
        </w:rPr>
        <w:t>فالظنّ بالمخالفة يلازم الظنّ بالعقاب ، أو قلنا بأنّ العقاب من توابع الإدراك ، فيختلف بحسب اختلاف مراتبه علما وظنّا ، يتّجه الملازمة المذكورة ، وبطلانه ظاهر ، فالمستدلّ إن أراد إثبات إناطة التكليف بالظنّ أيضا ، فلا يخفى فساده ، إذ هو من الدور المحال حيث إنّه قد احتاج في إثبات مطلوبه وهو اعتبار الظنّ إلى اعتبار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فلأنّه لا ملازمة أيضا بين الظنّ بالحكم وبين الظنّ بالمفسدة عند المخالفة وإن كانت المفسدة مقتضية للحكم ؛ لاحتمال الحبط والتكفير ، فلو ظننّا بحرمة العصير العنبي وخالفنا حكم الظنّ فيه ، فلا يلازم حصول الظنّ بالوقوع في المفسدة المقتضية للحرمة ؛ لاحتمال صدور فعل منّا رافع لها على ما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وذلك ظاهر لكنّه لا يخفى ما فيه ؛ فإنّ المعلوم من طريقة العقلاء في جلب المنافع ودفع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متعلّقا بأمور معاشهم أو أمور 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مقدّماتها وعدم الاعتناء باحتمال حصول شيء رافع لها ، فمتى ما حصل لنا الظنّ بوجوب شيء أو حرمته ، وقلنا بتبعيّة الأحكام للمصالح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الحكم بلزوم التحرّز عن تلك المضارّ المترتّبة على مخالفة الحكم المظنون ، ولا عبرة باحتمال حصول شيء يكفرها كما يظهر من ملاحظة حال العقلاء في احترازهم عن أكل السمّ مع احتمال حصول ترياق يعالجه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فلا يتمّ </w:t>
      </w:r>
      <w:r>
        <w:rPr>
          <w:rStyle w:val="FootnoteAnchor"/>
          <w:rtl w:val="true"/>
        </w:rPr>
        <w:footnoteReference w:id="639"/>
      </w:r>
      <w:r>
        <w:rPr>
          <w:rFonts w:ascii="Amiri" w:hAnsi="Amiri" w:eastAsia="Amiri" w:cs="Amiri"/>
          <w:color w:val="111111"/>
          <w:sz w:val="28"/>
          <w:sz w:val="28"/>
          <w:szCs w:val="28"/>
          <w:rtl w:val="true"/>
          <w:lang w:bidi="ar-SA"/>
        </w:rPr>
        <w:t xml:space="preserve">الاستدلال حيث إنّ الكلام في المقام ليس إلاّ من جهة دفع العقاب في مخالفة الظنون ، وأمّا الوقوع في المضارّ التي لا ترجع إلى العقاب ، فلا نبالي </w:t>
      </w:r>
      <w:r>
        <w:rPr>
          <w:rStyle w:val="FootnoteAnchor"/>
          <w:rtl w:val="true"/>
        </w:rPr>
        <w:footnoteReference w:id="640"/>
      </w:r>
      <w:r>
        <w:rPr>
          <w:rFonts w:ascii="Amiri" w:hAnsi="Amiri" w:eastAsia="Amiri" w:cs="Amiri"/>
          <w:color w:val="111111"/>
          <w:sz w:val="28"/>
          <w:sz w:val="28"/>
          <w:szCs w:val="28"/>
          <w:rtl w:val="true"/>
          <w:lang w:bidi="ar-SA"/>
        </w:rPr>
        <w:t>به بعد ما لم يكن ممّا يترتّب عليه العقاب ، وقد عرفت آنفا عدم ترتّبه عند المخالفة بما لا مزيد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طابق حكم العقل حكم الشرع في وجوب دفع الضرر ، ألا ترى أنّ </w:t>
      </w:r>
    </w:p>
    <w:p>
      <w:pPr>
        <w:pStyle w:val="BookText"/>
        <w:rPr/>
      </w:pPr>
      <w:r>
        <w:rPr>
          <w:rFonts w:ascii="Amiri" w:hAnsi="Amiri" w:eastAsia="Amiri" w:cs="Amiri"/>
          <w:color w:val="111111"/>
          <w:sz w:val="28"/>
          <w:sz w:val="28"/>
          <w:szCs w:val="28"/>
          <w:rtl w:val="true"/>
          <w:lang w:bidi="ar-SA"/>
        </w:rPr>
        <w:t xml:space="preserve">المريض لو ظنّ في مضرّة غذاء محرّم </w:t>
      </w:r>
      <w:r>
        <w:rPr>
          <w:rStyle w:val="FootnoteAnchor"/>
          <w:rtl w:val="true"/>
        </w:rPr>
        <w:footnoteReference w:id="641"/>
      </w:r>
      <w:r>
        <w:rPr>
          <w:rFonts w:ascii="Amiri" w:hAnsi="Amiri" w:eastAsia="Amiri" w:cs="Amiri"/>
          <w:color w:val="111111"/>
          <w:sz w:val="28"/>
          <w:sz w:val="28"/>
          <w:szCs w:val="28"/>
          <w:rtl w:val="true"/>
          <w:lang w:bidi="ar-SA"/>
        </w:rPr>
        <w:t>عليه ، أكله ، فالعقاب إنّما يترتّب على مخالفة وجوب الدفع وإن لم يترتّب على حكم المظنون ،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وجوب دفع كلّ مضرّة لا يرجع إلى العقاب شرعا ، وإنّما المسلّم منه فيما لو كان مرجعها إلى البدن كما فيما فرضه من التمثيل ، أمّا فيما لا يرجع إلى البدن بل كان مرجعه إلى انحطاط الرتبة وعدم الارتقاء إلى العالم الأعلى والبعد عن ساحة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أغلب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بقيام الإجماع على عدم لزوم تداركها وتحصيل ما يعالجها ، فلا أقلّ من عدم دليل على لزومه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يستقلّ في الحكم بلزوم دفع بعض المضارّ المترتّب على غير البدن أيضا لو لم يزد حفظ العقل على النفس ، فلا أقلّ من عدم نقصه عنه ، وهذا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عدم استقامة الكبرى على عمومها ؛ فإنّ الشارع قد ألغى الظنّ في جملة من الموارد كما في صورة الظنّ بالنجاسة والظنّ بالطهارة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أوردناه في دفعه في الجواب عن النقض </w:t>
      </w:r>
      <w:r>
        <w:rPr>
          <w:rStyle w:val="FootnoteAnchor"/>
          <w:rtl w:val="true"/>
        </w:rPr>
        <w:footnoteReference w:id="642"/>
      </w:r>
      <w:r>
        <w:rPr>
          <w:rFonts w:ascii="Amiri" w:hAnsi="Amiri" w:eastAsia="Amiri" w:cs="Amiri"/>
          <w:color w:val="111111"/>
          <w:sz w:val="28"/>
          <w:sz w:val="28"/>
          <w:szCs w:val="28"/>
          <w:rtl w:val="true"/>
          <w:lang w:bidi="ar-SA"/>
        </w:rPr>
        <w:t xml:space="preserve">بالقياس والخبر الفاسق والكافر على ما هو المنقول من </w:t>
      </w:r>
      <w:r>
        <w:rPr>
          <w:rStyle w:val="FootnoteAnchor"/>
          <w:rtl w:val="true"/>
        </w:rPr>
        <w:footnoteReference w:id="643"/>
      </w:r>
      <w:r>
        <w:rPr>
          <w:rFonts w:ascii="IRNazanin" w:hAnsi="IRNazanin" w:eastAsia="IRNazanin"/>
          <w:color w:val="111111"/>
          <w:sz w:val="28"/>
          <w:sz w:val="28"/>
          <w:szCs w:val="28"/>
          <w:rtl w:val="true"/>
          <w:lang w:bidi="fa-IR"/>
        </w:rPr>
        <w:t xml:space="preserve">المعارج </w:t>
      </w:r>
      <w:r>
        <w:rPr>
          <w:rStyle w:val="FootnoteAnchor"/>
          <w:rtl w:val="true"/>
        </w:rPr>
        <w:footnoteReference w:id="644"/>
      </w:r>
      <w:r>
        <w:rPr>
          <w:rFonts w:ascii="Amiri" w:hAnsi="Amiri" w:eastAsia="Amiri" w:cs="Amiri"/>
          <w:color w:val="111111"/>
          <w:sz w:val="28"/>
          <w:sz w:val="28"/>
          <w:szCs w:val="28"/>
          <w:rtl w:val="true"/>
          <w:lang w:bidi="ar-SA"/>
        </w:rPr>
        <w:t>من احتمال وجود مصلحة في الترك تغلب على المفسدة المترتّبة عليه ، فهو بظاهره ينافي القول بالتخطئة على ما هو الصواب عندنا كما يظهر وجهه ممّا قدّمنا في الانتصار عن ابن قبة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أنّ بعد انسداد باب العلم وحكم العقل بقيام الظنّ مقامه حيث إنّه هو الأقرب للعلم ، فلو قلنا بجواز إلغاء بعض الظنون وترك العمل به ، يلزم نقض الغرض في وجه ، وخلاف الفرض في وجه آخر ، فلو رام في دفع ذلك إلى جعل الظنّ جزء الموضوع وعدم أخذه مرآتا ، لزم التصويب وهو خطأ عندنا ، فتأمّل ؛ فإنّه لا يخلو عن </w:t>
      </w:r>
    </w:p>
    <w:p>
      <w:pPr>
        <w:pStyle w:val="BookText"/>
        <w:rPr/>
      </w:pPr>
      <w:r>
        <w:rPr>
          <w:rFonts w:ascii="IRNazanin" w:hAnsi="IRNazanin" w:eastAsia="IRNazanin"/>
          <w:color w:val="111111"/>
          <w:sz w:val="28"/>
          <w:sz w:val="28"/>
          <w:szCs w:val="28"/>
          <w:rtl w:val="true"/>
          <w:lang w:bidi="fa-IR"/>
        </w:rPr>
        <w:t xml:space="preserve">نوع خفاء وغموض ، فعلى ما ثبت </w:t>
      </w:r>
      <w:r>
        <w:rPr>
          <w:rStyle w:val="FootnoteAnchor"/>
          <w:rtl w:val="true"/>
        </w:rPr>
        <w:footnoteReference w:id="645"/>
      </w:r>
      <w:r>
        <w:rPr>
          <w:rFonts w:ascii="Amiri" w:hAnsi="Amiri" w:eastAsia="Amiri" w:cs="Amiri"/>
          <w:color w:val="111111"/>
          <w:sz w:val="28"/>
          <w:sz w:val="28"/>
          <w:szCs w:val="28"/>
          <w:rtl w:val="true"/>
          <w:lang w:bidi="ar-SA"/>
        </w:rPr>
        <w:t>من عدم استقامة الكبرى ، يلزم إفحام الأنبياء وإلزام الأولياء وغيرهما من اللوازم إن بنينا على ما هو مصرّح به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بين الأصول والفروع ؛ إذ في الأوّل يحكم العقل بلزوم التحرّز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البيان في الأحكام الشرعية من وظيفة الشارع ، ففيما لم يبيّن لنا </w:t>
      </w:r>
      <w:r>
        <w:rPr>
          <w:rStyle w:val="FootnoteAnchor"/>
          <w:rtl w:val="true"/>
        </w:rPr>
        <w:footnoteReference w:id="646"/>
      </w:r>
      <w:r>
        <w:rPr>
          <w:rFonts w:ascii="Amiri" w:hAnsi="Amiri" w:eastAsia="Amiri" w:cs="Amiri"/>
          <w:color w:val="111111"/>
          <w:sz w:val="28"/>
          <w:sz w:val="28"/>
          <w:szCs w:val="28"/>
          <w:rtl w:val="true"/>
          <w:lang w:bidi="ar-SA"/>
        </w:rPr>
        <w:t xml:space="preserve">حكما نلتزم </w:t>
      </w:r>
      <w:r>
        <w:rPr>
          <w:rStyle w:val="FootnoteAnchor"/>
          <w:rtl w:val="true"/>
        </w:rPr>
        <w:footnoteReference w:id="647"/>
      </w:r>
      <w:r>
        <w:rPr>
          <w:rFonts w:ascii="Amiri" w:hAnsi="Amiri" w:eastAsia="Amiri" w:cs="Amiri"/>
          <w:color w:val="111111"/>
          <w:sz w:val="28"/>
          <w:sz w:val="28"/>
          <w:szCs w:val="28"/>
          <w:rtl w:val="true"/>
          <w:lang w:bidi="ar-SA"/>
        </w:rPr>
        <w:t xml:space="preserve">بعدمه في حقّنا بخلاف الأصول ، فإنّ البيان فيه من وظيفة العقل ؛ لإفضائه إلى الدور لو كان موكولا إلى </w:t>
      </w:r>
      <w:r>
        <w:rPr>
          <w:rStyle w:val="FootnoteAnchor"/>
          <w:rtl w:val="true"/>
        </w:rPr>
        <w:footnoteReference w:id="648"/>
      </w:r>
      <w:r>
        <w:rPr>
          <w:rFonts w:ascii="Amiri" w:hAnsi="Amiri" w:eastAsia="Amiri" w:cs="Amiri"/>
          <w:color w:val="111111"/>
          <w:sz w:val="28"/>
          <w:sz w:val="28"/>
          <w:szCs w:val="28"/>
          <w:rtl w:val="true"/>
          <w:lang w:bidi="ar-SA"/>
        </w:rPr>
        <w:t xml:space="preserve">بيان الشرع ، فالعقل يلتزم </w:t>
      </w:r>
      <w:r>
        <w:rPr>
          <w:rStyle w:val="FootnoteAnchor"/>
          <w:rtl w:val="true"/>
        </w:rPr>
        <w:footnoteReference w:id="649"/>
      </w:r>
      <w:r>
        <w:rPr>
          <w:rFonts w:ascii="Amiri" w:hAnsi="Amiri" w:eastAsia="Amiri" w:cs="Amiri"/>
          <w:color w:val="111111"/>
          <w:sz w:val="28"/>
          <w:sz w:val="28"/>
          <w:szCs w:val="28"/>
          <w:rtl w:val="true"/>
          <w:lang w:bidi="ar-SA"/>
        </w:rPr>
        <w:t>بوجوب دفع الضرر وإن كان في مقام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فنحن لا نجد في عقولنا عذرا لمن لم </w:t>
      </w:r>
      <w:r>
        <w:rPr>
          <w:rStyle w:val="FootnoteAnchor"/>
          <w:rtl w:val="true"/>
        </w:rPr>
        <w:footnoteReference w:id="650"/>
      </w:r>
      <w:r>
        <w:rPr>
          <w:rFonts w:ascii="Amiri" w:hAnsi="Amiri" w:eastAsia="Amiri" w:cs="Amiri"/>
          <w:color w:val="111111"/>
          <w:sz w:val="28"/>
          <w:sz w:val="28"/>
          <w:szCs w:val="28"/>
          <w:rtl w:val="true"/>
          <w:lang w:bidi="ar-SA"/>
        </w:rPr>
        <w:t xml:space="preserve">يتحرّز الضرر في مقام إقامة النبيّ المعجزة الدالّة على نبوّته ، ويعدّ قوله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تكليف إلاّ بعد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 بل ينسب القائل به إلى أصحاب السوداء والجنون بخلاف الغير المتحرّز عن الضرر في الفروع ، وهذا ظاهر لا سترة عليه ، فإنّه قد يتعاكس فيهما الأمر كما لا يخفى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منع المقدّمتين وإثباتهما وتنقيحهما وتصحيحهما إلاّ أنّه مع ذلك كلّه لا يترتّب عليهما النتيجة المطلوبة من اعتبار كلّ ظنّ ومطلق المظنّة ؛ إذ مبنى الدليل ومرجعه إلى لزوم الاحتياط وهو لا يلازم الظنّ ، فإنّ مقتضى الاحتياط الإتيان بكلّ ما يحتمل جزئيته ، أو شرطيته في مقام الشكّ في الأجزاء والشرائط مع ثبوت أصل التكليف بالنسبة إلى كلّ مهمل ، ومقتضى الظنّ عدم الإتيان بما ليس جزءا ولو بحسب الظنّ ، فلا تلازم بينهما ، ولا يكاد يصحّ الاستناد في إتمام المرام إلى الإجماع لما عرفت مرارا من عدم نهوضه بمثل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يوجّه الدليل المذكور بأوله إلى الدليل الرابع وبرهان الانسداد وأخذ المقدّمات المعتبرة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التكليف ولزوم التكليف بما لا يطاق لو كان المرجع بعده إلى تحصيل العلم ، ولزوم العسر لو كان المعتبر هو الاحتياط ، والخروج من الدين لو كان المعتمد هو البراءة ، فيتعيّن التبعيض بين الأمارات الموهومة والمشكوكة والمظنونة ، ولا ريب أنّ العمل بالظنّ في تلك التكاليف المجملة وبيانها بالمظنونات أولى من العمل بغيرها وإن كان لا يخلو من الضعف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651"/>
      </w:r>
      <w:r>
        <w:rPr>
          <w:rFonts w:ascii="Amiri" w:hAnsi="Amiri" w:eastAsia="Amiri" w:cs="Amiri"/>
          <w:color w:val="111111"/>
          <w:sz w:val="28"/>
          <w:sz w:val="28"/>
          <w:szCs w:val="28"/>
          <w:rtl w:val="true"/>
          <w:lang w:bidi="ar-SA"/>
        </w:rPr>
        <w:t>من الوجوه العقلية الناهضة على وجوب العمل بمطلق الظنّ أنّ بعد ما أطبق أصحابنا الإمامية على التحسين والتقبيح العقليين والعلم بأنّ تشريع الأحكام إنّما هو لأجل الوصول إلى الواقع ، فلو ظنّ المجتهد بوجوب شيء ، فإمّا يعمل به ويطرح الطرف الموهوم ، أو لا يعمل بمظنونه بل يحمل عمله على موهومه ، والأوّل هو المطلوب ، والثاني يستلزم ترجيح المرجوح وهو الموهوم على الراجح وهو المظنون ، وذلك ممّا لا شكّ في قبحه وكذا بالنسبة إلى الشارع لو جوّز له العمل بالموهوم وطرح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بالعيان ، ونشاهد بالوجدان ، تجويز الشارع لنا العمل بالموهوم ولا قبح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لخصوصية في الموهوم ليست في المظنون ، وإلاّ لو فرضنا عدمها بل جوّز العمل به من حيث إنّه موهوم من غير خصوصية زائدة بها يصير راجحا على الطرف الراجح وهو المظنون ، فلا ريب في قبحه وعدم جواز صدوره من الشارع الحكيم ، ألا ترى أنّا لو حاولنا سلوك سبيل يوصلنا إلى مطلوب ، ولم يكن هناك </w:t>
      </w:r>
      <w:r>
        <w:rPr>
          <w:rStyle w:val="FootnoteAnchor"/>
          <w:rtl w:val="true"/>
        </w:rPr>
        <w:footnoteReference w:id="652"/>
      </w:r>
      <w:r>
        <w:rPr>
          <w:rFonts w:ascii="Amiri" w:hAnsi="Amiri" w:eastAsia="Amiri" w:cs="Amiri"/>
          <w:color w:val="111111"/>
          <w:sz w:val="28"/>
          <w:sz w:val="28"/>
          <w:szCs w:val="28"/>
          <w:rtl w:val="true"/>
          <w:lang w:bidi="ar-SA"/>
        </w:rPr>
        <w:t xml:space="preserve">مصلحة توجب الأمر بالموهوم مثل العلم بموافقته للواقع وغير ذلك ، وكان الطريق </w:t>
      </w:r>
    </w:p>
    <w:p>
      <w:pPr>
        <w:pStyle w:val="BookText"/>
        <w:rPr/>
      </w:pPr>
      <w:r>
        <w:rPr>
          <w:rFonts w:ascii="Amiri" w:hAnsi="Amiri" w:eastAsia="Amiri" w:cs="Amiri"/>
          <w:color w:val="111111"/>
          <w:sz w:val="28"/>
          <w:sz w:val="28"/>
          <w:szCs w:val="28"/>
          <w:rtl w:val="true"/>
          <w:lang w:bidi="ar-SA"/>
        </w:rPr>
        <w:t>الموصل غير علمي ، فلو جوّز لنا العمل بالموهوم ، يلزم عليه القبح ؛ لأدائه إلى نقض غرضه ،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بلزوم الترجيح ، يلزم ما ذكر ، وأمّا في صورة عدم الترجيح والتوقّف ،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المقام أيضا ممّا لا </w:t>
      </w:r>
      <w:r>
        <w:rPr>
          <w:rStyle w:val="FootnoteAnchor"/>
          <w:rtl w:val="true"/>
        </w:rPr>
        <w:footnoteReference w:id="653"/>
      </w:r>
      <w:r>
        <w:rPr>
          <w:rFonts w:ascii="Amiri" w:hAnsi="Amiri" w:eastAsia="Amiri" w:cs="Amiri"/>
          <w:color w:val="111111"/>
          <w:sz w:val="28"/>
          <w:sz w:val="28"/>
          <w:szCs w:val="28"/>
          <w:rtl w:val="true"/>
          <w:lang w:bidi="ar-SA"/>
        </w:rPr>
        <w:t>يستقلّ العقل بصحّته كما يظهر من ملاحظة المثال المذكور لو بنينا على التوقّف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w:t>
      </w:r>
      <w:r>
        <w:rPr>
          <w:rStyle w:val="FootnoteAnchor"/>
          <w:rtl w:val="true"/>
        </w:rPr>
        <w:footnoteReference w:id="654"/>
      </w:r>
      <w:r>
        <w:rPr>
          <w:rFonts w:ascii="Amiri" w:hAnsi="Amiri" w:eastAsia="Amiri" w:cs="Amiri"/>
          <w:color w:val="111111"/>
          <w:sz w:val="28"/>
          <w:sz w:val="28"/>
          <w:szCs w:val="28"/>
          <w:rtl w:val="true"/>
          <w:lang w:bidi="ar-SA"/>
        </w:rPr>
        <w:t xml:space="preserve">بأنّ ترك المظنون والعمل بالموهوم على خلافه لا يستلزم ترجيح المرجوح على الراجح كما إذا ظننّا إباحة شيء مع احتمال وجوبه وهما ، فلا شكّ أنّا لو عملنا بالموهوم وتركنا المظنون ، لا يلزم ما ذكر من الترجيح حيث إنّ الاحتياط أمر مرغوب في نفسه ، ففي المقام العمل المزبور وإن كان </w:t>
      </w:r>
      <w:r>
        <w:rPr>
          <w:rStyle w:val="FootnoteAnchor"/>
          <w:rtl w:val="true"/>
        </w:rPr>
        <w:footnoteReference w:id="655"/>
      </w:r>
      <w:r>
        <w:rPr>
          <w:rFonts w:ascii="Amiri" w:hAnsi="Amiri" w:eastAsia="Amiri" w:cs="Amiri"/>
          <w:color w:val="111111"/>
          <w:sz w:val="28"/>
          <w:sz w:val="28"/>
          <w:szCs w:val="28"/>
          <w:rtl w:val="true"/>
          <w:lang w:bidi="ar-SA"/>
        </w:rPr>
        <w:t>بالنظر إلى تعلّق الإدراك به موهوما ، لكنّ العمل به ليس ترجيحا للمرجوح بملاحظة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ما فيه ؛ فإنّه إن أراد أنّ </w:t>
      </w:r>
      <w:r>
        <w:rPr>
          <w:rStyle w:val="FootnoteAnchor"/>
          <w:rtl w:val="true"/>
        </w:rPr>
        <w:footnoteReference w:id="656"/>
      </w:r>
      <w:r>
        <w:rPr>
          <w:rFonts w:ascii="Amiri" w:hAnsi="Amiri" w:eastAsia="Amiri" w:cs="Amiri"/>
          <w:color w:val="111111"/>
          <w:sz w:val="28"/>
          <w:sz w:val="28"/>
          <w:szCs w:val="28"/>
          <w:rtl w:val="true"/>
          <w:lang w:bidi="ar-SA"/>
        </w:rPr>
        <w:t xml:space="preserve">العمل بالموهوم المذكور والإتيان بما يحتمل الوجوب ليس ترجيحا مع عدم قصد الوجوب في العمل وعدم تعيين وجهه ، فهو كذلك إلاّ أنّه غير مجد ؛ إذ مرجعه إلى اختيار أحد طرفي المباح ، وجوازه ممّا لا ريب فيه كما هو قضية الإباحة ، وإن أراد أنّ الإتيان بما يحتمل الوجوب على أنّه واجب و </w:t>
      </w:r>
      <w:r>
        <w:rPr>
          <w:rStyle w:val="FootnoteAnchor"/>
          <w:rtl w:val="true"/>
        </w:rPr>
        <w:footnoteReference w:id="657"/>
      </w:r>
      <w:r>
        <w:rPr>
          <w:rFonts w:ascii="Amiri" w:hAnsi="Amiri" w:eastAsia="Amiri" w:cs="Amiri"/>
          <w:color w:val="111111"/>
          <w:sz w:val="28"/>
          <w:sz w:val="28"/>
          <w:szCs w:val="28"/>
          <w:rtl w:val="true"/>
          <w:lang w:bidi="ar-SA"/>
        </w:rPr>
        <w:t>بقصد الوجوب لا يستلزم ترجيح المرجوح ، فلا شكّ في بطلانه ؛ ضرورة لزوم المحذور على تقديره ، والاحتياط لا يقضي به أيضا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إن آل إلى رابع الأدلّة ودليل الانسداد ، فهو وإلاّ فلا نعرف له وجها ؛ إذ يحتمل دفع المظنونات بأصالة البراءة ، والاقتصار على </w:t>
      </w:r>
    </w:p>
    <w:p>
      <w:pPr>
        <w:pStyle w:val="BookText"/>
        <w:rPr/>
      </w:pPr>
      <w:r>
        <w:rPr>
          <w:rFonts w:ascii="Amiri" w:hAnsi="Amiri" w:eastAsia="Amiri" w:cs="Amiri"/>
          <w:color w:val="111111"/>
          <w:sz w:val="28"/>
          <w:sz w:val="28"/>
          <w:szCs w:val="28"/>
          <w:rtl w:val="true"/>
          <w:lang w:bidi="ar-SA"/>
        </w:rPr>
        <w:t xml:space="preserve">الأحكام الظاهرية ، فلا ترجيح ، فإن أسند </w:t>
      </w:r>
      <w:r>
        <w:rPr>
          <w:rStyle w:val="FootnoteAnchor"/>
          <w:rtl w:val="true"/>
        </w:rPr>
        <w:footnoteReference w:id="658"/>
      </w:r>
      <w:r>
        <w:rPr>
          <w:rFonts w:ascii="Amiri" w:hAnsi="Amiri" w:eastAsia="Amiri" w:cs="Amiri"/>
          <w:color w:val="111111"/>
          <w:sz w:val="28"/>
          <w:sz w:val="28"/>
          <w:szCs w:val="28"/>
          <w:rtl w:val="true"/>
          <w:lang w:bidi="ar-SA"/>
        </w:rPr>
        <w:t>في دفعها إلى ادّعاء القطع ببقاء التكليف بالنسبة إلى الواقع والخروج من الإسلام على تقديرها ، فهو بعينه ما يستند إليه في دفع احتمال البراءة في دليل الانسداد كما اعتبره المستدلّ أيضا كما أنّه يحتمل القول بلزوم الاحتياط الكلّي في جميع الأمارات ، فلا محذور على تقديره أيضا حيث لا ترجيح ، ولو رام إلى لزوم العسر في رفع الاحتياط ، فهو المرجع في دفعه في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يتمّ الاستدلال إلاّ بعد إبطال الاحتمال من البراءة والتخيير والاحتياط والتوقّف وغيرها ممّا ستقف عليها ، فما من مقدّمة يحتاج إليها في إتمام دليل الانسداد إلاّ وهي </w:t>
      </w:r>
      <w:r>
        <w:rPr>
          <w:rStyle w:val="FootnoteAnchor"/>
          <w:rtl w:val="true"/>
        </w:rPr>
        <w:footnoteReference w:id="659"/>
      </w:r>
      <w:r>
        <w:rPr>
          <w:rFonts w:ascii="Amiri" w:hAnsi="Amiri" w:eastAsia="Amiri" w:cs="Amiri"/>
          <w:color w:val="111111"/>
          <w:sz w:val="28"/>
          <w:sz w:val="28"/>
          <w:szCs w:val="28"/>
          <w:rtl w:val="true"/>
          <w:lang w:bidi="ar-SA"/>
        </w:rPr>
        <w:t>ممّا لا بدّ منها في إتمام الدليل هذا ، فعدّه في مقابله دليلا آخر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بعضهم في مثل المقام من أنّ بطلان الوجوه المحتملة في المقام لا يعيّن العمل بالظنّ ؛ لاحتمال أن يكون هناك طريق آخر لا نعرفه ؛ ولعلّه سهو </w:t>
      </w:r>
      <w:r>
        <w:rPr>
          <w:rStyle w:val="FootnoteAnchor"/>
          <w:rtl w:val="true"/>
        </w:rPr>
        <w:footnoteReference w:id="660"/>
      </w:r>
      <w:r>
        <w:rPr>
          <w:rFonts w:ascii="Amiri" w:hAnsi="Amiri" w:eastAsia="Amiri" w:cs="Amiri"/>
          <w:color w:val="111111"/>
          <w:sz w:val="28"/>
          <w:sz w:val="28"/>
          <w:szCs w:val="28"/>
          <w:rtl w:val="true"/>
          <w:lang w:bidi="ar-SA"/>
        </w:rPr>
        <w:t>، وإلاّ فلم نقف له على معنى محصّل حيث لا يتعقّل العمل بالشكّ ، والشكّ في وجوده يكفي في الحكم بعدمه ، ووجود الظنّ يكفي عن جعله طريقا ، ولذلك زيادة توضيح فيما سيأتي إن شاء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الوجوه العقلية القائمة على حجّية مطلق الظنّ ما عزاه الأستاذ المرتضى إلى السيّد الطباطبائي صاحب الرياض </w:t>
      </w:r>
      <w:r>
        <w:rPr>
          <w:rStyle w:val="FootnoteAnchor"/>
          <w:rtl w:val="true"/>
        </w:rPr>
        <w:footnoteReference w:id="661"/>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علما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يمازجه شبهة ، ولا يعتريه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واجبات كثيرة ، ومحرّمات عديدة بين الأمارات الموجودة عندنا من الأخبار والشهرات والإجماعات ونحوها في جميع سلاسلها </w:t>
      </w:r>
    </w:p>
    <w:p>
      <w:pPr>
        <w:pStyle w:val="BookText"/>
        <w:rPr/>
      </w:pPr>
      <w:r>
        <w:rPr>
          <w:rFonts w:ascii="Amiri" w:hAnsi="Amiri" w:eastAsia="Amiri" w:cs="Amiri"/>
          <w:color w:val="111111"/>
          <w:sz w:val="28"/>
          <w:sz w:val="28"/>
          <w:szCs w:val="28"/>
          <w:rtl w:val="true"/>
          <w:lang w:bidi="ar-SA"/>
        </w:rPr>
        <w:t>مظنونا ومشكوكا وموهوما ، فقاعدة الشغل والاحتياط تقضي بالعمل بها جميعا إلاّ أنّ لزوم العسر والحرج يقضي بخلافها ، فيجمع بينهما بالعمل بالمظنونات نظرا إلى الشغل وترك المشكوكات والموهومات نظرا إلى العسر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إجمالا ما عرفت مرارا من أوله في الحقيقة إلى دليل الانسداد ؛ إذ لا يتمّ إلاّ بعد الأخذ بجميع مقدّماته ، وتفصيلا أنّ المستدلّ لو حاول حصول الموافقة القطعية بعد العلم بالتكاليف المجملة كما في الشبهة المحصورة ، فلا ريب في عدم خروجه عن عهدة التكليف في صورة الاقتصار على المظنونات ، فليعمل بالمشكوكات أيضا والإجماع المدّعى على عدم لزوم الإتيان بالمشكوكات غير مسلّم ؛ ودعوى لزوم العسر على تقدير العمل بالمشكوكات بعد العمل بالمظنونات واهية إذ ندرة المشكوكات في أبواب الفقه من العبادات والمعاملات ظاهرة ، ولو أراد عدم لزوم المخالفة القطعية في العمل بسلسلة المظنونات وترك الموهومات بعد العلم بثبوت التكليف إجمالا على ما هو المدّعى في كلامه ، فليكتف بصنف خاصّ من </w:t>
      </w:r>
      <w:r>
        <w:rPr>
          <w:rStyle w:val="FootnoteAnchor"/>
          <w:rtl w:val="true"/>
        </w:rPr>
        <w:footnoteReference w:id="662"/>
      </w:r>
      <w:r>
        <w:rPr>
          <w:rFonts w:ascii="Amiri" w:hAnsi="Amiri" w:eastAsia="Amiri" w:cs="Amiri"/>
          <w:color w:val="111111"/>
          <w:sz w:val="28"/>
          <w:sz w:val="28"/>
          <w:szCs w:val="28"/>
          <w:rtl w:val="true"/>
          <w:lang w:bidi="ar-SA"/>
        </w:rPr>
        <w:t>سلسلة الظنون ، وليدافع الباقي بأصالة البراءة حيث إنّ الشكّ على تقديره يرجع إلى نفس التكليف ، فلا ينتج المطلوب ، ولا سبيل إلى الاستناد بالإجماع المركّب في إلحاق سائر الأمارات الظنّية بعد الاكتفاء بأمارة منها ؛ لما عرفت مرارا من عدم نهوضه بمثل المقام ، فإنّ العلّة في أحد طرفي الإجماع معلومة ، وانتفاءها في الآخر ضروري</w:t>
      </w:r>
      <w:r>
        <w:rPr>
          <w:rFonts w:eastAsia="Amiri" w:cs="Amiri" w:ascii="Amiri" w:hAnsi="Amiri"/>
          <w:color w:val="111111"/>
          <w:sz w:val="28"/>
          <w:szCs w:val="28"/>
          <w:rtl w:val="true"/>
          <w:lang w:bidi="ar-SA"/>
        </w:rPr>
        <w:t xml:space="preserve">. </w:t>
      </w:r>
      <w:bookmarkStart w:id="79" w:name="pg16273_211551"/>
    </w:p>
    <w:p>
      <w:pPr>
        <w:pStyle w:val="Heading2"/>
        <w:numPr>
          <w:ilvl w:val="1"/>
          <w:numId w:val="1"/>
        </w:numPr>
        <w:rPr/>
      </w:pPr>
      <w:bookmarkStart w:id="80" w:name="__RefHeading___Toc4803512_1280447820"/>
      <w:bookmarkStart w:id="81" w:name="_Toc28"/>
      <w:bookmarkEnd w:id="79"/>
      <w:bookmarkEnd w:id="80"/>
      <w:r>
        <w:rPr>
          <w:rtl w:val="true"/>
        </w:rPr>
        <w:t xml:space="preserve">[ </w:t>
      </w:r>
      <w:r>
        <w:rPr>
          <w:rtl w:val="true"/>
        </w:rPr>
        <w:t xml:space="preserve">في دليل الانسداد </w:t>
      </w:r>
      <w:r>
        <w:rPr>
          <w:rtl w:val="true"/>
        </w:rPr>
        <w:t>]</w:t>
      </w:r>
      <w:bookmarkEnd w:id="81"/>
    </w:p>
    <w:p>
      <w:pPr>
        <w:pStyle w:val="Heading3"/>
        <w:numPr>
          <w:ilvl w:val="2"/>
          <w:numId w:val="1"/>
        </w:numPr>
        <w:rPr/>
      </w:pPr>
      <w:bookmarkStart w:id="82" w:name="__RefHeading___Toc4803514_1280447820"/>
      <w:bookmarkStart w:id="83" w:name="_Toc29"/>
      <w:bookmarkEnd w:id="82"/>
      <w:r>
        <w:rPr>
          <w:rtl w:val="true"/>
        </w:rPr>
        <w:t>اشارة</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الانسداد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الرابع من الوجوه العقلية دليل الانسداد ، وتحريره على ما ينبغي غير ممكن إلاّ بعد بسط في الكلام ، لينكشف ظلمات الأوهام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مركّب من مقدّمات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العلم بالمعنى الأعمّ من الوجداني والشرعي في معظم الأحكام الشرعية منسدّ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 يتركنا سدى ، وليس حالنا حال البهائم ، فنحن مطلوبون بشيء في الجملة ولو بالأحكام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أنّ المطلوب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مرحلة الظاهر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العمل بالبراءة الأصلية وأصالة العدم الشاملة لأبواب المعاملات والعبادات ، بل نعلم بأنّه </w:t>
      </w:r>
      <w:r>
        <w:rPr>
          <w:rStyle w:val="FootnoteAnchor"/>
          <w:rtl w:val="true"/>
        </w:rPr>
        <w:footnoteReference w:id="664"/>
      </w:r>
      <w:r>
        <w:rPr>
          <w:rFonts w:ascii="Amiri" w:hAnsi="Amiri" w:eastAsia="Amiri" w:cs="Amiri"/>
          <w:color w:val="111111"/>
          <w:sz w:val="28"/>
          <w:sz w:val="28"/>
          <w:szCs w:val="28"/>
          <w:rtl w:val="true"/>
          <w:lang w:bidi="ar-SA"/>
        </w:rPr>
        <w:t>تعالى قد ألزمنا بشيء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المطلوب منّا إلاّ تحصيل الموافقة القطعية ، والإتيان بجميع المحتملات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أعمالنا الخاصّة ليس هو الأصول الخاصّة في الموارد الخاصّة من الاشتغال في محلّه ، والاستصحاب في مجراه ، والبراءة في موردها ، والتخيير في مقامه ، فانحصر الطريق في المظنون والموهوم والمشكوك ، والعقل يستقلّ في تعيين </w:t>
      </w:r>
    </w:p>
    <w:p>
      <w:pPr>
        <w:pStyle w:val="BookText"/>
        <w:rPr/>
      </w:pPr>
      <w:r>
        <w:rPr>
          <w:rFonts w:ascii="IRNazanin" w:hAnsi="IRNazanin" w:eastAsia="IRNazanin"/>
          <w:color w:val="111111"/>
          <w:sz w:val="28"/>
          <w:sz w:val="28"/>
          <w:szCs w:val="28"/>
          <w:rtl w:val="true"/>
          <w:lang w:bidi="fa-IR"/>
        </w:rPr>
        <w:t>الأوّل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والثالث بعمومهما يشملان سائر الاحتمالات ، وسيجيء تفاصيلها </w:t>
      </w:r>
      <w:r>
        <w:rPr>
          <w:rStyle w:val="FootnoteAnchor"/>
          <w:rtl w:val="true"/>
        </w:rPr>
        <w:footnoteReference w:id="665"/>
      </w:r>
      <w:r>
        <w:rPr>
          <w:rFonts w:ascii="Amiri" w:hAnsi="Amiri" w:eastAsia="Amiri" w:cs="Amiri"/>
          <w:color w:val="111111"/>
          <w:sz w:val="28"/>
          <w:sz w:val="28"/>
          <w:szCs w:val="28"/>
          <w:rtl w:val="true"/>
          <w:lang w:bidi="ar-SA"/>
        </w:rPr>
        <w:t>إن شاء اللّه ولا كلام في الحقيقة لأحد من العلماء الأعلام ، والفضلاء العظام ، في شيء من المقدّمات عدى الأولى منها ، ولا ينبغي الارتياب فيها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أجاد من قال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إجراء صغرى الانسداد ، فلزوم العمل بمطلق المظنّة </w:t>
      </w:r>
      <w:r>
        <w:rPr>
          <w:rStyle w:val="FootnoteAnchor"/>
          <w:rtl w:val="true"/>
        </w:rPr>
        <w:footnoteReference w:id="667"/>
      </w:r>
      <w:r>
        <w:rPr>
          <w:rFonts w:ascii="Amiri" w:hAnsi="Amiri" w:eastAsia="Amiri" w:cs="Amiri"/>
          <w:color w:val="111111"/>
          <w:sz w:val="28"/>
          <w:sz w:val="28"/>
          <w:szCs w:val="28"/>
          <w:rtl w:val="true"/>
          <w:lang w:bidi="ar-SA"/>
        </w:rPr>
        <w:t xml:space="preserve">إجماعي ، ولعلّه ضروري لا ينكر ، فمن ينكره باللسان فقلبه مطمئن بالإيمان ، وحيث إنّ بعض متأخّري المتأخّرين </w:t>
      </w:r>
      <w:r>
        <w:rPr>
          <w:rStyle w:val="FootnoteAnchor"/>
          <w:rtl w:val="true"/>
        </w:rPr>
        <w:footnoteReference w:id="668"/>
      </w:r>
      <w:r>
        <w:rPr>
          <w:rFonts w:ascii="Amiri" w:hAnsi="Amiri" w:eastAsia="Amiri" w:cs="Amiri"/>
          <w:color w:val="111111"/>
          <w:sz w:val="28"/>
          <w:sz w:val="28"/>
          <w:szCs w:val="28"/>
          <w:rtl w:val="true"/>
          <w:lang w:bidi="ar-SA"/>
        </w:rPr>
        <w:t xml:space="preserve">قد أورد شبهة في بعض المقدّمات المذكورة ، وتجشّم في دفعها جملة ممّن تأخّر عنه </w:t>
      </w:r>
      <w:r>
        <w:rPr>
          <w:rStyle w:val="FootnoteAnchor"/>
          <w:rtl w:val="true"/>
        </w:rPr>
        <w:footnoteReference w:id="669"/>
      </w:r>
      <w:r>
        <w:rPr>
          <w:rFonts w:ascii="Amiri" w:hAnsi="Amiri" w:eastAsia="Amiri" w:cs="Amiri"/>
          <w:color w:val="111111"/>
          <w:sz w:val="28"/>
          <w:sz w:val="28"/>
          <w:szCs w:val="28"/>
          <w:rtl w:val="true"/>
          <w:lang w:bidi="ar-SA"/>
        </w:rPr>
        <w:t xml:space="preserve">، فنحن أيضا </w:t>
      </w:r>
      <w:r>
        <w:rPr>
          <w:rStyle w:val="FootnoteAnchor"/>
          <w:rtl w:val="true"/>
        </w:rPr>
        <w:footnoteReference w:id="670"/>
      </w:r>
      <w:r>
        <w:rPr>
          <w:rFonts w:ascii="Amiri" w:hAnsi="Amiri" w:eastAsia="Amiri" w:cs="Amiri"/>
          <w:color w:val="111111"/>
          <w:sz w:val="28"/>
          <w:sz w:val="28"/>
          <w:szCs w:val="28"/>
          <w:rtl w:val="true"/>
          <w:lang w:bidi="ar-SA"/>
        </w:rPr>
        <w:t xml:space="preserve">نقتفي آثارهم في إثبات المقدّمات المزبورة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الأولى ، فانسداد باب العلم الوجداني ممّا يقضي به الوجدان ، فلنكتف به عن البرهان ، ولا يوجد في ذلك مخالف أيضا إلاّ شرذمة قليلة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ومنهم ملا خليل القزويني الذي 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يعترف بالمقدّمات وينكر النتيجة بل ربّما ينسب ذلك القول إلى من تمسّك في حجّية الإجماع بقاعدة اللطف كالشيخ رحمه‌اللّه ، لكنّه ليس في محلّه ؛ لأنّه يقول بتسديد جميع الأمّة في مورد اتّفاقهم ، وأين هذا من القول بكون كلّ واحد منهم مسدّدا؟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الباطن ، مع</w:t>
      </w:r>
    </w:p>
    <w:p>
      <w:pPr>
        <w:pStyle w:val="BookText"/>
        <w:rPr/>
      </w:pPr>
      <w:r>
        <w:rPr>
          <w:rFonts w:ascii="Amiri" w:hAnsi="Amiri" w:eastAsia="Amiri" w:cs="Amiri"/>
          <w:color w:val="111111"/>
          <w:sz w:val="28"/>
          <w:sz w:val="28"/>
          <w:szCs w:val="28"/>
          <w:rtl w:val="true"/>
          <w:lang w:bidi="ar-SA"/>
        </w:rPr>
        <w:t xml:space="preserve">أنّهم ليسوا من أهل الظاهر أيضا حيث زعموا أنّ المجتهد في مقام الاجتهاد بعد الفحص والبحث ما فهمه من الدليل هو حكم اللّه الواقعي في حقّه ، وليس هناك حكم واحد واقعي يصل إليه تارة ، ولا يصل إليه أخرى مستندين في ذلك إلى قاعدة اللطف على حذو ما استند إليها </w:t>
      </w:r>
      <w:r>
        <w:rPr>
          <w:rStyle w:val="FootnoteAnchor"/>
          <w:rtl w:val="true"/>
        </w:rPr>
        <w:footnoteReference w:id="672"/>
      </w:r>
      <w:r>
        <w:rPr>
          <w:rFonts w:ascii="Amiri" w:hAnsi="Amiri" w:eastAsia="Amiri" w:cs="Amiri"/>
          <w:color w:val="111111"/>
          <w:sz w:val="28"/>
          <w:sz w:val="28"/>
          <w:szCs w:val="28"/>
          <w:rtl w:val="true"/>
          <w:lang w:bidi="ar-SA"/>
        </w:rPr>
        <w:t>جماعة من قدماء أصحابنا في تحصيل الإجماع كالشيخ والسيّد في أوّل أمره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جملة من الروايات الدالّة على أنّ لله تعالى في كلّ زمان حجّة كي إن زاد المؤمنون شيئا يردّهم ، وإن نقصوا شيئا أتمّه لهم </w:t>
      </w:r>
      <w:r>
        <w:rPr>
          <w:rStyle w:val="FootnoteAnchor"/>
          <w:rtl w:val="true"/>
        </w:rPr>
        <w:footnoteReference w:id="673"/>
      </w:r>
      <w:r>
        <w:rPr>
          <w:rFonts w:ascii="Amiri" w:hAnsi="Amiri" w:eastAsia="Amiri" w:cs="Amiri"/>
          <w:color w:val="111111"/>
          <w:sz w:val="28"/>
          <w:sz w:val="28"/>
          <w:szCs w:val="28"/>
          <w:rtl w:val="true"/>
          <w:lang w:bidi="ar-SA"/>
        </w:rPr>
        <w:t>، وذلك منهم بمكان من الضعف والوهن ؛ للزوم التصويب في وجه ، وعود النزاع لفظيا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إطباق أصحابنا على خلافه ، واستلزامه استعمال اللفظ في أكثر من معنى حيث إنّ الخطاب واحد ، والأحكام المستفادة منه متعدّدة </w:t>
      </w:r>
      <w:r>
        <w:rPr>
          <w:rStyle w:val="FootnoteAnchor"/>
          <w:rtl w:val="true"/>
        </w:rPr>
        <w:footnoteReference w:id="674"/>
      </w:r>
      <w:r>
        <w:rPr>
          <w:rFonts w:ascii="Amiri" w:hAnsi="Amiri" w:eastAsia="Amiri" w:cs="Amiri"/>
          <w:color w:val="111111"/>
          <w:sz w:val="28"/>
          <w:sz w:val="28"/>
          <w:szCs w:val="28"/>
          <w:rtl w:val="true"/>
          <w:lang w:bidi="ar-SA"/>
        </w:rPr>
        <w:t xml:space="preserve">على هذا التقدير ، مع انتفاء الجامع قطعا في أكثر الموارد وعدم دلالة دليل عليه ، ومع الغضّ عن ذلك كلّه ، فلا يضرّنا في المقام ؛ إذ غاية ما في الباب أنّ المجتهد بعد استفادة الحكم من الدليل يعلم بالحكم الواقعي على ما هو المدّعى في كلامهم ، والكلام في المقام في تعيين الدليل الذي يمكن استفادة الحكم الواقعي منه كما لا يخفى ، ولعمري بطلان المذهب يكفي لنا عن إبطاله </w:t>
      </w:r>
      <w:r>
        <w:rPr>
          <w:rStyle w:val="FootnoteAnchor"/>
          <w:rtl w:val="true"/>
        </w:rPr>
        <w:footnoteReference w:id="675"/>
      </w:r>
      <w:r>
        <w:rPr>
          <w:rFonts w:ascii="IRNazanin" w:hAnsi="IRNazanin" w:eastAsia="IRNazanin"/>
          <w:color w:val="111111"/>
          <w:sz w:val="28"/>
          <w:sz w:val="28"/>
          <w:szCs w:val="28"/>
          <w:rtl w:val="true"/>
          <w:lang w:bidi="fa-IR"/>
        </w:rPr>
        <w:t>، فهو بالإعراض عنه أجدر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انسداد باب العلم الشرعي ، فهو موكول إلى ما سبق ، فإن قلنا بحجّية أخبار </w:t>
      </w:r>
      <w:r>
        <w:rPr>
          <w:rStyle w:val="FootnoteAnchor"/>
          <w:rtl w:val="true"/>
        </w:rPr>
        <w:footnoteReference w:id="676"/>
      </w:r>
      <w:r>
        <w:rPr>
          <w:rFonts w:ascii="Amiri" w:hAnsi="Amiri" w:eastAsia="Amiri" w:cs="Amiri"/>
          <w:color w:val="111111"/>
          <w:sz w:val="28"/>
          <w:sz w:val="28"/>
          <w:szCs w:val="28"/>
          <w:rtl w:val="true"/>
          <w:lang w:bidi="ar-SA"/>
        </w:rPr>
        <w:t xml:space="preserve">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أصحابنا بل ومخالفينا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انفتاح باب العلم على هذا التقدير ، وإن قلنا بعدم حجّيتها لعدم وجود دليل عليها ، فالانسداد الأغلبي ممّا لا يدانيه 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ما نراه من اعتبار الأخبار الموثوق بها ، فهو موكول على حصول الوثاقة ، فربّما يحصل الوثاقة لأحد دون غيره لاعتماده على القرائن الموجودة الخفيّة الغير الظاهر دلالتها ، فهو في المقام كالقطّاع في مقامه ، فباب العلم الشرعي على تقديره منفتح ، وربّما لا يحصل الوثاقة إلاّ في أقلّ من الموارد ، أو في جملة كثيرة منها لكنّه لا يبلغ حدّ الانفتاح ، فالانسداد على تقديره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 فضرورته </w:t>
      </w:r>
      <w:r>
        <w:rPr>
          <w:rStyle w:val="FootnoteAnchor"/>
          <w:rtl w:val="true"/>
        </w:rPr>
        <w:footnoteReference w:id="677"/>
      </w:r>
      <w:r>
        <w:rPr>
          <w:rFonts w:ascii="Amiri" w:hAnsi="Amiri" w:eastAsia="Amiri" w:cs="Amiri"/>
          <w:color w:val="111111"/>
          <w:sz w:val="28"/>
          <w:sz w:val="28"/>
          <w:szCs w:val="28"/>
          <w:rtl w:val="true"/>
          <w:lang w:bidi="ar-SA"/>
        </w:rPr>
        <w:t>لا تكاد تخفى على أوائل العقول ، مضافا إلى الأخبار الواردة في مقام إثبات التكاليف ولو في الجملة ، مع أنّها مدلول عليها بجملة من الآيات الظاهرية الصريحة في ذلك ولا سيّما بعد كونها ممّا يسلّمها الخصم أيضا ، فلا نطيل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الثالثة القائلة بأنّ المرجع بعد الانسداد في معظم الأحكام ليس هو البراءة ، فيدلّ عليها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 فإنّا نعلم علما ضروريا حدسيا بأنّ أحدا من العلماء لا يفتي بذلك ، فلا ينافيه عدم كون المسألة معنونة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المخالفة القطعية على وجه قد عبّر عنها بعض </w:t>
      </w:r>
      <w:r>
        <w:rPr>
          <w:rStyle w:val="FootnoteAnchor"/>
          <w:rtl w:val="true"/>
        </w:rPr>
        <w:footnoteReference w:id="678"/>
      </w:r>
      <w:r>
        <w:rPr>
          <w:rFonts w:ascii="Amiri" w:hAnsi="Amiri" w:eastAsia="Amiri" w:cs="Amiri"/>
          <w:color w:val="111111"/>
          <w:sz w:val="28"/>
          <w:sz w:val="28"/>
          <w:szCs w:val="28"/>
          <w:rtl w:val="true"/>
          <w:lang w:bidi="ar-SA"/>
        </w:rPr>
        <w:t xml:space="preserve">متأخّري المتأخّرين </w:t>
      </w:r>
      <w:r>
        <w:rPr>
          <w:rStyle w:val="FootnoteAnchor"/>
          <w:rtl w:val="true"/>
        </w:rPr>
        <w:footnoteReference w:id="679"/>
      </w:r>
      <w:r>
        <w:rPr>
          <w:rFonts w:ascii="Amiri" w:hAnsi="Amiri" w:eastAsia="Amiri" w:cs="Amiri"/>
          <w:color w:val="111111"/>
          <w:sz w:val="28"/>
          <w:sz w:val="28"/>
          <w:szCs w:val="28"/>
          <w:rtl w:val="true"/>
          <w:lang w:bidi="ar-SA"/>
        </w:rPr>
        <w:t>بالخروج عن الدين بمعنى أنّ كلّ من تديّن بهذا الدين بل المنتحلين إليه يحكم حكما ضروريّا بأنّ العامل بها في عمله غير متديّن بهذا الدين بل المنتحلين إليه يحكم حكما ضروريّا بأنّ العامل بها في عمله غير متديّن بهذا الدين ، وعمله ليس منه ، والمنكر في ذلك بين مكابر معاند ، ومانع للصغرى وهو الانسداد الأغلبي كما هو المفروض زعما منه خلافه ، وقد تقدّم منّا ما يكفي عن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بعد انسداد باب العلم وملاحظة الأدلّة الناهية عن العمل بالظنّ لا سبيل لنا في الأحكام الشرعية إلى العمل بأصالة البراءة ، فإنّ من المعلوم </w:t>
      </w:r>
    </w:p>
    <w:p>
      <w:pPr>
        <w:pStyle w:val="BookText"/>
        <w:rPr/>
      </w:pPr>
      <w:r>
        <w:rPr>
          <w:rFonts w:ascii="Amiri" w:hAnsi="Amiri" w:eastAsia="Amiri" w:cs="Amiri"/>
          <w:color w:val="111111"/>
          <w:sz w:val="28"/>
          <w:sz w:val="28"/>
          <w:szCs w:val="28"/>
          <w:rtl w:val="true"/>
          <w:lang w:bidi="ar-SA"/>
        </w:rPr>
        <w:t xml:space="preserve">ضرورة ورودها في مقام احتمال عدم إدراك الواقع عند التعويل عليه حتّى أنّ القياس في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بأنّه محرّم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المستفاد من جملة من الأخبار الناهية عنه هو دفع هذا الاحتمال ، ولا شكّ في أنّ الوقوع في هذا الاحتمال على تقدير العمل بالبراءة بل الوقوع واقعا و </w:t>
      </w:r>
      <w:r>
        <w:rPr>
          <w:rStyle w:val="FootnoteAnchor"/>
          <w:rtl w:val="true"/>
        </w:rPr>
        <w:footnoteReference w:id="680"/>
      </w:r>
      <w:r>
        <w:rPr>
          <w:rFonts w:ascii="Amiri" w:hAnsi="Amiri" w:eastAsia="Amiri" w:cs="Amiri"/>
          <w:color w:val="111111"/>
          <w:sz w:val="28"/>
          <w:sz w:val="28"/>
          <w:szCs w:val="28"/>
          <w:rtl w:val="true"/>
          <w:lang w:bidi="ar-SA"/>
        </w:rPr>
        <w:t xml:space="preserve">في نفس الأمر ممّا لا مجال لإنكاره ، سيّما بعد العلم الإجمالي بمخالفة عمله كثيرة </w:t>
      </w:r>
      <w:r>
        <w:rPr>
          <w:rStyle w:val="FootnoteAnchor"/>
          <w:rtl w:val="true"/>
        </w:rPr>
        <w:footnoteReference w:id="681"/>
      </w:r>
      <w:r>
        <w:rPr>
          <w:rFonts w:ascii="Amiri" w:hAnsi="Amiri" w:eastAsia="Amiri" w:cs="Amiri"/>
          <w:color w:val="111111"/>
          <w:sz w:val="28"/>
          <w:sz w:val="28"/>
          <w:szCs w:val="28"/>
          <w:rtl w:val="true"/>
          <w:lang w:bidi="ar-SA"/>
        </w:rPr>
        <w:t>من موارد البراءة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توضيح ذلك ، فراجع العرف والعقلاء أنّ المولى قد كتب طومارا لعبده بعد نهيه عن العمل بالظنّ ، فأصابه المطر بحيث لا يكون كلماته معلومة ، فهل ترى أحدا في المقام يجوّز لنفسه العمل بالبراءة وترك العمل بالظنّ ، وهذا ممّا لا يكاد يخفى على أولي الأنظار المستقيمة ومقصّر في التتبّع لكلمات الأصحاب حيث إنّه قد تنبّه </w:t>
      </w:r>
      <w:r>
        <w:rPr>
          <w:rStyle w:val="FootnoteAnchor"/>
          <w:rtl w:val="true"/>
        </w:rPr>
        <w:footnoteReference w:id="682"/>
      </w:r>
      <w:r>
        <w:rPr>
          <w:rFonts w:ascii="Amiri" w:hAnsi="Amiri" w:eastAsia="Amiri" w:cs="Amiri"/>
          <w:color w:val="111111"/>
          <w:sz w:val="28"/>
          <w:sz w:val="28"/>
          <w:szCs w:val="28"/>
          <w:rtl w:val="true"/>
          <w:lang w:bidi="ar-SA"/>
        </w:rPr>
        <w:t xml:space="preserve">لذلك جماعة من متقدّمي أصحابنا ، ومتأخّريهم وجملة من مخالفينا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الصدوق طاب ثراه </w:t>
      </w:r>
      <w:r>
        <w:rPr>
          <w:rStyle w:val="FootnoteAnchor"/>
          <w:rtl w:val="true"/>
        </w:rPr>
        <w:footnoteReference w:id="683"/>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السهو في الصلاة في ذيل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السهو على النبيّ صلى‌اللّه‌عليه‌وآله بعد ما استند فيه إلى جملة من الأخبار ، فأورد على نفسه بأنّها أخبار آحاد لا يجوز التعويل عليها ، ثمّ أجاب عنها بأنّه على تقدير ترك العمل بالأخبار ، فبم يعمل العامل معرضا عن احتمال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في العدّة في مقام الردّ على من احتمل أن يكون عمل الطائفة بالأخبار من جهة اقترانها بالقرائن فإنّه 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الذين أشرتم إليه لم يعملوا بهذه الأخبار بمجرّدها بل إنّما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بقرائن اقترنت بها دلّتهم على صحّتها ، ولأجلها عملوا بها ، ولو تجرّدت ، لما عملوا بها ، وإذا جاز ذلك لم يكن </w:t>
      </w:r>
      <w:r>
        <w:rPr>
          <w:rStyle w:val="FootnoteAnchor"/>
          <w:rtl w:val="true"/>
        </w:rPr>
        <w:footnoteReference w:id="684"/>
      </w:r>
      <w:r>
        <w:rPr>
          <w:rFonts w:ascii="IRNazanin" w:hAnsi="IRNazanin" w:eastAsia="IRNazanin"/>
          <w:color w:val="111111"/>
          <w:sz w:val="28"/>
          <w:sz w:val="28"/>
          <w:szCs w:val="28"/>
          <w:rtl w:val="true"/>
          <w:lang w:bidi="fa-IR"/>
        </w:rPr>
        <w:t>الاعتماد على عملهم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لهم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التي تقترن بالخبر وتدلّ على صحّته أشياء مخصوصة نذكرها فيما بعد من الكتاب والسنّة والإجماع والتواتر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ادّعاء القرائن في جميع هذه المسائل دعوى محالة ، ومن ادّعى القرائن في جميع ذلك ، كان السبر بيننا وبينه ، بل كان معوّلا على ما يعلم من الضرورة خلافه ، ومدافعا </w:t>
      </w:r>
      <w:r>
        <w:rPr>
          <w:rStyle w:val="FootnoteAnchor"/>
          <w:rtl w:val="true"/>
        </w:rPr>
        <w:footnoteReference w:id="686"/>
      </w:r>
      <w:r>
        <w:rPr>
          <w:rFonts w:ascii="Amiri" w:hAnsi="Amiri" w:eastAsia="Amiri" w:cs="Amiri"/>
          <w:color w:val="111111"/>
          <w:sz w:val="28"/>
          <w:sz w:val="28"/>
          <w:szCs w:val="28"/>
          <w:rtl w:val="true"/>
          <w:lang w:bidi="ar-SA"/>
        </w:rPr>
        <w:t>لما يعلم من نفسه ضدّه ونقيضه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متى عدمت شيئا من القرائن ، حكمت بما كان يقتضيه العقل ، يلزمه أن يترك كثير </w:t>
      </w:r>
      <w:r>
        <w:rPr>
          <w:rStyle w:val="FootnoteAnchor"/>
          <w:rtl w:val="true"/>
        </w:rPr>
        <w:footnoteReference w:id="687"/>
      </w:r>
      <w:r>
        <w:rPr>
          <w:rFonts w:ascii="Amiri" w:hAnsi="Amiri" w:eastAsia="Amiri" w:cs="Amiri"/>
          <w:color w:val="111111"/>
          <w:sz w:val="28"/>
          <w:sz w:val="28"/>
          <w:szCs w:val="28"/>
          <w:rtl w:val="true"/>
          <w:lang w:bidi="ar-SA"/>
        </w:rPr>
        <w:t xml:space="preserve">الأخبار وأكثر الأحكام ، ولا يحكم فيها بشيء ورد الشرع به ، وهذا هو حدّ يرغب عنه أهل العلم ، ومن صار إليه لا يحسن مكالمته ؛ لأنّه يكون معوّلا على ما يعلم ضرورة من الشرع خلافه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السيّد علم الهدى </w:t>
      </w:r>
      <w:r>
        <w:rPr>
          <w:rStyle w:val="FootnoteAnchor"/>
          <w:rtl w:val="true"/>
        </w:rPr>
        <w:footnoteReference w:id="689"/>
      </w:r>
      <w:r>
        <w:rPr>
          <w:rFonts w:ascii="Amiri" w:hAnsi="Amiri" w:eastAsia="Amiri" w:cs="Amiri"/>
          <w:color w:val="111111"/>
          <w:sz w:val="28"/>
          <w:sz w:val="28"/>
          <w:szCs w:val="28"/>
          <w:rtl w:val="true"/>
          <w:lang w:bidi="ar-SA"/>
        </w:rPr>
        <w:t xml:space="preserve">فإنّه أورد على نفسه سؤالا في مقام </w:t>
      </w:r>
      <w:r>
        <w:rPr>
          <w:rStyle w:val="FootnoteAnchor"/>
          <w:rtl w:val="true"/>
        </w:rPr>
        <w:footnoteReference w:id="690"/>
      </w:r>
      <w:r>
        <w:rPr>
          <w:rFonts w:ascii="IRNazanin" w:hAnsi="IRNazanin" w:eastAsia="IRNazanin"/>
          <w:color w:val="111111"/>
          <w:sz w:val="28"/>
          <w:sz w:val="28"/>
          <w:szCs w:val="28"/>
          <w:rtl w:val="true"/>
          <w:lang w:bidi="fa-IR"/>
        </w:rPr>
        <w:t xml:space="preserve">دعوى الإجماع على عدم جواز الرجوع إلى الأخبار الآحاد ، لأنّه قال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سددتم طريق العمل بالأخبار ، فعلى أيّ شيء تعوّلون في الفقه كلّه؟</w:t>
      </w:r>
    </w:p>
    <w:p>
      <w:pPr>
        <w:pStyle w:val="BookText"/>
        <w:rPr/>
      </w:pPr>
      <w:r>
        <w:rPr>
          <w:rFonts w:ascii="Amiri" w:hAnsi="Amiri" w:eastAsia="Amiri" w:cs="Amiri"/>
          <w:color w:val="111111"/>
          <w:sz w:val="28"/>
          <w:sz w:val="28"/>
          <w:szCs w:val="28"/>
          <w:rtl w:val="true"/>
          <w:lang w:bidi="ar-SA"/>
        </w:rPr>
        <w:t>فأجاب عنه بما حاصله دعوى انفتاح باب العلم حيث إنّه لم يلتفت إلى احتمال البراءة في صورة الانسداد ، والتزم بلزوم العمل بالأخبار الآحاد كما هو المنساق من السؤال والجواب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الفاضل السيّد شارح الوافية في قوله بعد نقل كلام السيّد بأنّه قد اصطلح مع المتأخّرين العاملين بالأخبار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نهج المسترشدين على ما حكي عنه في بحث صفات الإمام عليه‌السلام ووجوب عصمته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حافظ للشرع </w:t>
      </w:r>
    </w:p>
    <w:p>
      <w:pPr>
        <w:pStyle w:val="BookText"/>
        <w:rPr/>
      </w:pPr>
      <w:r>
        <w:rPr>
          <w:rFonts w:ascii="Amiri" w:hAnsi="Amiri" w:eastAsia="Amiri" w:cs="Amiri"/>
          <w:color w:val="111111"/>
          <w:sz w:val="28"/>
          <w:sz w:val="28"/>
          <w:szCs w:val="28"/>
          <w:rtl w:val="true"/>
          <w:lang w:bidi="ar-SA"/>
        </w:rPr>
        <w:t xml:space="preserve">لعدم إحاطة الكتاب والسنّة به والإجماع ؛ لأنّه إن استند إلى أمارة ، فالخلق لا يتّفقون على أمارة ، وإن لم يستند كان باطلا ، والقياس باطل في نفسه ، والبراءة الأصلية ترفع جميع الأحكام ، فلم يبق سوى الإمام عليه‌السلام ولو جاز خطؤه ، جاز أن يزيده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ولأنّه حافظ للشرع ؛ لقصور الكتاب والسنّة على تفاصيل الأحكام ، والإجماع لا بدّ له من دليل ؛ إذ صدوره عن غير دليل ولا أمارة يستلزم القول في الدين بمجرّد التشهي ، والأمارة يمتنع الاشتراك فيها بين العقلاء ، ولا نحيط بالأحكام ؛ إذ أكثرها 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فلأنّه يفيد الظنّ الذي قد يخطئ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فلأنّ مبنى شرعنا على جمع المختلفات وتفريق المتماثلات ، وحينئذ لا يتمّ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والبراءة الأصلية ترفع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عليه الخطأ لم يؤمن حفظه للشرع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في مسألة جواز الاكتفاء بالواحد في التعديل ردّا على صاحب المعالم على ما هو المنقول في كلام السيّد المذكور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اعتبار تعدّد المزكّي والمعدّل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سببا لخلوّ أكثر الأحكام عن الدليل ؛ لندرة التعدّد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العضدي تبعا للحاجي في مقام الاستدلال على حجّية أخبار الآحاد بأنّها لو لم تكن حجّة ، لخلت أكثر الوقائع عن الأحكام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في الحدائق في طعنه على ابن إدريس عند طرحه الأخبار الدالّة على اتّحاد الشعير والحنطة جنسا ، فلا يجوز التفاضل بينهما ، معلّلا في ذلك بأنّها آحاد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ردّه هذه الأخبار ونحوها من أخبار الشريعة هو الخروج عن هذا الدين والتديّن بدين آخر غيره </w:t>
      </w:r>
      <w:r>
        <w:rPr>
          <w:rStyle w:val="FootnoteAnchor"/>
          <w:rtl w:val="true"/>
        </w:rPr>
        <w:footnoteReference w:id="695"/>
      </w:r>
      <w:r>
        <w:rPr>
          <w:rFonts w:ascii="IRNazanin" w:hAnsi="IRNazanin" w:eastAsia="IRNazanin"/>
          <w:color w:val="111111"/>
          <w:sz w:val="28"/>
          <w:sz w:val="28"/>
          <w:szCs w:val="28"/>
          <w:rtl w:val="true"/>
          <w:lang w:bidi="fa-IR"/>
        </w:rPr>
        <w:t xml:space="preserve">، فترى هذه </w:t>
      </w:r>
    </w:p>
    <w:p>
      <w:pPr>
        <w:pStyle w:val="BookText"/>
        <w:rPr/>
      </w:pPr>
      <w:r>
        <w:rPr>
          <w:rFonts w:ascii="Amiri" w:hAnsi="Amiri" w:eastAsia="Amiri" w:cs="Amiri"/>
          <w:color w:val="111111"/>
          <w:sz w:val="28"/>
          <w:sz w:val="28"/>
          <w:szCs w:val="28"/>
          <w:rtl w:val="true"/>
          <w:lang w:bidi="ar-SA"/>
        </w:rPr>
        <w:t xml:space="preserve">الكلمات من هؤلاء الجماعة منادية </w:t>
      </w:r>
      <w:r>
        <w:rPr>
          <w:rStyle w:val="FootnoteAnchor"/>
          <w:rtl w:val="true"/>
        </w:rPr>
        <w:footnoteReference w:id="696"/>
      </w:r>
      <w:r>
        <w:rPr>
          <w:rFonts w:ascii="Amiri" w:hAnsi="Amiri" w:eastAsia="Amiri" w:cs="Amiri"/>
          <w:color w:val="111111"/>
          <w:sz w:val="28"/>
          <w:sz w:val="28"/>
          <w:szCs w:val="28"/>
          <w:rtl w:val="true"/>
          <w:lang w:bidi="ar-SA"/>
        </w:rPr>
        <w:t xml:space="preserve">بأعلى صوتها على عدم جواز التعويل على البراءة حيث </w:t>
      </w:r>
      <w:r>
        <w:rPr>
          <w:rStyle w:val="FootnoteAnchor"/>
          <w:rtl w:val="true"/>
        </w:rPr>
        <w:footnoteReference w:id="697"/>
      </w:r>
      <w:r>
        <w:rPr>
          <w:rFonts w:ascii="IRNazanin" w:hAnsi="IRNazanin" w:eastAsia="IRNazanin"/>
          <w:color w:val="111111"/>
          <w:sz w:val="28"/>
          <w:sz w:val="28"/>
          <w:szCs w:val="28"/>
          <w:rtl w:val="true"/>
          <w:lang w:bidi="fa-IR"/>
        </w:rPr>
        <w:t>إنّهم أعرضوا عن هذا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يظهر الوجه في الإجماع المدّعى أيضا ، فبطلان العمل بالبراءة والاقتصار على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من قلّتها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يدلّك على هذا أنّهم مطبقون بأجمعهم في الحكم برجوع العامي إلى فتوى الميّت بعد انسداد باب رجوعه </w:t>
      </w:r>
      <w:r>
        <w:rPr>
          <w:rStyle w:val="FootnoteAnchor"/>
          <w:rtl w:val="true"/>
        </w:rPr>
        <w:footnoteReference w:id="698"/>
      </w:r>
      <w:r>
        <w:rPr>
          <w:rFonts w:ascii="Amiri" w:hAnsi="Amiri" w:eastAsia="Amiri" w:cs="Amiri"/>
          <w:color w:val="111111"/>
          <w:sz w:val="28"/>
          <w:sz w:val="28"/>
          <w:szCs w:val="28"/>
          <w:rtl w:val="true"/>
          <w:lang w:bidi="ar-SA"/>
        </w:rPr>
        <w:t xml:space="preserve">إلى الحيّ ، ولم يحتمل أحد اختيار رجوعه إلى البراءة ، وحال المجتهد بعد الانسداد واختفاء الحجّة العلمية مثل حال المقلّد عند فقدان المجتهد الحيّ ، فبعد العلم بالاشتغال لا مناص من تحصيل الامتثال ، فتارة بالعمل بالمعلوم على وجه التفصيل ، وأخرى بالمعلوم ولو إجمالا في طيّ احتمالات عديدة ، ومرّة يمتثل </w:t>
      </w:r>
      <w:r>
        <w:rPr>
          <w:rStyle w:val="FootnoteAnchor"/>
          <w:rtl w:val="true"/>
        </w:rPr>
        <w:footnoteReference w:id="699"/>
      </w:r>
      <w:r>
        <w:rPr>
          <w:rFonts w:ascii="Amiri" w:hAnsi="Amiri" w:eastAsia="Amiri" w:cs="Amiri"/>
          <w:color w:val="111111"/>
          <w:sz w:val="28"/>
          <w:sz w:val="28"/>
          <w:szCs w:val="28"/>
          <w:rtl w:val="true"/>
          <w:lang w:bidi="ar-SA"/>
        </w:rPr>
        <w:t xml:space="preserve">امتثالا ظنّيا بعد انسداد باب الامتثال على أحد الوجهين الأوّلين كما هو المفروض ، وأخرى امتثالا احتماليا ، ويكشف عن ذلك حكمهم برجوع العامي الغير المتمكّن من تحصيل أحكامه تقليدا لوجوب العمل </w:t>
      </w:r>
      <w:r>
        <w:rPr>
          <w:rStyle w:val="FootnoteAnchor"/>
          <w:rtl w:val="true"/>
        </w:rPr>
        <w:footnoteReference w:id="700"/>
      </w:r>
      <w:r>
        <w:rPr>
          <w:rFonts w:ascii="IRNazanin" w:hAnsi="IRNazanin" w:eastAsia="IRNazanin"/>
          <w:color w:val="111111"/>
          <w:sz w:val="28"/>
          <w:sz w:val="28"/>
          <w:szCs w:val="28"/>
          <w:rtl w:val="true"/>
          <w:lang w:bidi="fa-IR"/>
        </w:rPr>
        <w:t xml:space="preserve">بظنّه بل واحتماله فرارا من </w:t>
      </w:r>
      <w:r>
        <w:rPr>
          <w:rStyle w:val="FootnoteAnchor"/>
          <w:rtl w:val="true"/>
        </w:rPr>
        <w:footnoteReference w:id="701"/>
      </w:r>
      <w:r>
        <w:rPr>
          <w:rFonts w:ascii="Amiri" w:hAnsi="Amiri" w:eastAsia="Amiri" w:cs="Amiri"/>
          <w:color w:val="111111"/>
          <w:sz w:val="28"/>
          <w:sz w:val="28"/>
          <w:szCs w:val="28"/>
          <w:rtl w:val="true"/>
          <w:lang w:bidi="ar-SA"/>
        </w:rPr>
        <w:t>المخالفة القطعية ، وبالجملة ، فظهور المرام ، يأبى عن إطالة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القطعية وإن لم تبلغ حدّ الخروج عن الدين ، فهي في حدّ ذاتها باطلة يكفي جعلها تاليا في قياس شرطي ، فلزومها على تقديره كاف في بطلان المقدّم ، ولا دليل على اعتبار الأصل فيما لو خالف العلم الإجمالي كما هو كذلك فيما لو خالف العلم التفصيلي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المحاذير المفروضة مشتركة الورود على تقديري العمل بالبراءة والمظنّة أمّا على الأوّل ، فكما هو المقرّر ، وأمّا على الثاني ، فلاحتمال مطابقة الظنّ في جميع </w:t>
      </w:r>
    </w:p>
    <w:p>
      <w:pPr>
        <w:pStyle w:val="BookText"/>
        <w:rPr/>
      </w:pPr>
      <w:r>
        <w:rPr>
          <w:rFonts w:ascii="Amiri" w:hAnsi="Amiri" w:eastAsia="Amiri" w:cs="Amiri"/>
          <w:color w:val="111111"/>
          <w:sz w:val="28"/>
          <w:sz w:val="28"/>
          <w:szCs w:val="28"/>
          <w:rtl w:val="true"/>
          <w:lang w:bidi="ar-SA"/>
        </w:rPr>
        <w:t>الموارد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فلا شكّ في أنّها دعوى محالة ، فإنّ العلم بالموجبة الجزئية كما هو المفروض ينافي الظنّ بالسالبة الكلّية ؛ لاستلزامه اجتماع المتنافيين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 ثانيا فلو سلّمنا إمكان الفرض ، فهو غير واقع ؛ لأنّ الظنّ إنّما يحصل من الأمارات الحاصلة عندنا من الأخبار والشهرات والإجماعات ، ومن المعلوم بالضرورة عدم موافقتها في جملة من الموارد للبراءة ، فإنّ الغالب فيها ، ولا أقلّ من التساوي ، ولا أقلّ من جملة كثيرة إثبات الأحكام المخالفة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 ، فبعد الغضّ عن وقوعه أيضا نلتزم بعدم جواز عمله بظنّه وعدم جواز العمل بفتواه لمقلّديه لوجود المخالفة القطعية على تقديره في جملة كثيرة ، فليعمل بما يقتضيه الاحتياط والاشتغال ، أو العمل ببعض مظنوناته من الظنون القوية ، أو يختار ما يريد من موارد ظنّه هذا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المعالم والمحقّق البهائي </w:t>
      </w:r>
      <w:r>
        <w:rPr>
          <w:rStyle w:val="FootnoteAnchor"/>
          <w:rtl w:val="true"/>
        </w:rPr>
        <w:footnoteReference w:id="702"/>
      </w:r>
      <w:r>
        <w:rPr>
          <w:rFonts w:ascii="Amiri" w:hAnsi="Amiri" w:eastAsia="Amiri" w:cs="Amiri"/>
          <w:color w:val="111111"/>
          <w:sz w:val="28"/>
          <w:sz w:val="28"/>
          <w:szCs w:val="28"/>
          <w:rtl w:val="true"/>
          <w:lang w:bidi="ar-SA"/>
        </w:rPr>
        <w:t xml:space="preserve">وجماعة ممّن تقدّم قد قالوا في دفع احتمال البراءة بأنّ أصالة البراءة ضعيفة بعد ورود الخبر ، وكأنّهم أرادوا أنّ الظنّ الحاصل من البراءة بعد ورود الخبر الواحد على خلافه ضعيف لا يقاوم الظنّ الحاصل من الخبر ، ولعلّ ذلك منهم مبنيّ على القول بحجّية البراءة من جهة إفادتها الظنّ وهو بمكان من الضعف كما قرّر في محلّه من أنّها حجّة قطعية في مجراها تعبّدا شرعيا بل </w:t>
      </w:r>
      <w:r>
        <w:rPr>
          <w:rStyle w:val="FootnoteAnchor"/>
          <w:rtl w:val="true"/>
        </w:rPr>
        <w:footnoteReference w:id="703"/>
      </w:r>
      <w:r>
        <w:rPr>
          <w:rFonts w:ascii="Amiri" w:hAnsi="Amiri" w:eastAsia="Amiri" w:cs="Amiri"/>
          <w:color w:val="111111"/>
          <w:sz w:val="28"/>
          <w:sz w:val="28"/>
          <w:szCs w:val="28"/>
          <w:rtl w:val="true"/>
          <w:lang w:bidi="ar-SA"/>
        </w:rPr>
        <w:t xml:space="preserve">وعقليا ، فإنّه لا تكليف إلاّ بعد البيان ، فإن أرادوا الظنّ بالنسبة إلى الحكم الواقعي ، فلا ريب في عدم حصوله ، وعلى تقديره لا حجّية </w:t>
      </w:r>
      <w:r>
        <w:rPr>
          <w:rStyle w:val="FootnoteAnchor"/>
          <w:rtl w:val="true"/>
        </w:rPr>
        <w:footnoteReference w:id="704"/>
      </w:r>
      <w:r>
        <w:rPr>
          <w:rFonts w:ascii="Amiri" w:hAnsi="Amiri" w:eastAsia="Amiri" w:cs="Amiri"/>
          <w:color w:val="111111"/>
          <w:sz w:val="28"/>
          <w:sz w:val="28"/>
          <w:szCs w:val="28"/>
          <w:rtl w:val="true"/>
          <w:lang w:bidi="ar-SA"/>
        </w:rPr>
        <w:t>فيه ، وإن أرادوا الظنّ بالنسبة إلى الحكم الظاهري ، فسقوطه واضح حيث إنّها بالنسبة إليه دليل قطعي لا مجال لإنكاره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هنا قد اعترض </w:t>
      </w:r>
      <w:r>
        <w:rPr>
          <w:rStyle w:val="FootnoteAnchor"/>
          <w:rtl w:val="true"/>
        </w:rPr>
        <w:footnoteReference w:id="705"/>
      </w:r>
      <w:r>
        <w:rPr>
          <w:rFonts w:ascii="Amiri" w:hAnsi="Amiri" w:eastAsia="Amiri" w:cs="Amiri"/>
          <w:color w:val="111111"/>
          <w:sz w:val="28"/>
          <w:sz w:val="28"/>
          <w:szCs w:val="28"/>
          <w:rtl w:val="true"/>
          <w:lang w:bidi="ar-SA"/>
        </w:rPr>
        <w:t xml:space="preserve">عليهم المحقّق الجمال في تعليقاته على العضدي بعد منعه من إنتاج الدليل الرابع النتيجة المطلوبة بجواز العمل بالبراءة بعد الانسداد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لأنّها ظنّية بل لحكم العقل عليها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أفاده المحقّق القمّي </w:t>
      </w:r>
      <w:r>
        <w:rPr>
          <w:rStyle w:val="FootnoteAnchor"/>
          <w:rtl w:val="true"/>
        </w:rPr>
        <w:footnoteReference w:id="707"/>
      </w:r>
      <w:r>
        <w:rPr>
          <w:rFonts w:ascii="Amiri" w:hAnsi="Amiri" w:eastAsia="Amiri" w:cs="Amiri"/>
          <w:color w:val="111111"/>
          <w:sz w:val="28"/>
          <w:sz w:val="28"/>
          <w:szCs w:val="28"/>
          <w:rtl w:val="true"/>
          <w:lang w:bidi="ar-SA"/>
        </w:rPr>
        <w:t>في دفع الاستناد إلى البراءة من منع الإجماع عليها لمخالفة الأخبارية فيها ، وعدم استقلال العقل بالحكم بها ولو بعد ورود الخبر الواحد بخلافها ، فممّا لم نقف له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فلأنّ منع الإجماع عليها مكابرة محضة ، ومجازفة صرفة ، ومخالفة الأخبارية إنّما هو لمنعهم من جريانها زعما منهم لورود </w:t>
      </w:r>
      <w:r>
        <w:rPr>
          <w:rStyle w:val="FootnoteAnchor"/>
          <w:rtl w:val="true"/>
        </w:rPr>
        <w:footnoteReference w:id="708"/>
      </w:r>
      <w:r>
        <w:rPr>
          <w:rFonts w:ascii="Amiri" w:hAnsi="Amiri" w:eastAsia="Amiri" w:cs="Amiri"/>
          <w:color w:val="111111"/>
          <w:sz w:val="28"/>
          <w:sz w:val="28"/>
          <w:szCs w:val="28"/>
          <w:rtl w:val="true"/>
          <w:lang w:bidi="ar-SA"/>
        </w:rPr>
        <w:t>البيان في محلّ جريانه من أخبار الاحتياط ، ولذا تراهم حاكمين بالبراءة في مقام الشبهة الوجوبية لعدم جريان أدلّة الاحتياط فيها ، ولا ريب لأحد منهم أيضا في وجوب العمل بها فيما لم يرد فيه بيان كما هو المفروض من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 فلأنّ أصالة البراءة محكّمة عقلا فيما لم يرد على خلافها دليل علمي أو منته إليه ، و </w:t>
      </w:r>
      <w:r>
        <w:rPr>
          <w:rStyle w:val="FootnoteAnchor"/>
          <w:rtl w:val="true"/>
        </w:rPr>
        <w:footnoteReference w:id="709"/>
      </w:r>
      <w:r>
        <w:rPr>
          <w:rFonts w:ascii="Amiri" w:hAnsi="Amiri" w:eastAsia="Amiri" w:cs="Amiri"/>
          <w:color w:val="111111"/>
          <w:sz w:val="28"/>
          <w:sz w:val="28"/>
          <w:szCs w:val="28"/>
          <w:rtl w:val="true"/>
          <w:lang w:bidi="ar-SA"/>
        </w:rPr>
        <w:t>ورود الخبر على خلافها بعد أن لم تكن حجّة لا جدوى فيه ، فإنّ حجّيته في المقام أوّل الكلام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على المورد أنّ البراءة على إطلاقها لا تنهض حجّة في جميع الموارد ، فإنّ مرجعها إلى نفي التكليف وهو في العبادات في محلّها ، وأمّا في المعاملات ، فلا وجه للاستناد إليها في دفعها إلاّ أن يقال برجوع الأحكام الوضعية إلى الأحكام التكليفية كما يراه المورد أيضا ، فيصحّ التعبير بالبراءة ، أو يقال بأنّ المراد منها أصالة العدم كما نبّهنا عليه فيما تقدّم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العدم أيضا لا تعمّ جميع الموارد ، فإنّ </w:t>
      </w:r>
    </w:p>
    <w:p>
      <w:pPr>
        <w:pStyle w:val="BookText"/>
        <w:rPr/>
      </w:pPr>
      <w:r>
        <w:rPr>
          <w:rFonts w:ascii="Amiri" w:hAnsi="Amiri" w:eastAsia="Amiri" w:cs="Amiri"/>
          <w:color w:val="111111"/>
          <w:sz w:val="28"/>
          <w:sz w:val="28"/>
          <w:szCs w:val="28"/>
          <w:rtl w:val="true"/>
          <w:lang w:bidi="ar-SA"/>
        </w:rPr>
        <w:t xml:space="preserve">الاشتغال على القول به وكذا الاستصحاب قد يخالف حكم البراءة ويقدّم عليها على ما هو المقرّر في محلّه ، فلا سبيل إلى القول بأنّ الاستصحاب ظنّي حيث إنّه </w:t>
      </w:r>
      <w:r>
        <w:rPr>
          <w:rStyle w:val="FootnoteAnchor"/>
          <w:rtl w:val="true"/>
        </w:rPr>
        <w:footnoteReference w:id="710"/>
      </w:r>
      <w:r>
        <w:rPr>
          <w:rFonts w:ascii="Amiri" w:hAnsi="Amiri" w:eastAsia="Amiri" w:cs="Amiri"/>
          <w:color w:val="111111"/>
          <w:sz w:val="28"/>
          <w:sz w:val="28"/>
          <w:szCs w:val="28"/>
          <w:rtl w:val="true"/>
          <w:lang w:bidi="ar-SA"/>
        </w:rPr>
        <w:t>قد قرّرنا قطعيّته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الرابعة القائلة بأنّ المرجع في أحكامنا </w:t>
      </w:r>
      <w:r>
        <w:rPr>
          <w:rStyle w:val="FootnoteAnchor"/>
          <w:rtl w:val="true"/>
        </w:rPr>
        <w:footnoteReference w:id="711"/>
      </w:r>
      <w:r>
        <w:rPr>
          <w:rFonts w:ascii="Amiri" w:hAnsi="Amiri" w:eastAsia="Amiri" w:cs="Amiri"/>
          <w:color w:val="111111"/>
          <w:sz w:val="28"/>
          <w:sz w:val="28"/>
          <w:szCs w:val="28"/>
          <w:rtl w:val="true"/>
          <w:lang w:bidi="ar-SA"/>
        </w:rPr>
        <w:t xml:space="preserve">بعد الانسداد ليس هو الاحتياط ، فيدل عليها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 بعد العلم الإجمالي على التكليف لا بدّ من الاحتياط وتحصيل الموافقة القطعية ، وأمّا على القول بكفاية الاحتراز عن المخالفة القطعية في مثل المقام ، فالأمر أسهل ، ثمّ إنّه ليس المراد في المقام إبطال الاحتياط على حذو ما مرّ من إبطال البراءة وامتناعها بل يكفي في إثبات المطلوب عدم وجوبه وإن كان جائزا ، وجوازه يلازم جواز العمل بالظنّ وهو المطلوب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 فإنّا ندّعي أنّ جميع العلماء خلفا عن سلف مطبقون على عدم وجوب الاحتياط ، وليس ذلك من جهة انفتاح باب العلم لهم ، فيختلف الموضوع بل المدّعى اتّفاقهم على عدم وجوب الاحتياط في موضوع الانسداد على ما هو المفروض وإن لم يكن من أهل الإجماع من انسدّ له باب العلم ، كما أنّهم مطبقون بأنّ الحكم في موضوع المسافر القصر والإفطار وإن لم يكونوا مسافرين على حذو ما مرّ في الإجماع المدّعى في إبطال احتمال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على تقديره ، واللازم منفيّ إجماعا في الشريعة السمحة السهلة ، وبيان اللزوم في العبادات واضح ؛ للزوم الإتيان بجميع ما يحتمل الوجوب ولو وهما ، وترك جميع ما يحتمل الحرمة كذلك وهو لو لم يكن في حدّ التكليف بالممتنع ، فلا أقلّ من لزوم العسر على تقديره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لو حاول الاحتياط في واقعة جزئية مثل الماء المتغيّر بالنجاسة بعد زوال تغيّره بنفسه ، فيوجّه عليه في مثل الواقعة فروع كثيرة ، ففي مقام </w:t>
      </w:r>
    </w:p>
    <w:p>
      <w:pPr>
        <w:pStyle w:val="BookText"/>
        <w:rPr/>
      </w:pPr>
      <w:r>
        <w:rPr>
          <w:rFonts w:ascii="Amiri" w:hAnsi="Amiri" w:eastAsia="Amiri" w:cs="Amiri"/>
          <w:color w:val="111111"/>
          <w:sz w:val="28"/>
          <w:sz w:val="28"/>
          <w:szCs w:val="28"/>
          <w:rtl w:val="true"/>
          <w:lang w:bidi="ar-SA"/>
        </w:rPr>
        <w:t xml:space="preserve">شربه لا بدّ من أن لا يشربه ، وفي مقام الوضوء مع انحصار الماء فيه ، فلا بدّ له من الجمع بين التيمّم وبينه في صلاتين ، فقد يعارضه الاحتياط في واقعة أخرى ، فيتوقّف </w:t>
      </w:r>
      <w:r>
        <w:rPr>
          <w:rStyle w:val="FootnoteAnchor"/>
          <w:rtl w:val="true"/>
        </w:rPr>
        <w:footnoteReference w:id="712"/>
      </w:r>
      <w:r>
        <w:rPr>
          <w:rFonts w:ascii="Amiri" w:hAnsi="Amiri" w:eastAsia="Amiri" w:cs="Amiri"/>
          <w:color w:val="111111"/>
          <w:sz w:val="28"/>
          <w:sz w:val="28"/>
          <w:szCs w:val="28"/>
          <w:rtl w:val="true"/>
          <w:lang w:bidi="ar-SA"/>
        </w:rPr>
        <w:t xml:space="preserve">في ترجيح أحد الاحتياطين على الآخر ، ويتفرّع على كلّ من فروعه فروع متشتّتة مختلفة قد لا يمكن الجمع بينها إلى غير ذلك ممّا لا يخفى على المتأمّل البصير ، هذا كلّه مضافا إلى لزومه في تعليم المجتهد وجوه الاحتياط وتعلّم المقلّد منه ، فقد لا يشتمل </w:t>
      </w:r>
      <w:r>
        <w:rPr>
          <w:rStyle w:val="FootnoteAnchor"/>
          <w:rtl w:val="true"/>
        </w:rPr>
        <w:footnoteReference w:id="713"/>
      </w:r>
      <w:r>
        <w:rPr>
          <w:rFonts w:ascii="Amiri" w:hAnsi="Amiri" w:eastAsia="Amiri" w:cs="Amiri"/>
          <w:color w:val="111111"/>
          <w:sz w:val="28"/>
          <w:sz w:val="28"/>
          <w:szCs w:val="28"/>
          <w:rtl w:val="true"/>
          <w:lang w:bidi="ar-SA"/>
        </w:rPr>
        <w:t>كتاب حكم واقعة جزئية بجميع وقائعها المترتّبة عليها ، وذلك يوجب اختلال نظامهم في أمور معادهم ومعاشهم ، وبخلاف ما إذا علمنا بالظنّ ، ففي الواقعة المفروضة على تقدير تعلّق الظنّ بنجاسة يترتّب عليه جميع أحكامها ، فلا تنحلّ إلى وقائع ، ولا تختلف بحسب الموارد ، وليس في الاحتياط حكم كلّي يرجع إليه في جميع الموارد ، فهو في كلّ مقام يقتضي شيئا ، فالمقلّد لو حاول تعلّم أحكام الواقعة المفروضة لا بدّ له من تعلّمها على جميع مراتب اختلافها بالنسبة إلى ملاحظتها في وقائع كثيرة ، ولا عسر في كونه عسرا وهو المراد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على المقلّد ممنوع ؛ لجواز رجوعه إلى مجتهد لا يرى وجوب الاحتياط ، فلا عسر له في تعلّمه ، ولا في تعليم المجتهد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ينحصر المجتهد ، فيمن يرى وجوب الاحتياط ، فلا مفرّ له من تقليده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للوجه المذكور لما نحن بصدده ، فإنّ </w:t>
      </w:r>
      <w:r>
        <w:rPr>
          <w:rStyle w:val="FootnoteAnchor"/>
          <w:rtl w:val="true"/>
        </w:rPr>
        <w:footnoteReference w:id="714"/>
      </w:r>
      <w:r>
        <w:rPr>
          <w:rFonts w:ascii="Amiri" w:hAnsi="Amiri" w:eastAsia="Amiri" w:cs="Amiri"/>
          <w:color w:val="111111"/>
          <w:sz w:val="28"/>
          <w:sz w:val="28"/>
          <w:szCs w:val="28"/>
          <w:rtl w:val="true"/>
          <w:lang w:bidi="ar-SA"/>
        </w:rPr>
        <w:t xml:space="preserve">الكلام في أنّ الحكم الواقعي الثابت في اللوح المحفوظ في موضوع الانسداد كما هو المدّعى ، هل هو الاحتياط أم لا؟ ولا مدخل لعمل المقلّد في ذلك أصلا ، فإنّه قد لا يقلّد أصلا ، فإنّ المستدلّ بدليل الانسداد إنّما هو في بيان حكمه واقعا ، فيحكم بأنّ المرجع في الواقع </w:t>
      </w:r>
    </w:p>
    <w:p>
      <w:pPr>
        <w:pStyle w:val="BookText"/>
        <w:rPr/>
      </w:pPr>
      <w:r>
        <w:rPr>
          <w:rFonts w:ascii="Amiri" w:hAnsi="Amiri" w:eastAsia="Amiri" w:cs="Amiri"/>
          <w:color w:val="111111"/>
          <w:sz w:val="28"/>
          <w:sz w:val="28"/>
          <w:szCs w:val="28"/>
          <w:rtl w:val="true"/>
          <w:lang w:bidi="ar-SA"/>
        </w:rPr>
        <w:t xml:space="preserve">ليس هو الاحتياط ، وانفتاح باب العلم على ما يزعمه غيره لا يضرّه ، فإنّه يراه في سبيل باطل ، وطريق عاطل ، وذلك نظير ما قد قيل من أنّ تقليد الأعلم على القول به يوجب العسر في تمييز </w:t>
      </w:r>
      <w:r>
        <w:rPr>
          <w:rStyle w:val="FootnoteAnchor"/>
          <w:rtl w:val="true"/>
        </w:rPr>
        <w:footnoteReference w:id="715"/>
      </w:r>
      <w:r>
        <w:rPr>
          <w:rFonts w:ascii="Amiri" w:hAnsi="Amiri" w:eastAsia="Amiri" w:cs="Amiri"/>
          <w:color w:val="111111"/>
          <w:sz w:val="28"/>
          <w:sz w:val="28"/>
          <w:szCs w:val="28"/>
          <w:rtl w:val="true"/>
          <w:lang w:bidi="ar-SA"/>
        </w:rPr>
        <w:t>الأعلم عن غيره ، فلا ينافيه اعتقاد المقلّدين أعلمية فقيه دون فقيه ؛ إذ لا يناط الحكم الواقعي باعتقادهم ، والكلام إنّما هو في الجعل الواقعي المتعلّق بموضوع كذائي ، فيتوجّه عليه أنّه لو كان كذلك ، يلزم العسر وذلك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يتوجّه هذا الكلام في المقام فيما لو فرضنا انفتاح باب العلم لواحد من المجتهدين واقعا يتمكّن من الوصول إلى معدن العلم ، فيلتزم بلزوم رجوع المقلّد إليه ، فلا يلزمه عسر على ما فرضناه إلاّ أنّه خارج عمّا هو مفروض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لزوم العسر على تقدير الاحتياط في العبادات </w:t>
      </w:r>
      <w:r>
        <w:rPr>
          <w:rStyle w:val="FootnoteAnchor"/>
          <w:rtl w:val="true"/>
        </w:rPr>
        <w:footnoteReference w:id="716"/>
      </w:r>
      <w:r>
        <w:rPr>
          <w:rFonts w:ascii="Amiri" w:hAnsi="Amiri" w:eastAsia="Amiri" w:cs="Amiri"/>
          <w:color w:val="111111"/>
          <w:sz w:val="28"/>
          <w:sz w:val="28"/>
          <w:szCs w:val="28"/>
          <w:rtl w:val="true"/>
          <w:lang w:bidi="ar-SA"/>
        </w:rPr>
        <w:t>، وأمّا في المعاملات ، فيظهر من ملاحظة ما قرّرنا في 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يؤدّي ظنّ المجتهد إلى ما يوجب العسر مثل ما </w:t>
      </w:r>
      <w:r>
        <w:rPr>
          <w:rStyle w:val="FootnoteAnchor"/>
          <w:rtl w:val="true"/>
        </w:rPr>
        <w:footnoteReference w:id="717"/>
      </w:r>
      <w:r>
        <w:rPr>
          <w:rFonts w:ascii="Amiri" w:hAnsi="Amiri" w:eastAsia="Amiri" w:cs="Amiri"/>
          <w:color w:val="111111"/>
          <w:sz w:val="28"/>
          <w:sz w:val="28"/>
          <w:szCs w:val="28"/>
          <w:rtl w:val="true"/>
          <w:lang w:bidi="ar-SA"/>
        </w:rPr>
        <w:t>إذا ظنّ بوجوب الترتيب في الفوائت ، فإنّ لزوم العسر فيما إذا لم يعلم ترتيب الفائتة خصوصا مع كثرتها ممّا لا ريب فيه ، وكذا إذا ظنّ بفورية القضاء ، وكذا إذا ظنّ بوجوب الغسل فيما لو أجنب المكلّف عمدا وإن أصابه ما أصابه ، وكذا إذا ظنّ بواجبات كثيرة في وقائع عديدة ترد عليه دفعة مثلا ، فالمحذور على تقديره مشترك الورود بين الاحتياط والعمل بالظنّ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أنّ ما دلّ على نفي العسر والحرج يعارضه الأدلّة الخاصّة الدالّة على لزوم ملاحظة الترتيب بين الفوائت ، فلا بدّ من ملاحظة النسبة بين الدليلين ، فسقوطه واضح حيث إنّ من المقرّر في محلّه حكومة الأدلّة الدالّة على نفي العسر بالنسبة إلى </w:t>
      </w:r>
    </w:p>
    <w:p>
      <w:pPr>
        <w:pStyle w:val="BookText"/>
        <w:rPr/>
      </w:pPr>
      <w:r>
        <w:rPr>
          <w:rFonts w:ascii="Amiri" w:hAnsi="Amiri" w:eastAsia="Amiri" w:cs="Amiri"/>
          <w:color w:val="111111"/>
          <w:sz w:val="28"/>
          <w:sz w:val="28"/>
          <w:szCs w:val="28"/>
          <w:rtl w:val="true"/>
          <w:lang w:bidi="ar-SA"/>
        </w:rPr>
        <w:t xml:space="preserve">غيرها من الأدلّة ، فهو معيار لغيرها ، وميزان لما عداها ، فلا يعارضها دليل ، ولو كان في أعلى درجات الخصوصية كما يظهر ذلك بعد ملاحظة العرف فيما يماثله ، وإن أريد النقض بالفرض المذكور ليلتفت إلى الحلّ في الصورة المفروضة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الدليل الدالّ على لزوم الترتيب قطعيّا غير قابل للطرح أو التأويل ، فيقدّم على أدلّة العسر كما في أدلّة الاجتهاد الأكبر والأصغر ، وإن كان ظنّيا قابلا للتأويل ، فلا بدّ منه كأن يحمل الأمر الوارد فيه على الاستحباب ونحوه وما نحن بصدده من هذا القبيل ، فإنّ لزوم تحصيل الموافقة القطعية والحكم بوجوب الإتيان بجميع المقدّمات العلمية بعد الانسداد فيما </w:t>
      </w:r>
      <w:r>
        <w:rPr>
          <w:rStyle w:val="FootnoteAnchor"/>
          <w:rtl w:val="true"/>
        </w:rPr>
        <w:footnoteReference w:id="718"/>
      </w:r>
      <w:r>
        <w:rPr>
          <w:rFonts w:ascii="Amiri" w:hAnsi="Amiri" w:eastAsia="Amiri" w:cs="Amiri"/>
          <w:color w:val="111111"/>
          <w:sz w:val="28"/>
          <w:sz w:val="28"/>
          <w:szCs w:val="28"/>
          <w:rtl w:val="true"/>
          <w:lang w:bidi="ar-SA"/>
        </w:rPr>
        <w:t>يوجب العسر غير معلوم حتّى يقدّم على أدلّة نفي العسر ، فيكشف ذلك من أنّ مطلوب المولى ليس الإتيان بالواقع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أخيرا من المثال من جواز تعلّق ظنّ المجتهد بواجبات توجب العسر ، فهو ممّا لا محصّل له ؛ لاستلزامه اجتماع المتناقضين ، فإنّ بعد ما علمنا مع ملاحظة أدلّة نفي العسر عدم جعل </w:t>
      </w:r>
      <w:r>
        <w:rPr>
          <w:rStyle w:val="FootnoteAnchor"/>
          <w:rtl w:val="true"/>
        </w:rPr>
        <w:footnoteReference w:id="719"/>
      </w:r>
      <w:r>
        <w:rPr>
          <w:rFonts w:ascii="Amiri" w:hAnsi="Amiri" w:eastAsia="Amiri" w:cs="Amiri"/>
          <w:color w:val="111111"/>
          <w:sz w:val="28"/>
          <w:sz w:val="28"/>
          <w:szCs w:val="28"/>
          <w:rtl w:val="true"/>
          <w:lang w:bidi="ar-SA"/>
        </w:rPr>
        <w:t xml:space="preserve">حكم أو أحكام يوجب العسر ، فكيف يصحّ تعلّق الظنّ بوجوب أمور توجب العسر؟ فإنّ العلم بالسالبة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نفي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الظنّ بالموجبة الكلّية كما هو مفروض المعترض عكس ما مرّ في المقدّمة السابقة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أدلّة نفي العسر لا يزيد على نفيه في أصل الشرع حيث إنّه تعالى ما جعل في الدين من حرج ، وأمّا لو لزم الحرج من جهة </w:t>
      </w:r>
      <w:r>
        <w:rPr>
          <w:rStyle w:val="FootnoteAnchor"/>
          <w:rtl w:val="true"/>
        </w:rPr>
        <w:footnoteReference w:id="720"/>
      </w:r>
      <w:r>
        <w:rPr>
          <w:rFonts w:ascii="Amiri" w:hAnsi="Amiri" w:eastAsia="Amiri" w:cs="Amiri"/>
          <w:color w:val="111111"/>
          <w:sz w:val="28"/>
          <w:sz w:val="28"/>
          <w:szCs w:val="28"/>
          <w:rtl w:val="true"/>
          <w:lang w:bidi="ar-SA"/>
        </w:rPr>
        <w:t xml:space="preserve">عروض سانحة ، وحدوث واقعة لا يرجع إلى جعله كما في المقام ، فإنّه يلزم بواسطة إخفاء قادة الهدى ، ومصابيح </w:t>
      </w:r>
      <w:r>
        <w:rPr>
          <w:rStyle w:val="FootnoteAnchor"/>
          <w:rtl w:val="true"/>
        </w:rPr>
        <w:footnoteReference w:id="721"/>
      </w:r>
      <w:r>
        <w:rPr>
          <w:rFonts w:ascii="Amiri" w:hAnsi="Amiri" w:eastAsia="Amiri" w:cs="Amiri"/>
          <w:color w:val="111111"/>
          <w:sz w:val="28"/>
          <w:sz w:val="28"/>
          <w:szCs w:val="28"/>
          <w:rtl w:val="true"/>
          <w:lang w:bidi="ar-SA"/>
        </w:rPr>
        <w:t xml:space="preserve">الدجى بواسطة ظلم الظالمين وعناد المعاندين ، فلا دليل على بطلانه ، وحيث إنّه ليس في مرتبة التكليف بما لا يطاق ، فلا ضير في لزومه على تقدير أن </w:t>
      </w:r>
    </w:p>
    <w:p>
      <w:pPr>
        <w:pStyle w:val="BookText"/>
        <w:rPr/>
      </w:pPr>
      <w:r>
        <w:rPr>
          <w:rFonts w:ascii="Amiri" w:hAnsi="Amiri" w:eastAsia="Amiri" w:cs="Amiri"/>
          <w:color w:val="111111"/>
          <w:sz w:val="28"/>
          <w:sz w:val="28"/>
          <w:szCs w:val="28"/>
          <w:rtl w:val="true"/>
          <w:lang w:bidi="ar-SA"/>
        </w:rPr>
        <w:t>يكون الغير سببا في لزومه كما في المقام ، فلا يتّجه الفرق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انحصار دلالة الأدلّة المذكورة في نفيه من أصل الشرع فقط ؛ فإنّها بعمومها شاملة للمقام أيضا بل و </w:t>
      </w:r>
      <w:r>
        <w:rPr>
          <w:rStyle w:val="FootnoteAnchor"/>
          <w:rtl w:val="true"/>
        </w:rPr>
        <w:footnoteReference w:id="722"/>
      </w:r>
      <w:r>
        <w:rPr>
          <w:rFonts w:ascii="Amiri" w:hAnsi="Amiri" w:eastAsia="Amiri" w:cs="Amiri"/>
          <w:color w:val="111111"/>
          <w:sz w:val="28"/>
          <w:sz w:val="28"/>
          <w:szCs w:val="28"/>
          <w:rtl w:val="true"/>
          <w:lang w:bidi="ar-SA"/>
        </w:rPr>
        <w:t>فيما لو كان سبب لزومه إدخال المكلّف نفسه في موضوع حكم معسور ، فكيف بالمقام؟</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العسر تارة يلزم من أصل الشرع كأن يجعل الشارع حكم المكلّف مع قطع النظر عن عروض حادثة عسرا ، وأخرى يلزم من جهة عروض سانحة من غير أن يجعله الشارع عسرا ، فمرّة سبب عروضها غير المكلّف كما إذا صار جريحا بواسطة غيرها ، وأخرى يصير المكلّف بنفسه سببا لحدوثها ، فدفعه بواسطة إدخال نفسه في موضوع يعسر عليه أحكامه كما لو أجنب عمدا مع وجود العسر في استعمال الماء ، وأخرى بواسطة إلزامه على نفسه حكما معسورا كما إذا نذر صوم دهره أو استأجر نفسه لأمر عسر إلى غير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الوجوه الثلاثة الأول تنهض أدلّة العسر بنفيها بلا إشكال ، وأمّا الصورة الأخيرة ، فلا نضايق القول بعدم </w:t>
      </w:r>
      <w:r>
        <w:rPr>
          <w:rStyle w:val="FootnoteAnchor"/>
          <w:rtl w:val="true"/>
        </w:rPr>
        <w:footnoteReference w:id="723"/>
      </w:r>
      <w:r>
        <w:rPr>
          <w:rFonts w:ascii="Amiri" w:hAnsi="Amiri" w:eastAsia="Amiri" w:cs="Amiri"/>
          <w:color w:val="111111"/>
          <w:sz w:val="28"/>
          <w:sz w:val="28"/>
          <w:szCs w:val="28"/>
          <w:rtl w:val="true"/>
          <w:lang w:bidi="ar-SA"/>
        </w:rPr>
        <w:t xml:space="preserve">قيام الأدلّة المذكورة بنفيها نظرا إلى ما هو المعروف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غلب اللّه شيئا على العباد إلاّ وهو أولى به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أيضا لا يخلو عن إشكال ، فإنّ في </w:t>
      </w:r>
    </w:p>
    <w:p>
      <w:pPr>
        <w:pStyle w:val="BookText"/>
        <w:rPr/>
      </w:pPr>
      <w:r>
        <w:rPr>
          <w:rFonts w:ascii="Amiri" w:hAnsi="Amiri" w:eastAsia="Amiri" w:cs="Amiri"/>
          <w:color w:val="111111"/>
          <w:sz w:val="28"/>
          <w:sz w:val="28"/>
          <w:szCs w:val="28"/>
          <w:rtl w:val="true"/>
          <w:lang w:bidi="ar-SA"/>
        </w:rPr>
        <w:t xml:space="preserve">إمضائه الإلزام أيضا نوع جعل للعسر </w:t>
      </w:r>
      <w:r>
        <w:rPr>
          <w:rStyle w:val="FootnoteAnchor"/>
          <w:rtl w:val="true"/>
        </w:rPr>
        <w:footnoteReference w:id="726"/>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حرمة العمل بالظنّ يعارض العامّين من وجه ، فلا بدّ من ترجيح أدلّة نفي العسر في تقديمها عليها والمفروض عدم المرجّح ، فلا بدّ من الرجوع إلى الأصول والأصل عدم حجّية الظنّ ، فلا مناص من الاحتياط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 أنّ أدلّة نفي العسر حاكمة عرفا على غيرها من وجوه الأدلّة ، لتعارض غيرها بها ، فيحتاج في الترجيح إلى المرجّح ، وفي صورة انتفائه 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بعد ثبوت الاشتغال لا بدّ من تحصيل الموافقة القطعية بل يكفي فيه عدم لزوم المخالفة القطعية وهو يحصل بالعمل بسلسلة المظنونات ، فلا وجه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المقرّر في محلّه أنّه لا مناص من الاحتياط بعد ثبوت الاشتغال </w:t>
      </w:r>
      <w:r>
        <w:rPr>
          <w:rStyle w:val="FootnoteAnchor"/>
          <w:rtl w:val="true"/>
        </w:rPr>
        <w:footnoteReference w:id="727"/>
      </w:r>
      <w:r>
        <w:rPr>
          <w:rFonts w:ascii="Amiri" w:hAnsi="Amiri" w:eastAsia="Amiri" w:cs="Amiri"/>
          <w:color w:val="111111"/>
          <w:sz w:val="28"/>
          <w:sz w:val="28"/>
          <w:szCs w:val="28"/>
          <w:rtl w:val="true"/>
          <w:lang w:bidi="ar-SA"/>
        </w:rPr>
        <w:t>، فلا وجه للجواب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قد لا يمكن الاحتياط كما إذا دار الأمر بين المتباينين سيّما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فيما هو المناط في المقام ؛ إذ من الجائز التزام المحتمل للاحتياط بالتخيير بينهما ، أو العمل بالظنّ في ترجيح أحدهما على الآخر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جوّز العمل بالظنّ فيما لا يمكن فيه الاحتياط ، فيتمّ المطلوب بعدم القول بالفصل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مرارا بطلان الاستناد </w:t>
      </w:r>
      <w:r>
        <w:rPr>
          <w:rStyle w:val="FootnoteAnchor"/>
          <w:rtl w:val="true"/>
        </w:rPr>
        <w:footnoteReference w:id="728"/>
      </w:r>
      <w:r>
        <w:rPr>
          <w:rFonts w:ascii="Amiri" w:hAnsi="Amiri" w:eastAsia="Amiri" w:cs="Amiri"/>
          <w:color w:val="111111"/>
          <w:sz w:val="28"/>
          <w:sz w:val="28"/>
          <w:szCs w:val="28"/>
          <w:rtl w:val="true"/>
          <w:lang w:bidi="ar-SA"/>
        </w:rPr>
        <w:t>إلى مثل الإجماع في أمثال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أنّ الاحتياط قد يؤدّي إلى ترك الاحتياط فإنّ معرفة الوجه ممّا أوجبه جماعة من الأصحاب </w:t>
      </w:r>
      <w:r>
        <w:rPr>
          <w:rStyle w:val="FootnoteAnchor"/>
          <w:rtl w:val="true"/>
        </w:rPr>
        <w:footnoteReference w:id="729"/>
      </w:r>
      <w:r>
        <w:rPr>
          <w:rFonts w:ascii="Amiri" w:hAnsi="Amiri" w:eastAsia="Amiri" w:cs="Amiri"/>
          <w:color w:val="111111"/>
          <w:sz w:val="28"/>
          <w:sz w:val="28"/>
          <w:szCs w:val="28"/>
          <w:rtl w:val="true"/>
          <w:lang w:bidi="ar-SA"/>
        </w:rPr>
        <w:t xml:space="preserve">حتّى ادّعى بعضهم عليه الإجماع </w:t>
      </w:r>
      <w:r>
        <w:rPr>
          <w:rStyle w:val="FootnoteAnchor"/>
          <w:rtl w:val="true"/>
        </w:rPr>
        <w:footnoteReference w:id="730"/>
      </w:r>
      <w:r>
        <w:rPr>
          <w:rFonts w:ascii="Amiri" w:hAnsi="Amiri" w:eastAsia="Amiri" w:cs="Amiri"/>
          <w:color w:val="111111"/>
          <w:sz w:val="28"/>
          <w:sz w:val="28"/>
          <w:szCs w:val="28"/>
          <w:rtl w:val="true"/>
          <w:lang w:bidi="ar-SA"/>
        </w:rPr>
        <w:t>، وهو ينافي الاحتياط حيث لا يعلم وجه العمل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وإن أرسل هذا الحكم إرسال المسلّمات في أوائل الإرشاد </w:t>
      </w:r>
      <w:r>
        <w:rPr>
          <w:rStyle w:val="FootnoteAnchor"/>
          <w:rtl w:val="true"/>
        </w:rPr>
        <w:footnoteReference w:id="731"/>
      </w:r>
      <w:r>
        <w:rPr>
          <w:rFonts w:ascii="Amiri" w:hAnsi="Amiri" w:eastAsia="Amiri" w:cs="Amiri"/>
          <w:color w:val="111111"/>
          <w:sz w:val="28"/>
          <w:sz w:val="28"/>
          <w:szCs w:val="28"/>
          <w:rtl w:val="true"/>
          <w:lang w:bidi="ar-SA"/>
        </w:rPr>
        <w:t>إلاّ أنّ المستفاد من بناء أهل العرف والعقلاء وسيرة أصحاب الأئمّة والعلماء عدم لزوم معرفة الوجه ، فلا وجه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لزوم معرفة الوجه في العبادات مثلا لكن لا ريب في عدم كونها واجبا أصليا كوجوب معرفة اللّه مثلا بل إنّما هو واجب توصّلي للوصول به إلى الغير ، وهو إمّا أن يكون تحصيل الامتثال التفصيلي ، أو قصد الوجه ، وعلى التقديرين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 ، فلأنّ من المقرّر في محلّه عدم لزوم قصد الوجه أوّلا ، وعدم تعقّله ثانيا ؛ لأنّ القصد لا يتحقّق في غير صورة العلم ، فلو فرضنا عدم لزوم الاحتياط وجواز العمل بالظنّ أيضا لا يتحقّق القصد إلاّ أن ينتهي إلى العلم وهو خارج عمّا نحن بصدده ، أو يغيّر القصد قصدا صوريا لا حقيقة له ، فيحتاج على تقديره إلى دلالة دليل على لزوم القصد الصوري ، والمعلوم انتفاؤه في 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الأوّل ، فلما مرّ في مباحث العلم الإجمالي من احتمال عدم وجوب </w:t>
      </w:r>
    </w:p>
    <w:p>
      <w:pPr>
        <w:pStyle w:val="BookText"/>
        <w:rPr/>
      </w:pPr>
      <w:r>
        <w:rPr>
          <w:rFonts w:ascii="Amiri" w:hAnsi="Amiri" w:eastAsia="Amiri" w:cs="Amiri"/>
          <w:color w:val="111111"/>
          <w:sz w:val="28"/>
          <w:sz w:val="28"/>
          <w:szCs w:val="28"/>
          <w:rtl w:val="true"/>
          <w:lang w:bidi="ar-SA"/>
        </w:rPr>
        <w:t>الامتثال التفصيلي مع الإتيان في ضمن احتمالات عديدة إلاّ بالمأمور به مثلا وإن نقل الإجماع على عدم جوازه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 الامتثال الإجمالي والعمل بالاحتياط فيما لو أمكن الامتثال التفصيلي العلمي غير جائز على ما ادّعاه صاحب الحدائق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دار الأمر بين الامتثال التفصيلي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ظنّه حجّة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الامتثال الإجمالي والعمل بالاحتياط ، ففي ترجيح الأوّل على الثاني تأمّل كما نبّهنا عليه في ما تقدّم ، فكيف بما إذا كان التفصيلي بظنّ لم يقم </w:t>
      </w:r>
      <w:r>
        <w:rPr>
          <w:rStyle w:val="FootnoteAnchor"/>
          <w:rtl w:val="true"/>
        </w:rPr>
        <w:footnoteReference w:id="733"/>
      </w:r>
      <w:r>
        <w:rPr>
          <w:rFonts w:ascii="Amiri" w:hAnsi="Amiri" w:eastAsia="Amiri" w:cs="Amiri"/>
          <w:color w:val="111111"/>
          <w:sz w:val="28"/>
          <w:sz w:val="28"/>
          <w:szCs w:val="28"/>
          <w:rtl w:val="true"/>
          <w:lang w:bidi="ar-SA"/>
        </w:rPr>
        <w:t>دليل على اعتباره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وجه لتقديم العمل بالظنّ على العمل بالاحتياط لتحصيل الامتثال التفصيلي ، فإنّ ذلك يسلّم </w:t>
      </w:r>
      <w:r>
        <w:rPr>
          <w:rStyle w:val="FootnoteAnchor"/>
          <w:rtl w:val="true"/>
        </w:rPr>
        <w:footnoteReference w:id="734"/>
      </w:r>
      <w:r>
        <w:rPr>
          <w:rFonts w:ascii="Amiri" w:hAnsi="Amiri" w:eastAsia="Amiri" w:cs="Amiri"/>
          <w:color w:val="111111"/>
          <w:sz w:val="28"/>
          <w:sz w:val="28"/>
          <w:szCs w:val="28"/>
          <w:rtl w:val="true"/>
          <w:lang w:bidi="ar-SA"/>
        </w:rPr>
        <w:t>فيما لو كان التفصيل علميا أو ظنّيا قام الدليل على اعتباره كما هو ظاهر بأدنى تدبّر في العرف وطريقة العبيد في امتثالهم لأوامر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أنّ العامل بالظنّ المطلق ليس له نفي الاحتياط في مقام انحصار طريق العمل في الاجتهاد والتقليد والحكم ببطلان عبادة الجاهل المطابقة للواقع بواسطة الاحتياط ، فإنّ دليل الانسداد لا ينهض بتعيين </w:t>
      </w:r>
      <w:r>
        <w:rPr>
          <w:rStyle w:val="FootnoteAnchor"/>
          <w:rtl w:val="true"/>
        </w:rPr>
        <w:footnoteReference w:id="735"/>
      </w:r>
      <w:r>
        <w:rPr>
          <w:rFonts w:ascii="Amiri" w:hAnsi="Amiri" w:eastAsia="Amiri" w:cs="Amiri"/>
          <w:color w:val="111111"/>
          <w:sz w:val="28"/>
          <w:sz w:val="28"/>
          <w:szCs w:val="28"/>
          <w:rtl w:val="true"/>
          <w:lang w:bidi="ar-SA"/>
        </w:rPr>
        <w:t>العمل بالظنّ على وجه لو لم يعمل به ، بطل عمله بل غاية ما يستفاد منه عدم لزوم الاحتياط وهو لا ينافي الجواز كما قيل ، وليس بين المسلكين واسطة يسلكها السالك إلاّ الحائطة فتدبّر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ما سلّمنا أنّ الاحتياط يقضي بتعيين العمل ومعرفته ولو كانت معرفة ظنّية فلا نسلّم منافاة العمل بالاحتياط للعمل بالظنّ ؛ حيث إنّه بعد الاحتياط في هذه المرتبة والإتيان بالمظنون وتعيين العمل بالظنّ لا بدّ له من الإتيان </w:t>
      </w:r>
    </w:p>
    <w:p>
      <w:pPr>
        <w:pStyle w:val="BookText"/>
        <w:rPr/>
      </w:pPr>
      <w:r>
        <w:rPr>
          <w:rFonts w:ascii="Amiri" w:hAnsi="Amiri" w:eastAsia="Amiri" w:cs="Amiri"/>
          <w:color w:val="111111"/>
          <w:sz w:val="28"/>
          <w:sz w:val="28"/>
          <w:szCs w:val="28"/>
          <w:rtl w:val="true"/>
          <w:lang w:bidi="ar-SA"/>
        </w:rPr>
        <w:t xml:space="preserve">بسائر المحتملات تحصيلا للاحتياط في تلك المرتبة ، مثلا فيما لو دار الأمر </w:t>
      </w:r>
      <w:r>
        <w:rPr>
          <w:rStyle w:val="FootnoteAnchor"/>
          <w:rtl w:val="true"/>
        </w:rPr>
        <w:footnoteReference w:id="736"/>
      </w:r>
      <w:r>
        <w:rPr>
          <w:rFonts w:ascii="Amiri" w:hAnsi="Amiri" w:eastAsia="Amiri" w:cs="Amiri"/>
          <w:color w:val="111111"/>
          <w:sz w:val="28"/>
          <w:sz w:val="28"/>
          <w:szCs w:val="28"/>
          <w:rtl w:val="true"/>
          <w:lang w:bidi="ar-SA"/>
        </w:rPr>
        <w:t xml:space="preserve">بين وجوب صلاة الجمعة وصلاة الظهر ، فهناك احتياطان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الواجب منهما تعيينا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بغير المظنون بعد الإتيان به منهما ، ولا ينافي الاحتياط في الأوّل الاحتياط في الثاني حيث إنّ الظنّ بعد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جميع ذلك لكنّه في الاحتياط وجه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على ما تقتضيه قاعدة الشغل وهو كاف في المعرفة وقصد الوجه ، إذ لا دليل على أنّ وجه العمل في الواقع من حيث حكمه الواقعي المتعلّق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تعلّق العلم والجهل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بل ولا أظنّ أحدا يدّعيه أيضا ، فلو شكّ في وجوب شيء في حالة بعد العلم بوجوبه في حالة سابقة ، يحكم بوجوبه استصحابا ، ويأتي به واجبا مع أنّ وجوبه ظاهري ، فلا يتّجه الجواب المذكور في وجه كما لا يخفى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بقي في المقام شيء وبيانه يستدعي تمهيد مقدّمة وهي أنّه لو علمنا إجمالا بوجوب شيء ولم نعلمه بالخصوص ، فمقتضى القاعدة على ما قرّرنا في المقدّمة تحصيل الموافقة القطعية بالإتيان بجميع المحتملات حتّى يحصل العلم بالامتثال ، فإنّ الاشتغال اليقيني يقضي بالبراءة اليقينية ، فإن منع من تحصيل الامتثال اليقيني مانع عقلي أو شرعي ، فإن كان يمنع من احتمال معلوم معيّن ، فلا بدّ من الامتثال فيما عداه جزما ، وإلاّ فإن كان في المقام ما يرجّح أحد الاحتمالات ، فلا مناص من الترجيح ، وإلاّ فالتخيير في الاحتمالات ، مثلا لو اشتبهت جهة القبلة بجهات قضية الشغل أوّلا </w:t>
      </w:r>
      <w:r>
        <w:rPr>
          <w:rStyle w:val="FootnoteAnchor"/>
          <w:rtl w:val="true"/>
        </w:rPr>
        <w:footnoteReference w:id="737"/>
      </w:r>
      <w:r>
        <w:rPr>
          <w:rFonts w:ascii="Amiri" w:hAnsi="Amiri" w:eastAsia="Amiri" w:cs="Amiri"/>
          <w:color w:val="111111"/>
          <w:sz w:val="28"/>
          <w:sz w:val="28"/>
          <w:szCs w:val="28"/>
          <w:rtl w:val="true"/>
          <w:lang w:bidi="ar-SA"/>
        </w:rPr>
        <w:t xml:space="preserve">الصلاة على الجهات المشتبهة جميعا ما لم يمنع مانع ، وعلى تقديره فإن منع من جهة خاصّة ، فلا بدّ من تركها إلى غيرها من سائر الجهات ، وإلاّ فلا بدّ من الترجيح بين الجهات ، وإلاّ </w:t>
      </w:r>
    </w:p>
    <w:p>
      <w:pPr>
        <w:pStyle w:val="BookText"/>
        <w:rPr/>
      </w:pPr>
      <w:r>
        <w:rPr>
          <w:rFonts w:ascii="Amiri" w:hAnsi="Amiri" w:eastAsia="Amiri" w:cs="Amiri"/>
          <w:color w:val="111111"/>
          <w:sz w:val="28"/>
          <w:sz w:val="28"/>
          <w:szCs w:val="28"/>
          <w:rtl w:val="true"/>
          <w:lang w:bidi="ar-SA"/>
        </w:rPr>
        <w:t xml:space="preserve">فالتخيير فيها لرفع المانع ، فالمانع إنّما يؤثّر فيما يمنعه ، ولا يقضي باختلاف الموضوع وتبديله ، فتغيّر الحكم ، فالاشتغال </w:t>
      </w:r>
      <w:r>
        <w:rPr>
          <w:rStyle w:val="FootnoteAnchor"/>
          <w:rtl w:val="true"/>
        </w:rPr>
        <w:footnoteReference w:id="738"/>
      </w:r>
      <w:r>
        <w:rPr>
          <w:rFonts w:ascii="Amiri" w:hAnsi="Amiri" w:eastAsia="Amiri" w:cs="Amiri"/>
          <w:color w:val="111111"/>
          <w:sz w:val="28"/>
          <w:sz w:val="28"/>
          <w:szCs w:val="28"/>
          <w:rtl w:val="true"/>
          <w:lang w:bidi="ar-SA"/>
        </w:rPr>
        <w:t>فيما لا مانع بعد العلم الإجمالي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تقرّر هذا فاعلم أنّه قد سبق في بعض الوجوه العقلية التي أقاموها على اعتبار مطلق المظنّة من أنّ مقتضى الاشتغال العمل بكلّ ما يحتمل الوجوب وترك كلّ ما يحتمل الحرمة إلاّ أنّ العسر يمنع من ذلك ، فالجمع بين القاعدتين يقتضي ترك الموهومات والمشكوكات نظرا إلى العسر ، والعمل بالمظنونات نظرا إلى الاحتياط ، وقد سبق أيضا ما فيه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ويزيدك توضيحا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العسر لا يقضي بتعيين </w:t>
      </w:r>
      <w:r>
        <w:rPr>
          <w:rStyle w:val="FootnoteAnchor"/>
          <w:rtl w:val="true"/>
        </w:rPr>
        <w:footnoteReference w:id="739"/>
      </w:r>
      <w:r>
        <w:rPr>
          <w:rFonts w:ascii="Amiri" w:hAnsi="Amiri" w:eastAsia="Amiri" w:cs="Amiri"/>
          <w:color w:val="111111"/>
          <w:sz w:val="28"/>
          <w:sz w:val="28"/>
          <w:szCs w:val="28"/>
          <w:rtl w:val="true"/>
          <w:lang w:bidi="ar-SA"/>
        </w:rPr>
        <w:t xml:space="preserve">العمل بالظنّ بل الضرورة إنّما تتقدّر بقدرها على ما عرفت في المقدّمة ، فإنّ التكليف بالاحتياط ثابت ، والعسر مانع ، وحيث إنّ العسر لا يمنع من الاحتياط </w:t>
      </w:r>
      <w:r>
        <w:rPr>
          <w:rStyle w:val="FootnoteAnchor"/>
          <w:rtl w:val="true"/>
        </w:rPr>
        <w:footnoteReference w:id="740"/>
      </w:r>
      <w:r>
        <w:rPr>
          <w:rFonts w:ascii="Amiri" w:hAnsi="Amiri" w:eastAsia="Amiri" w:cs="Amiri"/>
          <w:color w:val="111111"/>
          <w:sz w:val="28"/>
          <w:sz w:val="28"/>
          <w:szCs w:val="28"/>
          <w:rtl w:val="true"/>
          <w:lang w:bidi="ar-SA"/>
        </w:rPr>
        <w:t>في سلسلة خاصّة من المظنونات والمشكوكات والموهومات ، فلا بدّ من الترجيح ؛ لأنّ الحكم بالاحتياط إنّما هو في جهة إدراك الواقع ، وظاهر أنّ ترك الموهوم أولى من ترك المظنون والمشكوك حينئذ ؛ لاستقلال العقل بذلك ، وأمّا المشكوك ، فلا بدّ من العمل به أيضا حيث إنّ المانع من الاحتياط قد ارتفع في ترك الموهوم ، فالاحتياط فيما لا مانع منه محكّم ، فالدليل لا ينتج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العمل بالمشكوك على أن نفعل كلّ ما نشكّ في وجوبه ونترك كلّ ما نشكّ في حرمته ، يلزم المحذور أيضا ، فدفعا للعسر لا بدّ من ترك المشكوك والأخذ بالمظنون فقط وهي النتيجة المطلوبة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لمن له أدنى خبرة في الفقه قلّة المشكوكات جدّا ، فإنّ </w:t>
      </w:r>
    </w:p>
    <w:p>
      <w:pPr>
        <w:pStyle w:val="BookText"/>
        <w:rPr/>
      </w:pPr>
      <w:r>
        <w:rPr>
          <w:rFonts w:ascii="IRNazanin" w:hAnsi="IRNazanin" w:eastAsia="IRNazanin"/>
          <w:color w:val="111111"/>
          <w:sz w:val="28"/>
          <w:sz w:val="28"/>
          <w:szCs w:val="28"/>
          <w:rtl w:val="true"/>
          <w:lang w:bidi="fa-IR"/>
        </w:rPr>
        <w:t xml:space="preserve">المجتهد دائما إمّا </w:t>
      </w:r>
      <w:r>
        <w:rPr>
          <w:rStyle w:val="FootnoteAnchor"/>
          <w:rtl w:val="true"/>
        </w:rPr>
        <w:footnoteReference w:id="741"/>
      </w:r>
      <w:r>
        <w:rPr>
          <w:rFonts w:ascii="Amiri" w:hAnsi="Amiri" w:eastAsia="Amiri" w:cs="Amiri"/>
          <w:color w:val="111111"/>
          <w:sz w:val="28"/>
          <w:sz w:val="28"/>
          <w:szCs w:val="28"/>
          <w:rtl w:val="true"/>
          <w:lang w:bidi="ar-SA"/>
        </w:rPr>
        <w:t xml:space="preserve">يظنّ بوجوب شيء ، أو حرمته ، أو بعدمهما ، وأمّا </w:t>
      </w:r>
      <w:r>
        <w:rPr>
          <w:rStyle w:val="FootnoteAnchor"/>
          <w:rtl w:val="true"/>
        </w:rPr>
        <w:footnoteReference w:id="742"/>
      </w:r>
      <w:r>
        <w:rPr>
          <w:rFonts w:ascii="Amiri" w:hAnsi="Amiri" w:eastAsia="Amiri" w:cs="Amiri"/>
          <w:color w:val="111111"/>
          <w:sz w:val="28"/>
          <w:sz w:val="28"/>
          <w:szCs w:val="28"/>
          <w:rtl w:val="true"/>
          <w:lang w:bidi="ar-SA"/>
        </w:rPr>
        <w:t xml:space="preserve">تساوي طرفي إدراكه في حكم وعدم ترجيح أحد طرفيه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يخرج من الشكّ ، فإن كان ، فهو أقلّ قليل لا يلزم من العمل بها وانضمامها إلى المظنونات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إلحاق المشكوكات بالموهومات ممّا لا يكاد يتمّ ؛ لأنّ العامل بالظنّ المطلق إنّما يعمل بالأصول الخاصّة في الموارد المخصوصة في المشكوكات ، مثلا فيما لو شكّ في حرمة العصير العنبي بعد الغليان بعد العلم بعدمها قبلها ، يحكم بعدمها استصحابا للحالة السابقة ، وفيما لو شكّ في وجوب السورة يستند إلى قاعدة الشغل مثلا ، وليس كذلك في الموهومات ، فإنّ الأصول الجزئية نطرحها في مقابل الظنون المطلقة مع أنّ إلحاق المشكوك بالموهوم يقضي بخلافه ، فإنّ اعتبار الظنون المطلقة لم يثبت بعد ، ولا ينافي ذلك لزوم العسر في العمل بالموهومات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العسر قد ارتفع به العلم الإجمالي الحاصل بين الموهومات ، فلا وجه للعمل بمقتضى الأصول فيها ؛ لأنّ العسر إنّما ارتفع به العلم الإجمالي الموجود بين جميع سلاسل التكاليف مظنونها وموهومها ومشكوكها ، وأمّا الأصول ، فلا دلالة في العسر على ارتفاعها كما أنّ العسر لا يقتضي طرح الأصول في المشكوكات ، فكذا في الموهومات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العامل بالظنون المطلقة يجعلها بمنزلة العلم في مقابل الأصول في الموهومات الخاصّة كما أنّ العامل بالظنون الخاصّة يجعلها كذلك ، وذلك منهم لا يلائم إلحاق المشكوك بالموهوم ؛ إذ على تقديره ، فلا بدّ لهم إمّا من طرح الأصول في المشكوكات وعدم العمل بها فيها كما في الموهومات أو العمل بها في الموهومات أيضا ، فإنّ العسر كما ألغى العلم الإجمالي في الموهومات رأسا ولو في الموارد الخاصّة ، بحسب الأصول الخاصّة فكذلك في المشكوكات على تقدير إلحاقها بالموهومات ، فلا وجه </w:t>
      </w:r>
    </w:p>
    <w:p>
      <w:pPr>
        <w:pStyle w:val="BookText"/>
        <w:rPr/>
      </w:pPr>
      <w:r>
        <w:rPr>
          <w:rFonts w:ascii="Amiri" w:hAnsi="Amiri" w:eastAsia="Amiri" w:cs="Amiri"/>
          <w:color w:val="111111"/>
          <w:sz w:val="28"/>
          <w:sz w:val="28"/>
          <w:szCs w:val="28"/>
          <w:rtl w:val="true"/>
          <w:lang w:bidi="ar-SA"/>
        </w:rPr>
        <w:t>للعمل بالأصول فيها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أوضح أنّه لا شكّ أنّ العامل بالظنّ قد يعتمد على بعض الأصول في الموارد الجزئية كما في المثالين المذكورين في سلسلة المشكوكات ، ولا يعتمد عليها في الموهومات نظرا منه إلى أنّ الظنّ القائم بخلاف الأصل دليل علميّ به ينقطع الأصل ، ويرتفع به موضوعه المعلّق على عدم العلم ، وسرّه </w:t>
      </w:r>
      <w:r>
        <w:rPr>
          <w:rStyle w:val="FootnoteAnchor"/>
          <w:rtl w:val="true"/>
        </w:rPr>
        <w:footnoteReference w:id="743"/>
      </w:r>
      <w:r>
        <w:rPr>
          <w:rFonts w:ascii="Amiri" w:hAnsi="Amiri" w:eastAsia="Amiri" w:cs="Amiri"/>
          <w:color w:val="111111"/>
          <w:sz w:val="28"/>
          <w:sz w:val="28"/>
          <w:szCs w:val="28"/>
          <w:rtl w:val="true"/>
          <w:lang w:bidi="ar-SA"/>
        </w:rPr>
        <w:t xml:space="preserve">على هذا التقدير الوارد على قاعدة الاحتياط محكّمة </w:t>
      </w:r>
      <w:r>
        <w:rPr>
          <w:rStyle w:val="FootnoteAnchor"/>
          <w:rtl w:val="true"/>
        </w:rPr>
        <w:footnoteReference w:id="744"/>
      </w:r>
      <w:r>
        <w:rPr>
          <w:rFonts w:ascii="Amiri" w:hAnsi="Amiri" w:eastAsia="Amiri" w:cs="Amiri"/>
          <w:color w:val="111111"/>
          <w:sz w:val="28"/>
          <w:sz w:val="28"/>
          <w:szCs w:val="28"/>
          <w:rtl w:val="true"/>
          <w:lang w:bidi="ar-SA"/>
        </w:rPr>
        <w:t xml:space="preserve">في الموهومات ، فكأنّه لم يكن من أطراف العلم الإجمالي ، فلا عبرة بها من جهة أنّها موهومات ، ولا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rtl w:val="true"/>
          <w:lang w:bidi="fa-IR"/>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إليه </w:t>
      </w:r>
      <w:r>
        <w:rPr>
          <w:rStyle w:val="FootnoteAnchor"/>
          <w:rtl w:val="true"/>
        </w:rPr>
        <w:footnoteReference w:id="747"/>
      </w:r>
      <w:r>
        <w:rPr>
          <w:rFonts w:ascii="Amiri" w:hAnsi="Amiri" w:eastAsia="Amiri" w:cs="Amiri"/>
          <w:color w:val="111111"/>
          <w:sz w:val="28"/>
          <w:sz w:val="28"/>
          <w:szCs w:val="28"/>
          <w:rtl w:val="true"/>
          <w:lang w:bidi="ar-SA"/>
        </w:rPr>
        <w:t xml:space="preserve">في مواردها ، وحينئذ فلو كان قاعدة العسر محكّمة في المشكوكات أيضا ، فلا بدّ فيها من أن يعامل معاملة الموهومات حيث </w:t>
      </w:r>
      <w:r>
        <w:rPr>
          <w:rStyle w:val="FootnoteAnchor"/>
          <w:rtl w:val="true"/>
        </w:rPr>
        <w:footnoteReference w:id="748"/>
      </w:r>
      <w:r>
        <w:rPr>
          <w:rFonts w:ascii="Amiri" w:hAnsi="Amiri" w:eastAsia="Amiri" w:cs="Amiri"/>
          <w:color w:val="111111"/>
          <w:sz w:val="28"/>
          <w:sz w:val="28"/>
          <w:szCs w:val="28"/>
          <w:rtl w:val="true"/>
          <w:lang w:bidi="ar-SA"/>
        </w:rPr>
        <w:t xml:space="preserve">إنّه يطرح الأصول في مقابلة الظنّ ، فلا بدّ من طرحها في مقابلة الشكّ نظرا إلى اتّحاد المناط فيهما ، والعامل بالظنّ المطلق لا يلتزم </w:t>
      </w:r>
      <w:r>
        <w:rPr>
          <w:rStyle w:val="FootnoteAnchor"/>
          <w:rtl w:val="true"/>
        </w:rPr>
        <w:footnoteReference w:id="749"/>
      </w:r>
      <w:r>
        <w:rPr>
          <w:rFonts w:ascii="Amiri" w:hAnsi="Amiri" w:eastAsia="Amiri" w:cs="Amiri"/>
          <w:color w:val="111111"/>
          <w:sz w:val="28"/>
          <w:sz w:val="28"/>
          <w:szCs w:val="28"/>
          <w:rtl w:val="true"/>
          <w:lang w:bidi="ar-SA"/>
        </w:rPr>
        <w:t>بذلك ، اللّهمّ إلاّ أن يوجّه بما ستعرفه في إبطال المقدّمة الخامسة من أنّه لا يمكن أن يعامل المشكوك معاملة الموهوم نظرا إلى لزوم العسر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المقدّمة الخامسة القائلة بأنّ المرجع بعد انسداد باب العلم وبقاء التكليف في الجملة ليس إلى الأصول الجزئية في الموارد الجزئية على حسب اختلاف المقامات وهي العمدة ، فإنّ الرجوع إليها بعد انسداد باب العلم والظنّ الخاصّ هو الذي تقتضيه القواعد المعمولة عندنا في أمثال المسائل ، فإنّها في محالّ جريانها علوم شرعية تفصيلية لا مناص من الاستناد إليها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انجرّ الكلام إلى ذلك ، فلا بأس بتجديد المقال ، لتوضيح الحال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الموفّق والمعين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انسدّ لنا باب العلم ولو بالمعنى الأعمّ ، وعلمنا بقاء التكليف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إجمالا ، وقلنا بأنّه لا يعقل الاستناد إلى طرق احتمالية كالقرعة والرمل والاستخارة لكونها شكّية مفادا واعتبارا ، فتلك في عرض الوقائع المشكوكة ، والاستناد إليها لا يزيد المستند إلاّ شكّا ، فلا بدّ لنا من الرجوع إلى الأصول العملية الدائرة بين الاستصحاب والبراءة والاشتغال والتخيير بالحصر العقلي ؛ لأنّ المكلّف تارة يعلم بالحالة السابقة ، وأخرى لا يعلم ، والأوّل مجرى الاستصحاب على القول به ، وعلى الثاني فتارة يعلم بالتكليف ولو إجمالا ، وأخرى لا يعلم ، والأخير مجرى البراءة عند القائل بها ، وعلى الثاني فتارة يمكن الاحتياط ، وأخرى لا يمكن ، والأوّل مورد الاشتغال على القول به ، والثاني محلّ التخيير عند من يراه ، وحينئذ فالمستدلّ بدليل الانسداد إن كان ممّن لا يرى حجّية تلك الأصول حيث إنّه يعتمد على الأوّلين من باب الظنّ والوصف أو السببية المقيّدة بعدم قيام الظنّ على خلاف الاستصحاب والبراءة ، ولا يقول بوجوب الإتيان بجميع المقدّمات العلمية والاحتياط بل يكفي بعدم لزوم المخالفة القطعية كما رآه الفاضل القمّي </w:t>
      </w:r>
      <w:r>
        <w:rPr>
          <w:rStyle w:val="FootnoteAnchor"/>
          <w:rtl w:val="true"/>
        </w:rPr>
        <w:footnoteReference w:id="750"/>
      </w:r>
      <w:r>
        <w:rPr>
          <w:rFonts w:ascii="Amiri" w:hAnsi="Amiri" w:eastAsia="Amiri" w:cs="Amiri"/>
          <w:color w:val="111111"/>
          <w:sz w:val="28"/>
          <w:sz w:val="28"/>
          <w:szCs w:val="28"/>
          <w:rtl w:val="true"/>
          <w:lang w:bidi="ar-SA"/>
        </w:rPr>
        <w:t xml:space="preserve">في بعض وجوه المسألة ، ولا يلتزم بالتخيير ؛ لاختصاص مورده بتساوي الطرفين ، ومفروضه رجحان طرف الظنّ ، فإثبات حجّية الظنّ عند ذلك القائل في غاية السهولة كما لا يخفى ، وإنّما الشأن إثبات حجّية الظنّ لمن يقول باعتبار الأوّلين تعبّدا شرعيّا ، ويحكم بوجوب تحصيل الموافقة القطعية ، وعلى تقديره قلنا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ليس إلى أصالة البراءة ؛ لاستلزامه الخروج من الدين ، ولا الاحتياط ؛ لاستلزامه العسر والحرج إلاّ أنّه قلنا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العسر والحرج لا يعيّن العمل بالظنّ فقط ، وقلنا بأنّ العامل بالظنون المطلقة ليس له إلحاق المشكوك بالموهوم كما تقدّم آنفا إلاّ أن يتمسّك أيضا بلزوم العسر كما يظهر من المقام ، فللمعترض أن يستند إلى التبعيض في الأصول السابقة حذرا من المحاذير اللازمة على تقديرها ، ففي كلّ مسألة جزئية لا بدّ من الاعتماد على أصل خاصّ </w:t>
      </w:r>
    </w:p>
    <w:p>
      <w:pPr>
        <w:pStyle w:val="BookText"/>
        <w:rPr/>
      </w:pPr>
      <w:r>
        <w:rPr>
          <w:rFonts w:ascii="Amiri" w:hAnsi="Amiri" w:eastAsia="Amiri" w:cs="Amiri"/>
          <w:color w:val="111111"/>
          <w:sz w:val="28"/>
          <w:sz w:val="28"/>
          <w:szCs w:val="28"/>
          <w:rtl w:val="true"/>
          <w:lang w:bidi="ar-SA"/>
        </w:rPr>
        <w:t xml:space="preserve">موجود في تلك المسألة من الأصول السابقة ، فإنّها في مفروض المسألة علوم تفصيلية كما مرّ من اعتبارها تعبّدا في البعض ، وعقلا في آخر ، فعلى المستدلّ إبطال هذا الاحتمال أيضا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الاستصحاب منها في مواردها ، فتارة يرجع إلى إثبات التكليف فيما إذا كانت الحالة السابقة كذلك ، وأخرى إلى نفي التكليف فيما كانت الحالة السابقة كذلك ، وعلى التقديرين لا مجرى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 فلأنّ العلم الإجمالي لنا حاصل في جميع مواردها نفيا وإثباتا بل وفي كلّ منهما بالخصوص بانتقاض جملة كثيرة من مواردها ،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فلأنّه على الأوّل يوافق مفاد الاحتياط ، وعلى الثاني يطابق مضمون البراءة ، وما يدلّ على بطلان الوجهين يدلّ على بطلانه في الوجهين 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البراءة منها فمرجعها إلى نفي التكليف في محلّ جريانها ، وما نحن فيه ليس محلّها للعلم الإجمالي بوجود واجبات كثيرة ومحرّمات عديدة في تلك الموارد ، فلا تجري البراءة ، وحينئذ فلا بدّ من الإتيان بما نقطع معه سقوط التكليف بالنسبة إلى تلك الواجبات المردّدة ، والترك لما يحتمل الحرمة امتثالا لتلك النواهي الدالّة على حرمة تلك المحرّمات المردّدة ، فيرجع إلى الاحتياط في جميع الموارد ، وقد عرفت ما فيه من انعقاد الإجماع على عدم وجوبه ، ولزوم العسر والحرج على تقديره ، وأمّا إبطال سائر المحتملات في المقام من القرعة والاستخارة وغير ذلك ، فيكفي الشكّ في اعتبارها في عدم اعتبارها حيث إنّه على تقديره لا يوجب إلاّ الشكّ ، ولا يعقل الاستناد إلى الشكّ مع وجود الظنّ فيما نعلم </w:t>
      </w:r>
      <w:r>
        <w:rPr>
          <w:rStyle w:val="FootnoteAnchor"/>
          <w:rtl w:val="true"/>
        </w:rPr>
        <w:footnoteReference w:id="751"/>
      </w:r>
      <w:r>
        <w:rPr>
          <w:rFonts w:ascii="Amiri" w:hAnsi="Amiri" w:eastAsia="Amiri" w:cs="Amiri"/>
          <w:color w:val="111111"/>
          <w:sz w:val="28"/>
          <w:sz w:val="28"/>
          <w:szCs w:val="28"/>
          <w:rtl w:val="true"/>
          <w:lang w:bidi="ar-SA"/>
        </w:rPr>
        <w:t xml:space="preserve">أنّ المطلوب هو الوصول إلى الواقع ، وكان منشأ التوهّم في هذه هو أنّ الدليل هذا لمّا كان عقليا ، فيظنّ بعضهم أنّ إتمامه يتوقّف على إبطال جميع ما يحتمل كونه طريقا ، ولذلك أورد أنّ بعد تسليم المقدّمات المذكورة ، </w:t>
      </w:r>
    </w:p>
    <w:p>
      <w:pPr>
        <w:pStyle w:val="BookText"/>
        <w:rPr/>
      </w:pPr>
      <w:r>
        <w:rPr>
          <w:rFonts w:ascii="Amiri" w:hAnsi="Amiri" w:eastAsia="Amiri" w:cs="Amiri"/>
          <w:color w:val="111111"/>
          <w:sz w:val="28"/>
          <w:sz w:val="28"/>
          <w:szCs w:val="28"/>
          <w:rtl w:val="true"/>
          <w:lang w:bidi="ar-SA"/>
        </w:rPr>
        <w:t xml:space="preserve">فالدليل لا ينتج النتيجة المطلوبة ، لجواز أن يكون هناك طريق لا نعلمه ، وكأن غفل عن أنّ إبطال الاحتمال إنّما يحتاج إليه فيما لم يكن نفيه كافيا في بطلانه </w:t>
      </w:r>
      <w:r>
        <w:rPr>
          <w:rStyle w:val="FootnoteAnchor"/>
          <w:rtl w:val="true"/>
        </w:rPr>
        <w:footnoteReference w:id="752"/>
      </w:r>
      <w:r>
        <w:rPr>
          <w:rFonts w:ascii="Amiri" w:hAnsi="Amiri" w:eastAsia="Amiri" w:cs="Amiri"/>
          <w:color w:val="111111"/>
          <w:sz w:val="28"/>
          <w:sz w:val="28"/>
          <w:szCs w:val="28"/>
          <w:rtl w:val="true"/>
          <w:lang w:bidi="ar-SA"/>
        </w:rPr>
        <w:t>، وفي المقام يكفي في بطلان الطرق المحتملة المشكوكة كونها مشكوكة مع وجود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أنّ مجرّد وجود الطريق في الواقع احتمالا بل وظنّا بل وعلما أيضا ممّا لا يجدي بعد انسداد الطريق في وصوله إلينا ، مثلا لو فرضنا أنّ هناك طريقا علميا </w:t>
      </w:r>
      <w:r>
        <w:rPr>
          <w:rStyle w:val="FootnoteAnchor"/>
          <w:rtl w:val="true"/>
        </w:rPr>
        <w:footnoteReference w:id="753"/>
      </w:r>
      <w:r>
        <w:rPr>
          <w:rFonts w:ascii="Amiri" w:hAnsi="Amiri" w:eastAsia="Amiri" w:cs="Amiri"/>
          <w:color w:val="111111"/>
          <w:sz w:val="28"/>
          <w:sz w:val="28"/>
          <w:szCs w:val="28"/>
          <w:rtl w:val="true"/>
          <w:lang w:bidi="ar-SA"/>
        </w:rPr>
        <w:t xml:space="preserve">كما هو كذلك في الواقع ، ولا يمكننا الوصول إليه ، فلا شكّ أنّ ذلك لا يفيدنا شيئا ؛ فإنّ العمل في مرحلة الظاهر لا بدّ وأن يستند إلى دليل وطريق علمي ، أو ما يقوم مقامه ، والاستناد إلى الطرق المشكوكة لا يفيدنا شيئا ؛ حيث إنّه يعارض احتمال الوجود فيها باحتمال العدم ، فكأنّه لم يستند إليها ؛ لعدم تفاوت الحال في الحكم قبل الاستناد وبعده ، فالشكّ في حجّية هذه يكفي في عدم حجّيتها كما أنّ استقلال العقل في جعل الظنّ طريقا يكفي في حجّيته بعد وضوح أنّ المراد هو الوصول إلى الواقع بل هو حينئذ طريق منجعل بذاته لا يحتاج إلى جعل </w:t>
      </w:r>
      <w:r>
        <w:rPr>
          <w:rStyle w:val="FootnoteAnchor"/>
          <w:rtl w:val="true"/>
        </w:rPr>
        <w:footnoteReference w:id="754"/>
      </w:r>
      <w:r>
        <w:rPr>
          <w:rFonts w:ascii="Amiri" w:hAnsi="Amiri" w:eastAsia="Amiri" w:cs="Amiri"/>
          <w:color w:val="111111"/>
          <w:sz w:val="28"/>
          <w:sz w:val="28"/>
          <w:szCs w:val="28"/>
          <w:rtl w:val="true"/>
          <w:lang w:bidi="ar-SA"/>
        </w:rPr>
        <w:t>كالعلم عند انفتاح بابه ، فظهر بما ذكرنا أنّ الاحتمالات المتصوّرة في المقام كلّها وجوه باطلة يكفي في بطلانها قيام الإجماع عليه ، ولذلك لم يحتمله أحد من الأعلام ، ولا اعترض بها على المقام إلاّ أنّ هنا احتمالا قد يتوهّم كونه طريقا بعد الانسداد ؛ لكونه من الطرق التي دلّ عليها العقل والنقل وإن كان لا يخفى بطلانه أيضا على من له خبر بالفنّ ، ومع هذا لا بأس بالتنبيه عليه وهو أنّ المجتهد بعد انسداد باب العلم له لا مناص من تقليده غيره ممّن يرى انفتاح باب العلم كما أنّه يجب عليه التقليد إذا لم يتمكّن من الاجتهاد كأن كان محبوسا ، أو نحو ذلك نظرا إلى إطلاق أدلّة التقليد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على من له مسكة فساد هذا الاحتمال وبطلانه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أوّلا ، فلانعقاد 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ثانيا ، فلأنّ التقليد إنّما هو مشروع لمن لم يتمكّن من الفحص في الحكم الشرعي ؛ لاختصاص أدلّته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 ،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الآيات ، فظاهرها كالأخبار فيمن لا يعلم الحكم من جهة عدم تمكّنه من الفحص والمفروض أنّه تمكّن من الفحص وبذل الجهد ، فعلم </w:t>
      </w:r>
      <w:r>
        <w:rPr>
          <w:rStyle w:val="FootnoteAnchor"/>
          <w:rtl w:val="true"/>
        </w:rPr>
        <w:footnoteReference w:id="755"/>
      </w:r>
      <w:r>
        <w:rPr>
          <w:rFonts w:ascii="Amiri" w:hAnsi="Amiri" w:eastAsia="Amiri" w:cs="Amiri"/>
          <w:color w:val="111111"/>
          <w:sz w:val="28"/>
          <w:sz w:val="28"/>
          <w:szCs w:val="28"/>
          <w:rtl w:val="true"/>
          <w:lang w:bidi="ar-SA"/>
        </w:rPr>
        <w:t xml:space="preserve">بانسداد طريق العلم في الأحكام الشرعية ، فهو يعتقد بطلان ما يراه القائل بانفتاح باب العلم ، أو الظنون الخاصّة ، وقياسه على المحبوس مع الفارق لما عرفت من أنّ المحبوس فيما يرجع إلى المجتهد غير عالم ، فيشمله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بخلاف ذلك ؛ فإنّه عالم بالانسداد ، وذلك مثل ما لم يعلم المجتهد حكم مسألة جزئية بعد الفحص بواسطة إعواز النصّ عنده ولو كان من العاملين بالظنون الخاصّة ، فكما أنّه لا يتوهّم جواز تقليده لمن يعتقد وجود نصّ منها ،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هناك مجتهد يعلم بانفتاح باب العلم في الواقع له لتمكّنه من الوصول إلى معادن الوحي أو لوجود الأصول المدوّنة في زمنهم عنده بحيث يصير جلّ الأخبار المودعة في الكتب الأربعة وغيرها قطعية إمّا صدورا ، وإمّا </w:t>
      </w:r>
      <w:r>
        <w:rPr>
          <w:rStyle w:val="FootnoteAnchor"/>
          <w:rtl w:val="true"/>
        </w:rPr>
        <w:footnoteReference w:id="757"/>
      </w:r>
      <w:r>
        <w:rPr>
          <w:rFonts w:ascii="Amiri" w:hAnsi="Amiri" w:eastAsia="Amiri" w:cs="Amiri"/>
          <w:color w:val="111111"/>
          <w:sz w:val="28"/>
          <w:sz w:val="28"/>
          <w:szCs w:val="28"/>
          <w:rtl w:val="true"/>
          <w:lang w:bidi="ar-SA"/>
        </w:rPr>
        <w:t>مضمونا ، فلا محيص عن التقليد كما أنّهم يعملون بفتاوى عليّ ابن بابويه القمّي عند إعواز النصوص ؛ لتنزيلهم فتاويه منزلة النصوص وهو نوع من الاجتهاد بل وأعلى مرتبة منه على بعض الوجوه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الاحتمالات الأخر من العمل بالموهوم والتبعيض في الموارد والتخيير والتوقّف ، فمع أنّها مخالفة للإجماع ، فقد يردّه بعض ما أسلفنا لك في إبطال الوجوه </w:t>
      </w:r>
      <w:bookmarkStart w:id="84" w:name="pg16273_211577"/>
    </w:p>
    <w:p>
      <w:pPr>
        <w:pStyle w:val="BookText"/>
        <w:rPr/>
      </w:pPr>
      <w:bookmarkEnd w:id="84"/>
      <w:r>
        <w:rPr>
          <w:rFonts w:ascii="Amiri" w:hAnsi="Amiri" w:eastAsia="Amiri" w:cs="Amiri"/>
          <w:color w:val="111111"/>
          <w:sz w:val="28"/>
          <w:sz w:val="28"/>
          <w:szCs w:val="28"/>
          <w:rtl w:val="true"/>
          <w:lang w:bidi="ar-SA"/>
        </w:rPr>
        <w:t>المتقدّمة ، فلا نطيل الكلام بذكرها ، وأنت بعد ما أحطت خبرا بما تقدّم تقدر على دفعها تفصيلا بل قد يقال إنّها كلام خارج عن قانون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الاحتمالات الظنّية والشكّية والوهمية ، أو في مراتب كلّ واحد منها من العمل بأقوى الظنون وترك ما سواه نظرا إلى العسر ، أو العمل بجميعها عدى الموهومات الضعيفة التي كادت أن يكون مقابلها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يوافق قواعد المجادلة في إثبات المطالب إلاّ أنّه باطل أيضا إجماعا كما عرفت في إبطال التبعيض بين الأصول والأخذ في كلّ مورد بأصل موجود فيه ، فظهر من جميع ما تلوناه عليك أنّ بعد الانسداد وبقاء التكليف في الجملة وعدم جواز الرجوع إلى الأصول بعضا أو </w:t>
      </w:r>
      <w:r>
        <w:rPr>
          <w:rStyle w:val="FootnoteAnchor"/>
          <w:rtl w:val="true"/>
        </w:rPr>
        <w:footnoteReference w:id="758"/>
      </w:r>
      <w:r>
        <w:rPr>
          <w:rFonts w:ascii="Amiri" w:hAnsi="Amiri" w:eastAsia="Amiri" w:cs="Amiri"/>
          <w:color w:val="111111"/>
          <w:sz w:val="28"/>
          <w:sz w:val="28"/>
          <w:szCs w:val="28"/>
          <w:rtl w:val="true"/>
          <w:lang w:bidi="ar-SA"/>
        </w:rPr>
        <w:t>كلاّ المرجع بحكم العقل القاطع هو الظنّ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يتوهّم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حرمة العمل بما وراء العلم ينفي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الوهن ، معلوم السقوط بعد ما عرفت مرارا من أنّ مرجعها إلى نفي التشريع ، أو طرح الأصول المعلومة ، المعلّق على العلم ارتفاعها ، فإنّ بعد استقلال العقل بطريقيتها واعتبارها لا مجال لكلّ واحد منهما ، فإنّ العامل به يجعله بمنزلة العلم ، فلا يلزم تشريع ولا غيره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803516_1280447820"/>
      <w:bookmarkStart w:id="86" w:name="_Toc30"/>
      <w:bookmarkEnd w:id="85"/>
      <w:r>
        <w:rPr>
          <w:rtl w:val="true"/>
        </w:rPr>
        <w:t xml:space="preserve">ثمّ إنّه ينبغي التنبيه على أمور </w:t>
      </w:r>
      <w:r>
        <w:rPr>
          <w:rtl w:val="true"/>
        </w:rPr>
        <w:t>:</w:t>
      </w:r>
      <w:bookmarkEnd w:id="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ما عرفت من انسداد باب العلم وبقاء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الرجوع إلى الأصول كلاّ أو بعضا على ما عرفت تفاصيله ، فهل النتيجة اعتبار الظنّ في نفس الأحكام الشرعية فقط ، أو في الطرق إليها كذلك ، أو فيهما معا؟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القائلين بالانسداد هو الأوّل ، وذهب بعض الأعاظم في تعليقاته على المعالم إلى الثاني ، وتبعه في ذلك بعض الأجلّة في فصوله </w:t>
      </w:r>
      <w:r>
        <w:rPr>
          <w:rStyle w:val="FootnoteAnchor"/>
          <w:rtl w:val="true"/>
        </w:rPr>
        <w:footnoteReference w:id="759"/>
      </w:r>
      <w:r>
        <w:rPr>
          <w:rFonts w:ascii="IRNazanin" w:hAnsi="IRNazanin" w:eastAsia="IRNazanin"/>
          <w:color w:val="111111"/>
          <w:sz w:val="28"/>
          <w:sz w:val="28"/>
          <w:szCs w:val="28"/>
          <w:rtl w:val="true"/>
          <w:lang w:bidi="fa-IR"/>
        </w:rPr>
        <w:t>والحقّ هو الثالث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ولنذكر أوّلا وجوه القولين لينقدح حقيقة الحال ، فيما هو التحقيق في المقال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بانحصار الاعتبار في الطريق تارة يدّعي بأنّ المقدّمات المذكورة تنتج حجّية الظنّ في الطريق من غير تغيير فيها ، وأخرى يقرّر دليل الانسداد بوجه آخر غير ما هو المعروف من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الفصول الغروية في تقرير الدليل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كما نقطع بأنّا مكلّفون في زماننا هذا تكليفا قطعيا </w:t>
      </w:r>
      <w:r>
        <w:rPr>
          <w:rStyle w:val="FootnoteAnchor"/>
          <w:rtl w:val="true"/>
        </w:rPr>
        <w:footnoteReference w:id="761"/>
      </w:r>
      <w:r>
        <w:rPr>
          <w:rFonts w:ascii="Amiri" w:hAnsi="Amiri" w:eastAsia="Amiri" w:cs="Amiri"/>
          <w:color w:val="111111"/>
          <w:sz w:val="28"/>
          <w:sz w:val="28"/>
          <w:szCs w:val="28"/>
          <w:rtl w:val="true"/>
          <w:lang w:bidi="ar-SA"/>
        </w:rPr>
        <w:t xml:space="preserve">بأحكام فرعية كثيرة لا سبيل لنا بحكم العيان ، وشهادة الوجدان ، إلى تحصيل كثير منها بالقطع ، ولا بطريق يقطع </w:t>
      </w:r>
      <w:r>
        <w:rPr>
          <w:rStyle w:val="FootnoteAnchor"/>
          <w:rtl w:val="true"/>
        </w:rPr>
        <w:footnoteReference w:id="762"/>
      </w:r>
      <w:r>
        <w:rPr>
          <w:rFonts w:ascii="Amiri" w:hAnsi="Amiri" w:eastAsia="Amiri" w:cs="Amiri"/>
          <w:color w:val="111111"/>
          <w:sz w:val="28"/>
          <w:sz w:val="28"/>
          <w:szCs w:val="28"/>
          <w:rtl w:val="true"/>
          <w:lang w:bidi="ar-SA"/>
        </w:rPr>
        <w:t xml:space="preserve">من السمع بحكم الشارع على قيامه ، أو قيام طريقه مقام القطع ولو عند تعذّره ، كذلك نقطع بأنّ الشارع قد جعل لنا إلى تلك الأحكام طرقا مخصوصة ، وكلّفنا تكليفا فعليا بالرجوع إليها في معرفتها ، ومرجع هذين القطعين عند التحقيق إلى أمر واحد وهو القطع بأنّا مكلّفون تكليفا فعليا بالعمل بمؤدّى طرق مخصوصة ، وحيث إنّه لا سبيل غالبا إلى تعيينها </w:t>
      </w:r>
      <w:r>
        <w:rPr>
          <w:rStyle w:val="FootnoteAnchor"/>
          <w:rtl w:val="true"/>
        </w:rPr>
        <w:footnoteReference w:id="763"/>
      </w:r>
      <w:r>
        <w:rPr>
          <w:rFonts w:ascii="Amiri" w:hAnsi="Amiri" w:eastAsia="Amiri" w:cs="Amiri"/>
          <w:color w:val="111111"/>
          <w:sz w:val="28"/>
          <w:sz w:val="28"/>
          <w:szCs w:val="28"/>
          <w:rtl w:val="true"/>
          <w:lang w:bidi="ar-SA"/>
        </w:rPr>
        <w:t xml:space="preserve">بالقطع ، ولا بطريق يقطع بالسمع </w:t>
      </w:r>
      <w:r>
        <w:rPr>
          <w:rStyle w:val="FootnoteAnchor"/>
          <w:rtl w:val="true"/>
        </w:rPr>
        <w:footnoteReference w:id="764"/>
      </w:r>
      <w:r>
        <w:rPr>
          <w:rFonts w:ascii="Amiri" w:hAnsi="Amiri" w:eastAsia="Amiri" w:cs="Amiri"/>
          <w:color w:val="111111"/>
          <w:sz w:val="28"/>
          <w:sz w:val="28"/>
          <w:szCs w:val="28"/>
          <w:rtl w:val="true"/>
          <w:lang w:bidi="ar-SA"/>
        </w:rPr>
        <w:t xml:space="preserve">بقيامه بالخصوص ، أو قيام طريقه ، كذلك مقام القطع ولو بعد تعذّره ، فلا ريب </w:t>
      </w:r>
      <w:r>
        <w:rPr>
          <w:rStyle w:val="FootnoteAnchor"/>
          <w:rtl w:val="true"/>
        </w:rPr>
        <w:footnoteReference w:id="765"/>
      </w:r>
      <w:r>
        <w:rPr>
          <w:rFonts w:ascii="Amiri" w:hAnsi="Amiri" w:eastAsia="Amiri" w:cs="Amiri"/>
          <w:color w:val="111111"/>
          <w:sz w:val="28"/>
          <w:sz w:val="28"/>
          <w:szCs w:val="28"/>
          <w:rtl w:val="true"/>
          <w:lang w:bidi="ar-SA"/>
        </w:rPr>
        <w:t>أنّ الوظيفة في مثل ذلك بحكم العقل إنّما هو الرجوع في تعيين الطريق إلى الظنّ الفعلي الذي لا دليل على عدم حجّيته ؛ لأنّه أقرب إلى العلم وإلى إصابة الواقع ممّا عداه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اعتبرنا في الظنّ أن لا يقوم دليل معتبر </w:t>
      </w:r>
      <w:r>
        <w:rPr>
          <w:rStyle w:val="FootnoteAnchor"/>
          <w:rtl w:val="true"/>
        </w:rPr>
        <w:footnoteReference w:id="766"/>
      </w:r>
      <w:r>
        <w:rPr>
          <w:rFonts w:ascii="Amiri" w:hAnsi="Amiri" w:eastAsia="Amiri" w:cs="Amiri"/>
          <w:color w:val="111111"/>
          <w:sz w:val="28"/>
          <w:sz w:val="28"/>
          <w:szCs w:val="28"/>
          <w:rtl w:val="true"/>
          <w:lang w:bidi="ar-SA"/>
        </w:rPr>
        <w:t xml:space="preserve">على عدم جواز الرجوع إليه حينئذ ؛ لأنّ الحكم بالجواز هنا ظاهري ، فيمتنع ثبوته مع انكشاف خلافه ومع تعذّر هذا النوع من الظنّ ، فالرجوع إلى ما يكون أقرب إليه مفادا من المدارك التي لا دليل </w:t>
      </w:r>
    </w:p>
    <w:p>
      <w:pPr>
        <w:pStyle w:val="BookText"/>
        <w:rPr/>
      </w:pPr>
      <w:r>
        <w:rPr>
          <w:rFonts w:ascii="Amiri" w:hAnsi="Amiri" w:eastAsia="Amiri" w:cs="Amiri"/>
          <w:color w:val="111111"/>
          <w:sz w:val="28"/>
          <w:sz w:val="28"/>
          <w:szCs w:val="28"/>
          <w:rtl w:val="true"/>
          <w:lang w:bidi="ar-SA"/>
        </w:rPr>
        <w:t xml:space="preserve">على عدم حجّيتها حينئذ مع الاتّحاد ، ومع التعدّد والتكافؤ فالتخيير </w:t>
      </w:r>
      <w:r>
        <w:rPr>
          <w:rStyle w:val="FootnoteAnchor"/>
          <w:rtl w:val="true"/>
        </w:rPr>
        <w:footnoteReference w:id="767"/>
      </w:r>
      <w:r>
        <w:rPr>
          <w:rFonts w:ascii="Amiri" w:hAnsi="Amiri" w:eastAsia="Amiri" w:cs="Amiri"/>
          <w:color w:val="111111"/>
          <w:sz w:val="28"/>
          <w:sz w:val="28"/>
          <w:szCs w:val="28"/>
          <w:rtl w:val="true"/>
          <w:lang w:bidi="ar-SA"/>
        </w:rPr>
        <w:t>؛ لامتناع الأخذ بما علم عدم جواز الأخذ به كما مرّ ، أو ترجيح المرجوح ، أو الترجيح مع 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يكشف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على الأحكام أمارات نقطع بعدم اعتبار الشارع إيّاها طريقا إلى معرفة الأحكام مطلقا وإن أفادت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والاستحسان والسيرة الظنّية والرؤيا ، وظنّ وجود الدليل ، والقرعة وما أشبه ذلك ممّا لا حصر له ، كذلك نجد عليها </w:t>
      </w:r>
      <w:r>
        <w:rPr>
          <w:rStyle w:val="FootnoteAnchor"/>
          <w:rtl w:val="true"/>
        </w:rPr>
        <w:footnoteReference w:id="768"/>
      </w:r>
      <w:r>
        <w:rPr>
          <w:rFonts w:ascii="Amiri" w:hAnsi="Amiri" w:eastAsia="Amiri" w:cs="Amiri"/>
          <w:color w:val="111111"/>
          <w:sz w:val="28"/>
          <w:sz w:val="28"/>
          <w:szCs w:val="28"/>
          <w:rtl w:val="true"/>
          <w:lang w:bidi="ar-SA"/>
        </w:rPr>
        <w:t xml:space="preserve">أمارات أخر نعلم أنّ الشارع قد اعتبرها كلاّ أو بعضا طريقا إلى معرفة الأحكام وإن لم يستفد منها ظنّ فعلي بها ولو بمعارضة الأمارات السابقة ، وهذه أمارات محصورة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الغير القطعيين والاستصحاب والإجماع المنقول والاتّفاق الغير الكاشف والشهرة وما أشبه ذلك ، فإنّا نقطع بأنّ الشارع لم يعتبر بعد الأدلّة القطعية في حقّنا أمارة أخرى خارجة عن هذه الأمارات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قطعنا في المقامين هو الإجماع ، مضافا في بعضها إلى مساعدة الآيات والأخبار حتّى أنّ القائلين بحجّية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نراهم لا يتعدّون في مقام العمل عن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وإن لم يستفد لهم ظنّ فعلي بمؤدّاها ، وحيث إنّ النزاع قد وقع في تعيين ما هو المعتبر من هذه الأمارات في نفسه وفي صورة التعارض ، ولا علم لنا بالظنّ </w:t>
      </w:r>
      <w:r>
        <w:rPr>
          <w:rStyle w:val="FootnoteAnchor"/>
          <w:rtl w:val="true"/>
        </w:rPr>
        <w:footnoteReference w:id="769"/>
      </w:r>
      <w:r>
        <w:rPr>
          <w:rFonts w:ascii="Amiri" w:hAnsi="Amiri" w:eastAsia="Amiri" w:cs="Amiri"/>
          <w:color w:val="111111"/>
          <w:sz w:val="28"/>
          <w:sz w:val="28"/>
          <w:szCs w:val="28"/>
          <w:rtl w:val="true"/>
          <w:lang w:bidi="ar-SA"/>
        </w:rPr>
        <w:t xml:space="preserve">، ولا طريق علميا إليه مع علمنا ببقاء التكليف بالعمل بها ، كان اللازم في ذلك الرجوع إلى ما يستفاد اعتباره </w:t>
      </w:r>
      <w:r>
        <w:rPr>
          <w:rStyle w:val="FootnoteAnchor"/>
          <w:rtl w:val="true"/>
        </w:rPr>
        <w:footnoteReference w:id="770"/>
      </w:r>
      <w:r>
        <w:rPr>
          <w:rFonts w:ascii="Amiri" w:hAnsi="Amiri" w:eastAsia="Amiri" w:cs="Amiri"/>
          <w:color w:val="111111"/>
          <w:sz w:val="28"/>
          <w:sz w:val="28"/>
          <w:szCs w:val="28"/>
          <w:rtl w:val="true"/>
          <w:lang w:bidi="ar-SA"/>
        </w:rPr>
        <w:t xml:space="preserve">من هذه المدارك الاحتمالية لتقدّمها في نظر العقل حينئذ على المدارك المعلوم عدم اعتبارها شرعا مقدّما للأقرب منهما </w:t>
      </w:r>
      <w:r>
        <w:rPr>
          <w:rStyle w:val="FootnoteAnchor"/>
          <w:rtl w:val="true"/>
        </w:rPr>
        <w:footnoteReference w:id="771"/>
      </w:r>
      <w:r>
        <w:rPr>
          <w:rFonts w:ascii="Amiri" w:hAnsi="Amiri" w:eastAsia="Amiri" w:cs="Amiri"/>
          <w:color w:val="111111"/>
          <w:sz w:val="28"/>
          <w:sz w:val="28"/>
          <w:szCs w:val="28"/>
          <w:rtl w:val="true"/>
          <w:lang w:bidi="ar-SA"/>
        </w:rPr>
        <w:t>في النظر على غيره مع تحقّقه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ممّا قرّرنا جواز التعويل في تعيين ما يعتبر من تلك الطرق التي هي أدلّة الأحكام على الظنّ </w:t>
      </w:r>
      <w:r>
        <w:rPr>
          <w:rStyle w:val="FootnoteAnchor"/>
          <w:rtl w:val="true"/>
        </w:rPr>
        <w:footnoteReference w:id="772"/>
      </w:r>
      <w:r>
        <w:rPr>
          <w:rFonts w:ascii="Amiri" w:hAnsi="Amiri" w:eastAsia="Amiri" w:cs="Amiri"/>
          <w:color w:val="111111"/>
          <w:sz w:val="28"/>
          <w:sz w:val="28"/>
          <w:szCs w:val="28"/>
          <w:rtl w:val="true"/>
          <w:lang w:bidi="ar-SA"/>
        </w:rPr>
        <w:t xml:space="preserve">، ثمّ على ما هو أقرب كذلك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هذا البرهان وبناء هذا 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العلم الإجمالي بنصب طريق يوصلنا إلى مطلوب المولى ، وذلك في محلّ من المنع ؛ إذ من المحتمل أنّ الشارع قد وكلنا في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المجعولة على الطرق المنجعلة عندنا التي قد استقرّ بناء العقلاء في تحصيل الإطاعة بالرجوع إليها من العلم ، أو ما يقوم مقامه عندهم ولو مع التمكّن منه ، أو مع عدم التمكّن منه ، وما ادّعاه من العلم الإجمالي ، فهو إمّا ناش عن </w:t>
      </w:r>
      <w:r>
        <w:rPr>
          <w:rStyle w:val="FootnoteAnchor"/>
          <w:rtl w:val="true"/>
        </w:rPr>
        <w:footnoteReference w:id="774"/>
      </w:r>
      <w:r>
        <w:rPr>
          <w:rFonts w:ascii="Amiri" w:hAnsi="Amiri" w:eastAsia="Amiri" w:cs="Amiri"/>
          <w:color w:val="111111"/>
          <w:sz w:val="28"/>
          <w:sz w:val="28"/>
          <w:szCs w:val="28"/>
          <w:rtl w:val="true"/>
          <w:lang w:bidi="ar-SA"/>
        </w:rPr>
        <w:t xml:space="preserve">أنّ عدم النصب ينافي اللطف ؛ فإنّ فيه تقريبا للعباد إلى الطاعة مثلا ، أو يستند إلى دليل سمعي شرعي إن </w:t>
      </w:r>
      <w:r>
        <w:rPr>
          <w:rStyle w:val="FootnoteAnchor"/>
          <w:rtl w:val="true"/>
        </w:rPr>
        <w:footnoteReference w:id="775"/>
      </w:r>
      <w:r>
        <w:rPr>
          <w:rFonts w:ascii="Amiri" w:hAnsi="Amiri" w:eastAsia="Amiri" w:cs="Amiri"/>
          <w:color w:val="111111"/>
          <w:sz w:val="28"/>
          <w:sz w:val="28"/>
          <w:szCs w:val="28"/>
          <w:rtl w:val="true"/>
          <w:lang w:bidi="ar-SA"/>
        </w:rPr>
        <w:t>لم يجب نظرا إلى اللطف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من أنّه يلزم على الشارع الحكيم نصب طريق علمي للعباد في تحصيل الامتثال والإطاعة بعد جعل الأحكام للعمل بها نظرا إلى اللطف ، وأنّه لولاه يقبح التكليف ، فلا ريب في بعده عن سبيل السداد ، فإنّ </w:t>
      </w:r>
      <w:r>
        <w:rPr>
          <w:rStyle w:val="FootnoteAnchor"/>
          <w:rtl w:val="true"/>
        </w:rPr>
        <w:footnoteReference w:id="776"/>
      </w:r>
      <w:r>
        <w:rPr>
          <w:rFonts w:ascii="Amiri" w:hAnsi="Amiri" w:eastAsia="Amiri" w:cs="Amiri"/>
          <w:color w:val="111111"/>
          <w:sz w:val="28"/>
          <w:sz w:val="28"/>
          <w:szCs w:val="28"/>
          <w:rtl w:val="true"/>
          <w:lang w:bidi="ar-SA"/>
        </w:rPr>
        <w:t xml:space="preserve">بعد ما يستكشف طريقة الإطاعة والامتثال من بناء العقلاء في أوامر مواليهم بالنسبة إلى عبيدهم من العمل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تحصيله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والتعويل على ما يقوم مقامه من الظنّ ولو في أعلى درجاته التعبّد </w:t>
      </w:r>
      <w:r>
        <w:rPr>
          <w:rStyle w:val="FootnoteAnchor"/>
          <w:rtl w:val="true"/>
        </w:rPr>
        <w:footnoteReference w:id="777"/>
      </w:r>
      <w:r>
        <w:rPr>
          <w:rFonts w:ascii="Amiri" w:hAnsi="Amiri" w:eastAsia="Amiri" w:cs="Amiri"/>
          <w:color w:val="111111"/>
          <w:sz w:val="28"/>
          <w:sz w:val="28"/>
          <w:szCs w:val="28"/>
          <w:rtl w:val="true"/>
          <w:lang w:bidi="ar-SA"/>
        </w:rPr>
        <w:t xml:space="preserve">للاطمئنان ، لا يلزم على الحكيم قبح على تقدير عدم النصب ؛ لعدم الاحتياج إليه ، فإنّ العقل يستقلّ في تحصيل الطريق ولو بمعاونة بناء العقلاء في ذلك ، والنظر في أحوال السلاطين في نصب ولاتهم للبلاد يعطي ما ذكرنا ، فإنّ البيان مقصور عندهم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على نفس الأحكام المجعولة لهم ، وذلك ظاهر لا سترة عليه ، وظنّي أنّ المدّعي أيضا لا يدّعي بذلك </w:t>
      </w:r>
      <w:r>
        <w:rPr>
          <w:rStyle w:val="FootnoteAnchor"/>
          <w:rtl w:val="true"/>
        </w:rPr>
        <w:footnoteReference w:id="779"/>
      </w:r>
      <w:r>
        <w:rPr>
          <w:rFonts w:ascii="Amiri" w:hAnsi="Amiri" w:eastAsia="Amiri" w:cs="Amiri"/>
          <w:color w:val="111111"/>
          <w:sz w:val="28"/>
          <w:sz w:val="28"/>
          <w:szCs w:val="28"/>
          <w:rtl w:val="true"/>
          <w:lang w:bidi="ar-SA"/>
        </w:rPr>
        <w:t xml:space="preserve">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قطعنا في المقامين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الدليل قد دلّنا على ذلك وإن لم يكن واجبا في نظر العقل كالإجماع مثلا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الإجماع كيف؟ وجماعة من متقدّمي أصحابنا كابن قبة ومتابعيه </w:t>
      </w:r>
      <w:r>
        <w:rPr>
          <w:rStyle w:val="FootnoteAnchor"/>
          <w:rtl w:val="true"/>
        </w:rPr>
        <w:footnoteReference w:id="780"/>
      </w:r>
      <w:r>
        <w:rPr>
          <w:rFonts w:ascii="Amiri" w:hAnsi="Amiri" w:eastAsia="Amiri" w:cs="Amiri"/>
          <w:color w:val="111111"/>
          <w:sz w:val="28"/>
          <w:sz w:val="28"/>
          <w:szCs w:val="28"/>
          <w:rtl w:val="true"/>
          <w:lang w:bidi="ar-SA"/>
        </w:rPr>
        <w:t>يقول بامتناع جعل الطريق الظنّي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 فقد عرفت فيما سبق أنّه بنفسه منجعل غير محتاج إلى الجعل ، وجملة منهم كالسيّد وأتباعه لا يرون وقوعه شرعا بل هم مكتفون في ذلك على الطرق المعمولة عند العقلاء في تحصيل الامتثال والإطاعة ، فأنّى لك بدعوى الإجماع والقطع به؟ فإنّ السيّد يعتمد على أصالة الحقيقة في الألفاظ ، ولا ريب أنّها ليست من الطرق المجعولة ، غاية ما في الباب أنّ الشارع قد أمضاها ، وذلك لا يقضي بجعل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في بعض المباحث السابقة في الإجماع والتواتر أنّ ما نرى من اتّفاق جماعة على أمر واختلافهم في تعيينه على إطلاقه لا يلازم وجود قدر مشترك بين المجمعين والمخبرين ، فإنّه </w:t>
      </w:r>
      <w:r>
        <w:rPr>
          <w:rStyle w:val="FootnoteAnchor"/>
          <w:rtl w:val="true"/>
        </w:rPr>
        <w:footnoteReference w:id="781"/>
      </w:r>
      <w:r>
        <w:rPr>
          <w:rFonts w:ascii="Amiri" w:hAnsi="Amiri" w:eastAsia="Amiri" w:cs="Amiri"/>
          <w:color w:val="111111"/>
          <w:sz w:val="28"/>
          <w:sz w:val="28"/>
          <w:szCs w:val="28"/>
          <w:rtl w:val="true"/>
          <w:lang w:bidi="ar-SA"/>
        </w:rPr>
        <w:t xml:space="preserve">يتحقّق على وجهين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Style w:val="FootnoteAnchor"/>
          <w:rtl w:val="true"/>
        </w:rPr>
        <w:footnoteReference w:id="782"/>
      </w:r>
      <w:r>
        <w:rPr>
          <w:rFonts w:ascii="Amiri" w:hAnsi="Amiri" w:eastAsia="Amiri" w:cs="Amiri"/>
          <w:color w:val="111111"/>
          <w:sz w:val="28"/>
          <w:sz w:val="28"/>
          <w:szCs w:val="28"/>
          <w:rtl w:val="true"/>
          <w:lang w:bidi="ar-SA"/>
        </w:rPr>
        <w:t xml:space="preserve">إطباقهم على قدر مشترك بين جميع الخصوصيات حقيقة ، و </w:t>
      </w:r>
      <w:r>
        <w:rPr>
          <w:rStyle w:val="FootnoteAnchor"/>
          <w:rtl w:val="true"/>
        </w:rPr>
        <w:footnoteReference w:id="783"/>
      </w:r>
      <w:r>
        <w:rPr>
          <w:rFonts w:ascii="Amiri" w:hAnsi="Amiri" w:eastAsia="Amiri" w:cs="Amiri"/>
          <w:color w:val="111111"/>
          <w:sz w:val="28"/>
          <w:sz w:val="28"/>
          <w:szCs w:val="28"/>
          <w:rtl w:val="true"/>
          <w:lang w:bidi="ar-SA"/>
        </w:rPr>
        <w:t>كان الاختلاف فيها كذلك ، كاتّفاقهم على موت واحد واختلافهم في الميّت هل هو زيد أو عمرو مثلا ، ومثل اتّفاقهم على وجوب الصلاة في الجمعة واختلافهم في أنّها الظهر أو الجمعة ، فإنّ الاتّفاق المذكور يكشف عن أنّ الموت في الجملة واقع ، والصلاة على إجمالها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الاختلاف في الخصوصيات من جهة الاختلاف في الأدلّة القاضية عند المخالف بها وبالقدر المشترك أيضا ، فلا يكشف عن القدر المشترك ، مثلا لو اختلفت الأمّة في وجوب شيء وحرمته نظرا إلى اختلافهم في الدليل الوارد في المقام من أنّه أمر أو نهي لا يكشف عن أنّ الإلزام في الجملة متحقّق ، فإنّ القائل بالحرمة كما ينفي خصوصية الإلزام الوجوبي ينفي نفس الإلزام أيضا ، وكذلك القائل بالإلزام الوجوبي ينفي الحرمة رأسا ، واختلاف الأصحاب في خصوصيات الأخبار من هذا الوجه ، ولا أقلّ من احتماله ، فإنّ بعضا منهم قد اعتمد على صنف خاصّ من جهة دليل خاصّ ، وصنف آخر منهم قد عوّل على بعض آخر كذلك كما ترى في اختلاف مداركهم من الآيات والإجماع والأخبار مثلا ، فيمكن تخطئة الجميع ، فلا يحصل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إنّ المجمعين والمخبرين تارة يعلم من حالهم وكلماتهم اتّفاقهم في القدر المشترك ، وأخرى لا يعلم ، فمجرّد ما يرى من نفي الخصوصيات في كلماتهم لا يكشف عن كون المشترك بينهما مسلّما عندهم هذا ، ولئن أغمضنا عن ذلك ، فغاية ما هناك إطباقهم على أنّ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من الطرق القطعية ، وأمّا أنّه مجعول ومنصوب للشارع بحيث قد جعله طريقا كما قد جعل في الموضوعات مثلا وفي القضاء كذلك ، فهو أوّل الكلام ؛ لاحتمال أن يكون ذلك من إمضاء الشارع للطريق المعمول عند العرف والعقلاء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استند إليه أخيرا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على الأحكام أمارات يقطع بعدم اعتبار الشارع إيّاها طرقا إلى معرفة الأحكام مثلا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الضعف والسقوط ؛ لاحتمال أن يكون ذلك منهم ردعا موضوعيا ، ومنعا صغرويّا ، إمّا من حيث إنّ القياس وأضرابه من الأمارات الظنّية الغير المعتبرة ممّا لا يجوز الاعتماد عليه عند </w:t>
      </w:r>
    </w:p>
    <w:p>
      <w:pPr>
        <w:pStyle w:val="BookText"/>
        <w:rPr/>
      </w:pPr>
      <w:r>
        <w:rPr>
          <w:rFonts w:ascii="Amiri" w:hAnsi="Amiri" w:eastAsia="Amiri" w:cs="Amiri"/>
          <w:color w:val="111111"/>
          <w:sz w:val="28"/>
          <w:sz w:val="28"/>
          <w:szCs w:val="28"/>
          <w:rtl w:val="true"/>
          <w:lang w:bidi="ar-SA"/>
        </w:rPr>
        <w:t xml:space="preserve">الانفتاح وحضور الإمام عليه‌السلام ، وإمّا من حيث إنّ القياس غالبا لا يصادف الواقع لعلمهم بالعواقب مثل ما نرى من اعتبار قول الثقة في المطالب العرفية عند أهله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المخبر الفلاني مثلا ممّا لا يجوز العمل بقوله ؛ لعدم الوثوق بقوله ، فكما أنّ ذلك لا ينافي الحكم بالكلّية القائلة باعتبار قول الثقة مثلا بل إنّما هو طرد موضوعي ، فكذلك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عدم اتّجاه ما قد يتخيّل التعويل عليه في إثبات جعل الطريق منهم من الأخبار الآمرة بأخذ معالم الدين عن جملة من أصحابهم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رووا وذروا ما رأوا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بزكريّا بن آدم المأمون على الدين والدنيا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أفيونس بن عبد الرحمن ثقة آخذ منه معالم ديني؟ </w:t>
      </w:r>
      <w:r>
        <w:rPr>
          <w:rStyle w:val="FootnoteAnchor"/>
          <w:rtl w:val="true"/>
        </w:rPr>
        <w:footnoteReference w:id="787"/>
      </w:r>
      <w:r>
        <w:rPr>
          <w:rFonts w:ascii="Amiri" w:hAnsi="Amiri" w:eastAsia="Amiri" w:cs="Amiri"/>
          <w:color w:val="111111"/>
          <w:sz w:val="28"/>
          <w:sz w:val="28"/>
          <w:szCs w:val="28"/>
          <w:rtl w:val="true"/>
          <w:lang w:bidi="ar-SA"/>
        </w:rPr>
        <w:t xml:space="preserve">إلى غير ذلك ؛ لظهور الجميع فيما قلناه من بيان الطرق المعمولة عليها عند العقلاء وإمضائها كما هو مقتضى صحيح النظر في قول الراوي إنّه ثقة آخذ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سأل عن الصغرى بعد فرض الكبرى مسلّمة ، وفي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المأمون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الاحتمال ، فيقطع الاستدلال لعدم ظهوره فيما استدلّ عليه قطعا ، فدعوى القطع بأنّه اعتبر في حقّنا طريقا جعليا مجازفة بيّنة ، ومكابرة هشّة </w:t>
      </w:r>
      <w:r>
        <w:rPr>
          <w:rStyle w:val="FootnoteAnchor"/>
          <w:rtl w:val="true"/>
        </w:rPr>
        <w:footnoteReference w:id="788"/>
      </w:r>
      <w:r>
        <w:rPr>
          <w:rFonts w:ascii="Amiri" w:hAnsi="Amiri" w:eastAsia="Amiri" w:cs="Amiri"/>
          <w:color w:val="111111"/>
          <w:sz w:val="28"/>
          <w:sz w:val="28"/>
          <w:szCs w:val="28"/>
          <w:rtl w:val="true"/>
          <w:lang w:bidi="ar-SA"/>
        </w:rPr>
        <w:t>على ما عرفت من عدم دليل على ذلك بل الإنصاف أنّ احتمال عدم جعل الطريق في الأحكام بعيد في الغاية ، وغريب في النهاية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يكشف عمّا ذكرناه أنّ عموم البلوى في مثل المقام يقضي بعدم الخلاف في ذلك بل لا بدّ وأن يكون معلوما بالتفصيل كما أنّ التقليد في المقلّد كذلك ، فلو كان كما ذكر ، </w:t>
      </w:r>
    </w:p>
    <w:p>
      <w:pPr>
        <w:pStyle w:val="BookText"/>
        <w:rPr/>
      </w:pPr>
      <w:r>
        <w:rPr>
          <w:rFonts w:ascii="Amiri" w:hAnsi="Amiri" w:eastAsia="Amiri" w:cs="Amiri"/>
          <w:color w:val="111111"/>
          <w:sz w:val="28"/>
          <w:sz w:val="28"/>
          <w:szCs w:val="28"/>
          <w:rtl w:val="true"/>
          <w:lang w:bidi="ar-SA"/>
        </w:rPr>
        <w:t>لكان الواجب أوّلا أخذ الطريق ومعرفته ، ثمّ الحكم بعد ذلك بالعمل بمؤدّاها ، وعلى تقديره يصير معلوما كما لا يخفى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العلم الإجمالي بنصب الطريق مكابرة ؛ إذ من المعلوم أنّا لو تشرّفنا بحضور الإمام ، وسألنا من أنّ المرجع لنا في الأحكام بعد انسداد باب العلم أيّ شيء؟ وعلى أيّ طريق نرجع ، فلا حجّة يهدينا إلى سبيل ، ويوصلنا إلى طريق؟ ولو كان مطلق الظنّ أيضا ، فنحن نعلم إجمالا أنّ الطريق في الأحكام موجود إمّا الظنون الخاصّة أو مطلق الظنّ ، فيعمل في طريقه الظنّ ، ويتمّ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المتأمّل في المقام ، فساد هذا الكلام ، فإنّ القول بطريقية الظنّ المطلق ليس في عرض القول بطريقية غيره من الظنون الخاصّة حتّى يصحّ القول بالعلم الإجمالي بهما ، فإنّه يترتّب على انسداد باب الظنون الخاصّة ، والترديد لا يتصوّر بينها وبين الظنّ مطلقا كما أنّ الأصول العملية ليست في مرتبة الأدلّة الاجتهادية ، فإنّ فرض وجودها ينافي وجود الظنّ ؛ إذ على تقديرها يرتفع القول بالظنّ المطلق ارتفاعا موضوعيا فكما أنّ المجتهد لا يتردّد أمره بين الأخذ بالأصول وبين الأدلّة الاجتهادية فكذا في المقام لا يتعقّل الترديد بينهما ؛ إذ على تقدير جريان دليل الانسداد نعلم علما تفصيليا بطريقية مطلق الظنّ ، وعلى تقدير عدم جريانه بواسطة وجود الظنون الخاصّة نعلم علما تفصيليا بطريقية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هذا فيما إذا لم يدخل المجتهد في المسألة ، فإنّه يعلم أنّ مرجعه بعد الدخول إمّا الأصل ، أو الظنّ المطلق ، وإمّا الأدلّة الاجتهادية ، أو 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دخوله في المسألة ، فلا ترديد له كما عرفت ؛ إذ بعد وجود الدليل فالأصل أو الظنّ لا مجرى لهما قطعا ، وعلى تقدير عدمه ، فالمرجع إليهما قطعا ، فتدبّر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وجود العلم الإجمالي بنصب الطريق من جهة العلم بأنّ الشارع مثلا قد أمضى بعض الطرق العرفية ، ونهى عن بعض آخر ، فتصرّف فيها جرحا وتعديلا ، </w:t>
      </w:r>
    </w:p>
    <w:p>
      <w:pPr>
        <w:pStyle w:val="BookText"/>
        <w:rPr/>
      </w:pPr>
      <w:r>
        <w:rPr>
          <w:rFonts w:ascii="Amiri" w:hAnsi="Amiri" w:eastAsia="Amiri" w:cs="Amiri"/>
          <w:color w:val="111111"/>
          <w:sz w:val="28"/>
          <w:sz w:val="28"/>
          <w:szCs w:val="28"/>
          <w:rtl w:val="true"/>
          <w:lang w:bidi="ar-SA"/>
        </w:rPr>
        <w:t>فيكشف ذلك عن أنّه لم يرض لنا بالعمل بما في أيدينا مطلقا بادّعاء كفاية مثل ذلك في نصب الطريق ، وعدم افتقاره إلى أمر آخر غير ما ذكر ، فلا نسلّم وجود المنصوب منه عندنا ؛ لاحتمال انتفاء موضوعه ، فإنّه يحتمل أن يكون المنصوب منه هو الخبر العادل الواقعي ، أو الخبر المستفيض ، أو الخبر العدل من غير واسطة مثلا ، ومصاديقه ليست بموجودة عندنا بواسطة حدوث السوانح ، وعروض الحوادث ، فيقطع التكليف به ؛ لارتفاع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العلم الإجمالي ونصب الطريق على تقديره لا يلازم بقاءه في زمننا ، فيحتمل أن لا يكون الطريق المنصوب في الطرق الموجودة عندنا بواسطة انتفاء مصاديقه لدينا ، فلا تكليف به ، فيقطع الاستدلال بواسطة قيام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العلم الإجمالي بطريق منصوب من الشارع موجود عندنا لكنّه مع ذلك لا يقضي بإعمال الظنّ فيها لوجود القدر المشترك المتّفق عليه بين الكلّ في البين ، فهو معلوم تفصيلا ، وغيره مشكوك كذلك ، فلا وجه للعمل بالظنّ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دار الأمر بين الأقلّ والأكثر إذا كانا غير مرتبطين كأن دار الأمر بين وجوب ثلاثة أمور ، أو أربعة ، فلا شكّ في أنّ الأقلّ معلوم الوجوب ولو بالنسبة إلى الأكثر حينئذ ، بخلاف ما </w:t>
      </w:r>
      <w:r>
        <w:rPr>
          <w:rStyle w:val="FootnoteAnchor"/>
          <w:rtl w:val="true"/>
        </w:rPr>
        <w:footnoteReference w:id="789"/>
      </w:r>
      <w:r>
        <w:rPr>
          <w:rFonts w:ascii="Amiri" w:hAnsi="Amiri" w:eastAsia="Amiri" w:cs="Amiri"/>
          <w:color w:val="111111"/>
          <w:sz w:val="28"/>
          <w:sz w:val="28"/>
          <w:szCs w:val="28"/>
          <w:rtl w:val="true"/>
          <w:lang w:bidi="ar-SA"/>
        </w:rPr>
        <w:t xml:space="preserve">إذا كانا متباينين كما إذا دار الأمر بين وجوب أمر ووجوب غيره ، فعلى الأوّل ، فلا وجه للعمل بالظنّ فيه ، وعلى الثاني ، فقد يحتمل على بعض الوجوه كما يظهر ممّا سيجيء ، وما نحن فيه من قبيل الأوّل ، فإنّ كلّ من قال باعتبار الشهرة ، فقد قال باعتبار الإجماع المنقول ، ومن قال باعتبارهما ، فقد قال باعتبار الحسان والموثّقات من الأخبار ، ومن قال باعتبارها ، فقد قال باعتبار الصحاح على ما هو المشهور فيها ، ومن قال باعتبارها ، فقد قال باعتبار الصحاح بالمعنى المختار عند صاحب المعالم والمدارك ، وعلى قياسه الكلام فيما إذا لاحظناها </w:t>
      </w:r>
    </w:p>
    <w:p>
      <w:pPr>
        <w:pStyle w:val="BookText"/>
        <w:rPr/>
      </w:pPr>
      <w:r>
        <w:rPr>
          <w:rFonts w:ascii="Amiri" w:hAnsi="Amiri" w:eastAsia="Amiri" w:cs="Amiri"/>
          <w:color w:val="111111"/>
          <w:sz w:val="28"/>
          <w:sz w:val="28"/>
          <w:szCs w:val="28"/>
          <w:rtl w:val="true"/>
          <w:lang w:bidi="ar-SA"/>
        </w:rPr>
        <w:t xml:space="preserve">متنازلة إلى أن يصل إلى أقوال متباينة كما في الشهرات والضعاف مثلا ، فإنّ البعض منهم من قال باعتبار الأوّل دون الثاني ، وبعض آخر قال بالعكس مثلا ، وحينئذ نمنع حصول العلم الإجمالي بوجود </w:t>
      </w:r>
      <w:r>
        <w:rPr>
          <w:rStyle w:val="FootnoteAnchor"/>
          <w:rtl w:val="true"/>
        </w:rPr>
        <w:footnoteReference w:id="790"/>
      </w:r>
      <w:r>
        <w:rPr>
          <w:rFonts w:ascii="Amiri" w:hAnsi="Amiri" w:eastAsia="Amiri" w:cs="Amiri"/>
          <w:color w:val="111111"/>
          <w:sz w:val="28"/>
          <w:sz w:val="28"/>
          <w:szCs w:val="28"/>
          <w:rtl w:val="true"/>
          <w:lang w:bidi="ar-SA"/>
        </w:rPr>
        <w:t>طريق منصوب من الشارع في الأمارات المتباينة ، فهي طرق مشكوكة صرفة ، وما عداها معلومة محضة لا ترديد فيها ، فيجب العمل بها دونها ؛ لأصالة البراءة الخالية عمّا يصلح رافعا لها ، فإنّ أدلّتها عقلا ونقلا محكّمة في مقام الشكّ في التكليف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العلم الإجمالي في الطرق الموجودة المتباينة لكنّه مع ذلك كلّه لا ينهض على المدّعى ؛ فإنّ قضية العلم الإجمالي بالاشتغال في دوران الأمر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تحصيل البراءة القطعية من الإتيان بجميع المحتملات ، فإنّ القطع بالاشتغال ، يقضي بالقطع بالامتثال ، فلا يتمّ ما ذكره من استعلام حال </w:t>
      </w:r>
      <w:r>
        <w:rPr>
          <w:rStyle w:val="FootnoteAnchor"/>
          <w:rtl w:val="true"/>
        </w:rPr>
        <w:footnoteReference w:id="791"/>
      </w:r>
      <w:r>
        <w:rPr>
          <w:rFonts w:ascii="IRNazanin" w:hAnsi="IRNazanin" w:eastAsia="IRNazanin"/>
          <w:color w:val="111111"/>
          <w:sz w:val="28"/>
          <w:sz w:val="28"/>
          <w:szCs w:val="28"/>
          <w:rtl w:val="true"/>
          <w:lang w:bidi="fa-IR"/>
        </w:rPr>
        <w:t>المعلوم المردّد بإعمال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للاحتياط في مثل المقام ؛ لدوران الأمر بين الواجب والحرام ؛ إذ كما نعلم بوجود طريق منصوب يجب العمل بمؤدّاه في الأمور المتباينة ، فكذا </w:t>
      </w:r>
      <w:r>
        <w:rPr>
          <w:rStyle w:val="FootnoteAnchor"/>
          <w:rtl w:val="true"/>
        </w:rPr>
        <w:footnoteReference w:id="792"/>
      </w:r>
      <w:r>
        <w:rPr>
          <w:rFonts w:ascii="Amiri" w:hAnsi="Amiri" w:eastAsia="Amiri" w:cs="Amiri"/>
          <w:color w:val="111111"/>
          <w:sz w:val="28"/>
          <w:sz w:val="28"/>
          <w:szCs w:val="28"/>
          <w:rtl w:val="true"/>
          <w:lang w:bidi="ar-SA"/>
        </w:rPr>
        <w:t>نعلم بوجود أمارة باطلة يحرم العمل بها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بوجود أمارة باطلة غير منصوبة من الشارع كالقياس فيها لم يحصل لنا بعد ، واحتمال وجودها لا يجدي بعد جريان البراءة الأصلية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هناك وقصارى ما يتوهّم في المقام منع العلم بحرمة العمل بأمارة ظنّية حرمة ذاتية كما في القياس ، وأمّا حرمة العمل بها ولو بواسطة العمومات الناهية عن العمل بمطلق ما وراء العلم ، فممّا لا يكاد ينكر دفعه وهي تكفي </w:t>
      </w:r>
      <w:r>
        <w:rPr>
          <w:rStyle w:val="FootnoteAnchor"/>
          <w:rtl w:val="true"/>
        </w:rPr>
        <w:footnoteReference w:id="793"/>
      </w:r>
      <w:r>
        <w:rPr>
          <w:rFonts w:ascii="Amiri" w:hAnsi="Amiri" w:eastAsia="Amiri" w:cs="Amiri"/>
          <w:color w:val="111111"/>
          <w:sz w:val="28"/>
          <w:sz w:val="28"/>
          <w:szCs w:val="28"/>
          <w:rtl w:val="true"/>
          <w:lang w:bidi="ar-SA"/>
        </w:rPr>
        <w:t>في المقام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مرارا أنّ مرجع الأدلّة الناهية إلى نفي التشريع ، وعدم جواز طرح الأصول المعلّقة على العلم في مقابلة الظنون الغير المعتبرة ولا شيء منهما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فواضح ، فإنّ التشريع هو إدخال ما ليس من الدين فيه على أنّه منه ، وفي صورة الاحتياط ليس كذلك ، فإنّه يعمل بالمحتمل لرجاء أنّه من الدين ولإدراك الواقع ، فالاحتياط شرّع طريقا ظاهريا ، فيجب الأخذ به في أمثال المقام ، فعلى تقديره يرتفع التشريع بانتفاء موضوعه وارتفاع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الأصول العملية واللفظية إذا لم تكن مخالفة لمؤدّيات الطرق المحتملة كأن دلّت الأصول على وجوب شيء ، والشهرة أيضا دلّت عليه مثلا ، فلا إشكال ، وأمّا إذا كانت مخالفة لها ، فالأصول تارة نافية للتكليف كالبراءة والاستصحاب في بعض موارده والتخيير ، وأخرى مثبتة له كالاشتغال والاستصحاب في بعض آخر من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 فلا منافاة بينهما أيضا ، فإنّ البراءة والاستصحاب مفادهما حينئذ لا يزيد على الرخصة وهي لا تنافي العزيمة فعلا وتركا كما يستفاد من الطرق المحتملة ، فلو قامت الشهرة على وجوب شيء يقتضي الأصل العملي واللفظي كأصالة الحقيقة إباحته ، فلا شكّ في عدم منافاة الإباحة للوجوب في العمل كما إذا قامت على حرمته ؛ فإنّ وجوب الترك لا ينافي جواز الترك ؛ إذ له الترك دائما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أيضا ، فلا منافاة فيما إذا كان مفاد الطريق كالشهرة إباحة شيء ، ومفاد الأصل كالاستصحاب أو الاشتغال وجوب شيء ؛ لما قد عرفت من عدم منافاة الرخصة للعزيمة ، وأمّا إذا قامت الشهرة على حرمة شيء والأصل يقتضي وجوبه ، فإن كان هو الاستصحاب ، فلا يجري قطعا ؛ لانتقاض مورده بالعلم الإجمالي ، بخلاف جملة من موارده كما تقدّم في إبطال الرجوع إلى الأصول الجزئية ، وإن كان الأصل هو </w:t>
      </w:r>
    </w:p>
    <w:p>
      <w:pPr>
        <w:pStyle w:val="BookText"/>
        <w:rPr/>
      </w:pPr>
      <w:r>
        <w:rPr>
          <w:rFonts w:ascii="Amiri" w:hAnsi="Amiri" w:eastAsia="Amiri" w:cs="Amiri"/>
          <w:color w:val="111111"/>
          <w:sz w:val="28"/>
          <w:sz w:val="28"/>
          <w:szCs w:val="28"/>
          <w:rtl w:val="true"/>
          <w:lang w:bidi="ar-SA"/>
        </w:rPr>
        <w:t xml:space="preserve">الاشتغال كأن قامت الشهرة على وجوب شيء والاشتغال يقضي بحرمته ، فتردّد الأمر بين الاحتياط في المسألة الأصولية كأن يعمل بمفاد </w:t>
      </w:r>
      <w:r>
        <w:rPr>
          <w:rStyle w:val="FootnoteAnchor"/>
          <w:rtl w:val="true"/>
        </w:rPr>
        <w:footnoteReference w:id="794"/>
      </w:r>
      <w:r>
        <w:rPr>
          <w:rFonts w:ascii="Amiri" w:hAnsi="Amiri" w:eastAsia="Amiri" w:cs="Amiri"/>
          <w:color w:val="111111"/>
          <w:sz w:val="28"/>
          <w:sz w:val="28"/>
          <w:szCs w:val="28"/>
          <w:rtl w:val="true"/>
          <w:lang w:bidi="ar-SA"/>
        </w:rPr>
        <w:t xml:space="preserve">الشهرة لاحتمال كونها طريقا ، والاحتياط في المسألة الفرعية كأن يأخذ بمفاد الاشتغال ، وحينئذ فالحقّ وإن كان الأخذ بالاحتياط في الفرعيات على ما ستعرفه إلاّ أنّه مع ذلك لا يقضي بالعمل بالظنّ في تعيين الطريق كما هو مطلوب المستدلّ ؛ إذ لا مناص من الاحتياط ، أمّا في المسألة الأصولية فيما إذا لم يخالف مفاد الطريق مفاد الأصل ، وأمّا في المسألة الفرعية فيما إذا خالف مفاد أحدهما مفاد الآخر كما عرفت ، ولا يلزم العسر على هذا التقدير ، فإنّ الاحتياط في الأصول لا يلازم إثبات التكليف ، فإنّ بعد العمل بالشهرة فهي مختلفة المفاد ، فتارة ينفي التكليف ، وأخرى يثبته ، والاحتياط في الفرعيات يختصّ في موارد الاشتغال فيها كما إذا دار الأمر بين المتباينين مثلا أو غيره على وجوه اختلافهم في تعيين محلّ الاحتياط ، فكما </w:t>
      </w:r>
      <w:r>
        <w:rPr>
          <w:rStyle w:val="FootnoteAnchor"/>
          <w:rtl w:val="true"/>
        </w:rPr>
        <w:footnoteReference w:id="795"/>
      </w:r>
      <w:r>
        <w:rPr>
          <w:rFonts w:ascii="Amiri" w:hAnsi="Amiri" w:eastAsia="Amiri" w:cs="Amiri"/>
          <w:color w:val="111111"/>
          <w:sz w:val="28"/>
          <w:sz w:val="28"/>
          <w:szCs w:val="28"/>
          <w:rtl w:val="true"/>
          <w:lang w:bidi="ar-SA"/>
        </w:rPr>
        <w:t>لا يلزم على العامل بالظنون المطلقة عسر في العمل بهذه الأمارات المختلفة المتشتّتة ، فكذلك لا يلزم على العامل بها من جهة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جميع ذلك ، وأغمضنا عن كلّه لكنّ الدليل لا ينتج النتيجة المطلوبة التي هي حصر الحجّة في الظنّ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المنصوبة إمّا أن تكون طرقا حالتي الانسداد والانفتاح ، أو في حالة الانسداد فقط وإن كان جعلها في حالة الانفتاح ، وعلى التقديرين لا ملازمة بين المقدّمات التي ذكرها والنتيجة التي قصدها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 فلأنّ مؤدّى الطريق على ما هو المفروض في عرض الواقع ، فعند التمكن من العلم بالواقع ، والعلم بمؤدّى الطريق ينحصر الأمر بين الأخذ بالواقع والأخذ بمؤدّى الطريق ، ولا ترجيح لأحدهما على الآخر كما إذا قامت البيّنة مثلا على ذهاب الحمرة في المغرب مع التمكّن من تشخيص الواقع لنا علما بالرؤية ونحوها ، فلا </w:t>
      </w:r>
    </w:p>
    <w:p>
      <w:pPr>
        <w:pStyle w:val="BookText"/>
        <w:rPr/>
      </w:pPr>
      <w:r>
        <w:rPr>
          <w:rFonts w:ascii="Amiri" w:hAnsi="Amiri" w:eastAsia="Amiri" w:cs="Amiri"/>
          <w:color w:val="111111"/>
          <w:sz w:val="28"/>
          <w:sz w:val="28"/>
          <w:szCs w:val="28"/>
          <w:rtl w:val="true"/>
          <w:lang w:bidi="ar-SA"/>
        </w:rPr>
        <w:t>يتعيّن العمل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انسدّ باب العلم في أحدهما ، تعيّن الأخذ بالآخر كما في الواجب المخيّر ، فإنّ بعد التعذّر عن العتق في الكفّارات يتعيّن غيره ، وقضية ذلك حجّية الظنّ فيهما لو انسدّ باب العلم فيهما معا كما في الواجب المخيّر أيضا ، فيحكم بالتخيير بين العمل بالظنّ في الأحكام الواقعية وبين العمل به في الطريق ، فكما أنّ الشكّ فيهما حينئذ ممّا لا عبرة به فيهما ، فكذلك يعتبر الظنّ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إنّ الطريق والواقع إمّا أن يكونا مشكوكين ، أو مظنونين ، أو معلومين ، وقضيّة تساويهما في الطرفين من اعتبارهما في الأخير وعدمه في الأوّل تساويهما في الوسط أيضا ، فكما أنّ العلم بالطريق ينزّل منزلة العلم بالواقع عند التمكّن ، و </w:t>
      </w:r>
      <w:r>
        <w:rPr>
          <w:rStyle w:val="FootnoteAnchor"/>
          <w:rtl w:val="true"/>
        </w:rPr>
        <w:footnoteReference w:id="796"/>
      </w:r>
      <w:r>
        <w:rPr>
          <w:rFonts w:ascii="Amiri" w:hAnsi="Amiri" w:eastAsia="Amiri" w:cs="Amiri"/>
          <w:color w:val="111111"/>
          <w:sz w:val="28"/>
          <w:sz w:val="28"/>
          <w:szCs w:val="28"/>
          <w:rtl w:val="true"/>
          <w:lang w:bidi="ar-SA"/>
        </w:rPr>
        <w:t>العلم به يغني عن العلم به ، فكذلك في صورة الظنّ ، فإنّه لو لم نقل بأولوية الأخذ بالظنّ المتعلّق بالواقع ، فلا أقلّ من تساويهما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 فلا يخلو إمّا أن يكون نصب الطريق في حالة الانسداد على وجه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الاعتبار منحصرا في طرق معلومة مخصوصة ، وكان المرجع فيما عداها إلى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على وجه الانحصار وعدمه كأن عيّن العمل بطرق مخصوصة مع قطع النظر عن اعتبار طريق آخر وعدمه ، ويرجع الأخير إلى الأوّل ، فإنّ العمومات الناهية عن العمل بغير العلم تقضي بانحصار الطريق فيما عيّنه ، فلا بدّ من الرجوع فيما عداه إلى الأصول العملية ، غاية ما في الباب أنّ عدم جواز الرجوع في صورة الانحصار إلى </w:t>
      </w:r>
      <w:r>
        <w:rPr>
          <w:rStyle w:val="FootnoteAnchor"/>
          <w:rtl w:val="true"/>
        </w:rPr>
        <w:footnoteReference w:id="797"/>
      </w:r>
      <w:r>
        <w:rPr>
          <w:rFonts w:ascii="Amiri" w:hAnsi="Amiri" w:eastAsia="Amiri" w:cs="Amiri"/>
          <w:color w:val="111111"/>
          <w:sz w:val="28"/>
          <w:sz w:val="28"/>
          <w:szCs w:val="28"/>
          <w:rtl w:val="true"/>
          <w:lang w:bidi="ar-SA"/>
        </w:rPr>
        <w:t xml:space="preserve">الطرق الأخر معلوم بالخصوص ، وفي صورة عدم الانحصار معلوم بواسطة العمومات ، وعلى التقديرين فبعد الإغماض عن ذلك ، فإنّ الأدلّة الدالّة على حجّية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النبأ والإجماع </w:t>
      </w:r>
      <w:r>
        <w:rPr>
          <w:rStyle w:val="FootnoteAnchor"/>
          <w:rtl w:val="true"/>
        </w:rPr>
        <w:footnoteReference w:id="798"/>
      </w:r>
      <w:r>
        <w:rPr>
          <w:rFonts w:ascii="Amiri" w:hAnsi="Amiri" w:eastAsia="Amiri" w:cs="Amiri"/>
          <w:color w:val="111111"/>
          <w:sz w:val="28"/>
          <w:sz w:val="28"/>
          <w:szCs w:val="28"/>
          <w:rtl w:val="true"/>
          <w:lang w:bidi="ar-SA"/>
        </w:rPr>
        <w:t xml:space="preserve">المدّعى في كلام الشيخ وغيرهما </w:t>
      </w:r>
      <w:r>
        <w:rPr>
          <w:rStyle w:val="FootnoteAnchor"/>
          <w:rtl w:val="true"/>
        </w:rPr>
        <w:footnoteReference w:id="799"/>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 يشمل حجّيتها في صورة الانسداد والانفتاح ، فلا ملازمة أيضا ، فإنّ الأحكام الشرعية بأسرها فروعها وأصولها إذا انسدّ باب العلم فيهما يتعيّن العمل بالظنّ ، فكما أنّ خطاب الشارع قد تعلّق بوجوب حكم فرعي ، وعند تعذّر العلم فيه يستعلم بإعمال الظنّ ، فكذلك إذا تعلّق بطريقية طريق ، ولا تتفاوت الحال فيهما ، فكما أنّ التكليف بالواقع شأني في صورة عدم العلم به ، فكذلك التكليف بالأخذ من الطريق أيضا ، ولا تتنجّزان على المكلّف فعلا إلاّ بعد العلم ، فكما يجوز بعد الانسداد إعمال الظنّ فيه ، يجوز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يسلّم ما ذكر لو كان كلّ من التكليف بالواقع والطريق مستقلاّ لا علقة بينهما بإطلاق وتقييد وليس كذلك ؛ فإنّ التكليف بالواقع قد قيّده الشارع بالطريق ، فالمكلّف به في المقام هو الإتيان بمؤدّيات تلك الطرق ، ويكشف عن ذلك الإتيان بالطريق عند الانفتاح فيها والانسداد في الأحكام كما عرفت واعترفت فيما سبق آنفا ، وقد صرّح القائل بذلك فيما نقل عنه حيث قال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القطعين في الحقيقة إلخ ، فلا بدّ عند انسداد باب العلم فيهما من إعمال الظنّ في الطريق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الواضحة الجليّة التي لا يكاد يعتريها ريب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 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أيضا بالامتثال ، فيقيّد حكمه الأوّل حكمه الثاني ، فيحكم بوجوب إقامة الصلاة على ما أخبر بها العدل ، وقضيّة ذلك بحكم العقل لا تزيد على التخيير بين العلم والأخذ بالطريق عند الانفتاح فيهما ، والأخذ بالطريق عند انفتاح باب العلم فيه دون الواقع ؛ لأولويّة الامتثال العلمي على الامتثال الظنّي ، وأمّا </w:t>
      </w:r>
      <w:r>
        <w:rPr>
          <w:rStyle w:val="FootnoteAnchor"/>
          <w:rtl w:val="true"/>
        </w:rPr>
        <w:footnoteReference w:id="801"/>
      </w:r>
      <w:r>
        <w:rPr>
          <w:rFonts w:ascii="Amiri" w:hAnsi="Amiri" w:eastAsia="Amiri" w:cs="Amiri"/>
          <w:color w:val="111111"/>
          <w:sz w:val="28"/>
          <w:sz w:val="28"/>
          <w:szCs w:val="28"/>
          <w:rtl w:val="true"/>
          <w:lang w:bidi="ar-SA"/>
        </w:rPr>
        <w:t xml:space="preserve">عند الانسداد ، فالعقل لا يقضي بتقييد في الامتثالين ؛ إذ لو لم نقل بأولويّة الامتثال الظنّي بالنسبة إلى الواقع ، فلا أقلّ من تساويهما ، فالحكم بتقديم العمل </w:t>
      </w:r>
    </w:p>
    <w:p>
      <w:pPr>
        <w:pStyle w:val="BookText"/>
        <w:rPr/>
      </w:pPr>
      <w:r>
        <w:rPr>
          <w:rFonts w:ascii="Amiri" w:hAnsi="Amiri" w:eastAsia="Amiri" w:cs="Amiri"/>
          <w:color w:val="111111"/>
          <w:sz w:val="28"/>
          <w:sz w:val="28"/>
          <w:szCs w:val="28"/>
          <w:rtl w:val="true"/>
          <w:lang w:bidi="ar-SA"/>
        </w:rPr>
        <w:t xml:space="preserve">بالطريق في صورة انفتاح باب العلم فيه وانسداد باب العلم في الأحكام الواقعية لا يقتضي </w:t>
      </w:r>
      <w:r>
        <w:rPr>
          <w:rStyle w:val="FootnoteAnchor"/>
          <w:rtl w:val="true"/>
        </w:rPr>
        <w:footnoteReference w:id="802"/>
      </w:r>
      <w:r>
        <w:rPr>
          <w:rFonts w:ascii="Amiri" w:hAnsi="Amiri" w:eastAsia="Amiri" w:cs="Amiri"/>
          <w:color w:val="111111"/>
          <w:sz w:val="28"/>
          <w:sz w:val="28"/>
          <w:szCs w:val="28"/>
          <w:rtl w:val="true"/>
          <w:lang w:bidi="ar-SA"/>
        </w:rPr>
        <w:t xml:space="preserve">بالحكم بتقديم الامتثال الظنّي في الطريق على الامتثال الظنّي في الحكم ؛ إذ كما عرفت علّة الأولويّة ووجهها في صورة الانفتاح في الطريق هو صريح حكم العقل بها بواسطة تقيّده الحكم بالامتثالين فيهما من جهة تقدّم </w:t>
      </w:r>
      <w:r>
        <w:rPr>
          <w:rStyle w:val="FootnoteAnchor"/>
          <w:rtl w:val="true"/>
        </w:rPr>
        <w:footnoteReference w:id="803"/>
      </w:r>
      <w:r>
        <w:rPr>
          <w:rFonts w:ascii="Amiri" w:hAnsi="Amiri" w:eastAsia="Amiri" w:cs="Amiri"/>
          <w:color w:val="111111"/>
          <w:sz w:val="28"/>
          <w:sz w:val="28"/>
          <w:szCs w:val="28"/>
          <w:rtl w:val="true"/>
          <w:lang w:bidi="ar-SA"/>
        </w:rPr>
        <w:t xml:space="preserve">الامتثال التفصيلي العلمي على الامتثال الظنّي ، والعلم الإجمالي بالأحكام الواقعية بعد إحراز جملة منها بالطريق العلمي ينقلب بالنسبة إلى البعض المحرز بالطريق العلمي علما تفصيليا ، وبالنسبة إلى الآخر شكّا تفصيلا ، فيجري فيه البراءة الأصلية في محلّ جريانها وغيرها في غيره ، وليس هناك تقيّد لفظي كما قد يتوهّم كأن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بالواقع من الطريق الفلاني على وجه لو انتفى الطريق انتفى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أنّ هناك تقييدا لفظيا ، فلا ملازمة </w:t>
      </w:r>
      <w:r>
        <w:rPr>
          <w:rStyle w:val="FootnoteAnchor"/>
          <w:rtl w:val="true"/>
        </w:rPr>
        <w:footnoteReference w:id="804"/>
      </w:r>
      <w:r>
        <w:rPr>
          <w:rFonts w:ascii="Amiri" w:hAnsi="Amiri" w:eastAsia="Amiri" w:cs="Amiri"/>
          <w:color w:val="111111"/>
          <w:sz w:val="28"/>
          <w:sz w:val="28"/>
          <w:szCs w:val="28"/>
          <w:rtl w:val="true"/>
          <w:lang w:bidi="ar-SA"/>
        </w:rPr>
        <w:t>أيضا بين المقدّمات المذكورة والنتيجة المطلوبة ، فإنّ مناط جعل الطريق من الشارع معلوم ؛ إذ لا يخلو إمّا أن يكون بواسطة غلبة مطابقته للواقع ، أو بواسطة اشتماله على خصوصية متداركة لمصلحة الواقع في صورة التخلّف عنه ، وعلى التقديرين لا يوجب التقيّد في صورة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805"/>
      </w:r>
      <w:r>
        <w:rPr>
          <w:rFonts w:ascii="Amiri" w:hAnsi="Amiri" w:eastAsia="Amiri" w:cs="Amiri"/>
          <w:color w:val="111111"/>
          <w:sz w:val="28"/>
          <w:sz w:val="28"/>
          <w:szCs w:val="28"/>
          <w:rtl w:val="true"/>
          <w:lang w:bidi="ar-SA"/>
        </w:rPr>
        <w:t>على الأوّل ، فلأنّ بعد الانسداد في الطريق وإعمال الظنّ في الطريق يلزم إحراز الطريق المطابق للواقع غالبا بطريق لا يلازم المطابقة غالبا ، فالمناط في الجعل مفقود في المقام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 ، فلأنّ الخصوصية الموجبة لجعله طريقا لو كانت موجودة في غيرها ، فلا وجه لتخصيصها بالجعل ، ولو لم يكن ، فيلزم أيضا إحراز الخصوصية بما لا يلازم وجود الخصوصية ، وهل هذا إلاّ كرّ على ما فرّ ، والتقييد لا بدّ وأن يكون عند العلم بالطريق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بخبر العدل ، فما يصل إليك من الأحكام الواقعية فقط ، فلا شكّ أنّ جعل قول العدل دليلا إنّما هو عين مراعاة الواقع إمّا بواسطة غلبة المطابقة له ، أو بواسطة اشتماله على الخصوصية كما عرفت ، فلو علمنا قول العادل بخصوصه ، فلا إشكال في جواز الاعتماد عليه عند التمكّن من الواقع ، ووجوبه عند عدم التمكّن منه ، ولو لم نعلمه بالخصوص وعلمنا في طريق تعيينه </w:t>
      </w:r>
      <w:r>
        <w:rPr>
          <w:rStyle w:val="FootnoteAnchor"/>
          <w:rtl w:val="true"/>
        </w:rPr>
        <w:footnoteReference w:id="806"/>
      </w:r>
      <w:r>
        <w:rPr>
          <w:rFonts w:ascii="Amiri" w:hAnsi="Amiri" w:eastAsia="Amiri" w:cs="Amiri"/>
          <w:color w:val="111111"/>
          <w:sz w:val="28"/>
          <w:sz w:val="28"/>
          <w:szCs w:val="28"/>
          <w:rtl w:val="true"/>
          <w:lang w:bidi="ar-SA"/>
        </w:rPr>
        <w:t>بالظنّ المطلق الذي لا يلازم المطابقة واقعا ، فلا شكّ في انتقاض الغرض على هذا التقدير وانتفاء وجه التقييد ، فيرجع الأمر إلى التساوي بين الأخذ بالظنّ في الطريق ، أو الواقع ؛ إذ المفروض أنّ جعل الطريق إنّما هو بواسطة مراعاة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بالظنّ في الطريق إنّما هو بواسطة أنّه مجمع الظنّين ومرجع المصلحتين ، وفيه أيضا أنّ مذاق المستدلّ لا يوافق هذا المشرب ، فإنّه إنّما يراعي الظنّ بالطريق ولو لم يفد الظنّ بالواقع ، وأنّه إنّما يناسب مقالة من يقول بأنّ النتيجة بعد الانسداد هو حجّية الظنّ في الجملة على نحو القضية المهملة كما ستعرفه ، وعلى تقديره فيرد عليه ما سنورده في ردّها من عدم كلّيته ؛ لجواز أن يكون الظنّ بالواقع في أعلى مراتب الظنّ ، والظنّ المظنون اعتباره في أدنى مراتبه موضوعا وحكما ، فلا يقاومه كما لا يخفى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ظهر ممّا مرّ سقوط ما قد يستند إليه من قياس المقام بلزوم إعمال الظنّ في طريق القضاء للقاضي ، وعدم جواز الاتّكال على ما يفيد الظنّ بالواقع للمقلّد ، فالقاضي لا يجوز له إعمال الظنّ </w:t>
      </w:r>
      <w:r>
        <w:rPr>
          <w:rStyle w:val="FootnoteAnchor"/>
          <w:rtl w:val="true"/>
        </w:rPr>
        <w:footnoteReference w:id="807"/>
      </w:r>
      <w:r>
        <w:rPr>
          <w:rFonts w:ascii="Amiri" w:hAnsi="Amiri" w:eastAsia="Amiri" w:cs="Amiri"/>
          <w:color w:val="111111"/>
          <w:sz w:val="28"/>
          <w:sz w:val="28"/>
          <w:szCs w:val="28"/>
          <w:rtl w:val="true"/>
          <w:lang w:bidi="ar-SA"/>
        </w:rPr>
        <w:t xml:space="preserve">في صدق المتخاصمين بل يجب عليه إحراز الطرق المقرّرة في الشريعة بقطع التحارب </w:t>
      </w:r>
      <w:r>
        <w:rPr>
          <w:rStyle w:val="FootnoteAnchor"/>
          <w:rtl w:val="true"/>
        </w:rPr>
        <w:footnoteReference w:id="808"/>
      </w:r>
      <w:r>
        <w:rPr>
          <w:rFonts w:ascii="Amiri" w:hAnsi="Amiri" w:eastAsia="Amiri" w:cs="Amiri"/>
          <w:color w:val="111111"/>
          <w:sz w:val="28"/>
          <w:sz w:val="28"/>
          <w:szCs w:val="28"/>
          <w:rtl w:val="true"/>
          <w:lang w:bidi="ar-SA"/>
        </w:rPr>
        <w:t xml:space="preserve">ورفع التنازع وتحصيل موازين القضاء ولو بظنون </w:t>
      </w:r>
    </w:p>
    <w:p>
      <w:pPr>
        <w:pStyle w:val="BookText"/>
        <w:rPr/>
      </w:pPr>
      <w:r>
        <w:rPr>
          <w:rFonts w:ascii="Amiri" w:hAnsi="Amiri" w:eastAsia="Amiri" w:cs="Amiri"/>
          <w:color w:val="111111"/>
          <w:sz w:val="28"/>
          <w:sz w:val="28"/>
          <w:szCs w:val="28"/>
          <w:rtl w:val="true"/>
          <w:lang w:bidi="ar-SA"/>
        </w:rPr>
        <w:t>اجتهادية من أنّ البيّنة على المدّعي ، واليمين على من أنكر ، والصلح جائز وغيرها ممّا اشتمل عليه كتاب القضاء ، وكذا لا يجوز للمقلّد إعمال الظنّ في نفس الأحكام الواقعية بل كما يكشف عن ذلك عدم جواز رجوعه إلى تقليد الميّت الأعلم بواسطة غلبة ظنّه بتطابق رأيه إلى الواقع عن تقليد الحيّ المظنون اجتهاده وعدالته بل الواجب عليه تشخيص المجتهد الذي هو طريق بالنسبة إليه بظنونه المتداولة بين أمثاله في تعيين الموضوعات من الرجوع إلى أرباب الخبرة في الاجتهاد والمصاحبة التامّة في العدالة مثلا ، وذلك للفرق الواضح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إجمالا ، فلانعقاد الإجماع من المسلمين على عدم حجّية </w:t>
      </w:r>
      <w:r>
        <w:rPr>
          <w:rStyle w:val="FootnoteAnchor"/>
          <w:rtl w:val="true"/>
        </w:rPr>
        <w:footnoteReference w:id="809"/>
      </w:r>
      <w:r>
        <w:rPr>
          <w:rFonts w:ascii="Amiri" w:hAnsi="Amiri" w:eastAsia="Amiri" w:cs="Amiri"/>
          <w:color w:val="111111"/>
          <w:sz w:val="28"/>
          <w:sz w:val="28"/>
          <w:szCs w:val="28"/>
          <w:rtl w:val="true"/>
          <w:lang w:bidi="ar-SA"/>
        </w:rPr>
        <w:t>ظنون المقلّد في الأحكام الواقعية والمجتهد في الموضوعات الخارجية في مقام القضاء بل الضرورة الدينية قاضية بذلك ، فالتقليد والقضاء إنّما شرّعا في أصل الشرع على وجه لا يجوز الرجوع فيهما إلى الظنّ في الأحكام في الأوّل والموضوعات في الثاني ، فإنّهما متعاكسان كما لا يخفى ، فعدم جواز الرجوع فيهما إلى غير ما هو المقرّر فيهما ليس من جهة الأصل والعمومات الناهية عن العمل بما وراء العلم بل بواسطة ثبوت حرمته بالخصوص كالقياس وأضرابه ، وذلك لا يقضي بعدم جواز إعمال الظنّ في غير الطريق والاتّكال عليه في الأحكام فيما ليس كذلك على ما هو ظاهر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تفصيلا ، فلأنّ الظنون المعمولة في تمييز </w:t>
      </w:r>
      <w:r>
        <w:rPr>
          <w:rStyle w:val="FootnoteAnchor"/>
          <w:rtl w:val="true"/>
        </w:rPr>
        <w:footnoteReference w:id="810"/>
      </w:r>
      <w:r>
        <w:rPr>
          <w:rFonts w:ascii="Amiri" w:hAnsi="Amiri" w:eastAsia="Amiri" w:cs="Amiri"/>
          <w:color w:val="111111"/>
          <w:sz w:val="28"/>
          <w:sz w:val="28"/>
          <w:szCs w:val="28"/>
          <w:rtl w:val="true"/>
          <w:lang w:bidi="ar-SA"/>
        </w:rPr>
        <w:t xml:space="preserve">الموضوعات للمقلّد والأحكام للقضاء ظنون مضبوطة معلومة مندرجة تحت قاعدة مقرّرة في تعيين الموضوعات عندهم من قول أهل الخبرة ونحوه ، وفي تمييز </w:t>
      </w:r>
      <w:r>
        <w:rPr>
          <w:rStyle w:val="FootnoteAnchor"/>
          <w:rtl w:val="true"/>
        </w:rPr>
        <w:footnoteReference w:id="811"/>
      </w:r>
      <w:r>
        <w:rPr>
          <w:rFonts w:ascii="Amiri" w:hAnsi="Amiri" w:eastAsia="Amiri" w:cs="Amiri"/>
          <w:color w:val="111111"/>
          <w:sz w:val="28"/>
          <w:sz w:val="28"/>
          <w:szCs w:val="28"/>
          <w:rtl w:val="true"/>
          <w:lang w:bidi="ar-SA"/>
        </w:rPr>
        <w:t xml:space="preserve">موازين القضاء من الشهرات والإجماعات المنقولة وأخبار الآحاد ونحوها من الأمارات التي تصادف الواقع غالبا بخلاف الظنّ المعمول في الموضوعات للقضاء ، فإنّه غالبا من الأمور التي لا عبرة بها ، </w:t>
      </w:r>
    </w:p>
    <w:p>
      <w:pPr>
        <w:pStyle w:val="BookText"/>
        <w:rPr/>
      </w:pPr>
      <w:r>
        <w:rPr>
          <w:rFonts w:ascii="Amiri" w:hAnsi="Amiri" w:eastAsia="Amiri" w:cs="Amiri"/>
          <w:color w:val="111111"/>
          <w:sz w:val="28"/>
          <w:sz w:val="28"/>
          <w:szCs w:val="28"/>
          <w:rtl w:val="true"/>
          <w:lang w:bidi="ar-SA"/>
        </w:rPr>
        <w:t>وقلّما يتّفق مطابقتها للواقع كحسن الظنّ بالمدّعي مثلا ولا سيّما بالنسبة إلى خصوص آحاد المكلّفين المختلفين بحسب قوّة تخيّلاتهم ، وضعفها المنتهية إلى اختلاف مراتب أغراضهم ، وبخلاف الظنون المستعملة في الأحكام للمقلّدين من الحدسيات والتخمينيّات المختلفة بحسب اختلاف آرائهم ، ولعمري لو أنّه يجوز للمقلّد إعمال ظنّه في تشخيص الأحكام ، لكان كلّ واحد منهم متديّنا بغير ما تديّن به الآخر ، وينجرّ ذلك إلى اضمحلال الدين وفساد شريعة خاتم النبيّين وكساد طريقة سيّد المرسلين ، وهل هذا إلاّ هرج ومرج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تمكّن المقلّد من تشخيص الأحكام بمثل ما يشخّص به الموضوعات من الظنون المنضبطة ، لقلنا بجواز إعماله فيها ولا ضير فيه إلاّ أنّه خارج عن مفروض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Style w:val="FootnoteAnchor"/>
          <w:rtl w:val="true"/>
        </w:rPr>
        <w:footnoteReference w:id="812"/>
      </w:r>
      <w:r>
        <w:rPr>
          <w:rFonts w:ascii="Amiri" w:hAnsi="Amiri" w:eastAsia="Amiri" w:cs="Amiri"/>
          <w:color w:val="111111"/>
          <w:sz w:val="28"/>
          <w:sz w:val="28"/>
          <w:szCs w:val="28"/>
          <w:rtl w:val="true"/>
          <w:lang w:bidi="ar-SA"/>
        </w:rPr>
        <w:t xml:space="preserve">من عدم جواز رجوع المقلّد إلى الميّت الأعلم من جهة ، فمع أنّه ليس بذلك المعلوم ، فإنّه طالما تشاجروا فيه ، فهذا هو المحقّق القمّي </w:t>
      </w:r>
      <w:r>
        <w:rPr>
          <w:rStyle w:val="FootnoteAnchor"/>
          <w:rtl w:val="true"/>
        </w:rPr>
        <w:footnoteReference w:id="813"/>
      </w:r>
      <w:r>
        <w:rPr>
          <w:rFonts w:ascii="IRNazanin" w:hAnsi="IRNazanin" w:eastAsia="IRNazanin"/>
          <w:color w:val="111111"/>
          <w:sz w:val="28"/>
          <w:sz w:val="28"/>
          <w:szCs w:val="28"/>
          <w:rtl w:val="true"/>
          <w:lang w:bidi="fa-IR"/>
        </w:rPr>
        <w:t xml:space="preserve">وضرب </w:t>
      </w:r>
      <w:r>
        <w:rPr>
          <w:rStyle w:val="FootnoteAnchor"/>
          <w:rtl w:val="true"/>
        </w:rPr>
        <w:footnoteReference w:id="814"/>
      </w:r>
      <w:r>
        <w:rPr>
          <w:rFonts w:ascii="Amiri" w:hAnsi="Amiri" w:eastAsia="Amiri" w:cs="Amiri"/>
          <w:color w:val="111111"/>
          <w:sz w:val="28"/>
          <w:sz w:val="28"/>
          <w:szCs w:val="28"/>
          <w:rtl w:val="true"/>
          <w:lang w:bidi="ar-SA"/>
        </w:rPr>
        <w:t xml:space="preserve">من الأخبارية </w:t>
      </w:r>
      <w:r>
        <w:rPr>
          <w:rStyle w:val="FootnoteAnchor"/>
          <w:rtl w:val="true"/>
        </w:rPr>
        <w:footnoteReference w:id="815"/>
      </w:r>
      <w:r>
        <w:rPr>
          <w:rFonts w:ascii="Amiri" w:hAnsi="Amiri" w:eastAsia="Amiri" w:cs="Amiri"/>
          <w:color w:val="111111"/>
          <w:sz w:val="28"/>
          <w:sz w:val="28"/>
          <w:szCs w:val="28"/>
          <w:rtl w:val="true"/>
          <w:lang w:bidi="ar-SA"/>
        </w:rPr>
        <w:t>مجوّزون لذلك ، فالوجه فيه ما عرفت من قيام الإجماع عليه ، ولولاه لما كان القول بتلك المكانة من البعد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فكما أنّ أسباب تمييز </w:t>
      </w:r>
      <w:r>
        <w:rPr>
          <w:rStyle w:val="FootnoteAnchor"/>
          <w:rtl w:val="true"/>
        </w:rPr>
        <w:footnoteReference w:id="816"/>
      </w:r>
      <w:r>
        <w:rPr>
          <w:rFonts w:ascii="Amiri" w:hAnsi="Amiri" w:eastAsia="Amiri" w:cs="Amiri"/>
          <w:color w:val="111111"/>
          <w:sz w:val="28"/>
          <w:sz w:val="28"/>
          <w:szCs w:val="28"/>
          <w:rtl w:val="true"/>
          <w:lang w:bidi="ar-SA"/>
        </w:rPr>
        <w:t xml:space="preserve">الواقع والطريق إليه فيما نحن فيه متّحدة فإنّها في المقامين هي الإجماعات والأخبار والشهرات مثلا ، فكذا </w:t>
      </w:r>
      <w:r>
        <w:rPr>
          <w:rStyle w:val="FootnoteAnchor"/>
          <w:rtl w:val="true"/>
        </w:rPr>
        <w:footnoteReference w:id="817"/>
      </w:r>
      <w:r>
        <w:rPr>
          <w:rFonts w:ascii="Amiri" w:hAnsi="Amiri" w:eastAsia="Amiri" w:cs="Amiri"/>
          <w:color w:val="111111"/>
          <w:sz w:val="28"/>
          <w:sz w:val="28"/>
          <w:szCs w:val="28"/>
          <w:rtl w:val="true"/>
          <w:lang w:bidi="ar-SA"/>
        </w:rPr>
        <w:t xml:space="preserve">لو كان في المثالين المقيس </w:t>
      </w:r>
    </w:p>
    <w:p>
      <w:pPr>
        <w:pStyle w:val="BookText"/>
        <w:rPr/>
      </w:pPr>
      <w:r>
        <w:rPr>
          <w:rFonts w:ascii="Amiri" w:hAnsi="Amiri" w:eastAsia="Amiri" w:cs="Amiri"/>
          <w:color w:val="111111"/>
          <w:sz w:val="28"/>
          <w:sz w:val="28"/>
          <w:szCs w:val="28"/>
          <w:rtl w:val="true"/>
          <w:lang w:bidi="ar-SA"/>
        </w:rPr>
        <w:t>عليهما أمارات التشخّص متّحدة نوعا في مورديهما ، لقلنا بجواز عمل القاضي بتلك الأمارات في تشخيص الموضوعات ، والمقلّد في تشخيص الأحكام ، فظهر أنّ قياسها على المقام قياس مع الفارق هذا تمام الكلام في الوجه الذي أورده بعض الأجلّة في فصوله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بعض الأعاظم في التعليقة وجوها متقاربة حاصلها يرجع إلى دليل الانسداد بتغيير ما في إحدى مقدّماته ، فإنّ المطلوب في المقدّمة القائلة بعدم الرجوع في تعيين الحكم الثابت في الجملة في المقدّمة الثالثة إلى البراءة الأصلية كما احتملها محقّق الجمال </w:t>
      </w:r>
      <w:r>
        <w:rPr>
          <w:rStyle w:val="FootnoteAnchor"/>
          <w:rtl w:val="true"/>
        </w:rPr>
        <w:footnoteReference w:id="818"/>
      </w:r>
      <w:r>
        <w:rPr>
          <w:rFonts w:ascii="Amiri" w:hAnsi="Amiri" w:eastAsia="Amiri" w:cs="Amiri"/>
          <w:color w:val="111111"/>
          <w:sz w:val="28"/>
          <w:sz w:val="28"/>
          <w:szCs w:val="28"/>
          <w:rtl w:val="true"/>
          <w:lang w:bidi="ar-SA"/>
        </w:rPr>
        <w:t xml:space="preserve">عدم جواز الرجوع إليها في نفس الأحكام الواقعية الثابتة في اللوح المحفوظ التي نزل بها جبريل إلى النبيّ صلى‌اللّه‌عليه‌وآله في دليل الانسداد ، و </w:t>
      </w:r>
      <w:r>
        <w:rPr>
          <w:rStyle w:val="FootnoteAnchor"/>
          <w:rtl w:val="true"/>
        </w:rPr>
        <w:footnoteReference w:id="819"/>
      </w:r>
      <w:r>
        <w:rPr>
          <w:rFonts w:ascii="Amiri" w:hAnsi="Amiri" w:eastAsia="Amiri" w:cs="Amiri"/>
          <w:color w:val="111111"/>
          <w:sz w:val="28"/>
          <w:sz w:val="28"/>
          <w:szCs w:val="28"/>
          <w:rtl w:val="true"/>
          <w:lang w:bidi="ar-SA"/>
        </w:rPr>
        <w:t xml:space="preserve">وعلى ما قرّره عدم جواز الاستناد إليها في مؤدّيات الطريق ، والفرق بينه وبين ما تقدّم نقله من </w:t>
      </w:r>
      <w:r>
        <w:rPr>
          <w:rStyle w:val="FootnoteAnchor"/>
          <w:rtl w:val="true"/>
        </w:rPr>
        <w:footnoteReference w:id="820"/>
      </w:r>
      <w:r>
        <w:rPr>
          <w:rFonts w:ascii="IRNazanin" w:hAnsi="IRNazanin" w:eastAsia="IRNazanin"/>
          <w:color w:val="111111"/>
          <w:sz w:val="28"/>
          <w:sz w:val="28"/>
          <w:szCs w:val="28"/>
          <w:rtl w:val="true"/>
          <w:lang w:bidi="fa-IR"/>
        </w:rPr>
        <w:t xml:space="preserve">الفصول </w:t>
      </w:r>
      <w:r>
        <w:rPr>
          <w:rStyle w:val="FootnoteAnchor"/>
          <w:rtl w:val="true"/>
        </w:rPr>
        <w:footnoteReference w:id="821"/>
      </w:r>
      <w:r>
        <w:rPr>
          <w:rFonts w:ascii="Amiri" w:hAnsi="Amiri" w:eastAsia="Amiri" w:cs="Amiri"/>
          <w:color w:val="111111"/>
          <w:sz w:val="28"/>
          <w:sz w:val="28"/>
          <w:szCs w:val="28"/>
          <w:rtl w:val="true"/>
          <w:lang w:bidi="ar-SA"/>
        </w:rPr>
        <w:t xml:space="preserve">أنّه زاد في الدليل مقدّمة وهي العلم الإجمالي بنصب من الشارع بخلافه ، فإنّه قد اعتبر عدم جواز إعمال البراءة في مؤدّيات الطريق وإن أمكن إرجاع كلّ منهما إلى الآخر ، وكيف كان فمناط هذا الوجه أنّ ما يتنجّز في حقّنا وفي حقّ غيرنا ممّن تقدّم علينا أو يتأخّر عنّا ولو في أصحاب النبيّ صلى‌اللّه‌عليه‌وآله والأئمّة عليهم‌السلام ليس إلاّ التكليف بمؤدّيات الطرق المقرّرة ، والتكليف بالواقع إنّما هو شأنيّ محض ، واستكشف عن ذلك بالرجوع إلى أحوال المقلّدين في أخذ الفتاوى عن المجتهدين ، وأصحاب الأئمّة عنهم ، وبعضهم عن بعض ، فإنّ المرأة تراجع زوجها في أخذ أحكامها ، والصبيان بمعلّميهم </w:t>
      </w:r>
      <w:r>
        <w:rPr>
          <w:rStyle w:val="FootnoteAnchor"/>
          <w:rtl w:val="true"/>
        </w:rPr>
        <w:footnoteReference w:id="822"/>
      </w:r>
      <w:r>
        <w:rPr>
          <w:rFonts w:ascii="Amiri" w:hAnsi="Amiri" w:eastAsia="Amiri" w:cs="Amiri"/>
          <w:color w:val="111111"/>
          <w:sz w:val="28"/>
          <w:sz w:val="28"/>
          <w:szCs w:val="28"/>
          <w:rtl w:val="true"/>
          <w:lang w:bidi="ar-SA"/>
        </w:rPr>
        <w:t xml:space="preserve">من غير احتمال الخطأ في الدلالة أو في السند أو في جهة الصدور ، فيعملون فيها بأصالة الحقيقة وأصالة عدم السهو والنسيان ، وأصالة عدم التقيّة ونحوها من الأصول المعمولة عند </w:t>
      </w:r>
    </w:p>
    <w:p>
      <w:pPr>
        <w:pStyle w:val="BookText"/>
        <w:rPr/>
      </w:pPr>
      <w:r>
        <w:rPr>
          <w:rFonts w:ascii="Amiri" w:hAnsi="Amiri" w:eastAsia="Amiri" w:cs="Amiri"/>
          <w:color w:val="111111"/>
          <w:sz w:val="28"/>
          <w:sz w:val="28"/>
          <w:szCs w:val="28"/>
          <w:rtl w:val="true"/>
          <w:lang w:bidi="ar-SA"/>
        </w:rPr>
        <w:t xml:space="preserve">العقلاء في استنباط مداليل الكلمات ، ومؤدّيات الأخبار والطلبات ، فالخطاب المتوجّه إلينا فعلا ليس إلاّ مثل هذه الأحكام ، ثمّ استظهره أيضا بجريان أصالة البراءة ، فإنّ وجود الحكم في الواقع لا ينافيها بل فيما لو كان الدليل مفقودا عندنا على الحكم ، فمن حيث عدم تنجّز التكليف بمفاد الدليل تجري أصالة البراءة في محلّ جريانها ، وتقضي عمّا لو حصل العلم بالواقع بأنّ بعد حصول العلم بالواقع ، فلا تكليف إلاّ به حيث إنّه لا يتصوّر طريقية طريق </w:t>
      </w:r>
      <w:r>
        <w:rPr>
          <w:rStyle w:val="FootnoteAnchor"/>
          <w:rtl w:val="true"/>
        </w:rPr>
        <w:footnoteReference w:id="823"/>
      </w:r>
      <w:r>
        <w:rPr>
          <w:rFonts w:ascii="Amiri" w:hAnsi="Amiri" w:eastAsia="Amiri" w:cs="Amiri"/>
          <w:color w:val="111111"/>
          <w:sz w:val="28"/>
          <w:sz w:val="28"/>
          <w:szCs w:val="28"/>
          <w:rtl w:val="true"/>
          <w:lang w:bidi="ar-SA"/>
        </w:rPr>
        <w:t xml:space="preserve">بعد العلم ، فلا تكليف بمفاده لا فعلا ولا شأنا فإنّ السالبة قد تنفى بانتفاء موضوعها ، وأطال في بيان مرامه كما هو دأبه في غير المقام أيضا ، وفرّع عليه النتيجة المطلوبة من إعمال الظنّ في تشخيص الطريق لتحصيل الأحكام التي تتنجّز </w:t>
      </w:r>
      <w:r>
        <w:rPr>
          <w:rStyle w:val="FootnoteAnchor"/>
          <w:rtl w:val="true"/>
        </w:rPr>
        <w:footnoteReference w:id="824"/>
      </w:r>
      <w:r>
        <w:rPr>
          <w:rFonts w:ascii="Amiri" w:hAnsi="Amiri" w:eastAsia="Amiri" w:cs="Amiri"/>
          <w:color w:val="111111"/>
          <w:sz w:val="28"/>
          <w:sz w:val="28"/>
          <w:szCs w:val="28"/>
          <w:rtl w:val="true"/>
          <w:lang w:bidi="ar-SA"/>
        </w:rPr>
        <w:t xml:space="preserve">في حقّنا ، ويتوجّه علينا فعلا بعد انسداد باب العلم إليها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ذلك بعد تمهيد مقدّمة وهي أنّه لا ريب في أنّ لله أحكاما واقعية في كلّ واقعة والدليل على ذلك بعد الإجماع من المخطّئة هو تسلّم </w:t>
      </w:r>
      <w:r>
        <w:rPr>
          <w:rStyle w:val="FootnoteAnchor"/>
          <w:rtl w:val="true"/>
        </w:rPr>
        <w:footnoteReference w:id="826"/>
      </w:r>
      <w:r>
        <w:rPr>
          <w:rFonts w:ascii="Amiri" w:hAnsi="Amiri" w:eastAsia="Amiri" w:cs="Amiri"/>
          <w:color w:val="111111"/>
          <w:sz w:val="28"/>
          <w:sz w:val="28"/>
          <w:szCs w:val="28"/>
          <w:rtl w:val="true"/>
          <w:lang w:bidi="ar-SA"/>
        </w:rPr>
        <w:t xml:space="preserve">الخصم هنا وأنّها لا تنجّز في حقّنا إلاّ بعد العلم بها تفصيلا أو إجمالا مع التمكّن من الامتثال ، ولو لا أنّ العلم الإجمالي كاف في تنجّز التكليف مع تمكّن المكلّف مثلا ، لما صحّ تكليف الكفّار بالفروع مع أنّ الإجماع منعقد منّا </w:t>
      </w:r>
      <w:r>
        <w:rPr>
          <w:rStyle w:val="FootnoteAnchor"/>
          <w:rtl w:val="true"/>
        </w:rPr>
        <w:footnoteReference w:id="827"/>
      </w:r>
      <w:r>
        <w:rPr>
          <w:rFonts w:ascii="Amiri" w:hAnsi="Amiri" w:eastAsia="Amiri" w:cs="Amiri"/>
          <w:color w:val="111111"/>
          <w:sz w:val="28"/>
          <w:sz w:val="28"/>
          <w:szCs w:val="28"/>
          <w:rtl w:val="true"/>
          <w:lang w:bidi="ar-SA"/>
        </w:rPr>
        <w:t>على التكليف فيها بالنسبة إليهم ، ويدلّك على هذا ظواهر بعض الآثار المرويّة عن الهداة الأبرار عليهم‌السلام</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رواه بعضهم فيما سألهم عن سماع غناء الجواري ، فأجابه عليه‌السلام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أسوأ حالك فيما لو تموت على مثل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الظاهر أنّ العلم التفصيلي لم يكن له حاصلا ، ولو لا العلم الإجمالي أيضا ، فلا وجه لبقائه كما يظهر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أسوأ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جعل الطريق ونصبه من الشارع تارة في حال الانفتاح ، وأخرى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 فقد يجعل الطريق لا من حيث اشتماله على مصلحة متداركة لمصلحة الواقع عند التخلّف عنها </w:t>
      </w:r>
      <w:r>
        <w:rPr>
          <w:rStyle w:val="FootnoteAnchor"/>
          <w:rtl w:val="true"/>
        </w:rPr>
        <w:footnoteReference w:id="829"/>
      </w:r>
      <w:r>
        <w:rPr>
          <w:rFonts w:ascii="Amiri" w:hAnsi="Amiri" w:eastAsia="Amiri" w:cs="Amiri"/>
          <w:color w:val="111111"/>
          <w:sz w:val="28"/>
          <w:sz w:val="28"/>
          <w:szCs w:val="28"/>
          <w:rtl w:val="true"/>
          <w:lang w:bidi="ar-SA"/>
        </w:rPr>
        <w:t>بل الوجه في الجعل إنّما هو بواسطة غلبة مطابقته للواقع تسهيلا للعباد عند التخلّف ، وقد يجعل من حيث اشتماله على المصلحة المتداركة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أنّه على الأوّل رخصة ، فيحسن تحصيل الواقع بالاحتياط بعد الإتيان على وجه يوافق الطريق ، وعلى الثاني عزيمة يجب الاعتماد عليه ، فلا يحسن الاحتياط ، وتحصيل الواقع ؛ إذ هو في عرض الواقع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فقد يجعل الطريق من حيث هو مرآة للواقع ، وآلة للوصول إليه من غير اشتماله على مصلحة عدا كونه مرآة وآلة ، وقد يجعل من حيث اشتماله على المصلحة التسهيلية ، ولا وجه لجعل الطريق حال الانسداد من جهة اشتماله على المصلحة المتداركة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الأربعة ، فتارة على وجه الجعل حقيقة ، وأخرى على وجه الإمضاء في طرقهم المعمولة عندهم في استكشاف مطالبهم ، وإذ قد عرفت هذا فنقول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أراد أنّ هناك طرقا جعلية تعبّدية مشتملة على المصلحة المتداركة لمصلحة الواقع في صورة التخلّف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في الإفادة والاستفادة للشارع وأصحابه إنّما هو في هذه الطرق ، فغير سديد ؛ للعلم القطعي بأنّ المجعول من الشارع على تقديره ليس من هذا القبيل ، ويكذّبه ملاحظة أحوال ما استكشف منه مطلوبه ، فإنّ من المعلوم أنّ مراجعة الزوجة والصبيان لزوجها ومعلّمهم ليس إلاّ من جهة استكشاف الواقع ، وكذا اعتماد العقلاء على الأصول التعبّدية كأصالة الحقيقة ونحوها ليس إلاّ بواسطة أنّه لو لم يعتمد على تلك الأصول ، لكان التخلّف اللازم على تقديره أكثر من </w:t>
      </w:r>
    </w:p>
    <w:p>
      <w:pPr>
        <w:pStyle w:val="BookText"/>
        <w:rPr/>
      </w:pPr>
      <w:r>
        <w:rPr>
          <w:rFonts w:ascii="Amiri" w:hAnsi="Amiri" w:eastAsia="Amiri" w:cs="Amiri"/>
          <w:color w:val="111111"/>
          <w:sz w:val="28"/>
          <w:sz w:val="28"/>
          <w:szCs w:val="28"/>
          <w:rtl w:val="true"/>
          <w:lang w:bidi="ar-SA"/>
        </w:rPr>
        <w:t xml:space="preserve">التخلّف على تقدير الاعتماد عليها ،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نراجع وجداننا مرّة بعد أخرى ، وكرّة بعد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 نفوسنا عند الاعتماد على الطرق المقرّرة إلاّ من حيث إنّها كاشفة عن الواقع مبيّنة له ، ولا يكاد ينكره إلاّ مكابر ، أو من لا حظّ له من الفهم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المتداول في الإفادة والاستفادة إنّما هو الطرق المقرّرة الكاشفة عن الواقع لا من حيث إنّها طرق تعبّدية مشتملة على المصلحة المتداركة ، فغير مفيد فيما هو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 فلأنّ الطرق المقرّرة عند العقلاء إنّما هي الطرق التي فطرهم على الاعتماد عليه ، وخلقهم معتمدين به ، فكلّ ما راجعوا إليه ، فهو طريقهم ، إن علما فعلم ، وإن ظنّا فظنّ ، فلا وجه للقول بانسداد باب العلم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 فلأنّ الطرق المعوّلة </w:t>
      </w:r>
      <w:r>
        <w:rPr>
          <w:rStyle w:val="FootnoteAnchor"/>
          <w:rtl w:val="true"/>
        </w:rPr>
        <w:footnoteReference w:id="830"/>
      </w:r>
      <w:r>
        <w:rPr>
          <w:rFonts w:ascii="Amiri" w:hAnsi="Amiri" w:eastAsia="Amiri" w:cs="Amiri"/>
          <w:color w:val="111111"/>
          <w:sz w:val="28"/>
          <w:sz w:val="28"/>
          <w:szCs w:val="28"/>
          <w:rtl w:val="true"/>
          <w:lang w:bidi="ar-SA"/>
        </w:rPr>
        <w:t xml:space="preserve">عليها عند العقلاء ليس </w:t>
      </w:r>
      <w:r>
        <w:rPr>
          <w:rStyle w:val="FootnoteAnchor"/>
          <w:rtl w:val="true"/>
        </w:rPr>
        <w:footnoteReference w:id="831"/>
      </w:r>
      <w:r>
        <w:rPr>
          <w:rFonts w:ascii="Amiri" w:hAnsi="Amiri" w:eastAsia="Amiri" w:cs="Amiri"/>
          <w:color w:val="111111"/>
          <w:sz w:val="28"/>
          <w:sz w:val="28"/>
          <w:szCs w:val="28"/>
          <w:rtl w:val="true"/>
          <w:lang w:bidi="ar-SA"/>
        </w:rPr>
        <w:t>إلاّ من جهة المرآتية والطريقية ، فلو فرضنا انسداد باب العلم فيها ، فلا بدّ من تحصيل مقدّمة أخرى غير المقدّمة المنسدّ فيها باب العلم ، ولا يقضي انسداد باب العلم فيها بإعمال الظنّ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الإمضاء من الشارع لا يزيد على حكم العقل بالامتثال من جهة الإرشاد ، ومنشأ الاشتباه هو الخلط بين الإرشاد والإمضاء ، فكما أنّ العقل بعد ملاحظة الأمر من الشارع يحكم على جهة الإرشاد بالامتثال ، فكذا الشارع إمضاؤه للطريق معناه إرشاده بالامتثال من الطريق ، فقد يتخيّل أنّ مجرّد هذا الإرشاد يقيّد </w:t>
      </w:r>
      <w:r>
        <w:rPr>
          <w:rStyle w:val="FootnoteAnchor"/>
          <w:rtl w:val="true"/>
        </w:rPr>
        <w:footnoteReference w:id="832"/>
      </w:r>
      <w:r>
        <w:rPr>
          <w:rFonts w:ascii="Amiri" w:hAnsi="Amiri" w:eastAsia="Amiri" w:cs="Amiri"/>
          <w:color w:val="111111"/>
          <w:sz w:val="28"/>
          <w:sz w:val="28"/>
          <w:szCs w:val="28"/>
          <w:rtl w:val="true"/>
          <w:lang w:bidi="ar-SA"/>
        </w:rPr>
        <w:t xml:space="preserve">للأحكام الواقعية فكأنّها </w:t>
      </w:r>
      <w:r>
        <w:rPr>
          <w:rStyle w:val="FootnoteAnchor"/>
          <w:rtl w:val="true"/>
        </w:rPr>
        <w:footnoteReference w:id="833"/>
      </w:r>
      <w:r>
        <w:rPr>
          <w:rFonts w:ascii="Amiri" w:hAnsi="Amiri" w:eastAsia="Amiri" w:cs="Amiri"/>
          <w:color w:val="111111"/>
          <w:sz w:val="28"/>
          <w:sz w:val="28"/>
          <w:szCs w:val="28"/>
          <w:rtl w:val="true"/>
          <w:lang w:bidi="ar-SA"/>
        </w:rPr>
        <w:t>لم تكن مجعولة أصلا ، غير منجّزة في حقّنا ؛ لما تقدّم في الردّ على الوجه الأوّل المنقول من الفصول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إنّ القول بشأنية الأحكام الواقعية بأسرها إنّما يتمّ بعد انتفاء العلم رأسا </w:t>
      </w:r>
    </w:p>
    <w:p>
      <w:pPr>
        <w:pStyle w:val="BookText"/>
        <w:rPr/>
      </w:pPr>
      <w:r>
        <w:rPr>
          <w:rFonts w:ascii="Amiri" w:hAnsi="Amiri" w:eastAsia="Amiri" w:cs="Amiri"/>
          <w:color w:val="111111"/>
          <w:sz w:val="28"/>
          <w:sz w:val="28"/>
          <w:szCs w:val="28"/>
          <w:rtl w:val="true"/>
          <w:lang w:bidi="ar-SA"/>
        </w:rPr>
        <w:t>لا إجمالا ولا تفصيلا ، والقول بالتقييد إنّما يتمّ لو قلنا بأنّ التعبّد شرعي لا عقلي ، وقد ظهر ممّا مرّ فساده بما لا مزيد عليه ، مضافا إلى أنّ التقييد على تقدير ثبوته أيضا ممّا لا يخيّل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ممّا مرّ في بيان هذا الوجه يظهر وجه آخر في عدم جواز اعتماد القاضي على الظنون المستعملة في استكشاف حكم الواقعة التي ترافع المتخاصمين إليه ، فإنّ القاضي لا بدّ وأن يعتمد على مداليل الطرق الخاصّة المقرّرة عنده ، ولا يجوز له التوصّل إلى الواقع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نحكم بينكم </w:t>
      </w:r>
      <w:r>
        <w:rPr>
          <w:rStyle w:val="FootnoteAnchor"/>
          <w:rtl w:val="true"/>
        </w:rPr>
        <w:footnoteReference w:id="834"/>
      </w:r>
      <w:r>
        <w:rPr>
          <w:rFonts w:ascii="IRNazanin" w:hAnsi="IRNazanin" w:eastAsia="IRNazanin"/>
          <w:color w:val="111111"/>
          <w:sz w:val="28"/>
          <w:sz w:val="28"/>
          <w:szCs w:val="28"/>
          <w:rtl w:val="true"/>
          <w:lang w:bidi="fa-IR"/>
        </w:rPr>
        <w:t xml:space="preserve">بالظاهر ، واللّه أعلم بالسرائر </w:t>
      </w:r>
      <w:r>
        <w:rPr>
          <w:rFonts w:eastAsia="IRNazanin" w:cs="IRNazanin"/>
          <w:color w:val="111111"/>
          <w:sz w:val="28"/>
          <w:szCs w:val="28"/>
          <w:rtl w:val="true"/>
          <w:lang w:bidi="fa-IR"/>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ولما روي أنّ عالما من علماء بني إسرائيل قد ناجى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كيف أقضي بين الناس بما لم تره عيني ، وسمعه أذني؟ فألهمه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 الناس بالبيّنات ، وأضفهم إليها باسمي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في التعليقة أيضا وجهين آخرين لا بأس بنقلهما وبيان ما 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منهما تحريره موقوف على تمهيد مقدّمات بعد توضيح منّا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العلم الإجمالي كاف في تنجّز التكليف على المكلّف كما تقدّم ، ويدلّك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مع قضاء ضرورة العقل به ، ولم نعرف في ذلك مخالفا إلاّ ما قد يظهر من المقدّس الأردبيلي </w:t>
      </w:r>
      <w:r>
        <w:rPr>
          <w:rStyle w:val="FootnoteAnchor"/>
          <w:rtl w:val="true"/>
        </w:rPr>
        <w:footnoteReference w:id="838"/>
      </w:r>
      <w:r>
        <w:rPr>
          <w:rFonts w:ascii="IRNazanin" w:hAnsi="IRNazanin" w:eastAsia="IRNazanin"/>
          <w:color w:val="111111"/>
          <w:sz w:val="28"/>
          <w:sz w:val="28"/>
          <w:szCs w:val="28"/>
          <w:rtl w:val="true"/>
          <w:lang w:bidi="fa-IR"/>
        </w:rPr>
        <w:t xml:space="preserve">ومن اقتفى أثره </w:t>
      </w:r>
      <w:r>
        <w:rPr>
          <w:rStyle w:val="FootnoteAnchor"/>
          <w:rtl w:val="true"/>
        </w:rPr>
        <w:footnoteReference w:id="839"/>
      </w:r>
      <w:r>
        <w:rPr>
          <w:rFonts w:ascii="Amiri" w:hAnsi="Amiri" w:eastAsia="Amiri" w:cs="Amiri"/>
          <w:color w:val="111111"/>
          <w:sz w:val="28"/>
          <w:sz w:val="28"/>
          <w:szCs w:val="28"/>
          <w:rtl w:val="true"/>
          <w:lang w:bidi="ar-SA"/>
        </w:rPr>
        <w:t xml:space="preserve">في أنّ الواجب بعد العلم هو الفحص وتحصيل المعرفة بالواجب وتشخيص الحرام لا </w:t>
      </w:r>
    </w:p>
    <w:p>
      <w:pPr>
        <w:pStyle w:val="BookText"/>
        <w:rPr/>
      </w:pPr>
      <w:r>
        <w:rPr>
          <w:rFonts w:ascii="Amiri" w:hAnsi="Amiri" w:eastAsia="Amiri" w:cs="Amiri"/>
          <w:color w:val="111111"/>
          <w:sz w:val="28"/>
          <w:sz w:val="28"/>
          <w:szCs w:val="28"/>
          <w:rtl w:val="true"/>
          <w:lang w:bidi="ar-SA"/>
        </w:rPr>
        <w:t>الأحكام الواقعية المعلومة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أورد عليه المحقّق الجمال </w:t>
      </w:r>
      <w:r>
        <w:rPr>
          <w:rStyle w:val="FootnoteAnchor"/>
          <w:rtl w:val="true"/>
        </w:rPr>
        <w:footnoteReference w:id="840"/>
      </w:r>
      <w:r>
        <w:rPr>
          <w:rFonts w:ascii="Amiri" w:hAnsi="Amiri" w:eastAsia="Amiri" w:cs="Amiri"/>
          <w:color w:val="111111"/>
          <w:sz w:val="28"/>
          <w:sz w:val="28"/>
          <w:szCs w:val="28"/>
          <w:rtl w:val="true"/>
          <w:lang w:bidi="ar-SA"/>
        </w:rPr>
        <w:t xml:space="preserve">بأنّ اللازم على تقديره وجوب المقدّمة دون ذيها إلاّ أن يلتزم بوجوبها نفسا وأصلا كما احتمله المستدلّ هذا في بحث المقدّمة </w:t>
      </w:r>
      <w:r>
        <w:rPr>
          <w:rStyle w:val="FootnoteAnchor"/>
          <w:rtl w:val="true"/>
        </w:rPr>
        <w:footnoteReference w:id="841"/>
      </w:r>
      <w:r>
        <w:rPr>
          <w:rFonts w:ascii="Amiri" w:hAnsi="Amiri" w:eastAsia="Amiri" w:cs="Amiri"/>
          <w:color w:val="111111"/>
          <w:sz w:val="28"/>
          <w:sz w:val="28"/>
          <w:szCs w:val="28"/>
          <w:rtl w:val="true"/>
          <w:lang w:bidi="ar-SA"/>
        </w:rPr>
        <w:t xml:space="preserve">، وبالجملة ، فلا </w:t>
      </w:r>
      <w:r>
        <w:rPr>
          <w:rStyle w:val="FootnoteAnchor"/>
          <w:rtl w:val="true"/>
        </w:rPr>
        <w:footnoteReference w:id="842"/>
      </w:r>
      <w:r>
        <w:rPr>
          <w:rFonts w:ascii="Amiri" w:hAnsi="Amiri" w:eastAsia="Amiri" w:cs="Amiri"/>
          <w:color w:val="111111"/>
          <w:sz w:val="28"/>
          <w:sz w:val="28"/>
          <w:szCs w:val="28"/>
          <w:rtl w:val="true"/>
          <w:lang w:bidi="ar-SA"/>
        </w:rPr>
        <w:t>فرق في تنجّز التكليف بين أن يكون المكلّف عالما بالإجمال أو بالتفصيل إلاّ أنّ جعل البدل في الظاهر على الثاني غير معقول بخلاف الأوّل ، فيجوز للشارع أن يجعل في مرحلة الظاهر عند العلم الإجمالي بدلا من الأحكام الواقعية كالبراءة ونحوها من الاكتفاء بواحد من المعلومات الإجمالية في الشبهة المحصورة والاحتياط ، وهذا هو منشأ النزاع في البراءة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بعد ما علم بالتكليف وقطع به ، وتنجّزه في حقّه يحكم حكما أوّليا بوجوب تفريغ الذمّة وتحصيل فراغها ، والتخلّص عن العقاب اللازم على تقدير المخالفة ولو بإسقاط الأمر كإدخال نفسه في موضوع غير موضوع المكلّفين كاختيار السفر عند وجوب الصوم وإحراق الثوب عند وجوب الغسل مثلا </w:t>
      </w:r>
      <w:r>
        <w:rPr>
          <w:rStyle w:val="FootnoteAnchor"/>
          <w:rtl w:val="true"/>
        </w:rPr>
        <w:footnoteReference w:id="843"/>
      </w:r>
      <w:r>
        <w:rPr>
          <w:rFonts w:ascii="Amiri" w:hAnsi="Amiri" w:eastAsia="Amiri" w:cs="Amiri"/>
          <w:color w:val="111111"/>
          <w:sz w:val="28"/>
          <w:sz w:val="28"/>
          <w:szCs w:val="28"/>
          <w:rtl w:val="true"/>
          <w:lang w:bidi="ar-SA"/>
        </w:rPr>
        <w:t>، ولا يتفاوت في ذلك مراتب العقول ، فإنّ هذا هو الذي فطرهم اللّه عليه حتّى أنّ ضعفاء العقول أيضا لايرتابون في ذلك بل الحيوانات العجم أيضا تقضي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يزيد على ذلك في العقول الكاملة بواسطة علوّها في مدركاتها ، فإنّها تحكم بلزوم الإطاعة والامتثال والإتيان بالمأمور به من حيث كونه محبوبا للآمر ، وكون الآمر حقيقا لأن تمتثل أوامره ، أو كون المأمور جديرا لأن يتعبّد </w:t>
      </w:r>
      <w:r>
        <w:rPr>
          <w:rStyle w:val="FootnoteAnchor"/>
          <w:rtl w:val="true"/>
        </w:rPr>
        <w:footnoteReference w:id="844"/>
      </w:r>
      <w:r>
        <w:rPr>
          <w:rFonts w:ascii="Amiri" w:hAnsi="Amiri" w:eastAsia="Amiri" w:cs="Amiri"/>
          <w:color w:val="111111"/>
          <w:sz w:val="28"/>
          <w:sz w:val="28"/>
          <w:szCs w:val="28"/>
          <w:rtl w:val="true"/>
          <w:lang w:bidi="ar-SA"/>
        </w:rPr>
        <w:t>بأوامر مولاه إلى غير ذلك من اختلاف مراتب الإطاعة والامتثال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يستقلّ بقيام الظنّ مقام العلم بعد تعذّره وحيث إنّ الواجب في المقام هو العلم بالفراغ على ما عرفت آنفا ، فلو تعذّر العلم به ، قام الظنّ مقامه ، والظنّ بالفراغ لا يحصل إلاّ بالظنّ المتعلّق بالطريق دون الظنّ بالواقع ؛ لعدم الملازمة بين الظنّ بالواقع والظنّ بالفراغ ، ألا ترى أنّ القياس يحصل منه الظنّ بالواقع مع أنّا نعلم بانتفاء الاشتغال فضلا عن الظنّ بالفراغ ، وإذا تمهّد هذا ، تعيّن حجّية الظنّ في الطريق دون الواقع لتلازمه للظنّ بالفراغ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فبالنقض بما إذا كان الطريق مظنونا بظنّ غير معتبر ، فكما أنّ الواقع لو كان مظنونا بواسطة القياس مثلا ، لا يلازم الظنّ به الظنّ بالفراغ ، فكذا لو ظنّنا طريقية طريق من جهة القياس ، فلا يلازم الظنّ به الظنّ بالفراغ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فبالحلّ ، وبيانه أنّ المقدّمات المذكورة كلّها مسلّمة إلاّ أنّها لا تترتّب عليها النتيجة المطلوبة ، فإنّ التكليف بالواقع وبالطريق تارة يكون تكليفا فعليا كأن علمنا الواقع بخصوصه ، أو الطريق كذلك ، ولا ريب في الاجتزاء بكلّ واحد منهما حينئذ تعيينا عند حصول أحدهما خاصّة ، وتخييرا عند التمكّن منهما جميعا ، وأخرى يكون تكليفا شأنيا كأن لم نعملها كذلك ، فحينئذ لو كان الجهل سببا لسقوط التكليف ، فلا فرق بين الواقع والطريق ، وإلاّ فالظنّ يقوم مقام العلم فيهما من غير فرق بينهما حينئذ مع حصول الظنّ بالفراغ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المتعلّق بالواقع والطريق لو كان من الظنون المعتبرة ، فالظنّ بالفراغ يحصل فيهما جزما ، ولا ينبغي الارتياب فيه ، ولو كان من الظنون الغير المعتبرة كالقياس مثلا ، ففي مورد القياس مثلا لنا حكمان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المطابق للمصالح والمفاسد ، الذي </w:t>
      </w:r>
      <w:r>
        <w:rPr>
          <w:rStyle w:val="FootnoteAnchor"/>
          <w:rtl w:val="true"/>
        </w:rPr>
        <w:footnoteReference w:id="845"/>
      </w:r>
      <w:r>
        <w:rPr>
          <w:rFonts w:ascii="Amiri" w:hAnsi="Amiri" w:eastAsia="Amiri" w:cs="Amiri"/>
          <w:color w:val="111111"/>
          <w:sz w:val="28"/>
          <w:sz w:val="28"/>
          <w:szCs w:val="28"/>
          <w:rtl w:val="true"/>
          <w:lang w:bidi="ar-SA"/>
        </w:rPr>
        <w:t>تعلّق به القياس ، ولا ريب في عدم تنجّزه في حقّنا فعلا ، وكونه شأنيا بالنسبة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المتنجّز في حقّنا فعلا وهو الرجوع إلى الأصول في مورد القياس مثلا لو ظننّا بوجوب الصلاة الفلانية من جهة القياس ، فالتكليف المتوجّه علينا في تلك الواقعة هو الأخذ بأصالة عدم الوجوب ، أو غير ذلك من الأصول التعبّدية ، ولو ظننّا بحجّية أمارة بواسطة القياس ، فاللازم في حقّنا هو الرجوع إلى عدم الحجّية مع أنّ المظنون بالنسبة إلى الواقع في الأوّل هو وجوب الصلاة ، وفي الثاني هو الحجّية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أنّ الظنّ بالحكم الواقعي من جهة القياس لا يستلزم الظنّ بالفراغ من التكليف الواقعي الشأني ، فمن المعلوم حصول الظنّ بالفراغ منه ، ولا ينبغي الارتياب فيه من غير فرق بين الواقع وطريقه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الظنّ بالحكم الواقعي لا يلازم الظنّ بالفراغ في الحكم الظاهري ، فهو كذلك إلاّ أنّه لا مزية اختصاص له بالواقع ، فالظنّ الحاصل بطريقية طريق قياس له على غيره لا يلازم الظنّ بالفراغ من حيث حكمه الظاهري في </w:t>
      </w:r>
      <w:r>
        <w:rPr>
          <w:rStyle w:val="FootnoteAnchor"/>
          <w:rtl w:val="true"/>
        </w:rPr>
        <w:footnoteReference w:id="847"/>
      </w:r>
      <w:r>
        <w:rPr>
          <w:rFonts w:ascii="Amiri" w:hAnsi="Amiri" w:eastAsia="Amiri" w:cs="Amiri"/>
          <w:color w:val="111111"/>
          <w:sz w:val="28"/>
          <w:sz w:val="28"/>
          <w:szCs w:val="28"/>
          <w:rtl w:val="true"/>
          <w:lang w:bidi="ar-SA"/>
        </w:rPr>
        <w:t>لزوم العمل بأصالة عدم الحجّية في مورد القياس ، فتدبّر في الغاية ، فإنّه حقيق به في النهاية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قرّر الشارع أحكاما واقعية ، كذا قرّر طريقا للوصول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العلم بالواقع ، أو مطلق الظنّ ، أو غيرهما قبل انسداد باب العلم وبعده ، وحينئذ فإن كان سبيل العلم بذلك الطريق مفتوحا ، فالواجب الأخذ به ، والجري على مقتضاه ، ولا يجوز الأخذ بغيره ممّا لا نقطع معه بالوصول إلى الواقع من غير خلاف بين الفريقين ، وإن انسدّ سبيل العلم به ، تعيّن الرجوع إلى الظنّ به ، فيكون ما ظنّ أنّه طريق مقرّر من الشارع طريقا قطعيا إلى الواقع نظرا إلى القطع </w:t>
      </w:r>
      <w:r>
        <w:rPr>
          <w:rStyle w:val="FootnoteAnchor"/>
          <w:rtl w:val="true"/>
        </w:rPr>
        <w:footnoteReference w:id="848"/>
      </w:r>
      <w:r>
        <w:rPr>
          <w:rFonts w:ascii="Amiri" w:hAnsi="Amiri" w:eastAsia="Amiri" w:cs="Amiri"/>
          <w:color w:val="111111"/>
          <w:sz w:val="28"/>
          <w:sz w:val="28"/>
          <w:szCs w:val="28"/>
          <w:rtl w:val="true"/>
          <w:lang w:bidi="ar-SA"/>
        </w:rPr>
        <w:t>ببقاء التكليف بالرجوع إلى الطريق ، وقطع العقل بقيام الظنّ حينئذ مقام العلم حسبما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أوّلا فيما تقدّم من أنّ حال مطلق الظنّ بالنسبة إلى سائر الأمارات إنّما هو حال الأصل بالنسبة إلى دليل اجتهادي ، فكما لا يجوز الترديد بين الأصل والدليل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المسألة الفلانية إمّا الأصل ، وإمّا الدليل ، فكذا لا يجوز الترديد بين مطلق الظنّ وسائر الأمارات ، فإنّ كون الظنّ طريقا إنّما هو بجعل العقل ، ولا حكم له إلاّ بعد فرض انتفاء سائر الطرق الجعلية أو المنجعلة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سلّمنا ذلك ، لاحتمال كون مطلق الظنّ أيضا طريقا توقيفيا ، لكنّه يرد عليه ما أوردنا على الوجه الأوّل المنقول من الفصول ، فراجعه ، ولا نطيل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في دفع هذا القول بالإجماع المركّب ، فإنّ كلّ من قال بحجّية الظنّ في الأصول ، فقد قال بحجّيته في الفروع أيضا وهو كلام قشري لا لبّ فيه أصلا ؛ لما قد عرفت مرارا أنّ التمسّك بالإجماع المركّب مثلا إنّما يصحّ فيما لم تكن المسألة ممحّضة في العقليات بأن كانت لها جهة توقيفية ، وأمّا إذا لم يكن كذلك بل كان الحكم ثابتا في أحد شطري الإجماع بواسطة علّة عقلية غير موجودة في الشطر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الخصم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للاستناد إليه قطعا ، وأمّا سائر الوجوه التي أوردها في التعليقة ، فمرجعها إلى لزوم الأخذ بالقدر المتيقّن من اعتبار الظنون المظنون حجّيتها ، وستعرف فسادها فيما سيأتي بعيد </w:t>
      </w:r>
      <w:r>
        <w:rPr>
          <w:rStyle w:val="FootnoteAnchor"/>
          <w:rtl w:val="true"/>
        </w:rPr>
        <w:footnoteReference w:id="849"/>
      </w:r>
      <w:r>
        <w:rPr>
          <w:rFonts w:ascii="Amiri" w:hAnsi="Amiri" w:eastAsia="Amiri" w:cs="Amiri"/>
          <w:color w:val="111111"/>
          <w:sz w:val="28"/>
          <w:sz w:val="28"/>
          <w:szCs w:val="28"/>
          <w:rtl w:val="true"/>
          <w:lang w:bidi="ar-SA"/>
        </w:rPr>
        <w:t>ذلك ، هذا تمام الكلام في إبطال قول من يرى حجّية الظنّ في الأصول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ذهب إليه المشهور من القائلين بالانسداد من حجّية الظنّ في الفروع فقط ، فنظرهم على جريان دليل الانسداد في نفس الأحكام الواقعية ، وقضيّة ذلك لا تزيد على حجّية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في الأصول ، فيبقى مندرجا تحت الأصل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دليل الانسداد في مطلق الأحكام الشرعية ، والعمل بخبر </w:t>
      </w:r>
    </w:p>
    <w:p>
      <w:pPr>
        <w:pStyle w:val="BookText"/>
        <w:rPr/>
      </w:pPr>
      <w:r>
        <w:rPr>
          <w:rFonts w:ascii="Amiri" w:hAnsi="Amiri" w:eastAsia="Amiri" w:cs="Amiri"/>
          <w:color w:val="111111"/>
          <w:sz w:val="28"/>
          <w:sz w:val="28"/>
          <w:szCs w:val="28"/>
          <w:rtl w:val="true"/>
          <w:lang w:bidi="ar-SA"/>
        </w:rPr>
        <w:t>الواحد أيضا حكم شرعي بل هو أعظم الأحكام الشرعية ، فلو جوّزنا إعمال الظنّ فيها بواسطة جريان دليل الانسداد فيها ، فلا مناص من القول بحجّية الظنّ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قد عرفت أنّ الواجب 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يحكم العقل بعد علمه بالتكليف 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تفريغ الذمّة وهو كما يحصل بإعمال الظنّ في الواقع ، فكذا يحصل بإعمال الظنّ في نفس الطريق ، فلا وجه للاختصاص ، بل العمل بالطريق في الحقيقة لا يزيد على العمل بالواقع ، فإنّ العمل بخبر الواحد إنّما هو من جهة بدليّته عن الواقع يلازم الظنّ بتفريغ الذمّة عن الواقع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 في الردّ على الوجهين وجه القول </w:t>
      </w:r>
      <w:r>
        <w:rPr>
          <w:rStyle w:val="FootnoteAnchor"/>
          <w:rtl w:val="true"/>
        </w:rPr>
        <w:footnoteReference w:id="850"/>
      </w:r>
      <w:r>
        <w:rPr>
          <w:rFonts w:ascii="Amiri" w:hAnsi="Amiri" w:eastAsia="Amiri" w:cs="Amiri"/>
          <w:color w:val="111111"/>
          <w:sz w:val="28"/>
          <w:sz w:val="28"/>
          <w:szCs w:val="28"/>
          <w:rtl w:val="true"/>
          <w:lang w:bidi="ar-SA"/>
        </w:rPr>
        <w:t>المختار أيضا ، وإنّما أطنبنا الكلام في المقام ؛ لأنّه من مزالّ الأقدام ، ومطرح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الأمور التي ينبغي التنبيه عليه أنّه هل النتيجة الحاصلة من المقدّمات المذكورة عامّة كلّية ، أو مطلقة مهملة؟ 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هل الحجّة بعد الانسداد كلّ ظنّ ، أو الظنّ في الجملة؟ ذهب إلى كلّ فريق ، والعموم والإهمال يؤخذان تارة بالنسبة إلى الأسباب كالظنّ الحاصل من الشهرات والإجماعات المنقولة ونحوهما ، وأخرى بالنسبة إلى الموارد أيضا كالظنّ في المسائل الفرعية والأصولية والاعتقادية والعملية والموضوعات الصرفة ونحوها </w:t>
      </w:r>
      <w:r>
        <w:rPr>
          <w:rStyle w:val="FootnoteAnchor"/>
          <w:rtl w:val="true"/>
        </w:rPr>
        <w:footnoteReference w:id="851"/>
      </w:r>
      <w:r>
        <w:rPr>
          <w:rFonts w:ascii="Amiri" w:hAnsi="Amiri" w:eastAsia="Amiri" w:cs="Amiri"/>
          <w:color w:val="111111"/>
          <w:sz w:val="28"/>
          <w:sz w:val="28"/>
          <w:szCs w:val="28"/>
          <w:rtl w:val="true"/>
          <w:lang w:bidi="ar-SA"/>
        </w:rPr>
        <w:t>وسيأتي الكلام في الثانية مستوفى إن شاء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الأولى </w:t>
      </w:r>
      <w:r>
        <w:rPr>
          <w:rStyle w:val="FootnoteAnchor"/>
          <w:rtl w:val="true"/>
        </w:rPr>
        <w:footnoteReference w:id="852"/>
      </w:r>
      <w:r>
        <w:rPr>
          <w:rFonts w:ascii="Amiri" w:hAnsi="Amiri" w:eastAsia="Amiri" w:cs="Amiri"/>
          <w:color w:val="111111"/>
          <w:sz w:val="28"/>
          <w:sz w:val="28"/>
          <w:szCs w:val="28"/>
          <w:rtl w:val="true"/>
          <w:lang w:bidi="ar-SA"/>
        </w:rPr>
        <w:t xml:space="preserve">فتحقيق القول فيه أنّ دليل الانسداد تارة يقرّر في كلّ جزئيات المسائل المنسدّ فيها باب العلم كما عليه المحقّق القمي وصاحب المعالم ، فيتوقّف على إبطال البراءة والاحتياط في جميع الموارد الجزئية على نحو ما مرّ في إبطالهما من عدم الدليل على أصالة البراءة فيما لو خالفه خبر الواحد ، أو أمارة ظنّية </w:t>
      </w:r>
    </w:p>
    <w:p>
      <w:pPr>
        <w:pStyle w:val="BookText"/>
        <w:rPr/>
      </w:pPr>
      <w:r>
        <w:rPr>
          <w:rFonts w:ascii="Amiri" w:hAnsi="Amiri" w:eastAsia="Amiri" w:cs="Amiri"/>
          <w:color w:val="111111"/>
          <w:sz w:val="28"/>
          <w:sz w:val="28"/>
          <w:szCs w:val="28"/>
          <w:rtl w:val="true"/>
          <w:lang w:bidi="ar-SA"/>
        </w:rPr>
        <w:t xml:space="preserve">أخرى ؛ لابتناء اعتبارها على الظنّ عندهم وعدم الدليل على الاحتياط ؛ للاكتفاء بعدم المخالفة القطعية فيما لو علمنا بالتكليف إجمالا عندهم أيضا ، وعلى هذا التقدير لا بدّ من القول بحجّية الظنّ مطلقا من أيّ سبب حصل ؛ إذ مناط الاعتبار حينئذ هو هذا الوصف الراجح ، ولا فرق في نظر العقل بين خصوص الأسباب ، ففي كلّ ما انسدّ فيه باب العلم من المسائل الخاصّة يجب التعويل على الظنون الجزئية الناشئة عن خصوصيات الأسباب ، فعلى هذا لا وجه لكثير ممّا أورد عليه بعض من تأخّر عنه من الاكتفاء ببعض الظنون حيث إنّ في البعض الآخر أيضا </w:t>
      </w:r>
      <w:r>
        <w:rPr>
          <w:rStyle w:val="FootnoteAnchor"/>
          <w:rtl w:val="true"/>
        </w:rPr>
        <w:footnoteReference w:id="853"/>
      </w:r>
      <w:r>
        <w:rPr>
          <w:rFonts w:ascii="Amiri" w:hAnsi="Amiri" w:eastAsia="Amiri" w:cs="Amiri"/>
          <w:color w:val="111111"/>
          <w:sz w:val="28"/>
          <w:sz w:val="28"/>
          <w:szCs w:val="28"/>
          <w:rtl w:val="true"/>
          <w:lang w:bidi="ar-SA"/>
        </w:rPr>
        <w:t xml:space="preserve">تجري </w:t>
      </w:r>
      <w:r>
        <w:rPr>
          <w:rStyle w:val="FootnoteAnchor"/>
          <w:rtl w:val="true"/>
        </w:rPr>
        <w:footnoteReference w:id="854"/>
      </w:r>
      <w:r>
        <w:rPr>
          <w:rFonts w:ascii="Amiri" w:hAnsi="Amiri" w:eastAsia="Amiri" w:cs="Amiri"/>
          <w:color w:val="111111"/>
          <w:sz w:val="28"/>
          <w:sz w:val="28"/>
          <w:szCs w:val="28"/>
          <w:rtl w:val="true"/>
          <w:lang w:bidi="ar-SA"/>
        </w:rPr>
        <w:t>ما عرفت من الدليل إلاّ أنّ الكلام في أصل المبنى كما عرفت في مقدّمة إبطال البراءة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يقرّر على وجه الكلّية كما مرّ تقريره منّا ، فلا حاجة في تتميمه حينئذ إلى إبطال البراءة والاحتياط بالكلّية بل إبطال كلّيتها كاف في جريان الدليل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البراءة الأصلية يلازم الخروج من الدين والاحتياط يوجب الحرج كما عرفت ، وحينئذ فإمّا أن يكون العقل حاكما في النتيجة ، أو كاشفا فيها عن حكم شرعي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كلّية ؛ لأنّ حكم العقل لا بدّ وأن يكون دائما في موضوع متصوّر تفصيلا ، فإنّ العقل ما لم يحط بجميع جهات موضوع حكمه ومدركه لا حكم له ، ولا فرق في نظر العقل في الأسباب الظنّية إلاّ فيما قام القاطع على عدم اعتباره كالقياس في وجه ، فإنّه يحتمل أن يكون مثل القياس ؛ حيث إنّ الشارع قد كشف عن خطائه ، وأفصح عن عدم تطابقه للواقع غالبا ؛ إذ </w:t>
      </w:r>
      <w:r>
        <w:rPr>
          <w:rStyle w:val="FootnoteAnchor"/>
          <w:rtl w:val="true"/>
        </w:rPr>
        <w:footnoteReference w:id="855"/>
      </w:r>
      <w:r>
        <w:rPr>
          <w:rFonts w:ascii="Amiri" w:hAnsi="Amiri" w:eastAsia="Amiri" w:cs="Amiri"/>
          <w:color w:val="111111"/>
          <w:sz w:val="28"/>
          <w:sz w:val="28"/>
          <w:szCs w:val="28"/>
          <w:rtl w:val="true"/>
          <w:lang w:bidi="ar-SA"/>
        </w:rPr>
        <w:t xml:space="preserve">العالم بالعواقب قد نهى عن سلوكه بواسطة أنّ في سبيله مفسدة عظيمة تساوق مصلحة الواقع لو لم يرد عليها خارجا عن موضوع حكم العقل ، فحكمه إنّما يخصّ ابتدائيا غير </w:t>
      </w:r>
      <w:r>
        <w:rPr>
          <w:rStyle w:val="FootnoteAnchor"/>
          <w:rtl w:val="true"/>
        </w:rPr>
        <w:footnoteReference w:id="856"/>
      </w:r>
      <w:r>
        <w:rPr>
          <w:rFonts w:ascii="IRNazanin" w:hAnsi="IRNazanin" w:eastAsia="IRNazanin"/>
          <w:color w:val="111111"/>
          <w:sz w:val="28"/>
          <w:sz w:val="28"/>
          <w:szCs w:val="28"/>
          <w:rtl w:val="true"/>
          <w:lang w:bidi="fa-IR"/>
        </w:rPr>
        <w:t xml:space="preserve">هذا الموضوع </w:t>
      </w:r>
    </w:p>
    <w:p>
      <w:pPr>
        <w:pStyle w:val="BookText"/>
        <w:rPr/>
      </w:pPr>
      <w:r>
        <w:rPr>
          <w:rFonts w:ascii="Amiri" w:hAnsi="Amiri" w:eastAsia="Amiri" w:cs="Amiri"/>
          <w:color w:val="111111"/>
          <w:sz w:val="28"/>
          <w:sz w:val="28"/>
          <w:szCs w:val="28"/>
          <w:rtl w:val="true"/>
          <w:lang w:bidi="ar-SA"/>
        </w:rPr>
        <w:t>المنهيّ عنه مثلا وإن كان قد يحتمل عدم الفرق في نظر العقل من هذه الجهة أيضا ، وسيجيء في إخراج الظنّ القياسي وأضرابه زيادة توضيح لذلك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ينبغي الارتياب في أنّ العقل يفرّق مراتب الظنون في الشدّة والضعف ، فالظنّ القويّ والشديد من أيّ سبب حصل هو موضوع حكم العقل ، ولا غائلة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فالنتيجة مهملة ، فإنّ </w:t>
      </w:r>
      <w:r>
        <w:rPr>
          <w:rStyle w:val="FootnoteAnchor"/>
          <w:rtl w:val="true"/>
        </w:rPr>
        <w:footnoteReference w:id="857"/>
      </w:r>
      <w:r>
        <w:rPr>
          <w:rFonts w:ascii="Amiri" w:hAnsi="Amiri" w:eastAsia="Amiri" w:cs="Amiri"/>
          <w:color w:val="111111"/>
          <w:sz w:val="28"/>
          <w:sz w:val="28"/>
          <w:szCs w:val="28"/>
          <w:rtl w:val="true"/>
          <w:lang w:bidi="ar-SA"/>
        </w:rPr>
        <w:t>العقل حينئذ كاشف عن جعل طريق ظنّي من الشارع في الجملة من غير بيان للسبب فيه ، فيحتمل أن يكون الطريق بعد الانسداد مطلق الظنّ ، أو بعض أقسامه باعتبار السبب أو المرتبة ، فيحتاج القائل بمطلق الظنّ على هذا التقدير إلى مقدّمة أخرى تعمّ جميع الظنون إلاّ أنّ التحقيق هو حكومة العقل بعد الانسداد ، فإنّ مرجعها إلى تحصيل طرق الإطاعة والامتثال ، والعقل في أمثاله مستقلّ ، فكما أنّ طريق الامتثال في صورة الانفتاح هو العلم ، ولا فرق في نظر العقل في أسباب حصول العلم ، فكذلك طريق الامتثال بعد المقدّمات المذكورة في صورة الانسداد في نظر العقل هو الظنّ ، ولا يمكن افتراق أفراده بواسطة اختلاف أسبابه إلاّ على ما عرفت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ملازمة بين المقدّمات والنتيجة على تقدير الكشف ؛ إذ من المحتمل عدم جعل الشارع طريق الامتثال بعد الانسداد ، فلعلّه قد وكلنا على ما يستقلّ عقولنا بطريقيته كما هو كذلك في الواقع ، فيحمل ما قد يدلّ بظاهره على الجعل على مجرّد الإرشاد كالأمر بالإطاعة ، فإنّ وجوب الإطاعة ممّا لا يحتاج في إظهارها إلى أمر وإيجاب من الشارع ؛ لاستقلال حكم العقل فيها ، وإلاّ فيدور أو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عن ذلك إيراد إشكال القياس في المقام ، فإنّه على تقدير إهمال النتيجة ممّا لا يرتاب عدم اتّجاهه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الإهمال والإجمال إنّما هما من صفات الألفاظ ، وأمّا العقل ، فليس فيه </w:t>
      </w:r>
    </w:p>
    <w:p>
      <w:pPr>
        <w:pStyle w:val="BookText"/>
        <w:rPr/>
      </w:pPr>
      <w:r>
        <w:rPr>
          <w:rFonts w:ascii="Amiri" w:hAnsi="Amiri" w:eastAsia="Amiri" w:cs="Amiri"/>
          <w:color w:val="111111"/>
          <w:sz w:val="28"/>
          <w:sz w:val="28"/>
          <w:szCs w:val="28"/>
          <w:rtl w:val="true"/>
          <w:lang w:bidi="ar-SA"/>
        </w:rPr>
        <w:t>شائبة منهما ، وعلى تقديره يصحّ الإيراد ؛ لعدم قبول حكم العقل التخصيص ، فيشكل إخراج القياس ، بخلاف ما لو كان الحكم شرعيّا ولو كان الحكم بترتّب النتيجة على المقدّمات عقليّا ؛ إذ لا كلام فيه بواسطة عمومه في جميع الاستدلالات ، فإنّه قابل للتخصيص ، فلا إشكال ، ولا حاجة في إخراج القياس إلى ارتكاب مثل هذه المحتملات والتكلّفات الباردة التي تضحك منها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بالكشف أيضا ، فهناك أمور تدلّ على التعميم سماّها </w:t>
      </w:r>
      <w:r>
        <w:rPr>
          <w:rStyle w:val="FootnoteAnchor"/>
          <w:rtl w:val="true"/>
        </w:rPr>
        <w:footnoteReference w:id="858"/>
      </w:r>
      <w:r>
        <w:rPr>
          <w:rFonts w:ascii="Amiri" w:hAnsi="Amiri" w:eastAsia="Amiri" w:cs="Amiri"/>
          <w:color w:val="111111"/>
          <w:sz w:val="28"/>
          <w:sz w:val="28"/>
          <w:szCs w:val="28"/>
          <w:rtl w:val="true"/>
          <w:lang w:bidi="ar-SA"/>
        </w:rPr>
        <w:t xml:space="preserve">بعضهم بالمقدّمات المعمّمة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بطلان الترجيح بلا مرجّح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استكشفنا بطريق العقل اعتبار بعض الظنون شرعا إجمالا فإمّا أن يكون ذلك البعض هو الظنّ المعيّن في الواقع غير المعيّن عندنا ، أو العكس ، أو المعيّن عندنا والواقع ، أو العكس والكلّ باطل ، والأخذ بالبعض دون البعض ترجيح بلا مرجّح ، فوجب أن يكون الكلّ هو المطلوب ، ويتمّ هذا الوجه لو أبطلنا ما يحتمل كونه مرجّحا لبعض الظنون بالنسبة إلى الآخر وهو أحد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بعض أفراده يقيني الاعتبار إمّا حقيقة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الأعلائي المفيد للوثوق المعمول به عند جماعة كثيرة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بالنسبة إلى الآخر كالصحيح المشهوري المفيد للوثوق بالنسبة إلى الحسان ، أو الموثّقات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أفراده أقوى من الآخر ، وأشدّ من غيره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بعض الأفراد مظنون الاعتبار ، ووجه الترجيح في هذا الوجه يحتمل أن يكون من حيث إنّ بعد ما تعلّق الظنّ لبعض أفراده ، فهو مجمع الظنّين ، وحائز المصلحتين ، فعلى تقدير احتمال التخلّف في الواقع قد يبقى احتمال بدليّة له في الواقع ، </w:t>
      </w:r>
    </w:p>
    <w:p>
      <w:pPr>
        <w:pStyle w:val="BookText"/>
        <w:rPr/>
      </w:pPr>
      <w:r>
        <w:rPr>
          <w:rFonts w:ascii="Amiri" w:hAnsi="Amiri" w:eastAsia="Amiri" w:cs="Amiri"/>
          <w:color w:val="111111"/>
          <w:sz w:val="28"/>
          <w:sz w:val="28"/>
          <w:szCs w:val="28"/>
          <w:rtl w:val="true"/>
          <w:lang w:bidi="ar-SA"/>
        </w:rPr>
        <w:t xml:space="preserve">وعلى تقدير احتمال التخلّف في بدليته قد يبقى احتمال اشتماله على مصلحة الواقع بخلاف ما إذا لم يكن الظنّ مظنون الاعتبار ، ويحتمل أن يكون من حيث جريان دليل الانسداد فيه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بالظنّ حكم من الأحكام الشرعية التي </w:t>
      </w:r>
      <w:r>
        <w:rPr>
          <w:rStyle w:val="FootnoteAnchor"/>
          <w:rtl w:val="true"/>
        </w:rPr>
        <w:footnoteReference w:id="860"/>
      </w:r>
      <w:r>
        <w:rPr>
          <w:rFonts w:ascii="Amiri" w:hAnsi="Amiri" w:eastAsia="Amiri" w:cs="Amiri"/>
          <w:color w:val="111111"/>
          <w:sz w:val="28"/>
          <w:sz w:val="28"/>
          <w:szCs w:val="28"/>
          <w:rtl w:val="true"/>
          <w:lang w:bidi="ar-SA"/>
        </w:rPr>
        <w:t xml:space="preserve">قد انسدّ فيها باب العلم ، فلا بدّ من تعيين المعتبر شرعا بالظنّ لانسداد باب العلم بالتعيين </w:t>
      </w:r>
      <w:r>
        <w:rPr>
          <w:rStyle w:val="FootnoteAnchor"/>
          <w:rtl w:val="true"/>
        </w:rPr>
        <w:footnoteReference w:id="861"/>
      </w:r>
      <w:r>
        <w:rPr>
          <w:rFonts w:ascii="Amiri" w:hAnsi="Amiri" w:eastAsia="Amiri" w:cs="Amiri"/>
          <w:color w:val="111111"/>
          <w:sz w:val="28"/>
          <w:sz w:val="28"/>
          <w:szCs w:val="28"/>
          <w:rtl w:val="true"/>
          <w:lang w:bidi="ar-SA"/>
        </w:rPr>
        <w:t xml:space="preserve">فيه ، والكلّ لا يصلح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إجمالا ، فلأنّه بين غير مجد في الترجيح وبين غير كاف في العمل ، وأمّا تفصيلا ، فلأنّ القدر المتيقّن الحقيقي كالخبر الجامع لصفات الراوي كأن يكون عدلا إماميّا ضابطا ، والجامع لصفات المظنون كأن يكون موثوقا به ، ولصفات الاعتبار كأن يكون معمولا به عند الأصحاب في غاية الندور ، ولو فرض وجوده بين الأخبار ، فهو من الظنون الخاصّة المعتبرة بإجماع الفرقة المحقّة كما تقدّم ؛ إذ على تقدير انتفاء أحد القيود ينتفي اليقين قطعا ، فإنّه على تقدير انتفاء الخبر يحتمل حجّية غيره ؛ إذ لعلّ مناط الاعتبار هو الظنّ ، وعلى تقدير انتفاء العدالة يحتمل حجّية غيره ؛ لاحتمال إناطة الحجّية بالوثوق ، ولو انتفى الوثوق يحتمل اعتبار مطلق الخبر العدل ؛ لاحتمال ارتباط الاعتماد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القدر المتيقّن الإضافي ، فهو وإن كان كثيرا كما نبّهنا عليه في الردّ على بعض الأجلّة فيما تقدّم لكنّ الإنصاف ، أحسن الأوصاف ، ومقتضاه عدم وجود القدر المتيقّن بين الأمارات سوى ما عرفت سيّما فيما لو فرضنا أمارة ظنّية أخرى معارضة لها كما يظهر بالتأمّل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قوّة الظنّ ، فلأنّ المرتبة المنضبطة منها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الوثوق والاطمئنان وسكون النفس عندها وركونها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غاية الشذوذ بحيث لو فرضنا الاعتماد عليه ، يلزم أحد المحذورين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عن الدين على تقدير إعمال البراءة ، والعسر </w:t>
      </w:r>
    </w:p>
    <w:p>
      <w:pPr>
        <w:pStyle w:val="BookText"/>
        <w:rPr/>
      </w:pPr>
      <w:r>
        <w:rPr>
          <w:rFonts w:ascii="Amiri" w:hAnsi="Amiri" w:eastAsia="Amiri" w:cs="Amiri"/>
          <w:color w:val="111111"/>
          <w:sz w:val="28"/>
          <w:sz w:val="28"/>
          <w:szCs w:val="28"/>
          <w:rtl w:val="true"/>
          <w:lang w:bidi="ar-SA"/>
        </w:rPr>
        <w:t>والحرج على تقدير الرجوع إلى الاحتياط ، وأمّا غيره ، فهي غير منضبطة بين مراتب لا تتناهى ، فإنّ مجرّد رجحان أحد الطرفين في مرتبة الإدراك يسمّى ظنّا إلى أعلى مدارج كماله إلى أن ينتهي إلى العلم ، ولذا لا فرق بين أفراد العلم في الحجّية وعدمها من العلوم القوية الشديدة ، والعلوم الضعيفة ، فأيّ مرتبة منها تكون حجّة مع أنّه قد يتراءى في النظر أنّ القول بتقيّد الحجّية بأقوى الظنون وإطلاق الأسباب قد يكون خلاف ما استقرّ عليه طريقتهم ؛ حيث لا قائل بالفصل ظاهرا بين أقسام الشهرة ، وأنواع الإجماع ، وأفراد الاستقراء مثلا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الترجيح بالأقوائية ينافي ما قد بيّنّا عليه من الكشف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ينكره إلاّ مكابر إنّ منشأ الترجيح بالأقوائية إنّما هو قرب الأقوى إلى الواقع وهو إنّما يتمّ لو كان الحاكم بالرجوع إلى الظنّ هو العقل ، وأمّا لو لم يكن ، فليس للعقل ترجيح أحد الظنّين على الآخر ممّا يتخيّله </w:t>
      </w:r>
      <w:r>
        <w:rPr>
          <w:rStyle w:val="FootnoteAnchor"/>
          <w:rtl w:val="true"/>
        </w:rPr>
        <w:footnoteReference w:id="863"/>
      </w:r>
      <w:r>
        <w:rPr>
          <w:rFonts w:ascii="Amiri" w:hAnsi="Amiri" w:eastAsia="Amiri" w:cs="Amiri"/>
          <w:color w:val="111111"/>
          <w:sz w:val="28"/>
          <w:sz w:val="28"/>
          <w:szCs w:val="28"/>
          <w:rtl w:val="true"/>
          <w:lang w:bidi="ar-SA"/>
        </w:rPr>
        <w:t>مرجّحا ، كيف؟ ويحتمل في الأمور التوقيفية جعل الحجّة أدون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كذلك في الواقع ؛ لما عرفت من أنّ التحقيق حكومة العقل ، فإنّا بعد ما فرضنا حكومة الشرع فيه وكشف العقل عنه ، فلا وجه للترجيح بالأقوائية ؛ لاستلزامه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الظنّ مظنون الاعتبار ، فعلى الأوّل من وجهي تقرير ترجيحه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فلأنّا نفرض أمارة ظنّية أخرى تساوق ظنّه من جهة زيادة قوّة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بالواقع ، والأمارة فيه بواسطة ضعفها مثلا حيث إنّ المناط في الترجيح على تقديره هو الأقربية وهو حاصل في الظنّ القويّ أيضا لو لم نقل بكونه أزيد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الظنّ مظنون الاعتبار إنّما هو جهة ترجيحه على ما قرّرنا أنّه مجمع الظنّين وحائز المرتبتين ، وعلى تقديره يكون أقرب الوصول إلى الواقع ؛ لأنّ </w:t>
      </w:r>
    </w:p>
    <w:p>
      <w:pPr>
        <w:pStyle w:val="BookText"/>
        <w:rPr/>
      </w:pPr>
      <w:r>
        <w:rPr>
          <w:rFonts w:ascii="Amiri" w:hAnsi="Amiri" w:eastAsia="Amiri" w:cs="Amiri"/>
          <w:color w:val="111111"/>
          <w:sz w:val="28"/>
          <w:sz w:val="28"/>
          <w:szCs w:val="28"/>
          <w:rtl w:val="true"/>
          <w:lang w:bidi="ar-SA"/>
        </w:rPr>
        <w:t xml:space="preserve">احتمال الخلاف فيه موهوم في موهوم ، بخلاف احتمال الخلاف في الظنّ بالواقع فقط ؛ فإنّه موهوم في مرتبة لأحدها </w:t>
      </w:r>
      <w:r>
        <w:rPr>
          <w:rStyle w:val="FootnoteAnchor"/>
          <w:rtl w:val="true"/>
        </w:rPr>
        <w:footnoteReference w:id="864"/>
      </w:r>
      <w:r>
        <w:rPr>
          <w:rFonts w:ascii="Amiri" w:hAnsi="Amiri" w:eastAsia="Amiri" w:cs="Amiri"/>
          <w:color w:val="111111"/>
          <w:sz w:val="28"/>
          <w:sz w:val="28"/>
          <w:szCs w:val="28"/>
          <w:rtl w:val="true"/>
          <w:lang w:bidi="ar-SA"/>
        </w:rPr>
        <w:t xml:space="preserve">، وعلى هذا لو فرضنا الظنّ بالواقع ظنّا قويّا دون مرتبة العلم ، أو الاطمئنان حصل </w:t>
      </w:r>
      <w:r>
        <w:rPr>
          <w:rStyle w:val="FootnoteAnchor"/>
          <w:rtl w:val="true"/>
        </w:rPr>
        <w:footnoteReference w:id="865"/>
      </w:r>
      <w:r>
        <w:rPr>
          <w:rFonts w:ascii="Amiri" w:hAnsi="Amiri" w:eastAsia="Amiri" w:cs="Amiri"/>
          <w:color w:val="111111"/>
          <w:sz w:val="28"/>
          <w:sz w:val="28"/>
          <w:szCs w:val="28"/>
          <w:rtl w:val="true"/>
          <w:lang w:bidi="ar-SA"/>
        </w:rPr>
        <w:t>، والظنّ في الواقع والطريق كليهما ظنّا ضعيفا في أوّل مراتبه ، فحينئذ لو لم يقل برجحان الأخذ بالظنّ القويّ فلا أقلّ من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 فلأنّ الترجيح به ممّا لا يكاد ينضبط في مقام ، ويستقرّ في مرتبة ؛ لأنّ قضيّة ذلك اعتبار الظنّ المظنون اعتباره بظنّ آخر هو أيضا مظنون الاعتبار ، مثلا لو قام أمارة ظنّية مظنونة الاعتبار كالخبر مثلا على حجّية أمارة ظنّية أخرى كالإجماع المنقول مثلا وهكذا وإن استند </w:t>
      </w:r>
      <w:r>
        <w:rPr>
          <w:rStyle w:val="FootnoteAnchor"/>
          <w:rtl w:val="true"/>
        </w:rPr>
        <w:footnoteReference w:id="866"/>
      </w:r>
      <w:r>
        <w:rPr>
          <w:rFonts w:ascii="Amiri" w:hAnsi="Amiri" w:eastAsia="Amiri" w:cs="Amiri"/>
          <w:color w:val="111111"/>
          <w:sz w:val="28"/>
          <w:sz w:val="28"/>
          <w:szCs w:val="28"/>
          <w:rtl w:val="true"/>
          <w:lang w:bidi="ar-SA"/>
        </w:rPr>
        <w:t xml:space="preserve">إلى انتهائه إلى ظنّ لم يكن اعتباره ظنّيا ، فيستند إليه أوّلا </w:t>
      </w:r>
      <w:r>
        <w:rPr>
          <w:rStyle w:val="FootnoteAnchor"/>
          <w:rtl w:val="true"/>
        </w:rPr>
        <w:footnoteReference w:id="867"/>
      </w:r>
      <w:r>
        <w:rPr>
          <w:rFonts w:ascii="Amiri" w:hAnsi="Amiri" w:eastAsia="Amiri" w:cs="Amiri"/>
          <w:color w:val="111111"/>
          <w:sz w:val="28"/>
          <w:sz w:val="28"/>
          <w:szCs w:val="28"/>
          <w:rtl w:val="true"/>
          <w:lang w:bidi="ar-SA"/>
        </w:rPr>
        <w:t>من غير حاجة إلى مثل هذا التجشّم ، وإلاّ فيدور لو أعيد ، أو يتسلسل لو لم يعد ، وهذا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 فلأنّ الترجيح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حكومته ، فلا حاجة إليه ، وإلاّ فلا وجه للترجيح ؛ إذ لعلّ في نظر الحاكم هو غير ما ذكر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من وجهي 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الأعاظم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انسداد باب العلم وبقاء التكليف يكشف عن حجّية طريق من الطرق الظنّية ، وباب العلم بتعيّن </w:t>
      </w:r>
      <w:r>
        <w:rPr>
          <w:rStyle w:val="FootnoteAnchor"/>
          <w:rtl w:val="true"/>
        </w:rPr>
        <w:footnoteReference w:id="868"/>
      </w:r>
      <w:r>
        <w:rPr>
          <w:rFonts w:ascii="Amiri" w:hAnsi="Amiri" w:eastAsia="Amiri" w:cs="Amiri"/>
          <w:color w:val="111111"/>
          <w:sz w:val="28"/>
          <w:sz w:val="28"/>
          <w:szCs w:val="28"/>
          <w:rtl w:val="true"/>
          <w:lang w:bidi="ar-SA"/>
        </w:rPr>
        <w:t xml:space="preserve">ذلك الطريق منسدّ ، والتكليف به باق ، فلا بدّ من إعمال الظنّ في الطريق بحكم دليل الانسداد ، فلا مناص من الأخذ بالطرق المظنونة كالأخبار ، فإنّها بعد ما أفتى عليها الأدلّة القطعية كما عرفت لو لم تكن قطعية ، فلا أقلّ من كونها ظنّية بخلاف غيرها كالشهرة ، فإنّ عدم اعتباره مظنون بواسطة إعراض </w:t>
      </w:r>
    </w:p>
    <w:p>
      <w:pPr>
        <w:pStyle w:val="BookText"/>
        <w:rPr/>
      </w:pPr>
      <w:r>
        <w:rPr>
          <w:rFonts w:ascii="Amiri" w:hAnsi="Amiri" w:eastAsia="Amiri" w:cs="Amiri"/>
          <w:color w:val="111111"/>
          <w:sz w:val="28"/>
          <w:sz w:val="28"/>
          <w:szCs w:val="28"/>
          <w:rtl w:val="true"/>
          <w:lang w:bidi="ar-SA"/>
        </w:rPr>
        <w:t>المشهور عنه وهو المطلوب ، فبعد أنّه مبنيّ على مقدّمة فاسدة وهي كون العقل كاشفا عن حجّية ظنّ في الجملة ، ولا ملازمة عقلا ولا عرفا ولا شرعا بين المقدّمات المذكورة التي منها انسداد باب العلم وعدم جواز الرجوع إلى الأصول الكلّية والجزئية على ما تقدّم تفاصيلها ، وبين النتيجة على هذا التقدير وهي حجّية ظنّ معيّن واقعا غير معيّن عندنا ؛ لجواز الرجوع إلى الطرق المقرّرة عند العقلاء ؛ لأنّه من فروع الإطاعة والامتثال ، والعقل مستقلّ في طريقه ، فلو كان نتيجة الانسداد هي هذه ، فلا ريب في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المعهود المسلّم والقدر المحقّق من الأدلّة السابقة هو بين إفادة القطع باعتبار الأخبار كالصحاح المعمول بها عند الأصحاب الموثوق ، وبين عدم إفادته في وجه ، فلا وجه للتمسّك بها في ظنّية عنوان الخبر مطلقا ليتمّ ما 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الدليل المعمول في النتيجة المهملة الحاصلة من الدليل الأوّل إمّا أن يكون مستلزما لنتيجة كلّية فليكن الأوّل أيضا مستلزما لها ، وإمّا أن يكون مستلزما لنتيجة مهملة مثل ما انتجه الأوّل ، وحينئذ فإن استند في تعميمها إلى دليل آخر ، فنقل </w:t>
      </w:r>
      <w:r>
        <w:rPr>
          <w:rStyle w:val="FootnoteAnchor"/>
          <w:rtl w:val="true"/>
        </w:rPr>
        <w:footnoteReference w:id="869"/>
      </w:r>
      <w:r>
        <w:rPr>
          <w:rFonts w:ascii="Amiri" w:hAnsi="Amiri" w:eastAsia="Amiri" w:cs="Amiri"/>
          <w:color w:val="111111"/>
          <w:sz w:val="28"/>
          <w:sz w:val="28"/>
          <w:szCs w:val="28"/>
          <w:rtl w:val="true"/>
          <w:lang w:bidi="ar-SA"/>
        </w:rPr>
        <w:t>الكلام إليه ، وهكذا إلى أن يتسلسل أو يدور ، وإن لم يستند إلى دليل آخر ، فلا يجدي شيئا ، فإنّه إهمال في إهمال ، فظهر من جميع ما مرّ أنّ العقل في النتيجة حاكم ، والمنكر إنّما يلجأ إليه عند ضيق خناقه ، ويلتزم بالحكومة من حيث لا يشعر ، ومن يتوكّل على اللّه فهو حسبه ؛ لأنّه هو نعم الوكيل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النراقي قد احتمل وجها ثالثا لتقديم مظنون الاعتبار بين سلسلة الظنون غير الوجهين المذكورين ، وحاصله يرجع إلى أنّه لا معنى لمطالبة الدليل على ترجيح المظنون على غيره ، فإنّه بعد ما أورد على الدليل بوجوه عليلة قال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وللخصم أن يختار شقّا ثالثا وهو العمل بالظنّ المظنون الحجّية </w:t>
      </w:r>
      <w:r>
        <w:rPr>
          <w:rStyle w:val="FootnoteAnchor"/>
          <w:rtl w:val="true"/>
        </w:rPr>
        <w:footnoteReference w:id="870"/>
      </w:r>
      <w:r>
        <w:rPr>
          <w:rFonts w:ascii="Amiri" w:hAnsi="Amiri" w:eastAsia="Amiri" w:cs="Amiri"/>
          <w:color w:val="111111"/>
          <w:sz w:val="28"/>
          <w:sz w:val="28"/>
          <w:szCs w:val="28"/>
          <w:rtl w:val="true"/>
          <w:lang w:bidi="ar-SA"/>
        </w:rPr>
        <w:t xml:space="preserve">، فيختار خصوصية ظنّ </w:t>
      </w:r>
      <w:r>
        <w:rPr>
          <w:rStyle w:val="FootnoteAnchor"/>
          <w:rtl w:val="true"/>
        </w:rPr>
        <w:footnoteReference w:id="871"/>
      </w:r>
      <w:r>
        <w:rPr>
          <w:rFonts w:ascii="Amiri" w:hAnsi="Amiri" w:eastAsia="Amiri" w:cs="Amiri"/>
          <w:color w:val="111111"/>
          <w:sz w:val="28"/>
          <w:sz w:val="28"/>
          <w:szCs w:val="28"/>
          <w:rtl w:val="true"/>
          <w:lang w:bidi="ar-SA"/>
        </w:rPr>
        <w:t>من جهة الظنّ بالحجّية ، ولا شكّ أنّه لا يلزم حينئذ الترجيح بلا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أورد على نفسه بما </w:t>
      </w:r>
      <w:r>
        <w:rPr>
          <w:rStyle w:val="FootnoteAnchor"/>
          <w:rtl w:val="true"/>
        </w:rPr>
        <w:footnoteReference w:id="872"/>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الظنّ بالظنّ لا يتمّ إلاّ بعد القول بأصالة حجّية كلّ ظنّ ، فإنّ الظنّ المتعلّق بمثله لا بدّ وأن يكون حجّة حتّى يصحّ به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بأنّه خلط بين ترجيح الشيء وتعيينه ، وناش عن عدم الفرق بينهما ، فمهّد لبيان مطلبه في الفرق بينهما مقدّمة ، ثمّ فرّع عليها ما نحن بصدده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بلا مرجّح الذي يحكم العقل ببطلانه وامتناعه هو الكون مع أحد الطرفين والميل إليه والأخذ به من غير مرجّح وإن لم يحكم بتعيينه وجوبا ، وأمّا الحكم بذلك ، فهو أمر آخر وراء أصل الترجيح ، والحكم بلا دليل غير الترجيح بلا مرجّح ، وشتّان ما بينهما ، فالمرجّح غير الدليل ، والأوّل يكون في مقام الميل والعمل ، والثاني في مقام التصديق والحكم ، وليس المراد من الأخذ بالظنّ المظنون الحجّية أنّه يجب العمل به ، والحكم بأنّه واجب العمل والتصديق به حتّى يلزم ما ذكره ، بل غرض المورد أنّه بعد ما يلزم على المكلّف ببقاء التكاليف </w:t>
      </w:r>
      <w:r>
        <w:rPr>
          <w:rStyle w:val="FootnoteAnchor"/>
          <w:rtl w:val="true"/>
        </w:rPr>
        <w:footnoteReference w:id="873"/>
      </w:r>
      <w:r>
        <w:rPr>
          <w:rFonts w:ascii="Amiri" w:hAnsi="Amiri" w:eastAsia="Amiri" w:cs="Amiri"/>
          <w:color w:val="111111"/>
          <w:sz w:val="28"/>
          <w:sz w:val="28"/>
          <w:szCs w:val="28"/>
          <w:rtl w:val="true"/>
          <w:lang w:bidi="ar-SA"/>
        </w:rPr>
        <w:t xml:space="preserve">وانسداد باب العلم العمل بظنّ في الجملة ، لو عمل بالظنّ المظنون حجّية ما تقرّر فيه ، وأيّ نقض يلزم عليه؟ واستوضح ذلك بأمثلة عرفية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حضر طعامان عند أحد أحدهما ألذّ من الآخر ، فلو أكل هذا الشخص الألذّ ، لم يرتكب ترجيحا بلا مرجّح وإن لم يلزم أكل الألذّ ، ولكن لو حكم بلزوم أكله ، لا بدّ من تحقّق دليل عليه ، ولا يكفي مجرّد الأولويّة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أحدهما </w:t>
      </w:r>
    </w:p>
    <w:p>
      <w:pPr>
        <w:pStyle w:val="BookText"/>
        <w:rPr/>
      </w:pPr>
      <w:r>
        <w:rPr>
          <w:rFonts w:ascii="Amiri" w:hAnsi="Amiri" w:eastAsia="Amiri" w:cs="Amiri"/>
          <w:color w:val="111111"/>
          <w:sz w:val="28"/>
          <w:sz w:val="28"/>
          <w:szCs w:val="28"/>
          <w:rtl w:val="true"/>
          <w:lang w:bidi="ar-SA"/>
        </w:rPr>
        <w:t>مضرّا ، يصحّ له الحكم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أراد المسافرة إلى بلد كان له طريقان متساويان من جميع الجهات ولكن يسافر بعض أحبّائه من أحدهما ، فلو اختاره أيضا المسافر ، لم يرتكب ترجيحا بلا مرجّح ، ولكنّه لو حكم بتعيّن </w:t>
      </w:r>
      <w:r>
        <w:rPr>
          <w:rStyle w:val="FootnoteAnchor"/>
          <w:rtl w:val="true"/>
        </w:rPr>
        <w:footnoteReference w:id="875"/>
      </w:r>
      <w:r>
        <w:rPr>
          <w:rFonts w:ascii="Amiri" w:hAnsi="Amiri" w:eastAsia="Amiri" w:cs="Amiri"/>
          <w:color w:val="111111"/>
          <w:sz w:val="28"/>
          <w:sz w:val="28"/>
          <w:szCs w:val="28"/>
          <w:rtl w:val="true"/>
          <w:lang w:bidi="ar-SA"/>
        </w:rPr>
        <w:t xml:space="preserve">هذا الطريق المسلوك </w:t>
      </w:r>
      <w:r>
        <w:rPr>
          <w:rStyle w:val="FootnoteAnchor"/>
          <w:rtl w:val="true"/>
        </w:rPr>
        <w:footnoteReference w:id="876"/>
      </w:r>
      <w:r>
        <w:rPr>
          <w:rFonts w:ascii="Amiri" w:hAnsi="Amiri" w:eastAsia="Amiri" w:cs="Amiri"/>
          <w:color w:val="111111"/>
          <w:sz w:val="28"/>
          <w:sz w:val="28"/>
          <w:szCs w:val="28"/>
          <w:rtl w:val="true"/>
          <w:lang w:bidi="ar-SA"/>
        </w:rPr>
        <w:t>، احتاج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جميع الموارد كذلك ، والحكم بلا دليل غير الترجيح بلا مرجّح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ومحرّرا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بفساده في الغاية ، وكساده في النهاية ، وبيانه يتوقّف على تمهيد مقدّمة وهي أنّ من الأمور 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يكاد يعتريها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ترجيح الفاعل أحد طرفي الفعل الممكن صدوره منه ، وعدمه على الآخر بدون مرجّح خارج عن الفعل والإرادة في نظره ، والمراد من المرجّح هو ما يخصّص ويعيّن وجود الفعل ، أو عدمه بالوقوع فلو لم يصل الترجيح حدّ الوجوب على وجه يمنع من الطرف الآخر ، فلا محالة </w:t>
      </w:r>
      <w:r>
        <w:rPr>
          <w:rStyle w:val="FootnoteAnchor"/>
          <w:rtl w:val="true"/>
        </w:rPr>
        <w:footnoteReference w:id="878"/>
      </w:r>
      <w:r>
        <w:rPr>
          <w:rFonts w:ascii="Amiri" w:hAnsi="Amiri" w:eastAsia="Amiri" w:cs="Amiri"/>
          <w:color w:val="111111"/>
          <w:sz w:val="28"/>
          <w:sz w:val="28"/>
          <w:szCs w:val="28"/>
          <w:rtl w:val="true"/>
          <w:lang w:bidi="ar-SA"/>
        </w:rPr>
        <w:t xml:space="preserve">يجوز مع هذا الترجيح الطرف الآخر ، فعلى هذا لم يتعيّن الأوّل بالوقوع ، فالطرفان مع وجود المرجّح لم يخرجا عن حدّ إمكانهما ، ولم يبلغا درجة الوجود ، أو العدم ، فيحتاج في أحدهما إلى مرجّح آخر ، فما </w:t>
      </w:r>
      <w:r>
        <w:rPr>
          <w:rStyle w:val="FootnoteAnchor"/>
          <w:rtl w:val="true"/>
        </w:rPr>
        <w:footnoteReference w:id="879"/>
      </w:r>
      <w:r>
        <w:rPr>
          <w:rFonts w:ascii="Amiri" w:hAnsi="Amiri" w:eastAsia="Amiri" w:cs="Amiri"/>
          <w:color w:val="111111"/>
          <w:sz w:val="28"/>
          <w:sz w:val="28"/>
          <w:szCs w:val="28"/>
          <w:rtl w:val="true"/>
          <w:lang w:bidi="ar-SA"/>
        </w:rPr>
        <w:t>فرضناه مرجّحا يلزم أن لا يكون مرجّحا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فنقل الكلام إلى المرجّح الآخر ، وهكذا إلى أن يتسلسل ، فالمرجّح في وجود الفعل وصدوره عن الفاعل لا بدّ وأن يكون بحيث يجب معه صدور الفعل منه ، ويمتنع جميع أنحاء عدمه ، ويمتنع معه صدور الفعل منه ، فإنّ الشيء ما لم يجب في نظر الفاعل لم يوجد في الخارج ولو وجودا علميا ، وما لم يمتنع لم يعدم ، وهذا ممّا قد اتّفقت عليه كلمة العدلية ، والمخالف في ذلك لا يعدّ في زمرة العقلاء </w:t>
      </w:r>
    </w:p>
    <w:p>
      <w:pPr>
        <w:pStyle w:val="BookText"/>
        <w:rPr/>
      </w:pPr>
      <w:r>
        <w:rPr>
          <w:rFonts w:ascii="Amiri" w:hAnsi="Amiri" w:eastAsia="Amiri" w:cs="Amiri"/>
          <w:color w:val="111111"/>
          <w:sz w:val="28"/>
          <w:sz w:val="28"/>
          <w:szCs w:val="28"/>
          <w:rtl w:val="true"/>
          <w:lang w:bidi="ar-SA"/>
        </w:rPr>
        <w:t xml:space="preserve">كالأشعرية ، فإنّ مرجع الترجيح من غير مرجّح إلى الترجّح من غير مرجّح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 من حيث وجود أصل الفعل في الخارج ، فإنّ نسبة الإرادة بالنسبة إلى الوجود والعدم متساوية ، وكذا الفاعل وغيره ، فلو صدر مع ذلك الفعل ، لزم ترجيح أحد طرفي الفعل الممكن وجوده وعدمه من غير مرجّح يقتضيه ، وبدون مخصّص يعيّنه بالصدور ، فإنّ الجزء الأخير من العلّة التامّة المقتضية لصدور الفعل بعد لم يوجد ، وبوجه آخر الترجيح في المقام عبارة عن وجود الفعل في الخارج بمعنى أنّ ما يحاذيه في الخارج ، وينتزع منه الترجيح هو نفس الفعل ووجوده كما في أضرابه من المفاهيم المنتزعة عن الفعل باعتبارات مختلفة كالشروع في الفعل ، ألا ترى أنّ فعل الأكل والشروع فيه غير الأكل في الخارج ، فترجيح الأكل معناه إيجاد الأكل في الخارج ، فلو جوّزنا الترجيح بلا مرجّح ، فقد جوّزنا وجود الفعل وترجيحه من غير مرجّح وهو فطريّ الاستحالة ، وضروريّ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من حيث نقل الكلام في الإرادة ، فإنّ وجود نفس الإرادة مع أنّها فعل اختياري لا بدّ له من مرجّح خارج عنها ، وإلاّ فيلزم وجود الإرادة وترجيحها بدون المرجّح ، وكيف كان ، فلا ريب في أنّ مرجع صدور الفعل لا بدّ وأن يكون بحيث يجب معه الفعل ، ويمتنع عدمه ، وإلاّ لم يوجد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هذه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في الفرق بين المرجّح والدليل بأنّ المرجّح غير الملزم في دفع ما قيل عليه ممّا لا محصّل له عند التحقيق ، فإن أراد في المثال المذكور أنّ مرجّح أكل الطعام الألذّ والعمل به لا يجب وأن يكون ملزما في صدور هذا الفعل من الآكل </w:t>
      </w:r>
      <w:r>
        <w:rPr>
          <w:rStyle w:val="FootnoteAnchor"/>
          <w:rtl w:val="true"/>
        </w:rPr>
        <w:footnoteReference w:id="881"/>
      </w:r>
      <w:r>
        <w:rPr>
          <w:rFonts w:ascii="Amiri" w:hAnsi="Amiri" w:eastAsia="Amiri" w:cs="Amiri"/>
          <w:color w:val="111111"/>
          <w:sz w:val="28"/>
          <w:sz w:val="28"/>
          <w:szCs w:val="28"/>
          <w:rtl w:val="true"/>
          <w:lang w:bidi="ar-SA"/>
        </w:rPr>
        <w:t xml:space="preserve">، فهذا الكلام باطل ؛ لأوله في الحقيقة إمّا إلى عدم صدور الأكل والفعل منه </w:t>
      </w:r>
      <w:r>
        <w:rPr>
          <w:rStyle w:val="FootnoteAnchor"/>
          <w:rtl w:val="true"/>
        </w:rPr>
        <w:footnoteReference w:id="882"/>
      </w:r>
      <w:r>
        <w:rPr>
          <w:rFonts w:ascii="Amiri" w:hAnsi="Amiri" w:eastAsia="Amiri" w:cs="Amiri"/>
          <w:color w:val="111111"/>
          <w:sz w:val="28"/>
          <w:sz w:val="28"/>
          <w:szCs w:val="28"/>
          <w:rtl w:val="true"/>
          <w:lang w:bidi="ar-SA"/>
        </w:rPr>
        <w:t xml:space="preserve">، أو إلى جواز الترجيح بلا مرجّح ، وهو راجع إلى الترجيح بلا مرجّح ، </w:t>
      </w:r>
    </w:p>
    <w:p>
      <w:pPr>
        <w:pStyle w:val="BookText"/>
        <w:rPr/>
      </w:pPr>
      <w:r>
        <w:rPr>
          <w:rFonts w:ascii="Amiri" w:hAnsi="Amiri" w:eastAsia="Amiri" w:cs="Amiri"/>
          <w:color w:val="111111"/>
          <w:sz w:val="28"/>
          <w:sz w:val="28"/>
          <w:szCs w:val="28"/>
          <w:rtl w:val="true"/>
          <w:lang w:bidi="ar-SA"/>
        </w:rPr>
        <w:t>وتجويزه يوجب انسداد باب 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مرجع الحكم والاعتقاد بأكل الألذّ لا يلزم أن يكون ملزما ، فهذا أيضا كسابقه ظاهر البطلان ، فإنّ العلم أيضا موجود من الموجودات الإمكانية ، وجميع سلسلة الإمكان في وجوداتها </w:t>
      </w:r>
      <w:r>
        <w:rPr>
          <w:rStyle w:val="FootnoteAnchor"/>
          <w:rtl w:val="true"/>
        </w:rPr>
        <w:footnoteReference w:id="883"/>
      </w:r>
      <w:r>
        <w:rPr>
          <w:rFonts w:ascii="Amiri" w:hAnsi="Amiri" w:eastAsia="Amiri" w:cs="Amiri"/>
          <w:color w:val="111111"/>
          <w:sz w:val="28"/>
          <w:sz w:val="28"/>
          <w:szCs w:val="28"/>
          <w:rtl w:val="true"/>
          <w:lang w:bidi="ar-SA"/>
        </w:rPr>
        <w:t xml:space="preserve">محتاج إلى سبق عللها ، وما لم يكن مرجّح وجود العلم موجودا ، أو ملزما بحيث يمتنع معه جميع أنحاء عدمه ، يمتنع وجوده على قياس المثال </w:t>
      </w:r>
      <w:r>
        <w:rPr>
          <w:rStyle w:val="FootnoteAnchor"/>
          <w:rtl w:val="true"/>
        </w:rPr>
        <w:footnoteReference w:id="884"/>
      </w:r>
      <w:r>
        <w:rPr>
          <w:rFonts w:ascii="Amiri" w:hAnsi="Amiri" w:eastAsia="Amiri" w:cs="Amiri"/>
          <w:color w:val="111111"/>
          <w:sz w:val="28"/>
          <w:sz w:val="28"/>
          <w:szCs w:val="28"/>
          <w:rtl w:val="true"/>
          <w:lang w:bidi="ar-SA"/>
        </w:rPr>
        <w:t xml:space="preserve">ما نحن فيه ، فإنّ مرجّح اختيار الظنّ المظنون لا مناص من أن يكون ملزما له ، وإلاّ فيلزم المحذور السابق ، وكذا مرجّح الاعتقاد والحكم بأنّ بعد الانسداد المرجع هو الظنّ المظنون اعتباره لا بدّ وأن يكون مستندا إلى دليل يورث له ، وهذا ظاهر لا سترة عليه ، فإنّ مجرّد تعلّق الظنّ بالظنّ لا يصير مرجّحا للعمل بالظنّ ما لم يكن ملزما ، فالظنّ لو جوّزنا أن يكون ملزما لشيء ، فلم لا يكون ملزما للحكم الواقعي أيضا؟ وإلاّ فلا وجه في التزامه العمل بالظنّ أيضا ، فما أورد على نفسه في محلّه ، وما أجاب عنه غير مستقيم ، وكان منشأ الخلط 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يقال من أنّ الترجيح بلا مرجّح قبيح ، فإنّه قد يتراءى منه أنّ المرجّح ما به يصير أحد طرفي الفعل أولى من الآخر ، فيجوز صدور الآخر إلاّ أنّ الأولى هو صدور الطرف الراجح من الفاعل كما يظهر من تمثيله بالمسافر والأكل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يظهر منهم في باب التعارض والتراجيح من أنّ المرجّح غير الدليل ، وكلّ منهما لا دلالة له على ما ذكره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 معناه أنّ ترجيح أحد المتساويين وإيجاده </w:t>
      </w:r>
      <w:r>
        <w:rPr>
          <w:rStyle w:val="FootnoteAnchor"/>
          <w:rtl w:val="true"/>
        </w:rPr>
        <w:footnoteReference w:id="885"/>
      </w:r>
      <w:r>
        <w:rPr>
          <w:rFonts w:ascii="Amiri" w:hAnsi="Amiri" w:eastAsia="Amiri" w:cs="Amiri"/>
          <w:color w:val="111111"/>
          <w:sz w:val="28"/>
          <w:sz w:val="28"/>
          <w:szCs w:val="28"/>
          <w:rtl w:val="true"/>
          <w:lang w:bidi="ar-SA"/>
        </w:rPr>
        <w:t xml:space="preserve">على الآخر بمرجّح وملزم لا يعدّ في نظر العقلاء مرجّحا وملزما قبيح ، لا أنّه يمكن ترجيح أحد المتساويين على الآخر وإيجاده ووجوده من غير مرجّح ومخصّص لإحدى كفّتي ميزان وجوده </w:t>
      </w:r>
    </w:p>
    <w:p>
      <w:pPr>
        <w:pStyle w:val="BookText"/>
        <w:rPr/>
      </w:pPr>
      <w:r>
        <w:rPr>
          <w:rFonts w:ascii="Amiri" w:hAnsi="Amiri" w:eastAsia="Amiri" w:cs="Amiri"/>
          <w:color w:val="111111"/>
          <w:sz w:val="28"/>
          <w:sz w:val="28"/>
          <w:szCs w:val="28"/>
          <w:rtl w:val="true"/>
          <w:lang w:bidi="ar-SA"/>
        </w:rPr>
        <w:t>وعدمه ، وعلى قياسه الكلمة المشهورة على لسانهم من قبح ترجيح المرجوح على الراجح ، وتفضيل المفضول على الفاضل ، فإنّ أمثال ذلك لا تخفى عن العاقل فضلا عن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غير الدليل كما في الشهرة ؛ حيث يقولون بأنّها مرجّحة </w:t>
      </w:r>
      <w:r>
        <w:rPr>
          <w:rStyle w:val="FootnoteAnchor"/>
          <w:rtl w:val="true"/>
        </w:rPr>
        <w:footnoteReference w:id="886"/>
      </w:r>
      <w:r>
        <w:rPr>
          <w:rFonts w:ascii="Amiri" w:hAnsi="Amiri" w:eastAsia="Amiri" w:cs="Amiri"/>
          <w:color w:val="111111"/>
          <w:sz w:val="28"/>
          <w:sz w:val="28"/>
          <w:szCs w:val="28"/>
          <w:rtl w:val="true"/>
          <w:lang w:bidi="ar-SA"/>
        </w:rPr>
        <w:t xml:space="preserve">لا دليل عند تعاضده بأحد الاحتمالين ، معناه أنّها توجب مزيّة لأحد الاحتمالين لم يكن قبل ، فإن أحدثت فيه المزيّة على وجه قطعي بأنّ المرجع هو هذا الاحتمال ، فلا شكّ أنّ المرجّح حينئذ دليل للحكم ، فإنّه جزء أخير للعلّة التامّة لحصول العلم المعبّر عنها بحسب الاصطلاح بالدليل وإن لم يوجب العلم بكون الموافق للمرجّح هو المرجّح ، فلا بدّ في إثبات كونه مرجّحا من دليل معتبر ، فإن قام على كونه مرجّحا دليل ، فهو دليل أيضا ؛ لأنّه جزء أخير لعلّة العلم بالحكم ، وإلاّ فيبقى عاطلا لا مرجّحا ، ولا دليلا ، مثلا لو احتملنا وجوب صلاة الجمعة وحرمتها بواسطة أمارة عليها ، ووافق إحدى الأمارتين الشهرة ، فإن حصل لنا القطع بحجّية ما وافق الشهرة من حيث موافقتها لها ، فلا كلام ، وإلاّ فإن دلّ دليل على اعتبار الشهرة عند تعارض الأمارتين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فلا شكّ في أنّ المرجّح هو الدليل ، وإلاّ فوجود الشهرة كعدمها لا يوجب علما ولا شيئا آخر فيما هو المقصود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في المقام أنّ نتيجة دليل الانسداد أنّه يجب العمل بظنّ في الجملة على تقدير إهمالها ، وترجيح الظنّ وتعيين الواجب منه بالظنّ يرجع في محصّل معناه إلى الحكم والتصديق بأنّ المرجع بعد الانسداد إلى مظنون الاعتبار في سلاسل الظنّ ، والحكم والتصديق موجود من الموجودات الإمكانية التي تحتاج في وجودها إلى سبق عللها ، وعلّة التصديق في الاصطلاح هو الدليل ، ودليلية الظنّ المتعلّق بالظنّ لتعيين الواجب ليس بيّنا </w:t>
      </w:r>
      <w:r>
        <w:rPr>
          <w:rStyle w:val="FootnoteAnchor"/>
          <w:rtl w:val="true"/>
        </w:rPr>
        <w:footnoteReference w:id="888"/>
      </w:r>
      <w:r>
        <w:rPr>
          <w:rFonts w:ascii="Amiri" w:hAnsi="Amiri" w:eastAsia="Amiri" w:cs="Amiri"/>
          <w:color w:val="111111"/>
          <w:sz w:val="28"/>
          <w:sz w:val="28"/>
          <w:szCs w:val="28"/>
          <w:rtl w:val="true"/>
          <w:lang w:bidi="ar-SA"/>
        </w:rPr>
        <w:t xml:space="preserve">، وإلاّ لكان في مطلق الظنّ أيضا كذلك كما هو المفروض ، ولا مبيّنا ، </w:t>
      </w:r>
    </w:p>
    <w:p>
      <w:pPr>
        <w:pStyle w:val="BookText"/>
        <w:rPr/>
      </w:pPr>
      <w:r>
        <w:rPr>
          <w:rFonts w:ascii="Amiri" w:hAnsi="Amiri" w:eastAsia="Amiri" w:cs="Amiri"/>
          <w:color w:val="111111"/>
          <w:sz w:val="28"/>
          <w:sz w:val="28"/>
          <w:szCs w:val="28"/>
          <w:rtl w:val="true"/>
          <w:lang w:bidi="ar-SA"/>
        </w:rPr>
        <w:t>فالمرجّح في أمثال المقام لا بدّ وأن يكون دليلا وهو المطلوب ، فسقط ما زعمه من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مسلكا آخر في بيان عدم حجّية مطلق الظنّ بل لو كان حجّة ، فالظنّ الذي لم يقم على عدم حجّيته ظنّ كما يظهر من بعض الأعاظم من أنّ الحجّة بعد الانسداد هو الظنّ الذي لم يتعلّق الظنّ بعدم حجّيته لا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المحقّق النراقي على وجه الاعتراض على الدليل مع اختلاف في بيانه ، وكيف كان فتحريره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البرهان على ما ستعرف في إخراج القياس هو كلّ ظنّ لم يقم دليل قطعي على عدم اعتباره ، والمفروض أنّ دليل الانسداد أوجب القطع بحجّية كلّ ظنّ </w:t>
      </w:r>
      <w:r>
        <w:rPr>
          <w:rStyle w:val="FootnoteAnchor"/>
          <w:rtl w:val="true"/>
        </w:rPr>
        <w:footnoteReference w:id="889"/>
      </w:r>
      <w:r>
        <w:rPr>
          <w:rFonts w:ascii="Amiri" w:hAnsi="Amiri" w:eastAsia="Amiri" w:cs="Amiri"/>
          <w:color w:val="111111"/>
          <w:sz w:val="28"/>
          <w:sz w:val="28"/>
          <w:szCs w:val="28"/>
          <w:rtl w:val="true"/>
          <w:lang w:bidi="ar-SA"/>
        </w:rPr>
        <w:t xml:space="preserve">، فلو قام ظنّ على عدم حجّية ظنّ ، فقد قام القاطع على عدم حجّية الظنّ </w:t>
      </w:r>
      <w:r>
        <w:rPr>
          <w:rStyle w:val="FootnoteAnchor"/>
          <w:rtl w:val="true"/>
        </w:rPr>
        <w:footnoteReference w:id="890"/>
      </w:r>
      <w:r>
        <w:rPr>
          <w:rFonts w:ascii="IRNazanin" w:hAnsi="IRNazanin" w:eastAsia="IRNazanin"/>
          <w:color w:val="111111"/>
          <w:sz w:val="28"/>
          <w:sz w:val="28"/>
          <w:szCs w:val="28"/>
          <w:rtl w:val="true"/>
          <w:lang w:bidi="fa-IR"/>
        </w:rPr>
        <w:t xml:space="preserve">الممنوع ، فإنّ المفروض اعتبار الظنّ </w:t>
      </w:r>
      <w:r>
        <w:rPr>
          <w:rStyle w:val="FootnoteAnchor"/>
          <w:rtl w:val="true"/>
        </w:rPr>
        <w:footnoteReference w:id="891"/>
      </w:r>
      <w:r>
        <w:rPr>
          <w:rFonts w:ascii="Amiri" w:hAnsi="Amiri" w:eastAsia="Amiri" w:cs="Amiri"/>
          <w:color w:val="111111"/>
          <w:sz w:val="28"/>
          <w:sz w:val="28"/>
          <w:szCs w:val="28"/>
          <w:rtl w:val="true"/>
          <w:lang w:bidi="ar-SA"/>
        </w:rPr>
        <w:t>المانع قطعا ، فالحجّة بعد الانسداد هو الظنّ الذي لم يتعلّق الظنّ بعدم حجّيته كالخبر الواحد مثلا بخلاف الشهرة والأولوية ؛ لقيام الشهرة على عدم حجّيّتهما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اختصاص حجّية الظنّ بالفروع قد فرغنا عن إبطالها وسيجيء ما يزيد التحقيق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دليل الانسداد بالنسبة إلى الظنّ المانع والممنوع متساوية ، فلا وجه لترجيح الظنّ المانع بدخوله تحت الدليل على الظنّ الممنوع بخروجه عنه كما إذا كان هناك عامّ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وكان الامتثال بالعامّ في أحد أفراده موقوفا على عدم الامتثال بالنسبة إلى فرد آخر كما إذا كان إكرام زيد العالم في الواقع مرتّبا على عدم إكرام عمرو العالم ، فإنّه كما لا يحكم بتقديم أحدهما على الآخر إلاّ بعد دلالة دليل ، فإنّ الحكم بإكرام زيد العالم معارض بالحكم بإكرام عمرو ، ولا ترجيح </w:t>
      </w:r>
    </w:p>
    <w:p>
      <w:pPr>
        <w:pStyle w:val="BookText"/>
        <w:rPr/>
      </w:pPr>
      <w:r>
        <w:rPr>
          <w:rFonts w:ascii="Amiri" w:hAnsi="Amiri" w:eastAsia="Amiri" w:cs="Amiri"/>
          <w:color w:val="111111"/>
          <w:sz w:val="28"/>
          <w:sz w:val="28"/>
          <w:szCs w:val="28"/>
          <w:rtl w:val="true"/>
          <w:lang w:bidi="ar-SA"/>
        </w:rPr>
        <w:t>لأحدهما على الآخر ، فكذلك في المقام لا وجه لترجيح الظنّ المانع على الممنوع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ظاهر بين أن يكون دخول أحد الفردين في العامّ حكما موجبا لخروج الفرد الآخر حكما ، و </w:t>
      </w:r>
      <w:r>
        <w:rPr>
          <w:rStyle w:val="FootnoteAnchor"/>
          <w:rtl w:val="true"/>
        </w:rPr>
        <w:footnoteReference w:id="892"/>
      </w:r>
      <w:r>
        <w:rPr>
          <w:rFonts w:ascii="Amiri" w:hAnsi="Amiri" w:eastAsia="Amiri" w:cs="Amiri"/>
          <w:color w:val="111111"/>
          <w:sz w:val="28"/>
          <w:sz w:val="28"/>
          <w:szCs w:val="28"/>
          <w:rtl w:val="true"/>
          <w:lang w:bidi="ar-SA"/>
        </w:rPr>
        <w:t>بين أن يكون دخول أحد الفردين في العامّ حكما موجبا لخروج الآخر موضوعا ، وما نحن فيه من قبيل الثاني ، فإنّ دخول الظنّ المانع في دليل الانسداد يوجب خروج الممنوع موضوعا ، فإنّ موضوع الحكم هو الظنّ الذي لم يقم قاطع على عدم حجّيته ، فخروجه لا يستلزم تخصيصا في العامّ العقلي ، بخلاف ما لو فرضنا خروج المانع ، فإنّه تخصيص في الدليل العقلي ، ألا ترى أنّا قد قلنا بتقديم استصحاب السبب على استصحاب المسبّب عند تعارضهما بواسطة أنّ دخول استصحاب السبب في دليل الاستصحاب إنّما يوجب خروج الآخر موضوعا بخلاف ما لو قدّمنا استصحاب المسبّب عليه ، فإنّه يوجب التخصيص في العامّ اللفظي الدالّ على الاستصحاب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النتيجة هي الظنّ الذي لم يقم دليل قطعي على عدم اعتباره على وجه التقييد ، وأمّا إشكال القياس ، فسيجيء الجواب عنه ، ودفع إشكال القياس لا يقضي </w:t>
      </w:r>
      <w:r>
        <w:rPr>
          <w:rStyle w:val="FootnoteAnchor"/>
          <w:rtl w:val="true"/>
        </w:rPr>
        <w:footnoteReference w:id="893"/>
      </w:r>
      <w:r>
        <w:rPr>
          <w:rFonts w:ascii="Amiri" w:hAnsi="Amiri" w:eastAsia="Amiri" w:cs="Amiri"/>
          <w:color w:val="111111"/>
          <w:sz w:val="28"/>
          <w:sz w:val="28"/>
          <w:szCs w:val="28"/>
          <w:rtl w:val="true"/>
          <w:lang w:bidi="ar-SA"/>
        </w:rPr>
        <w:t xml:space="preserve">بهذا التقييد </w:t>
      </w:r>
      <w:r>
        <w:rPr>
          <w:rStyle w:val="FootnoteAnchor"/>
          <w:rtl w:val="true"/>
        </w:rPr>
        <w:footnoteReference w:id="894"/>
      </w:r>
      <w:r>
        <w:rPr>
          <w:rFonts w:ascii="IRNazanin" w:hAnsi="IRNazanin" w:eastAsia="IRNazanin"/>
          <w:color w:val="111111"/>
          <w:sz w:val="28"/>
          <w:sz w:val="28"/>
          <w:szCs w:val="28"/>
          <w:rtl w:val="true"/>
          <w:lang w:bidi="fa-IR"/>
        </w:rPr>
        <w:t xml:space="preserve">الفاسد لتوجّه </w:t>
      </w:r>
      <w:r>
        <w:rPr>
          <w:rStyle w:val="FootnoteAnchor"/>
          <w:rtl w:val="true"/>
        </w:rPr>
        <w:footnoteReference w:id="895"/>
      </w:r>
      <w:r>
        <w:rPr>
          <w:rFonts w:ascii="Amiri" w:hAnsi="Amiri" w:eastAsia="Amiri" w:cs="Amiri"/>
          <w:color w:val="111111"/>
          <w:sz w:val="28"/>
          <w:sz w:val="28"/>
          <w:szCs w:val="28"/>
          <w:rtl w:val="true"/>
          <w:lang w:bidi="ar-SA"/>
        </w:rPr>
        <w:t>على الدليل إشكال آخر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التقييد ولكن لا نسلّم وجود ظنّ تعلّق الظنّ بعدم اعتباره ، وأمّا ما قد يتراءى في النظر من الشهرة والأولوية والاستقراء من حيث إنّ المشهور قد أعرضوا عنها ، فليس من جهة قيام دليل على عدم حجّيتها </w:t>
      </w:r>
      <w:r>
        <w:rPr>
          <w:rStyle w:val="FootnoteAnchor"/>
          <w:rtl w:val="true"/>
        </w:rPr>
        <w:footnoteReference w:id="896"/>
      </w:r>
      <w:r>
        <w:rPr>
          <w:rFonts w:ascii="Amiri" w:hAnsi="Amiri" w:eastAsia="Amiri" w:cs="Amiri"/>
          <w:color w:val="111111"/>
          <w:sz w:val="28"/>
          <w:sz w:val="28"/>
          <w:szCs w:val="28"/>
          <w:rtl w:val="true"/>
          <w:lang w:bidi="ar-SA"/>
        </w:rPr>
        <w:t xml:space="preserve">بالخصوص كما في القياس ، فإنّ الكلام في المقام إنّما هو مع قطع النظر عن أصالة حرمة العمل بالظنّ ، </w:t>
      </w:r>
    </w:p>
    <w:p>
      <w:pPr>
        <w:pStyle w:val="BookText"/>
        <w:rPr/>
      </w:pPr>
      <w:r>
        <w:rPr>
          <w:rFonts w:ascii="Amiri" w:hAnsi="Amiri" w:eastAsia="Amiri" w:cs="Amiri"/>
          <w:color w:val="111111"/>
          <w:sz w:val="28"/>
          <w:sz w:val="28"/>
          <w:szCs w:val="28"/>
          <w:rtl w:val="true"/>
          <w:lang w:bidi="ar-SA"/>
        </w:rPr>
        <w:t xml:space="preserve">فعدم حجّية الشهرة عند المشهور أو الاستقراء إنّما هو من حيث عدم دليل على حجّيتها بالخصوص ، وعدم حجّيتها في مرحلة الأصل معلوم لا مظنون بل هو من أجلى الضروريات عند الإمامية كما ادّعاها الأستاذ الأكبر المحقّق البهبهاني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قد يتوهّم في الأولوية ورود دليل خاصّ على عدم حجّيته مضافا إلى الأصل كما ورد في خبر أبان بن تغلب </w:t>
      </w:r>
      <w:r>
        <w:rPr>
          <w:rStyle w:val="FootnoteAnchor"/>
          <w:rtl w:val="true"/>
        </w:rPr>
        <w:footnoteReference w:id="898"/>
      </w:r>
      <w:r>
        <w:rPr>
          <w:rFonts w:ascii="Amiri" w:hAnsi="Amiri" w:eastAsia="Amiri" w:cs="Amiri"/>
          <w:color w:val="111111"/>
          <w:sz w:val="28"/>
          <w:sz w:val="28"/>
          <w:szCs w:val="28"/>
          <w:rtl w:val="true"/>
          <w:lang w:bidi="ar-SA"/>
        </w:rPr>
        <w:t>في دية الأصابع إلاّ أنّ لنا فيه كلاما يطلب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وجود الظنّ المتعلّق بعدم اعتباره ظنّ لكن لا نسلّم أنّ دخول الظنّ المانع في الدليل أولى من دخول الممنوع ، وأمّا ما استند إليه من أنّ خروج الممنوع خروج موضوعي لا يوجب تخصيصا في الدليل بخلاف المانع ، فمشترك بينهما كيف؟ ولا يمكن خروج الحكمي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الظنّ المانع ونظره وإن كان بحسب المطابقة مثلا عدم حجّية الممنوع وخروجه موضوعا إلاّ أنّ دخول الممنوع أيضا يوجب خروج المانع خروجا موضوعيّا التزاما مثلا ، فإنّ بعد ما فرضنا دخوله تحت العامّ ، فيلازم خروج المانع ؛ لأنّ القطع بدخول الممنوع ينافي القطع بدخول المانع ، وكذا ينافي الشكّ بدخوله ؛ إذ مع احتمال دخول المانع لا يقطع بدخول الممنوع ، فالقطع بدخوله يستلزم القطع بخروجه ؛ لأنّ دخوله دليل قطعي على خروجه ، فلا ترجيح لأحدهما على الآخر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تقديم </w:t>
      </w:r>
      <w:r>
        <w:rPr>
          <w:rStyle w:val="FootnoteAnchor"/>
          <w:rtl w:val="true"/>
        </w:rPr>
        <w:footnoteReference w:id="899"/>
      </w:r>
      <w:r>
        <w:rPr>
          <w:rFonts w:ascii="Amiri" w:hAnsi="Amiri" w:eastAsia="Amiri" w:cs="Amiri"/>
          <w:color w:val="111111"/>
          <w:sz w:val="28"/>
          <w:sz w:val="28"/>
          <w:szCs w:val="28"/>
          <w:rtl w:val="true"/>
          <w:lang w:bidi="ar-SA"/>
        </w:rPr>
        <w:t xml:space="preserve">استصحاب المزيل على استصحاب المزال </w:t>
      </w:r>
      <w:r>
        <w:rPr>
          <w:rStyle w:val="FootnoteAnchor"/>
          <w:rtl w:val="true"/>
        </w:rPr>
        <w:footnoteReference w:id="900"/>
      </w:r>
      <w:r>
        <w:rPr>
          <w:rFonts w:ascii="Amiri" w:hAnsi="Amiri" w:eastAsia="Amiri" w:cs="Amiri"/>
          <w:color w:val="111111"/>
          <w:sz w:val="28"/>
          <w:sz w:val="28"/>
          <w:szCs w:val="28"/>
          <w:rtl w:val="true"/>
          <w:lang w:bidi="ar-SA"/>
        </w:rPr>
        <w:t xml:space="preserve">، فليس بمجرّد ما ذكره من أنّ تقديم المزيل يوجب خروج المزال موضوعا ، بل التحقيق فيه أنّ التقديم هناك إنّما هو بواسطة ترتيب طبيعي بين المزيل والمزال من جهة علّية بينهما ؛ فإنّ الشكّ في المزال معلول للشكّ في المزيل ، فيرتفع الشكّ في المزال بعد استصحاب المزيل ، ولا </w:t>
      </w:r>
    </w:p>
    <w:p>
      <w:pPr>
        <w:pStyle w:val="BookText"/>
        <w:rPr/>
      </w:pPr>
      <w:r>
        <w:rPr>
          <w:rFonts w:ascii="Amiri" w:hAnsi="Amiri" w:eastAsia="Amiri" w:cs="Amiri"/>
          <w:color w:val="111111"/>
          <w:sz w:val="28"/>
          <w:sz w:val="28"/>
          <w:szCs w:val="28"/>
          <w:rtl w:val="true"/>
          <w:lang w:bidi="ar-SA"/>
        </w:rPr>
        <w:t xml:space="preserve">ينافي ارتفاع الشكّ في المزيل بعد استصحاب المزال وإن كانت قضية العلّية ارتفاعه من حيث إنّ رفع المعلول </w:t>
      </w:r>
      <w:r>
        <w:rPr>
          <w:rStyle w:val="FootnoteAnchor"/>
          <w:rtl w:val="true"/>
        </w:rPr>
        <w:footnoteReference w:id="901"/>
      </w:r>
      <w:r>
        <w:rPr>
          <w:rFonts w:ascii="Amiri" w:hAnsi="Amiri" w:eastAsia="Amiri" w:cs="Amiri"/>
          <w:color w:val="111111"/>
          <w:sz w:val="28"/>
          <w:sz w:val="28"/>
          <w:szCs w:val="28"/>
          <w:rtl w:val="true"/>
          <w:lang w:bidi="ar-SA"/>
        </w:rPr>
        <w:t xml:space="preserve">يلازم رفع العلّة </w:t>
      </w:r>
      <w:r>
        <w:rPr>
          <w:rStyle w:val="FootnoteAnchor"/>
          <w:rtl w:val="true"/>
        </w:rPr>
        <w:footnoteReference w:id="902"/>
      </w:r>
      <w:r>
        <w:rPr>
          <w:rFonts w:ascii="Amiri" w:hAnsi="Amiri" w:eastAsia="Amiri" w:cs="Amiri"/>
          <w:color w:val="111111"/>
          <w:sz w:val="28"/>
          <w:sz w:val="28"/>
          <w:szCs w:val="28"/>
          <w:rtl w:val="true"/>
          <w:lang w:bidi="ar-SA"/>
        </w:rPr>
        <w:t>؛ لأنّ الأصل حينئذ يصير من الأصول المثبتة التي لا تعويل عليها عند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الفرق هو أنّ ارتفاع الشكّ في المزال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الشكّ معلولا بعد استصحاب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بواسطة أنّه من الأحكام الشرعية للمزيل ، فإنّ طهارة الملاقي من اللوازم الشرعية لطهارة الماء المستصحب طهارته في أمثال المزيل والمزال ، وأمّا استصحاب </w:t>
      </w:r>
      <w:r>
        <w:rPr>
          <w:rStyle w:val="FootnoteAnchor"/>
          <w:rtl w:val="true"/>
        </w:rPr>
        <w:footnoteReference w:id="903"/>
      </w:r>
      <w:r>
        <w:rPr>
          <w:rFonts w:ascii="Amiri" w:hAnsi="Amiri" w:eastAsia="Amiri" w:cs="Amiri"/>
          <w:color w:val="111111"/>
          <w:sz w:val="28"/>
          <w:sz w:val="28"/>
          <w:szCs w:val="28"/>
          <w:rtl w:val="true"/>
          <w:lang w:bidi="ar-SA"/>
        </w:rPr>
        <w:t>نجاسة المحلّ الملاقي لا يلازمه لزوما شرعيّا نجاسة الماء بل يلازمه لزوما عقليا كما في المقام ، فإنّ دخول الممنوع يلازم لزوما عقليا خروج المانع خروجا موضوعيّا على ما عرفت ؛ لأنّ الأصل في استصحاب المزال لا ينهض بإثبات اللوازم العقلية بخلاف المقام ، فإنّه من الأدلّة الاجتهادية وهي تنهض بإثبات اللوازم العقلية والعادية والشرعية بأجمعها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بخروج الظنّ </w:t>
      </w:r>
      <w:r>
        <w:rPr>
          <w:rStyle w:val="FootnoteAnchor"/>
          <w:rtl w:val="true"/>
        </w:rPr>
        <w:footnoteReference w:id="904"/>
      </w:r>
      <w:r>
        <w:rPr>
          <w:rFonts w:ascii="Amiri" w:hAnsi="Amiri" w:eastAsia="Amiri" w:cs="Amiri"/>
          <w:color w:val="111111"/>
          <w:sz w:val="28"/>
          <w:sz w:val="28"/>
          <w:szCs w:val="28"/>
          <w:rtl w:val="true"/>
          <w:lang w:bidi="ar-SA"/>
        </w:rPr>
        <w:t xml:space="preserve">المانع مخالف لما أطبق عليه الفريقان من القائلين بالظنّ المطلق وأرباب الظنون الخاصّة ، فإنّ أحدا منهم لم يفصّل بين أقسام أمارة واحدة ، فإنّ الشهرة لو كانت حجّة فهي حجّة مطلقا ، ولو لم تكن حجّة ، فهي كذلك ، ولا قائل بالفصل مثل هذا التفصيل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مثلا حجّة ما لم يتعلّق على بطلان الشهرة ، أو الأولوية ، أو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التشبّث بعدم القول بالفصل ، أو الإجماع المركّب في أمثال المقام ليس إلاّ كتشبّث الغريق بكلّ حشيش</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الإجماع مقلوبة ، فيلتزم </w:t>
      </w:r>
      <w:r>
        <w:rPr>
          <w:rStyle w:val="FootnoteAnchor"/>
          <w:rtl w:val="true"/>
        </w:rPr>
        <w:footnoteReference w:id="905"/>
      </w:r>
      <w:r>
        <w:rPr>
          <w:rFonts w:ascii="Amiri" w:hAnsi="Amiri" w:eastAsia="Amiri" w:cs="Amiri"/>
          <w:color w:val="111111"/>
          <w:sz w:val="28"/>
          <w:sz w:val="28"/>
          <w:szCs w:val="28"/>
          <w:rtl w:val="true"/>
          <w:lang w:bidi="ar-SA"/>
        </w:rPr>
        <w:t xml:space="preserve">بخروج جميع أقسام الشهرة في المثال </w:t>
      </w:r>
    </w:p>
    <w:p>
      <w:pPr>
        <w:pStyle w:val="BookText"/>
        <w:rPr/>
      </w:pPr>
      <w:r>
        <w:rPr>
          <w:rFonts w:ascii="Amiri" w:hAnsi="Amiri" w:eastAsia="Amiri" w:cs="Amiri"/>
          <w:color w:val="111111"/>
          <w:sz w:val="28"/>
          <w:sz w:val="28"/>
          <w:szCs w:val="28"/>
          <w:rtl w:val="true"/>
          <w:lang w:bidi="ar-SA"/>
        </w:rPr>
        <w:t>المذكور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المسألة الأصولية موافق للظنّ المانع ، فلا بدّ أن يكون هو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الاستقراء أو الشهرة مثلا مسألة أصولية ، ومقتضى برهان الانسداد هو حجّيته كما أنّ مقتضى الشهرة الثابت حجّيتها بدليل الانسداد عدم حجّيته ، فدليل الانسداد في المقامين متعارض ، فيسقط عن درجة الاستدلال ، فلا بدّ من الرجوع إلى الأصول ، والأصل في مسألة حجّية الاستقراء التي هي من المسائل الأصولية عدم الحجّية ، فيوافق مضمون الأصل مضمون المانع من الظنّين ، وفي خروج الممنوع عن تحت الدليل وهو المطلوب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سقوط الدليل بالنسبة إلى كلّ من المانع والممنوع ؛ إذ قد يحتمل جواز الرجوع إلى أقوى الظنّين من المانع والممنوع ، وستعرف ذلك ، هذا تمام الكلام فيما إذا قرّر هذا الوجه في بيان عدم كلّية نتيجة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هذا الوجه في بيان حجّية الظنّ المظنون بناء على أنّه إذا علمنا وجود </w:t>
      </w:r>
      <w:r>
        <w:rPr>
          <w:rStyle w:val="FootnoteAnchor"/>
          <w:rtl w:val="true"/>
        </w:rPr>
        <w:footnoteReference w:id="906"/>
      </w:r>
      <w:r>
        <w:rPr>
          <w:rFonts w:ascii="Amiri" w:hAnsi="Amiri" w:eastAsia="Amiri" w:cs="Amiri"/>
          <w:color w:val="111111"/>
          <w:sz w:val="28"/>
          <w:sz w:val="28"/>
          <w:szCs w:val="28"/>
          <w:rtl w:val="true"/>
          <w:lang w:bidi="ar-SA"/>
        </w:rPr>
        <w:t xml:space="preserve">أمارة قطعيّة بين الأمارات ، ثمّ ظننّا بأنّ بعضا منها ليست هي ، فنظنّ إجمالا بأنّ الأمارة القطعية إنّما هي في غير تلك الظنون التي ظننّا بأنّها ليست هي ، وحينئذ فالجواب عنه هو الجواب عمّا </w:t>
      </w:r>
      <w:r>
        <w:rPr>
          <w:rStyle w:val="FootnoteAnchor"/>
          <w:rtl w:val="true"/>
        </w:rPr>
        <w:footnoteReference w:id="907"/>
      </w:r>
      <w:r>
        <w:rPr>
          <w:rFonts w:ascii="IRNazanin" w:hAnsi="IRNazanin" w:eastAsia="IRNazanin"/>
          <w:color w:val="111111"/>
          <w:sz w:val="28"/>
          <w:sz w:val="28"/>
          <w:szCs w:val="28"/>
          <w:rtl w:val="true"/>
          <w:lang w:bidi="fa-IR"/>
        </w:rPr>
        <w:t>تقدّم من الظنّ المظنون ، 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وبوجه آخر أنّ نتيجة برهان الانسداد هو العمل بالظنّ من حيث إنّه يوجب الظنّ بتفريغ الذمّة ، وبعد ما تعلّق الظنّ بعدم حجّية ظنّ لا يحصل الظنّ بالفراغ ، فلا بدّ أن لا يكون الظنّ الموهوم حجّة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قد عرفت سابقا من أنّ الظنّ بتفريغ الذمّة بالنسبة إلى متعلّق الظنّ وهو الحكم الواقعي يحصل قطعا ، وهو كاف في أمثال المقام ، وإذ قد عرفت بطلان ما يتخيّل </w:t>
      </w:r>
    </w:p>
    <w:p>
      <w:pPr>
        <w:pStyle w:val="BookText"/>
        <w:rPr/>
      </w:pPr>
      <w:r>
        <w:rPr>
          <w:rFonts w:ascii="Amiri" w:hAnsi="Amiri" w:eastAsia="Amiri" w:cs="Amiri"/>
          <w:color w:val="111111"/>
          <w:sz w:val="28"/>
          <w:sz w:val="28"/>
          <w:szCs w:val="28"/>
          <w:rtl w:val="true"/>
          <w:lang w:bidi="ar-SA"/>
        </w:rPr>
        <w:t>كونه مرجّحا ، فيثبت التعميم كما أفاده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بعد ما قلنا ببطلان المرجّحات لا يجب القول بالتعميم ، لاحتمال التخيير ، وليس المراد من التخيير هو التخيير بين الكلّ والبعض حتّى يتمسّك بالأخذ بالقدر المتيقّن في دفعه ؛ لأنّ احتمال الكلّ مدفوع بالأصل ، والأبعاض متعدّدة ، فيتوجّه التخيير بينهما أيضا ، فما لم يدلّ دليل على بطلان التخيير في المقام لا يثبت التعميم ؛ لجواز أن يكون المرجّح إلى أحد أسباب الظنّ من غير تعيين </w:t>
      </w:r>
      <w:r>
        <w:rPr>
          <w:rStyle w:val="FootnoteAnchor"/>
          <w:rtl w:val="true"/>
        </w:rPr>
        <w:footnoteReference w:id="908"/>
      </w:r>
      <w:r>
        <w:rPr>
          <w:rFonts w:ascii="Amiri" w:hAnsi="Amiri" w:eastAsia="Amiri" w:cs="Amiri"/>
          <w:color w:val="111111"/>
          <w:sz w:val="28"/>
          <w:sz w:val="28"/>
          <w:szCs w:val="28"/>
          <w:rtl w:val="true"/>
          <w:lang w:bidi="ar-SA"/>
        </w:rPr>
        <w:t xml:space="preserve">شرعي على أن يكون المعيّن راجعا إلى الدواعي النفسانية في نظر المكلّف كما في سائر التخييرات ، وكيف كان ، فالإجماع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بطلان التخيير بين الأمارات في مرحلة الظاهر بمعنى أنّ التجزئة في العمل بين الأمارات في مرحلة الظاهر لا تجزي عمّا يجب العمل به في الواقع سواء كان المكلّف به في الواقع هو الكلّ أو البعض ، فبالحقيقة إنّ بطلان المرجّحات إنّما هو مقدّمة لجريان قاعدة التخيير ، ومحقّق لموضوعها وبعد صلاحية جريان التخيير في موضوعه قام الإجماع على بطلانه ، فالمعمّم في الحقيقة </w:t>
      </w:r>
      <w:r>
        <w:rPr>
          <w:rStyle w:val="FootnoteAnchor"/>
          <w:rtl w:val="true"/>
        </w:rPr>
        <w:footnoteReference w:id="909"/>
      </w:r>
      <w:r>
        <w:rPr>
          <w:rFonts w:ascii="Amiri" w:hAnsi="Amiri" w:eastAsia="Amiri" w:cs="Amiri"/>
          <w:color w:val="111111"/>
          <w:sz w:val="28"/>
          <w:sz w:val="28"/>
          <w:szCs w:val="28"/>
          <w:rtl w:val="true"/>
          <w:lang w:bidi="ar-SA"/>
        </w:rPr>
        <w:t>هو هذا الإجماع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910"/>
      </w:r>
      <w:r>
        <w:rPr>
          <w:rFonts w:ascii="Amiri" w:hAnsi="Amiri" w:eastAsia="Amiri" w:cs="Amiri"/>
          <w:color w:val="111111"/>
          <w:sz w:val="28"/>
          <w:sz w:val="28"/>
          <w:szCs w:val="28"/>
          <w:rtl w:val="true"/>
          <w:lang w:bidi="ar-SA"/>
        </w:rPr>
        <w:t xml:space="preserve">من المعمّمات هو الإجماع المركّب وعدم القول بالفصل ، فإنّ القائلين بالانسداد لم يفرّقوا بين أقسام الظنّ وأسبابه ، وهو كذلك إلاّ أنّ الكلام في اعتبار مثل الإجماع بعد ما نجد من نفوسنا من عدم حصول الكشف عنه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منها قاعدة الاشتغال ، وبيانها أنّ بعد ما ثبت بدليل الانسداد حجّية ظنّ في الجملة ، ولم نعلم الواجب منه بالخصوص </w:t>
      </w:r>
      <w:r>
        <w:rPr>
          <w:rStyle w:val="FootnoteAnchor"/>
          <w:rtl w:val="true"/>
        </w:rPr>
        <w:footnoteReference w:id="912"/>
      </w:r>
      <w:r>
        <w:rPr>
          <w:rFonts w:ascii="Amiri" w:hAnsi="Amiri" w:eastAsia="Amiri" w:cs="Amiri"/>
          <w:color w:val="111111"/>
          <w:sz w:val="28"/>
          <w:sz w:val="28"/>
          <w:szCs w:val="28"/>
          <w:rtl w:val="true"/>
          <w:lang w:bidi="ar-SA"/>
        </w:rPr>
        <w:t>، فلا بدّ من العمل بكلّ ظنّ ؛ لأنّ العلم بالاشتغال ، يقضي بالعلم بالامتثال ، فلا يحصل إلاّ بالعمل بالجميع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الاحتياط فيما دار الأمر بين المحرّم والواجب كما في المقام ، فإنّ بعض الظنّ إثم والعامل به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من الحرام الذاتيّ المنهيّ عنه بالخصوص كما في القياس ، فلا نسلّم حرمته ، لعدم دليل عليه ، وإن أراد من المحرّم ولو بعد اندراجه في عموم ما دلّ على حرمة العمل به ، فقد مرّ غير مرّة أنّ أوله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التشريع ، وثانيهما طرح أدلّة الأصول في مواردها من غير دليل يقضي به بعد </w:t>
      </w:r>
      <w:r>
        <w:rPr>
          <w:rStyle w:val="FootnoteAnchor"/>
          <w:rtl w:val="true"/>
        </w:rPr>
        <w:footnoteReference w:id="913"/>
      </w:r>
      <w:r>
        <w:rPr>
          <w:rFonts w:ascii="Amiri" w:hAnsi="Amiri" w:eastAsia="Amiri" w:cs="Amiri"/>
          <w:color w:val="111111"/>
          <w:sz w:val="28"/>
          <w:sz w:val="28"/>
          <w:szCs w:val="28"/>
          <w:rtl w:val="true"/>
          <w:lang w:bidi="ar-SA"/>
        </w:rPr>
        <w:t>تعليقها بالعلم ، والاحتياط محقّق لموضوع لا يصدق عليه التشريع ، ولا يلزم طرح الأصول فيما إذا كانت نافية ، والظنّ مثبت للتكليف ؛ لعدم التنافي بينهما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المثبتة ، فالاستصحابات منها منقطعة بالعلم الإجمالي في مواردها بخلاف مقتضاها ، وأمّا الاشتغال ، فالاشتغال في المسألة الفرعية يعارض الاشتغال في المسألة الأصولية ، والأوّل مقدّم على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الوجه لا يستقيم معمّما ؛ لأنّ تقديم الاشتغال في المسألة الفرعية عليه في المسألة الأصولية عين عدم العمل بالظنّ فيها ، والمقصود إثبات التعميم والعمل بالظنّ في موارد الاشتغال في الفروع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يتوهّم عدم تقديم </w:t>
      </w:r>
      <w:r>
        <w:rPr>
          <w:rStyle w:val="FootnoteAnchor"/>
          <w:rtl w:val="true"/>
        </w:rPr>
        <w:footnoteReference w:id="914"/>
      </w:r>
      <w:r>
        <w:rPr>
          <w:rFonts w:ascii="Amiri" w:hAnsi="Amiri" w:eastAsia="Amiri" w:cs="Amiri"/>
          <w:color w:val="111111"/>
          <w:sz w:val="28"/>
          <w:sz w:val="28"/>
          <w:szCs w:val="28"/>
          <w:rtl w:val="true"/>
          <w:lang w:bidi="ar-SA"/>
        </w:rPr>
        <w:t>الاشتغال في الفروع نظرا إلى تعارضه بالاشتغال في الأصول وليس كذلك ؛ لأنّ الاشتغال في المسألة الفرعية لا ينافي الاشتغال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يحتاج إلى مقدّمة وهي أنّ وجوب العمل بطريق وأمارة كخبر زيد مثلا يتصوّر على وجهين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بالعمل به موجبا لوجوب عرضي فيما أخبر به ولو كان من المباحات أو المكروهات أو المندوبات كما إذا جعل أحدهما متعلّقا للنذر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الأمر باستناد العمل إلى قوله ، لا إلى نفس العمل كأن يكون الواجب استناد العمل إلى قوله ، والأخذ منه على أن يكون المدرك في اعتقاد الاستحباب أو الإباحة هو خبر زيد ، ولا شكّ أنّ هذا هو معنى وجوب العمل بخبر زيد لا الأوّل ، وإلاّ يلزم وجوب الحرام فيما إذا أخبر بحرمة شيء أو وجوب مباح ، كما أنّه لا شكّ في صدق الامتثال ولو بالنسبة إلى فعل المأمور به مع عدم الأخذ بخبر زيد وإن لم يصدق بالنسبة إلى الأخذ ، لأنّه واجب توصّلي يسقط بإتيان العمل ولو من 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يثاب بالنسبة إلى الأمر بالأخذ من قول زيد والعمل بخبره ؛ لأنّ قضية الوجوب التوصّلي لا تزيد </w:t>
      </w:r>
      <w:r>
        <w:rPr>
          <w:rStyle w:val="FootnoteAnchor"/>
          <w:rtl w:val="true"/>
        </w:rPr>
        <w:footnoteReference w:id="915"/>
      </w:r>
      <w:r>
        <w:rPr>
          <w:rFonts w:ascii="Amiri" w:hAnsi="Amiri" w:eastAsia="Amiri" w:cs="Amiri"/>
          <w:color w:val="111111"/>
          <w:sz w:val="28"/>
          <w:sz w:val="28"/>
          <w:szCs w:val="28"/>
          <w:rtl w:val="true"/>
          <w:lang w:bidi="ar-SA"/>
        </w:rPr>
        <w:t>على رفع العقاب وهو لا يقضي بالثواب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 فاعلم أنّ الشهرة مثلا دلّت على خلاف ما يقتضيه الاشتغال في وجوب الصلاة مثلا ، فالعمل بالاشتغال لا ينافي العمل بالشهرة بخلاف العمل بها ، فإنّ العمل بها </w:t>
      </w:r>
      <w:r>
        <w:rPr>
          <w:rStyle w:val="FootnoteAnchor"/>
          <w:rtl w:val="true"/>
        </w:rPr>
        <w:footnoteReference w:id="916"/>
      </w:r>
      <w:r>
        <w:rPr>
          <w:rFonts w:ascii="Amiri" w:hAnsi="Amiri" w:eastAsia="Amiri" w:cs="Amiri"/>
          <w:color w:val="111111"/>
          <w:sz w:val="28"/>
          <w:sz w:val="28"/>
          <w:szCs w:val="28"/>
          <w:rtl w:val="true"/>
          <w:lang w:bidi="ar-SA"/>
        </w:rPr>
        <w:t>قد يؤدّي إلى ترك الاشتغال ، فإنّ المفروض وجوب العمل على تقدير الاشتغال وعدم وجوبه على تقدير العمل بالظنّ ، والعمل بالأول عمل بالثاني ؛ لأنّ الأخذ به واجب توصّلي يحصل بالفعل ولو من غير جهة الاستناد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يتعارض الاشتغالان فيما لو كان كلّ منهما مثبتا للتكليف كما إذا كان الاشتغال في الفروع موجبا للعمل ، والظنّ قام على حرمته ، أو العكس ، فيحكم بينهما بالتخيير ، ومع ذلك فلا يطرد العمل بالظنّ كما هو المقصود من التعميم كما لا يخفى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عزي إلى السيّد الطباطبائي وهي قاعدة عدم الكفاية ، وبيانها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 يحكى عنه بعد تلخيص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فرضنا دلالة الدليل على حجّية ظنّ في الجملة على سبيل الإهمال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سلاسل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المظنون والمشكوك والموهوم ، والواجب أوّلا الاقتصار على الظنّ المظنون في الأحكام على تقدير الكفاية ، </w:t>
      </w:r>
    </w:p>
    <w:p>
      <w:pPr>
        <w:pStyle w:val="BookText"/>
        <w:rPr/>
      </w:pPr>
      <w:r>
        <w:rPr>
          <w:rFonts w:ascii="Amiri" w:hAnsi="Amiri" w:eastAsia="Amiri" w:cs="Amiri"/>
          <w:color w:val="111111"/>
          <w:sz w:val="28"/>
          <w:sz w:val="28"/>
          <w:szCs w:val="28"/>
          <w:rtl w:val="true"/>
          <w:lang w:bidi="ar-SA"/>
        </w:rPr>
        <w:t xml:space="preserve">وإلاّ فلا بدّ من إلحاق المشكوك ، ثمّ الموهوم ، وحيث إنّ الاقتصار على السلسلة الأولى غير كاف في الفقه كلّه لا من حيث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قلّما يتّفق خلوّ واقعة عن ظنّ مظنون بل من حيث تعارضها كثيرا بسائر السلاسل وقيام الظنّ الشخصي على خلافها ، فلا مناص من التعدّي إلى مشكوك الاعتبار ، ثمّ منه بالبيان المزبور إلى موهومه ؛ لوجود العلم الإجمالي كثيرا في كثير بمطابقة جملة من الاحتمالات ولو بعد انضمام معارضاتها بالواقع على وجه يلزم من الطرح في المقامين أحد المحذورين من العسر والخروج من الدين أو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قيام الظنّ الشخصي في الظنون المشكوكة والموهومة ؛ لأنّ العبرة بالظنّ النوعي ، فلا بدّ من العمل بسلسلة المظنونات ولو لم يفد ظنّا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دليل الانسداد لا تزيد على حجّية الظنّ الشخصي ؛ إذ مناط حجّيته هو الاطمئنان وهو مفقود في غير الظنون الشخصية ، وحجّية الظنّ النوعي تناسب </w:t>
      </w:r>
      <w:r>
        <w:rPr>
          <w:rStyle w:val="FootnoteAnchor"/>
          <w:rtl w:val="true"/>
        </w:rPr>
        <w:footnoteReference w:id="917"/>
      </w:r>
      <w:r>
        <w:rPr>
          <w:rFonts w:ascii="Amiri" w:hAnsi="Amiri" w:eastAsia="Amiri" w:cs="Amiri"/>
          <w:color w:val="111111"/>
          <w:sz w:val="28"/>
          <w:sz w:val="28"/>
          <w:szCs w:val="28"/>
          <w:rtl w:val="true"/>
          <w:lang w:bidi="ar-SA"/>
        </w:rPr>
        <w:t>القول بالتعبّد وهو خارج عن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انسدّ باب الظنون الشخصية كما انسدّ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القول بحجّية الظنون النوعية ومرجعها في الحقيقة إلى اعتبار الشكّ كما لا يخفى ، فظهر وجوب العمل بمطلق الظنّ في جميع سلاسله في صورة التعارض ، وأمّا في غير المتعارضين ، فيجب العمل بالظنون الشخصية الحاصلة منها ، إمّا لعدم الكفاية ، وإمّا لعدم القول بالفصل ، وأمّا الأولوية القطعية ، فإنّه إذا كان الظنّ معتبرا فيما إذا تعارضه ظنّ نوعي آخر ، ففيما لم يعارضه شيء بطريق أولى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وضع الترتيب بين السلاسل من الأخذ بالمظنون أوّلا ، ثمّ المشكوك ، ثمّ الموهوم هو الميل إلى ما يحتمله القائل بحجّية الظنّ في الطريق ، أو ترجيح الظنّ بالظنّ كما سبق ، وعلى هذا يرد عليه ما قد تقدّم في 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فلأنّ التعدّي من المظنون إلى المشكوك إن كان بواسطة عدم الكفاية في أبواب الفقه ، ففيه أنّه ليس من التعميم في شيء ؛ لأنّ الإهمال في النتيجة إنّما هو بالنسبة إلى الظنون التي قام الكفاية بغيرها ، وأمّا بالنسبة إلى ظنّ يقوم بالكفاية ، فلا إهمال فيها ؛ إذ النتيجة هو الظنّ الكفائي </w:t>
      </w:r>
      <w:r>
        <w:rPr>
          <w:rStyle w:val="FootnoteAnchor"/>
          <w:rtl w:val="true"/>
        </w:rPr>
        <w:footnoteReference w:id="918"/>
      </w:r>
      <w:r>
        <w:rPr>
          <w:rFonts w:ascii="Amiri" w:hAnsi="Amiri" w:eastAsia="Amiri" w:cs="Amiri"/>
          <w:color w:val="111111"/>
          <w:sz w:val="28"/>
          <w:sz w:val="28"/>
          <w:szCs w:val="28"/>
          <w:rtl w:val="true"/>
          <w:lang w:bidi="ar-SA"/>
        </w:rPr>
        <w:t xml:space="preserve">في الفقه أوّلا ، فهو إذن تشخيص لذلك الإهمال ، وتعيين في هذا الإجمال ، لا تعميم في المقال ، وإن كان بواسطة عدم القول بالفصل ، ففيه ما عرفت مرارا من عدم نهوضه بمثل المقام ، وإن كان بواسطة الأولوية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 </w:t>
      </w:r>
      <w:r>
        <w:rPr>
          <w:rStyle w:val="FootnoteAnchor"/>
          <w:rtl w:val="true"/>
        </w:rPr>
        <w:footnoteReference w:id="919"/>
      </w:r>
      <w:r>
        <w:rPr>
          <w:rFonts w:ascii="Amiri" w:hAnsi="Amiri" w:eastAsia="Amiri" w:cs="Amiri"/>
          <w:color w:val="111111"/>
          <w:sz w:val="28"/>
          <w:sz w:val="28"/>
          <w:szCs w:val="28"/>
          <w:rtl w:val="true"/>
          <w:lang w:bidi="ar-SA"/>
        </w:rPr>
        <w:t xml:space="preserve">عند تعارضه بالصحيح من جهة قيام الظنّ الشخصي فيه حجّة ففيما لا يعارضه شيء بطريق أولى ، ففيه أنّ الأولوية إنّما تنهض معمّما </w:t>
      </w:r>
      <w:r>
        <w:rPr>
          <w:rStyle w:val="FootnoteAnchor"/>
          <w:rtl w:val="true"/>
        </w:rPr>
        <w:footnoteReference w:id="920"/>
      </w:r>
      <w:r>
        <w:rPr>
          <w:rFonts w:ascii="Amiri" w:hAnsi="Amiri" w:eastAsia="Amiri" w:cs="Amiri"/>
          <w:color w:val="111111"/>
          <w:sz w:val="28"/>
          <w:sz w:val="28"/>
          <w:szCs w:val="28"/>
          <w:rtl w:val="true"/>
          <w:lang w:bidi="ar-SA"/>
        </w:rPr>
        <w:t xml:space="preserve">فيما لو ثبت حجّية الموثّق في صورة التعارض وليس كذلك بل الالتزام بالعمل بالموثّق </w:t>
      </w:r>
      <w:r>
        <w:rPr>
          <w:rStyle w:val="FootnoteAnchor"/>
          <w:rtl w:val="true"/>
        </w:rPr>
        <w:footnoteReference w:id="921"/>
      </w:r>
      <w:r>
        <w:rPr>
          <w:rFonts w:ascii="Amiri" w:hAnsi="Amiri" w:eastAsia="Amiri" w:cs="Amiri"/>
          <w:color w:val="111111"/>
          <w:sz w:val="28"/>
          <w:sz w:val="28"/>
          <w:szCs w:val="28"/>
          <w:rtl w:val="true"/>
          <w:lang w:bidi="ar-SA"/>
        </w:rPr>
        <w:t>عند التعارض إنّما هو من حيث وجود العلم الإجمالي فيهما ولو بملاحظة معارضاته على وجه لو يعمل به ، يلزم أحد المحذورين ، وأمّا عند عدم التعارض ، فالعلّة المذكورة القاضية بالعمل مفقودة ، فلا تتّجه الأولوية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لبعض المتأخّرين وجها آخر في بيان عدم الكفاية والتعميم به ، فأفاد أنّه لو لم يعمل بمطلق الظنّ من أيّ سبب حصل في أيّ مرتبة كان ، لما تمّ الفقه وأحال الملازمة إلى التدرّب في الفقه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إنّه وجه فاسد ، ومنشؤه عدم التدرّب في دليل الانسداد والأمارات الظنّية ؛ إذ القول بمطلق الظنّ قد لا يلازم تمامية الفقه ، فإنّ الأسباب الظنّية في إفادتها الظنّ ممّا يختلف باختلاف استعدادات النفوس الجزئية ، فقد يحصل منها لبعضهم ظنّ </w:t>
      </w:r>
      <w:r>
        <w:rPr>
          <w:rStyle w:val="FootnoteAnchor"/>
          <w:rtl w:val="true"/>
        </w:rPr>
        <w:footnoteReference w:id="922"/>
      </w:r>
      <w:r>
        <w:rPr>
          <w:rFonts w:ascii="Amiri" w:hAnsi="Amiri" w:eastAsia="Amiri" w:cs="Amiri"/>
          <w:color w:val="111111"/>
          <w:sz w:val="28"/>
          <w:sz w:val="28"/>
          <w:szCs w:val="28"/>
          <w:rtl w:val="true"/>
          <w:lang w:bidi="ar-SA"/>
        </w:rPr>
        <w:t xml:space="preserve">ولا يحصل للآخر وهم ، فتمامية الفقه إنّما هو بواسطة مصاديق الظنون ، والقول بالظنّ </w:t>
      </w:r>
    </w:p>
    <w:p>
      <w:pPr>
        <w:pStyle w:val="BookText"/>
        <w:rPr/>
      </w:pPr>
      <w:r>
        <w:rPr>
          <w:rFonts w:ascii="Amiri" w:hAnsi="Amiri" w:eastAsia="Amiri" w:cs="Amiri"/>
          <w:color w:val="111111"/>
          <w:sz w:val="28"/>
          <w:sz w:val="28"/>
          <w:szCs w:val="28"/>
          <w:rtl w:val="true"/>
          <w:lang w:bidi="ar-SA"/>
        </w:rPr>
        <w:t>المطلق إنّما هو قول به في مفهومه ، فربّما يحصل للقائل بالصحاح الأعلائية ظنون كثيرة لا يحصل على قدرها بل الأقلّ منها للقائل بمطلق الظنّ ، مثلا القائل بحجّية الاستقراء مع قلّة موارده على تقدير ترك العمل به لشبهة القياس مثلا قد يحصل له الظنّ من الأمارات الأخر أكثر ممّا يحصل في موارد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فدعوى عدم تماميّة الفقه إلاّ بالعمل بمطلق الظنّ ناشئة إمّا عن سوء الفهم في دليل حجّية الظنّ ومناطه ، أو من عدم المبالاة في المكابرات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بعض من لا دربة له في التعميم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له على محصّل ، فالأولى ترك التعرّض له هذا ، والذي ينبغي أن يقال في وجه التعميم على تقدير الإهمال في النتيجة هو أنّ الواجب أوّلا الأخذ بالأخبار الصحاح المعمولة عند الأصحاب ، المفيدة للاطمئنان ، فإنّها هو القدر المتيقّن من بين الظنون بجميع أقسامها ؛ إذ ما من خصوصية يتخيّل كونها مناطا في الحكم ، وملاكا في الاعتبار إلاّ وهي موجودة فيها ؛ إذ غاية ما يتصوّر في غيرها من الخصوصية هي إفادتها الاطمئنان </w:t>
      </w:r>
      <w:r>
        <w:rPr>
          <w:rStyle w:val="FootnoteAnchor"/>
          <w:rtl w:val="true"/>
        </w:rPr>
        <w:footnoteReference w:id="923"/>
      </w:r>
      <w:r>
        <w:rPr>
          <w:rFonts w:ascii="Amiri" w:hAnsi="Amiri" w:eastAsia="Amiri" w:cs="Amiri"/>
          <w:color w:val="111111"/>
          <w:sz w:val="28"/>
          <w:sz w:val="28"/>
          <w:szCs w:val="28"/>
          <w:rtl w:val="true"/>
          <w:lang w:bidi="ar-SA"/>
        </w:rPr>
        <w:t>والمفروض حصوله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الخبرية </w:t>
      </w:r>
      <w:r>
        <w:rPr>
          <w:rStyle w:val="FootnoteAnchor"/>
          <w:rtl w:val="true"/>
        </w:rPr>
        <w:footnoteReference w:id="924"/>
      </w:r>
      <w:r>
        <w:rPr>
          <w:rFonts w:ascii="Amiri" w:hAnsi="Amiri" w:eastAsia="Amiri" w:cs="Amiri"/>
          <w:color w:val="111111"/>
          <w:sz w:val="28"/>
          <w:sz w:val="28"/>
          <w:szCs w:val="28"/>
          <w:rtl w:val="true"/>
          <w:lang w:bidi="ar-SA"/>
        </w:rPr>
        <w:t>وكونها معمولا بها عند الأصحاب ، ولو لم نقل بحجّية هذا القسم من الأخبار من جهة الظنون الخاصّة ، فلا أقلّ من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كونها قدرا متيقّنا لا يخصّ القول بالظنّ الخاصّ بل إنّما هو بحسب الدليل الرابع أيضا كذلك كما لا يخفى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حكمها كلّ أمارة دلّ على اعتبارها وحجّيتها هذا الصنف من الخبر بناء على ما حقّقنا سابقا من أنّه لا فرق بين إعمال الظنّ في الواقع ، وبين إعماله في طريقه كما مرّ مستوفى وهي </w:t>
      </w:r>
      <w:r>
        <w:rPr>
          <w:rStyle w:val="FootnoteAnchor"/>
          <w:rtl w:val="true"/>
        </w:rPr>
        <w:footnoteReference w:id="925"/>
      </w:r>
      <w:r>
        <w:rPr>
          <w:rFonts w:ascii="Amiri" w:hAnsi="Amiri" w:eastAsia="Amiri" w:cs="Amiri"/>
          <w:color w:val="111111"/>
          <w:sz w:val="28"/>
          <w:sz w:val="28"/>
          <w:szCs w:val="28"/>
          <w:rtl w:val="true"/>
          <w:lang w:bidi="ar-SA"/>
        </w:rPr>
        <w:t xml:space="preserve">الأخبار الموثّقة التي تفيد الاطمئنان ، فإنّه قد دلّت أخبار كثيرة </w:t>
      </w:r>
    </w:p>
    <w:p>
      <w:pPr>
        <w:pStyle w:val="BookText"/>
        <w:rPr/>
      </w:pP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صريحة كما لا يخفى على من له لطف 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الصحيحة المذكورة في ترجمة يونس بن عبد الرحمن فإنّها بسؤالها وجوابها تدلّ على أنّ ملاك الاعتبار هو الوثاقة ، ومناط الحجّية هو الاطمئنان ، فإنّ السائل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أفيونس بن عبد الرحمن ثقة آخذ منه معالم ديني؟ فأجابه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في الفتوى ، فإنّها الظاهر من معالم الدين ، فلا يدلّ على حجّية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ظهورها بل ظاهرة فيهما جميعا كما هو ظاهر ، ولو سلّم ، فيتمّ المطلوب ؛ لعدم الفصل إذ كلّ من قال بحجّية الفتوى ، فقد قال بحجّية الرواية بل قد يمكن دعوى الأولوية بالنسبة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ذلك لا يتمّ على مذاق </w:t>
      </w:r>
      <w:r>
        <w:rPr>
          <w:rStyle w:val="FootnoteAnchor"/>
          <w:rtl w:val="true"/>
        </w:rPr>
        <w:footnoteReference w:id="927"/>
      </w:r>
      <w:r>
        <w:rPr>
          <w:rFonts w:ascii="Amiri" w:hAnsi="Amiri" w:eastAsia="Amiri" w:cs="Amiri"/>
          <w:color w:val="111111"/>
          <w:sz w:val="28"/>
          <w:sz w:val="28"/>
          <w:szCs w:val="28"/>
          <w:rtl w:val="true"/>
          <w:lang w:bidi="ar-SA"/>
        </w:rPr>
        <w:t>السيّد ومن يحذو حذوه في عدم حجّية رواية الواحد وحجّية فتواه ، ولكنّه على مشرب القائلين بحجّية الآحاد ، فلا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فيها على حصر الملاك والمناط في الوثاقة ، فلعلّه كان هناك شروط أخر كالعدالة ونحوها معلومة عنده ، وكان المجهول هو الوثاقة فقط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مجتهد يجوز تقليده ، فإنّه إنّما يقال بعد إحراز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لأولي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الوثاقة ، فما لم يعلم باشتراط شيء آخر ، يؤخذ بظاهرها ، ولا عبرة بالاحتمال ، بعد ظهور المقال في غيره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في ترجمة محمّد بن مسلم ، عن محمّد بن قولويه ، عن سعد بن عبد اللّه ، عن أحمد بن محمّد بن عيسى بن عبد اللّه بن محمّد الحجّال ، عن العلاء بن رزين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كلّ ساعة </w:t>
      </w:r>
    </w:p>
    <w:p>
      <w:pPr>
        <w:pStyle w:val="BookText"/>
        <w:rPr/>
      </w:pPr>
      <w:r>
        <w:rPr>
          <w:rFonts w:ascii="Amiri" w:hAnsi="Amiri" w:eastAsia="Amiri" w:cs="Amiri"/>
          <w:color w:val="111111"/>
          <w:sz w:val="28"/>
          <w:sz w:val="28"/>
          <w:szCs w:val="28"/>
          <w:rtl w:val="true"/>
          <w:lang w:bidi="ar-SA"/>
        </w:rPr>
        <w:t xml:space="preserve">ألقاك ، ولا يمكن القدوم ، ويجيء الرجل من أصحابنا ، فيسألني وليس عندي كلّ ما يسألني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يمنعك عن محمّد بن مسلم الثقفي ، فإنّه قد سمع من أبي ، وكان عنده وجيها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خالف عموم التعليل بالوجاهة ممّا يرشدك بإناطة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الكافى في ذيل النصّ على أبي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أحمد بن إسحاق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أعامل؟ وعمّن آخذ؟ وقول من أقبل؟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ثقتي ، فما أدّى إليك عنّي ، فعنّي يؤدّي ، وما قال لك عنّي ، فعنّي يقول ، فاسمع له ، وأطع ، فإنّه الثقة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أبو عليّ أنّه سأل أبا محمّد عليه‌السلام ، عن مثل ذلك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وابنه ثقتان ، فما أدّيا إليك عنّي ، فعنّي يؤدّيان ، وما قالا لك ، فعنّي يقولان ، فاسمع لهما ، وأطعهما ، فإنّهما الثقتان المأمونان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والمراد بالمعاملة إمّا المعاملة في الدين ، أو المعاملة في الأموال المتعلّقة بالإمام عليه‌السلام ، فإنّ عموم التعليل يفيد عموم العبرة بالوثاقة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يذكر في عداد ما ذكرناه من الأخبار الصحيحة ما رواه في البحار عن الاختصاص للشيخ المفيد ، عن ابن الوليد ، عن الصفّار ، عن محمّد بن عبد الحميد ، عن عبد السلام بن سالم ، عن ميسر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يأخذه صادق عن صادق خير من الدنيا وما فيها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وليس كذلك ؛ لأنّ المفيد لم يعاصر </w:t>
      </w:r>
    </w:p>
    <w:p>
      <w:pPr>
        <w:pStyle w:val="BookText"/>
        <w:rPr/>
      </w:pPr>
      <w:r>
        <w:rPr>
          <w:rFonts w:ascii="Amiri" w:hAnsi="Amiri" w:eastAsia="Amiri" w:cs="Amiri"/>
          <w:color w:val="111111"/>
          <w:sz w:val="28"/>
          <w:sz w:val="28"/>
          <w:szCs w:val="28"/>
          <w:rtl w:val="true"/>
          <w:lang w:bidi="ar-SA"/>
        </w:rPr>
        <w:t xml:space="preserve">ابن الوليد وإنّما لقي </w:t>
      </w:r>
      <w:r>
        <w:rPr>
          <w:rStyle w:val="FootnoteAnchor"/>
          <w:rtl w:val="true"/>
        </w:rPr>
        <w:footnoteReference w:id="931"/>
      </w:r>
      <w:r>
        <w:rPr>
          <w:rStyle w:val="FootnoteAnchor"/>
          <w:rtl w:val="true"/>
        </w:rPr>
        <w:footnoteReference w:id="932"/>
      </w:r>
      <w:r>
        <w:rPr>
          <w:rFonts w:ascii="Amiri" w:hAnsi="Amiri" w:eastAsia="Amiri" w:cs="Amiri"/>
          <w:color w:val="111111"/>
          <w:sz w:val="28"/>
          <w:sz w:val="28"/>
          <w:szCs w:val="28"/>
          <w:rtl w:val="true"/>
          <w:lang w:bidi="ar-SA"/>
        </w:rPr>
        <w:t xml:space="preserve">أحمد بن محمّد بن الوليد ولم ينقل منهم توثيقه إلاّ أنّه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مشايخ الإجازة وإن كان الظاهر وثاقته ؛ حيث إنّ المفيد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بن عبدون وابن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شأنا من أن يكون مخبرهم غير موثّق عندهم ، مضافا إلى أنّ الرواية موجودة في كتاب الصفّار ، والمقصود من ذكر ابن الوليد هو الاتّصال بالمعصوم سندا تيمّنا وتبرّكا ، والمقصود من القرابة عند الشيخ هو الاطّلاع على بعض المزايا في خفايا الزوايا التي لم يطّلع عليها إلاّ من ارتاض في الصنائع العلمية ، وإلاّ فيجوز أخذ الرواية من الكتاب كما في زماننا هذا ما نقلنا من الكافى والتهذيب والفقيه والوافى وغير ذلك ، لكنّه مع ذلك ليس بتلك المكانة من الصحّة بحسب الاصطلاح ، فإنّ بين المفيد وابن الوليد إرسالا كما عرفت ، ومحمّد بن عبد الحميد لم نجد فيه توثيقا صريحا إلاّ ما نقله في الوسائل عن النجاشي </w:t>
      </w:r>
      <w:r>
        <w:rPr>
          <w:rStyle w:val="FootnoteAnchor"/>
          <w:rtl w:val="true"/>
        </w:rPr>
        <w:footnoteReference w:id="933"/>
      </w:r>
      <w:r>
        <w:rPr>
          <w:rFonts w:ascii="Amiri" w:hAnsi="Amiri" w:eastAsia="Amiri" w:cs="Amiri"/>
          <w:color w:val="111111"/>
          <w:sz w:val="28"/>
          <w:sz w:val="28"/>
          <w:szCs w:val="28"/>
          <w:rtl w:val="true"/>
          <w:lang w:bidi="ar-SA"/>
        </w:rPr>
        <w:t xml:space="preserve">، وهو يحتمل أن يكون توثيقا له ، أو لأبيه ، ولهذا ترى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في تعليقاته على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بوثاقته </w:t>
      </w:r>
      <w:r>
        <w:rPr>
          <w:rStyle w:val="FootnoteAnchor"/>
          <w:rtl w:val="true"/>
        </w:rPr>
        <w:footnoteReference w:id="934"/>
      </w:r>
      <w:r>
        <w:rPr>
          <w:rFonts w:ascii="Amiri" w:hAnsi="Amiri" w:eastAsia="Amiri" w:cs="Amiri"/>
          <w:color w:val="111111"/>
          <w:sz w:val="28"/>
          <w:sz w:val="28"/>
          <w:szCs w:val="28"/>
          <w:rtl w:val="true"/>
          <w:lang w:bidi="ar-SA"/>
        </w:rPr>
        <w:t>، وفي تعليقاته على كتاب ابن الغضائري قال بعدم وثاقته ، وكذا في ميسر بن عبد العزيز إلاّ ما عن ابن فضّال وهو فطحي إلاّ أنّ في الروايات مدحا كثيرا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آل محمّد وهو ممّن يجاهد في الرجعة ، وحكاية الجبل معروفة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فليس الخبر </w:t>
      </w:r>
      <w:r>
        <w:rPr>
          <w:rStyle w:val="FootnoteAnchor"/>
          <w:rtl w:val="true"/>
        </w:rPr>
        <w:footnoteReference w:id="936"/>
      </w:r>
      <w:r>
        <w:rPr>
          <w:rFonts w:ascii="Amiri" w:hAnsi="Amiri" w:eastAsia="Amiri" w:cs="Amiri"/>
          <w:color w:val="111111"/>
          <w:sz w:val="28"/>
          <w:sz w:val="28"/>
          <w:szCs w:val="28"/>
          <w:rtl w:val="true"/>
          <w:lang w:bidi="ar-SA"/>
        </w:rPr>
        <w:t xml:space="preserve">كالأخبار المتقدّمة في السند ، وكذا في الدلالة كما هو ظاهر ، وكيف كان فالواجب أوّلا بعد إهمال النتيجة هو الأخذ بالقدر المتيقّن وما في حكمه على تقدير الكفاية بحيث لا يلزم المحاذير السابقة على تقدير الرجوع إلى الأصول الكلّية أو الجزئية في مواردها ، وعلى تقدير عدم الكفاية ، فلا بدّ من الاحتياط </w:t>
      </w:r>
    </w:p>
    <w:p>
      <w:pPr>
        <w:pStyle w:val="BookText"/>
        <w:rPr/>
      </w:pPr>
      <w:r>
        <w:rPr>
          <w:rFonts w:ascii="Amiri" w:hAnsi="Amiri" w:eastAsia="Amiri" w:cs="Amiri"/>
          <w:color w:val="111111"/>
          <w:sz w:val="28"/>
          <w:sz w:val="28"/>
          <w:szCs w:val="28"/>
          <w:rtl w:val="true"/>
          <w:lang w:bidi="ar-SA"/>
        </w:rPr>
        <w:t xml:space="preserve">في الأمارات وقد عرفت فيما مرّ تعارض الاحتياط في المسألة الأصولية الاحتياط في المسألة الفرعية ، وقد مرّ أيضا تقدّم الاحتياط في الفرع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الاحتياط في الفروع يستلزم العسر والحرج من حيث إنّ الأمارات التي تثبت بها التكاليف في المسألة الأصولية ممّا لا مناص من العمل بها ، والأمارات النافية ممّا لا عبرة بها في مقابلة الاشتغال في الفروع ، وهو عين الاحتياط في جميع الموارد ، وعلى هذا التقدير فلا يمكن العمل بالاشتغال في الفروع بالكلّية ، ولا يمكن الاستناد إلى الأمارات النافية للتكليف في قبال الاشتغال في الفروع بالكلّية أيضا لما عرفت من التقديم ، فلا بدّ من الأخذ بالمظنون اعتبارا وهو الظنّ الاطمئناني ؛ لأنّ باب العلم فيها منسدّ ، والعلم الإجمالي بوجود أمارة واقعية فيها موجود ، والاحتياط غير ممكن ، والرجوع إلى البراءة غير جائز في الشكّ في المكلّف به بعد العلم الإجمالي ، فلا بدّ من إعمال الظنّ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دليل الانسداد منتجا لقضيّة كلّية ، فلا حاجة إلى مثل هذه النتيجات ، وإلاّ فلا مزيّة اختصاص للاستناد إليه في المقام كما مرّ في الردّ على بعض الوجوه المنقولة من التعليقة ، فإنّها أيضا قضيّة مهملة لا تعيين فيها وإن استند في رفعه إلى ثالث ، فنقل </w:t>
      </w:r>
      <w:r>
        <w:rPr>
          <w:rStyle w:val="FootnoteAnchor"/>
          <w:rtl w:val="true"/>
        </w:rPr>
        <w:footnoteReference w:id="937"/>
      </w:r>
      <w:r>
        <w:rPr>
          <w:rFonts w:ascii="Amiri" w:hAnsi="Amiri" w:eastAsia="Amiri" w:cs="Amiri"/>
          <w:color w:val="111111"/>
          <w:sz w:val="28"/>
          <w:sz w:val="28"/>
          <w:szCs w:val="28"/>
          <w:rtl w:val="true"/>
          <w:lang w:bidi="ar-SA"/>
        </w:rPr>
        <w:t>الكلام إليه ، وإلاّ فلا فائدة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 ظاهر غير خفيّ ، فإنّ المسألة هناك كلّي متنوّع على أنواع عديدة بخلاف المقام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أنّه قد سبق في بيان ما ذهب إليه المحقّق القمّي واختاره في تقريره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جريانه في كلّ مسألة جزئية قد انسدّ فيها باب العلم كما في مسألة صلاة الجمعة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تعقّل الإهمال في النتيجة بالنسبة إلى هذا الدليل ؛ لاختصاص كلّ مورد بظنّ واتّحاد المظنون على تقديره ، والمفروض جريان دليل الانسداد في جميع </w:t>
      </w:r>
    </w:p>
    <w:p>
      <w:pPr>
        <w:pStyle w:val="BookText"/>
        <w:rPr/>
      </w:pPr>
      <w:r>
        <w:rPr>
          <w:rFonts w:ascii="Amiri" w:hAnsi="Amiri" w:eastAsia="Amiri" w:cs="Amiri"/>
          <w:color w:val="111111"/>
          <w:sz w:val="28"/>
          <w:sz w:val="28"/>
          <w:szCs w:val="28"/>
          <w:rtl w:val="true"/>
          <w:lang w:bidi="ar-SA"/>
        </w:rPr>
        <w:t xml:space="preserve">الموارد ، فكلّ ظنّ لا بدّ وأن يكون حجّة في مورده ، ففي كلّ مورد اتّحد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تعدّدت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للإهمال في النتيجة بخلاف ما إذا تعدّد </w:t>
      </w:r>
      <w:r>
        <w:rPr>
          <w:rStyle w:val="FootnoteAnchor"/>
          <w:rtl w:val="true"/>
        </w:rPr>
        <w:footnoteReference w:id="938"/>
      </w:r>
      <w:r>
        <w:rPr>
          <w:rFonts w:ascii="Amiri" w:hAnsi="Amiri" w:eastAsia="Amiri" w:cs="Amiri"/>
          <w:color w:val="111111"/>
          <w:sz w:val="28"/>
          <w:sz w:val="28"/>
          <w:szCs w:val="28"/>
          <w:rtl w:val="true"/>
          <w:lang w:bidi="ar-SA"/>
        </w:rPr>
        <w:t xml:space="preserve">المظنون من حيث اختلاف الموارد وإن كانت مجتمعة في عنوان واحد ، فإنّ الإهمال على تقديره ممّا لا مناص منه ، وما نحن فيه من قبيل الأوّل ، وما نقلناه عن التعليقة من قبيل الثاني ؛ لأنّ الدليل المعمول في النتيجة تارة ينتج حجّية الظنّ المظنون اعتباره كما فيما نقلناه عن التعليقة ، وأخرى ينتج حجّية الظنّ الاطمئناني كما هو المقصود في المقام ، وهو على الأوّل متعدّد ؛ لاحتمال أن يكون الظنّ المظنون على قدر الكفاية هو الخبر كما هو ظاهر ، أو الإجماع المنقول بانضمام الحسان مثلا ، أو الشهرات بانضمام الإجماعات ، أو الموثّقات فقط ، أو الصحاح مع الحسان إلى غير ذلك من الاحتمالات ، فلم يعلم الحجّة منها ، وهذا هو عين الإهمال ، وعلى الثاني متّحد وهو الظنّ الاطمئناني وإن اختلفت أسبابه ، فإنّ مجرّد اختلاف أسباب الظنّ لا يفضي </w:t>
      </w:r>
      <w:r>
        <w:rPr>
          <w:rStyle w:val="FootnoteAnchor"/>
          <w:rtl w:val="true"/>
        </w:rPr>
        <w:footnoteReference w:id="939"/>
      </w:r>
      <w:r>
        <w:rPr>
          <w:rFonts w:ascii="Amiri" w:hAnsi="Amiri" w:eastAsia="Amiri" w:cs="Amiri"/>
          <w:color w:val="111111"/>
          <w:sz w:val="28"/>
          <w:sz w:val="28"/>
          <w:szCs w:val="28"/>
          <w:rtl w:val="true"/>
          <w:lang w:bidi="ar-SA"/>
        </w:rPr>
        <w:t>بتعدّده بعد اتّحاد مورده ، فلا بدّ من إجراء دليل الانسداد في الأمارات النافية للتكليف حذرا من لزوم العسر على تقدير الاحتياط في الفروع ، والمخالفة القطعية على تقدير الرجوع إلى البراءة والعمل بكلّ ما هو مظنون الاعتبار وهي الظنون المفيدة للاطمئنان ، ولا اختلاف فيها ولو اختلفت أسبابه ، فلا حاجة إلى إعمال دليل ثالث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بالمظنون في الأمارات النافية للتكليف ممّا لا مخصّص له ، فإنّ المناط فيه لزوم العسر وهو لازم على تقدير العمل بالأمارات المثبتة والنافية جميعا ، فليعمل في الأمارات المثبتة بما هو مظنون اعتباره في رفع العسر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ذلك إلى الاحتياط في الموهومات ، وتركه في الموارد المظنونة بالظنون الفعلية الشخصية ، فإنّ الأمارات النافية في قبال الأصول الجزئية الخاصّة في الموارد الخاصّة لا تفيد ظنّا بواسطة ما عرفت من قضاء العقل بتقديم الاشتغال في </w:t>
      </w:r>
    </w:p>
    <w:p>
      <w:pPr>
        <w:pStyle w:val="BookText"/>
        <w:rPr/>
      </w:pPr>
      <w:r>
        <w:rPr>
          <w:rFonts w:ascii="Amiri" w:hAnsi="Amiri" w:eastAsia="Amiri" w:cs="Amiri"/>
          <w:color w:val="111111"/>
          <w:sz w:val="28"/>
          <w:sz w:val="28"/>
          <w:szCs w:val="28"/>
          <w:rtl w:val="true"/>
          <w:lang w:bidi="ar-SA"/>
        </w:rPr>
        <w:t xml:space="preserve">الفروع على الاشتغال في الأصول ، بخلاف الأمارات المثبتة للتكليف ، فإنّها لا معارض لها ، فالظنون الفعلية غالبا فيها </w:t>
      </w:r>
      <w:r>
        <w:rPr>
          <w:rStyle w:val="FootnoteAnchor"/>
          <w:rtl w:val="true"/>
        </w:rPr>
        <w:footnoteReference w:id="940"/>
      </w:r>
      <w:r>
        <w:rPr>
          <w:rFonts w:ascii="Amiri" w:hAnsi="Amiri" w:eastAsia="Amiri" w:cs="Amiri"/>
          <w:color w:val="111111"/>
          <w:sz w:val="28"/>
          <w:sz w:val="28"/>
          <w:szCs w:val="28"/>
          <w:rtl w:val="true"/>
          <w:lang w:bidi="ar-SA"/>
        </w:rPr>
        <w:t xml:space="preserve">، وحيث إنّ القاضي في الاحتياط هو العقل ، فلا يحكم بترك الاحتياط في المظنونات ، وبالاحتياط في الموهومات كما أنّه لا يقضي بترك الاحتياط في السلسلتين بعد ارتفاع العسر الذي هو المانع في العمل بالاحتياط </w:t>
      </w:r>
      <w:r>
        <w:rPr>
          <w:rStyle w:val="FootnoteAnchor"/>
          <w:rtl w:val="true"/>
        </w:rPr>
        <w:footnoteReference w:id="941"/>
      </w:r>
      <w:r>
        <w:rPr>
          <w:rFonts w:ascii="Amiri" w:hAnsi="Amiri" w:eastAsia="Amiri" w:cs="Amiri"/>
          <w:color w:val="111111"/>
          <w:sz w:val="28"/>
          <w:sz w:val="28"/>
          <w:szCs w:val="28"/>
          <w:rtl w:val="true"/>
          <w:lang w:bidi="ar-SA"/>
        </w:rPr>
        <w:t>بالعمل بمظنون الاعتبار في الأمارات النافية للتكاليف ، وذلك ظاهر لا سترة فيه كذا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وللتأمّل فيه مجال كما لا يخفى على المتأمّل ، هذا تمام الكلام في التعميم على تقدير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هو التحقيق من الحكومة ، فهل العقل ابتداء يحكم بحجّية الظنّ من غير ملاحظة مقدّمة أخرى غير المقدّمات المأخوذة في أصل الدليل ، أو يحتاج في الحكم بالتعميم إلى ملاحظة مقدّمة أخرى لبطلان الترجيح بلا مرجّح وإن لم يكن شاعرا بالملاحظة ، فكثيرا ما يحكم في قضايا كثيرة </w:t>
      </w:r>
      <w:r>
        <w:rPr>
          <w:rStyle w:val="FootnoteAnchor"/>
          <w:rtl w:val="true"/>
        </w:rPr>
        <w:footnoteReference w:id="942"/>
      </w:r>
      <w:r>
        <w:rPr>
          <w:rFonts w:ascii="Amiri" w:hAnsi="Amiri" w:eastAsia="Amiri" w:cs="Amiri"/>
          <w:color w:val="111111"/>
          <w:sz w:val="28"/>
          <w:sz w:val="28"/>
          <w:szCs w:val="28"/>
          <w:rtl w:val="true"/>
          <w:lang w:bidi="ar-SA"/>
        </w:rPr>
        <w:t>بواسطة مقدّمات خفية مع عدم العلم باستناد الحكم إليها ، وهو المسمّى بقضايا قياساتها معها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الثاني ، فإنّ مراتب إدراك العقل مندرجة بواسطة تدرّج مراتب مقدّمات الحكم ، ألا ترى أنّ العقل لا يدرك الإنسانية في الإنسان إلاّ بعد ملاحظة ما يفيدها من لوازمها ، أو ملزوماتها مع إدراك جسميّته بل وحيوانيّته أيضا ، فالعقل أوّلا بعد ملاحظة بقاء التكليف يحكم بالخروج عن عهدته ، وبعد سدّ باب العلم يحكم بتردّد بين الامتثال الإجمالي اللازم للاحتياط ، والخروج عن ربقة التكليف بالعمل بالبراءة والامتثال الظنّي بل ومطلق الامتثال ولو كان وهميّا ، وبعد ملاحظة عدم جواز الرجوع إلى البراءة بملاحظة المحاذير اللازمة على تقديرها يتعيّن الرجوع إلى الاحتياط والامتثال بغير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ملاحظة عدم وجوب الاحتياط بواسطة لزوم العسر والحرج يتعيّن الامتثال بغير العلم ، وحيث إنّ الظنّ أقرب إلى الواقع ، فتعيّن الظنّ ، فإنّه إذا تعذّرت الحقيقة ، فأقرب المجازات هو المتعيّن ، وحيث إنّه لا خصوصية في أفراد الظنّ ، فيحكم العقل بأنّ الحجّة بعد </w:t>
      </w:r>
      <w:r>
        <w:rPr>
          <w:rStyle w:val="FootnoteAnchor"/>
          <w:rtl w:val="true"/>
        </w:rPr>
        <w:footnoteReference w:id="943"/>
      </w:r>
      <w:r>
        <w:rPr>
          <w:rFonts w:ascii="Amiri" w:hAnsi="Amiri" w:eastAsia="Amiri" w:cs="Amiri"/>
          <w:color w:val="111111"/>
          <w:sz w:val="28"/>
          <w:sz w:val="28"/>
          <w:szCs w:val="28"/>
          <w:rtl w:val="true"/>
          <w:lang w:bidi="ar-SA"/>
        </w:rPr>
        <w:t>هو ، أو مطلق الظنّ من غير فرق بين أفراده وأقسامه وأسبابه كما أنّه لا يحكم العقل بعموم اعتبار العلم في موارده إلاّ بعد ملاحظة انتفاء الخصوصيات المقتضية لجميعه علم خاصّ وإدراك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العقل لا يحكم ابتداء بأنّ المعتمد بعد الانسداد هو الظنّ مطلقا وإن كان لا يحتاج في الحكم بالعموم إلى ملاحظة المقدّمة القائلة ببطلان الترجيح بلا مرجّح تفصيلا ، فإنّها ممّا أودعه اللّه في خزائن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أنّ القائل بكلّية النتيجة والقائل بإهمالها لا نزاع لهما في الحقيقة ؛ لأول الأوّل إلى الثاني ، فإنّه يحكم بالعموم أوّلا من جهة مقدّمة مطويّة معلومة ، ويتوهّم عدم استناد الحكم إليها </w:t>
      </w:r>
      <w:r>
        <w:rPr>
          <w:rStyle w:val="FootnoteAnchor"/>
          <w:rtl w:val="true"/>
        </w:rPr>
        <w:footnoteReference w:id="944"/>
      </w:r>
      <w:r>
        <w:rPr>
          <w:rFonts w:ascii="Amiri" w:hAnsi="Amiri" w:eastAsia="Amiri" w:cs="Amiri"/>
          <w:color w:val="111111"/>
          <w:sz w:val="28"/>
          <w:sz w:val="28"/>
          <w:szCs w:val="28"/>
          <w:rtl w:val="true"/>
          <w:lang w:bidi="ar-SA"/>
        </w:rPr>
        <w:t>، فهي خفيّة لشدّة ظهورها ، ومجهولة لقوّة بروزها عند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يمكن </w:t>
      </w:r>
      <w:r>
        <w:rPr>
          <w:rStyle w:val="FootnoteAnchor"/>
          <w:rtl w:val="true"/>
        </w:rPr>
        <w:footnoteReference w:id="945"/>
      </w:r>
      <w:r>
        <w:rPr>
          <w:rFonts w:ascii="Amiri" w:hAnsi="Amiri" w:eastAsia="Amiri" w:cs="Amiri"/>
          <w:color w:val="111111"/>
          <w:sz w:val="28"/>
          <w:sz w:val="28"/>
          <w:szCs w:val="28"/>
          <w:rtl w:val="true"/>
          <w:lang w:bidi="ar-SA"/>
        </w:rPr>
        <w:t>أن يقال بأنّ القول بالتعميم إنّما يلازم بطلان الاحتياط على وجه التعميم من غير حاجة إلى انضمام مقدّمة أخرى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منّا في بطلان الاحتياط </w:t>
      </w:r>
      <w:r>
        <w:rPr>
          <w:rStyle w:val="FootnoteAnchor"/>
          <w:rtl w:val="true"/>
        </w:rPr>
        <w:footnoteReference w:id="946"/>
      </w:r>
      <w:r>
        <w:rPr>
          <w:rFonts w:ascii="Amiri" w:hAnsi="Amiri" w:eastAsia="Amiri" w:cs="Amiri"/>
          <w:color w:val="111111"/>
          <w:sz w:val="28"/>
          <w:sz w:val="28"/>
          <w:szCs w:val="28"/>
          <w:rtl w:val="true"/>
          <w:lang w:bidi="ar-SA"/>
        </w:rPr>
        <w:t xml:space="preserve">أنّ الضرورة الداعية إلى رفع اليد عن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هو الذي يقتضيه القواعد المتداولة بيننا من تقدّم الامتثال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من وجوه الامتثال بل قد يعدّ في عرض الامتثال العلمي التفصيلي كما مرّ تفاصيله في أوائل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تتقدّر </w:t>
      </w:r>
      <w:r>
        <w:rPr>
          <w:rStyle w:val="FootnoteAnchor"/>
          <w:rtl w:val="true"/>
        </w:rPr>
        <w:footnoteReference w:id="947"/>
      </w:r>
      <w:r>
        <w:rPr>
          <w:rFonts w:ascii="Amiri" w:hAnsi="Amiri" w:eastAsia="Amiri" w:cs="Amiri"/>
          <w:color w:val="111111"/>
          <w:sz w:val="28"/>
          <w:sz w:val="28"/>
          <w:szCs w:val="28"/>
          <w:rtl w:val="true"/>
          <w:lang w:bidi="ar-SA"/>
        </w:rPr>
        <w:t xml:space="preserve">بقدرها ، فقضية الاحتياط أوّلا </w:t>
      </w:r>
    </w:p>
    <w:p>
      <w:pPr>
        <w:pStyle w:val="BookText"/>
        <w:rPr/>
      </w:pPr>
      <w:r>
        <w:rPr>
          <w:rFonts w:ascii="Amiri" w:hAnsi="Amiri" w:eastAsia="Amiri" w:cs="Amiri"/>
          <w:color w:val="111111"/>
          <w:sz w:val="28"/>
          <w:sz w:val="28"/>
          <w:szCs w:val="28"/>
          <w:rtl w:val="true"/>
          <w:lang w:bidi="ar-SA"/>
        </w:rPr>
        <w:t xml:space="preserve">من غير ملاحظة لزوم العسر على تقديره هو إتيان كلّ ما يحتمل الوجوب ولو وهما ، وترك كلّ ما يحتمل الحرمة كذلك ، ولمّا أنّ الاحتياط على هذا الوجه يوجب العسر الشديد ويورث الحرج الأكيد كما مرّ ، فاللازم هو التبعيض بين الاحتمالات التي يقع الاحتياط فيها على وجه يرفع العسر لا على وجه يبطل الاحتياط بالكلّية ، لعدم ما يقضي </w:t>
      </w:r>
      <w:r>
        <w:rPr>
          <w:rStyle w:val="FootnoteAnchor"/>
          <w:rtl w:val="true"/>
        </w:rPr>
        <w:footnoteReference w:id="948"/>
      </w:r>
      <w:r>
        <w:rPr>
          <w:rFonts w:ascii="Amiri" w:hAnsi="Amiri" w:eastAsia="Amiri" w:cs="Amiri"/>
          <w:color w:val="111111"/>
          <w:sz w:val="28"/>
          <w:sz w:val="28"/>
          <w:szCs w:val="28"/>
          <w:rtl w:val="true"/>
          <w:lang w:bidi="ar-SA"/>
        </w:rPr>
        <w:t xml:space="preserve">بالإبطال لذلك ، فعلى هذا لا بدّ أوّلا من ترك الاحتمالات الوهمية التي خلافها مظنون بالظنّ الاطمئناني ، فإن بقي بعد ذلك محذور كما هو كذلك ، فلا بدّ من ترك الموهومات برمّتها ، فإنّها أولى بالترك ، كما يستقلّ به العقل ، فلا مناص حينئذ من إعمال الاحتياط في سلسلتي المظنون والمشكوك ، فإن لزم بعد ذلك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ترك المشكوك أيضا إلاّ أنّه لا يخفى فساد هذا التوهّم ؛ إذ قلّما توجد واقعة مشكوكة يساوي </w:t>
      </w:r>
      <w:r>
        <w:rPr>
          <w:rStyle w:val="FootnoteAnchor"/>
          <w:rtl w:val="true"/>
        </w:rPr>
        <w:footnoteReference w:id="949"/>
      </w:r>
      <w:r>
        <w:rPr>
          <w:rFonts w:ascii="Amiri" w:hAnsi="Amiri" w:eastAsia="Amiri" w:cs="Amiri"/>
          <w:color w:val="111111"/>
          <w:sz w:val="28"/>
          <w:sz w:val="28"/>
          <w:szCs w:val="28"/>
          <w:rtl w:val="true"/>
          <w:lang w:bidi="ar-SA"/>
        </w:rPr>
        <w:t>طرفاها من غير حصول مزيّة لأحد طرفيها للفقيه في مقام الاستنباط ، فدعوى لزوم العسر على تقدير إلحاق المشكوكات بالمظنونات في إتيان الواجب وترك الحرام مجرّد مكابرة بعد ما عرفت من أنّها موارد قليلة لا تكاد توجد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يتمسّك بالإجماع في عدم لزوم الاحتياط فيها كما يظهر من ملاحظة طريقة السلف ، ومزاولة وظيفة الخلف كما تقدّم ، فعلى هذا لا وجه لترك الاحتياط في سلسلة المظنونات بجميعها ؛ لوجود المقتضي للاحتياط ورفع المانع عنه ، فإنّ العسر إنّما كان مانعا عنه فيما يلزم الحرج ، وأمّا في غيره ، فلا وجه في منعه ، ويبقى على ما هو قضية القاعدة أوّلا ومقتضاه حجّية كلّ ظنّ حصل في كلّ مورد من الموارد الفرعية كما هو كذلك بناء على ما تخيّله المحقّق القمّي ، ونسب إلى صاحب المعالم والمحقّق البهائي ، فبطلان الاحتياط على وجه العموم يقضي بحجّية الظنّ في موارده على وجه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لزوم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جريان الاحتياط على وتيرة واحدة في موارده ، فتارة يقضي بترك شيء في حالة ، وأخرى بفعله في أخرى ، ومرّة يقضي بالتوقّف إلى غير ذلك من اختلاف وجوه الاحتياط ، فكلّ واقعة ينحلّ إلى وقائع عديدة ، ويتشعّب بشعب جديدة ، بخلاف ما إذا كان الظنّ حجّة ، فإنّه يجري على طريقة واحدة ، فالاحتياط مطلقا يلازم العسر ، ولا وجه للتخصيص بإلحاق الموهومات مثلا بالمظنونات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فاللازم هو الأخذ بالظنّ في كلّ مورد وترك وجوه الاحتياط والعمل به ، والجري على مقتضاه في جميع الوقائع ، ولا نعني بالحجّة </w:t>
      </w:r>
      <w:r>
        <w:rPr>
          <w:rStyle w:val="FootnoteAnchor"/>
          <w:rtl w:val="true"/>
        </w:rPr>
        <w:footnoteReference w:id="950"/>
      </w:r>
      <w:r>
        <w:rPr>
          <w:rFonts w:ascii="Amiri" w:hAnsi="Amiri" w:eastAsia="Amiri" w:cs="Amiri"/>
          <w:color w:val="111111"/>
          <w:sz w:val="28"/>
          <w:sz w:val="28"/>
          <w:szCs w:val="28"/>
          <w:rtl w:val="true"/>
          <w:lang w:bidi="ar-SA"/>
        </w:rPr>
        <w:t xml:space="preserve">غير هذا كما لا يخفى على أولي </w:t>
      </w:r>
      <w:r>
        <w:rPr>
          <w:rStyle w:val="FootnoteAnchor"/>
          <w:rtl w:val="true"/>
        </w:rPr>
        <w:footnoteReference w:id="951"/>
      </w:r>
      <w:r>
        <w:rPr>
          <w:rFonts w:ascii="Amiri" w:hAnsi="Amiri" w:eastAsia="Amiri" w:cs="Amiri"/>
          <w:color w:val="111111"/>
          <w:sz w:val="28"/>
          <w:sz w:val="28"/>
          <w:szCs w:val="28"/>
          <w:rtl w:val="true"/>
          <w:lang w:bidi="ar-SA"/>
        </w:rPr>
        <w:t>الأنظار المستقيمة ، والأفهام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مع ذلك كلّه لا يعدّ من العمل بالظنّ على وجه يوجب طرح الأصول الخاصّة في مواردها في قبال الأمارات الظنّية كما هو المقصود من القول بحجّية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هذا الإجمال ، وتوضيح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القائل بالظنون المطلقة إنّما يتوصّل في سلسلة المظنونات بالظنون المثبتة للتكاليف بعد ادّعاء العلم إجمالا بأنّ جملة منها أمور واقعية ومطابقة لما هو في نفس الأمر ، وتطرح الأصول الخاصّة النافية للتكليف في قبالها ، ولا غائلة فيه بعد موافقته للاحتياط الذي توافق </w:t>
      </w:r>
      <w:r>
        <w:rPr>
          <w:rStyle w:val="FootnoteAnchor"/>
          <w:rtl w:val="true"/>
        </w:rPr>
        <w:footnoteReference w:id="952"/>
      </w:r>
      <w:r>
        <w:rPr>
          <w:rFonts w:ascii="Amiri" w:hAnsi="Amiri" w:eastAsia="Amiri" w:cs="Amiri"/>
          <w:color w:val="111111"/>
          <w:sz w:val="28"/>
          <w:sz w:val="28"/>
          <w:szCs w:val="28"/>
          <w:rtl w:val="true"/>
          <w:lang w:bidi="ar-SA"/>
        </w:rPr>
        <w:t>في حسنه الشرع والعقل ، وهو المناط في العمل بالظنّ ، وأمّا الظنون النافية للتكليف ، فالاحتياط لا يقضي بالعمل بها بل إنّما هو في العمل بالأصول المثبتة للتكليف كما مرّ ذلك غير مرّة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سلسلة المشكوكات ، فقضيّة الاحتياط كما عرفت إلحاقها بالمظنونات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953"/>
      </w:r>
      <w:r>
        <w:rPr>
          <w:rFonts w:ascii="Amiri" w:hAnsi="Amiri" w:eastAsia="Amiri" w:cs="Amiri"/>
          <w:color w:val="111111"/>
          <w:sz w:val="28"/>
          <w:sz w:val="28"/>
          <w:szCs w:val="28"/>
          <w:rtl w:val="true"/>
          <w:lang w:bidi="ar-SA"/>
        </w:rPr>
        <w:t>إلاّ أنّه خرجنا منها للزوم العسر أو الإجماع كما ادّعي ، لكنّه إنّما هو بالنسبة إلى العلم الإجمالي الكلّي الموجود بين جميع السلاسل ، وأمّا بالنسبة إلى الموارد الخاصّة ، فيؤخذ بالأصول الخاصّة كما هو الموروث من غيرهم من القائلين بالظنون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سلسلة الموهومات ، فالقائل بالظنّ المطلق إنّما ترك الاحتياط ، للزوم العسر بالنسبة إلى العلم الإجمالي الدائر في جميع السلاسل كما أنّه لم يلتزم به في الموارد الجزئية التي يقتضي الأصول الجارية فيها التكليف ، مع أنّه لا دليل عليه إلاّ دعوى لزوم العسر على تقدير الأخذ بالاحتياط فيها ، والإنصاف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فالقول بحجّية الظنّ المطلق على تقدير الاستناد إلى دليل الانسداد يتوقّف على بطلان الاحتياط في الموارد الخاصّة بالنسبة إلى العلوم الإجمالية الجزئية الحاصلة فيها بدعوى لزوم العسر بالنسبة إلى جميع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على ما ينبغي إلاّ أن يقال بأنّه لا دليل على وجوب الاحتياط مطلقا كما صنعه المحقّق القمّي ، ويستفاد من ظاهر المعالم ، ونسب إلى البهائي ، لكنّه ظاهر البطلان كظهور فساد القول بأنّ العقل يستقلّ بأنّ الطريق بعد سدّ باب العلم 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يقم دليل على بطلان الاحتياط بوجه يوجب العمل بالظنّ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بذلك بعد جواز الرجوع إلى الامتثال العلمي بالاحتياط غاية ما في الباب هو الخروج عن مقتضى الاحتياط فيما دلّ دليل عليه ، ويبقى الباقي على حسبه ، فإنّ الضرورة تتقدّر </w:t>
      </w:r>
      <w:r>
        <w:rPr>
          <w:rStyle w:val="FootnoteAnchor"/>
          <w:rtl w:val="true"/>
        </w:rPr>
        <w:footnoteReference w:id="954"/>
      </w:r>
      <w:r>
        <w:rPr>
          <w:rFonts w:ascii="IRNazanin" w:hAnsi="IRNazanin" w:eastAsia="IRNazanin"/>
          <w:color w:val="111111"/>
          <w:sz w:val="28"/>
          <w:sz w:val="28"/>
          <w:szCs w:val="28"/>
          <w:rtl w:val="true"/>
          <w:lang w:bidi="fa-IR"/>
        </w:rPr>
        <w:t>بقدرها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الأمور التي ينبغي التنبيه عليها أنّ قضية الدليل على تقدير التعميم ولو بملاحظة مقدّمة مطويّة معلومة عدم الفرق بين خصوصيات الظنّ من جهة الأسباب مع أنّ هناك أمورا لا يجوز الاستناد إليها في شيء قطعا كالقياس وأضرابه من الظنون التي قام القاطع على عدم اعتبارها ولو كان خروجه بواسطة ظنّ قطعي </w:t>
      </w:r>
    </w:p>
    <w:p>
      <w:pPr>
        <w:pStyle w:val="BookText"/>
        <w:rPr/>
      </w:pPr>
      <w:r>
        <w:rPr>
          <w:rFonts w:ascii="Amiri" w:hAnsi="Amiri" w:eastAsia="Amiri" w:cs="Amiri"/>
          <w:color w:val="111111"/>
          <w:sz w:val="28"/>
          <w:sz w:val="28"/>
          <w:szCs w:val="28"/>
          <w:rtl w:val="true"/>
          <w:lang w:bidi="ar-SA"/>
        </w:rPr>
        <w:t>الاعتبار ، فيشكل الأمر في الحكم بخروجها عن الدليل ؛ لاستلزامه تخصيص الدليل العقلي مع عدم قبوله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فيه ينبغي رسم مقدّمة وهي أنّه قد اشتهر بينهم عدم جواز تخصيص الدليل العقلي ، وربّما يتوهّم أنّ المراد منه ما يقابل الدليل الشرعي الذي قد استقلّ العقل بإدراكه كقبح الظلم والعدوان ، وحسن العدل والإحسان ، فيجوز التخصيص في الأدلّة الشرعية ، وليس كذلك بل التحقيق أنّ التخصيص لا يجري في كلّ دليل لا يحتمل الخلاف في مضمونه بحسب ما يفيده من العلم بعد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الدليل في الاصطلاح هو ما يلزم من العلم به العلم بشيء آخر ، فهو واسطة في ثبوت العلم ولو كان علما شرعيّا بانتهائه إلى العلم الوجداني للعالم وفي إثبات المعلوم لديه ، فإن قام في الفرد المخصّص دليل على ثبوت الحكم له أيضا ، فلا معنى للتخصيص ؛ لاستلزامه تخلّف المعلول عن العلّة التامّة المفيدة للعلم ، وإلاّ فلا معنى أيضا للتخصيص ؛ لعدم دليل دالّ عليه أوّلا ، فلا تخصيص ، ولا فرق في ذلك بين أن يكون الدليل عقليا أو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فواضح ؛ فإنّ العقل لا حكم له إلاّ بعد الإحاطة بجميع مراتب مدركه في مرتبة إدراكه ، فإن أدرك مثلا قبح الظلم ، فلا وجه للتخصيص ، وإلاّ فلا معنى 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فلأنّا لو فرضنا قيام الإجماع على نجاسة عنوان الكافر ، فإن قام على نجاسة اليهود أيضا ، فنجاسته إجماعية لا تخصيص فيها ، وإن لم يقم ، فلا دليل على نجاسته ، وعلى قياسه الشهرة لو قامت على نجاسة الكافر مثلا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يجري التخصيص في الأدلّة اللفظية الظاهرة في المعنى بحسب الدلالة الوضعية لا بحسب الدلالة التابعة للإرادة ، وبحسب إفادتها تصوّر المعنى الموضوع له لا من </w:t>
      </w:r>
    </w:p>
    <w:p>
      <w:pPr>
        <w:pStyle w:val="BookText"/>
        <w:rPr/>
      </w:pPr>
      <w:r>
        <w:rPr>
          <w:rFonts w:ascii="Amiri" w:hAnsi="Amiri" w:eastAsia="Amiri" w:cs="Amiri"/>
          <w:color w:val="111111"/>
          <w:sz w:val="28"/>
          <w:sz w:val="28"/>
          <w:szCs w:val="28"/>
          <w:rtl w:val="true"/>
          <w:lang w:bidi="ar-SA"/>
        </w:rPr>
        <w:t xml:space="preserve">حيث التصديق بكون المعنى مرادا للمتكلّم </w:t>
      </w:r>
      <w:r>
        <w:rPr>
          <w:rStyle w:val="FootnoteAnchor"/>
          <w:rtl w:val="true"/>
        </w:rPr>
        <w:footnoteReference w:id="955"/>
      </w:r>
      <w:r>
        <w:rPr>
          <w:rFonts w:ascii="Amiri" w:hAnsi="Amiri" w:eastAsia="Amiri" w:cs="Amiri"/>
          <w:color w:val="111111"/>
          <w:sz w:val="28"/>
          <w:sz w:val="28"/>
          <w:szCs w:val="28"/>
          <w:rtl w:val="true"/>
          <w:lang w:bidi="ar-SA"/>
        </w:rPr>
        <w:t>، وفي الحقيقة إطلاق الدليل عليها تسامح منهم من حيث إنّها ليست بعلّة تامّة للعلم بل لا بدّ فيها من إحراز عدم المانع ولو بأصالة عدم التخصيص والتقييد والمجاز ونحوها ، فإطلاق الدليل عليها إنّما هو صوريّ بواسطة أنّها مقتضيات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الدليل الحقيقي ولو كان لفظيّا لا يقبل التخصيص كما إذا كان عدم المانع مثلا معلوما إمّا بواسطة عدم قابلية المانع كما في العامّ اللفظي بالنسبة إلى مورده ، فإنّه حينئذ نصّ فيه ، ولا تخصيص ، وإمّا بواسطة أنّ عدمه معلوم وإن كان قابلا لمانعية المانع كما إذا ورد العامّ في مقام تأسيس قاعدة كلّية ، أو في مورد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الدليل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 وصوري ، كما أنّ التخصيص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 وصوري ، والدليل الحقيقي لا يقبل التخصيص بقسميه ، أمّا التخصيص الحقيقي ، فلأوله إلى التناقض المحال ، وأمّا التخصيص الصوري ،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الصوري أيضا لا يقبل التخصيص حقيقة ؛ للتناقض ، فالتخصيص الصوري إنّما يختصّ عروضه بالدليل الصوري كأن يكون عنوان الحكم في الدليل بالصورة </w:t>
      </w:r>
      <w:r>
        <w:rPr>
          <w:rStyle w:val="FootnoteAnchor"/>
          <w:rtl w:val="true"/>
        </w:rPr>
        <w:footnoteReference w:id="956"/>
      </w:r>
      <w:r>
        <w:rPr>
          <w:rFonts w:ascii="Amiri" w:hAnsi="Amiri" w:eastAsia="Amiri" w:cs="Amiri"/>
          <w:color w:val="111111"/>
          <w:sz w:val="28"/>
          <w:sz w:val="28"/>
          <w:szCs w:val="28"/>
          <w:rtl w:val="true"/>
          <w:lang w:bidi="ar-SA"/>
        </w:rPr>
        <w:t>يعمّ الفرد المخصّص ولو بحسب الإجمال ، فيعرضه التخصيص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منه خروج الفرد المخصّص من </w:t>
      </w:r>
      <w:r>
        <w:rPr>
          <w:rStyle w:val="FootnoteAnchor"/>
          <w:rtl w:val="true"/>
        </w:rPr>
        <w:footnoteReference w:id="957"/>
      </w:r>
      <w:r>
        <w:rPr>
          <w:rFonts w:ascii="Amiri" w:hAnsi="Amiri" w:eastAsia="Amiri" w:cs="Amiri"/>
          <w:color w:val="111111"/>
          <w:sz w:val="28"/>
          <w:sz w:val="28"/>
          <w:szCs w:val="28"/>
          <w:rtl w:val="true"/>
          <w:lang w:bidi="ar-SA"/>
        </w:rPr>
        <w:t>العامّ الظاهر ولو بحسب التفصيل ، فلا تناقض أيضا ؛ لاختلاف محلّي الحكم إجمالا وتفصيلا ، ومحصّل الوجه في عدم جواز تخصيص الدليل الحقيقي يرجع إلى القول بعدم جواز تخلّف المقدّمتين في القياس عن النتيجة ، وذلك أمر واضح محقّق عند العدلية كما حقّق في محلّه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هذه ، فاعلم أنّ الكلام في المقام تارة يقع في كيفية خروج الظنون التي قام القاطع على عدم اعتبارها كالقياس والاستحسان والرمل والجفر ونحوها بعد </w:t>
      </w:r>
    </w:p>
    <w:p>
      <w:pPr>
        <w:pStyle w:val="BookText"/>
        <w:rPr/>
      </w:pPr>
      <w:r>
        <w:rPr>
          <w:rFonts w:ascii="Amiri" w:hAnsi="Amiri" w:eastAsia="Amiri" w:cs="Amiri"/>
          <w:color w:val="111111"/>
          <w:sz w:val="28"/>
          <w:sz w:val="28"/>
          <w:szCs w:val="28"/>
          <w:rtl w:val="true"/>
          <w:lang w:bidi="ar-SA"/>
        </w:rPr>
        <w:t xml:space="preserve">أنّ حكمها معلوم من عدم جواز الاتّكال عليها كما في الاستثناء ، فإنّ المستثنى حكمه معلوم إلاّ أنّ </w:t>
      </w:r>
      <w:r>
        <w:rPr>
          <w:rStyle w:val="FootnoteAnchor"/>
          <w:rtl w:val="true"/>
        </w:rPr>
        <w:footnoteReference w:id="958"/>
      </w:r>
      <w:r>
        <w:rPr>
          <w:rFonts w:ascii="Amiri" w:hAnsi="Amiri" w:eastAsia="Amiri" w:cs="Amiri"/>
          <w:color w:val="111111"/>
          <w:sz w:val="28"/>
          <w:sz w:val="28"/>
          <w:szCs w:val="28"/>
          <w:rtl w:val="true"/>
          <w:lang w:bidi="ar-SA"/>
        </w:rPr>
        <w:t xml:space="preserve">الكلام في كيفية خروجه من المستثنى منه ، وأخرى يقع في حكمها أيضا كما في الظنون التي قام الظنّ على عدم اعتبارها ، فلا بدّ من تشخيص الخارج من الدليل فيهما ، وعلى تقدير الخروج ففي كيفية الخروج ، فالكلام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في كيفية خروج القياس وأضرابه ممّا قام القاطع والدليل العلمي على فسادها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خروج القياس على تقدير الكشف ؛ إذ محصّل الكلام على هذا التقدير يرجع إلى أنّ الدليل قد دلّ على حجّية ظنّ </w:t>
      </w:r>
      <w:r>
        <w:rPr>
          <w:rStyle w:val="FootnoteAnchor"/>
          <w:rtl w:val="true"/>
        </w:rPr>
        <w:footnoteReference w:id="959"/>
      </w:r>
      <w:r>
        <w:rPr>
          <w:rFonts w:ascii="Amiri" w:hAnsi="Amiri" w:eastAsia="Amiri" w:cs="Amiri"/>
          <w:color w:val="111111"/>
          <w:sz w:val="28"/>
          <w:sz w:val="28"/>
          <w:szCs w:val="28"/>
          <w:rtl w:val="true"/>
          <w:lang w:bidi="ar-SA"/>
        </w:rPr>
        <w:t>في الجملة ، معلوم عند اللّه ، غير معلوم عندنا ، وذلك لا ينافي خروج القياس ، فإنّ أدلّة حرمة العمل به دليل شرعي علمي على أنّ الحجّة المجهولة المردّدة بين أسباب متعدّدة ليس هو القياس ، فإنّ الموجبة الجزئية لا تناقض السالبة الجزئية ، ولا فرق في ذلك بين أن يستند في التعميم إلى الوجوه المعمّمة ، أو لم يستند إليها ، وعلى الأوّل بين الاحتياط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إذا لم يستند إليها فظاهر ، وأمّا في صورة الاستناد ، فلأنّ جميع ما ذكر من أدلّة التعميم لا يجري في مورد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 فلأنّ حكم العقل الذي هو المناط في الاحتياط بعد العلم الإجمالي بالتكليف لا يزيد على رفع العقاب والخروج عن ربقة التكليف ، فلو علمنا من المولى بأنّه قد أسقط عنّا الاحتياط في بعض الموارد ولم يلزم علينا الإتيان بكلّ المحتملات ، فقد علمنا بعدم ترتّب العقاب على ترك بعض المحتملات ، واحتمال كون الواقع في المحتملات المتروكة إنّما عهدته عليه ولا ضير فيه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العقل يحكم بإتيان الكلّ من باب المقدّمة العلمية لتحصيل الواقع والمكلّف به فرارا من العقاب وبعد ما علم بعدم العقاب في موضوع على تقدير الترك ، فلا يحكم بالاحتياط هذا إذا قلنا بأنّ القياس داخل في العلم الإجمالي الدائر بين </w:t>
      </w:r>
    </w:p>
    <w:p>
      <w:pPr>
        <w:pStyle w:val="BookText"/>
        <w:rPr/>
      </w:pPr>
      <w:r>
        <w:rPr>
          <w:rFonts w:ascii="Amiri" w:hAnsi="Amiri" w:eastAsia="Amiri" w:cs="Amiri"/>
          <w:color w:val="111111"/>
          <w:sz w:val="28"/>
          <w:sz w:val="28"/>
          <w:szCs w:val="28"/>
          <w:rtl w:val="true"/>
          <w:lang w:bidi="ar-SA"/>
        </w:rPr>
        <w:t>الظنون ، وأمّا إذا لم نقل به كما هو التحقيق ، فإنّ القياس خارج عن أطراف الشبهة ، إذ قضيّة الدليل لا تزيد على اعتبار ظنّ في الجملة ، وبعد العلم بحرمته نعلم علما تفصيلا بأنّه ليس هو ، 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بلا مرجّح ، فلا ينافيه أيضا خروج القياس ، فإنّه على تقدير الكشف حكم ظاهري مرجعه إلى عدم العلم بالمرجّح وهو لا ينافي بالمرجّح في خصوص مورد كالقياس ، فإنّ أدلّة حرمة العمل به مرجّح لعدم العمل به ، ومحصّل لموضوع لا يجري </w:t>
      </w:r>
      <w:r>
        <w:rPr>
          <w:rStyle w:val="FootnoteAnchor"/>
          <w:rtl w:val="true"/>
        </w:rPr>
        <w:footnoteReference w:id="960"/>
      </w:r>
      <w:r>
        <w:rPr>
          <w:rFonts w:ascii="Amiri" w:hAnsi="Amiri" w:eastAsia="Amiri" w:cs="Amiri"/>
          <w:color w:val="111111"/>
          <w:sz w:val="28"/>
          <w:sz w:val="28"/>
          <w:szCs w:val="28"/>
          <w:rtl w:val="true"/>
          <w:lang w:bidi="ar-SA"/>
        </w:rPr>
        <w:t>فيه ذلك الدليل الظاهري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الكفاية ، فواضح عدم جريانه فيه بل ربّما يقال بأنّ العمل به يلازم المحذور المدّعى في عدم العمل بغيره من الخروج من الدين هذا كلّه على تقدير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الأخذ بالظنّ من باب لزوم الاحتياط كما قرّرناه أخيرا ، فلا إشكال أيضا كما عرفت ، ويكشف عن ذلك رفع اليد عن الاحتياط فيما يلازم العسر والحرج مع أنّ الاحتياط في تلك الموارد ممّا يحصّل الواقع ، ويظهر ذلك في الغاية عند ملاحظة وجوب تكرار الصلاة فيما اشتبهت القبلة في أربع جهات مع احتمال كون القبلة في جهة أخرى متوسّطة بين الجهات الأربعة ، فالواجب أوّلا هو الصلاة بكلّ نقطة من الدائرة التي يفرض المكلّف مركزا لها كما لا يخفى إلاّ أنّ الشارع قد عفى عنها ولو كان مؤدّيا إلى خلاف الواقع ، فظهر أنّه لا منافاة في وجوب الاحتياط وترك بعض المحتملات بعد دلالة دليل على وجوب الترك أو جوازه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الظنّ القياسي لو اقتضى شيئا ، فعلى تقدير عدم إلحاق الموهومات بالمشكوكات في عدم اعتبار الأصول الجزئية في مواردها لا بدّ من إلحاق موهومه بالمشكوك في اعتبار الأصول الخاصّة في مواردها ، فإنّ الظنّ حينئذ كالعدم ، </w:t>
      </w:r>
    </w:p>
    <w:p>
      <w:pPr>
        <w:pStyle w:val="BookText"/>
        <w:rPr/>
      </w:pPr>
      <w:r>
        <w:rPr>
          <w:rFonts w:ascii="Amiri" w:hAnsi="Amiri" w:eastAsia="Amiri" w:cs="Amiri"/>
          <w:color w:val="111111"/>
          <w:sz w:val="28"/>
          <w:sz w:val="28"/>
          <w:szCs w:val="28"/>
          <w:rtl w:val="true"/>
          <w:lang w:bidi="ar-SA"/>
        </w:rPr>
        <w:t>فما هو المناط في الاعتبار في المشكوكات موجود في هذا الموهوم ، هذا ما يقتضيه الجليّ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 الدقيق ، فلا يفرق في ورود الإشكال بين هذا المشترك ومذاق الحكومة كما تعرفه بعيد ذلك لكن على اختلاف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ما قطعنا النظر عن الاحتياط في كلّ المحتملات من حيث لزوم العسر على تقديره ، فلا بدّ من التبعيض فيها دفعا للمحذور كما عرفت ، وحينئذ فقد قلنا بأنّ العقل يستقلّ في إسقاط الموهومات عن سلسلة المحتملات ؛ لعدم الاحتياط فيها بالنسبة إلى العلم الإجمالي الدائر في جميع السلاسل ، وبالنسبة إلى العلوم الجزئية الحاصلة في الوقائع الخاصّة ، فالحكم بسقوط الموهومات مطلقا عقلي ، ولا فرق في نظره القياس وغيره من الأسباب حتّى قيل بأنّ موهومه ملحق بالمشكوك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تقدير حكومة العقل ، فالإشكال متّجه سواء قلنا بأنّ العقل أوّلا يحكم حكما كلّيا من غير حاجة إلى ضمّ مقدّمة أخرى ، أو قلنا بأنّ الحكم بالكلّية إنّما هو بعد ملاحظة بطلان الترجيح بلا مرجّح حيث إنّ الحكم هذا حكم واقعي مرجعه إلى العلم بعدم المرجّح كما في العلم ، وكيف كان فقد أوردوا لدفع الإشكال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ما أفاده المحقّق القمي </w:t>
      </w:r>
      <w:r>
        <w:rPr>
          <w:rStyle w:val="FootnoteAnchor"/>
          <w:rtl w:val="true"/>
        </w:rPr>
        <w:footnoteReference w:id="961"/>
      </w:r>
      <w:r>
        <w:rPr>
          <w:rFonts w:ascii="Amiri" w:hAnsi="Amiri" w:eastAsia="Amiri" w:cs="Amiri"/>
          <w:color w:val="111111"/>
          <w:sz w:val="28"/>
          <w:sz w:val="28"/>
          <w:szCs w:val="28"/>
          <w:rtl w:val="true"/>
          <w:lang w:bidi="ar-SA"/>
        </w:rPr>
        <w:t xml:space="preserve">من منع حصول الظنّ من القياس وأشباهه فأكشف </w:t>
      </w:r>
      <w:r>
        <w:rPr>
          <w:rStyle w:val="FootnoteAnchor"/>
          <w:rtl w:val="true"/>
        </w:rPr>
        <w:footnoteReference w:id="962"/>
      </w:r>
      <w:r>
        <w:rPr>
          <w:rFonts w:ascii="Amiri" w:hAnsi="Amiri" w:eastAsia="Amiri" w:cs="Amiri"/>
          <w:color w:val="111111"/>
          <w:sz w:val="28"/>
          <w:sz w:val="28"/>
          <w:szCs w:val="28"/>
          <w:rtl w:val="true"/>
          <w:lang w:bidi="ar-SA"/>
        </w:rPr>
        <w:t xml:space="preserve">الشارع صراحة أو كناية عن حاله ، واستند في ذلك إلى وجهين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الشرعيات على الجمع بين المختلفات والفرق بين المجتمعات ، فإنّ دين اللّه لا يصاب بالعقول الضعيفة ، ولا يستفاد من الآراء السخيفة ، فإنّ الحكم المستتبعة للأحكام لا يعلمها إلاّ الحكيم ، أو من هو من ربّه على صراط مستقيم ، ويكشف عن ذلك ملاحظة منزوحات البئر ، فإنّ البعير مثلا يخالف البقر مع اجتماعهما في غير الواقعة ، ووجوب الغسل للمنيّ دون البول ، وقضاء الصوم على الحائض دون </w:t>
      </w:r>
    </w:p>
    <w:p>
      <w:pPr>
        <w:pStyle w:val="BookText"/>
        <w:rPr/>
      </w:pPr>
      <w:r>
        <w:rPr>
          <w:rFonts w:ascii="Amiri" w:hAnsi="Amiri" w:eastAsia="Amiri" w:cs="Amiri"/>
          <w:color w:val="111111"/>
          <w:sz w:val="28"/>
          <w:sz w:val="28"/>
          <w:szCs w:val="28"/>
          <w:rtl w:val="true"/>
          <w:lang w:bidi="ar-SA"/>
        </w:rPr>
        <w:t>الصلاة إلى غير ذلك ، فبعد ملاحظة أمثال ذلك في الشريعة كيف يحصل الظنّ باتّحاد مناط الحكم في الواقعتين حتّى يستتبعه الظنّ بالحكم في 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السنّة إذا قيست محق الدين كما في خبر أبان بن تغلب </w:t>
      </w:r>
      <w:r>
        <w:rPr>
          <w:rStyle w:val="FootnoteAnchor"/>
          <w:rtl w:val="true"/>
        </w:rPr>
        <w:footnoteReference w:id="963"/>
      </w:r>
      <w:r>
        <w:rPr>
          <w:rFonts w:ascii="Amiri" w:hAnsi="Amiri" w:eastAsia="Amiri" w:cs="Amiri"/>
          <w:color w:val="111111"/>
          <w:sz w:val="28"/>
          <w:sz w:val="28"/>
          <w:szCs w:val="28"/>
          <w:rtl w:val="true"/>
          <w:lang w:bidi="ar-SA"/>
        </w:rPr>
        <w:t>وفي غيره أيضا بطرق متعدّدة ، فإنّ هذه الروايات تدلّ على أنّ محق الدين في القياس ، فبملاحظة ذلك لا يحصل الظنّ بالحكم في 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حصول الظنّ من القياس مكابرة فإنّ الوجدان شاهد صدق على ذلك ، وتفصيلا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المختلفات كالتفريق بين المجتمعات لا يقضي بعدم حصول الظنّ منه ، كيف ويحصل العلم منه المعبّر عنه بتنقيح المناط ولو لم يحصل الظنّ منه ، يلزم الطفرة ولو على بعض الوجوه وهي ممّا قضت الضرورة ببطلانها مع أنّ الغالب هو الجمع بين المتقاربات والمؤتلفات بحيث يحكم المتدرّب في الشرعيّات بأنّ موارد الافتراق أقلّ قليل بالنسبة إليها ، ويرشدك النظر في الأحكام الثابتة في حقّ الرجال ، فإنّ الغالب اشتراك النساء لهم فيها ، ومشاركة أحكام الإماء للعبيد ولو في الأغلب ، وكيف لا مع أنّ جملة منهم ذكروا في عداد الأدلّة إلحاق الفرد المشكوك فيه بالأعمّ الأغلب ، والمنكر لذلك مكابر لنفسه مع إمكان فرض البحث في فرض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امتناع حصول الظنّ منه بعد ما جاء من الخبر فيه أغرب من سابقه ، وأعجب من لاحقه ، إذ مفاده لا يزيد على وجوب الإعراض عنه وعدم الاستناد إليه ، ولا دلالة فيه على الامتناع لو لم يكن فيه تلويح بالإمكان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لا يبعد دعوى عدم حصول الظنّ منه في الغالب بعد ملاحظة موارد تخلّفه عن الواقع وعدم كشفه عنه كما يلاحظ ذلك في مراجعة حالات الفضلاء في أمور معاشهم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التزم به المحقّق المذكور </w:t>
      </w:r>
      <w:r>
        <w:rPr>
          <w:rStyle w:val="FootnoteAnchor"/>
          <w:rtl w:val="true"/>
        </w:rPr>
        <w:footnoteReference w:id="964"/>
      </w:r>
      <w:r>
        <w:rPr>
          <w:rFonts w:ascii="Amiri" w:hAnsi="Amiri" w:eastAsia="Amiri" w:cs="Amiri"/>
          <w:color w:val="111111"/>
          <w:sz w:val="28"/>
          <w:sz w:val="28"/>
          <w:szCs w:val="28"/>
          <w:rtl w:val="true"/>
          <w:lang w:bidi="ar-SA"/>
        </w:rPr>
        <w:t>أيضا من جواز العمل بالقياس حال الانسداد فيما إذا أفاد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بطلان العمل بالقياس في مذهبنا ، فمن </w:t>
      </w:r>
      <w:r>
        <w:rPr>
          <w:rStyle w:val="FootnoteAnchor"/>
          <w:rtl w:val="true"/>
        </w:rPr>
        <w:footnoteReference w:id="965"/>
      </w:r>
      <w:r>
        <w:rPr>
          <w:rFonts w:ascii="Amiri" w:hAnsi="Amiri" w:eastAsia="Amiri" w:cs="Amiri"/>
          <w:color w:val="111111"/>
          <w:sz w:val="28"/>
          <w:sz w:val="28"/>
          <w:szCs w:val="28"/>
          <w:rtl w:val="true"/>
          <w:lang w:bidi="ar-SA"/>
        </w:rPr>
        <w:t xml:space="preserve">مارس قليلا أهل هذا المذهب في الجملة ولا سيّما بعد ملاحظة الإجماعات المنقولة والأخبار المتكاثرة الواردة عن العترة الطاهرة بحيث يحتمل عدم جواز الملاقاة لمن أنكر ذلك في جميع الموارد ، إلاّ أنّه قد يظهر من جماعة الاستناد إلى الأولوية المستقرّة </w:t>
      </w:r>
      <w:r>
        <w:rPr>
          <w:rStyle w:val="FootnoteAnchor"/>
          <w:rtl w:val="true"/>
        </w:rPr>
        <w:footnoteReference w:id="966"/>
      </w:r>
      <w:r>
        <w:rPr>
          <w:rFonts w:ascii="Amiri" w:hAnsi="Amiri" w:eastAsia="Amiri" w:cs="Amiri"/>
          <w:color w:val="111111"/>
          <w:sz w:val="28"/>
          <w:sz w:val="28"/>
          <w:szCs w:val="28"/>
          <w:rtl w:val="true"/>
          <w:lang w:bidi="ar-SA"/>
        </w:rPr>
        <w:t xml:space="preserve">الظنّية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قوّة الفقيه ، ومن جماعة أخرى الاعتماد على الاستقراء الذي هو في حقيقة الحال مرجعه إلى القياس ؛ إذ من الواضح فساد الاستناد في إثبات حكم جزئي لجزئي مثله من غير أن يكون هناك جامعة بينهما ؛ لعدم الملازمة بين حكميها لولاها ، وإليه ينظر مقالة أهل الميزان من أنّ الجزئي ليس بكاسب ولا بمكتسب ، وذلك يكشف عن إمكان التخصيص في حكم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حرمة العمل بالقياس وما يقاربه حال الانسداد ، لإطلاق معاقد الإجماعات المنقولة وإطلاق الروايات الواردة في المقام ، ضرورة عدم اشتمالهما حال الانسداد إلاّ بالإطلاق بضميمة أصالة الحقيقة وأصالة عدم التقييد وغير ذلك من الأصول التعبّدية التي لا تفيد العلم بل ، ولا الظنّ ، وبرهان الانسداد إنّما يدلّ على حجّية مطلق الظنّ حال الانسداد ، فمفاده خاصّ بالنسبة إليها ، والخاصّ يقدّم على العامّ كالمقيّد على المطلق ، ولا سيّما فيما كان الخاصّ عقليّا ، وحال أخبار القياس ليس أولى من حال الأدلّة الدالّة على حرمة العمل بالظنّ لا دلالة ولا كثرة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وجملة منها إنّما وردت في مقام الردّ على الفرقة الهالكة حيث إنّهم نبذوا الكتاب </w:t>
      </w:r>
      <w:r>
        <w:rPr>
          <w:rStyle w:val="FootnoteAnchor"/>
          <w:rtl w:val="true"/>
        </w:rPr>
        <w:footnoteReference w:id="967"/>
      </w:r>
      <w:r>
        <w:rPr>
          <w:rFonts w:ascii="IRNazanin" w:hAnsi="IRNazanin" w:eastAsia="IRNazanin"/>
          <w:color w:val="111111"/>
          <w:sz w:val="28"/>
          <w:sz w:val="28"/>
          <w:szCs w:val="28"/>
          <w:rtl w:val="true"/>
          <w:lang w:bidi="fa-IR"/>
        </w:rPr>
        <w:t xml:space="preserve">اختصّ علمه بهم </w:t>
      </w:r>
      <w:r>
        <w:rPr>
          <w:rStyle w:val="FootnoteAnchor"/>
          <w:rtl w:val="true"/>
        </w:rPr>
        <w:footnoteReference w:id="968"/>
      </w:r>
      <w:r>
        <w:rPr>
          <w:rFonts w:ascii="Amiri" w:hAnsi="Amiri" w:eastAsia="Amiri" w:cs="Amiri"/>
          <w:color w:val="111111"/>
          <w:sz w:val="28"/>
          <w:sz w:val="28"/>
          <w:szCs w:val="28"/>
          <w:rtl w:val="true"/>
          <w:lang w:bidi="ar-SA"/>
        </w:rPr>
        <w:t xml:space="preserve">وراء ظهورهم مع تمكّنهم من الرجوع إلى باب العلم ، </w:t>
      </w:r>
    </w:p>
    <w:p>
      <w:pPr>
        <w:pStyle w:val="BookText"/>
        <w:rPr/>
      </w:pPr>
      <w:r>
        <w:rPr>
          <w:rFonts w:ascii="Amiri" w:hAnsi="Amiri" w:eastAsia="Amiri" w:cs="Amiri"/>
          <w:color w:val="111111"/>
          <w:sz w:val="28"/>
          <w:sz w:val="28"/>
          <w:szCs w:val="28"/>
          <w:rtl w:val="true"/>
          <w:lang w:bidi="ar-SA"/>
        </w:rPr>
        <w:t>ولأجل ذلك قد أكثروا في النهي عن اتّباعه كثيرة وقليله ، والتزم أصحابهم في الاجتناب عن سلوك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منها وردت فيما إذا أمكن التوقّف والاحتياط في حكم المسألة ، فإنّه لا بدّ فيه من الوقف ، ولا يجوز الرجوع إلى القياس مثل ما رواه ثقة الإسلام في الكافى في الصحيح ، عن سماعة بن مهران ، عن أبي الحسن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إنّا نجتمع ، فنتذاكر ما عندنا ، فما يرد علينا شيء إلاّ وعندنا فيه شيء مسطّر ، وذلك ما أنعم اللّه علينا بكم ، ثمّ يرد علينا الشيء الصغير ليس عندنا فيه شيء ، فينظر بعضنا إلى بعض ، وعندنا ما يشبهه ، فنقيس على أحسنه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لكم والقياس؟ إنّما هلك من هلك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ما تعلمون ، فقولوا به وإن جاءكم ما لا تعلمون 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فيه </w:t>
      </w:r>
      <w:r>
        <w:rPr>
          <w:rStyle w:val="FootnoteAnchor"/>
          <w:rtl w:val="true"/>
        </w:rPr>
        <w:footnoteReference w:id="9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حجّة على القول ببطلان القياس في حالة الانسداد إلاّ إطلاق بعض الروايات ومعاقد الإجماعات ، وبعد إعمال الأصول لا يفيد إلاّ الشكّ ، ودليل الانسداد قطعي فكما يقدّم على الأدلّة الناهية عن اتّباع مطلق ما وراء العلم ، كذا يقدّم على هذه الإطلاقات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في حال الانسداد عهدتها على مدّعيها ؛ إذ المجمعين بعد قطع النظر عن مداركهم في الحكم بعدم الحجّية أغلبهم ممّن يرون انفتاح باب العلم الشرعي أو الوجداني ، فكلماتهم في الأغلب إنّما هو في بيان أحكام الانفتاح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دعوى الضرورة المذهبية أو الدينية في وجه على حرمة الاستناد إليه ، فإنّ الإشكال في بيان ما يستند إليه تلك الضرورة ، إذ ليس يقبل كلّ ما يقال أو يدّعى إلاّ بإلقاء دليل قاطع ، وبرهان ساطع ، فمدّعي الإجماع أو الضرورة مطالب بوجههما </w:t>
      </w:r>
      <w:r>
        <w:rPr>
          <w:rStyle w:val="FootnoteAnchor"/>
          <w:rtl w:val="true"/>
        </w:rPr>
        <w:footnoteReference w:id="970"/>
      </w:r>
      <w:r>
        <w:rPr>
          <w:rFonts w:ascii="Amiri" w:hAnsi="Amiri" w:eastAsia="Amiri" w:cs="Amiri"/>
          <w:color w:val="111111"/>
          <w:sz w:val="28"/>
          <w:sz w:val="28"/>
          <w:szCs w:val="28"/>
          <w:rtl w:val="true"/>
          <w:lang w:bidi="ar-SA"/>
        </w:rPr>
        <w:t xml:space="preserve">، فعليه بالبيان ، فإن كان ممّا يستند إليه الإجماع أو الضرورة في العادة ، فيعمّ الاتّفاق ، </w:t>
      </w:r>
    </w:p>
    <w:p>
      <w:pPr>
        <w:pStyle w:val="BookText"/>
        <w:rPr/>
      </w:pPr>
      <w:r>
        <w:rPr>
          <w:rFonts w:ascii="Amiri" w:hAnsi="Amiri" w:eastAsia="Amiri" w:cs="Amiri"/>
          <w:color w:val="111111"/>
          <w:sz w:val="28"/>
          <w:sz w:val="28"/>
          <w:szCs w:val="28"/>
          <w:rtl w:val="true"/>
          <w:lang w:bidi="ar-SA"/>
        </w:rPr>
        <w:t>وإلاّ فلا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الانتصار </w:t>
      </w:r>
      <w:r>
        <w:rPr>
          <w:rStyle w:val="FootnoteAnchor"/>
          <w:rtl w:val="true"/>
        </w:rPr>
        <w:footnoteReference w:id="971"/>
      </w:r>
      <w:r>
        <w:rPr>
          <w:rFonts w:ascii="Amiri" w:hAnsi="Amiri" w:eastAsia="Amiri" w:cs="Amiri"/>
          <w:color w:val="111111"/>
          <w:sz w:val="28"/>
          <w:sz w:val="28"/>
          <w:szCs w:val="28"/>
          <w:rtl w:val="true"/>
          <w:lang w:bidi="ar-SA"/>
        </w:rPr>
        <w:t>لهذا الوجه إلاّ أنّه لا يجدي أيضا بعد التحقيق والتدقيق ، فإنّ الأدلّة المتكثّرة الواردة في مقام وإن كان ممّا لا يفيد القطع كلّ واحد منها في حدود ذواتها إلاّ كلّ واحد منها لا يخلو عن إفادة ظنّ ولو في أضعف مراتبه وإن كان ممّا استند في دلالتها إلى تعبّدي ؛ إذ قد يفيدان الظنّ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يطّرد إفادة الظنّ فيه ، لأنّه يمنع حصول الوصف منه كما لا يخفى ، وبعد انضمام رواية أخرى إليه يزداد ذلك الظنّ قوّة إلى أن ينتهي إلى العلم ، وذلك باب شائع ، وطريق واسع يستند العلوم الحاصلة من اليقينيات غالبا إلى هذه الطريقة ، ولا بعد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جملة من المسائل الكلامية للاعتقاد استناد المشهور إلى الروايات والآيات مع أنّ غاية ما يستفاد منها الظنّ ، وهم لا يقولون باعتبار الظنّ ولو كان حاصلا من الأمارات الخاصّة فيها ، فإنّ ازدياد الأسباب الظنّية يوجب تراكم الظنون ، فيزداد باشتداد كلّ بلحوق ظنّ آخر حتّى يصير علما ، ولو لا هذا ، لانقطع التواتر ولو في جهة اللفظ ، فإنّ الإخبار بصدور لفظ من لافظ من حيث هو لا يفيد إلاّ الظنّ بصدوره منه ، وبعد الإخبار به ثانيا يشتدّ ذلك الظنّ مرتبة إلى أن يصل إلى اليقين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فمن المعلوم لكلّ واحد </w:t>
      </w:r>
      <w:r>
        <w:rPr>
          <w:rStyle w:val="FootnoteAnchor"/>
          <w:rtl w:val="true"/>
        </w:rPr>
        <w:footnoteReference w:id="972"/>
      </w:r>
      <w:r>
        <w:rPr>
          <w:rFonts w:ascii="Amiri" w:hAnsi="Amiri" w:eastAsia="Amiri" w:cs="Amiri"/>
          <w:color w:val="111111"/>
          <w:sz w:val="28"/>
          <w:sz w:val="28"/>
          <w:szCs w:val="28"/>
          <w:rtl w:val="true"/>
          <w:lang w:bidi="ar-SA"/>
        </w:rPr>
        <w:t xml:space="preserve">من العلماء بل لا يبعد دعوى إلحاق العوامّ بهم عدم جواز الاستناد في زماننا هذا إلى القياس ، وليس هذا العلم ممّا لا </w:t>
      </w:r>
      <w:r>
        <w:rPr>
          <w:rStyle w:val="FootnoteAnchor"/>
          <w:rtl w:val="true"/>
        </w:rPr>
        <w:footnoteReference w:id="973"/>
      </w:r>
      <w:r>
        <w:rPr>
          <w:rFonts w:ascii="Amiri" w:hAnsi="Amiri" w:eastAsia="Amiri" w:cs="Amiri"/>
          <w:color w:val="111111"/>
          <w:sz w:val="28"/>
          <w:sz w:val="28"/>
          <w:szCs w:val="28"/>
          <w:rtl w:val="true"/>
          <w:lang w:bidi="ar-SA"/>
        </w:rPr>
        <w:t xml:space="preserve">يستند إلى سبب يحصل منه العلم في العادة بل على الأمور النقلية من الاعتقاديات </w:t>
      </w:r>
      <w:r>
        <w:rPr>
          <w:rStyle w:val="FootnoteAnchor"/>
          <w:rtl w:val="true"/>
        </w:rPr>
        <w:footnoteReference w:id="974"/>
      </w:r>
      <w:r>
        <w:rPr>
          <w:rFonts w:ascii="Amiri" w:hAnsi="Amiri" w:eastAsia="Amiri" w:cs="Amiri"/>
          <w:color w:val="111111"/>
          <w:sz w:val="28"/>
          <w:sz w:val="28"/>
          <w:szCs w:val="28"/>
          <w:rtl w:val="true"/>
          <w:lang w:bidi="ar-SA"/>
        </w:rPr>
        <w:t>وغيرها إلى مثل هذه الأسباب كما هو غير خفيّ على المتدبّر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من وجوه الدفع ما استند إليه المحقّق أيضا </w:t>
      </w:r>
      <w:r>
        <w:rPr>
          <w:rStyle w:val="FootnoteAnchor"/>
          <w:rtl w:val="true"/>
        </w:rPr>
        <w:footnoteReference w:id="975"/>
      </w:r>
      <w:r>
        <w:rPr>
          <w:rFonts w:ascii="Amiri" w:hAnsi="Amiri" w:eastAsia="Amiri" w:cs="Amiri"/>
          <w:color w:val="111111"/>
          <w:sz w:val="28"/>
          <w:sz w:val="28"/>
          <w:szCs w:val="28"/>
          <w:rtl w:val="true"/>
          <w:lang w:bidi="ar-SA"/>
        </w:rPr>
        <w:t xml:space="preserve">،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الظنّ إنّما هو </w:t>
      </w:r>
      <w:r>
        <w:rPr>
          <w:rStyle w:val="FootnoteAnchor"/>
          <w:rtl w:val="true"/>
        </w:rPr>
        <w:footnoteReference w:id="976"/>
      </w:r>
      <w:r>
        <w:rPr>
          <w:rFonts w:ascii="Amiri" w:hAnsi="Amiri" w:eastAsia="Amiri" w:cs="Amiri"/>
          <w:color w:val="111111"/>
          <w:sz w:val="28"/>
          <w:sz w:val="28"/>
          <w:szCs w:val="28"/>
          <w:rtl w:val="true"/>
          <w:lang w:bidi="ar-SA"/>
        </w:rPr>
        <w:t>فيما انسدّ فيه باب العلم ، وفي مورد القياس باب العلم ليس بمنسدّ ، للعلم الضروري بحرمة العمل به في شريعتنا ، فخروج القياس إنّما هو من جهة خروج موضوع الحكم في 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انسداد باب العلم في مورد القياس بالرجوع إلى الأصول في موارده إن كان مع قطع النظر عن الأدلّة الدالّة على حرمة العمل بالقياس ، فمن المعلوم أنّه غير سديد ؛ لتساوي أفراد ماهيّة واحدة في كلّ حكم لا يرجع إلى خصوصية خارجية ، وإن كان بعد ملاحظة ما دلّ على عدم جواز الاستناد إليه ، فغير مفيد ؛ فإنّه هو محلّ الإشكال ، ومحطّ فحول الرجال ، كيف؟ وهو لم يأت بما يشفي العليل ، ويروي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باختلاف موضوعي حكم العقل بحجّية الظنّ والشرع بحرمة العمل بالقياس إمّا حقيقة ، وإمّا اعتبارا كما ستقف عليها ، فله وجه إلاّ أنّه سيجيء عدم استقامتها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ما تكلّفه أيضا </w:t>
      </w:r>
      <w:r>
        <w:rPr>
          <w:rStyle w:val="FootnoteAnchor"/>
          <w:rtl w:val="true"/>
        </w:rPr>
        <w:footnoteReference w:id="977"/>
      </w:r>
      <w:r>
        <w:rPr>
          <w:rFonts w:ascii="Amiri" w:hAnsi="Amiri" w:eastAsia="Amiri" w:cs="Amiri"/>
          <w:color w:val="111111"/>
          <w:sz w:val="28"/>
          <w:sz w:val="28"/>
          <w:szCs w:val="28"/>
          <w:rtl w:val="true"/>
          <w:lang w:bidi="ar-SA"/>
        </w:rPr>
        <w:t>في المقام من أنّ الاستثناء إنّما هو ممّا دلّ على مراد الشارع ظنّا ، لا أنّ الظنّ الحاصل منها مستثنى من مطلق الظنّ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إنّه وجه غير معلوم المبنى بل والمعنى أيضا ، وغاية ما يتعسّف في بيان مرامه هو أنّه طاب ثراه بعد ما قرّر الدليل في كلّ المسائل الجزئية نظرا إلى بطلان الرجوع إلى الأصول فيها من غير حاجة إلى انضمام بعض الوقائع إلى أخر جعل مبنى الإشكال جزئية النتيجة ، فإنّه لا يعقل الاستثناء من الظنون الشخصية الحاصلة في الموارد المستندة إلى أسبابها الخاصّة ، فلهذا قد عدل إلى جعل الاستثناء من الأمارة دون </w:t>
      </w:r>
      <w:r>
        <w:rPr>
          <w:rStyle w:val="FootnoteAnchor"/>
          <w:rtl w:val="true"/>
        </w:rPr>
        <w:footnoteReference w:id="978"/>
      </w:r>
      <w:r>
        <w:rPr>
          <w:rFonts w:ascii="Amiri" w:hAnsi="Amiri" w:eastAsia="Amiri" w:cs="Amiri"/>
          <w:color w:val="111111"/>
          <w:sz w:val="28"/>
          <w:sz w:val="28"/>
          <w:szCs w:val="28"/>
          <w:rtl w:val="true"/>
          <w:lang w:bidi="ar-SA"/>
        </w:rPr>
        <w:t xml:space="preserve">الظنّ الحاصل منها ، فكأنّه يلتزم بأنّ للعقل حكمين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 به الأمارات حجّة ، فيستثنى منها القياس ، ولا ضير فيه لتعدّدها ، فيجوز الاستثناء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يصير الظنون الشخصية الحاصلة في الموارد الشخصية حجّة عند تعارضها للظنون النوعية التي تثبت حجّيتها ، وقد يساعد إلى هذا ما يظهر منه في بعض بياناته لهذا المطلب في ذيل مبحث حجّية الأخبار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ومع ذلك ، فلا يجدي شيئا ؛ لأنّ الدليل الدالّ على اعتبار الأمارة بعد التنزّل عن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عدم دلالة دليل على اعتبار الظنون النوعية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على اعتبارها كلّية على نحو ما قد عرفت الكلام فيها ، فالإشكال باق بحاله ، وإلاّ كأن كان </w:t>
      </w:r>
      <w:r>
        <w:rPr>
          <w:rStyle w:val="FootnoteAnchor"/>
          <w:rtl w:val="true"/>
        </w:rPr>
        <w:footnoteReference w:id="979"/>
      </w:r>
      <w:r>
        <w:rPr>
          <w:rFonts w:ascii="Amiri" w:hAnsi="Amiri" w:eastAsia="Amiri" w:cs="Amiri"/>
          <w:color w:val="111111"/>
          <w:sz w:val="28"/>
          <w:sz w:val="28"/>
          <w:szCs w:val="28"/>
          <w:rtl w:val="true"/>
          <w:lang w:bidi="ar-SA"/>
        </w:rPr>
        <w:t>مهملا ، ودالاّ عليه على سبيل الإجمال ، فيجوز الاستثناء ، والأمر في ذلك بالنسبة إلى كلّ من الظنّ والأمارة سيّان ، فلا وجه للعدول مع بقاء الإشكال بحاله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الأعاظم في التعليقة </w:t>
      </w:r>
      <w:r>
        <w:rPr>
          <w:rStyle w:val="FootnoteAnchor"/>
          <w:rtl w:val="true"/>
        </w:rPr>
        <w:footnoteReference w:id="980"/>
      </w:r>
      <w:r>
        <w:rPr>
          <w:rFonts w:ascii="Amiri" w:hAnsi="Amiri" w:eastAsia="Amiri" w:cs="Amiri"/>
          <w:color w:val="111111"/>
          <w:sz w:val="28"/>
          <w:sz w:val="28"/>
          <w:szCs w:val="28"/>
          <w:rtl w:val="true"/>
          <w:lang w:bidi="ar-SA"/>
        </w:rPr>
        <w:t xml:space="preserve">، وتبعه بعض الأجلّة </w:t>
      </w:r>
      <w:r>
        <w:rPr>
          <w:rStyle w:val="FootnoteAnchor"/>
          <w:rtl w:val="true"/>
        </w:rPr>
        <w:footnoteReference w:id="981"/>
      </w:r>
      <w:r>
        <w:rPr>
          <w:rFonts w:ascii="Amiri" w:hAnsi="Amiri" w:eastAsia="Amiri" w:cs="Amiri"/>
          <w:color w:val="111111"/>
          <w:sz w:val="28"/>
          <w:sz w:val="28"/>
          <w:szCs w:val="28"/>
          <w:rtl w:val="true"/>
          <w:lang w:bidi="ar-SA"/>
        </w:rPr>
        <w:t xml:space="preserve">، وقد يستفاد من مطاوي كلمات الأستاذ الشريف أيضا وهو أنّ حكم العقل بحجّية الظنّ في الأحكام الشرعية أو في الطرق إليها ليس حكما أوّليا واقعيا مطابقا لما اقتضته المصلحة الخاصّة الكامنة في الشيء من غير اندراجه تحت عنوان غير وصفه العنواني الذاتي بل هو حكم ظاهري ثانوي مطابق للمصلحة العامّة من حيث اندراجه تحت عنوان خارج عن وصفه </w:t>
      </w:r>
      <w:r>
        <w:rPr>
          <w:rStyle w:val="FootnoteAnchor"/>
          <w:rtl w:val="true"/>
        </w:rPr>
        <w:footnoteReference w:id="982"/>
      </w:r>
      <w:r>
        <w:rPr>
          <w:rFonts w:ascii="Amiri" w:hAnsi="Amiri" w:eastAsia="Amiri" w:cs="Amiri"/>
          <w:color w:val="111111"/>
          <w:sz w:val="28"/>
          <w:sz w:val="28"/>
          <w:szCs w:val="28"/>
          <w:rtl w:val="true"/>
          <w:lang w:bidi="ar-SA"/>
        </w:rPr>
        <w:t xml:space="preserve">العنواني </w:t>
      </w:r>
      <w:r>
        <w:rPr>
          <w:rStyle w:val="FootnoteAnchor"/>
          <w:rtl w:val="true"/>
        </w:rPr>
        <w:footnoteReference w:id="983"/>
      </w:r>
      <w:r>
        <w:rPr>
          <w:rFonts w:ascii="Amiri" w:hAnsi="Amiri" w:eastAsia="Amiri" w:cs="Amiri"/>
          <w:color w:val="111111"/>
          <w:sz w:val="28"/>
          <w:sz w:val="28"/>
          <w:szCs w:val="28"/>
          <w:rtl w:val="true"/>
          <w:lang w:bidi="ar-SA"/>
        </w:rPr>
        <w:t xml:space="preserve">الذاتي كما في حكم العقل بحجّية البراءة عند إعواز النصوص </w:t>
      </w:r>
      <w:r>
        <w:rPr>
          <w:rStyle w:val="FootnoteAnchor"/>
          <w:rtl w:val="true"/>
        </w:rPr>
        <w:footnoteReference w:id="984"/>
      </w:r>
      <w:r>
        <w:rPr>
          <w:rFonts w:ascii="Amiri" w:hAnsi="Amiri" w:eastAsia="Amiri" w:cs="Amiri"/>
          <w:color w:val="111111"/>
          <w:sz w:val="28"/>
          <w:sz w:val="28"/>
          <w:szCs w:val="28"/>
          <w:rtl w:val="true"/>
          <w:lang w:bidi="ar-SA"/>
        </w:rPr>
        <w:t xml:space="preserve">، فبملاحظة تغيّر العنوان </w:t>
      </w:r>
      <w:r>
        <w:rPr>
          <w:rStyle w:val="FootnoteAnchor"/>
          <w:rtl w:val="true"/>
        </w:rPr>
        <w:footnoteReference w:id="985"/>
      </w:r>
      <w:r>
        <w:rPr>
          <w:rFonts w:ascii="Amiri" w:hAnsi="Amiri" w:eastAsia="Amiri" w:cs="Amiri"/>
          <w:color w:val="111111"/>
          <w:sz w:val="28"/>
          <w:sz w:val="28"/>
          <w:szCs w:val="28"/>
          <w:rtl w:val="true"/>
          <w:lang w:bidi="ar-SA"/>
        </w:rPr>
        <w:t xml:space="preserve">في موضوع حكم العقل يرتفع </w:t>
      </w:r>
      <w:r>
        <w:rPr>
          <w:rStyle w:val="FootnoteAnchor"/>
          <w:rtl w:val="true"/>
        </w:rPr>
        <w:footnoteReference w:id="986"/>
      </w:r>
      <w:r>
        <w:rPr>
          <w:rFonts w:ascii="Amiri" w:hAnsi="Amiri" w:eastAsia="Amiri" w:cs="Amiri"/>
          <w:color w:val="111111"/>
          <w:sz w:val="28"/>
          <w:sz w:val="28"/>
          <w:szCs w:val="28"/>
          <w:rtl w:val="true"/>
          <w:lang w:bidi="ar-SA"/>
        </w:rPr>
        <w:t xml:space="preserve">حكمه بارتفاع </w:t>
      </w:r>
    </w:p>
    <w:p>
      <w:pPr>
        <w:pStyle w:val="BookText"/>
        <w:rPr/>
      </w:pPr>
      <w:r>
        <w:rPr>
          <w:rFonts w:ascii="Amiri" w:hAnsi="Amiri" w:eastAsia="Amiri" w:cs="Amiri"/>
          <w:color w:val="111111"/>
          <w:sz w:val="28"/>
          <w:sz w:val="28"/>
          <w:szCs w:val="28"/>
          <w:rtl w:val="true"/>
          <w:lang w:bidi="ar-SA"/>
        </w:rPr>
        <w:t>موضوعه ، وليس ذلك تخصيصا في حكم العقل في شيء ، فحكم العقل بحجّية الظنّ معلّق على عدم ورود نهي عن العمل ، وبعد كشف الشارع عن حرمته ، فلا موضوع لحكم العقل ، فلا تناقض بين حكمي الشرع والعقل ؛ لاختلاف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المجيب إنّما بنى على الجواب المذكور نظرا منه إلى بعض ما أسلفنا نقله منه في بحث حجّية قطع القطّاع من أنّ حجّية القطع أيضا حكم ظاهري موقوف على عدم ورود منع من الشارع عن العمل به ، وقد تقدّم فساده </w:t>
      </w:r>
      <w:r>
        <w:rPr>
          <w:rStyle w:val="FootnoteAnchor"/>
          <w:rtl w:val="true"/>
        </w:rPr>
        <w:footnoteReference w:id="987"/>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معيار الفرق بين الحكمين وميزان التمييز بين الجهتين هو الرجوع إلى الوجدان ، ونحن كلّما نراجع وجداننا مرّة بعد أولى ، وكرّة بعد أخرى لا نجد منها الحكم على حجّية الظنّ بعد المقدّمات المعهودة إلاّ حكما جعليا واقعيا لا تمازجه حيثية زائدة على حيثية ذاته وجهة نفسه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بشيء يقع تارة على نحو لا تدانيه مخالطة عنوان غير نفسه كما في حكمه بقبح الظلم والعدوان ، وحسن العدل والإحسان ، وأخرى على وجه يلاحظ فيه اعتبار عنوان </w:t>
      </w:r>
      <w:r>
        <w:rPr>
          <w:rStyle w:val="FootnoteAnchor"/>
          <w:rtl w:val="true"/>
        </w:rPr>
        <w:footnoteReference w:id="988"/>
      </w:r>
      <w:r>
        <w:rPr>
          <w:rFonts w:ascii="Amiri" w:hAnsi="Amiri" w:eastAsia="Amiri" w:cs="Amiri"/>
          <w:color w:val="111111"/>
          <w:sz w:val="28"/>
          <w:sz w:val="28"/>
          <w:szCs w:val="28"/>
          <w:rtl w:val="true"/>
          <w:lang w:bidi="ar-SA"/>
        </w:rPr>
        <w:t xml:space="preserve">آخر بحيث لو قطعنا النظر عن انضمام هذا العنوان ، لما كان العقل في إدراكه مستقلاّ كما في الحكم بالبراءة ، فإنّه مع قطع النظر عن كون التتن مجهول الحكم لا حكم للعقل في حلّيته ولا في حرمته ، فبملاحظة اندراجه تحت هذا الموضوع ليستقلّ العقل بإدراك حكمه ، وليس حكم العقل بحجّية الظنّ حين انسداد باب العلم من جهة تحيّر العقل في حكم الظنّ ، فيندرج تحت موضوع آخر معلّق على عدم وورد نهي من الشارع كما يظهر ، ولكن استفسار </w:t>
      </w:r>
      <w:r>
        <w:rPr>
          <w:rStyle w:val="FootnoteAnchor"/>
          <w:rtl w:val="true"/>
        </w:rPr>
        <w:footnoteReference w:id="989"/>
      </w:r>
      <w:r>
        <w:rPr>
          <w:rFonts w:ascii="Amiri" w:hAnsi="Amiri" w:eastAsia="Amiri" w:cs="Amiri"/>
          <w:color w:val="111111"/>
          <w:sz w:val="28"/>
          <w:sz w:val="28"/>
          <w:szCs w:val="28"/>
          <w:rtl w:val="true"/>
          <w:lang w:bidi="ar-SA"/>
        </w:rPr>
        <w:t xml:space="preserve">حال من أراد سلوك سبيل بلدة مع انسداد باب العلم إليها ، فإنّه يأخذ بما يظنّ كونه سبيلا </w:t>
      </w:r>
    </w:p>
    <w:p>
      <w:pPr>
        <w:pStyle w:val="BookText"/>
        <w:rPr/>
      </w:pPr>
      <w:r>
        <w:rPr>
          <w:rFonts w:ascii="Amiri" w:hAnsi="Amiri" w:eastAsia="Amiri" w:cs="Amiri"/>
          <w:color w:val="111111"/>
          <w:sz w:val="28"/>
          <w:sz w:val="28"/>
          <w:szCs w:val="28"/>
          <w:rtl w:val="true"/>
          <w:lang w:bidi="ar-SA"/>
        </w:rPr>
        <w:t>إليها من حيث كشفه عن الواقع مثل ما لو كان السبيل علميا ، فالعقل إنّما يحكم بحجّية الظنّ في حال الجهل بالمظنون لا من حيث إنّ الظنّ مجهول الحكم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فمع قطع النظر عن العنوان الزائد على نفس الظنّ وحيثية كشفه عن الواقع يحكم العقل بحجّيته ، وليس ذلك من الحكم الظاهري في 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ليس ممّن يرى حكم العقل بحجّية العلم حكما ظاهريا أشباه هذه الكلمات بعيدا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990"/>
      </w:r>
      <w:r>
        <w:rPr>
          <w:rFonts w:ascii="Amiri" w:hAnsi="Amiri" w:eastAsia="Amiri" w:cs="Amiri"/>
          <w:color w:val="111111"/>
          <w:sz w:val="28"/>
          <w:sz w:val="28"/>
          <w:szCs w:val="28"/>
          <w:rtl w:val="true"/>
          <w:lang w:bidi="ar-SA"/>
        </w:rPr>
        <w:t>مع الغضّ عن الوجدان ، فهو ممّا ينافيه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إجمالا ، فلأنّ النهي الشرعي الوارد على خلاف ما حكم به العقل ظاهرا لا فرق فيه بين أن يكون علميا أو ظنّيا ينتهي إلى علمي كما اعترف به في مباحث البراءة من تقديمه الأدلّة الظنّية على الأصول العملية ، فعلى هذا لا فرق بين القياس وغيره من أسباب الظنّ سوى ما عرفت من أنّ خروج القياس قطعي وغيره ظنّي ، وظاهر أنّ مجرّد كونه قطعيا وغيره ظنّيا مع انتهائه إلى العلم لا ينهض فرقا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تفصيلا ، فلأنّ الوجوه الناهضة على حجّية الظنّ لا يخلو من أحد المشارب المتقدّمة صراحة وإشارة ، وعلى التقادير لا يعقل خروج القياس في وجه ، ولا وجه لتخصيصه بالخروج في وجه آخر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المستدلّ تارة يبطل الأصول العملية في مواردها بحجّية الظنّ فيها كما </w:t>
      </w:r>
      <w:r>
        <w:rPr>
          <w:rStyle w:val="FootnoteAnchor"/>
          <w:rtl w:val="true"/>
        </w:rPr>
        <w:footnoteReference w:id="991"/>
      </w:r>
      <w:r>
        <w:rPr>
          <w:rFonts w:ascii="Amiri" w:hAnsi="Amiri" w:eastAsia="Amiri" w:cs="Amiri"/>
          <w:color w:val="111111"/>
          <w:sz w:val="28"/>
          <w:sz w:val="28"/>
          <w:szCs w:val="28"/>
          <w:rtl w:val="true"/>
          <w:lang w:bidi="ar-SA"/>
        </w:rPr>
        <w:t>يظهر من بعض العامّة في استنادهم إلى قبح ترجيح المرجوح على الراجح ، واعتمادهم على لزوم دفع الضرر كما حرّر مفصّلا ، وأخرى يحكم ببطلان الأصول في مواردها ، إمّا لعدم جريانها ، أو لعدم اعتبارها بواسطة وجود مانع منه ، ثمّ بعد ذلك يحكم بحجّية الظنّ في مواردها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لا وجه لاعتبار الظنّ إلاّ حيثية رجحانه على غيره ، وهذه جهة تعليلية إن صحّت ففي الكلّ ، وإن بطلت ففيه ، وعلى التنزّل ، فلا فرق بين القياس والشهرة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منهما قطعي الخروج ، فيحكم به بخلاف الثاني ، فإنّه بواسطة العمومات الناهية عن العمل بالظنّ ، ولا عبرة بالعامّ في قبال ما دلّ على اعتبار الظنّ ، وهو إخراج وخروج عن طريقه علمائنا الأعلام ، ومشايخنا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فتارة نقول بجريان الدليل في كلّ المسائل الخاصّة كما هو مذاق المحقّق القمّي ، أو في المجموع كما هو مشرب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لو قلنا بعدم حجّية أصالة البراءة فيما لم تفد ظنّا ، ولا دليل على وجوب الاحتياط شرعا ، ولا وجه للتخصيص إذ لا تعليق في حكم العقل بحجّية الظنّ في المقام ، ولو قلنا بأنّ العمل بالبراءة إنّما هو من جهة التعبّد بها شرعا ، فمرجعه إلى عدم ثبوت التكليف عند عدم العلم به ، وذلك في مورد القياس والشهرة سواء إلاّ بالاقتراح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فإن قلنا بالإهمال في النتيجة ، فلا إشكال كما عرفت ، وإن قلنا بعدمه ، فلا وجه للخروج ، فإنّ رفع اليد من الاحتياط الكلّي في سلسلة الموهومات والاستناد إلى الظنّ ليس إلاّ لوصف </w:t>
      </w:r>
      <w:r>
        <w:rPr>
          <w:rStyle w:val="FootnoteAnchor"/>
          <w:rtl w:val="true"/>
        </w:rPr>
        <w:footnoteReference w:id="992"/>
      </w:r>
      <w:r>
        <w:rPr>
          <w:rFonts w:ascii="Amiri" w:hAnsi="Amiri" w:eastAsia="Amiri" w:cs="Amiri"/>
          <w:color w:val="111111"/>
          <w:sz w:val="28"/>
          <w:sz w:val="28"/>
          <w:szCs w:val="28"/>
          <w:rtl w:val="true"/>
          <w:lang w:bidi="ar-SA"/>
        </w:rPr>
        <w:t>الظنّ الموجود في مورد القياس والشهرة ، وتجويز إخراج أحدهما يوجب خروج الآخر ، ولا تعليق في الحكم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المجيب يستند في الفرق بين القياس وغيره من أسباب الظنّ إلى عدم ورود دليل على المنع في غيره أصلا ، ووروده فيه ، لا إلى العموم والخصوص حتّى يورد عليه بالاقتراح ، فإنّ العمومات الناهية عن العمل بالظنّ بناء على حجّية الظنّ ولو في الجملة ليس باقيا على ما هو الظاهر منها إمّا بتخصيصها بالأصول ، أو بإجمالها في المقام ، أو لعدم انصرافها إليه ، فالعمدة في المقام هو الرجوع إلى الوجدان ، وعدم </w:t>
      </w:r>
    </w:p>
    <w:p>
      <w:pPr>
        <w:pStyle w:val="BookText"/>
        <w:rPr/>
      </w:pPr>
      <w:r>
        <w:rPr>
          <w:rFonts w:ascii="Amiri" w:hAnsi="Amiri" w:eastAsia="Amiri" w:cs="Amiri"/>
          <w:color w:val="111111"/>
          <w:sz w:val="28"/>
          <w:sz w:val="28"/>
          <w:szCs w:val="28"/>
          <w:rtl w:val="true"/>
          <w:lang w:bidi="ar-SA"/>
        </w:rPr>
        <w:t>تعليق في الحكم الحاصل من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أستاذنا المرتضى دام علاه من أنّ حكم العقل بوجوب الأخذ بالظنّ حال الانسداد إنّما هو من حيث إنّ الظنّ أقرب إلى الواقع ، وبعد أنّ الشارع الحكيم العليم بخفايا الأمور قد كشفه عن حاله بتخلّفه عن الواقع بأنّ ما يفسده أكثر ممّا يصلحه ، وبأنّ السنّة إذا قيست محق الدين ، أنّ مناط حكم العقل ليس موجودا في الظنون القياسية وغيرها من أشباهها ، كما يرشدك إلى هذا ملاحظة أحوال العقلاء فيما إذا اعتمدوا على أمارة غير معتبرة واقعا مع تخيّلهم بملازمتها له ، فإنّه بعد ما ظهر لهم الحال من كثرة التخلّف ، فلا يعتدّون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سلّمه اللّه بأنّا وإن سلّمنا كشف الشارع عن حال القياس ، وكثرة تخلّفه عن الواقع إلاّ أنّ ذلك لا يوجب عدم حجّية ظنّه بعد حصوله منه ؛ إذ حكم الشارع لا يزيد </w:t>
      </w:r>
      <w:r>
        <w:rPr>
          <w:rStyle w:val="FootnoteAnchor"/>
          <w:rtl w:val="true"/>
        </w:rPr>
        <w:footnoteReference w:id="993"/>
      </w:r>
      <w:r>
        <w:rPr>
          <w:rFonts w:ascii="Amiri" w:hAnsi="Amiri" w:eastAsia="Amiri" w:cs="Amiri"/>
          <w:color w:val="111111"/>
          <w:sz w:val="28"/>
          <w:sz w:val="28"/>
          <w:szCs w:val="28"/>
          <w:rtl w:val="true"/>
          <w:lang w:bidi="ar-SA"/>
        </w:rPr>
        <w:t>على إفادة عدم مطابقته للواقع نوعا والظانّ يحتمل أن يكون هذه الظنون الحاصلة في موارد الأقيسة من الأفراد النادرة 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كشف الشارع إنّما يتمّ في عدم حصول الظنّ منه على نحو ما يحصل من غيره من الأمارات ، فإنّه أقلّ فائدة من غيره ، لا أنّه لا يحصل منه الظنّ في وقت كما زعمه المحقّق القمّي ، أو بعد حصوله ليس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الظنّ الحاصل من القياس مرجعه إلى الاستقراء غالبا ؛ لأنّ </w:t>
      </w:r>
      <w:r>
        <w:rPr>
          <w:rStyle w:val="FootnoteAnchor"/>
          <w:rtl w:val="true"/>
        </w:rPr>
        <w:footnoteReference w:id="994"/>
      </w:r>
      <w:r>
        <w:rPr>
          <w:rFonts w:ascii="Amiri" w:hAnsi="Amiri" w:eastAsia="Amiri" w:cs="Amiri"/>
          <w:color w:val="111111"/>
          <w:sz w:val="28"/>
          <w:sz w:val="28"/>
          <w:szCs w:val="28"/>
          <w:rtl w:val="true"/>
          <w:lang w:bidi="ar-SA"/>
        </w:rPr>
        <w:t>استنباط الجامع إنّما هو منه غالبا ، وكشف الشارع عن عدم مطابقة هذه الغلبة للواقع نوعا لا ينافي مطابقة غلبة صنفه منها للواقع كما لا يخفى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نظير ما مرّ في حجّية القطع الحاصل من الأدلّة العقلية النظرية في قبال الأخباري ، فإنّ تطرّق الخطأ على ما استندوا إليه لا يوجب عدم الحجّية بعد حصوله ، وقد مرّ ذلك فيما مرّ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الأستاذ أيضا وهو أنّ حكم العقل بحجّية الظنّ بعد الانسداد إنّما هو بواسطة نيل المكلّف بالمصالح الكامنة في الأشياء في موارده من حيث كشفه عن الواقع ، وكونه مرآة لملاحظة حال الواقع ، ولا ريب أنّ ذلك إنّما هو فيما لم يكن في سلوك سبيل الظنّ مفسدة فائقة على مصلحة الواقع ، وأمّا فيما كان فيه مفسدة فائقة عليها وعلمنا بها عقلا أو شرعا ، فلا شكّ في أنّ العقل حينئذ لا يلتزم </w:t>
      </w:r>
      <w:r>
        <w:rPr>
          <w:rStyle w:val="FootnoteAnchor"/>
          <w:rtl w:val="true"/>
        </w:rPr>
        <w:footnoteReference w:id="995"/>
      </w:r>
      <w:r>
        <w:rPr>
          <w:rFonts w:ascii="Amiri" w:hAnsi="Amiri" w:eastAsia="Amiri" w:cs="Amiri"/>
          <w:color w:val="111111"/>
          <w:sz w:val="28"/>
          <w:sz w:val="28"/>
          <w:szCs w:val="28"/>
          <w:rtl w:val="true"/>
          <w:lang w:bidi="ar-SA"/>
        </w:rPr>
        <w:t>به بل يرى وجوب طرحه ، وترك التعويل عليه ، والركون إليه ، ولا تعارض بين الحكمين ، لاختلاف الموضوعين حقيقة عكس ما قلنا في قبال ابن قبة عند انفتاح باب العلم ، فكما أنّه لا قبح في العقول بتجويز سلوك سبيل ذي مفسدة ذاتية للوصول إلى مصلحة فائقة ، فكذلك لا قبح فيها يمنع اتّباع أمارة تفوق مفسدتها على مصلحتها تحرّزا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أخبار القياس التي هي العمدة في المقام هو المنع منه </w:t>
      </w:r>
      <w:r>
        <w:rPr>
          <w:rStyle w:val="FootnoteAnchor"/>
          <w:rtl w:val="true"/>
        </w:rPr>
        <w:footnoteReference w:id="996"/>
      </w:r>
      <w:r>
        <w:rPr>
          <w:rFonts w:ascii="Amiri" w:hAnsi="Amiri" w:eastAsia="Amiri" w:cs="Amiri"/>
          <w:color w:val="111111"/>
          <w:sz w:val="28"/>
          <w:sz w:val="28"/>
          <w:szCs w:val="28"/>
          <w:rtl w:val="true"/>
          <w:lang w:bidi="ar-SA"/>
        </w:rPr>
        <w:t>بواسطة فقد المصلحة الواقعية وعدم الوصول إليها ، وليس فيها من المفسدة الفائقة على المصلحة على ما تقرّر في الجواب عين ولا أثر ، بل لو كان ولا بدّ فيها من المفسدة ، فهو فقدان الواقع ولا دلالة فيها بوجه على أنّه على تقدير الوصول إلى الواقع ، فيعارضه المفسدة الكامنة في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جملة من الأخبار الواردة في هذا المضمار مطلقة يكشف عنها الأخبار المقيّدة المبيّنة لها كما هو غير عزيز في أمثال المقام ، فإن كنت في شكّ ممّا تلونا عليك ، فلاحظ قول الإمام عليه‌السلام دفعا لمقالة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 إنّك قد أخذتني بالقياس ، والسنّة إذا قيست محق الدين ، فإنّ دين اللّه لا يصاب بالعقول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ونحو ذلك ، وذلك ظاهر لا سترة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عرفت من الاحتمال لا يستقلّ في إدراك حكم سائر الأدلّة الظنّية كالشهرة ، لاحتمال وجود المفسدة الفائقة على مصلحة الطريق فيه أيضا ، ولا يستقلّ </w:t>
      </w:r>
    </w:p>
    <w:p>
      <w:pPr>
        <w:pStyle w:val="BookText"/>
        <w:rPr/>
      </w:pPr>
      <w:r>
        <w:rPr>
          <w:rFonts w:ascii="Amiri" w:hAnsi="Amiri" w:eastAsia="Amiri" w:cs="Amiri"/>
          <w:color w:val="111111"/>
          <w:sz w:val="28"/>
          <w:sz w:val="28"/>
          <w:szCs w:val="28"/>
          <w:rtl w:val="true"/>
          <w:lang w:bidi="ar-SA"/>
        </w:rPr>
        <w:t xml:space="preserve">العقل في حكمه ، فإنّ حكمه إنّما هو فيما لو أحرز وجود المقتضي ورفع المانع أيضا ، فمع احتمال وجود المانع لا يلتزم بوجود المقتضى ولو كان عالما بوجود المقتضي ، وأصالة عدم المانع إنّما تجدي </w:t>
      </w:r>
      <w:r>
        <w:rPr>
          <w:rStyle w:val="FootnoteAnchor"/>
          <w:rtl w:val="true"/>
        </w:rPr>
        <w:footnoteReference w:id="998"/>
      </w:r>
      <w:r>
        <w:rPr>
          <w:rFonts w:ascii="Amiri" w:hAnsi="Amiri" w:eastAsia="Amiri" w:cs="Amiri"/>
          <w:color w:val="111111"/>
          <w:sz w:val="28"/>
          <w:sz w:val="28"/>
          <w:szCs w:val="28"/>
          <w:rtl w:val="true"/>
          <w:lang w:bidi="ar-SA"/>
        </w:rPr>
        <w:t>في الأحكام الظاهرية لا الأحكام الواقعية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للشيء حكم في نفسه وباعتبار لحوق عنوان آخر به وطريانه عليه حكم آخر ، فما لم يعلم بطريان الآخر ، وحدوث العنوان اللاحق يلتزم العقل بالأوّل ، ويحكم بترتيب آثار الأوّل ، ومجرّد احتمال الآخر لا يضرّ في حكمه كما يشاهد ذلك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الكذب في حدّ ذاته ، والظلم أيضا كذلك ما لم يلحق بالأوّل إنجاء نبيّ ، وبالثاني تأديب يتيم ، فلو علمنا بلحوق العنوان اللاحق ، فلا كلام ، ولو لم نعلم به ، يحكم العقل بالقبح فيهما قطعا من غير تردّد وتزلزل ، ففيما نحن بصدده أيضا كذلك ، فإنّ للعقل بعد انسداد باب العلم حكما بوجوب العمل بالظنّ فيما لم نعلم </w:t>
      </w:r>
      <w:r>
        <w:rPr>
          <w:rStyle w:val="FootnoteAnchor"/>
          <w:rtl w:val="true"/>
        </w:rPr>
        <w:footnoteReference w:id="999"/>
      </w:r>
      <w:r>
        <w:rPr>
          <w:rFonts w:ascii="Amiri" w:hAnsi="Amiri" w:eastAsia="Amiri" w:cs="Amiri"/>
          <w:color w:val="111111"/>
          <w:sz w:val="28"/>
          <w:sz w:val="28"/>
          <w:szCs w:val="28"/>
          <w:rtl w:val="true"/>
          <w:lang w:bidi="ar-SA"/>
        </w:rPr>
        <w:t>بلحوق عنوان آخر به ، بخلاف ما إذا علمنا بلحوق العنوان ، فإنّه لا حكم للعقل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 ، لوضوح الفرق بين المقيس والمقيس عليه ؛ حيث إنّ الحكم في مسألة التأديب والإنجاء إنّما هو على القصد فيهما ، فما لم يعلم بوجود العنوان المسوّغ ولحوقه ، يحكم العقل بحرمته ؛ لعدم تحقّق القصد ، وما يرى من التحسين فيما إذا ترتّب على الفعل العنوان اللاحق من غير قصد ، فهو إنّما يتعلّق بنفس الفعل ، ولا مدخل للفاعل فيه بناء على ما هو الظاهر من اختلاف حكمي الفعل والفاعل بخلاف مثل الظنّ ، فإنّ وجود المفسدة في الواقع من غير تعلّق بشيء آخر يعارض المصلحة التي لأجلها حكم العقل باعتباره ، فمتى احتمل وجود المفسدة لا بدّ من إحراز عدمها في الحكم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جهل الكاذب والظالم بعنوان الإنجاء والتأديب يوجب عدم القصد بهما ، ومع عدم القصد لا يتّصف الفعل من حيث استناده إلى الفاعل وإن اتّصف به مع </w:t>
      </w:r>
    </w:p>
    <w:p>
      <w:pPr>
        <w:pStyle w:val="BookText"/>
        <w:rPr/>
      </w:pPr>
      <w:r>
        <w:rPr>
          <w:rFonts w:ascii="Amiri" w:hAnsi="Amiri" w:eastAsia="Amiri" w:cs="Amiri"/>
          <w:color w:val="111111"/>
          <w:sz w:val="28"/>
          <w:sz w:val="28"/>
          <w:szCs w:val="28"/>
          <w:rtl w:val="true"/>
          <w:lang w:bidi="ar-SA"/>
        </w:rPr>
        <w:t>قطع النظر عنه ، وهو من هذه الجهة لا يتّصف بالحرمة أيضا ، وإنّما الفعل من حيث صدوره عن الفاعل حرام كما لا يخفى ، فحكم العقل بالحرمة والالتزام بها فيما لم يعلم لحوق العنوان الآخر لا يقضي بحكمه فيما ليس كذلك بل التحقيق فيه أنّ العقل لا يلتزم بوجود المعلول إلاّ بعد إحراز جميع أجزاء علّته التامّة من وجود المقتضي ورفع المانع ، واحتمال وجود المانع لا يجامع العلم بوجود المعلول ، فإنّ الاحتمال 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لو كان الدليل لفظيا مجرّد الاحتمال مع ظهوره في غيره غير مضرّ من حيث قيام الدليل على اعتبار الظواهر في الألفاظ ، فكأنّه لا احتمال في البين لأنّ </w:t>
      </w:r>
      <w:r>
        <w:rPr>
          <w:rStyle w:val="FootnoteAnchor"/>
          <w:rtl w:val="true"/>
        </w:rPr>
        <w:footnoteReference w:id="1000"/>
      </w:r>
      <w:r>
        <w:rPr>
          <w:rFonts w:ascii="Amiri" w:hAnsi="Amiri" w:eastAsia="Amiri" w:cs="Amiri"/>
          <w:color w:val="111111"/>
          <w:sz w:val="28"/>
          <w:sz w:val="28"/>
          <w:szCs w:val="28"/>
          <w:rtl w:val="true"/>
          <w:lang w:bidi="ar-SA"/>
        </w:rPr>
        <w:t>الاحتمال من حيث نفسه لا يضرّ بالاستدلال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الإشكال بتخصيص في الدعوى من إجراء الدليل في الظنون المشكوكة لا المعلومة حجّيتها وعدمها ، وليس ذلك إلاّ مثل ما يقال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يتشبّث بكلّ 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خصوص الدعوى لا يجدي في عموم الدليل الذي هو منشأ الإشكال ، وليت شعري كيف يمكن إخراج القياس مع فرض حكومة العقل حكما واقعيا من غير ملاحظة جهل في حكم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أنّهم اتّفقوا على عدم تعقّل خروج فرد من أفراد العلم عن الحكم باعتباره لا عقلا ولا شرعا ، مع أنّ الظنّ بعد الانسداد مثل العلم كشفا وحكما ، فلو أمكن خروج فرد منه ، أمكن خروج فرد من الظنّ أيضا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قلنا بأنّ العقل يحكم به حكما ظاهريا ، اتّجه القول بالخروج من غير إشكال إلاّ أنّ الكلام فيه كما عرفت ، ولعلّ ثالث الوجوه التي أورده المحقّق القمّي في مقام الدفع ، وثاني الوجهين اللذين أفادهما الأستاد يرجع في محصّل المعنى إلى الوجه المنقول عن التعليقة والفصول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Style w:val="FootnoteAnchor"/>
          <w:rtl w:val="true"/>
        </w:rPr>
        <w:footnoteReference w:id="1001"/>
      </w:r>
      <w:r>
        <w:rPr>
          <w:rFonts w:ascii="Amiri" w:hAnsi="Amiri" w:eastAsia="Amiri" w:cs="Amiri"/>
          <w:color w:val="111111"/>
          <w:sz w:val="28"/>
          <w:sz w:val="28"/>
          <w:szCs w:val="28"/>
          <w:rtl w:val="true"/>
          <w:lang w:bidi="ar-SA"/>
        </w:rPr>
        <w:t xml:space="preserve">في تشخيص الخارج من الظنّين عند تدافعهما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بعضهم تقديم الظنّ المانع على الممنوع ناظرا إلى أنّ خروج الممنوع حينئذ خروج موضوعي لا يوجب تخصيص العامّ العقلي بخلاف خروج المانع ، وقد عرفت فيما سبق ما فيه من الضعف والفساد ، وبيّنّا ما هو أقرب إلى السداد من أنّ الخروج في كليهما موضوعي ، وقد يحتمل تقديم الممنوع ؛ لأنّ المانع من وجوده يلزمه عدمه وهو ليس بسبب لبطلان الممنوع منه أيضا كما لا يخفى ، وقد يحتمل التساقط فيهما وهو أيضا قول بلا دليل ، والأقوى هو الرجوع إلى أقوى الظنّين ممنوعا أو مانعا ؛ لأقربيته إلى الواقع الذي هو المناط في الحكم بحجّية الظنّ ، وقد تقدّم جملة الكلام فيه عند بيان وجوه الترجيح ، فراجعه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 الأمور التي ينبغي التنبيه عليها هو أنّ الظنّ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المستنبطة منها الأحكام الكلّية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بعد القول بحجّية مطلق الظنّ فيها سواء كان في تعيين الظواهر كالتبادر الظنّي والشهرة على وضع اللفظ لمعنى و </w:t>
      </w:r>
      <w:r>
        <w:rPr>
          <w:rStyle w:val="FootnoteAnchor"/>
          <w:rtl w:val="true"/>
        </w:rPr>
        <w:footnoteReference w:id="1002"/>
      </w:r>
      <w:r>
        <w:rPr>
          <w:rFonts w:ascii="Amiri" w:hAnsi="Amiri" w:eastAsia="Amiri" w:cs="Amiri"/>
          <w:color w:val="111111"/>
          <w:sz w:val="28"/>
          <w:sz w:val="28"/>
          <w:szCs w:val="28"/>
          <w:rtl w:val="true"/>
          <w:lang w:bidi="ar-SA"/>
        </w:rPr>
        <w:t xml:space="preserve">الإجماع المنقول عليه ، أو تعيين المراد منها لقاعدة الاستلزام مع عدم تخصيص ظنّ بالحجّية ، فلا فرق في ذلك بين كون الأمارة قائمة على نفس الحكم الكلّي الفرعي ، أو على ما يستنبط منها ، فإنّ بعد ما علمنا ظهور الأمر الوارد عقيب الحظر في الإباحة ، أو علمنا بظهور الصعيد في مطلق وجه الأرض استنادا إلى نقل قول منهم ، أو شهرة قائمة عليه ، أو أمارة ظنّية كالغلبة والاطّراد مثلا يظنّ بأنّ الحكم الكلّي في التيمّم هو جواز التيمّم بمطلق وجه الأرض وإباحة الاصطياد بعد التحليل ، ولا فرق في ذلك بين كون الظاهر معنى حقيقيا للّفظ كما عرفت ، أو معنى مجازيا ظهورا ومرادا فيه كالشهرة القائمة على أنّ المجاز المشهور ظاهر في المعنى المجازي ، أو اللغوي مثلا ، أو المراد منه بواسطة أمارة ظنّية هو أحدهما بالخصوص ، وكلّ ذلك للاستلزام إلاّ أنّه ينبغي أن يعلم أنّ الاستلزام </w:t>
      </w:r>
    </w:p>
    <w:p>
      <w:pPr>
        <w:pStyle w:val="BookText"/>
        <w:rPr/>
      </w:pPr>
      <w:r>
        <w:rPr>
          <w:rFonts w:ascii="Amiri" w:hAnsi="Amiri" w:eastAsia="Amiri" w:cs="Amiri"/>
          <w:color w:val="111111"/>
          <w:sz w:val="28"/>
          <w:sz w:val="28"/>
          <w:szCs w:val="28"/>
          <w:rtl w:val="true"/>
          <w:lang w:bidi="ar-SA"/>
        </w:rPr>
        <w:t xml:space="preserve">إنّما هو ملاحظ بالنسبة إلى ذلك الظاهر من حيث نفسه وإن لم يكن الحكم الكلّي مظنونا لجهة أخرى مثل إعمال أصل تعبّدي كأصالة الحقيقة وأصالة عدم القرينة ونحوها ، مثلا لو ظنّنا بأنّ الصعيد موضوع للتراب الخالص للإجماع المنقول عليه ، نظنّ بعدم جواز التيمم بغيره لو لم يكن هناك أصل آخر يوجب إعماله رفع الظنّ كأصالة عدم التخصيص مثلا ، فالاستلزام بحاله سواء استلزم الظنّ بها الظنّ بالحكم الكلّي الفرعي فعلا ، أو لم يستلزم فعلا ، وإنّما استلزمه شأنا ، ولا ينافي القول بحجّية الظنّ في المسائل اللغوية ظهورا ومرادا ما تقدّم في تعداد </w:t>
      </w:r>
      <w:r>
        <w:rPr>
          <w:rStyle w:val="FootnoteAnchor"/>
          <w:rtl w:val="true"/>
        </w:rPr>
        <w:footnoteReference w:id="1003"/>
      </w:r>
      <w:r>
        <w:rPr>
          <w:rFonts w:ascii="Amiri" w:hAnsi="Amiri" w:eastAsia="Amiri" w:cs="Amiri"/>
          <w:color w:val="111111"/>
          <w:sz w:val="28"/>
          <w:sz w:val="28"/>
          <w:szCs w:val="28"/>
          <w:rtl w:val="true"/>
          <w:lang w:bidi="ar-SA"/>
        </w:rPr>
        <w:t xml:space="preserve">المستثنيات من الأصل الكلّي الأوّلي ، فإنّ عدم الحجّية </w:t>
      </w:r>
      <w:r>
        <w:rPr>
          <w:rStyle w:val="FootnoteAnchor"/>
          <w:rtl w:val="true"/>
        </w:rPr>
        <w:footnoteReference w:id="1004"/>
      </w:r>
      <w:r>
        <w:rPr>
          <w:rFonts w:ascii="Amiri" w:hAnsi="Amiri" w:eastAsia="Amiri" w:cs="Amiri"/>
          <w:color w:val="111111"/>
          <w:sz w:val="28"/>
          <w:sz w:val="28"/>
          <w:szCs w:val="28"/>
          <w:rtl w:val="true"/>
          <w:lang w:bidi="ar-SA"/>
        </w:rPr>
        <w:t xml:space="preserve">هناك مبنيّ على القول بالظنون الخاصّة ، والحجّية هاهنا </w:t>
      </w:r>
      <w:r>
        <w:rPr>
          <w:rStyle w:val="FootnoteAnchor"/>
          <w:rtl w:val="true"/>
        </w:rPr>
        <w:footnoteReference w:id="1005"/>
      </w:r>
      <w:r>
        <w:rPr>
          <w:rFonts w:ascii="Amiri" w:hAnsi="Amiri" w:eastAsia="Amiri" w:cs="Amiri"/>
          <w:color w:val="111111"/>
          <w:sz w:val="28"/>
          <w:sz w:val="28"/>
          <w:szCs w:val="28"/>
          <w:rtl w:val="true"/>
          <w:lang w:bidi="ar-SA"/>
        </w:rPr>
        <w:t>مبنيّة على القول بحجّية مطلق الظنّ ، ولا يذهب عليك أنّ اعتبار الظنّ في الدلالات إنّما يتأتّى بعد دعوى إجمال العمومات الواردة في الأخبار بواسطة وجود العلم الإجمالي كثيرا لورود مخصّصات كثيرة كما في العمومات الكنائية وإطلاقاتها والأخبار المتواترة على ما قرّر في محلّه ، وإلاّ فمجرّد عدم جواز الرجوع إلى الأصول العملية من البراءة وما يشابهما لا يسوّغ طرح الأصول اللفظية في قبال الظنون الراجعة إلى الدلالة كما هو غير خفيّ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ممّا ينبغي التنبيه عليه أنّه قد يظهر من بعضهم حجّية الظنّ في الموضوعات التي لا دخل للأحكام الشرعية فيها مطلقا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الثاني حاكيا عن أبي الصلاح على 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النجاسة بكلّ ظنّ ؛ لأنّ الظنّ مناط الشرعيّات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إلى المحقّق القمّي أيضا ، والمشهور عدم حجّية الظنّ فيها وهو المنصور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حرمة العمل بما وراء العلم مطلقا مع عدم ما يقضي بخلافها ، فإنّ الأدلّة القاضية بجواز الرجوع إلى الظنّ قد عرفت سابقا أوّلها </w:t>
      </w:r>
    </w:p>
    <w:p>
      <w:pPr>
        <w:pStyle w:val="BookText"/>
        <w:rPr/>
      </w:pPr>
      <w:r>
        <w:rPr>
          <w:rFonts w:ascii="Amiri" w:hAnsi="Amiri" w:eastAsia="Amiri" w:cs="Amiri"/>
          <w:color w:val="111111"/>
          <w:sz w:val="28"/>
          <w:sz w:val="28"/>
          <w:szCs w:val="28"/>
          <w:rtl w:val="true"/>
          <w:lang w:bidi="ar-SA"/>
        </w:rPr>
        <w:t xml:space="preserve">جميعا إلى برهان الانسداد من قاعدة دفع الضرر وغيرها كما حرّر مستوفى ، والانسداد غير جار فيما نحن بصدده ، لأنّ المناط فيه هو الانسداد الأغلبي ، وحيث إنّ الجزئيات الخارجة تختلف بحسب الموارد علما وجهلا ، وبالنسبة إلى الأشخاص المختلفة ، أو بالنسبة إلى شخص واحد في زمانين ، فلا ضابط في البين ، فلا يتوجّه القول بالانسداد فيها غالبا بل ونحن بعد ملاحظة حالات الأوائل نحكم بعدم الاختلاف بيننا وبينهم فيما نحن بصدده ، فإنّ القبلة كما قد تصير معلومة بواسطة وجود ما تقتضيه من الأمارات الدالّة عليها ، كذلك قد تصير مجهولة بواسطة فقدها ، ولا فرق في ذلك بين الأزمنة حتّى أنّ معاصري الأئمّة عليهم‌السلام قد يعلمون بالموضوعات التي علّقت عليها الأحكام الشرعية ، وقد لا يعلمون ، فالانسداد غالبا فيها </w:t>
      </w:r>
      <w:r>
        <w:rPr>
          <w:rStyle w:val="FootnoteAnchor"/>
          <w:rtl w:val="true"/>
        </w:rPr>
        <w:footnoteReference w:id="1007"/>
      </w:r>
      <w:r>
        <w:rPr>
          <w:rFonts w:ascii="Amiri" w:hAnsi="Amiri" w:eastAsia="Amiri" w:cs="Amiri"/>
          <w:color w:val="111111"/>
          <w:sz w:val="28"/>
          <w:sz w:val="28"/>
          <w:szCs w:val="28"/>
          <w:rtl w:val="true"/>
          <w:lang w:bidi="ar-SA"/>
        </w:rPr>
        <w:t>غير مسلّم ، فكيف بالأغلب ، والانسداد في غيره غير مسوّغ للعمل بالظنّ إلاّ بعد القول بعدم حجّية الأصول فيما لم يفد الظنّ في الموضوعات ، ولم نقف على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العمل بالظنّ فيها قد يوجب المخالفة القطعية ، فلا يجوز الرجوع إلى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بطلان اللازم مطلقا ، نعم فيما لو كان من الشبهة المحصورة على حذو ما فصّلنا سابقا لا يجوز العمل بالأصل ، ويجب الرجوع إلى غيره ، ولا فرق في ذلك بين الظنّ والشكّ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كفاية الظنّ بتفريغ الذمّة بعد العلم باشتغالها ، فكما أنّ إعمال الظنّ في نفس الأحكام يوجب الظنّ بفراغ الذمّة ، فكذلك إعمال الظنّ في موضوعات تلك الأحكام يوجب الظنّ بالتفريغ مثلا كما أنّ الظنّ بوجوب السورة في الصلاة يوجب الظنّ بفراغ الذمّة عن التكليف واقعا بعد قراءتها ، فكذا الظنّ بأنّ السورة الواجبة هي السورة الفلانية يوجب الفراغ ولو ظنّا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كفاية الظنّ بالفراغ مطلقا ، فإنّ الضرورة تتقدّر </w:t>
      </w:r>
      <w:r>
        <w:rPr>
          <w:rStyle w:val="FootnoteAnchor"/>
          <w:rtl w:val="true"/>
        </w:rPr>
        <w:footnoteReference w:id="1008"/>
      </w:r>
      <w:r>
        <w:rPr>
          <w:rFonts w:ascii="Amiri" w:hAnsi="Amiri" w:eastAsia="Amiri" w:cs="Amiri"/>
          <w:color w:val="111111"/>
          <w:sz w:val="28"/>
          <w:sz w:val="28"/>
          <w:szCs w:val="28"/>
          <w:rtl w:val="true"/>
          <w:lang w:bidi="ar-SA"/>
        </w:rPr>
        <w:t xml:space="preserve">بقدرها ، وما لا يدرك كلّه لا يترك كلّه ، وكفاية الظنّ في الأحكام الشرعية لا تقضي </w:t>
      </w:r>
      <w:r>
        <w:rPr>
          <w:rStyle w:val="FootnoteAnchor"/>
          <w:rtl w:val="true"/>
        </w:rPr>
        <w:footnoteReference w:id="1009"/>
      </w:r>
      <w:r>
        <w:rPr>
          <w:rFonts w:ascii="Amiri" w:hAnsi="Amiri" w:eastAsia="Amiri" w:cs="Amiri"/>
          <w:color w:val="111111"/>
          <w:sz w:val="28"/>
          <w:sz w:val="28"/>
          <w:szCs w:val="28"/>
          <w:rtl w:val="true"/>
          <w:lang w:bidi="ar-SA"/>
        </w:rPr>
        <w:t>بكفاية الظنّ في موضوعاتها بعد إمكان الرجوع إلى العلم فيها وعدم إمكانه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يجوز الرجوع إلى الظنّ في الموضوعات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أمور خاصّة يجوز الرجوع فيها إلى الظنّ إمّا بواسطة أنّ الظنّ فيها يستلزم الظنّ في الحكم الكلّي </w:t>
      </w:r>
      <w:r>
        <w:rPr>
          <w:rStyle w:val="FootnoteAnchor"/>
          <w:rtl w:val="true"/>
        </w:rPr>
        <w:footnoteReference w:id="1010"/>
      </w:r>
      <w:r>
        <w:rPr>
          <w:rFonts w:ascii="Amiri" w:hAnsi="Amiri" w:eastAsia="Amiri" w:cs="Amiri"/>
          <w:color w:val="111111"/>
          <w:sz w:val="28"/>
          <w:sz w:val="28"/>
          <w:szCs w:val="28"/>
          <w:rtl w:val="true"/>
          <w:lang w:bidi="ar-SA"/>
        </w:rPr>
        <w:t xml:space="preserve">الفرعي الإلهي ، وإمّا لأنّ المناط موجود فيهما </w:t>
      </w:r>
      <w:r>
        <w:rPr>
          <w:rStyle w:val="FootnoteAnchor"/>
          <w:rtl w:val="true"/>
        </w:rPr>
        <w:footnoteReference w:id="1011"/>
      </w:r>
      <w:r>
        <w:rPr>
          <w:rFonts w:ascii="Amiri" w:hAnsi="Amiri" w:eastAsia="Amiri" w:cs="Amiri"/>
          <w:color w:val="111111"/>
          <w:sz w:val="28"/>
          <w:sz w:val="28"/>
          <w:szCs w:val="28"/>
          <w:rtl w:val="true"/>
          <w:lang w:bidi="ar-SA"/>
        </w:rPr>
        <w:t>من الانسداد الأغلبي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كالظنون الرجالية سواء كانت متعلّقة بالوصف كما إذا حصل الظنّ بعدالة إبراهيم بن هاشم مثلا ، أو بالموصوف كما في غير المشتركات ، فإنّه لو حصل الظنّ بأنّ زرارة الواقع في سند الحديث الدالّ على وجوب السورة مثلا هو زرارة بن أعين يحصل الظنّ بوجوب السورة ، وحيث إنّه لا فرق في أسباب الظنّ ، فيجب الأخذ به كما سبق ، بل قد يقال بحجّية الظنون التي لم تستند إلى قول رجالي أيضا كالظنّ بأنّ الراوي لعلوّ مرتبته وارتفاع شأنه لا يسأل عن غير الإمام في المضمرات ونحوها كما في المقاطيع والمراسيل ، فكلّما يستلزم الظنّ به الظنّ بالحكم الشرعي يجوز التمسّك بالظنّ فيه على القول بالظنون المطلقة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أرباب الظنون الخاصّة ، فليس لهم العمل بالظنّ في مباحث الرجال أيضا بل لأنّه من البناء على العلم في تعيين الوصف والموصوف ، أو على البيّنة ، وما قد يتوهّم في المقام من دعوى الإجماع على حجّية مطلق الظنّ في مباحث الرجال ، فواضح الضعف والسقوط بعد ملاحظة تشتّت مشارب كلّ العلماء في تعيين الأدلّة ، واختلافهم في تمييز الأحاديث ، فهذا صاحب المعالم </w:t>
      </w:r>
      <w:r>
        <w:rPr>
          <w:rStyle w:val="FootnoteAnchor"/>
          <w:rtl w:val="true"/>
        </w:rPr>
        <w:footnoteReference w:id="1012"/>
      </w:r>
      <w:r>
        <w:rPr>
          <w:rFonts w:ascii="Amiri" w:hAnsi="Amiri" w:eastAsia="Amiri" w:cs="Amiri"/>
          <w:color w:val="111111"/>
          <w:sz w:val="28"/>
          <w:sz w:val="28"/>
          <w:szCs w:val="28"/>
          <w:rtl w:val="true"/>
          <w:lang w:bidi="ar-SA"/>
        </w:rPr>
        <w:t xml:space="preserve">يترنّم بقول ليت في منزوحات البئر بعد ظهور </w:t>
      </w:r>
    </w:p>
    <w:p>
      <w:pPr>
        <w:pStyle w:val="BookText"/>
        <w:rPr/>
      </w:pPr>
      <w:r>
        <w:rPr>
          <w:rFonts w:ascii="Amiri" w:hAnsi="Amiri" w:eastAsia="Amiri" w:cs="Amiri"/>
          <w:color w:val="111111"/>
          <w:sz w:val="28"/>
          <w:sz w:val="28"/>
          <w:szCs w:val="28"/>
          <w:rtl w:val="true"/>
          <w:lang w:bidi="ar-SA"/>
        </w:rPr>
        <w:t xml:space="preserve">دلالته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صحيحة من جهة وقوع إبراهيم بن هاشم في سندها مع أنّ الرجل أوّل من نشر أحاديث الكوفيين بقمّ ، وحصول الظنّ بوثاقته منه ظاهر لا يقبل الإنكار ، ألا ترى أنّهم لا يعتمدون كثيرا على ما يراه بعض أهل الرجال كابن عقدة مع إفادة الظنّ من حيث إنّه من أهل الخبرة بهم ، ويظهر ذلك عند تأمّلهم فيما رواه حسن بن علي بن فضّال الفطحي مع كونه من الموثّقين إلى غير ذلك ممّا لا يخفى على المتدرّب بكلماتهم في مواردها ، فقاعدة الاستلزام إنّما تتمّ على مذاق أرباب الظنون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أرباب الظنون الخاصّة ، فلا تتمّ على مذاقهم كيف؟ والقول بذلك يرجع إلى القول بحجّية مطلق الظنّ والمفروض خلافه ، فإنّ الدليل الدالّ على حجّية خبر العادل إنّما يقضي بحجّية هذا المفهوم الكلّي وهو غير معمول في الفقه ، وإنّما المعتمد فيه جزئياته ومصاديقه مع أنّها مشخّصة بالظنون المطلقة فمناط العمل في الحقيقة هو الظنّ المطلق ، وذلك هدم لما قرّروه من بطلان العمل بالظنّ المطلق ، فاللازم على هذا التقدير تحصيل العلم ، أو البيّنة ، أو ما يطمئنّ به النفس كما يظهر منهم الركون إليه في نفس الأحكام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الرجوع إلى الظنّ المطلق في الرجال وصفا وموصوفا بناء على ما هو التحقيق عندنا من حجّية الأخبار الموثوق بها فإنّه محقّق للموضوع ، ومحصّل للوثوق الذي هو المناط في الحجّية ، ولا ضير فيه كما لا يخفى ، ولا ينافي ذلك حجّية الخبر من جهة الظنون الخاصّة ، لأنّ مصاديقه وجدانية ، فتحصل بتحصيل الظنّ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يجب العلم بتحقّق المصداق وحصول الوصف العنواني فيه ، فعلى مذاق القوم يجب تحصيل العلم بالعدالة ، وعلى ما نراه يجب تحصيل الوثوق ، وبالرجوع إلى أسباب الظنّ من الأمارات يحصل الوثوق قطعا ، ويحصل العدالة ظنّا ، ولا دليل على كفايته نظير عدم جواز الوضوء بماء ظنّ إطلاقه ، فإنّه يجب التيمّم ولا يجوز التوضّؤ </w:t>
      </w:r>
    </w:p>
    <w:p>
      <w:pPr>
        <w:pStyle w:val="BookText"/>
        <w:rPr/>
      </w:pPr>
      <w:r>
        <w:rPr>
          <w:rFonts w:ascii="Amiri" w:hAnsi="Amiri" w:eastAsia="Amiri" w:cs="Amiri"/>
          <w:color w:val="111111"/>
          <w:sz w:val="28"/>
          <w:sz w:val="28"/>
          <w:szCs w:val="28"/>
          <w:rtl w:val="true"/>
          <w:lang w:bidi="ar-SA"/>
        </w:rPr>
        <w:t>به ، فالقائل بحجّية خبر العدل بعد عدم إمكان إحراز العدالة بالعلم يجب له الرجوع إلى الأصول على حسب اختلاف الموارد فيها ، وذلك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الموارد التي لو لم يعمل فيها بالظنّ يلزم إبطال الحقوق وتعطيل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العدالة على القول بكونها ملكة راسخة نفسانية ، فإنّ العلم بها في غاية الصعوبة بحيث لو لم يستند فيها إليه ، لما قام أمور المسلمين في معاشهم ومعادهم ، فإنّ مبنى الشريعة في الغالب على العدالة كما في الشهادة والحكم والفتوى والوصاية والتولية والطلاق والجماعة والجمعة ونحوها ، فالعلم بتحقّقها غير ممكن غالبا ، والاحتياط حرج أكيد ، وعسر شديد ، والرجوع إلى الأصول بعد العلم الإجمالي بخلافها غير سديد ، والتوقّف في مواردها غير مفيد ، فتعيّن العمل بالظنّ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الضرر ، فإنّ العلم به غالبا لا يحصل إلاّ بعد الوقوع فيه ، وذلك خلاف ما قد بني عليه الشريعة السمحة السهلة ، والاحتياط بعد تصويره مدفوع بما مرّ مرارا ، والاستناد إلى الأصول يوجب اختلال سوق المسلمين كما هو واضح ، فيجب الرجوع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كشف اللثام </w:t>
      </w:r>
      <w:r>
        <w:rPr>
          <w:rStyle w:val="FootnoteAnchor"/>
          <w:rtl w:val="true"/>
        </w:rPr>
        <w:footnoteReference w:id="1013"/>
      </w:r>
      <w:r>
        <w:rPr>
          <w:rFonts w:ascii="Amiri" w:hAnsi="Amiri" w:eastAsia="Amiri" w:cs="Amiri"/>
          <w:color w:val="111111"/>
          <w:sz w:val="28"/>
          <w:sz w:val="28"/>
          <w:szCs w:val="28"/>
          <w:rtl w:val="true"/>
          <w:lang w:bidi="ar-SA"/>
        </w:rPr>
        <w:t>ومن تأخّر عنه أنّ المناط في الضرر هو مجرّد الخوف نظرا إلى بعض الأخبار الدالّة صريحا على اعتبار الخوف موضوعا آخر غير الضرر ، والظاهر منها أنّ الخوف ليس موضوعا آخر بل هو طريق للضرر لئلاّ يلغو الخبر الدالّ صريحا على أنّ الخبر موضوع ،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فكلّ مورد يجري فيه برهان الانسداد ، أو يستلزم الظنّ به الظنّ بالحكم الكلّي الفرعي من الموضوعات الصرفة يحكم بحجّية الظنّ فيه بخلاف غيره ، فإنّ الأصل حرمة العمل بما وراء العلم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أنّه كلّما تعارض الأصل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أصالة الطهارة وظهور </w:t>
      </w:r>
    </w:p>
    <w:p>
      <w:pPr>
        <w:pStyle w:val="BookText"/>
        <w:rPr/>
      </w:pPr>
      <w:r>
        <w:rPr>
          <w:rFonts w:ascii="Amiri" w:hAnsi="Amiri" w:eastAsia="Amiri" w:cs="Amiri"/>
          <w:color w:val="111111"/>
          <w:sz w:val="28"/>
          <w:sz w:val="28"/>
          <w:szCs w:val="28"/>
          <w:rtl w:val="true"/>
          <w:lang w:bidi="ar-SA"/>
        </w:rPr>
        <w:t xml:space="preserve">النجاسة في غسالة الحمّام وطين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فالمناط هو الأصل ، ولا عبرة بالظنّ مطلقا ، وهذا هو العنوان المذكور في كلماتهم من تعارض الأصل والظاهر ، فإنّ الظاهر في الأحكام والألفاظ حجّة كما صرّح السلطان بذلك في حاشية المعالم </w:t>
      </w:r>
      <w:r>
        <w:rPr>
          <w:rStyle w:val="FootnoteAnchor"/>
          <w:rtl w:val="true"/>
        </w:rPr>
        <w:footnoteReference w:id="1014"/>
      </w:r>
      <w:r>
        <w:rPr>
          <w:rFonts w:ascii="Amiri" w:hAnsi="Amiri" w:eastAsia="Amiri" w:cs="Amiri"/>
          <w:color w:val="111111"/>
          <w:sz w:val="28"/>
          <w:sz w:val="28"/>
          <w:szCs w:val="28"/>
          <w:rtl w:val="true"/>
          <w:lang w:bidi="ar-SA"/>
        </w:rPr>
        <w:t>، به يرتفع موضوع الأصل على القول بحجّيتها ، فلا يقاومه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يرى في تقديم الظاهر على الأصل في بعض المقامات </w:t>
      </w:r>
      <w:r>
        <w:rPr>
          <w:rStyle w:val="FootnoteAnchor"/>
          <w:rtl w:val="true"/>
        </w:rPr>
        <w:footnoteReference w:id="1015"/>
      </w:r>
      <w:r>
        <w:rPr>
          <w:rFonts w:ascii="Amiri" w:hAnsi="Amiri" w:eastAsia="Amiri" w:cs="Amiri"/>
          <w:color w:val="111111"/>
          <w:sz w:val="28"/>
          <w:sz w:val="28"/>
          <w:szCs w:val="28"/>
          <w:rtl w:val="true"/>
          <w:lang w:bidi="ar-SA"/>
        </w:rPr>
        <w:t xml:space="preserve">، فإنّما هو لدلالة دليل عليه من إجماع أو سيرة أو أصل قطعي كأصالة حمل فعل المسلم على الصحّة ونحوها ، وذلك كما في حكمهم ببراءة ذمّة الزوج عن النفقة فيما لو ادّعت الزوجة مع إتلافها له في مدّة مديدة ، فإنّ الظاهر أنّ أصالة عدم الإنفاق إنّما تقدّم </w:t>
      </w:r>
      <w:r>
        <w:rPr>
          <w:rStyle w:val="FootnoteAnchor"/>
          <w:rtl w:val="true"/>
        </w:rPr>
        <w:footnoteReference w:id="1016"/>
      </w:r>
      <w:r>
        <w:rPr>
          <w:rFonts w:ascii="Amiri" w:hAnsi="Amiri" w:eastAsia="Amiri" w:cs="Amiri"/>
          <w:color w:val="111111"/>
          <w:sz w:val="28"/>
          <w:sz w:val="28"/>
          <w:szCs w:val="28"/>
          <w:rtl w:val="true"/>
          <w:lang w:bidi="ar-SA"/>
        </w:rPr>
        <w:t xml:space="preserve">لأصالة حمل فعل المسلم على الصحّة ، وقد صرّح الشهيد في المسالك </w:t>
      </w:r>
      <w:r>
        <w:rPr>
          <w:rStyle w:val="FootnoteAnchor"/>
          <w:rtl w:val="true"/>
        </w:rPr>
        <w:footnoteReference w:id="1017"/>
      </w:r>
      <w:r>
        <w:rPr>
          <w:rFonts w:ascii="Amiri" w:hAnsi="Amiri" w:eastAsia="Amiri" w:cs="Amiri"/>
          <w:color w:val="111111"/>
          <w:sz w:val="28"/>
          <w:sz w:val="28"/>
          <w:szCs w:val="28"/>
          <w:rtl w:val="true"/>
          <w:lang w:bidi="ar-SA"/>
        </w:rPr>
        <w:t xml:space="preserve">بأنّها من موارد تقديم الظاهر على الأصل مع اعترافه </w:t>
      </w:r>
      <w:r>
        <w:rPr>
          <w:rStyle w:val="FootnoteAnchor"/>
          <w:rtl w:val="true"/>
        </w:rPr>
        <w:footnoteReference w:id="1018"/>
      </w:r>
      <w:r>
        <w:rPr>
          <w:rFonts w:ascii="Amiri" w:hAnsi="Amiri" w:eastAsia="Amiri" w:cs="Amiri"/>
          <w:color w:val="111111"/>
          <w:sz w:val="28"/>
          <w:sz w:val="28"/>
          <w:szCs w:val="28"/>
          <w:rtl w:val="true"/>
          <w:lang w:bidi="ar-SA"/>
        </w:rPr>
        <w:t>بكونها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ممّا ينبغي التنبيه عليه أنّه قد ذهب جماعة كثيرة بل قد ينسب إلى المشهور عدم حجّية الظنّ في مسائل أصول الفقه ، والحقّ حجّيته فيها وفاقا لجماعة من المحقّقين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ما تقدّم سابقا من أنّ العقل بعد الانسداد والقطع </w:t>
      </w:r>
      <w:r>
        <w:rPr>
          <w:rStyle w:val="FootnoteAnchor"/>
          <w:rtl w:val="true"/>
        </w:rPr>
        <w:footnoteReference w:id="1019"/>
      </w:r>
      <w:r>
        <w:rPr>
          <w:rFonts w:ascii="Amiri" w:hAnsi="Amiri" w:eastAsia="Amiri" w:cs="Amiri"/>
          <w:color w:val="111111"/>
          <w:sz w:val="28"/>
          <w:sz w:val="28"/>
          <w:szCs w:val="28"/>
          <w:rtl w:val="true"/>
          <w:lang w:bidi="ar-SA"/>
        </w:rPr>
        <w:t xml:space="preserve">بالتكليف وعدم جواز الرجوع إلى الأصول التعبّدية يحكم حكما أوّليا بوجوب تفريغ الذمّة ، والخروج عن </w:t>
      </w:r>
    </w:p>
    <w:p>
      <w:pPr>
        <w:pStyle w:val="BookText"/>
        <w:rPr/>
      </w:pPr>
      <w:r>
        <w:rPr>
          <w:rFonts w:ascii="Amiri" w:hAnsi="Amiri" w:eastAsia="Amiri" w:cs="Amiri"/>
          <w:color w:val="111111"/>
          <w:sz w:val="28"/>
          <w:sz w:val="28"/>
          <w:szCs w:val="28"/>
          <w:rtl w:val="true"/>
          <w:lang w:bidi="ar-SA"/>
        </w:rPr>
        <w:t xml:space="preserve">عهدة التكليف ولو ظنّا على ما قد عرفت ، والفراغ الظنّي كما يحصل بإتيان الواقع ظنّا ، فكذا يحصل بإتيان ما هو بدل عن الواقع كذلك ، وهذا </w:t>
      </w:r>
      <w:r>
        <w:rPr>
          <w:rStyle w:val="FootnoteAnchor"/>
          <w:rtl w:val="true"/>
        </w:rPr>
        <w:footnoteReference w:id="1020"/>
      </w:r>
      <w:r>
        <w:rPr>
          <w:rFonts w:ascii="Amiri" w:hAnsi="Amiri" w:eastAsia="Amiri" w:cs="Amiri"/>
          <w:color w:val="111111"/>
          <w:sz w:val="28"/>
          <w:sz w:val="28"/>
          <w:szCs w:val="28"/>
          <w:rtl w:val="true"/>
          <w:lang w:bidi="ar-SA"/>
        </w:rPr>
        <w:t>هو القدر المتّفق عليه بين جميع أرباب الإدراك وإن كان قد يزيد ذلك الحكم بحسب ازدياد العقل واشتداد القوّة العاقلة في الأشخاص ، فربّما يحكم الكامل في العقل بالامتثال لوجه الأمر كما لا يخفى ، والظنّ في المسائل الأصولية إنّما يوجب الظنّ بالفراغ في المرتبة الثانية ، ولا دليل على وجوب أزيد من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المطلوب بأنّ الأصول مقدّمة للفقه ، وبعد حجّية الظنّ في ذيها يحكم العقل بحجّيته في المقدّمة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فإنّ الاهتمام في المقدّمة أولى ، وبعد التسليم فلا يخفى أنّها أولوية ظنّية والاستدلال بها يفضي إلى الدور ، على أنّه منقوض بالكلام فإنّه من مقدّمات الاجتهاد ، ولا عبرة بالظنّ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المشهور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حرمة العمل بالظنّ بل بمطلق ما وراء العلم ، ولا مخرج عنها إلاّ قاعدة الانسداد ، أو الاستلزام بعد ما عرفت من أول الأدلّة العقلية إلى قاعدة الانسداد ، وكلّ منهما لا ينهض وجها للاعتبار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فلأنّ الانسداد فيها ممنوع ؛ لأنّ مسائل الأصول لا تخلو عن ثلاثة أقسام ، فإنّ برهة منها متعلّقة بالألفاظ الموضوعات المستنبطة منها الأحكام التي يعبّر عنها بمشتركات الكتاب والسنّة كمباحث الأوامر والنواهي والعموم والخصوص والإطلاق والتقييد ونحوها ، ولا ريب في حجّية الظنّ فيها كما عرفت ، وجملة منها بالحجّة ، فتارة من حيث الكشف عن الواقع ، وأخرى من التعبّد به شرعا كالاستصحاب وأصالة البراءة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الأولى منهما لا يتعقّل الانسداد بعد إثبات حجّية الظنّ في الفرعيّات ، فإنّ انسداد باب العلم في الفروع دليل قطعي على حجّية الأمارات الشرعية ، فباب العلم فيها ليس منسدّا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ففي جملة منها يستقلّ العقل بإدراكها ، وفي بعض منها لو فرضنا انسداد باب العلم ، لا يلزم محذور من الرجوع إلى الأصول فيها ، لانتفاء العلم الإجمالي وانضمام مسائل الأصول بالفروع نظرا إلى أنّ كلّها أحكام شرعية وبعد الانضمام يحكم بحجّية الظنّ في الجميع لانسداد باب العلم في الأغلب ، لا جدوى فيه بعد ظهور خروج هذه الجملة عن أطراف العلم الإجمالي ، فباب العلم في الأغلب مفتوح في الأصول ، فلا يجري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قاعدة الاستلزام إنّما هي مسلّمة فيما لو استلزم الظنّ بشيء الظنّ بالحكم الواقعي </w:t>
      </w:r>
      <w:r>
        <w:rPr>
          <w:rStyle w:val="FootnoteAnchor"/>
          <w:rtl w:val="true"/>
        </w:rPr>
        <w:footnoteReference w:id="1021"/>
      </w:r>
      <w:r>
        <w:rPr>
          <w:rFonts w:ascii="Amiri" w:hAnsi="Amiri" w:eastAsia="Amiri" w:cs="Amiri"/>
          <w:color w:val="111111"/>
          <w:sz w:val="28"/>
          <w:sz w:val="28"/>
          <w:szCs w:val="28"/>
          <w:rtl w:val="true"/>
          <w:lang w:bidi="ar-SA"/>
        </w:rPr>
        <w:t>، فإنّه هو قضية البرهان ، والقدر المتيقّن من التبيان ، والاستلزام في الأصول لو سلّم ، ففي الحكم الظاهري ، ولا دليل على حجّيته في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الشهرة قامت على حجّية الظنّ في الأصول ، وقد نقل بعضهم الإجماع عليه ، ولا أقلّ من إفادة الظنّ ، فلو كان الظنّ حجّة ، يلزم عدم حجّية الظنّ فيها ، وما يلزم من وجوده عدمه باطل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أمّا عن الأوّل ، فبما عرفت في توجيه المختار ، فإنّ الظنّ بالحكم الظاهري يكفي عن الواقع كما هو القضية الكائنة للبدلية مثلا بعد العلم باشتغال الذمّة بالصلاة يحكم العقل بوجوب تفريغ الذمّة عنها ولو بإتيان ما يكفي عنها ، أو بإدخال نفسه في موضوع آخر غير مكلّف بها عند انسداد باب العلم ، كما يكتفى بالفراغ الظنّي منها ، كذلك يكتفى بما هو بدل منه ظنّا ، فإنّه أيضا يوجب الظنّ بالفراغ الذي قد حكم العقل به بعد الانقطاع عن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عن الثاني ، فبمنع قيام الشهرة على عدم حجّية الظنّ في الأصول أوّلا ، نعم أرباب الظنون الخاصّة بعد زعمهم انفتاح باب العلم لا يعوّلون على الظنّ مطلقا لا أصولا ولا فروعا ، وبمنع إفادة الظنّ منها ثانيا إذ مرجعها إلى أصالة حرمة العمل بالظنّ كما عرفت سابقا ، على أنّ مجرّد قيام الظنّ على عدم حجّية ظنّ آخر لا يوجب بطلانهما جميعا بل يجب الأخذ بأقوى الظنّين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ممّا ينبغي التنبيه عليه أنّه قد ذهب جماعة منهم المحقّق الطوسي قدس‌سره القدوسي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النصيرية فارسي ، وعرّب وشرحه الفاضل المقداد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الجلالية للفصول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وراجعنا إليه ولم أجده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كفايته في المسائل الكلامية والأصول الاعتقادية على ما حكي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والمراد منها ما كان المقصود منها الاعتقاد وإن ترتّب 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ممّا يوجب إنكاره الكفر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الفرعيات ما كان المقصود منها العمل أو لا ، والفرق بينها وبين أصولها أنّ الأصول مبان ومآخذ لها ومداركها التي يستنبط منها ، ولا يذهب عليك أنّ هذه المسألة غير ما عنونوها في مباحث الاجتهاد والتقليد من كفاية التقليد وعدمه ، لعدم الملازمة بينهما ، إذ يمكن القول بكفاية التقليد مع عدم كفاية الظنّ وبالعكس نظرا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جواز الاكتفاء بما يحصل من الأدلّة الظنّية بعد إفراغ الوسع في تحصيل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المحقّق البهائي رحمه‌اللّه </w:t>
      </w:r>
      <w:r>
        <w:rPr>
          <w:rStyle w:val="FootnoteAnchor"/>
          <w:rtl w:val="true"/>
        </w:rPr>
        <w:footnoteReference w:id="1023"/>
      </w:r>
      <w:r>
        <w:rPr>
          <w:rFonts w:ascii="Amiri" w:hAnsi="Amiri" w:eastAsia="Amiri" w:cs="Amiri"/>
          <w:color w:val="111111"/>
          <w:sz w:val="28"/>
          <w:sz w:val="28"/>
          <w:szCs w:val="28"/>
          <w:rtl w:val="true"/>
          <w:lang w:bidi="ar-SA"/>
        </w:rPr>
        <w:t xml:space="preserve">من اتّحادهما ليس على ما ينبغي إلاّ أن يؤول بأنّ العلم غير التقليد نظرا إلى ما تقرّر في تقسيم الإدراك إلى العلم والتقليد وغيرهما ، فإنّ التقليد لا ثبات فيه ، بخلاف العلم ، فاشتراط العلم لعلّه </w:t>
      </w:r>
      <w:r>
        <w:rPr>
          <w:rStyle w:val="FootnoteAnchor"/>
          <w:rtl w:val="true"/>
        </w:rPr>
        <w:footnoteReference w:id="1024"/>
      </w:r>
      <w:r>
        <w:rPr>
          <w:rFonts w:ascii="Amiri" w:hAnsi="Amiri" w:eastAsia="Amiri" w:cs="Amiri"/>
          <w:color w:val="111111"/>
          <w:sz w:val="28"/>
          <w:sz w:val="28"/>
          <w:szCs w:val="28"/>
          <w:rtl w:val="true"/>
          <w:lang w:bidi="ar-SA"/>
        </w:rPr>
        <w:t>يلازم نفي التقليد ، فتدبّر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فتحقيق المقام يستدعي بسطا في الكلام في طيّ عدّة من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 فيما لو تعذّر تحصيل العلم ابتداء هل يجب تحصيل الظنّ أو لا يجب؟ المقام الأوّل فيما لو تعذّر تحصيل العلم ابتداء هل يجب تحصيل الظنّ نظرا إلى أنّ الظنّ يقوم مقام العلم مطلقا ، أو لا يجب؟ والكلام في المقام إنّما هو في الأمور التي يجب تحصيل العلم فيها لو لم يكن تحصيله متعذّرا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الأمور التي لا يجب تحصيل الاعتقاد فيها ، فهو خارج عن أصله لكنّه قد يقوى في النظر إطلاق القول بوجوب التحصيل في كلّ ما يمكن التحصيل فيه نظرا إلى إطلاق الأدلّة الآمرة بتحصيل العلم والقائلة بوجوب طلبه ، المنساقة غالبا في الأصول بخصوصها ، ولا أقلّ من شمولها لها قطعا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على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وآيتي النفر والسؤال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التحقيق عدم وجوب تحصيل الظنّ عند تعذّر العلم ؛ لعدم الدليل على وجوبه ، فإنّ الأدلّة بأجمعها صريحة في طلب العلم على وجه يستفاد منها أنّه هو المطلوب بنفسه على نحو الموضوعية ، والظنّ لا يكون بدلا عن العلم في مقام يكون العلم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فيما لو كان العلم طريقا ومرآة يمكن القول ببدلية الظنّ للعلم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فساد قياس المقام بالأحكام الفرعية ، فإنّ المقصود منها على ما عرفت هو العمل ، والعلم طريق له ، وحيث إنّ المكلّف لا يخلو عن عمل ، يحكم العقل ببدلية الظنّ للعلم عند تعذّره ، وأين هذا من وجوب تحصيل العلم موضوعا ، فكما أنّ الأمر بالصلاة لا دلالة فيه على وجوب الصوم عند تعذّر الصلاة فكذا قوله ، فاعلم أنّ الأدلّة الدالّة </w:t>
      </w:r>
      <w:r>
        <w:rPr>
          <w:rStyle w:val="FootnoteAnchor"/>
          <w:rtl w:val="true"/>
        </w:rPr>
        <w:footnoteReference w:id="1026"/>
      </w:r>
      <w:r>
        <w:rPr>
          <w:rFonts w:ascii="Amiri" w:hAnsi="Amiri" w:eastAsia="Amiri" w:cs="Amiri"/>
          <w:color w:val="111111"/>
          <w:sz w:val="28"/>
          <w:sz w:val="28"/>
          <w:szCs w:val="28"/>
          <w:rtl w:val="true"/>
          <w:lang w:bidi="ar-SA"/>
        </w:rPr>
        <w:t xml:space="preserve">لا دلالة فيها </w:t>
      </w:r>
      <w:r>
        <w:rPr>
          <w:rStyle w:val="FootnoteAnchor"/>
          <w:rtl w:val="true"/>
        </w:rPr>
        <w:footnoteReference w:id="1027"/>
      </w:r>
      <w:r>
        <w:rPr>
          <w:rFonts w:ascii="Amiri" w:hAnsi="Amiri" w:eastAsia="Amiri" w:cs="Amiri"/>
          <w:color w:val="111111"/>
          <w:sz w:val="28"/>
          <w:sz w:val="28"/>
          <w:szCs w:val="28"/>
          <w:rtl w:val="true"/>
          <w:lang w:bidi="ar-SA"/>
        </w:rPr>
        <w:t>على وجوب تحصيل الظنّ عند تعذّر العلم ، مضافا إلى الأخبار الناهية عن القول بما لا يعلم ، الآمرة بالتوقّف عند عدم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ينبغي أن يعلم أنّ الإدراك الظنّي شيء من المعارف الحقّانية مثل ما لو ظنّ أحد بمرتبة من مراتب الإمام عليه‌السلام واقعا أحسن من عدم الإدراك كما أنّ العلم أحسن منه ، وأعلى مراتب العلم أحسن من غيره ، وذلك غير ما نحن بصدده من نيابة الظنّ عن العلم فيما لو تعذّر ابتداء ، فلا دليل على وجوب تحصيل الظنّ بدلا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إباحته أو استحبابه ، فلا يخلو عن إشكال أيضا سيّما الأخير وخصوصا فيما لو خالف الواقع ، هذا بالنسبة إلى حكمه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الوضعي من حيث العقاب والنجاسة وسائر أحكام الكفر ، فالظاهر أنّه معذور من حيث العقاب ، لقبح التكليف بما لا يطاق ، فإنّه أرأف بعباده من أن يعاقبهم على أمر غير مقدور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النجاسة ، فالظاهر نجاسته ظاهرا ، ولزوم ترتّب آثار الكفر عليه ، لأنّه غير مؤمن قطعا ؛ لتوقّف الإيمان على الاعتقاد بالجنان ، وحيث إنّه لا واسطة بين المؤمن والكافر ،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الكفر إنّما هو فيما يستلزم الكفر من أصول العقائد كالتوحيد والنبوّة ونحوها </w:t>
      </w:r>
      <w:r>
        <w:rPr>
          <w:rStyle w:val="FootnoteAnchor"/>
          <w:rtl w:val="true"/>
        </w:rPr>
        <w:footnoteReference w:id="1028"/>
      </w:r>
      <w:r>
        <w:rPr>
          <w:rFonts w:ascii="Amiri" w:hAnsi="Amiri" w:eastAsia="Amiri" w:cs="Amiri"/>
          <w:color w:val="111111"/>
          <w:sz w:val="28"/>
          <w:sz w:val="28"/>
          <w:szCs w:val="28"/>
          <w:rtl w:val="true"/>
          <w:lang w:bidi="ar-SA"/>
        </w:rPr>
        <w:t>، وأمّا في غيرها كالشكّ في كيفية أبواب الجنّة والحشر ، فلا كفر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في جملة من الأخبار من أنّ الشاكّ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اللّه وفي رسول اللّه صلى‌اللّه‌عليه‌وآله فهو كافر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أيضا عن علي بن إبراهيم ، عن أبيه ، عن صفوان ، عن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شكّ في كفر الشاكّ ، فهو كافر؟ فأمسك عنّي ، فرددت عليه ثلاث مرّات ، فاستبان </w:t>
      </w:r>
      <w:r>
        <w:rPr>
          <w:rStyle w:val="FootnoteAnchor"/>
          <w:rtl w:val="true"/>
        </w:rPr>
        <w:footnoteReference w:id="1031"/>
      </w:r>
      <w:r>
        <w:rPr>
          <w:rFonts w:ascii="Amiri" w:hAnsi="Amiri" w:eastAsia="Amiri" w:cs="Amiri"/>
          <w:color w:val="111111"/>
          <w:sz w:val="28"/>
          <w:sz w:val="28"/>
          <w:szCs w:val="28"/>
          <w:rtl w:val="true"/>
          <w:lang w:bidi="ar-SA"/>
        </w:rPr>
        <w:t xml:space="preserve">في وجهه الغضب </w:t>
      </w:r>
      <w:r>
        <w:rPr>
          <w:rStyle w:val="FootnoteAnchor"/>
          <w:rtl w:val="true"/>
        </w:rPr>
        <w:footnoteReference w:id="1032"/>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1033"/>
      </w:r>
      <w:r>
        <w:rPr>
          <w:rFonts w:ascii="Amiri" w:hAnsi="Amiri" w:eastAsia="Amiri" w:cs="Amiri"/>
          <w:color w:val="111111"/>
          <w:sz w:val="28"/>
          <w:sz w:val="28"/>
          <w:szCs w:val="28"/>
          <w:rtl w:val="true"/>
          <w:lang w:bidi="ar-SA"/>
        </w:rPr>
        <w:t>الدالّة على كفر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الاستدلال بالأخبار مع كونها ظنّية في المقام ؛ إذ المقصود إثبات جهة الفرعية بها من ترتّب آثار الكفر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نفي الواسطة بين الكافر والمؤمن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خَلَقَكُمْ فَمِنْكُمْ كافِرٌ وَمِنْكُمْ مُؤْمِنٌ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كما استدلّ المشهور في نفي الواسطة بين الصنفين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فإنّ وجه الدلالة فيما نحن فيه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كفره لا مناص من كونه معذّبا في الآخرة ، فإنّه أعدّ للكافرين عذابا أليما ، والآيات في ذلك ممّا لا يستقصى ، وذلك ينعكس بعكس النقيض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ليس بمعذّب ليس بكافر ، وقد كان كلّ كافر معذّب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الآيات كلّها أنّ جميع الكفّار مصيرهم إلى النار ، وذلك لا ينافي فرض وجود </w:t>
      </w:r>
      <w:r>
        <w:rPr>
          <w:rStyle w:val="FootnoteAnchor"/>
          <w:rtl w:val="true"/>
        </w:rPr>
        <w:footnoteReference w:id="1036"/>
      </w:r>
      <w:r>
        <w:rPr>
          <w:rFonts w:ascii="Amiri" w:hAnsi="Amiri" w:eastAsia="Amiri" w:cs="Amiri"/>
          <w:color w:val="111111"/>
          <w:sz w:val="28"/>
          <w:sz w:val="28"/>
          <w:szCs w:val="28"/>
          <w:rtl w:val="true"/>
          <w:lang w:bidi="ar-SA"/>
        </w:rPr>
        <w:t>كافر قاصر لا يكون معذّبا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037"/>
      </w:r>
      <w:r>
        <w:rPr>
          <w:rFonts w:ascii="Amiri" w:hAnsi="Amiri" w:eastAsia="Amiri" w:cs="Amiri"/>
          <w:color w:val="111111"/>
          <w:sz w:val="28"/>
          <w:sz w:val="28"/>
          <w:szCs w:val="28"/>
          <w:rtl w:val="true"/>
          <w:lang w:bidi="ar-SA"/>
        </w:rPr>
        <w:t xml:space="preserve">، كان موجودا ، فيستكشف عن العموم المذكور تقصيره ، ويحكم بدخوله وخلوده في النار ، أمّا الأفراد الفرضية التي لا وجود لها لا يضرّ بالعموم ، ولا يوجب تخصيصا فيه ، وذلك مثل قول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 جيراني ، وعلّم العبد بأنّ الحكم مخصّص بأصدقاء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فرد منهم أنّه من الأصدقاء أو لا ، فبناء العموم </w:t>
      </w:r>
    </w:p>
    <w:p>
      <w:pPr>
        <w:pStyle w:val="BookText"/>
        <w:rPr/>
      </w:pPr>
      <w:r>
        <w:rPr>
          <w:rFonts w:ascii="Amiri" w:hAnsi="Amiri" w:eastAsia="Amiri" w:cs="Amiri"/>
          <w:color w:val="111111"/>
          <w:sz w:val="28"/>
          <w:sz w:val="28"/>
          <w:szCs w:val="28"/>
          <w:rtl w:val="true"/>
          <w:lang w:bidi="ar-SA"/>
        </w:rPr>
        <w:t>لا يضرّه الأفراد الفرضية ، فبالعموم يتمسّك في كون الموجودين 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الوجه أنّ الحكم بوجود القاصر في الخارج فإنّ جملة من الكفّار الساكنين في البلاد النائية عن الإسلام ربّما لم يقرع سمعهم اسم ، الإسلام أو مع إسماعهم </w:t>
      </w:r>
      <w:r>
        <w:rPr>
          <w:rStyle w:val="FootnoteAnchor"/>
          <w:rtl w:val="true"/>
        </w:rPr>
        <w:footnoteReference w:id="1038"/>
      </w:r>
      <w:r>
        <w:rPr>
          <w:rFonts w:ascii="Amiri" w:hAnsi="Amiri" w:eastAsia="Amiri" w:cs="Amiri"/>
          <w:color w:val="111111"/>
          <w:sz w:val="28"/>
          <w:sz w:val="28"/>
          <w:szCs w:val="28"/>
          <w:rtl w:val="true"/>
          <w:lang w:bidi="ar-SA"/>
        </w:rPr>
        <w:t xml:space="preserve">لم يحتملوا عدم </w:t>
      </w:r>
      <w:r>
        <w:rPr>
          <w:rStyle w:val="FootnoteAnchor"/>
          <w:rtl w:val="true"/>
        </w:rPr>
        <w:footnoteReference w:id="1039"/>
      </w:r>
      <w:r>
        <w:rPr>
          <w:rFonts w:ascii="Amiri" w:hAnsi="Amiri" w:eastAsia="Amiri" w:cs="Amiri"/>
          <w:color w:val="111111"/>
          <w:sz w:val="28"/>
          <w:sz w:val="28"/>
          <w:szCs w:val="28"/>
          <w:rtl w:val="true"/>
          <w:lang w:bidi="ar-SA"/>
        </w:rPr>
        <w:t xml:space="preserve">حقّية طريقهم بعد رسوخهم فيما وجدوا عليه آباءهم وكثيرا ما </w:t>
      </w:r>
      <w:r>
        <w:rPr>
          <w:rStyle w:val="FootnoteAnchor"/>
          <w:rtl w:val="true"/>
        </w:rPr>
        <w:footnoteReference w:id="1040"/>
      </w:r>
      <w:r>
        <w:rPr>
          <w:rFonts w:ascii="Amiri" w:hAnsi="Amiri" w:eastAsia="Amiri" w:cs="Amiri"/>
          <w:color w:val="111111"/>
          <w:sz w:val="28"/>
          <w:sz w:val="28"/>
          <w:szCs w:val="28"/>
          <w:rtl w:val="true"/>
          <w:lang w:bidi="ar-SA"/>
        </w:rPr>
        <w:t xml:space="preserve">نجد آحادا منهم ليس لهم قوّة تمييز </w:t>
      </w:r>
      <w:r>
        <w:rPr>
          <w:rStyle w:val="FootnoteAnchor"/>
          <w:rtl w:val="true"/>
        </w:rPr>
        <w:footnoteReference w:id="1041"/>
      </w:r>
      <w:r>
        <w:rPr>
          <w:rFonts w:ascii="Amiri" w:hAnsi="Amiri" w:eastAsia="Amiri" w:cs="Amiri"/>
          <w:color w:val="111111"/>
          <w:sz w:val="28"/>
          <w:sz w:val="28"/>
          <w:szCs w:val="28"/>
          <w:rtl w:val="true"/>
          <w:lang w:bidi="ar-SA"/>
        </w:rPr>
        <w:t xml:space="preserve">الحقّ عن الباطل ، فكيف يتأتّى القول بأنّ كلّ كافر موجود في الخارج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من المحتمل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أن يكون لهم في آن من الآنات التفات إلى الحقّ ، فإنّ اللّه تعالى لا يعذّب إلاّ بعد الإرسال ولو بلسان العقل ، فلم لا يجوز أن يمنّ عليه في آن من آناته بقوّة قويمة ، وسليقة مستقيمة يتمكّن بها من </w:t>
      </w:r>
      <w:r>
        <w:rPr>
          <w:rStyle w:val="FootnoteAnchor"/>
          <w:rtl w:val="true"/>
        </w:rPr>
        <w:footnoteReference w:id="1042"/>
      </w:r>
      <w:r>
        <w:rPr>
          <w:rFonts w:ascii="Amiri" w:hAnsi="Amiri" w:eastAsia="Amiri" w:cs="Amiri"/>
          <w:color w:val="111111"/>
          <w:sz w:val="28"/>
          <w:sz w:val="28"/>
          <w:szCs w:val="28"/>
          <w:rtl w:val="true"/>
          <w:lang w:bidi="ar-SA"/>
        </w:rPr>
        <w:t>تحصيل الحقّ ، وترك الباطل؟ وذلك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ذلك ما أجمعوا </w:t>
      </w:r>
      <w:r>
        <w:rPr>
          <w:rStyle w:val="FootnoteAnchor"/>
          <w:rtl w:val="true"/>
        </w:rPr>
        <w:footnoteReference w:id="1043"/>
      </w:r>
      <w:r>
        <w:rPr>
          <w:rFonts w:ascii="Amiri" w:hAnsi="Amiri" w:eastAsia="Amiri" w:cs="Amiri"/>
          <w:color w:val="111111"/>
          <w:sz w:val="28"/>
          <w:sz w:val="28"/>
          <w:szCs w:val="28"/>
          <w:rtl w:val="true"/>
          <w:lang w:bidi="ar-SA"/>
        </w:rPr>
        <w:t xml:space="preserve">عليه الفرقة الناجية من كفر الشاكّ والمعتقد بالخلاف ، فكلّ شاكّ كافر ، وكلّ كافر في النار ، فكلّ شاكّ في النار ، للعلم بعدم قصوره لا أنّه مع كونه قاصرا يكون في النار ، ولكن قد يتراءى من ظواهر بعض الآيات الدالّة على رفع العقاب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الْمُسْتَضْعَفِينَ مِنَ الرِّجالِ وَالنِّساءِ وَالْوِلْدانِ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حِيلَةً وَلا يَهْتَدُونَ سَبِيلاً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وجود الواسطة بين المؤمن والكافر ، فيشكل الحكم فيما ذكرنا إلاّ أنّه لا يخفى ما فيه ، فإنّ للمستضعف معنى على ما نطق به بعض أخبار </w:t>
      </w:r>
      <w:r>
        <w:rPr>
          <w:rStyle w:val="FootnoteAnchor"/>
          <w:rtl w:val="true"/>
        </w:rPr>
        <w:footnoteReference w:id="1045"/>
      </w:r>
      <w:r>
        <w:rPr>
          <w:rFonts w:ascii="Amiri" w:hAnsi="Amiri" w:eastAsia="Amiri" w:cs="Amiri"/>
          <w:color w:val="111111"/>
          <w:sz w:val="28"/>
          <w:sz w:val="28"/>
          <w:szCs w:val="28"/>
          <w:rtl w:val="true"/>
          <w:lang w:bidi="ar-SA"/>
        </w:rPr>
        <w:t xml:space="preserve">العترة الطاهرة ، و </w:t>
      </w:r>
      <w:r>
        <w:rPr>
          <w:rStyle w:val="FootnoteAnchor"/>
          <w:rtl w:val="true"/>
        </w:rPr>
        <w:footnoteReference w:id="1046"/>
      </w:r>
      <w:r>
        <w:rPr>
          <w:rFonts w:ascii="Amiri" w:hAnsi="Amiri" w:eastAsia="Amiri" w:cs="Amiri"/>
          <w:color w:val="111111"/>
          <w:sz w:val="28"/>
          <w:sz w:val="28"/>
          <w:szCs w:val="28"/>
          <w:rtl w:val="true"/>
          <w:lang w:bidi="ar-SA"/>
        </w:rPr>
        <w:t>بعض كلمات المفسّرين ، وشيء منهما لا يوافق الدعوى المزبورة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منهما ، فقد روى ثقة الإسلام في الكافى عن أبي عبد اللّه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عرف الاختلاف فليس بمستضعف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أبي الحسن موسى عليه‌السلام أنّه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الضعيف من لم ترفع إليه الحجّة ، ومن لم يعرف الاختلاف ، فإذا عرف الاختلاف فليس بمستضعف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فإنّ من المعلوم من سياق الخبرين أنّ المراد من الاختلاف هو الخلاف الواقع بين الفريقين ، فلا دخل له بالإيمان والكفر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فصرّح بعضهم </w:t>
      </w:r>
      <w:r>
        <w:rPr>
          <w:rStyle w:val="FootnoteAnchor"/>
          <w:rtl w:val="true"/>
        </w:rPr>
        <w:footnoteReference w:id="1049"/>
      </w:r>
      <w:r>
        <w:rPr>
          <w:rFonts w:ascii="IRNazanin" w:hAnsi="IRNazanin" w:eastAsia="IRNazanin"/>
          <w:color w:val="111111"/>
          <w:sz w:val="28"/>
          <w:sz w:val="28"/>
          <w:szCs w:val="28"/>
          <w:rtl w:val="true"/>
          <w:lang w:bidi="fa-IR"/>
        </w:rPr>
        <w:t xml:space="preserve">بأنّ المراد من المستضعف </w:t>
      </w:r>
      <w:r>
        <w:rPr>
          <w:rStyle w:val="FootnoteAnchor"/>
          <w:rtl w:val="true"/>
        </w:rPr>
        <w:footnoteReference w:id="1050"/>
      </w:r>
      <w:r>
        <w:rPr>
          <w:rFonts w:ascii="Amiri" w:hAnsi="Amiri" w:eastAsia="Amiri" w:cs="Amiri"/>
          <w:color w:val="111111"/>
          <w:sz w:val="28"/>
          <w:sz w:val="28"/>
          <w:szCs w:val="28"/>
          <w:rtl w:val="true"/>
          <w:lang w:bidi="ar-SA"/>
        </w:rPr>
        <w:t xml:space="preserve">من لم يقدر على المهاجرة </w:t>
      </w:r>
      <w:r>
        <w:rPr>
          <w:rStyle w:val="FootnoteAnchor"/>
          <w:rtl w:val="true"/>
        </w:rPr>
        <w:footnoteReference w:id="1051"/>
      </w:r>
      <w:r>
        <w:rPr>
          <w:rFonts w:ascii="Amiri" w:hAnsi="Amiri" w:eastAsia="Amiri" w:cs="Amiri"/>
          <w:color w:val="111111"/>
          <w:sz w:val="28"/>
          <w:sz w:val="28"/>
          <w:szCs w:val="28"/>
          <w:rtl w:val="true"/>
          <w:lang w:bidi="ar-SA"/>
        </w:rPr>
        <w:t>مع النبي صلى‌اللّه‌عليه‌وآله ومن الواضح عدم ارتباطه بالكفر والإسلام ، هذا غاية ما يمكن الانتصار به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أنّ المستضعف أعمّ ممّن لم يعرف الخلاف بين الفريقين وبين غيرهم من سائر المذاهب ، وورود الخبر فيهم لا ينافي عمومه لغيرهم ، وقد صرّح الإمام عليه‌السلام بوجود الواسطة في أخبار كثيرة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الكافى عن زرارة ، عن أبي جعفر عليه‌السلام 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تعدو أن تكون مؤمنة أو كافرة؟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تصوم وتصلّي وتتّقي اللّه ولا تدري ما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فَمِنْكُمْ كافِرٌ وَمِنْكُمْ مُؤْمِنٌ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وأنّه لا يكون أحد من الناس ليس بمؤمن ولا كافر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أصدق من قولك يا زرارة أرأيت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خَلَطُوا عَمَلاً صالِحاً وَآخَرَ سَيِّئاً عَسَى اللّهُ أَنْ يَتُوبَ عَلَيْهِمْ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إلاّ مؤمنين أو كافرين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تقول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الْمُسْتَضْعَفِينَ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إلاّ مؤمنين أو </w:t>
      </w:r>
    </w:p>
    <w:p>
      <w:pPr>
        <w:pStyle w:val="BookText"/>
        <w:rPr/>
      </w:pPr>
      <w:r>
        <w:rPr>
          <w:rFonts w:ascii="Amiri" w:hAnsi="Amiri" w:eastAsia="Amiri" w:cs="Amiri"/>
          <w:color w:val="111111"/>
          <w:sz w:val="28"/>
          <w:sz w:val="28"/>
          <w:szCs w:val="28"/>
          <w:rtl w:val="true"/>
          <w:lang w:bidi="ar-SA"/>
        </w:rPr>
        <w:t xml:space="preserve">كافرين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هم بمؤمنين ولا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تقول في 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إلاّ مؤمنين أو كافرين ، إن دخلوا الجنّة فهم مؤمنون ، وإن دخلوا النار فهم كافرون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هم بمؤمنين ولا كافرين ، ولو كانوا مؤمنين ، لدخلوا الجنّة كما دخلها المؤمنون ، ولو كانوا كافرين ، لدخلوا النار كما دخلها الكافرون ، ولكنّهم قوم قد استوى </w:t>
      </w:r>
      <w:r>
        <w:rPr>
          <w:rStyle w:val="FootnoteAnchor"/>
          <w:rtl w:val="true"/>
        </w:rPr>
        <w:footnoteReference w:id="1054"/>
      </w:r>
      <w:r>
        <w:rPr>
          <w:rFonts w:ascii="Amiri" w:hAnsi="Amiri" w:eastAsia="Amiri" w:cs="Amiri"/>
          <w:color w:val="111111"/>
          <w:sz w:val="28"/>
          <w:sz w:val="28"/>
          <w:szCs w:val="28"/>
          <w:rtl w:val="true"/>
          <w:lang w:bidi="ar-SA"/>
        </w:rPr>
        <w:t xml:space="preserve">حسناتهم وسيّئاتهم ، فقصرت بهم الأعمال ، وإنّهم لكما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الجنّة هم أم من أهل النار؟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اتركهم كما تركهم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أفترجئهم؟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أرجئهم كما أرجأهم اللّه إن شاء اللّه أدخلهم الجنّة برحمته وإن شاء ساقهم إلى النار بذنوبهم ولم يظلمهم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الجنّة كافر؟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يدخل النار إلاّ كافر؟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يشاء اللّه ، يا زرارة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كبرت رجعت ، وكللت </w:t>
      </w:r>
      <w:r>
        <w:rPr>
          <w:rStyle w:val="FootnoteAnchor"/>
          <w:rtl w:val="true"/>
        </w:rPr>
        <w:footnoteReference w:id="1055"/>
      </w:r>
      <w:r>
        <w:rPr>
          <w:rFonts w:ascii="Amiri" w:hAnsi="Amiri" w:eastAsia="Amiri" w:cs="Amiri"/>
          <w:color w:val="111111"/>
          <w:sz w:val="28"/>
          <w:sz w:val="28"/>
          <w:szCs w:val="28"/>
          <w:rtl w:val="true"/>
          <w:lang w:bidi="ar-SA"/>
        </w:rPr>
        <w:t xml:space="preserve">عنك عقدك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 وقريب منه ما ورد في أصحاب الأعراف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الكافى أيضا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جالسا عن يساره وزرارة عن يمينه ، فدخل عليه أبو بصير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عليه‌السلام ، ما تقول فيمن شكّ في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زرارة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يكفر إذا جحد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عن أبي عبد اللّه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العباد إذا جهلوا وقفوا ولم يجحدوا ، لم يكفروا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عن أبي جعفر عليه‌السلام فيمن سأله من المستضعف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لا يهدي </w:t>
      </w:r>
      <w:r>
        <w:rPr>
          <w:rStyle w:val="FootnoteAnchor"/>
          <w:rtl w:val="true"/>
        </w:rPr>
        <w:footnoteReference w:id="1060"/>
      </w:r>
      <w:r>
        <w:rPr>
          <w:rFonts w:ascii="Amiri" w:hAnsi="Amiri" w:eastAsia="Amiri" w:cs="Amiri"/>
          <w:color w:val="111111"/>
          <w:sz w:val="28"/>
          <w:sz w:val="28"/>
          <w:szCs w:val="28"/>
          <w:rtl w:val="true"/>
          <w:lang w:bidi="ar-SA"/>
        </w:rPr>
        <w:t xml:space="preserve">حيلة إلى الكفر ، فيكفر ولا يهتدي سبيلا إلى الإيمان ، فلا يستطيع أن يؤمن ، ولا يستطيع أن يكفر ، فهم الصبيان ومن كان من الرجال والنساء على مثل عقول الصبيان فإنّه </w:t>
      </w:r>
      <w:r>
        <w:rPr>
          <w:rStyle w:val="FootnoteAnchor"/>
          <w:rtl w:val="true"/>
        </w:rPr>
        <w:footnoteReference w:id="1061"/>
      </w:r>
      <w:r>
        <w:rPr>
          <w:rFonts w:ascii="IRNazanin" w:hAnsi="IRNazanin" w:eastAsia="IRNazanin"/>
          <w:color w:val="111111"/>
          <w:sz w:val="28"/>
          <w:sz w:val="28"/>
          <w:szCs w:val="28"/>
          <w:rtl w:val="true"/>
          <w:lang w:bidi="fa-IR"/>
        </w:rPr>
        <w:t xml:space="preserve">مرفوع عنهم القلم </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ذلك أكثر من أن تحصى </w:t>
      </w:r>
      <w:r>
        <w:rPr>
          <w:rStyle w:val="FootnoteAnchor"/>
          <w:rtl w:val="true"/>
        </w:rPr>
        <w:footnoteReference w:id="1063"/>
      </w:r>
      <w:r>
        <w:rPr>
          <w:rFonts w:ascii="Amiri" w:hAnsi="Amiri" w:eastAsia="Amiri" w:cs="Amiri"/>
          <w:color w:val="111111"/>
          <w:sz w:val="28"/>
          <w:sz w:val="28"/>
          <w:szCs w:val="28"/>
          <w:rtl w:val="true"/>
          <w:lang w:bidi="ar-SA"/>
        </w:rPr>
        <w:t>، فالمستضعف هو تابع كلّ ناهق وناعق ، فالحقّ مراعاة الأصل في كلّ مقام بالنسبة إلى الشكّ الغير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فيما لو أمكن له تحصيل العلم بعد إفراغ الوسع وبذل الجهد على ما هو المتعارف في تحصيله هل يجوز له الاكتفاء بالظنّ ، أو لا؟ التحقيق عدم الاكتفاء بالظنّ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أصالة حرمة العمل بما وراء العلم ، ولا مخرج عنها إلاّ ما عرفت من الانسداد والمفروض تمكّنه من تحصيل العلم ، فلا 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وجوب تحصيل العلم المصرّحة بلفظ العلم وما يؤدّي مؤدّاه من اليقين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ولو بالصين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ونحوها ممّا </w:t>
      </w:r>
      <w:r>
        <w:rPr>
          <w:rStyle w:val="FootnoteAnchor"/>
          <w:rtl w:val="true"/>
        </w:rPr>
        <w:footnoteReference w:id="1067"/>
      </w:r>
      <w:r>
        <w:rPr>
          <w:rFonts w:ascii="Amiri" w:hAnsi="Amiri" w:eastAsia="Amiri" w:cs="Amiri"/>
          <w:color w:val="111111"/>
          <w:sz w:val="28"/>
          <w:sz w:val="28"/>
          <w:szCs w:val="28"/>
          <w:rtl w:val="true"/>
          <w:lang w:bidi="ar-SA"/>
        </w:rPr>
        <w:t>لا يكاد يخفى على من له خبرة بالأخبار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الآمرة بالشهادة ، فإنّها على ما صرّح به بعض أهل اللغة هو الإخبار عن علم ، وأمثال ذلك كثيرة ، فالأمر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الكلام في حكمه الوضعي فيما لو اكتفى بالظنّ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كفره ولزوم ترتيب آثاره من عدم جواز معاشرته رطبا ونحوه فيما لو كان ظنّه بخلاف الواقع كما إذا ظنّ بعدم كونه تعالى عالما ، أو واحدا ، أو قادرا مثلا ، وأمّا فيما لو كان ظنّه مطابقا للواقع ، فالظاهر أنّ ظنّه كعدمه ، فيرجع في تحقيق حاله إلى ما قد سبق في الشاكّ ، فإن كان مع جحود ، فهو كافر ظاهرا أيضا ، وإلاّ فيعمل بالأصل حسبما يقتضيه 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ممّا ينبغي التنبيه عليه أنّه على القول بعدم حجّية مطلق الظنّ ، أو على القول بها بعد خروج القياس وأمثاله هل يصحّ الاستناد إلى مطلق الظنّ على الأوّل ، أو إلى القياس على الثاني بجعله جابرا لكسر دليل ، أو معاضدا له ، أو مرجّحا عند تعارض دليل لآخر </w:t>
      </w:r>
      <w:r>
        <w:rPr>
          <w:rStyle w:val="FootnoteAnchor"/>
          <w:rtl w:val="true"/>
        </w:rPr>
        <w:footnoteReference w:id="1068"/>
      </w:r>
      <w:r>
        <w:rPr>
          <w:rFonts w:ascii="Amiri" w:hAnsi="Amiri" w:eastAsia="Amiri" w:cs="Amiri"/>
          <w:color w:val="111111"/>
          <w:sz w:val="28"/>
          <w:sz w:val="28"/>
          <w:szCs w:val="28"/>
          <w:rtl w:val="true"/>
          <w:lang w:bidi="ar-SA"/>
        </w:rPr>
        <w:t>، أو موهنا ، أو لا يصحّ؟</w:t>
      </w:r>
    </w:p>
    <w:p>
      <w:pPr>
        <w:pStyle w:val="BookText"/>
        <w:rPr/>
      </w:pPr>
      <w:r>
        <w:rPr>
          <w:rFonts w:ascii="Amiri" w:hAnsi="Amiri" w:eastAsia="Amiri" w:cs="Amiri"/>
          <w:color w:val="111111"/>
          <w:sz w:val="28"/>
          <w:sz w:val="28"/>
          <w:szCs w:val="28"/>
          <w:rtl w:val="true"/>
          <w:lang w:bidi="ar-SA"/>
        </w:rPr>
        <w:t xml:space="preserve">وينبغي أوّلا تمهيد مقدّمة ، فاعلم أنّ كلاّ من الجبر والتعاضد والترجيح والوهن جهة مغايرة للأخرى ، وجهة مباينة لها ؛ فإنّ الجابر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انضمام أمر خارجي به يصير المجبور داخلا تحت عنوان كلّي قام الدليل على اعتباره ، سواء كان له مضمون يوافق مضمون الجابر أو لم يكن له مضمون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كالشهرة الفتوائية فيما لو انضمّت </w:t>
      </w:r>
      <w:r>
        <w:rPr>
          <w:rStyle w:val="FootnoteAnchor"/>
          <w:rtl w:val="true"/>
        </w:rPr>
        <w:footnoteReference w:id="1069"/>
      </w:r>
      <w:r>
        <w:rPr>
          <w:rFonts w:ascii="Amiri" w:hAnsi="Amiri" w:eastAsia="Amiri" w:cs="Amiri"/>
          <w:color w:val="111111"/>
          <w:sz w:val="28"/>
          <w:sz w:val="28"/>
          <w:szCs w:val="28"/>
          <w:rtl w:val="true"/>
          <w:lang w:bidi="ar-SA"/>
        </w:rPr>
        <w:t xml:space="preserve">إلى خبر بها يصير صدوره عن الإمام مظنونا على القول باعتبار الظنّ في الصدور </w:t>
      </w:r>
      <w:r>
        <w:rPr>
          <w:rStyle w:val="FootnoteAnchor"/>
          <w:rtl w:val="true"/>
        </w:rPr>
        <w:footnoteReference w:id="1070"/>
      </w:r>
      <w:r>
        <w:rPr>
          <w:rFonts w:ascii="Amiri" w:hAnsi="Amiri" w:eastAsia="Amiri" w:cs="Amiri"/>
          <w:color w:val="111111"/>
          <w:sz w:val="28"/>
          <w:sz w:val="28"/>
          <w:szCs w:val="28"/>
          <w:rtl w:val="true"/>
          <w:lang w:bidi="ar-SA"/>
        </w:rPr>
        <w:t>، وذلك إنّما يصحّ فيما لو كان المستند في الفتوى عند المشهور هو ذلك الخبر ، وإلاّ فلا ملازمة بين كون المضمون مشهورا وصدور الخبر عن الإمام ، كما لا ملازمة بين القطع بالمضمون وصدوره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كالشهرة في الرواية ؛ فإنّها جابرة للخبر فيما لو كان سنده قاصرا إلاّ أنّه لا مضمون لها ، وإنّما هو كسائر القرائن الداخلية كالأعدلية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عبارة </w:t>
      </w:r>
      <w:r>
        <w:rPr>
          <w:rStyle w:val="FootnoteAnchor"/>
          <w:rtl w:val="true"/>
        </w:rPr>
        <w:footnoteReference w:id="1071"/>
      </w:r>
      <w:r>
        <w:rPr>
          <w:rFonts w:ascii="Amiri" w:hAnsi="Amiri" w:eastAsia="Amiri" w:cs="Amiri"/>
          <w:color w:val="111111"/>
          <w:sz w:val="28"/>
          <w:sz w:val="28"/>
          <w:szCs w:val="28"/>
          <w:rtl w:val="true"/>
          <w:lang w:bidi="ar-SA"/>
        </w:rPr>
        <w:t xml:space="preserve">تطابق مضمونها مضمون الآخر سواء كان جابرا كما </w:t>
      </w:r>
    </w:p>
    <w:p>
      <w:pPr>
        <w:pStyle w:val="BookText"/>
        <w:rPr/>
      </w:pPr>
      <w:r>
        <w:rPr>
          <w:rFonts w:ascii="Amiri" w:hAnsi="Amiri" w:eastAsia="Amiri" w:cs="Amiri"/>
          <w:color w:val="111111"/>
          <w:sz w:val="28"/>
          <w:sz w:val="28"/>
          <w:szCs w:val="28"/>
          <w:rtl w:val="true"/>
          <w:lang w:bidi="ar-SA"/>
        </w:rPr>
        <w:t>فرضنا ، أو لم يكن ، كما إذا كان هناك شهرة في الفتوى من غير أن يحصل منه الظنّ بصدور الخبر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به يتزايد أحد الدليلين على الآخر </w:t>
      </w:r>
      <w:r>
        <w:rPr>
          <w:rStyle w:val="FootnoteAnchor"/>
          <w:rtl w:val="true"/>
        </w:rPr>
        <w:footnoteReference w:id="1072"/>
      </w:r>
      <w:r>
        <w:rPr>
          <w:rFonts w:ascii="Amiri" w:hAnsi="Amiri" w:eastAsia="Amiri" w:cs="Amiri"/>
          <w:color w:val="111111"/>
          <w:sz w:val="28"/>
          <w:sz w:val="28"/>
          <w:szCs w:val="28"/>
          <w:rtl w:val="true"/>
          <w:lang w:bidi="ar-SA"/>
        </w:rPr>
        <w:t>عند تعارضهما سواء كان جابرا ، أو معاضدا ، أو لا ، أمّا الأخير ، فكالأعدلية ، فإنّها مرجّحة فقط ، وأمّا ما كان جابرا ومرجّحا كالشهرة في الرواية ، فإنّها جابرة ومرجّحة أيضا ، وأمّا ما كان جابرا ومرجّحا ومعاضدا ، فكالشهرة في الفتوى على القول بكونها من المرجّحات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به ينقص أحد الدليلين عن الآخر سواء كان له جهات التعاضد والترجيح والجبر بالنسبة إلى دليل آخر ، أو لا ، وربّما يتخيّل أنّ رجحان أحد الدليلين بمرجّح إنّما هو موهن بالنسبة إلى الآخر ، وليس كذلك بل الموهن ما به ينقص أحد الدليلين المفروض تساويهما عن الآخر ، وأين هذا عن زيادة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فيما إذا اجتمع الوهن والترجيح في دليلين بأن كان أحدهما موهنا بواسطة شذوذه مثلا ، والآخر مشهورا في الرواية ، فعدم تقدّمه على الراجح إنّما يستند إلى كونه موهونا ، فإنّ عدم المعلول في العادة إنّما يستند إلى عدم المقتضي عند اجتماعه مع وجود المانع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النسبة بين الأمور الأربعة هو التباين بحسب المفهوم ، فإنّ جهة التعاضد تغاير جهة الترجيح ، والعموم من وجه بحسب المورد ، ويظهر الوجه في الكلّ بأدنى تأمّل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هذا ، فاعلم أنّ الكلام تارة يقع في الظنون التي لم يعلم حجّيتها ؛ لعدم قيام دليل عليها ، وأخرى في الظنون التي قام الدليل على عدم حجّيتها بعد أنّ الأصل عدم الاعتداد بها جميعا ؛ لأنّ الانجبار والتعاضد وأخويه من الآثار الشرعية ، وما لم يقم دليل قطعي عليها الأصل يقتضي عدمها ، فلنذكر كلّ واحد منها في 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الأوّل في أنّ الظنّ الذي لم يعلم اعتباره يمكن أن يكون جابرا للسند فيما إذا كان الكسر فيه أو للدلالة أم لا؟ ففيه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في الجبر في السند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حجّيته كالشهرة في الفتوى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يصير جابرا فيما لو كان المجبور به يصير داخلا تحت عنوان يثبت حجّيته نوعا مثلا ، لو قلنا بأنّ الخبر الموثوق به حجّة ، فإن وجدنا خبرا كذلك ، فلا كلام ، وإلاّ فإن انضمّ إليه شهرة فتوائية أو 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يحصل الوثوق بصدور الخبر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حجّة أيضا باعتبار انجباره بها ، وإلاّ فلا حجّية فيه ، ولا ينافي ذلك عدم حجّية الشهرة في نفسها ، فإنّه لا اعتماد عليها حينئذ بل إنّما هي محقّقة لموضوع هي الحجّة ، ومحصّلة لمصداق قام الدليل على اعتباره عموما بخلاف ما لو قلنا بحجّية خبر العادل ، فإنّ الشهرة في الفتوى لا دخل لها في عدالة الراوي التي بها أنيطت الحجّية ، فالمعيار في الانجبار هو حصول مصداق الحجّة بعده ، فإن حصل فيصحّ ، وإلاّ فلا يصحّ ، هذا فيما إذا </w:t>
      </w:r>
      <w:r>
        <w:rPr>
          <w:rStyle w:val="FootnoteAnchor"/>
          <w:rtl w:val="true"/>
        </w:rPr>
        <w:footnoteReference w:id="1073"/>
      </w:r>
      <w:r>
        <w:rPr>
          <w:rFonts w:ascii="Amiri" w:hAnsi="Amiri" w:eastAsia="Amiri" w:cs="Amiri"/>
          <w:color w:val="111111"/>
          <w:sz w:val="28"/>
          <w:sz w:val="28"/>
          <w:szCs w:val="28"/>
          <w:rtl w:val="true"/>
          <w:lang w:bidi="ar-SA"/>
        </w:rPr>
        <w:t xml:space="preserve">قلنا بعدم حجّية الظنّ المطلق ، وأمّا على القول به ، فالشهرة هي بنفسها حجّة لا جبر فيها إلاّ على ما يراه السيّد الطباطبائي رحمه‌اللّه من عدم حجّية الشهرة لقيام الشهرة على عدم حجّيتها </w:t>
      </w:r>
      <w:r>
        <w:rPr>
          <w:rStyle w:val="FootnoteAnchor"/>
          <w:rtl w:val="true"/>
        </w:rPr>
        <w:footnoteReference w:id="1074"/>
      </w:r>
      <w:r>
        <w:rPr>
          <w:rFonts w:ascii="Amiri" w:hAnsi="Amiri" w:eastAsia="Amiri" w:cs="Amiri"/>
          <w:color w:val="111111"/>
          <w:sz w:val="28"/>
          <w:sz w:val="28"/>
          <w:szCs w:val="28"/>
          <w:rtl w:val="true"/>
          <w:lang w:bidi="ar-SA"/>
        </w:rPr>
        <w:t>، فإنّه بعد انضمام الشهرة إلى الخبر يخرج عن مورد الشهرة في المسألة الأصولية ؛ إذ الشهرة لو لم تقم على حجّية الخبر المنجبر بالشهرة ، فلا أقلّ من عدم قيامها على عدم حجّيته ، فلا يخفى أنّ في إطلاق الانجبار في المقام نوع تسامح كما هو ظاهر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فالجبر في السند وعدمه إنّما يختلف بحسب اختلاف المذاهب في أخبار الآحاد ، فإن قلنا بحجّيتها من حيث الظنّ بالصدور ، فيصحّ الانجبار ، وإن قلنا بأنّ خبر العادل حجّة ، فلا يعقل الجبر كما إذا قلنا بأنّ الظنّ الحاصل من الخبر بالحكم الواقعي </w:t>
      </w:r>
    </w:p>
    <w:p>
      <w:pPr>
        <w:pStyle w:val="BookText"/>
        <w:rPr/>
      </w:pPr>
      <w:r>
        <w:rPr>
          <w:rFonts w:ascii="Amiri" w:hAnsi="Amiri" w:eastAsia="Amiri" w:cs="Amiri"/>
          <w:color w:val="111111"/>
          <w:sz w:val="28"/>
          <w:sz w:val="28"/>
          <w:szCs w:val="28"/>
          <w:rtl w:val="true"/>
          <w:lang w:bidi="ar-SA"/>
        </w:rPr>
        <w:t xml:space="preserve">حجّة ، فإنّه لا معنى للانجبار ؛ إذ الشهرة مثلا إن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 فإنّما هو من جهة إفادته بنفسها ، والخبر بعد الانجبار لا يصير مفيدا للظنّ بالحكم الواقعي ، لعدم الملازمة بينهما كما لا يخفى ، فإنّ الجبر إنّما يتصوّر في دليل ثبت حجّيته نوعا مع فقد بعض شرائطه على وجه به يصير واجدا له ، داخلا تحت عنوان الدليل كما عرفت ، والظنّ الحاصل من الشهرة لا ربط له بالظنّ الحاصل من الخبر كما هو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في الجبر في الدلالة بعد أن كانت قاصرة ، وقد يستشكل في قصور الدلالة حيث إنّ اللفظ لو لم يكن دالاّ كما إذا كان مجملا لتردّده بين معاني المشترك مثلا ، فلا وجه للجبر ؛ إذ بالشهرة لا يصير اللفظ دالاّ ، وداخلا تحت عنوان الدليل ؛ لعدم الارتباط بينهما ، ولو كان دالاّ ، فلا حاجة إلى الانجبار ؛ لأنّ القرائن المعتبرة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صارفة أو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كونها حجّة فيما يفيدها عرفا أو شرعا إلاّ أنّه على الأخير يقتصر في مجاري استعمالاته خاصّة في وجه ، فاللفظ لو اقترن بها ، فدلالته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مشتركا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يقترن بها ، فلا عبرة به أصلا ، فلا واسطة بين دلالة اللفظ وعدمها حتّى يقال بالقصور ، لكنّه قد يتصوّر القصور على بعض الوجوه ، فتارة من حيث القصور في مقتضى الدلالة كما في الإشعارات والمفاهيم التي يتخيّل ظهورها كمفهوم الوصف مثلا ، فإنّ التعليق على الوصف يشعر بالعلّية ، وأخرى من حيث تخيّل وجود المانع عن الدلالة بعد إحراز المقتضي كما في العامّ المخصّص بتخصيصات عديدة ، فإنّه قد يتوهّم قصور دلالته فيما عدا الأفراد الخارجة نظرا إلى كثرة التخصيص على وجه يتخيّل ممانعتها لدلالته عليها ، وكيف كان ، فالمستفاد من مطاوي كلماتهم انحصار موارد الانجبار في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معنى غير معهود استعماله فيه بغير قرينة صارفة أو معيّنة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المعنى المتعارف استعمال اللفظ فيه حقيقة أو مجازا من غير ما يقتضيه 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 على إعمال دليل موهون فيما يتوهّم وجود المانع عنه كما إذا كان عامّا نالت يد التخصيص إليه كثيرا ، وعلى التقادير ، فالجابر تارة فهم المشهور من اللفظ بعد استنادهم إليه ، وأخرى قيام الشهرة منهم موافقا لأحد الوجوه الثلاثة من غير استنادهم في فتاويهم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وجه للانجبار فيما إذا حمل اللفظ على معنى غير متداول الاستعمال فيه ؛ لأنّ الأصول اللفظية بعد قيام الدليل على اعتبارها كالأصول العملية لا يقاومها إلاّ ما ثبت كونه معتبرا ، والمفروض عدم ثبوت اعتبار فهم المشهور في قبال أصالة الحقيقة مثلا ، وكما أنّ أصالة البراءة لا تزيلها الشهرة ، فكذا أصالة الحقيقة لا تدفع بأمثالها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استناد المشهور إلى رواية غير ظاهرة الدلالة على ما أفتوا به يكشف عن قرينة قائمة دالّة عليه دلالة واضحة تامّة كما أنّ الشهرة فيما إذا انعقدت على فتوى تكشف عن أمارة دالّة عليه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فيما إذا كشفت </w:t>
      </w:r>
      <w:r>
        <w:rPr>
          <w:rStyle w:val="FootnoteAnchor"/>
          <w:rtl w:val="true"/>
        </w:rPr>
        <w:footnoteReference w:id="1075"/>
      </w:r>
      <w:r>
        <w:rPr>
          <w:rFonts w:ascii="Amiri" w:hAnsi="Amiri" w:eastAsia="Amiri" w:cs="Amiri"/>
          <w:color w:val="111111"/>
          <w:sz w:val="28"/>
          <w:sz w:val="28"/>
          <w:szCs w:val="28"/>
          <w:rtl w:val="true"/>
          <w:lang w:bidi="ar-SA"/>
        </w:rPr>
        <w:t>عن القرينة كشفا قطعيا ، فإنّه ليس وراء عبّادان قرية ، وإنّما الشأن فيما إذا كان ظنّيا ، فإنّ مرجع الظنّ بإرادة المعنى الذي فهمه المشهور إلى الظنّ بوجود القرينة ، ولا دليل على حجّية الظنّ كما هو المفروض سيّما بعد دلالة الأصول التعبّدية بخلافه ، هذا فيما إذا حمل اللفظ على معنى غير متعارف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ترك المعنى المتعارف بعد إعراض المشهور عنه فإن قلنا بأنّ الدليل الدالّ على حجّية الظواهر يعمّ ما إذا كان المشهور على خلافها أيضا ، فلا عبرة بالشهرة لعين ما عرفت آنفا ، وإلاّ يعوّل بعدم حجّية الظواهر بعد إعراض المشهور ، ولك إرجاع هذا القسم إلى القسم الأوّل كما لا يخفى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الإقدام على إجمال الدليل بعد ضعفه لاحتمال وجود المانع ، فلا نضايق القول </w:t>
      </w:r>
    </w:p>
    <w:p>
      <w:pPr>
        <w:pStyle w:val="BookText"/>
        <w:rPr/>
      </w:pPr>
      <w:r>
        <w:rPr>
          <w:rFonts w:ascii="Amiri" w:hAnsi="Amiri" w:eastAsia="Amiri" w:cs="Amiri"/>
          <w:color w:val="111111"/>
          <w:sz w:val="28"/>
          <w:sz w:val="28"/>
          <w:szCs w:val="28"/>
          <w:rtl w:val="true"/>
          <w:lang w:bidi="ar-SA"/>
        </w:rPr>
        <w:t xml:space="preserve">بأنّ الشهرة واستناد الأصحاب إليه يوجب كسر جبره ، فيصحّ التعويل عليه كما ترى في عمومات كثيرة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إلاّ أنّه لا يخفى عدم تحقّق الجبر حقيقة في المقام ؛ لأنّ الجبر على ما عرفت ينبغي أن يكون بوجه يوجب اقتضاء المقتضي ، أو رفع المانع منه ، وفي المقام ليس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كثرة التخصيص مثلا لو كان </w:t>
      </w:r>
      <w:r>
        <w:rPr>
          <w:rStyle w:val="FootnoteAnchor"/>
          <w:rtl w:val="true"/>
        </w:rPr>
        <w:footnoteReference w:id="1077"/>
      </w:r>
      <w:r>
        <w:rPr>
          <w:rFonts w:ascii="Amiri" w:hAnsi="Amiri" w:eastAsia="Amiri" w:cs="Amiri"/>
          <w:color w:val="111111"/>
          <w:sz w:val="28"/>
          <w:sz w:val="28"/>
          <w:szCs w:val="28"/>
          <w:rtl w:val="true"/>
          <w:lang w:bidi="ar-SA"/>
        </w:rPr>
        <w:t>على وجه يوجب إجمال اللفظ في محلّ الاستدلال ، فلا شكّ أنّ الشهرة بعد عدم اعتبارها لا تصير قرينة معيّنة ؛ لأنّ كون الشيء قرينة يحتاج إلى دليل قطعي عرفا أو شرعا والمفروض انتفاؤه ، وإلاّ فلا وجه لإهماله وللاستناد إلى فهم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يحدث في النفس نوع حزازة عند التمسّك به فيما لم يستند إليه المشهور ، وبعد الاستناد يكشف عن عدم الحزازة واقعا ، فيطمئنّ النفس عند التمسّك به كما لا يخفى ، ومنه يظهر الحال على التقيّد الثاني بأقسامه الثلاثة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في الجبر بظنّ لم يقم على عدم اعتباره دليل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الجبر بما قام الدليل على عدم اعتباره كالقياس عند من لا يرى حجّية مطلق الظنّ ، فالحقّ أنّه لا يصلح له ؛ لأنّ المستفاد من أخبار القياس ولو بعمومها وإطلاقها عدم جواز الركون إليه مطلقا وعدم ترتّب حكم شرعي بواسطته ، فإنّه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قاس شيئا من الدين ، قرنه اللّه مع إبليس في جهنّم </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ولا شكّ أنّ الجبر ممّا ترتّب عليه أثر شرعي ، كيف والمعلول إنّما يستند في العادة إلى الأخير من أجزاء علّته التامّة ، فالحكم المستند إلى المجبور بالقياس إنّما يتمّ بعد انجباره به ، فالاستناد إليه حقيقة سواء كان في جبر السند أو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 فلأنّ القياس في واقعة النبيذ والخمر مثلا لا ربط له بصدور خبر النبيذ عن الإمام إلاّ بعد حصول الظنّ منه بأنّ النبيذ أيضا حرام قياسا على الخمر وهو يلازم الظنّ بصدور خبر عن الإمام يطابق مضمون القياس نظرا إلى أنّ الحكم في كلّ واقعة مثلا صادر عنهم ، والظنّ بصدور الخبر عن الإمام إنّما نشأ من الظنّ القياسي ، وإعماله يوجب إعمال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الدليل هو عدم جواز الأخذ بالظنّ الحاصل من القياس بنفسه من غير واسطة ، ولا دليل على بطلان ما يتولّد منه ، فيصحّ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مجرّد تغيّر في العبارة مع العلم باتّحاد المطلب ؛ لأنّ المستند إلى المستند إلى الشيء مستند إلى ذلك الشيء سيّما بعد الإطلاق في منع العمل به ، ولو كان كما زعم ، لصحّ </w:t>
      </w:r>
      <w:r>
        <w:rPr>
          <w:rStyle w:val="FootnoteAnchor"/>
          <w:rtl w:val="true"/>
        </w:rPr>
        <w:footnoteReference w:id="1079"/>
      </w:r>
      <w:r>
        <w:rPr>
          <w:rFonts w:ascii="Amiri" w:hAnsi="Amiri" w:eastAsia="Amiri" w:cs="Amiri"/>
          <w:color w:val="111111"/>
          <w:sz w:val="28"/>
          <w:sz w:val="28"/>
          <w:szCs w:val="28"/>
          <w:rtl w:val="true"/>
          <w:lang w:bidi="ar-SA"/>
        </w:rPr>
        <w:t>التعويل عليه عند القائل بحجّية الظنّ مطلقا في نفس الأحكام الشرعية ؛ لأنّ قياس النبيذ على الخمر يكشف كشفا ظنّيا عن وجود خبر عن المعصوم كما في الإجماع المنقول ، أو الشهرة على تقدير الكشف ، مع أنّ من المعلوم عدم جواز الاستناد إليه عند الكلّ ، وبالجملة ،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فالأمر فيه واضح بعد ما عرفت من عدم الانجبار بالظنّ الذي لم يقم دليل على اعتباره بجميع أقسامه حتّى القسم الأخير كما عرفت من حرمة الاستناد إليه مطلقا ، وأمّا على القول بحجّية مطلق الظنّ ، فلا يعقل جبر القياس بشيء ؛ إذ بالقياس في واقعة النبيذ يصير الخبر الدالّ على حرمته مظنون الصدور إلاّ أنّه لا يفيد ظنّا آخر بعد ما صار نفس الحكم المدلول عليه بالخبر مظنونا ؛ لامتناع تحصيل الحاصل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في أنّ الظنّ على احتماليه يمكن أن يكون موهنا لدليل على وجه يخرجه عن الحجّية ، أو لا؟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الظنون التي لم يعلم عدم اعتبارها كالشهرة وأضرابها ، فكونها موهنة للأدلّة الشرعية على القول بالظنون الخاصّة تبع عدم شمول الدليل الدالّ على حجّيتها لها وشمولها بعد ملاحظة الموهن ولحوقه لها ، فإن كان الدليل شاملا ولو بإطلاقه ، فلا عبرة بوجود الموهن وإن لم يكن شاملا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لانتفاء موضوع الدليل بعد ما قام الدليل على اعتباره على تقدير وجود الموضوع كما في آية النبأ على تقدير دلالتها على حجّية الخبر الموثوق به فيما لو ارتفع الوثوق عنه بملاحظة الموهن مثل إعراض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لانتفاء أصل الدليل الدالّ على الحجّية كالإجماع على حجّية الصحيح مثلا على تقدير إعراض المشهور عن الرواية ، فيصير الظنّ كالشهرة موهنا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الدالّ على حجّية أخبار الآحاد لا تخلو إمّا أن يكون هو العقل كبعض الوجوه العقلية التي تقدّم ذكرها في عداد الأدلّة على حجّية أخبار الآحاد بالخصوص ، وإمّا أن يكون هو الإجماع ، وإمّا أن يكون الأخبار المتواترة أو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لو كانت الشهرة القائمة على خلاف مضمون الخبر مفيدة للظنّ الشخصي أو مزيلة للظنّ الحاصل من الخبر لولاها ، فلا إشكال في كونها موهنة ؛ لأنّ العقل إنّما دلّ على حجّية الأخبار في سلسلة مظنوناتها ، وعند انعزالها عن الظنّ لا دليل على حجّيتها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 فيتبع المجمع عليه ، فلو كان المجمع عليه هو الخبر الموثوق به مثلا ، فبعد إعراض المشهور لا يبقى الإجماع في وجه أو الوثوق في وجه آخر ، وإن كان قد يمكن دعوى الإجماع على تقرير إعراض المشهور مثلا إلاّ أنّ الوثوق غير باق بعد ذلك ، ولو كان المجمع عليه هو الخبر الصحيح ، لا يضرّه انعقاد الاستقراء مثلا على خلافه ، كما أنّه لا يوهنه نقل الإجماع على خلافه فيما لو فرضنا تطابقه بالشهرة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الثالث ، فيتبع المدلول الحاصل من الأخبار والآيات ، فلو كان مدلولها حجّية مطلق الخبر ولو فيما خالفه الشهرة ولو فيما لم يفد الظنّ ، فلا معنى للتوهين وإن انعقد الشهرة المفيدة للظنّ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فالأمر في الموهن على خلاف الجبر ، فكما لا يشمل الدليل بعد لحوق الوهن لدليل على وجه يخرج عن موضوع الدليل ، أو ينتفي الدليل عنه فيصير موهنا ، وإلاّ فلا ، والصغريات في ذلك مختلفة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بحجّية الظنّ المطلق ، فلا يتصوّر للتوهين محلّ ؛ لأنّ الكلام إنّما هو في توهين الظنون التي لم يقم على اعتبارها وعدم اعتبارها دليل ، وبعبارة أخرى في توهين الظنون المشكوكة ، وبناء على القول بحجّية مطلق الظنّ لا يكون هناك ظنّ مشكوك ؛ لاندراجه تحت ما دلّ على حجّية مطلق الظنّ لو كان ممّا لم يقم دليل على عدم حجّيته هذا هو الكلام في الظنون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توهين الظنون التي قام القاطع على عدم اعتبارها كالقياس ونحوه ، فتوضيحه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وجوها بل يمكن أن يقال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موهنا مطلقا سواء قلنا بالظنّ المطلق ، أو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موهنا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كان لوصف الظنّ مدخل فيه موضوعا كالظنّ المطلق ، أو جزء موضوع كالخبر المفيد للظنّ ، وبين غيره كالتعبّديات مثل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القول بالظنّ الخاصّ ، فيصير موهنا ، والقول بالظنّ المطلق ، فلا يصير موهنا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يستند من يرى أوّل الوجوه بأنّ حجّية كلّ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ممّا قام القاطع على حجّيته بالخصوص كأصالة الحقيقة في الدلالات ونحوها ، أو ممّا يندرج في مطلق الظنّ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عدم قيام ظنّ بخلافه مطلقا سواء كان من </w:t>
      </w:r>
    </w:p>
    <w:p>
      <w:pPr>
        <w:pStyle w:val="BookText"/>
        <w:rPr/>
      </w:pPr>
      <w:r>
        <w:rPr>
          <w:rFonts w:ascii="Amiri" w:hAnsi="Amiri" w:eastAsia="Amiri" w:cs="Amiri"/>
          <w:color w:val="111111"/>
          <w:sz w:val="28"/>
          <w:sz w:val="28"/>
          <w:szCs w:val="28"/>
          <w:rtl w:val="true"/>
          <w:lang w:bidi="ar-SA"/>
        </w:rPr>
        <w:t>الظنون المعتبرة ، أو المشكوكة ، أو الغير المعتبرة كما يراه بعضهم في الظنون الدلالية التي هي أقوى الظنون الخاصّة على ما حكاه بعض مشايخنا ، وبعد ما قام الظنّ القياسي بخلافه يرتفع موضوع الحجّة ، فليس بمعتبر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الظنون الغير المعتبرة كالقياس ونحوه إنّما هي ملغاة </w:t>
      </w:r>
      <w:r>
        <w:rPr>
          <w:rStyle w:val="FootnoteAnchor"/>
          <w:rtl w:val="true"/>
        </w:rPr>
        <w:footnoteReference w:id="1080"/>
      </w:r>
      <w:r>
        <w:rPr>
          <w:rFonts w:ascii="Amiri" w:hAnsi="Amiri" w:eastAsia="Amiri" w:cs="Amiri"/>
          <w:color w:val="111111"/>
          <w:sz w:val="28"/>
          <w:sz w:val="28"/>
          <w:szCs w:val="28"/>
          <w:rtl w:val="true"/>
          <w:lang w:bidi="ar-SA"/>
        </w:rPr>
        <w:t>بحكم الأدلّة الدالّة على عدم جواز الركون إليه والاعتماد عليه ، وترك الدليل بواسطة القياس إنّما هو ركون إليه ، فلا يصحّ ترك أصالة الحقيقة ، أو الخبر الصحيح أو الشهرة نظرا إلى قيام ظنّ قياسي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الناهضة على حرمة الاستناد إليه إنّما تنهض دليلا بالنسبة إلى جعله مرآة للحكم الواقعي ، وكاشفا عنه كما في العلم والظنّ المطلق على القول به ، وأمّا الآثار المترتّبة على موضوعية الظنّ الحاصل من القياس ، فهي آثار عادية أو عقلية ، ولا ربط للأدلّة الشرعية بها نفيا وإثباتا ، مثلا لو فرضنا موضوعية الخبر لحكم كما في أحكام العدّة للمرأة الغائب عنها زوجها ، فلا يلاحظ في الخبر صحّته وضعفه مثلا بل المدار على مجرّد صدق الأخبار ، فتحسب العدّة من حين صدور الخبر بعد العلم بموت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فاختلاف أحكام الظنّ والعلم موضوعا ومرآة ممّا لا يكاد يخفى على أوائل العقول ، فلو نذر واحد إعطاء دينار لمن ظنّ بالحكم الفلاني ، يجوز إعطاؤه لمن ظنّ بواسطة القياس وإن كان الظنّ الحاصل منه غير معتبر في مقام الكشف والمرآتية ، 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المأخوذ عدمه في الدليل عند هذا القائل إنّما هو معتبر على جهة الموضوعية بعد قيام الظنّ مطلقا على خلافه سواء في ذلك القياس وغيره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وجه التفصيل بين ما أخذ الظنّ في دليله موضوعا ، أو جزء موضوع ، وبين غيره من الأدلّة التعبّدية ، فإنّ الأدلّة التعبّدية لا تناط بالظنّ مطلقا على تقدير </w:t>
      </w:r>
    </w:p>
    <w:p>
      <w:pPr>
        <w:pStyle w:val="BookText"/>
        <w:rPr/>
      </w:pPr>
      <w:r>
        <w:rPr>
          <w:rFonts w:ascii="Amiri" w:hAnsi="Amiri" w:eastAsia="Amiri" w:cs="Amiri"/>
          <w:color w:val="111111"/>
          <w:sz w:val="28"/>
          <w:sz w:val="28"/>
          <w:szCs w:val="28"/>
          <w:rtl w:val="true"/>
          <w:lang w:bidi="ar-SA"/>
        </w:rPr>
        <w:t>دلالة دليل عليها بخلاف غيرها ، فإنّ حصول الظنّ من القياس مثلا ينافي حصول الظنّ من الخبر ، أو الشهرة ، فمناط الحجّية منفيّ فيهما على تقدير قيام الظنّ القياسي بخلافها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وجه التفصيل بين الظنّ الخاصّ ومطلق الظنّ في طرف الإثبات في مطلق الظنّ ، فإنّ قيام القياس بخلافه يوجب انهدام أساسها من حيث الظنّ ؛ لامتناع تعارض الظنّين وقيامهما على النقيضين ، وبعد ما فرضنا حصول الظنّ </w:t>
      </w:r>
      <w:r>
        <w:rPr>
          <w:rStyle w:val="FootnoteAnchor"/>
          <w:rtl w:val="true"/>
        </w:rPr>
        <w:footnoteReference w:id="1081"/>
      </w:r>
      <w:r>
        <w:rPr>
          <w:rFonts w:ascii="Amiri" w:hAnsi="Amiri" w:eastAsia="Amiri" w:cs="Amiri"/>
          <w:color w:val="111111"/>
          <w:sz w:val="28"/>
          <w:sz w:val="28"/>
          <w:szCs w:val="28"/>
          <w:rtl w:val="true"/>
          <w:lang w:bidi="ar-SA"/>
        </w:rPr>
        <w:t>من القياس يمنع حصوله من الشهرة ، فيسقط عن الحجّية بسقوط مناطها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هذا التفصيل في جانب النفي هو أنّ الظنّ وإن أخذ على جهة الموضوعية ظاهرا في الظنون الخاصّة إلاّ أنّه أيضا لا يخلو عن حيثية المرآتية والكاشفية واقعا ، فإنّ المناط في عدم جعل الظنّ معتبرا في حجّية دليل شرعا إنّما هو عدم انكشاف خلاف مدلوله بذلك الظنّ ، وبعد ما علمنا بأنّ انكشاف القياس ونحوه عن الواقع ممّا لا يجدي في الانكشاف شرعا ، ولا يجوز التعويل عليه ، نحكم بعدم كونه موهنا أيضا ، مثلا لو قلنا بحجّية الخبر فيما لو لم يقم ظنّ على خلافه ، فإنّما اشترطنا هذا الشرط من حيث عدم انكشاف حال الخبر بالظنّ القائم على خلافه ، فلو علمنا بعدم اعتبار انكشاف ظنّ شرعا ، فلا بدّ من الأخذ بالخبر وعدم الاعتناء بكشف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فموضوعية الظنّ في أمثال المقام مرجعه إلى اعتباره مرآة لحال ما اشترط انتفاؤه فيه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يتخيّل القائل بالتوهين مطلقا حتّى بالنسبة إلى الظنون المطلقة جريان هذا الكلام بعينه في الظنون المطلقة ، فيشكل الأمر عليه من حيث إنّ الحجّة الشرعية على ما يراه هو الظنّ الحاصل من الأمارة المشكوكة ، وبعد انعزاله عن الظنّ فالعقل لا يلتزم باعتباره ، مثلا لو فرضنا قيام شهرة خالية عن المعارض ، مفيدة للظنّ في محلّ </w:t>
      </w:r>
    </w:p>
    <w:p>
      <w:pPr>
        <w:pStyle w:val="BookText"/>
        <w:rPr/>
      </w:pPr>
      <w:r>
        <w:rPr>
          <w:rFonts w:ascii="Amiri" w:hAnsi="Amiri" w:eastAsia="Amiri" w:cs="Amiri"/>
          <w:color w:val="111111"/>
          <w:sz w:val="28"/>
          <w:sz w:val="28"/>
          <w:szCs w:val="28"/>
          <w:rtl w:val="true"/>
          <w:lang w:bidi="ar-SA"/>
        </w:rPr>
        <w:t xml:space="preserve">انعقادها ، وشهرة أخرى معارضة بالقياس ، خالية عن الظنّ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يكونا في نظر العقل متساويين بدعوى أنّ العقل يحكم بحجّية الظنون الشخصية وإلقاء الظنون النوعية فيما لم يكن زوال ظنّها بواسطة معارضة القياس ، وأنّى له بإثبات هذا المطلب؟ فدونه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فقد يتخيّل عدم توهين القياس للظنون المطلقة نظرا إلى أنّ العقل بعد علمه بحال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شيء أبعد في دين اللّه من 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بمخالفة القياس ولو كان الظنّ فيه ، ويعمل بالظنّ النوعي زاعما تساويه مع الظنون الشخصية وهو بمحلّ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فأقرب الوجوه هو التفصيل بين الظنون المطلقة والظنون الخاصّة ، فيقال بالتوهين في الأوّل ؛ لعدم </w:t>
      </w:r>
      <w:r>
        <w:rPr>
          <w:rStyle w:val="FootnoteAnchor"/>
          <w:rtl w:val="true"/>
        </w:rPr>
        <w:footnoteReference w:id="1082"/>
      </w:r>
      <w:r>
        <w:rPr>
          <w:rFonts w:ascii="Amiri" w:hAnsi="Amiri" w:eastAsia="Amiri" w:cs="Amiri"/>
          <w:color w:val="111111"/>
          <w:sz w:val="28"/>
          <w:sz w:val="28"/>
          <w:szCs w:val="28"/>
          <w:rtl w:val="true"/>
          <w:lang w:bidi="ar-SA"/>
        </w:rPr>
        <w:t>تعقّل عدمه فيها كما عرفت ، وبعدمه في الثاني لما عرفت أيضا من أنّ أخذ الظنّ في موضوع الدليل إنّما هو من باب التأييد وعدم كشف خلافه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رواية أبان بن تغلب </w:t>
      </w:r>
      <w:r>
        <w:rPr>
          <w:rStyle w:val="FootnoteAnchor"/>
          <w:rtl w:val="true"/>
        </w:rPr>
        <w:footnoteReference w:id="1083"/>
      </w:r>
      <w:r>
        <w:rPr>
          <w:rFonts w:ascii="Amiri" w:hAnsi="Amiri" w:eastAsia="Amiri" w:cs="Amiri"/>
          <w:color w:val="111111"/>
          <w:sz w:val="28"/>
          <w:sz w:val="28"/>
          <w:szCs w:val="28"/>
          <w:rtl w:val="true"/>
          <w:lang w:bidi="ar-SA"/>
        </w:rPr>
        <w:t xml:space="preserve">، فإنّ الملاحظ في سياقها يرى تعرّض الإمام فيها من حيث إنّ الراوي ترك الرواية في قبال القياس وإن كان قد يحتمل أن يكون بواسطة معارضة الراوي له كما يستفاد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قد أخذتني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يحتمل أيضا أن يكون بواسطة ترك التسليم الوارد في وجوبه أخبار كثيرة حتّى أنّ جملة منها دلّت على كفر الرادّ صريحا ، فإنّه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كنّا بالعراق ونقول إنّ من جاء به الشيطان ، تعرّض الإمام من عدم تسليمه للرواية ، لكنّه لا يبعد دعوى ظهور مساقها في الأوّل على أنّ السيرة المستمرّة من العلماء الأعلام في كلّ الأمصار ، في جميع الأعصار ، على العمل بإخبار الواحد المعارض بالقياس ، ولم يذكر أحد منهم اشتراط العمل به بالفحص عن الموهن القياسي كما اشترطوا بالفحص عن غيره والفحص عن </w:t>
      </w:r>
    </w:p>
    <w:p>
      <w:pPr>
        <w:pStyle w:val="BookText"/>
        <w:rPr/>
      </w:pPr>
      <w:r>
        <w:rPr>
          <w:rFonts w:ascii="Amiri" w:hAnsi="Amiri" w:eastAsia="Amiri" w:cs="Amiri"/>
          <w:color w:val="111111"/>
          <w:sz w:val="28"/>
          <w:sz w:val="28"/>
          <w:szCs w:val="28"/>
          <w:rtl w:val="true"/>
          <w:lang w:bidi="ar-SA"/>
        </w:rPr>
        <w:t>المعارض ، فإنّه لا فرق بين الموهن والمعارض من جهة لزوم الفحص عنه ، ولا بين أقسام الموهن ، فلو كان مخالفة القياس للخبر موهنا له ، كان عليهم أن يشترطوا بالفحص عنه ، فالقياس وجوده كعدمه على القول بالظنون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بالظنون المطلقة ، فيحتمل أن يستندوا في العمل بالأمارة الموهنة بالقياس بجعل القياس في قبال الأدلّة الأخر مثل الاستصحاب في قبال الأدلّة الاجتهادية بناء على حجّيته من باب الوصف ؛ إذ به يشكل عليهم تقدّم الخبر الواحد عليه بناء على هذا القول ، لكنّه يمكن التفصّي عنه بأنّ سائر الأدلّة مقدّمة عليه إجماعا إلاّ أنّه خلاف الفرض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 في التعاضد لا خفاء في حصول التعاضد بالنسبة إلى جميع الظنون سواء كان من الظنون المطلقة ، أو غيرها ممّا قام القاطع على عدم اعتباره ، ولا ضير فيه إلاّ أنّه لا يثمر في شيء ، إذ الاستناد حقيقة إنّما هو إلى الدليل الذي وافق الظنّ ، وحصوله ممّا لا مدخل له في الحكم ، ولذا تراهم يذكرون الوجوه الاعتبارية في عداد الأدلّة بعد إحكام المقصود بالتمسّك إلى دليل معلوم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يثمر فيما إذا فرضنا أوله إلى جبر دلالة ، أو سند ، أو توهين ، أو ترجيح فيعلم الحكم فيه ممّا مرّ وسيجيء إن شاء اللّه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الرابع في الترجيح ، فتارة بالظنون التي لم يقم دليل على عدم اعتبارها ، وأخرى بما قام القاطع على عدم اعتباره </w:t>
      </w:r>
      <w:r>
        <w:rPr>
          <w:rStyle w:val="FootnoteAnchor"/>
          <w:rtl w:val="true"/>
        </w:rPr>
        <w:footnoteReference w:id="1084"/>
      </w:r>
      <w:r>
        <w:rPr>
          <w:rFonts w:ascii="Amiri" w:hAnsi="Amiri" w:eastAsia="Amiri" w:cs="Amiri"/>
          <w:color w:val="111111"/>
          <w:sz w:val="28"/>
          <w:sz w:val="28"/>
          <w:szCs w:val="28"/>
          <w:rtl w:val="true"/>
          <w:lang w:bidi="ar-SA"/>
        </w:rPr>
        <w:t xml:space="preserve">، 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الأصل عدم جواز الترجيح بما لم يدلّ دليل على جواز الترجيح به على نحو ما قرّرنا الأصل في حجّية الظنّ من لزوم التشريع في وجه ، وطرح الأصول القطعية في آخر سواء قلنا بأنّ الترجيح هو اختيار المكلّف أحد الدليلين المتعارضين ، أو قلنا هو تشريع إنشاء المكلّف تقدّم أحد الدليلين في مقام التعارض للمكلّفين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 ، فلأنّ التعبّد بأحد الدليلين من المكلّف إمّا بواسطة المرجّحات الحاصلة في نظره من المصالح النفسانية ، وإمّا بواسطة المرجّحات المجعولة الشرعية ، ولا ثالث في البين ؛ لانحصار وجه صدور الفعل عن الفاعل فيهما ، والمفروض انتفاء الثاني ، وعدم دليل على كفاية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 فللزوم العبث عليه تعالى ؛ فإنّ الشيء ما لم يجب في نظر الفاعل ، لم يوجد في الخارج ، فالأصل بمعانيه عدم جواز الترجيح بالظنّ بمعانيه إلى أن يدلّ الدليل على جوازه ، فلا يذهب عليك بأنّ الترجيح إنّما يتصوّر في الأدلّة عند من يرى حجّيتها من باب الظنون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بحجّية الظنّ الحاصل من الخبر ، أو مطلق الظنّ ، فالترجيح غير معقول ؛ لأدائه إلى انتفاء التعارض بعد امتناع قيام الظنّ على طرفي الخلاف ، والتعارض إنّما يتحقّق بين الدليلين ، فانضمام المرجّح إلى أحدهما يخرج الآخر عن الحجّية وقد مرّ فيما سبق أنّ تسمية هذا موهنا أولى من تسميته مرجّحا ؛ إذ عدم المعلول مستند إلى عدم المقتضي عادة مع اجتماعه لوجود المانع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ولنقدّم الكلام في الظنون التي قام الدليل على عدم اعتباره كالقياس </w:t>
      </w:r>
      <w:r>
        <w:rPr>
          <w:rStyle w:val="FootnoteAnchor"/>
          <w:rtl w:val="true"/>
        </w:rPr>
        <w:footnoteReference w:id="1085"/>
      </w:r>
      <w:r>
        <w:rPr>
          <w:rFonts w:ascii="Amiri" w:hAnsi="Amiri" w:eastAsia="Amiri" w:cs="Amiri"/>
          <w:color w:val="111111"/>
          <w:sz w:val="28"/>
          <w:sz w:val="28"/>
          <w:szCs w:val="28"/>
          <w:rtl w:val="true"/>
          <w:lang w:bidi="ar-SA"/>
        </w:rPr>
        <w:t xml:space="preserve">؛ لقلّة أبحاثه ، فنقول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وفاقا للمعظم عدم كونه مرجّحا ، وعدم جواز الترجيح به ؛ لإطلاق الأدلّة الناهية عن استعمال القياس في الشريعة ، فإنّ الأخبار في ذلك قد تواترت عن أئمّتنا الأطهار عليهم‌السلام كما يشاهد ذلك بعد المراجعة إلى مظانّها ،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ديني من استعمل القياس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ولا سبيل إلى منع الاستعمال بالنسبة إليه في مقام الترجيح نظرا إلى أنّ العمل به إنّما هو فيما إذا كان المستند في الحكم والفتوى هو القياس بنفسه ، وأمّا إذا </w:t>
      </w:r>
    </w:p>
    <w:p>
      <w:pPr>
        <w:pStyle w:val="BookText"/>
        <w:rPr/>
      </w:pPr>
      <w:r>
        <w:rPr>
          <w:rFonts w:ascii="Amiri" w:hAnsi="Amiri" w:eastAsia="Amiri" w:cs="Amiri"/>
          <w:color w:val="111111"/>
          <w:sz w:val="28"/>
          <w:sz w:val="28"/>
          <w:szCs w:val="28"/>
          <w:rtl w:val="true"/>
          <w:lang w:bidi="ar-SA"/>
        </w:rPr>
        <w:t>كان الدليل هو الخبر المقدّم على مثله بواسطة القياس ، فلا يصدق العمل به ، فإنّ العمل والاستعمال يعمّ ما إذا كان الحكم مستندا إليه ، أو كان له دخل فيه ؛ إذ العمل هو مطلق الاستناد ، على أنّ الحكم في الواقعة إنّما هو مستند إليه ؛ لما تقرّر في العادة من استناد الحكم إلى الأخير من أجزاء علّته ، وظاهر أنّ وجوب صلاة الجمعة المدلول عليه بخبر معارض بمثله إنّما يستند إلى الخبر بعد ترجيحه على الآخر بالقياس سواء كان القياس شرطا ، أو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الحكم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أحد الخبرين المتعارضين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مستند إلى القياس مستقلاّ من غير مدخليّة شيء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فالقول </w:t>
      </w:r>
      <w:r>
        <w:rPr>
          <w:rStyle w:val="FootnoteAnchor"/>
          <w:rtl w:val="true"/>
        </w:rPr>
        <w:footnoteReference w:id="1087"/>
      </w:r>
      <w:r>
        <w:rPr>
          <w:rFonts w:ascii="Amiri" w:hAnsi="Amiri" w:eastAsia="Amiri" w:cs="Amiri"/>
          <w:color w:val="111111"/>
          <w:sz w:val="28"/>
          <w:sz w:val="28"/>
          <w:szCs w:val="28"/>
          <w:rtl w:val="true"/>
          <w:lang w:bidi="ar-SA"/>
        </w:rPr>
        <w:t xml:space="preserve">بأنّ الترجيح بالقياس يخالف العمل به منشؤه قلّة التدبّر ، وسوء الفهم ، والأخبار عن السادة الأطهار حجّة عليه ، ولو لا إلاّ انعقاد إجماعنا على ترك الترجيح به في العمل ، لكفى ؛ فإنّ سيرتهم المستمرّة الكاشفة القطعية على ترك التعويل عليه والركون إليه مطلقا حتّى في مقام الترجيح ، ويكشف عن ذلك عدم تعرّضهم في كتبهم الأصولية لأقسام القياس وأحكامه وطرقه ، ولو كان القياس ممّا يؤثّر في الترجيح عندهم ، كان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على الفرقة الهالكة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يتعلّق به على حذو سائر المسائل ، ولقد شاع ذلك بينهم إلى حدّ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أورد المحقّق في المعارج ما يدلّ بظاهره على وقوع الخلاف فيه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ذاهب إلى جواز الترجيح به نظرا إلى أنّ القياس إنّما كان منشأ لطرح الآخر لا موجبا للعمل بما يوافقه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 القول بهذا ممّا لا يكاد يخفى ؛ فإنّه إن أراد أنّ بعد موافقة القياس لأحد الخبرين وحصول الظنّ في طرفه ، فيطرح المعارض الآخر لابتنائه على الظنّ موضوعا ، </w:t>
      </w:r>
    </w:p>
    <w:p>
      <w:pPr>
        <w:pStyle w:val="BookText"/>
        <w:rPr/>
      </w:pPr>
      <w:r>
        <w:rPr>
          <w:rFonts w:ascii="Amiri" w:hAnsi="Amiri" w:eastAsia="Amiri" w:cs="Amiri"/>
          <w:color w:val="111111"/>
          <w:sz w:val="28"/>
          <w:sz w:val="28"/>
          <w:szCs w:val="28"/>
          <w:rtl w:val="true"/>
          <w:lang w:bidi="ar-SA"/>
        </w:rPr>
        <w:t>أو جزء موضوع ، فقد نبّهنا أوّلا بأنّ الترجيح إنّما يتأتّى على مذاق القائل بالظنون الخاصّة لا من حيث الظنّ كما عرفت ، وإن أراد أنّ الاستناد إلى القياس لا يصدق فيما إذا طرحنا المعارض بل يشخّصه صدق الاستناد في الاعتماد عليه في مقام الأخذ بموافقه ، أو به نفسه ، فظاهر البطلان ؛ إذ هو عين القول بالقياس فالأخبار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لا تمنع من ترتيب آثاره العقلية أو العادية وحصول الترجيح منه إنّما هو منها كما في غيره من الظنون ، فإنّ الخبر المظنون صدوره دليل قطعا مثلا ، والقياس محصّل لمصداق ما هو الحجّة ، ومحقّق لموضوع الدليل ، فلا ركون إليه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أنّ الظنّ بصدور الخبر إنّما هو </w:t>
      </w:r>
      <w:r>
        <w:rPr>
          <w:rStyle w:val="FootnoteAnchor"/>
          <w:rtl w:val="true"/>
        </w:rPr>
        <w:footnoteReference w:id="1089"/>
      </w:r>
      <w:r>
        <w:rPr>
          <w:rFonts w:ascii="Amiri" w:hAnsi="Amiri" w:eastAsia="Amiri" w:cs="Amiri"/>
          <w:color w:val="111111"/>
          <w:sz w:val="28"/>
          <w:sz w:val="28"/>
          <w:szCs w:val="28"/>
          <w:rtl w:val="true"/>
          <w:lang w:bidi="ar-SA"/>
        </w:rPr>
        <w:t>بعد حصول الظنّ من القياس بالحكم ، فهو حقيقة مستند إليه لا إلى الخبر كما مرّ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خروج عمّا نحن بصدده من الترجيح ، فإنّه إنّما يتصوّر فيما إذا كان المتعارضان حجّتين حتّى في حالة التعارض ، وإلاّ فغير الحجّة لا يعارض الحجّة وإن كان قد زعم بعض من لا تحقيق له اختصاص الأدلّة الدالّة على حجّية المتعارضين بغير صورة التعارض ، فإنّه ظاهر السقوط ؛ إذ التعارض إنّما هو من باب تزاحم الحقوق كما إذا دار الأمر بين إنقاذ غريقين ، فإنّ وجوب الإنقاذ بالنسبة إلى كليهما عقلا وشرعا باق ، وحيث إنّ الجمع بينهما والعمل بكلّ منهما غير ممكن ، فلا بدّ من الترجيح ، 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ما صار أحد الخبرين بواسطة القياس مظنون الصدور ، صار الآخر موهوما ساقطا عن درجة التعارض ، فلا ترجيح ؛ على أنّ قياس القياس بسائر الظنون مع الفارق ؛ لإمكان القول بترجيح ما عدا القياس لأحد المتعارضين من حيث قيام دليل على جواز الترجيح به عقلا أو نقلا كما سيجيء بخلاف القياس ، فإنّ النقل إنّما يدلّ على خلافه ، والعقل لا بدّ </w:t>
      </w:r>
      <w:r>
        <w:rPr>
          <w:rStyle w:val="FootnoteAnchor"/>
          <w:rtl w:val="true"/>
        </w:rPr>
        <w:footnoteReference w:id="1090"/>
      </w:r>
      <w:r>
        <w:rPr>
          <w:rFonts w:ascii="Amiri" w:hAnsi="Amiri" w:eastAsia="Amiri" w:cs="Amiri"/>
          <w:color w:val="111111"/>
          <w:sz w:val="28"/>
          <w:sz w:val="28"/>
          <w:szCs w:val="28"/>
          <w:rtl w:val="true"/>
          <w:lang w:bidi="ar-SA"/>
        </w:rPr>
        <w:t xml:space="preserve">من تمحّل في تخصيصه بغير القياس كما في حجّيتها على ما مرّ ، ولهذا تفرّد القياس بالبحث عن وقوع الترجيح به من سائر الظنون كما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بعد التأمّل في أخبار الباب في حرمة الاستناد إلى القياس مطلقا ، ولا شكّ أيضا أنّ الترجيح بالقياس استناد إليه في الأحكام الشرعية ؛ إذ الأصل لو كان في الطرف المخالف له يستند حقيقة إليه ، وكذلك طرح </w:t>
      </w:r>
      <w:r>
        <w:rPr>
          <w:rStyle w:val="FootnoteAnchor"/>
          <w:rtl w:val="true"/>
        </w:rPr>
        <w:footnoteReference w:id="1091"/>
      </w:r>
      <w:r>
        <w:rPr>
          <w:rFonts w:ascii="IRNazanin" w:hAnsi="IRNazanin" w:eastAsia="IRNazanin"/>
          <w:color w:val="111111"/>
          <w:sz w:val="28"/>
          <w:sz w:val="28"/>
          <w:szCs w:val="28"/>
          <w:rtl w:val="true"/>
          <w:lang w:bidi="fa-IR"/>
        </w:rPr>
        <w:t xml:space="preserve">الخبر المخالف له بعد وجوب الأخذ به مستند </w:t>
      </w:r>
      <w:r>
        <w:rPr>
          <w:rStyle w:val="FootnoteAnchor"/>
          <w:rtl w:val="true"/>
        </w:rPr>
        <w:footnoteReference w:id="1092"/>
      </w:r>
      <w:r>
        <w:rPr>
          <w:rFonts w:ascii="Amiri" w:hAnsi="Amiri" w:eastAsia="Amiri" w:cs="Amiri"/>
          <w:color w:val="111111"/>
          <w:sz w:val="28"/>
          <w:sz w:val="28"/>
          <w:szCs w:val="28"/>
          <w:rtl w:val="true"/>
          <w:lang w:bidi="ar-SA"/>
        </w:rPr>
        <w:t xml:space="preserve">إليه ، والحكم في المسألة الفرعية المدلول </w:t>
      </w:r>
      <w:r>
        <w:rPr>
          <w:rStyle w:val="FootnoteAnchor"/>
          <w:rtl w:val="true"/>
        </w:rPr>
        <w:footnoteReference w:id="1093"/>
      </w:r>
      <w:r>
        <w:rPr>
          <w:rFonts w:ascii="Amiri" w:hAnsi="Amiri" w:eastAsia="Amiri" w:cs="Amiri"/>
          <w:color w:val="111111"/>
          <w:sz w:val="28"/>
          <w:sz w:val="28"/>
          <w:szCs w:val="28"/>
          <w:rtl w:val="true"/>
          <w:lang w:bidi="ar-SA"/>
        </w:rPr>
        <w:t xml:space="preserve">عليه بالخبر الموافق له مستند إليه لأنّه جزء الدليل ، والحكم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الأخذ بالموافق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إليه ، فالحكم بوجوب صلاة الجمعة تعيّنا إنّما هو منه ، وذلك ظاهر ، وإنّما الإشكال فيما لو أحدث القياس الظنّ في غيره كما تخيّله بعضهم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إحداث الوصف في الغير يتصوّر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بأن لا يكون مفيدا للظنّ مطلقا ، وإنّما اقترانه بالغير يوجب ذلك كما في القرينة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حصول الظنّ بإرادة الرجل من الأسد من غير أن يكون القرينة مفيدة للظنّ بإرادة هذا المعنى من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يتصوّر بأنّ الغير والمنضمّ إليه كلاهما </w:t>
      </w:r>
      <w:r>
        <w:rPr>
          <w:rStyle w:val="FootnoteAnchor"/>
          <w:rtl w:val="true"/>
        </w:rPr>
        <w:footnoteReference w:id="1094"/>
      </w:r>
      <w:r>
        <w:rPr>
          <w:rFonts w:ascii="Amiri" w:hAnsi="Amiri" w:eastAsia="Amiri" w:cs="Amiri"/>
          <w:color w:val="111111"/>
          <w:sz w:val="28"/>
          <w:sz w:val="28"/>
          <w:szCs w:val="28"/>
          <w:rtl w:val="true"/>
          <w:lang w:bidi="ar-SA"/>
        </w:rPr>
        <w:t xml:space="preserve">مفيدان للظنّ بوجه يحصل من اجتماعهما مرتبة أخرى من الظنّ ، أو </w:t>
      </w:r>
      <w:r>
        <w:rPr>
          <w:rStyle w:val="FootnoteAnchor"/>
          <w:rtl w:val="true"/>
        </w:rPr>
        <w:footnoteReference w:id="1095"/>
      </w:r>
      <w:r>
        <w:rPr>
          <w:rFonts w:ascii="Amiri" w:hAnsi="Amiri" w:eastAsia="Amiri" w:cs="Amiri"/>
          <w:color w:val="111111"/>
          <w:sz w:val="28"/>
          <w:sz w:val="28"/>
          <w:szCs w:val="28"/>
          <w:rtl w:val="true"/>
          <w:lang w:bidi="ar-SA"/>
        </w:rPr>
        <w:t>يحصل العلم كما هو المتداول في تحصيل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حصول المرتبة الشديدة من الظنّ ، أو العلم إنّما هو من أحكام نفس الظنّ من غير أن يكون لحيثية كشفه عن الواقع دخل في حصول العلم ، فلا كلام في حجّية العلم الحاصل من الظنون القياسية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يتصوّر على وجه يستند الظنّ حقيقة إلى المنضمّ إليه من غير أن يكون الغير مفيدا للظنّ ، ولا شكّ أنّ القياس ليس من قبيل القسم الأوّل في مقام الترجيح ولا من </w:t>
      </w:r>
    </w:p>
    <w:p>
      <w:pPr>
        <w:pStyle w:val="BookText"/>
        <w:rPr/>
      </w:pPr>
      <w:r>
        <w:rPr>
          <w:rFonts w:ascii="Amiri" w:hAnsi="Amiri" w:eastAsia="Amiri" w:cs="Amiri"/>
          <w:color w:val="111111"/>
          <w:sz w:val="28"/>
          <w:sz w:val="28"/>
          <w:szCs w:val="28"/>
          <w:rtl w:val="true"/>
          <w:lang w:bidi="ar-SA"/>
        </w:rPr>
        <w:t>القسم الثاني على ما هو ظاهر ، فهو من القسم الثالث ، ولا معنى للاستناد إلى القياس إلاّ هذا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حصول الظنّ بصدور الخبر من القياس ، فقد عرفت الكلام فيه في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تمام الكلام في الترجيح بما علم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ترجيح الظنون المشكوكة كالشهرة وأمثالها ، فتارة يقع في ترجيح الدلالة </w:t>
      </w:r>
      <w:r>
        <w:rPr>
          <w:rStyle w:val="FootnoteAnchor"/>
          <w:rtl w:val="true"/>
        </w:rPr>
        <w:footnoteReference w:id="1096"/>
      </w:r>
      <w:r>
        <w:rPr>
          <w:rFonts w:ascii="Amiri" w:hAnsi="Amiri" w:eastAsia="Amiri" w:cs="Amiri"/>
          <w:color w:val="111111"/>
          <w:sz w:val="28"/>
          <w:sz w:val="28"/>
          <w:szCs w:val="28"/>
          <w:rtl w:val="true"/>
          <w:lang w:bidi="ar-SA"/>
        </w:rPr>
        <w:t xml:space="preserve">، وأخرى في ترجيح السند فهنا مقامان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في ترجيح الدلالة بالظنّ المطلق ، فاعلم أنّ الكلام في ترجيح الدلالة مرجعها إلى ما هو المعروف بينهم من تعارض الأحوال ، وتقديم بعضها على بعض بواسطة الظنون الخارجة عن الألفاظ ، لكنّه في تعيين المراد من اللفظ لا في تشخيص الأوضاع ، كما قد يقال بتقديم الاشتراك المعنوي على اللفظي ، أو الحقيقة على المجاز مثلا فيما لو دار الأمر بين إرادة الخاصّ من العامّ ، أو حمل الأمر على الاستحباب ، هل يصحّ تقديم التخصيص على المجاز بواسطة قيام الشهرة على التخصيص ، أو تقديم المجاز لغلبة حمل الأمر على المجاز الاستحبابي في نظائره ، أو لا يصحّ؟ فالظاهر من بعضهم عدم الاعتناء بأمثال هذه الظنون في مقام ترجيح الدلالة كما يظهر من صاحب المدارك </w:t>
      </w:r>
      <w:r>
        <w:rPr>
          <w:rStyle w:val="FootnoteAnchor"/>
          <w:rtl w:val="true"/>
        </w:rPr>
        <w:footnoteReference w:id="1097"/>
      </w:r>
      <w:r>
        <w:rPr>
          <w:rFonts w:ascii="Amiri" w:hAnsi="Amiri" w:eastAsia="Amiri" w:cs="Amiri"/>
          <w:color w:val="111111"/>
          <w:sz w:val="28"/>
          <w:sz w:val="28"/>
          <w:szCs w:val="28"/>
          <w:rtl w:val="true"/>
          <w:lang w:bidi="ar-SA"/>
        </w:rPr>
        <w:t xml:space="preserve">حيث قدّم الخبر الدالّ على طهارة خرء الطيور على الرواية الدالّة على وجوب الغسل عن أبوال ما لا يؤكل لحمه ؛ لاعتضاده بالأصل ، وصريح بعض آخر الاتّكال على الظنّ الخارج من اللفظ في الدلالة كالسيّد الطباطبائي في الرياض </w:t>
      </w:r>
      <w:r>
        <w:rPr>
          <w:rStyle w:val="FootnoteAnchor"/>
          <w:rtl w:val="true"/>
        </w:rPr>
        <w:footnoteReference w:id="1098"/>
      </w:r>
      <w:r>
        <w:rPr>
          <w:rStyle w:val="FootnoteAnchor"/>
          <w:rtl w:val="true"/>
        </w:rPr>
        <w:footnoteReference w:id="1099"/>
      </w:r>
      <w:r>
        <w:rPr>
          <w:rFonts w:ascii="Amiri" w:hAnsi="Amiri" w:eastAsia="Amiri" w:cs="Amiri"/>
          <w:color w:val="111111"/>
          <w:sz w:val="28"/>
          <w:sz w:val="28"/>
          <w:szCs w:val="28"/>
          <w:rtl w:val="true"/>
          <w:lang w:bidi="ar-SA"/>
        </w:rPr>
        <w:t>حيث قدّم الرواية الدالّة على وجوب الغسل على الأخرى ؛ لانعقاد شهرة الأصحاب على النجاسة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محلّ الكلام إنّما هو فيما كان جهة التعارض متمحّضة في الدلالة بالغضّ عن جهة السند ؛ إذ الفرض البحث في ألفاظ الكتاب والأخبار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جواز الترجيح بها في الدلالة ؛ لعدم دليل يقضي به لا عرفا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1100"/>
      </w:r>
      <w:r>
        <w:rPr>
          <w:rFonts w:ascii="Amiri" w:hAnsi="Amiri" w:eastAsia="Amiri" w:cs="Amiri"/>
          <w:color w:val="111111"/>
          <w:sz w:val="28"/>
          <w:sz w:val="28"/>
          <w:szCs w:val="28"/>
          <w:rtl w:val="true"/>
          <w:lang w:bidi="ar-SA"/>
        </w:rPr>
        <w:t xml:space="preserve">، فلأنّ المسلّم من بناء العقلاء في استخراج مطالبهم من الظنون اللفظية إنّما هو فيما لو كان الظنّ حاصلا من نفس اللفظ مادّة وهيئة ولو بمعونة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لفظية ، أو معنوية 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يوجب اقترانها باللفظ حصول الظنّ من نفس اللفظ حقيقة ، فلا عبرة بالظنّ الحاصل من الشهرة ، أو الاستقراء ، أو غيرهما ؛ لعدم استناده إلى اللفظ ، والمفروض عدم حجّية الشهرة بنفسه أيضا ، وإلاّ فلا معنى للترجيح بعد وجود الدليل ، فالشهرة حينئذ ليست مرجّحة بل هو المرجع في المقام ، فالأصل المذكور محكّم في المقام من غير ما يقضي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قيام الشهرة على وفق أحد الاحتمالين يوجب ظهور أحد الاحتمالين </w:t>
      </w:r>
      <w:r>
        <w:rPr>
          <w:rStyle w:val="FootnoteAnchor"/>
          <w:rtl w:val="true"/>
        </w:rPr>
        <w:footnoteReference w:id="1101"/>
      </w:r>
      <w:r>
        <w:rPr>
          <w:rFonts w:ascii="Amiri" w:hAnsi="Amiri" w:eastAsia="Amiri" w:cs="Amiri"/>
          <w:color w:val="111111"/>
          <w:sz w:val="28"/>
          <w:sz w:val="28"/>
          <w:szCs w:val="28"/>
          <w:rtl w:val="true"/>
          <w:lang w:bidi="ar-SA"/>
        </w:rPr>
        <w:t>في نفسه بحيث يستند الظهور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بعد إمعان النظر نعلم عدم استناد الظنّ إلى اللفظ ؛ لأنّ قيام الشهرة من العلماء لا يصلح لأن يكون قرينة لإرادة المعنى الفلاني من اللفظ حتّى يعقل حصول الظنّ منه بعد قيام الشهرة على وفقه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الشهرة تكشف عن قرينة صارفة عن الاحتمال المخالف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بالقطع في وجود القرينة ولو كانت ظنّية ولا عبرة بالظنّ بوجود القرينة ولو كان المستكشف عنها دلالته قطعية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فيكشف الشهرة عن القرينة كشفا ظنّيا ممّا لا عبرة به ولو كان </w:t>
      </w:r>
    </w:p>
    <w:p>
      <w:pPr>
        <w:pStyle w:val="BookText"/>
        <w:rPr/>
      </w:pPr>
      <w:r>
        <w:rPr>
          <w:rFonts w:ascii="Amiri" w:hAnsi="Amiri" w:eastAsia="Amiri" w:cs="Amiri"/>
          <w:color w:val="111111"/>
          <w:sz w:val="28"/>
          <w:sz w:val="28"/>
          <w:szCs w:val="28"/>
          <w:rtl w:val="true"/>
          <w:lang w:bidi="ar-SA"/>
        </w:rPr>
        <w:t xml:space="preserve">القرينة المستكشفة قطعية ، وفي الحقيقة الظنّ الحاصل بوجود القرينة مرجعه إلى الظنّ الحاصل من نفس الشهرة ؛ لما عرفت من عدم تعلّقها باللّفظ كما لا يخفى ، وإنّما العبرة بالقطع بوجود القرينة ولو </w:t>
      </w:r>
      <w:r>
        <w:rPr>
          <w:rStyle w:val="FootnoteAnchor"/>
          <w:rtl w:val="true"/>
        </w:rPr>
        <w:footnoteReference w:id="1102"/>
      </w:r>
      <w:r>
        <w:rPr>
          <w:rFonts w:ascii="Amiri" w:hAnsi="Amiri" w:eastAsia="Amiri" w:cs="Amiri"/>
          <w:color w:val="111111"/>
          <w:sz w:val="28"/>
          <w:sz w:val="28"/>
          <w:szCs w:val="28"/>
          <w:rtl w:val="true"/>
          <w:lang w:bidi="ar-SA"/>
        </w:rPr>
        <w:t>كانت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على حجّية مثل هذه الظنون عهدتها على مدّعيها إن أريد به المحقّق منه ، وإن أريد المنقول منه ولو على إطلاقه ، فبعد الغضّ عنه لا بدّ من ملاحظة إفادته الظنّ بحجّية هذه الظنون ، وعلى تقديره يتوقّف على حجّيته في أمثال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فالمعتمد في مقام الدلالات هو الطرق المستعملة في استخراج المطالب واستكشاف المعاني في العادة عند أهلها ككون أحد الاحتمالين نصّا ، والآخر ظاهرا ، أو كونه أظهر من الآخر نوعا على ما قرّره في محلّه ، ولا عبرة بفهم العلماء من اللفظ مثلا معنى بعد عدم استقرار العادة 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قلنا بأنّ فهم المشافه المخاطب ممّا يعتنى به في استكشاف المراد بعد عدم مطابقته للعرف والعادة ؛ لاحتمال ابتنائه على اجتهاد منهم ، وظهوره في الاستفادة العرفية مسلّم إلاّ أنّ الكلام في اكتفاء مثل هذا الظهور في الدلالة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ترجيح السند بظنون غير معتبرة ، ولنفرض الكلام فيما كان التعارض ممحّضا في السند ، فإنّا مع فرض التساوي بينهما على تقدير عدمه ، أو مع التساوي حقيقة ، فقد يقال بحجّية مطلق الظنّ في مقام الترجيح سندا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 فإنّه كلّما دار الأمر بين التخيير والتعيين ، فالتعيين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 من جميع أهل العلم خاصّة وعامّة خلفا عن سلف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يستكشف عنه بملاحظة تقديمهم الأخبار العالية السند </w:t>
      </w:r>
      <w:r>
        <w:rPr>
          <w:rStyle w:val="FootnoteAnchor"/>
          <w:rtl w:val="true"/>
        </w:rPr>
        <w:footnoteReference w:id="1103"/>
      </w:r>
      <w:r>
        <w:rPr>
          <w:rFonts w:ascii="Amiri" w:hAnsi="Amiri" w:eastAsia="Amiri" w:cs="Amiri"/>
          <w:color w:val="111111"/>
          <w:sz w:val="28"/>
          <w:sz w:val="28"/>
          <w:szCs w:val="28"/>
          <w:rtl w:val="true"/>
          <w:lang w:bidi="ar-SA"/>
        </w:rPr>
        <w:t xml:space="preserve">على غيرها ، ونحوه من المرجّحات الداخلة في الأخبار وليس على ما ينبغي ؛ لأنّ حجّية تلك المرجّحات ممّا لا كلام لنا فيه في المقام ، وإنّما المقصود </w:t>
      </w:r>
      <w:r>
        <w:rPr>
          <w:rStyle w:val="FootnoteAnchor"/>
          <w:rtl w:val="true"/>
        </w:rPr>
        <w:footnoteReference w:id="1104"/>
      </w:r>
      <w:r>
        <w:rPr>
          <w:rFonts w:ascii="Amiri" w:hAnsi="Amiri" w:eastAsia="Amiri" w:cs="Amiri"/>
          <w:color w:val="111111"/>
          <w:sz w:val="28"/>
          <w:sz w:val="28"/>
          <w:szCs w:val="28"/>
          <w:rtl w:val="true"/>
          <w:lang w:bidi="ar-SA"/>
        </w:rPr>
        <w:t xml:space="preserve">بالبحث هنا إثبات الترجيح بالظنون </w:t>
      </w:r>
    </w:p>
    <w:p>
      <w:pPr>
        <w:pStyle w:val="BookText"/>
        <w:rPr/>
      </w:pPr>
      <w:r>
        <w:rPr>
          <w:rFonts w:ascii="Amiri" w:hAnsi="Amiri" w:eastAsia="Amiri" w:cs="Amiri"/>
          <w:color w:val="111111"/>
          <w:sz w:val="28"/>
          <w:sz w:val="28"/>
          <w:szCs w:val="28"/>
          <w:rtl w:val="true"/>
          <w:lang w:bidi="ar-SA"/>
        </w:rPr>
        <w:t xml:space="preserve">الخارجة </w:t>
      </w:r>
      <w:r>
        <w:rPr>
          <w:rStyle w:val="FootnoteAnchor"/>
          <w:rtl w:val="true"/>
        </w:rPr>
        <w:footnoteReference w:id="1105"/>
      </w:r>
      <w:r>
        <w:rPr>
          <w:rFonts w:ascii="Amiri" w:hAnsi="Amiri" w:eastAsia="Amiri" w:cs="Amiri"/>
          <w:color w:val="111111"/>
          <w:sz w:val="28"/>
          <w:sz w:val="28"/>
          <w:szCs w:val="28"/>
          <w:rtl w:val="true"/>
          <w:lang w:bidi="ar-SA"/>
        </w:rPr>
        <w:t xml:space="preserve">عن المتعارضين على وجه يحصل الظنّ بصدور الخبر ، مثلا من الظنّ الحاصل من تلك الأمارة والمرجّح كالشهرة والإجماع المنقول والأولوية والاستقراء ونحوها بنفس الحكم ، والظنّ بالحكم في تلك المرجّحات إنّما يستند إلى نفس الخبر بعد اقترانه بها ، فهو خارج عمّا عقد المقام له بل التحقيق في استكشاف هذا الإجماع إنّما هو من </w:t>
      </w:r>
      <w:r>
        <w:rPr>
          <w:rStyle w:val="FootnoteAnchor"/>
          <w:rtl w:val="true"/>
        </w:rPr>
        <w:footnoteReference w:id="1106"/>
      </w:r>
      <w:r>
        <w:rPr>
          <w:rFonts w:ascii="Amiri" w:hAnsi="Amiri" w:eastAsia="Amiri" w:cs="Amiri"/>
          <w:color w:val="111111"/>
          <w:sz w:val="28"/>
          <w:sz w:val="28"/>
          <w:szCs w:val="28"/>
          <w:rtl w:val="true"/>
          <w:lang w:bidi="ar-SA"/>
        </w:rPr>
        <w:t xml:space="preserve">تعليلاتهم تقديم </w:t>
      </w:r>
      <w:r>
        <w:rPr>
          <w:rStyle w:val="FootnoteAnchor"/>
          <w:rtl w:val="true"/>
        </w:rPr>
        <w:footnoteReference w:id="1107"/>
      </w:r>
      <w:r>
        <w:rPr>
          <w:rFonts w:ascii="Amiri" w:hAnsi="Amiri" w:eastAsia="Amiri" w:cs="Amiri"/>
          <w:color w:val="111111"/>
          <w:sz w:val="28"/>
          <w:sz w:val="28"/>
          <w:szCs w:val="28"/>
          <w:rtl w:val="true"/>
          <w:lang w:bidi="ar-SA"/>
        </w:rPr>
        <w:t xml:space="preserve">بعض الأخبار على بعضها في مقام التعارض من غير ذكر الوجه في ذلك التعليل ، مثلا يحكمون بتقديم الرواية التي رواها أكثر على غيرها معلّلا في ذلك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تعرّض للدليل في وجوب تقديم الأرجح على غيره ، فكأنّه كبرى إجماعية لصغرى وجدانية ، أو برهانية بحسب الاختلاف في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المعارج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الخبر الموافق للقياس ؛ لأنّه أقرب إلى الواقع من مضمون الآخر </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البهبهاني الأستاذ الأكبر </w:t>
      </w:r>
      <w:r>
        <w:rPr>
          <w:rStyle w:val="FootnoteAnchor"/>
          <w:rtl w:val="true"/>
        </w:rPr>
        <w:footnoteReference w:id="1109"/>
      </w:r>
      <w:r>
        <w:rPr>
          <w:rFonts w:ascii="Amiri" w:hAnsi="Amiri" w:eastAsia="Amiri" w:cs="Amiri"/>
          <w:color w:val="111111"/>
          <w:sz w:val="28"/>
          <w:sz w:val="28"/>
          <w:szCs w:val="28"/>
          <w:rtl w:val="true"/>
          <w:lang w:bidi="ar-SA"/>
        </w:rPr>
        <w:t xml:space="preserve">في الفوائد الحائرية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الأخباريين أنّ بناء المرجّحات على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المجتهدون ، فلمّا كان بناؤهم على التحرّي وتحصيل ما هو أقرب في ظنّهم في السند والدلالة والتوجيه ، فلا يستشكلون في هذه الأخبار أيضا ، وكلّ يبني الأمر فيها على ما هو الأقرب عنده </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وقال أيضا في الفوائد الحائرية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 ظهر أنّ بناء الترجيح على ما يورث الظنّ والرجحان فلا اعتداد ببعض المرجّحات التي ذكرها بعض</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عند المراجعة إلى</w:t>
      </w:r>
    </w:p>
    <w:p>
      <w:pPr>
        <w:pStyle w:val="BookText"/>
        <w:rPr/>
      </w:pPr>
      <w:r>
        <w:rPr>
          <w:rFonts w:ascii="Amiri" w:hAnsi="Amiri" w:eastAsia="Amiri" w:cs="Amiri"/>
          <w:color w:val="111111"/>
          <w:sz w:val="28"/>
          <w:sz w:val="28"/>
          <w:szCs w:val="28"/>
          <w:rtl w:val="true"/>
          <w:lang w:bidi="ar-SA"/>
        </w:rPr>
        <w:t>طرقهم في التراجيح حتّى أنّ من المعلوم عندهم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يظهر من العامّة العمياء تقديمهم الرواية التي رواها أهل المدينة على غيرها معلّلين بكونها أرجح حيث إنّهم على زعمهم مهابط وحي اللّه ، ومنازل روح القدس ، وذلك مثل ما يستكشف الإجماع على اعتبار التعدّد في الشهادة ممّا تداول الاستدلال به عندهم </w:t>
      </w:r>
      <w:r>
        <w:rPr>
          <w:rStyle w:val="FootnoteAnchor"/>
          <w:rtl w:val="true"/>
        </w:rPr>
        <w:footnoteReference w:id="1111"/>
      </w:r>
      <w:r>
        <w:rPr>
          <w:rFonts w:ascii="Amiri" w:hAnsi="Amiri" w:eastAsia="Amiri" w:cs="Amiri"/>
          <w:color w:val="111111"/>
          <w:sz w:val="28"/>
          <w:sz w:val="28"/>
          <w:szCs w:val="28"/>
          <w:rtl w:val="true"/>
          <w:lang w:bidi="ar-SA"/>
        </w:rPr>
        <w:t xml:space="preserve">كما في مقام التقويم وغيره </w:t>
      </w:r>
      <w:r>
        <w:rPr>
          <w:rStyle w:val="FootnoteAnchor"/>
          <w:rtl w:val="true"/>
        </w:rPr>
        <w:footnoteReference w:id="1112"/>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شهادة ، فالمهمّ عندهم بيان الصغرى ، فالكبرى مسلّمة لديهم وقد نقله بعض أساطين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 وبيانه أنّه لا مناص من الترجيح في الأخبار المتعارضة لكثرتها بوجه يوجب المخالفة القطعية كثيرا لو قلنا بالطرح فيهما كما فيما لو قلنا بالتخيير بينهما ، والمرجّحات المعلومة من الأمور الراجعة إلى الدلالة في المتعارضين كالنصوص والظهور والظاهر والأظهر ممّا لا تفي بجميع أبواب الفقه بوجه ، يرتفع معها العلم الإجمالي ، فلا بدّ من الترجيح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الأعدلية وموافقة الكتاب ومخالفة العامّة ونحوها من المرجّحات المنصوصة ممّا يكفي في مقام الترجيح مع كونها قدرا متيقّنا بالنسبة إلى غيرها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الكفاية بها ، فلا ريب في استوائها لسائر الظنون ؛ لأنّ غاية ما دلّ على جواز الترجيح بها هو الخبران المأثوران ، والناظر فيهما بعد إمعان النظر في مواردهما من الاختلاف الواقع في الترتيب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تارة بالأخذ بما هو أوثق منهما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حكما جزميا بأنّ المدار على مطلق الظنّ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المنقول من الإجماع والمحقّق من الشهرة ، فلا وجه للقول بكون المرجّحات المزبورة قدرا متيقّنا بالنسبة إلى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كلّ من الوجوه المذكورة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 فلأنّ الأصل لا يعارض إطلاق أدلّة التخيير بقسميها من الأخبار الواردة فيه </w:t>
      </w:r>
      <w:r>
        <w:rPr>
          <w:rStyle w:val="FootnoteAnchor"/>
          <w:rtl w:val="true"/>
        </w:rPr>
        <w:footnoteReference w:id="1114"/>
      </w:r>
      <w:r>
        <w:rPr>
          <w:rFonts w:ascii="Amiri" w:hAnsi="Amiri" w:eastAsia="Amiri" w:cs="Amiri"/>
          <w:color w:val="111111"/>
          <w:sz w:val="28"/>
          <w:sz w:val="28"/>
          <w:szCs w:val="28"/>
          <w:rtl w:val="true"/>
          <w:lang w:bidi="ar-SA"/>
        </w:rPr>
        <w:t>ابتداء ، أو بعد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الأخبار الآمرة بالأخذ بها ممّا ينافي الاشتغال أيضا ، فلا عبرة به في قبال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 فلأنّ غاية ما يفيد ظهور الإجماع وما نقله البعض هو الظنّ بجواز الترجيح ، والمفروض عدم حجّية الظنّ في المسألة الأصولية أيضا كما في الفروع على ما قرّرناه في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 ، فللمنع من لزوم المخالفة القطعية بعد إعمال المرجّحات المعلومة في الدلالات ، ألا ترى أنّ جملة من العلماء زعموا قطعية الأخبار ومع ذلك لا محلّ للتعارض السندي ، فوجه الترجيح عندهم منحصر في الدلالة ولا حرج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التعويل على الظنّ في مقام الترجيح لو كان مستندا إلى إجماع ، فلا كلام ، وإلاّ فهو في الحقيقة كلام لا يرجع إلى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يرجع إلى توهين الطرف المخالف على وجه يخرج عن موضوع ما هو الحجّة بحسب الدليل ، لكنّه خلاف ما هو المفروض بالبحث في المقام ، فإنّ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نبّهنا عليه في أوّل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المتعارضين بعد كونهما حجّتين ومشمولين لما دلّ على اعتبارهما نوعا ، والتوهين إنّما يتأتّى على القول بحجّية الأخبار المفيدة للظنّ ، أو على القول بحجّية الظنون المطلقة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القول بتقديم الخبر الموافق لخصوص الشهرة والإجماع المنقول المفيد للظنّ على القول بحجّية الأخبار تعبّدا ، أو نحوه نظرا إلى عدم انصراف الدليل الدالّ </w:t>
      </w:r>
      <w:bookmarkStart w:id="87" w:name="pg16273_211696"/>
    </w:p>
    <w:p>
      <w:pPr>
        <w:pStyle w:val="BookText"/>
        <w:rPr/>
      </w:pPr>
      <w:bookmarkEnd w:id="87"/>
      <w:r>
        <w:rPr>
          <w:rFonts w:ascii="Amiri" w:hAnsi="Amiri" w:eastAsia="Amiri" w:cs="Amiri"/>
          <w:color w:val="111111"/>
          <w:sz w:val="28"/>
          <w:sz w:val="28"/>
          <w:szCs w:val="28"/>
          <w:rtl w:val="true"/>
          <w:lang w:bidi="ar-SA"/>
        </w:rPr>
        <w:t>على الحجّية إلى ما خالف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فالتخلّف عن الشهرة والإجماع المنقول في مقام التعارض ممّا دونه خرط القتاد وإن كان إثبات الإجماع عليه أصعب ، فتدبّر</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803518_1280447820"/>
      <w:bookmarkStart w:id="89" w:name="_Toc31"/>
      <w:bookmarkEnd w:id="88"/>
      <w:r>
        <w:rPr>
          <w:rtl w:val="true"/>
        </w:rPr>
        <w:t>تذنيب</w:t>
      </w:r>
      <w:bookmarkEnd w:id="89"/>
    </w:p>
    <w:p>
      <w:pPr>
        <w:pStyle w:val="BookText"/>
        <w:rPr/>
      </w:pPr>
      <w:r>
        <w:rPr>
          <w:rFonts w:ascii="Amiri" w:hAnsi="Amiri" w:eastAsia="Amiri" w:cs="Amiri"/>
          <w:color w:val="111111"/>
          <w:sz w:val="28"/>
          <w:sz w:val="28"/>
          <w:szCs w:val="28"/>
          <w:rtl w:val="true"/>
          <w:lang w:bidi="ar-SA"/>
        </w:rPr>
        <w:t xml:space="preserve">لو كان هناك خبران متعارضان من جهة الصدور ، وبعد الغضّ عن جهة الصدور علما أو ظنّا ، وعن الدلالة ، فهل يصحّ الشهرة وغيرها من الظنون للترجيح في مقام جهة التعارض من حيث جهة الصدور ، أو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أصالة عدم التقية من الأصول التعبّدية كأصالة الحقيقة ، فلا عبرة بالشهرة ، وإلاّ فيؤخذ بها مرجّحا ولعلّ الأوّل أقوى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كان الشهرة موافقة لأحد المتعارضين وعلمنا بأنّها من مرجّحات الدلالة ، أو السند ، أو جهة الصدور ، فإن قلنا بأنّها مرجّحة في المقامات الثلاثة ، فلا كلام كما أنّه كذلك فيما لو قلنا بأنّها ليست مرجّحة فيها بأجمعها ، إنّما الإشكال فيما لو كان ممّا يقع بها الترجيح بالنسبة إلى بعض المقامات كالسند دون الدلالة ، أو جهة الصدور دون غيرها مثلا ، ولم يعلم أنّ الترجيح في أيّ منها ، فهل تعتبر تلك الشهرة مرجّحة لما وافقها من الخبرين ، أو لا؟ الأقوى عدم وقوع الترجيح به ؛ لعدم العلم بالترجيح فيما يعتبر فيه الترجيح ، فلا بدّ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أردنا إيراده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المجلّد ، ويتلوه مجلّد آخر إن شاء اللّه محرّرا في شهر رجب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90" w:name="pg16273_211697"/>
    </w:p>
    <w:p>
      <w:pPr>
        <w:pStyle w:val="Heading2"/>
        <w:numPr>
          <w:ilvl w:val="1"/>
          <w:numId w:val="1"/>
        </w:numPr>
        <w:rPr/>
      </w:pPr>
      <w:bookmarkStart w:id="91" w:name="__RefHeading___Toc4803520_1280447820"/>
      <w:bookmarkStart w:id="92" w:name="_Toc32"/>
      <w:bookmarkEnd w:id="90"/>
      <w:bookmarkEnd w:id="91"/>
      <w:r>
        <w:rPr>
          <w:rtl w:val="true"/>
        </w:rPr>
        <w:t xml:space="preserve">[ </w:t>
      </w:r>
      <w:r>
        <w:rPr>
          <w:rtl w:val="true"/>
        </w:rPr>
        <w:t xml:space="preserve">مباحث الأصول العملية البراءة والاشتغال </w:t>
      </w:r>
      <w:r>
        <w:rPr>
          <w:rtl w:val="true"/>
        </w:rPr>
        <w:t>]</w:t>
      </w:r>
      <w:bookmarkEnd w:id="9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4803522_1280447820"/>
      <w:bookmarkStart w:id="94" w:name="_Toc33"/>
      <w:bookmarkEnd w:id="93"/>
      <w:r>
        <w:rPr>
          <w:rtl w:val="true"/>
        </w:rPr>
        <w:t>اشارة</w:t>
      </w:r>
      <w:bookmarkEnd w:id="9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273_211699"/>
      <w:bookmarkStart w:id="96" w:name="pg16273_211699"/>
      <w:bookmarkEnd w:id="96"/>
    </w:p>
    <w:p>
      <w:pPr>
        <w:pStyle w:val="Heading3"/>
        <w:numPr>
          <w:ilvl w:val="2"/>
          <w:numId w:val="1"/>
        </w:numPr>
        <w:rPr/>
      </w:pPr>
      <w:bookmarkStart w:id="97" w:name="pg16273_211699"/>
      <w:bookmarkStart w:id="98" w:name="__RefHeading___Toc4803524_1280447820"/>
      <w:bookmarkStart w:id="99" w:name="_Toc34"/>
      <w:bookmarkEnd w:id="97"/>
      <w:bookmarkEnd w:id="98"/>
      <w:r>
        <w:rPr>
          <w:rtl w:val="true"/>
        </w:rPr>
        <w:t xml:space="preserve">أصل </w:t>
      </w:r>
      <w:r>
        <w:rPr>
          <w:rtl w:val="true"/>
        </w:rPr>
        <w:t xml:space="preserve">[ </w:t>
      </w:r>
      <w:r>
        <w:rPr>
          <w:rtl w:val="true"/>
        </w:rPr>
        <w:t xml:space="preserve">فى الأصول العقلية </w:t>
      </w:r>
      <w:r>
        <w:rPr>
          <w:rtl w:val="true"/>
        </w:rPr>
        <w:t>]</w:t>
      </w:r>
      <w:bookmarkEnd w:id="99"/>
    </w:p>
    <w:p>
      <w:pPr>
        <w:pStyle w:val="Heading4"/>
        <w:numPr>
          <w:ilvl w:val="3"/>
          <w:numId w:val="1"/>
        </w:numPr>
        <w:rPr/>
      </w:pPr>
      <w:bookmarkStart w:id="100" w:name="__RefHeading___Toc4803526_1280447820"/>
      <w:bookmarkStart w:id="101" w:name="_Toc35"/>
      <w:bookmarkEnd w:id="100"/>
      <w:r>
        <w:rPr>
          <w:rtl w:val="true"/>
        </w:rPr>
        <w:t xml:space="preserve">[ </w:t>
      </w:r>
      <w:r>
        <w:rPr>
          <w:rtl w:val="true"/>
        </w:rPr>
        <w:t xml:space="preserve">البراءة العقلية </w:t>
      </w:r>
      <w:r>
        <w:rPr>
          <w:rtl w:val="true"/>
        </w:rPr>
        <w:t>]</w:t>
      </w:r>
      <w:bookmarkEnd w:id="101"/>
    </w:p>
    <w:p>
      <w:pPr>
        <w:pStyle w:val="Heading5"/>
        <w:numPr>
          <w:ilvl w:val="4"/>
          <w:numId w:val="1"/>
        </w:numPr>
        <w:rPr/>
      </w:pPr>
      <w:bookmarkStart w:id="102" w:name="__RefHeading___Toc4803528_1280447820"/>
      <w:bookmarkStart w:id="103" w:name="_Toc36"/>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ومن الأحكام العقلية التي يبتني ثبوتها </w:t>
      </w:r>
      <w:r>
        <w:rPr>
          <w:rStyle w:val="FootnoteAnchor"/>
          <w:rtl w:val="true"/>
        </w:rPr>
        <w:footnoteReference w:id="1116"/>
      </w:r>
      <w:r>
        <w:rPr>
          <w:rFonts w:ascii="Amiri" w:hAnsi="Amiri" w:eastAsia="Amiri" w:cs="Amiri"/>
          <w:color w:val="111111"/>
          <w:sz w:val="28"/>
          <w:sz w:val="28"/>
          <w:szCs w:val="28"/>
          <w:rtl w:val="true"/>
          <w:lang w:bidi="ar-SA"/>
        </w:rPr>
        <w:t xml:space="preserve">على القول بالتحسين والتقبيح العقليين الحكم بخلوّ الذمّة وفراغها عن عهدة التكليف عند الشكّ فيه سواء قلنا بالملازمة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نقل ؛ فإنّ الملازمة المبحوث عنها إنّما هو فيما إذا أدرك العقل الحسن والقبح في أفعال العباد التي هي محالّ للأحكام الشرعية وليس الأمر كذلك فيما نحن بصدده ؛ إذ مرجع الحكم في المقام إلى قبح التكليف بلا بيان والعقاب بلا برهان وليس شيء منهما بأفعال العباد ؛ فإنّ التكليف والعقاب من أفعاله تعالى ، وليس أفعاله ممّا يتعلّق بها حكم شرعي على ما هو المقرّر في مقامه ، وهذا الحكم العقلي المتوصّل به إلى نفي الحكم الشرعي والعقاب هو المعبّر عندهم بأصالة البراءة ، وقد يسمّى بالبراءة الأصلية وأصالة النفي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في المقام بأنّ الدليل العقلي هو حكم عقلي يتوصّل به إلى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تفصيل القول فيه في أوائل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وجه لعدّ البراءة من الأدلّة العقلية ؛ فإنّ غاية ما يمكن </w:t>
      </w:r>
      <w:r>
        <w:rPr>
          <w:rStyle w:val="FootnoteAnchor"/>
          <w:rtl w:val="true"/>
        </w:rPr>
        <w:footnoteReference w:id="1117"/>
      </w:r>
      <w:r>
        <w:rPr>
          <w:rFonts w:ascii="Amiri" w:hAnsi="Amiri" w:eastAsia="Amiri" w:cs="Amiri"/>
          <w:color w:val="111111"/>
          <w:sz w:val="28"/>
          <w:sz w:val="28"/>
          <w:szCs w:val="28"/>
          <w:rtl w:val="true"/>
          <w:lang w:bidi="ar-SA"/>
        </w:rPr>
        <w:t xml:space="preserve">التوصّل بها إليه هو نفي العقاب ودفع المؤاخذة ووضع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جملة من الأخبار الواردة فيها أيضا كما سيأتي </w:t>
      </w:r>
    </w:p>
    <w:p>
      <w:pPr>
        <w:pStyle w:val="BookText"/>
        <w:rPr/>
      </w:pP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العقاب وأمثاله ليس من الأحكام الشرعية ، فلا يصير الموصل إليه دليلا عقليا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بالإباحة الظاهرية ، فهو ممّا يدلّ عليه الدليل الشرعي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وأمثاله ، وليس ممّا يستفاد من العقل كما توهّمه بعض الأجلّة </w:t>
      </w:r>
      <w:r>
        <w:rPr>
          <w:rStyle w:val="FootnoteAnchor"/>
          <w:rtl w:val="true"/>
        </w:rPr>
        <w:footnoteReference w:id="1119"/>
      </w:r>
      <w:r>
        <w:rPr>
          <w:rFonts w:ascii="Amiri" w:hAnsi="Amiri" w:eastAsia="Amiri" w:cs="Amiri"/>
          <w:color w:val="111111"/>
          <w:sz w:val="28"/>
          <w:sz w:val="28"/>
          <w:szCs w:val="28"/>
          <w:rtl w:val="true"/>
          <w:lang w:bidi="ar-SA"/>
        </w:rPr>
        <w:t>تبعا لجماعة كثيرة منهم ؛ لما عرفت من أنّ العقل لا يزيد حكمه على نفي العقاب والمؤاخذة ، ولا يحكم حكما إنشائيا بالإباحة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الشرعية كأخبار الآحاد مثلا قد تنهض على نفي الحكم الشرعي كالوجوب أو الحرمة ، فقضيّة ما ذكرت لا بدّ وأن لا يكون دليلا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إنّما هو في حكم العقل بصرافته من غير ارتباط حكم شرعي به ، وما يستفاد من إثبات حكم آخر غير ما هو المنفيّ في الأدلّة الشرعية ، إنّما هو بواسطة العلم الحاصل شرعا بعدم جواز خلوّ الواقعة عن جميع الأحكام ، فنفي الوجوب مثلا يلازم شرعا ثبوت حكم آخر وذلك بخلاف الأحكام العقلية ؛ فإنّ في نظر العقل لا دليل على عدم جواز خلوّ الواقعة عن الحكم ، فالعقل يحكم بعدم الوجوب ، ولا ينافي عدم حكمه بالإباحة أيضا ؛ لجواز خلوّه عن جميع الأحكام كأفعال البهائم والصبيان والغافل والناسي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فالخبر النافي لوجوب شيء يدلّ بالالتزام على ثبوت حكم آخر فيه ، ولأجله يسمّى دليلا شرعيا بخلاف العقل كما لا يخفى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120"/>
      </w:r>
      <w:r>
        <w:rPr>
          <w:rFonts w:ascii="Amiri" w:hAnsi="Amiri" w:eastAsia="Amiri" w:cs="Amiri"/>
          <w:color w:val="111111"/>
          <w:sz w:val="28"/>
          <w:sz w:val="28"/>
          <w:szCs w:val="28"/>
          <w:rtl w:val="true"/>
          <w:lang w:bidi="ar-SA"/>
        </w:rPr>
        <w:t xml:space="preserve">الحكم الشرعي أعمّ من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الحكم بالوجوب والحرمة والاستحباب والكراهة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والنفي كما في الحكم بنفي أحدها ، ولكنّه لا يخفى على المتأمّل أنّه مع ذلك التعميم والتسامح في الحكم الشرعي لا وجه لعدّه </w:t>
      </w:r>
      <w:r>
        <w:rPr>
          <w:rStyle w:val="FootnoteAnchor"/>
          <w:rtl w:val="true"/>
        </w:rPr>
        <w:footnoteReference w:id="1121"/>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الأحكام الظاهرية ، فإنّ حكم العقل بقبح العقاب عند عدم البيان حكم واقعي لا يناط بالظاهر أصلا وقد مرّ فيما سبق من أنّ مناط انقسام الأحكام إلى الظاهرية </w:t>
      </w:r>
      <w:r>
        <w:rPr>
          <w:rStyle w:val="FootnoteAnchor"/>
          <w:rtl w:val="true"/>
        </w:rPr>
        <w:footnoteReference w:id="1122"/>
      </w:r>
      <w:r>
        <w:rPr>
          <w:rFonts w:ascii="Amiri" w:hAnsi="Amiri" w:eastAsia="Amiri" w:cs="Amiri"/>
          <w:color w:val="111111"/>
          <w:sz w:val="28"/>
          <w:sz w:val="28"/>
          <w:szCs w:val="28"/>
          <w:rtl w:val="true"/>
          <w:lang w:bidi="ar-SA"/>
        </w:rPr>
        <w:t>والواقعية هو إمكان الأحكام الشأنية مع إمكان عدم الوصول إلى المكلّفين وهذا منتف في الأحكام العقلية ولو كان في موضوع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بالأصل في هذا التركيب يمكن أن يكون معناه اللغوي بحسب واحد من موارد استعماله كقولهم </w:t>
      </w:r>
      <w:r>
        <w:rPr>
          <w:rStyle w:val="FootnoteAnchor"/>
          <w:rtl w:val="true"/>
        </w:rPr>
        <w:footnoteReference w:id="11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الإنسان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1124"/>
      </w:r>
      <w:r>
        <w:rPr>
          <w:rFonts w:ascii="Amiri" w:hAnsi="Amiri" w:eastAsia="Amiri" w:cs="Amiri"/>
          <w:color w:val="111111"/>
          <w:sz w:val="28"/>
          <w:sz w:val="28"/>
          <w:szCs w:val="28"/>
          <w:rtl w:val="true"/>
          <w:lang w:bidi="ar-SA"/>
        </w:rPr>
        <w:t>الحالة السابقة من الحالة اللاحقة الموجودة فيه هو هكذا كأن يكون المعنى البراءة التي كانت موجودة ثابتة قبل ، وكثيرا ما يراد منه هذا المعنى فيما لو كان التركيب توصيفيا كقولهم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به القاعدة من معانيه الاصطلاحية أي القاعدة العقلية التي توجب الحكم بخلوّ الذمّة والبراءة عن التكليف عند الشكّ مثلا ، وأغلب ما يراد به </w:t>
      </w:r>
      <w:r>
        <w:rPr>
          <w:rStyle w:val="FootnoteAnchor"/>
          <w:rtl w:val="true"/>
        </w:rPr>
        <w:footnoteReference w:id="1125"/>
      </w:r>
      <w:r>
        <w:rPr>
          <w:rFonts w:ascii="Amiri" w:hAnsi="Amiri" w:eastAsia="Amiri" w:cs="Amiri"/>
          <w:color w:val="111111"/>
          <w:sz w:val="28"/>
          <w:sz w:val="28"/>
          <w:szCs w:val="28"/>
          <w:rtl w:val="true"/>
          <w:lang w:bidi="ar-SA"/>
        </w:rPr>
        <w:t>هذا فيما لو كان التركيب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 فيمكن إرادته فيه بتكلّف على أن يكون الإضافة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توهّمه بعض الأجلّة </w:t>
      </w:r>
      <w:r>
        <w:rPr>
          <w:rStyle w:val="FootnoteAnchor"/>
          <w:rtl w:val="true"/>
        </w:rPr>
        <w:footnoteReference w:id="1126"/>
      </w:r>
      <w:r>
        <w:rPr>
          <w:rFonts w:ascii="Amiri" w:hAnsi="Amiri" w:eastAsia="Amiri" w:cs="Amiri"/>
          <w:color w:val="111111"/>
          <w:sz w:val="28"/>
          <w:sz w:val="28"/>
          <w:szCs w:val="28"/>
          <w:rtl w:val="true"/>
          <w:lang w:bidi="ar-SA"/>
        </w:rPr>
        <w:t>من أنّ الكلام في المقام في نفس المدلول دون الدليل غير سديد على التقدير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الراجح ، فيحتمل إرادته أيضا بالتكلّف </w:t>
      </w:r>
      <w:r>
        <w:rPr>
          <w:rStyle w:val="FootnoteAnchor"/>
          <w:rtl w:val="true"/>
        </w:rPr>
        <w:footnoteReference w:id="1127"/>
      </w:r>
      <w:r>
        <w:rPr>
          <w:rFonts w:ascii="Amiri" w:hAnsi="Amiri" w:eastAsia="Amiri" w:cs="Amiri"/>
          <w:color w:val="111111"/>
          <w:sz w:val="28"/>
          <w:sz w:val="28"/>
          <w:szCs w:val="28"/>
          <w:rtl w:val="true"/>
          <w:lang w:bidi="ar-SA"/>
        </w:rPr>
        <w:t>المذكور ولو كان في التركيب الإضافي ، وإلاّ ففي التركيب الحملي ممّا لا يدانيه ريب كما لا يخفى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الاستصحاب ، فلا يصحّ أن يراد بالأصل في المقام لا لما زعمه بعض الأجلّة </w:t>
      </w:r>
      <w:r>
        <w:rPr>
          <w:rStyle w:val="FootnoteAnchor"/>
          <w:rtl w:val="true"/>
        </w:rPr>
        <w:footnoteReference w:id="1128"/>
      </w:r>
      <w:r>
        <w:rPr>
          <w:rFonts w:ascii="Amiri" w:hAnsi="Amiri" w:eastAsia="Amiri" w:cs="Amiri"/>
          <w:color w:val="111111"/>
          <w:sz w:val="28"/>
          <w:sz w:val="28"/>
          <w:szCs w:val="28"/>
          <w:rtl w:val="true"/>
          <w:lang w:bidi="ar-SA"/>
        </w:rPr>
        <w:t xml:space="preserve">من اختلاف مدارك المسألتين والأقوال فيهما لإمكان القول بخروجه عن محلّ النزاع في مسألة الاستصحاب كما احتمله بعضهم بل لأنّ الجهة المبحوث عنها في البراءة تباين </w:t>
      </w:r>
    </w:p>
    <w:p>
      <w:pPr>
        <w:pStyle w:val="BookText"/>
        <w:rPr/>
      </w:pPr>
      <w:r>
        <w:rPr>
          <w:rFonts w:ascii="Amiri" w:hAnsi="Amiri" w:eastAsia="Amiri" w:cs="Amiri"/>
          <w:color w:val="111111"/>
          <w:sz w:val="28"/>
          <w:sz w:val="28"/>
          <w:szCs w:val="28"/>
          <w:rtl w:val="true"/>
          <w:lang w:bidi="ar-SA"/>
        </w:rPr>
        <w:t xml:space="preserve">الجهة المذكورة في الاستصحاب ؛ فإنّ الاستصحاب عبارة عن الحكم بوجود شيء في الزمن اللاحق تعويلا على ثبوته في السابق على ما عرّفه جماعة </w:t>
      </w:r>
      <w:r>
        <w:rPr>
          <w:rStyle w:val="FootnoteAnchor"/>
          <w:rtl w:val="true"/>
        </w:rPr>
        <w:footnoteReference w:id="1129"/>
      </w:r>
      <w:r>
        <w:rPr>
          <w:rFonts w:ascii="Amiri" w:hAnsi="Amiri" w:eastAsia="Amiri" w:cs="Amiri"/>
          <w:color w:val="111111"/>
          <w:sz w:val="28"/>
          <w:sz w:val="28"/>
          <w:szCs w:val="28"/>
          <w:rtl w:val="true"/>
          <w:lang w:bidi="ar-SA"/>
        </w:rPr>
        <w:t xml:space="preserve">، فالحكم في الاستصحاب إنّما هو بواسطة ملاحظة وجوده في السابق ، وفي البراءة يكفي في نفي الحكم نفس الشكّ فيه ، ومجرّد عدم العلم بالتكليف كاف في الحكم بالبراءة من غير أن يكون منوطا بملاحظة ثبوت الحكم في الزمن السابق بل ولو فرض استناد الحكم بوجوده في السابق لا يسمّى من هذه الجهة بالبراءة ولهذا ترى صاحب المعالم </w:t>
      </w:r>
      <w:r>
        <w:rPr>
          <w:rStyle w:val="FootnoteAnchor"/>
          <w:rtl w:val="true"/>
        </w:rPr>
        <w:footnoteReference w:id="1130"/>
      </w:r>
      <w:r>
        <w:rPr>
          <w:rFonts w:ascii="Amiri" w:hAnsi="Amiri" w:eastAsia="Amiri" w:cs="Amiri"/>
          <w:color w:val="111111"/>
          <w:sz w:val="28"/>
          <w:sz w:val="28"/>
          <w:szCs w:val="28"/>
          <w:rtl w:val="true"/>
          <w:lang w:bidi="ar-SA"/>
        </w:rPr>
        <w:t xml:space="preserve">نسب إلى المحقّق قول المرتضى في الاستصحاب مع أنّه في المعتبر </w:t>
      </w:r>
      <w:r>
        <w:rPr>
          <w:rStyle w:val="FootnoteAnchor"/>
          <w:rtl w:val="true"/>
        </w:rPr>
        <w:footnoteReference w:id="1131"/>
      </w:r>
      <w:r>
        <w:rPr>
          <w:rFonts w:ascii="Amiri" w:hAnsi="Amiri" w:eastAsia="Amiri" w:cs="Amiri"/>
          <w:color w:val="111111"/>
          <w:sz w:val="28"/>
          <w:sz w:val="28"/>
          <w:szCs w:val="28"/>
          <w:rtl w:val="true"/>
          <w:lang w:bidi="ar-SA"/>
        </w:rPr>
        <w:t>يقول باعتبار البراءة الأصلية ، وعدم الدليل دليل العدم بعد تقسيم مطلق الاستصحاب إلى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فالحكم في البراءة إنّما هو باعتبار مجرّد الشكّ في التكليف ، فلو فرض عدم وجود الزمان أيضا ، جاز الاستناد إليها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 فالحكم فيه إنّما هو بواسطة التعويل على ثبوته في الزمن السابق ، فلا وجه لإرادته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موارد البراءة من موارد الاستصحاب أيضا وذلك لا يقضي بصحّة إرادته في هذا التركيب كما لا يخفى ، فإنّ الشيخ بنى في العدّة </w:t>
      </w:r>
      <w:r>
        <w:rPr>
          <w:rStyle w:val="FootnoteAnchor"/>
          <w:rtl w:val="true"/>
        </w:rPr>
        <w:footnoteReference w:id="1132"/>
      </w:r>
      <w:r>
        <w:rPr>
          <w:rFonts w:ascii="Amiri" w:hAnsi="Amiri" w:eastAsia="Amiri" w:cs="Amiri"/>
          <w:color w:val="111111"/>
          <w:sz w:val="28"/>
          <w:sz w:val="28"/>
          <w:szCs w:val="28"/>
          <w:rtl w:val="true"/>
          <w:lang w:bidi="ar-SA"/>
        </w:rPr>
        <w:t>على مثل ذلك في الردّ على من زعم الحكم بإمضاء الصلاة للمتيمّم فيما لو وجد الماء في الأثناء ، فإنّه يحكم بالإمضاء لعدم دليل على وجوب النقض لا للاستصحاب وإن كان المورد ممّا يصحّ التمسّك به على القول 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عدّهم البراءة الأصلية من أقسام الاستصحاب ، فإنّما هو بواسطة اتّحاد </w:t>
      </w:r>
    </w:p>
    <w:p>
      <w:pPr>
        <w:pStyle w:val="BookText"/>
        <w:rPr/>
      </w:pPr>
      <w:r>
        <w:rPr>
          <w:rFonts w:ascii="Amiri" w:hAnsi="Amiri" w:eastAsia="Amiri" w:cs="Amiri"/>
          <w:color w:val="111111"/>
          <w:sz w:val="28"/>
          <w:sz w:val="28"/>
          <w:szCs w:val="28"/>
          <w:rtl w:val="true"/>
          <w:lang w:bidi="ar-SA"/>
        </w:rPr>
        <w:t>الموردين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أصولا أخر كأصالة الأقلّ عند الشكّ بينه وبين الأكثر وأصالة العدم وعدم الدليل دليل العدم لا بأس بالتنبيه على النسبة بينها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أصالة الأقلّ ، فهو أخصّ مطلقا من أصالة البراءة لكونها من أفرادها ، وقد يؤخذ من أصالة العدم ، فهي إذا شعبة من شعبها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الدليل دليل العدم ، فهو أعمّ مطلقا من البراءة ؛ لاختصاصها بالأحكام الشرعية التكليفية وجريانه في غيرها </w:t>
      </w:r>
      <w:r>
        <w:rPr>
          <w:rStyle w:val="FootnoteAnchor"/>
          <w:rtl w:val="true"/>
        </w:rPr>
        <w:footnoteReference w:id="1133"/>
      </w:r>
      <w:r>
        <w:rPr>
          <w:rFonts w:ascii="Amiri" w:hAnsi="Amiri" w:eastAsia="Amiri" w:cs="Amiri"/>
          <w:color w:val="111111"/>
          <w:sz w:val="28"/>
          <w:sz w:val="28"/>
          <w:szCs w:val="28"/>
          <w:rtl w:val="true"/>
          <w:lang w:bidi="ar-SA"/>
        </w:rPr>
        <w:t xml:space="preserve">أيضا ، فإنّ عدم الدليل على ثبوت الوضع في الألفاظ ، أو على النبوّة مثلا دليل على عدم </w:t>
      </w:r>
      <w:r>
        <w:rPr>
          <w:rStyle w:val="FootnoteAnchor"/>
          <w:rtl w:val="true"/>
        </w:rPr>
        <w:footnoteReference w:id="1134"/>
      </w:r>
      <w:r>
        <w:rPr>
          <w:rFonts w:ascii="Amiri" w:hAnsi="Amiri" w:eastAsia="Amiri" w:cs="Amiri"/>
          <w:color w:val="111111"/>
          <w:sz w:val="28"/>
          <w:sz w:val="28"/>
          <w:szCs w:val="28"/>
          <w:rtl w:val="true"/>
          <w:lang w:bidi="ar-SA"/>
        </w:rPr>
        <w:t>الوضع والنبوّة ، وعدم الدليل على الوجوب دليل على عدم الوجوب ، ولا فرق في ذلك بين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Style w:val="FootnoteAnchor"/>
          <w:rtl w:val="true"/>
        </w:rPr>
        <w:footnoteReference w:id="1135"/>
      </w:r>
      <w:r>
        <w:rPr>
          <w:rFonts w:ascii="Amiri" w:hAnsi="Amiri" w:eastAsia="Amiri" w:cs="Amiri"/>
          <w:color w:val="111111"/>
          <w:sz w:val="28"/>
          <w:sz w:val="28"/>
          <w:szCs w:val="28"/>
          <w:rtl w:val="true"/>
          <w:lang w:bidi="ar-SA"/>
        </w:rPr>
        <w:t xml:space="preserve">بناء على ما هو التحقيق من أنّ النافي يحتاج إلى دليل مثبت للنفي ؛ إذ القضايا المطلوبة إثبات نسبها في الواقع لا تنحصر في الموجبات ، فإنّ السوالب أيضا أحكام محتاجة إلى الإثبات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المانع المردّد الشاكّ الذي لا يجزم بأحد طرفي الخلاف لا يحتاج إلى الدليل ، وأمّا على ما توهّمه بعضهم من عدم الاحتياج إلى الدليل في النفي ، أو على التفصيل بين العقليات والشرعيات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الشيخ في العدّة </w:t>
      </w:r>
      <w:r>
        <w:rPr>
          <w:rStyle w:val="FootnoteAnchor"/>
          <w:rtl w:val="true"/>
        </w:rPr>
        <w:footnoteReference w:id="1137"/>
      </w:r>
      <w:r>
        <w:rPr>
          <w:rFonts w:ascii="Amiri" w:hAnsi="Amiri" w:eastAsia="Amiri" w:cs="Amiri"/>
          <w:color w:val="111111"/>
          <w:sz w:val="28"/>
          <w:sz w:val="28"/>
          <w:szCs w:val="28"/>
          <w:rtl w:val="true"/>
          <w:lang w:bidi="ar-SA"/>
        </w:rPr>
        <w:t xml:space="preserve">وابن زهرة في أصول الغنية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لهذا الأصل أصلا على أحد الوجهين ، ويختصّ بالشرعيات على الآخر كما لا يخفى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ينبغي أن يعلم أنّ عدم الدليل دليل العدم قد </w:t>
      </w:r>
      <w:r>
        <w:rPr>
          <w:rStyle w:val="FootnoteAnchor"/>
          <w:rtl w:val="true"/>
        </w:rPr>
        <w:footnoteReference w:id="1139"/>
      </w:r>
      <w:r>
        <w:rPr>
          <w:rFonts w:ascii="Amiri" w:hAnsi="Amiri" w:eastAsia="Amiri" w:cs="Amiri"/>
          <w:color w:val="111111"/>
          <w:sz w:val="28"/>
          <w:sz w:val="28"/>
          <w:szCs w:val="28"/>
          <w:rtl w:val="true"/>
          <w:lang w:bidi="ar-SA"/>
        </w:rPr>
        <w:t xml:space="preserve">يفيد القطع كما إذا كان المدلول ممّا لا يتحقّق بدون دلالة دليل عليه كالأحكام التكليفية المنجّزة في رقاب العباد ، فإنّ الوجوب الفعلي تحقّقه مشروط بالعلم ، فعدم ما يدلّ عليه في الحقيقة دليل على عدمه </w:t>
      </w:r>
      <w:bookmarkStart w:id="104" w:name="pg16273_211704"/>
    </w:p>
    <w:p>
      <w:pPr>
        <w:pStyle w:val="BookText"/>
        <w:rPr/>
      </w:pPr>
      <w:bookmarkEnd w:id="104"/>
      <w:r>
        <w:rPr>
          <w:rFonts w:ascii="Amiri" w:hAnsi="Amiri" w:eastAsia="Amiri" w:cs="Amiri"/>
          <w:color w:val="111111"/>
          <w:sz w:val="28"/>
          <w:sz w:val="28"/>
          <w:szCs w:val="28"/>
          <w:rtl w:val="true"/>
          <w:lang w:bidi="ar-SA"/>
        </w:rPr>
        <w:t xml:space="preserve">في الواقع ، وقد يفيد الظنّ كما إذا كان الحكم ممّا يعمّ به البلوى ، وقد لا يفيد شيئا منهما فلو كان هناك استقرار طريقة العقلاء على العمل به ولو بإرجاعه إلى قاعدة العدم ، فهو وإلاّ </w:t>
      </w:r>
      <w:r>
        <w:rPr>
          <w:rStyle w:val="FootnoteAnchor"/>
          <w:rtl w:val="true"/>
        </w:rPr>
        <w:footnoteReference w:id="1140"/>
      </w:r>
      <w:r>
        <w:rPr>
          <w:rFonts w:ascii="Amiri" w:hAnsi="Amiri" w:eastAsia="Amiri" w:cs="Amiri"/>
          <w:color w:val="111111"/>
          <w:sz w:val="28"/>
          <w:sz w:val="28"/>
          <w:szCs w:val="28"/>
          <w:rtl w:val="true"/>
          <w:lang w:bidi="ar-SA"/>
        </w:rPr>
        <w:t>فلا وجه للاستناد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العدم ، فأعمّ من الجميع كما عرفت ممّا مرّ ، فلا نطيل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ملاحظة النسبة بين البراءة وسائر الأصول على حسب ما يقتضيه المقام</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4803530_1280447820"/>
      <w:bookmarkStart w:id="106" w:name="_Toc37"/>
      <w:bookmarkEnd w:id="105"/>
      <w:r>
        <w:rPr>
          <w:rtl w:val="true"/>
        </w:rPr>
        <w:t xml:space="preserve">[ </w:t>
      </w:r>
      <w:r>
        <w:rPr>
          <w:rtl w:val="true"/>
        </w:rPr>
        <w:t xml:space="preserve">قاعدة الاشتغال </w:t>
      </w:r>
      <w:r>
        <w:rPr>
          <w:rtl w:val="true"/>
        </w:rPr>
        <w:t>]</w:t>
      </w:r>
      <w:bookmarkEnd w:id="106"/>
    </w:p>
    <w:p>
      <w:pPr>
        <w:pStyle w:val="BookText"/>
        <w:rPr/>
      </w:pPr>
      <w:r>
        <w:rPr>
          <w:rFonts w:ascii="Amiri" w:hAnsi="Amiri" w:eastAsia="Amiri" w:cs="Amiri"/>
          <w:color w:val="111111"/>
          <w:sz w:val="28"/>
          <w:sz w:val="28"/>
          <w:szCs w:val="28"/>
          <w:rtl w:val="true"/>
          <w:lang w:bidi="ar-SA"/>
        </w:rPr>
        <w:t xml:space="preserve">وأمّا قاعدة الاشتغال المعمولة في قبال قاعدة البراءة ، فلا بأس بالتنبيه على بيان الحكم فيها وكيفيّة حكم العقل بها تتميما لما مرّ ، فإنّ الأشياء تعرف بأضدادها ، على أنّ الموارد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المتنازع فيها جريان البراءة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مناص تحقيق الكلام فيها وتصوير النزاع من تصوير الاشتغال أيضا ، ويستتبعه الكلام في أصالة التخيير والاستصحاب على وجه يعلم به كيفية حكم العقل فيهما ، فنقول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إنّما هو جزء من القضية القائلة بأنّ الاشتغال اليقيني يحتاج إلى فراغ يقيني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عبارة عنها وكناية منها أقيمت </w:t>
      </w:r>
      <w:r>
        <w:rPr>
          <w:rStyle w:val="FootnoteAnchor"/>
          <w:rtl w:val="true"/>
        </w:rPr>
        <w:footnoteReference w:id="1141"/>
      </w:r>
      <w:r>
        <w:rPr>
          <w:rFonts w:ascii="Amiri" w:hAnsi="Amiri" w:eastAsia="Amiri" w:cs="Amiri"/>
          <w:color w:val="111111"/>
          <w:sz w:val="28"/>
          <w:sz w:val="28"/>
          <w:szCs w:val="28"/>
          <w:rtl w:val="true"/>
          <w:lang w:bidi="ar-SA"/>
        </w:rPr>
        <w:t xml:space="preserve">مقامها للاختصار ، والأصل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الاشتغال القاعدة يعني القاعدة المستفادة من حكم العقل بأنّ بعد العلم بالاشتغال لا يجوز الاقتناع بالشكّ ، ولا يكفي الشكّ في البراءة بل لا بدّ من تحصيل اليقين بالفراغ في قبال قاعدة البراءة ، فكما أنّ العقل يستقلّ بأنّ عند الشكّ في التكليف لا بدّ من إجراء أحكام عدم التكليف وعدم الالتزام به ، فكذلك يستقلّ بأنّ عند الشكّ في الفراغ لا بدّ من الحكم بعدم الفراغ وعدم الالتزام به ، ومن إجراء أحكام التكليف ، وهذا الحكم العقلي في المقامين إنّما يناط بنفس الشكّ في التكليف والفراغ ، وبمجرّد عدم العلم بهما ، ومن هنا يظهر أنّه لا </w:t>
      </w:r>
    </w:p>
    <w:p>
      <w:pPr>
        <w:pStyle w:val="BookText"/>
        <w:rPr/>
      </w:pPr>
      <w:r>
        <w:rPr>
          <w:rFonts w:ascii="Amiri" w:hAnsi="Amiri" w:eastAsia="Amiri" w:cs="Amiri"/>
          <w:color w:val="111111"/>
          <w:sz w:val="28"/>
          <w:sz w:val="28"/>
          <w:szCs w:val="28"/>
          <w:rtl w:val="true"/>
          <w:lang w:bidi="ar-SA"/>
        </w:rPr>
        <w:t>حاجة في إثبات الاشتغال أو البراءة إلى الاستصحاب بل لا يعقل الاستصحاب فيهما وفي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وتحقيقه يتوقّف على تمهيد مقدّمة هي </w:t>
      </w:r>
      <w:r>
        <w:rPr>
          <w:rStyle w:val="FootnoteAnchor"/>
          <w:rtl w:val="true"/>
        </w:rPr>
        <w:footnoteReference w:id="1142"/>
      </w:r>
      <w:r>
        <w:rPr>
          <w:rFonts w:ascii="Amiri" w:hAnsi="Amiri" w:eastAsia="Amiri" w:cs="Amiri"/>
          <w:color w:val="111111"/>
          <w:sz w:val="28"/>
          <w:sz w:val="28"/>
          <w:szCs w:val="28"/>
          <w:rtl w:val="true"/>
          <w:lang w:bidi="ar-SA"/>
        </w:rPr>
        <w:t xml:space="preserve">أنّ المطلوب في الاستصحاب هو ترتيب أحكام مترتّبة على بقاء المستصحب عليه حال الشكّ في بقائه وارتفاعه ، وأمّا لو كان الأحكام ممّا يترتّب على حدوث شيء ، فعند الشكّ في بقائه لا وجه للاستصحاب ؛ لعدم ارتباط الشكّ في البقاء بترتّب أحكام الحدوث عليه ، فالحدوث حال الشكّ في البقاء قطعي ، ولا حاجة إلى استصحاب الحادث ليترتّب عليه أحكام الحدوث بل ولا يعقل ؛ لاختصاص مورد الاستصحاب بالشكّ اللاحق والمفروض هو العلم في اللاحق أيضا ، ولا يجدي في جريانه تقدير عدمه وفرض انتفائه ؛ إذ المقدّر أنّ الأحكام ممّا يترتّب على الحدوث ، والاستصحاب يحكم ببقائه ، ولا ملازمة بين الحدوث والبقاء في ترتيب أحكام أحدهما على الآخر ، مثلا لو فرضنا أنّ </w:t>
      </w:r>
      <w:r>
        <w:rPr>
          <w:rStyle w:val="FootnoteAnchor"/>
          <w:rtl w:val="true"/>
        </w:rPr>
        <w:footnoteReference w:id="1143"/>
      </w:r>
      <w:r>
        <w:rPr>
          <w:rFonts w:ascii="Amiri" w:hAnsi="Amiri" w:eastAsia="Amiri" w:cs="Amiri"/>
          <w:color w:val="111111"/>
          <w:sz w:val="28"/>
          <w:sz w:val="28"/>
          <w:szCs w:val="28"/>
          <w:rtl w:val="true"/>
          <w:lang w:bidi="ar-SA"/>
        </w:rPr>
        <w:t>جواز الدخول في الصلاة إنّما هو ممّا يترتّب على نفس الوضوء في السابق ولو لم يكن باقيا في اللاحق ، فعند الشكّ في البقاء لا وجه لاستصحاب الطهارة ليترتّب عليه جواز الدخول في الصلاة ، فإنّ جواز الدخول على الفرض قطعي في اللاحق ، فلا يجري الاستصحاب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تمهّد هذه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إنّما يستقلّ بإتيان الصلاة في أربع جهات عند اشتباه القبلة على القول بثبوت التكليف حال الجهل أيضا ، وأمّا على القول بعدم تعلّق التكليف حال الجهل باعتبار إجمال الدليل كما يراه بعضهم ، فالكلام المذكور ساقط عن أصله ، وحكمه هذا إنّما يستند إلى الشكّ في الفراغ ، والعقل </w:t>
      </w:r>
      <w:r>
        <w:rPr>
          <w:rStyle w:val="FootnoteAnchor"/>
          <w:rtl w:val="true"/>
        </w:rPr>
        <w:footnoteReference w:id="1144"/>
      </w:r>
      <w:r>
        <w:rPr>
          <w:rFonts w:ascii="Amiri" w:hAnsi="Amiri" w:eastAsia="Amiri" w:cs="Amiri"/>
          <w:color w:val="111111"/>
          <w:sz w:val="28"/>
          <w:sz w:val="28"/>
          <w:szCs w:val="28"/>
          <w:rtl w:val="true"/>
          <w:lang w:bidi="ar-SA"/>
        </w:rPr>
        <w:t xml:space="preserve">الحاكم بالصلاة في أربع جهات إنّما هو موجود قبل الفعل وبعده وفي أثنائه ، والعلّة التي استند إليها العقل في </w:t>
      </w:r>
    </w:p>
    <w:p>
      <w:pPr>
        <w:pStyle w:val="BookText"/>
        <w:rPr/>
      </w:pPr>
      <w:r>
        <w:rPr>
          <w:rFonts w:ascii="Amiri" w:hAnsi="Amiri" w:eastAsia="Amiri" w:cs="Amiri"/>
          <w:color w:val="111111"/>
          <w:sz w:val="28"/>
          <w:sz w:val="28"/>
          <w:szCs w:val="28"/>
          <w:rtl w:val="true"/>
          <w:lang w:bidi="ar-SA"/>
        </w:rPr>
        <w:t xml:space="preserve">ذلك هو الشكّ في الفراغ ، وهو موجود حتّى يحصل العلم بالفراغ فالاستصحاب إمّا أن يقول القائل به </w:t>
      </w:r>
      <w:r>
        <w:rPr>
          <w:rStyle w:val="FootnoteAnchor"/>
          <w:rtl w:val="true"/>
        </w:rPr>
        <w:footnoteReference w:id="1145"/>
      </w:r>
      <w:r>
        <w:rPr>
          <w:rFonts w:ascii="Amiri" w:hAnsi="Amiri" w:eastAsia="Amiri" w:cs="Amiri"/>
          <w:color w:val="111111"/>
          <w:sz w:val="28"/>
          <w:sz w:val="28"/>
          <w:szCs w:val="28"/>
          <w:rtl w:val="true"/>
          <w:lang w:bidi="ar-SA"/>
        </w:rPr>
        <w:t>بجريانه قبل الفعل ، أو في أثنائه ، وعلى التقديرين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 فظاهر ؛ لأنّ المفروض أنّ العقل بواسطة عدم العلم بالبراءة والشكّ في الفراغ حكم بالإتيان على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فلأنّ العقل الحاكم بالاحتياط موجود ولم يحدث بعد </w:t>
      </w:r>
      <w:r>
        <w:rPr>
          <w:rStyle w:val="FootnoteAnchor"/>
          <w:rtl w:val="true"/>
        </w:rPr>
        <w:footnoteReference w:id="1146"/>
      </w:r>
      <w:r>
        <w:rPr>
          <w:rFonts w:ascii="Amiri" w:hAnsi="Amiri" w:eastAsia="Amiri" w:cs="Amiri"/>
          <w:color w:val="111111"/>
          <w:sz w:val="28"/>
          <w:sz w:val="28"/>
          <w:szCs w:val="28"/>
          <w:rtl w:val="true"/>
          <w:lang w:bidi="ar-SA"/>
        </w:rPr>
        <w:t>شيء به يرتفع حكمه بوجود العلّة وهو الشكّ في الفراغ وعدم العلم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قد يجري في موارد الأدلّة الاجتهادية مع العلم بوجود الحكم السابق في اللاحق باعتبار الدليل ولكن بعد فرض انتفاء الدليل غاية الأمر عدم الحاجة إليه وذلك لا ينافي جريانه ، ففي المقام أيضا لا مانع من القول بجريانه ولو بعد تقدير عدم حكم العقل بالاحتياط بواسطة الشكّ في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موارد الأدلّة الاجتهادية مجد بخلاف ما نحن بصدده ؛ فإنّ بعد فرض انتفاء حكم العقل بتحصيل العلم بالفراغ ، استصحاب الاشتغال لا يقضي بإتيان الصلاة في أربع جهات إلاّ بعد ملاحظة حكم العقل </w:t>
      </w:r>
      <w:r>
        <w:rPr>
          <w:rStyle w:val="FootnoteAnchor"/>
          <w:rtl w:val="true"/>
        </w:rPr>
        <w:footnoteReference w:id="1147"/>
      </w:r>
      <w:r>
        <w:rPr>
          <w:rFonts w:ascii="Amiri" w:hAnsi="Amiri" w:eastAsia="Amiri" w:cs="Amiri"/>
          <w:color w:val="111111"/>
          <w:sz w:val="28"/>
          <w:sz w:val="28"/>
          <w:szCs w:val="28"/>
          <w:rtl w:val="true"/>
          <w:lang w:bidi="ar-SA"/>
        </w:rPr>
        <w:t xml:space="preserve">بإتيانها فيها من حيث إنّها مقدّمة علمية ، فظهر ممّا ذكر أنّ الحكم بوجوب الإتيان بالمحتملات إنّما يترتّب على حدوث الاشتغال والشكّ في الفراغ ، وليس ذلك من آثار بقاء الاشتغال وأحكامه ، فيحرز بقاؤه بالاستصحاب ليترتّب عليه أحكامه كما هو المقصود في الاستصحاب في مجاريه ، وذلك نظير ما مرّ الإشارة إليه في مباحث الظنّ من أنّ الشكّ في الحجّية يكفي في نفيها ، ولا يصحّ التعويل في ترتّب </w:t>
      </w:r>
      <w:r>
        <w:rPr>
          <w:rStyle w:val="FootnoteAnchor"/>
          <w:rtl w:val="true"/>
        </w:rPr>
        <w:footnoteReference w:id="1148"/>
      </w:r>
      <w:r>
        <w:rPr>
          <w:rFonts w:ascii="Amiri" w:hAnsi="Amiri" w:eastAsia="Amiri" w:cs="Amiri"/>
          <w:color w:val="111111"/>
          <w:sz w:val="28"/>
          <w:sz w:val="28"/>
          <w:szCs w:val="28"/>
          <w:rtl w:val="true"/>
          <w:lang w:bidi="ar-SA"/>
        </w:rPr>
        <w:t>آثارها على استصحاب عدم الحجّية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الأمر بشيء تعيينا ، وشكّ في الإتيان بالمأمور به ، فلا مناص من استصحاب الأمر والاشتغال ، ولا ضير فيه أصلا ؛ فإنّ الإطاعة واجبة عند العلم </w:t>
      </w:r>
    </w:p>
    <w:p>
      <w:pPr>
        <w:pStyle w:val="BookText"/>
        <w:rPr/>
      </w:pPr>
      <w:r>
        <w:rPr>
          <w:rFonts w:ascii="Amiri" w:hAnsi="Amiri" w:eastAsia="Amiri" w:cs="Amiri"/>
          <w:color w:val="111111"/>
          <w:sz w:val="28"/>
          <w:sz w:val="28"/>
          <w:szCs w:val="28"/>
          <w:rtl w:val="true"/>
          <w:lang w:bidi="ar-SA"/>
        </w:rPr>
        <w:t xml:space="preserve">التفصيلي ولو لم نقل بلزوم دفع الضرر المحتمل كما هو المناط في القاعدة المذكورة ، وعند الشكّ في بقاء الأمر وارتفاعه يستصحب الأمر ، فيصير معلوما تفصيلا </w:t>
      </w:r>
      <w:r>
        <w:rPr>
          <w:rStyle w:val="FootnoteAnchor"/>
          <w:rtl w:val="true"/>
        </w:rPr>
        <w:footnoteReference w:id="1149"/>
      </w:r>
      <w:r>
        <w:rPr>
          <w:rFonts w:ascii="Amiri" w:hAnsi="Amiri" w:eastAsia="Amiri" w:cs="Amiri"/>
          <w:color w:val="111111"/>
          <w:sz w:val="28"/>
          <w:sz w:val="28"/>
          <w:szCs w:val="28"/>
          <w:rtl w:val="true"/>
          <w:lang w:bidi="ar-SA"/>
        </w:rPr>
        <w:t xml:space="preserve">بالعلم الشرعي ، فيجب ترتيب آثار المتيقّن </w:t>
      </w:r>
      <w:r>
        <w:rPr>
          <w:rStyle w:val="FootnoteAnchor"/>
          <w:rtl w:val="true"/>
        </w:rPr>
        <w:footnoteReference w:id="1150"/>
      </w:r>
      <w:r>
        <w:rPr>
          <w:rFonts w:ascii="Amiri" w:hAnsi="Amiri" w:eastAsia="Amiri" w:cs="Amiri"/>
          <w:color w:val="111111"/>
          <w:sz w:val="28"/>
          <w:sz w:val="28"/>
          <w:szCs w:val="28"/>
          <w:rtl w:val="true"/>
          <w:lang w:bidi="ar-SA"/>
        </w:rPr>
        <w:t>عليه من لزوم الإطاعة والامتثال ، وهذا الحكم إنّما هو من آثار بقاء الأمر والاشتغال ولا مدخل لحدوثه فيه ، فإنّه لو فرض عدم البقاء ، لا يجب الإتيان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ظاهر بين ما ذكر وبين ما نحن بصدده ، فإنّ الكلام يقع تارة فيما إذا علم التكليف </w:t>
      </w:r>
      <w:r>
        <w:rPr>
          <w:rStyle w:val="FootnoteAnchor"/>
          <w:rtl w:val="true"/>
        </w:rPr>
        <w:footnoteReference w:id="1151"/>
      </w:r>
      <w:r>
        <w:rPr>
          <w:rFonts w:ascii="Amiri" w:hAnsi="Amiri" w:eastAsia="Amiri" w:cs="Amiri"/>
          <w:color w:val="111111"/>
          <w:sz w:val="28"/>
          <w:sz w:val="28"/>
          <w:szCs w:val="28"/>
          <w:rtl w:val="true"/>
          <w:lang w:bidi="ar-SA"/>
        </w:rPr>
        <w:t xml:space="preserve">وشكّ في الإتيان بالمكلّف به الذي هو معلوم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أمر المولى بالصلاة مثلا وشكّ في إتيانها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فيما إذا شكّ في أنّ المكلّف به أيّ فعل من الأفعال المردّدة مثلا ، وما ذكر </w:t>
      </w:r>
      <w:r>
        <w:rPr>
          <w:rStyle w:val="FootnoteAnchor"/>
          <w:rtl w:val="true"/>
        </w:rPr>
        <w:footnoteReference w:id="1152"/>
      </w:r>
      <w:r>
        <w:rPr>
          <w:rFonts w:ascii="Amiri" w:hAnsi="Amiri" w:eastAsia="Amiri" w:cs="Amiri"/>
          <w:color w:val="111111"/>
          <w:sz w:val="28"/>
          <w:sz w:val="28"/>
          <w:szCs w:val="28"/>
          <w:rtl w:val="true"/>
          <w:lang w:bidi="ar-SA"/>
        </w:rPr>
        <w:t xml:space="preserve">إنّما يتمّ في المقام الأوّل ، وليس هناك ممّا يجري فيه قاعدة الاحتياط والاشتغال بل هو مجرى الاستصحاب ولا غائلة فيه لثبوت أحكام المتيقّن عند الاستصحاب على ما فرضه و </w:t>
      </w:r>
      <w:r>
        <w:rPr>
          <w:rStyle w:val="FootnoteAnchor"/>
          <w:rtl w:val="true"/>
        </w:rPr>
        <w:footnoteReference w:id="1153"/>
      </w:r>
      <w:r>
        <w:rPr>
          <w:rFonts w:ascii="Amiri" w:hAnsi="Amiri" w:eastAsia="Amiri" w:cs="Amiri"/>
          <w:color w:val="111111"/>
          <w:sz w:val="28"/>
          <w:sz w:val="28"/>
          <w:szCs w:val="28"/>
          <w:rtl w:val="true"/>
          <w:lang w:bidi="ar-SA"/>
        </w:rPr>
        <w:t xml:space="preserve">كما هو المطلوب بالاستصحاب في مجاريه بخلاف المقام الثاني كما هو محلّ الكلام في المقام ، فإنّه من مجاري الاشتغال ، والاستصحاب فيها </w:t>
      </w:r>
      <w:r>
        <w:rPr>
          <w:rStyle w:val="FootnoteAnchor"/>
          <w:rtl w:val="true"/>
        </w:rPr>
        <w:footnoteReference w:id="1154"/>
      </w:r>
      <w:r>
        <w:rPr>
          <w:rFonts w:ascii="Amiri" w:hAnsi="Amiri" w:eastAsia="Amiri" w:cs="Amiri"/>
          <w:color w:val="111111"/>
          <w:sz w:val="28"/>
          <w:sz w:val="28"/>
          <w:szCs w:val="28"/>
          <w:rtl w:val="true"/>
          <w:lang w:bidi="ar-SA"/>
        </w:rPr>
        <w:t xml:space="preserve">ممّا لا يجدي بعد عدم القول بوجوب دفع الضرر المحتمل ولزوم تحصيل العلم عند الشكّ في الفراغ ، فإنّ وجوب الصلاة في الجهات التي لم </w:t>
      </w:r>
      <w:r>
        <w:rPr>
          <w:rStyle w:val="FootnoteAnchor"/>
          <w:rtl w:val="true"/>
        </w:rPr>
        <w:footnoteReference w:id="1155"/>
      </w:r>
      <w:r>
        <w:rPr>
          <w:rFonts w:ascii="Amiri" w:hAnsi="Amiri" w:eastAsia="Amiri" w:cs="Amiri"/>
          <w:color w:val="111111"/>
          <w:sz w:val="28"/>
          <w:sz w:val="28"/>
          <w:szCs w:val="28"/>
          <w:rtl w:val="true"/>
          <w:lang w:bidi="ar-SA"/>
        </w:rPr>
        <w:t>يقع فيها الصلاة ليس ممّا يترتّب على استصحاب الاشتغال كما لا يخفى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بعد ما شكّ في المكلّف به فإمّا أن يقال بسقوط التكليف في حقّه كما يراه بعضهم ، وإمّا أن يقال ببقائه حال الجهل أيضا ، لا كلام على الأوّل ، وعلى الثاني فالحكم بالإتيان بجميع المحتملات ابتداء وفي أثناء العمل ممّا لا يجدي فيه الاستناد إلى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الحكم بإتيان بعض المحتملات التي لم يأت بها المكلّف ممّا لا يترتّب على بقاء الاشتغال ؛ إذ غاية ما يفيده الاستصحاب هو بقاء الاشتغال ، ومقتضاه الإتيان بالمكلّف به واقعا ، ولا يزيد على ذلك كما إذا كان الاشتغال في أوّل الأمر قطعيا ، فإنّ الاستصحاب إنّما يوجب تنزيل المشكوك فيه منزلة المقطوع به ، ومن المعلوم أنّ الاشتغال القطعي لا يقضي </w:t>
      </w:r>
      <w:r>
        <w:rPr>
          <w:rStyle w:val="FootnoteAnchor"/>
          <w:rtl w:val="true"/>
        </w:rPr>
        <w:footnoteReference w:id="1156"/>
      </w:r>
      <w:r>
        <w:rPr>
          <w:rFonts w:ascii="Amiri" w:hAnsi="Amiri" w:eastAsia="Amiri" w:cs="Amiri"/>
          <w:color w:val="111111"/>
          <w:sz w:val="28"/>
          <w:sz w:val="28"/>
          <w:szCs w:val="28"/>
          <w:rtl w:val="true"/>
          <w:lang w:bidi="ar-SA"/>
        </w:rPr>
        <w:t xml:space="preserve">بالإتيان بالمحتملات لا في أوّل الأمر ولا في الأثناء إلاّ بعد انضمام مقدّمة خارجية هي </w:t>
      </w:r>
      <w:r>
        <w:rPr>
          <w:rStyle w:val="FootnoteAnchor"/>
          <w:rtl w:val="true"/>
        </w:rPr>
        <w:footnoteReference w:id="1157"/>
      </w:r>
      <w:r>
        <w:rPr>
          <w:rFonts w:ascii="Amiri" w:hAnsi="Amiri" w:eastAsia="Amiri" w:cs="Amiri"/>
          <w:color w:val="111111"/>
          <w:sz w:val="28"/>
          <w:sz w:val="28"/>
          <w:szCs w:val="28"/>
          <w:rtl w:val="true"/>
          <w:lang w:bidi="ar-SA"/>
        </w:rPr>
        <w:t>حكم العقل بتفريغ الذمّة عند العلم بالاشتغال وعدم العلم بالفراغ والشكّ في البراءة ، فالاشتغال الثابت بحكم الاستصحاب كيف يعقل اقتضاؤه للإتيان بالمحتملات مع كونه منزّلا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الاشتغال مثبت لكون الباقي من الجهات المحتملة هي </w:t>
      </w:r>
      <w:r>
        <w:rPr>
          <w:rStyle w:val="FootnoteAnchor"/>
          <w:rtl w:val="true"/>
        </w:rPr>
        <w:footnoteReference w:id="1158"/>
      </w:r>
      <w:r>
        <w:rPr>
          <w:rFonts w:ascii="Amiri" w:hAnsi="Amiri" w:eastAsia="Amiri" w:cs="Amiri"/>
          <w:color w:val="111111"/>
          <w:sz w:val="28"/>
          <w:sz w:val="28"/>
          <w:szCs w:val="28"/>
          <w:rtl w:val="true"/>
          <w:lang w:bidi="ar-SA"/>
        </w:rPr>
        <w:t xml:space="preserve">القبلة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من الوهن والضعف سيّما إذا كان الجهة الغير المأتيّ بها متعدّدة ، فإنّ الأمر بالعكس إذ احتمال كون الباقية قبلة واقعية </w:t>
      </w:r>
      <w:r>
        <w:rPr>
          <w:rStyle w:val="FootnoteAnchor"/>
          <w:rtl w:val="true"/>
        </w:rPr>
        <w:footnoteReference w:id="1159"/>
      </w:r>
      <w:r>
        <w:rPr>
          <w:rFonts w:ascii="Amiri" w:hAnsi="Amiri" w:eastAsia="Amiri" w:cs="Amiri"/>
          <w:color w:val="111111"/>
          <w:sz w:val="28"/>
          <w:sz w:val="28"/>
          <w:szCs w:val="28"/>
          <w:rtl w:val="true"/>
          <w:lang w:bidi="ar-SA"/>
        </w:rPr>
        <w:t>يقضي بإتيانها لا أنّها قبلة واقعية ، فيجب إتيان الصلاة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مرّ أنّ استصحاب الاشتغال يجري فيما لا يجري فيه قاعدة الاشتغال والاحتياط ، وما يجري فيه الاشتغال وقاعدة الاحتياط لا يجري فيه الاستصحاب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عسى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بعضهم باستصحاب الاشتغال كالمحقّق </w:t>
      </w:r>
      <w:r>
        <w:rPr>
          <w:rStyle w:val="FootnoteAnchor"/>
          <w:rtl w:val="true"/>
        </w:rPr>
        <w:footnoteReference w:id="1160"/>
      </w:r>
      <w:r>
        <w:rPr>
          <w:rFonts w:ascii="Amiri" w:hAnsi="Amiri" w:eastAsia="Amiri" w:cs="Amiri"/>
          <w:color w:val="111111"/>
          <w:sz w:val="28"/>
          <w:sz w:val="28"/>
          <w:szCs w:val="28"/>
          <w:rtl w:val="true"/>
          <w:lang w:bidi="ar-SA"/>
        </w:rPr>
        <w:t xml:space="preserve">في المتيمّم الواجد للماء في أثناء الصلاة حيث أفاد أنّ استصحاب الصحّة يعارضه استصحاب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مبنيّ على مجرّد المناقشة في الدليل وأمثاله ، وإلاّ فكيف يعقل التمسّك به مع وضوح فساده وظهور كساده من جهة أخرى أيضا؟ وهو عدم مقاومة استصحاب الاشتغال باستصحاب الصحّة لكونه واردا عليه ورود الاجتهادي على </w:t>
      </w:r>
      <w:bookmarkStart w:id="107" w:name="pg16273_211709"/>
    </w:p>
    <w:p>
      <w:pPr>
        <w:pStyle w:val="BookText"/>
        <w:rPr/>
      </w:pPr>
      <w:bookmarkEnd w:id="107"/>
      <w:r>
        <w:rPr>
          <w:rFonts w:ascii="Amiri" w:hAnsi="Amiri" w:eastAsia="Amiri" w:cs="Amiri"/>
          <w:color w:val="111111"/>
          <w:sz w:val="28"/>
          <w:sz w:val="28"/>
          <w:szCs w:val="28"/>
          <w:rtl w:val="true"/>
          <w:lang w:bidi="ar-SA"/>
        </w:rPr>
        <w:t>العملي كما لا يخفى ، وإلاّ فلم يبق هناك مورد للاستصحاب وهذا هو تمام الكلام في أصالة الاشتغال</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803532_1280447820"/>
      <w:bookmarkStart w:id="109" w:name="_Toc38"/>
      <w:bookmarkEnd w:id="108"/>
      <w:r>
        <w:rPr>
          <w:rtl w:val="true"/>
        </w:rPr>
        <w:t xml:space="preserve">[ </w:t>
      </w:r>
      <w:r>
        <w:rPr>
          <w:rtl w:val="true"/>
        </w:rPr>
        <w:t xml:space="preserve">أصالة التخيير </w:t>
      </w:r>
      <w:r>
        <w:rPr>
          <w:rtl w:val="true"/>
        </w:rPr>
        <w:t>]</w:t>
      </w:r>
      <w:bookmarkEnd w:id="109"/>
    </w:p>
    <w:p>
      <w:pPr>
        <w:pStyle w:val="BookText"/>
        <w:rPr/>
      </w:pPr>
      <w:r>
        <w:rPr>
          <w:rFonts w:ascii="Amiri" w:hAnsi="Amiri" w:eastAsia="Amiri" w:cs="Amiri"/>
          <w:color w:val="111111"/>
          <w:sz w:val="28"/>
          <w:sz w:val="28"/>
          <w:szCs w:val="28"/>
          <w:rtl w:val="true"/>
          <w:lang w:bidi="ar-SA"/>
        </w:rPr>
        <w:t xml:space="preserve">وأمّا أصالة التخيير ، فمرجعها إلى حكم العقل بعدم تعيين واحد من الدليلين </w:t>
      </w:r>
      <w:r>
        <w:rPr>
          <w:rStyle w:val="FootnoteAnchor"/>
          <w:rtl w:val="true"/>
        </w:rPr>
        <w:footnoteReference w:id="1161"/>
      </w:r>
      <w:r>
        <w:rPr>
          <w:rFonts w:ascii="Amiri" w:hAnsi="Amiri" w:eastAsia="Amiri" w:cs="Amiri"/>
          <w:color w:val="111111"/>
          <w:sz w:val="28"/>
          <w:sz w:val="28"/>
          <w:szCs w:val="28"/>
          <w:rtl w:val="true"/>
          <w:lang w:bidi="ar-SA"/>
        </w:rPr>
        <w:t>عند تعذّر الأخذ بهما معا وطرحهما كذلك مع عدم ما يعيّن أحدهما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 فهو حكم العقل ببقاء الشيء عند الشكّ في وجوده في اللاحق بعد العلم بوجوده في السابق من حيث ثبوته في السابق ، فمستند حكم العقل بالبقاء في الاستصحاب هو الوجود السابق لكنّه ظنّي ، ولا ينافيه حصول الشكّ ؛ فإنّ العقل عند الشكّ بملاحظة وجوده في السابق يحكم حكما ظنّيا بوجوده في اللاحق على نحو حكم العقل في سائر الأدلّة العقلية الظنّية كالاستقراء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يعلم أنّ المرجع عند الشكّ للمكلّف ينحصر في الأصول الأربعة حصرا عقليا ؛ لأنّ الإنسان البالغ العاقل إمّا أن يكون ملتفتا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فلا كلام لنا فيه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إمّا أن يكون عالما بالحكم ولو علما شرعيا ، أو لا يكون بل يكون شاكّا ولو شكّا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 فلا 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إمّا أن يكون الحالة السابقة معلومة له ،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الأوّل فهو مجرى الاستصحاب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إمّا أن يكون شاكّا في التكليف خصوصا أو عموما مع عدم دوران الأمر بين المتنافيين ،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فهو مجرى البراءة ، ومع دوران الأمر بين المحذورين فهو مجرى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فمع عدم دوران الأمر بين المحذورين وإمكان الجمع فهو مجرى الاشتغال ومع عدم إمكانه ودوران الأمر بين المتنافيين والمحذورين فهو أيضا مجرى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إنّما جرت عادتهم في مدّ </w:t>
      </w:r>
      <w:r>
        <w:rPr>
          <w:rStyle w:val="FootnoteAnchor"/>
          <w:rtl w:val="true"/>
        </w:rPr>
        <w:footnoteReference w:id="1162"/>
      </w:r>
      <w:r>
        <w:rPr>
          <w:rFonts w:ascii="Amiri" w:hAnsi="Amiri" w:eastAsia="Amiri" w:cs="Amiri"/>
          <w:color w:val="111111"/>
          <w:sz w:val="28"/>
          <w:sz w:val="28"/>
          <w:szCs w:val="28"/>
          <w:rtl w:val="true"/>
          <w:lang w:bidi="ar-SA"/>
        </w:rPr>
        <w:t xml:space="preserve">الأصول الثلاثة الأخيرة في هذا المقام وانفراد الاستصحاب بالبحث نظرا إلى أنّ الحكم فيه ليس منوطا بنفس الشكّ بل لا بدّ فيه من ملاحظة ثبوت المشكوك في الحالة السابقة بخلاف غيره ، فإنّ الحكم فيها يناط بمجرّد الشكّ ، ولذلك قد اكتفوا بإيرادها في بحث واحد بحسب مواردها ، فلا بدّ من تشخيص مواردها وتميز مجاريها ؛ فإنّ عليها يدور رحى الفقه كلّه ، وبيان الاختلاف الواقع في تلك الموارد والتحقيق فيها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إمّا أن يكون في خصوص التكليف كما لو شكّ في وجوب شيء و </w:t>
      </w:r>
      <w:r>
        <w:rPr>
          <w:rStyle w:val="FootnoteAnchor"/>
          <w:rtl w:val="true"/>
        </w:rPr>
        <w:footnoteReference w:id="1163"/>
      </w:r>
      <w:r>
        <w:rPr>
          <w:rFonts w:ascii="Amiri" w:hAnsi="Amiri" w:eastAsia="Amiri" w:cs="Amiri"/>
          <w:color w:val="111111"/>
          <w:sz w:val="28"/>
          <w:sz w:val="28"/>
          <w:szCs w:val="28"/>
          <w:rtl w:val="true"/>
          <w:lang w:bidi="ar-SA"/>
        </w:rPr>
        <w:t>حرمته مع قطع النظر عن الترديد بينه وبين غيره ، أو مع ملاحظة الترديد كما لو شكّ في وجوب شيء أو حرمته ؛ فإنّ مجرّد الترديد بين الحرمة والوجوب لا يجدي في عدم كون الشكّ هذا من أقسام الشكّ في التكليف بعد تقييده بالخصوصية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في المكلّف 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إمّا أن يكون منشأ الشكّ هو الاشتباه في الحكم الشرعي كأن لا يعلم أنّ شرب التتن في القسم </w:t>
      </w:r>
      <w:r>
        <w:rPr>
          <w:rStyle w:val="FootnoteAnchor"/>
          <w:rtl w:val="true"/>
        </w:rPr>
        <w:footnoteReference w:id="1164"/>
      </w:r>
      <w:r>
        <w:rPr>
          <w:rFonts w:ascii="Amiri" w:hAnsi="Amiri" w:eastAsia="Amiri" w:cs="Amiri"/>
          <w:color w:val="111111"/>
          <w:sz w:val="28"/>
          <w:sz w:val="28"/>
          <w:szCs w:val="28"/>
          <w:rtl w:val="true"/>
          <w:lang w:bidi="ar-SA"/>
        </w:rPr>
        <w:t xml:space="preserve">الأوّل حرام في أصل الشريعة ، أو قراءة الدعاء عند رؤية الهلال واجبة أو لا ، أو لا يعلم أنّ الصلاة في يوم الجمعة بحسب أصل الشرع الواجب منها هو الظهر أو الجمعة ، أو الحرام في الشرع هو الشيء الفلاني أو غيره </w:t>
      </w:r>
      <w:r>
        <w:rPr>
          <w:rStyle w:val="FootnoteAnchor"/>
          <w:rtl w:val="true"/>
        </w:rPr>
        <w:footnoteReference w:id="1165"/>
      </w:r>
      <w:r>
        <w:rPr>
          <w:rFonts w:ascii="Amiri" w:hAnsi="Amiri" w:eastAsia="Amiri" w:cs="Amiri"/>
          <w:color w:val="111111"/>
          <w:sz w:val="28"/>
          <w:sz w:val="28"/>
          <w:szCs w:val="28"/>
          <w:rtl w:val="true"/>
          <w:lang w:bidi="ar-SA"/>
        </w:rPr>
        <w:t xml:space="preserve">في القسم الثاني ، وإمّا أن يكون منشأ الاشتباه والشكّ هو الاشتباه في الأمور الخارجية </w:t>
      </w:r>
    </w:p>
    <w:p>
      <w:pPr>
        <w:pStyle w:val="BookText"/>
        <w:rPr/>
      </w:pPr>
      <w:r>
        <w:rPr>
          <w:rFonts w:ascii="Amiri" w:hAnsi="Amiri" w:eastAsia="Amiri" w:cs="Amiri"/>
          <w:color w:val="111111"/>
          <w:sz w:val="28"/>
          <w:sz w:val="28"/>
          <w:szCs w:val="28"/>
          <w:rtl w:val="true"/>
          <w:lang w:bidi="ar-SA"/>
        </w:rPr>
        <w:t>كأن لا يعلم أنّ الواجب هو الإتيان بالصلاة عند اشتباه القبلة بأيّ جهة من الجهات ، أو لا يعلم أنّ المانع الفلاني هو الخمر حتّى يكون مكلّفا بالاجتناب عنه أو الماء حتّى لا يجب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الأربع إمّا أن تكون الشبهة تحريمية كأن يكون الأمر دائرا </w:t>
      </w:r>
      <w:r>
        <w:rPr>
          <w:rStyle w:val="FootnoteAnchor"/>
          <w:rtl w:val="true"/>
        </w:rPr>
        <w:footnoteReference w:id="1166"/>
      </w:r>
      <w:r>
        <w:rPr>
          <w:rFonts w:ascii="Amiri" w:hAnsi="Amiri" w:eastAsia="Amiri" w:cs="Amiri"/>
          <w:color w:val="111111"/>
          <w:sz w:val="28"/>
          <w:sz w:val="28"/>
          <w:szCs w:val="28"/>
          <w:rtl w:val="true"/>
          <w:lang w:bidi="ar-SA"/>
        </w:rPr>
        <w:t xml:space="preserve">بين الحرام وغير الواجب على سبيل منع الخلوّ ، أو وجوبية كأن يكون دائرا بين الواجب وغير الحرام على المنفصلة المانعة الخلوّ يشتمل </w:t>
      </w:r>
      <w:r>
        <w:rPr>
          <w:rStyle w:val="FootnoteAnchor"/>
          <w:rtl w:val="true"/>
        </w:rPr>
        <w:footnoteReference w:id="1167"/>
      </w:r>
      <w:r>
        <w:rPr>
          <w:rFonts w:ascii="Amiri" w:hAnsi="Amiri" w:eastAsia="Amiri" w:cs="Amiri"/>
          <w:color w:val="111111"/>
          <w:sz w:val="28"/>
          <w:sz w:val="28"/>
          <w:szCs w:val="28"/>
          <w:rtl w:val="true"/>
          <w:lang w:bidi="ar-SA"/>
        </w:rPr>
        <w:t>ما إذا كان الأمر دائرا بين الواجب والحرام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القسمان إنّما يتصوّر أقسام كثيرة فإنّ غير الحرام في الشبهة الوجوبية قد يكون هو الاستحباب أو الكراهة أو الإباحة أو الاثنان منهما أو الثلاثة ، وغير الواجب في الشبهة الوجوبية أيضا كذلك ، وعند دوران الأمر بين الواجب والحرام يتصوّر أقسام كثيرة ؛ لاحتمال غيرهما ثلاثية أو رباعية أو خماسية على اختلاف الصور في الأوليين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أقسام ثمانية ، أربعة منها من الأقسام التي منشأ الشبهة فيها الشكّ في الحكم الشرعي ، وأربعة منها من صور الشكّ في الموضوع الخارجي ، والأربعة الأولى لا تخلو عن أقسام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الشبهة باعتبار فقد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باعتبار إجمال النصّ كاشتماله على لفظ مشترك مجرّد عن القرينة المعيّنة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باعتبار تعارض النصّين وتوارد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الأقسام الثلاثة وإن كان ممّا يختلف الحكم فيها باعتبار اشتمال بعض أخبار الباب على بعض الصور إلاّ </w:t>
      </w:r>
    </w:p>
    <w:p>
      <w:pPr>
        <w:pStyle w:val="BookText"/>
        <w:rPr/>
      </w:pPr>
      <w:r>
        <w:rPr>
          <w:rFonts w:ascii="Amiri" w:hAnsi="Amiri" w:eastAsia="Amiri" w:cs="Amiri"/>
          <w:color w:val="111111"/>
          <w:sz w:val="28"/>
          <w:sz w:val="28"/>
          <w:szCs w:val="28"/>
          <w:rtl w:val="true"/>
          <w:lang w:bidi="ar-SA"/>
        </w:rPr>
        <w:t xml:space="preserve">أنّ </w:t>
      </w:r>
      <w:r>
        <w:rPr>
          <w:rStyle w:val="FootnoteAnchor"/>
          <w:rtl w:val="true"/>
        </w:rPr>
        <w:footnoteReference w:id="1168"/>
      </w:r>
      <w:r>
        <w:rPr>
          <w:rFonts w:ascii="Amiri" w:hAnsi="Amiri" w:eastAsia="Amiri" w:cs="Amiri"/>
          <w:color w:val="111111"/>
          <w:sz w:val="28"/>
          <w:sz w:val="28"/>
          <w:szCs w:val="28"/>
          <w:rtl w:val="true"/>
          <w:lang w:bidi="ar-SA"/>
        </w:rPr>
        <w:t xml:space="preserve">التحقيق أنّه لا فرق بينها فيما نحن فيه ، فكما أنّ تعارض النصّين يقضي </w:t>
      </w:r>
      <w:r>
        <w:rPr>
          <w:rStyle w:val="FootnoteAnchor"/>
          <w:rtl w:val="true"/>
        </w:rPr>
        <w:footnoteReference w:id="1169"/>
      </w:r>
      <w:r>
        <w:rPr>
          <w:rFonts w:ascii="Amiri" w:hAnsi="Amiri" w:eastAsia="Amiri" w:cs="Amiri"/>
          <w:color w:val="111111"/>
          <w:sz w:val="28"/>
          <w:sz w:val="28"/>
          <w:szCs w:val="28"/>
          <w:rtl w:val="true"/>
          <w:lang w:bidi="ar-SA"/>
        </w:rPr>
        <w:t xml:space="preserve">بالتخيير فكذا معارضة كلّ دليل مع الآخر يقضي بذلك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فهذه اثنا عشر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منها من أقسام الشكّ في التكليف ، والستّة الأخرى من صور الشكّ في المكلّف به ، وعلى الستّة الأخيرة إمّا أن يكون الأمر دائرا بين المتباينين كأن لا يعلم أنّ </w:t>
      </w:r>
      <w:r>
        <w:rPr>
          <w:rStyle w:val="FootnoteAnchor"/>
          <w:rtl w:val="true"/>
        </w:rPr>
        <w:footnoteReference w:id="1171"/>
      </w:r>
      <w:r>
        <w:rPr>
          <w:rFonts w:ascii="Amiri" w:hAnsi="Amiri" w:eastAsia="Amiri" w:cs="Amiri"/>
          <w:color w:val="111111"/>
          <w:sz w:val="28"/>
          <w:sz w:val="28"/>
          <w:szCs w:val="28"/>
          <w:rtl w:val="true"/>
          <w:lang w:bidi="ar-SA"/>
        </w:rPr>
        <w:t xml:space="preserve">المكلّف به هو الفعل الفلاني ، أو غيره من دون أن يكون هناك علم إجمالي بينهما أيضا ، أو دائرا بين الأقلّ والأكثر مع وجود العلم الإجمالي أيضا بينهما </w:t>
      </w:r>
      <w:r>
        <w:rPr>
          <w:rStyle w:val="FootnoteAnchor"/>
          <w:rtl w:val="true"/>
        </w:rPr>
        <w:footnoteReference w:id="1172"/>
      </w:r>
      <w:r>
        <w:rPr>
          <w:rFonts w:ascii="Amiri" w:hAnsi="Amiri" w:eastAsia="Amiri" w:cs="Amiri"/>
          <w:color w:val="111111"/>
          <w:sz w:val="28"/>
          <w:sz w:val="28"/>
          <w:szCs w:val="28"/>
          <w:rtl w:val="true"/>
          <w:lang w:bidi="ar-SA"/>
        </w:rPr>
        <w:t xml:space="preserve">كما إذا شكّ في جزئية شيء </w:t>
      </w:r>
      <w:r>
        <w:rPr>
          <w:rStyle w:val="FootnoteAnchor"/>
          <w:rtl w:val="true"/>
        </w:rPr>
        <w:footnoteReference w:id="1173"/>
      </w:r>
      <w:r>
        <w:rPr>
          <w:rFonts w:ascii="Amiri" w:hAnsi="Amiri" w:eastAsia="Amiri" w:cs="Amiri"/>
          <w:color w:val="111111"/>
          <w:sz w:val="28"/>
          <w:sz w:val="28"/>
          <w:szCs w:val="28"/>
          <w:rtl w:val="true"/>
          <w:lang w:bidi="ar-SA"/>
        </w:rPr>
        <w:t>للواجب النفسي كالسورة في الصلاة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الأمر دائرا بين الأقلّ والأكثر من دون العلم الإجمالي كما فيما إذا شكّ في أنّ الدين أربعة دراهم أو خمسة ، وكما في منزوحات البئر ، فليس من أقسام الشكّ في المكلّف به بل الناقص الأقلّ معلوم تفصيلا ، والزائد مشكوك صرف ، فيرجع بالنسبة إلى الزائد إلى صور الشكّ في المكلّف به ، فهذه مع الستّة الأولى والأربعة التي منشأ الشكّ فيها الشبهة في الأمر </w:t>
      </w:r>
      <w:r>
        <w:rPr>
          <w:rStyle w:val="FootnoteAnchor"/>
          <w:rtl w:val="true"/>
        </w:rPr>
        <w:footnoteReference w:id="1174"/>
      </w:r>
      <w:r>
        <w:rPr>
          <w:rFonts w:ascii="Amiri" w:hAnsi="Amiri" w:eastAsia="Amiri" w:cs="Amiri"/>
          <w:color w:val="111111"/>
          <w:sz w:val="28"/>
          <w:sz w:val="28"/>
          <w:szCs w:val="28"/>
          <w:rtl w:val="true"/>
          <w:lang w:bidi="ar-SA"/>
        </w:rPr>
        <w:t xml:space="preserve">الخارجي 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وعشرون قسما ، ولنذكر أحكام هذه الصور والأقسام في طيّ أصول عديدة</w:t>
      </w:r>
      <w:r>
        <w:rPr>
          <w:rFonts w:eastAsia="Amiri" w:cs="Amiri" w:ascii="Amiri" w:hAnsi="Amiri"/>
          <w:color w:val="111111"/>
          <w:sz w:val="28"/>
          <w:szCs w:val="28"/>
          <w:rtl w:val="true"/>
          <w:lang w:bidi="ar-SA"/>
        </w:rPr>
        <w:t xml:space="preserve">. </w:t>
      </w:r>
      <w:bookmarkStart w:id="110" w:name="pg16273_211713"/>
    </w:p>
    <w:p>
      <w:pPr>
        <w:pStyle w:val="Heading3"/>
        <w:numPr>
          <w:ilvl w:val="2"/>
          <w:numId w:val="1"/>
        </w:numPr>
        <w:rPr/>
      </w:pPr>
      <w:bookmarkStart w:id="111" w:name="__RefHeading___Toc4803534_1280447820"/>
      <w:bookmarkStart w:id="112" w:name="_Toc39"/>
      <w:bookmarkEnd w:id="110"/>
      <w:bookmarkEnd w:id="111"/>
      <w:r>
        <w:rPr>
          <w:rtl w:val="true"/>
        </w:rPr>
        <w:t xml:space="preserve">أصل </w:t>
      </w:r>
      <w:r>
        <w:rPr>
          <w:rtl w:val="true"/>
        </w:rPr>
        <w:t xml:space="preserve">[ </w:t>
      </w:r>
      <w:r>
        <w:rPr>
          <w:rtl w:val="true"/>
        </w:rPr>
        <w:t xml:space="preserve">في البراءة في الشبهة الحكمية الوجوبية </w:t>
      </w:r>
      <w:r>
        <w:rPr>
          <w:rtl w:val="true"/>
        </w:rPr>
        <w:t>]</w:t>
      </w:r>
      <w:bookmarkEnd w:id="112"/>
    </w:p>
    <w:p>
      <w:pPr>
        <w:pStyle w:val="BookText"/>
        <w:rPr/>
      </w:pPr>
      <w:r>
        <w:rPr>
          <w:rFonts w:ascii="Amiri" w:hAnsi="Amiri" w:eastAsia="Amiri" w:cs="Amiri"/>
          <w:color w:val="111111"/>
          <w:sz w:val="28"/>
          <w:sz w:val="28"/>
          <w:szCs w:val="28"/>
          <w:rtl w:val="true"/>
          <w:lang w:bidi="ar-SA"/>
        </w:rPr>
        <w:t xml:space="preserve">في الشكّ في التكليف من أقسام الشبهة الحكمية الوجوبية فيما لو كانت الشبهة مستندة إلى فقد النصّ بجميع أقسامه المذكورة عدا ما إذا كان الشكّ بين الوجوب والحرمة ؛ فإنّ لهذه الصورة في هذا المقام وفي المقام الآتي مقام </w:t>
      </w:r>
      <w:r>
        <w:rPr>
          <w:rStyle w:val="FootnoteAnchor"/>
          <w:rtl w:val="true"/>
        </w:rPr>
        <w:footnoteReference w:id="1175"/>
      </w:r>
      <w:r>
        <w:rPr>
          <w:rFonts w:ascii="Amiri" w:hAnsi="Amiri" w:eastAsia="Amiri" w:cs="Amiri"/>
          <w:color w:val="111111"/>
          <w:sz w:val="28"/>
          <w:sz w:val="28"/>
          <w:szCs w:val="28"/>
          <w:rtl w:val="true"/>
          <w:lang w:bidi="ar-SA"/>
        </w:rPr>
        <w:t xml:space="preserve">آخر ، فلا بدّ من ذكرها على حدّها </w:t>
      </w:r>
      <w:r>
        <w:rPr>
          <w:rStyle w:val="FootnoteAnchor"/>
          <w:rtl w:val="true"/>
        </w:rPr>
        <w:footnoteReference w:id="1176"/>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جريان البراءة في هذه الصورة بأقسامها ؛ للأدلّة الأربعة كتابا وسنّة وإجماعا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فآي منه أقواها في النظر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أنّ البعث في المقام هو تبليغ الأحكام </w:t>
      </w:r>
      <w:r>
        <w:rPr>
          <w:rStyle w:val="FootnoteAnchor"/>
          <w:rtl w:val="true"/>
        </w:rPr>
        <w:footnoteReference w:id="1178"/>
      </w:r>
      <w:r>
        <w:rPr>
          <w:rFonts w:ascii="Amiri" w:hAnsi="Amiri" w:eastAsia="Amiri" w:cs="Amiri"/>
          <w:color w:val="111111"/>
          <w:sz w:val="28"/>
          <w:sz w:val="28"/>
          <w:szCs w:val="28"/>
          <w:rtl w:val="true"/>
          <w:lang w:bidi="ar-SA"/>
        </w:rPr>
        <w:t>وبيانها ، وعند انتفائه لا بدّ وأن لا يكون هناك عقاب ، فالآية إنّما دلّت على نفي العقاب والعذاب عند عدم البيان والبعث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فيما سبق ادّعاء ظهور الآية في نفي فعلية العقاب ووقوع العذاب ، وقد مرّ أيضا عدم تنافيه للاستحقاق ، فالوجوب المشكوك فيه يحتمل ثبوته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بالبراءة هو تفريغ الذمّة عن الأحكام الشرعية والخروج عن </w:t>
      </w:r>
    </w:p>
    <w:p>
      <w:pPr>
        <w:pStyle w:val="BookText"/>
        <w:rPr/>
      </w:pPr>
      <w:r>
        <w:rPr>
          <w:rFonts w:ascii="Amiri" w:hAnsi="Amiri" w:eastAsia="Amiri" w:cs="Amiri"/>
          <w:color w:val="111111"/>
          <w:sz w:val="28"/>
          <w:sz w:val="28"/>
          <w:szCs w:val="28"/>
          <w:rtl w:val="true"/>
          <w:lang w:bidi="ar-SA"/>
        </w:rPr>
        <w:t>عهدة التكليف ورفع العقاب فاحتمال الوجوب في الواقع مع القطع برفع العقاب عند الشكّ فيه وعدم البيان لا ينافي الحكم بالبراءة بل وهذا عين المطلوب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الواقعي ، فأصالة العدم التي مرجعها إمّا إلى الاستصحاب ، أو إلى غيره ، فقد يقضى بعدمه بمعنى أنّ الأحكام المترتّبة على عدم الوجوب الواقعي بواسطة إعمال الأصل المذكور يحكم بترتّبها على العدم المستصحب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 يصحّ التعويل بأصالة البراءة في الموارد التي ثبت العفو فيها كالظهار </w:t>
      </w:r>
      <w:r>
        <w:rPr>
          <w:rStyle w:val="FootnoteAnchor"/>
          <w:rtl w:val="true"/>
        </w:rPr>
        <w:footnoteReference w:id="1179"/>
      </w:r>
      <w:r>
        <w:rPr>
          <w:rFonts w:ascii="Amiri" w:hAnsi="Amiri" w:eastAsia="Amiri" w:cs="Amiri"/>
          <w:color w:val="111111"/>
          <w:sz w:val="28"/>
          <w:sz w:val="28"/>
          <w:szCs w:val="28"/>
          <w:rtl w:val="true"/>
          <w:lang w:bidi="ar-SA"/>
        </w:rPr>
        <w:t>مثلا ، وكما في المستقلاّت العقلية بناء على عدم ثبوت الأحكام الشرعية فيها مع أنّ فساد ذلك ممّا لا يدانيه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ظاهر بين ما نحن فيه من الموارد المشكوكة وبين ما ثبت الاستحقاق شرعا أو عقلا ، فإنّ الاستحقاق فيها مشكوك عن أصله كما لا يخفى ، وسيرد عليك في المقامات الآتية ما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فستطّلع عليها فيما سيجيء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 فالإجماع </w:t>
      </w:r>
      <w:r>
        <w:rPr>
          <w:rStyle w:val="FootnoteAnchor"/>
          <w:rtl w:val="true"/>
        </w:rPr>
        <w:footnoteReference w:id="1180"/>
      </w:r>
      <w:r>
        <w:rPr>
          <w:rFonts w:ascii="Amiri" w:hAnsi="Amiri" w:eastAsia="Amiri" w:cs="Amiri"/>
          <w:color w:val="111111"/>
          <w:sz w:val="28"/>
          <w:sz w:val="28"/>
          <w:szCs w:val="28"/>
          <w:rtl w:val="true"/>
          <w:lang w:bidi="ar-SA"/>
        </w:rPr>
        <w:t xml:space="preserve">حاصل لمن لاحظ كلمات الفقهاء في مقامات مختلفة وأبواب متفرّقة وموارد متشتّتة بحيث لا ينكره إلاّ المكابر العسوف ، وما قد يتوهّم من ذهاب بعض الأخبارية إلى الاحتياط في الشبهة الوجوبية ، فليس فيما إذا كانت مستندة </w:t>
      </w:r>
      <w:r>
        <w:rPr>
          <w:rStyle w:val="FootnoteAnchor"/>
          <w:rtl w:val="true"/>
        </w:rPr>
        <w:footnoteReference w:id="1181"/>
      </w:r>
      <w:r>
        <w:rPr>
          <w:rFonts w:ascii="Amiri" w:hAnsi="Amiri" w:eastAsia="Amiri" w:cs="Amiri"/>
          <w:color w:val="111111"/>
          <w:sz w:val="28"/>
          <w:sz w:val="28"/>
          <w:szCs w:val="28"/>
          <w:rtl w:val="true"/>
          <w:lang w:bidi="ar-SA"/>
        </w:rPr>
        <w:t xml:space="preserve">إلى فقد النصّ بل إنّما هو مخالف فيما إذا كانت الشبهة باعتبار تعارض النصّين فالأخباريون والأصوليون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مطبقون على البراءة في هذه الصورة بل ربّما يظهر من عدّها </w:t>
      </w:r>
      <w:r>
        <w:rPr>
          <w:rStyle w:val="FootnoteAnchor"/>
          <w:rtl w:val="true"/>
        </w:rPr>
        <w:footnoteReference w:id="1182"/>
      </w:r>
      <w:r>
        <w:rPr>
          <w:rFonts w:ascii="IRNazanin" w:hAnsi="IRNazanin" w:eastAsia="IRNazanin"/>
          <w:color w:val="111111"/>
          <w:sz w:val="28"/>
          <w:sz w:val="28"/>
          <w:szCs w:val="28"/>
          <w:rtl w:val="true"/>
          <w:lang w:bidi="fa-IR"/>
        </w:rPr>
        <w:t xml:space="preserve">الصدوق </w:t>
      </w:r>
      <w:r>
        <w:rPr>
          <w:rStyle w:val="FootnoteAnchor"/>
          <w:rtl w:val="true"/>
        </w:rPr>
        <w:footnoteReference w:id="1183"/>
      </w:r>
      <w:r>
        <w:rPr>
          <w:rFonts w:ascii="Amiri" w:hAnsi="Amiri" w:eastAsia="Amiri" w:cs="Amiri"/>
          <w:color w:val="111111"/>
          <w:sz w:val="28"/>
          <w:sz w:val="28"/>
          <w:szCs w:val="28"/>
          <w:rtl w:val="true"/>
          <w:lang w:bidi="ar-SA"/>
        </w:rPr>
        <w:t xml:space="preserve">في اعتقاداته </w:t>
      </w:r>
      <w:r>
        <w:rPr>
          <w:rStyle w:val="FootnoteAnchor"/>
          <w:rtl w:val="true"/>
        </w:rPr>
        <w:footnoteReference w:id="1184"/>
      </w:r>
      <w:r>
        <w:rPr>
          <w:rFonts w:ascii="Amiri" w:hAnsi="Amiri" w:eastAsia="Amiri" w:cs="Amiri"/>
          <w:color w:val="111111"/>
          <w:sz w:val="28"/>
          <w:sz w:val="28"/>
          <w:szCs w:val="28"/>
          <w:rtl w:val="true"/>
          <w:lang w:bidi="ar-SA"/>
        </w:rPr>
        <w:t xml:space="preserve">كونه ضروريا كما لا </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 يقرّر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بقبح التكليف بلا بيان ؛ ألا ترى أنّ المولى يذمّ عند العقلاء لو أخذ على عقاب العبد بتركه ما لم يعلم وجوبه منه وإن كان واجبا في الواقع ، واستناد المولى إلى احتمال الوجوب عندهم أقبح من أصل العقاب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يوجد في كلمات جملة منهم من أنّ التكليف في الصورة المفروضة يوجب التكليف بما لا يطاق ، وقد يتمسّك في نفي التكليف بالمجمل الذاتي أيضا بمثله كما يظهر من استناد المحقّق القمّي </w:t>
      </w:r>
      <w:r>
        <w:rPr>
          <w:rStyle w:val="FootnoteAnchor"/>
          <w:rtl w:val="true"/>
        </w:rPr>
        <w:footnoteReference w:id="1185"/>
      </w:r>
      <w:r>
        <w:rPr>
          <w:rStyle w:val="FootnoteAnchor"/>
          <w:rtl w:val="true"/>
        </w:rPr>
        <w:footnoteReference w:id="1186"/>
      </w:r>
      <w:r>
        <w:rPr>
          <w:rFonts w:ascii="Amiri" w:hAnsi="Amiri" w:eastAsia="Amiri" w:cs="Amiri"/>
          <w:color w:val="111111"/>
          <w:sz w:val="28"/>
          <w:sz w:val="28"/>
          <w:szCs w:val="28"/>
          <w:rtl w:val="true"/>
          <w:lang w:bidi="ar-SA"/>
        </w:rPr>
        <w:t>إليه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الأجلّة </w:t>
      </w:r>
      <w:r>
        <w:rPr>
          <w:rStyle w:val="FootnoteAnchor"/>
          <w:rtl w:val="true"/>
        </w:rPr>
        <w:footnoteReference w:id="1187"/>
      </w:r>
      <w:r>
        <w:rPr>
          <w:rFonts w:ascii="Amiri" w:hAnsi="Amiri" w:eastAsia="Amiri" w:cs="Amiri"/>
          <w:color w:val="111111"/>
          <w:sz w:val="28"/>
          <w:sz w:val="28"/>
          <w:szCs w:val="28"/>
          <w:rtl w:val="true"/>
          <w:lang w:bidi="ar-SA"/>
        </w:rPr>
        <w:t>بأنّ اللزوم غير ظاهر فيما يكون للمكلّف مندوحة في الامتثال بإتيان جميع المحتملات ، فإنّ الفعل في أمثال المقام ممّا يطيقه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بسديد إذ المقصود في المقام هو القول بأنّ إتيان الفعل مع عدم العلم بالأمر بقصد الامتثال على وجه يكون الداعي فيه هو الأمر محال ، والتكليف به تكليف بما لا يطيقه المكلّف إذ مع عدم العلم بالأمر كيف يعقل الإتيان على أنّه مأمور به؟</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الفعل في الخارج لا يخلو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المكلّف بالفعل لا بداعي الأمر والامتثال بل لدواعي النفسانية على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على أنّه مأمور به قاصدا فيه الامتثال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لاحتمال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شكّ في خروج الأوّل من </w:t>
      </w:r>
      <w:r>
        <w:rPr>
          <w:rStyle w:val="FootnoteAnchor"/>
          <w:rtl w:val="true"/>
        </w:rPr>
        <w:footnoteReference w:id="1188"/>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 فهو تكليف بالمحال ، فالقائل بالوجوب لا يمكنه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فلا مانع من القول به بل وهو محلّ الكلام في المقام ؛ لأنّ القائل بعدم الوجوب لا يمكنه إنكار الاستحباب ، فلو كان الكلام في المقام في إتيان الفعل على أنّه مأمور به ، لما صحّ القول باستحبابه إذ لا فارق بين الوجوب والاستحباب في امتناع تعلّقهما بما لا يطيقه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فالذي يمكن أن يكون محلّ تشاجر القائل بالوجوب مثلا والقائل بعدمه هو الإتيان بالفعل لاحتمال أن يكون ممّا تعلّق به الأمر ، وهذا ممّا يطيقه </w:t>
      </w:r>
      <w:r>
        <w:rPr>
          <w:rStyle w:val="FootnoteAnchor"/>
          <w:rtl w:val="true"/>
        </w:rPr>
        <w:footnoteReference w:id="1189"/>
      </w:r>
      <w:r>
        <w:rPr>
          <w:rFonts w:ascii="Amiri" w:hAnsi="Amiri" w:eastAsia="Amiri" w:cs="Amiri"/>
          <w:color w:val="111111"/>
          <w:sz w:val="28"/>
          <w:sz w:val="28"/>
          <w:szCs w:val="28"/>
          <w:rtl w:val="true"/>
          <w:lang w:bidi="ar-SA"/>
        </w:rPr>
        <w:t>المكلّف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إنّما هو عند فقدان الدليل كما هو موضوع البحث عموما وخصوصا ، والإتيان بالفعل على الوجه المذكور أيضا ممّا لا دليل يدلّ عليه وجوبا كما ستعرف ، فالإتيان بنفس الفعل على أنّه مأمور به ولاحتمال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فرضنا فقدان الدليل خصوصا وعموما ولو من جهة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فكما أنّ الامتثال به عند عدم الأمر به محال ، فكذا الامتثال بالاحتياط عند عدم الأمر بالاحتياط وعدم ما يدلّ عليه محال ، والتكليف به تكليف بما لا يطاق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البيان بين أن يكون المبيّن هو العقل أو الشرع ، وبعد ما تقرّر في محلّه من استقرار طريقة العقلاء على لزوم دفع الضرر المحتمل وحكم العقل القاطع به لا وجه للقول بأنّ الاحتياط ممّا لم يعلم وجوبه ، فلا يساوي الإتيان به على أنّه مأمور لوجود </w:t>
      </w:r>
      <w:r>
        <w:rPr>
          <w:rStyle w:val="FootnoteAnchor"/>
          <w:rtl w:val="true"/>
        </w:rPr>
        <w:footnoteReference w:id="1190"/>
      </w:r>
      <w:r>
        <w:rPr>
          <w:rFonts w:ascii="Amiri" w:hAnsi="Amiri" w:eastAsia="Amiri" w:cs="Amiri"/>
          <w:color w:val="111111"/>
          <w:sz w:val="28"/>
          <w:sz w:val="28"/>
          <w:szCs w:val="28"/>
          <w:rtl w:val="true"/>
          <w:lang w:bidi="ar-SA"/>
        </w:rPr>
        <w:t>الأمر العقلي بالاحتياط وعدمه هناك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w:t>
      </w:r>
      <w:r>
        <w:rPr>
          <w:rStyle w:val="FootnoteAnchor"/>
          <w:rtl w:val="true"/>
        </w:rPr>
        <w:footnoteReference w:id="1191"/>
      </w:r>
      <w:r>
        <w:rPr>
          <w:rFonts w:ascii="Amiri" w:hAnsi="Amiri" w:eastAsia="Amiri" w:cs="Amiri"/>
          <w:color w:val="111111"/>
          <w:sz w:val="28"/>
          <w:sz w:val="28"/>
          <w:szCs w:val="28"/>
          <w:rtl w:val="true"/>
          <w:lang w:bidi="ar-SA"/>
        </w:rPr>
        <w:t xml:space="preserve">أنّ مجرّد الاحتياط من غير أوله إلى عنوان آخر لا حكم للعقل بوجوبه كما لا يخفى بل العقل من حيث حكمه بلزوم دفع الضرر يحكم به ، ولا بدّ في </w:t>
      </w:r>
    </w:p>
    <w:p>
      <w:pPr>
        <w:pStyle w:val="BookText"/>
        <w:rPr/>
      </w:pPr>
      <w:r>
        <w:rPr>
          <w:rFonts w:ascii="Amiri" w:hAnsi="Amiri" w:eastAsia="Amiri" w:cs="Amiri"/>
          <w:color w:val="111111"/>
          <w:sz w:val="28"/>
          <w:sz w:val="28"/>
          <w:szCs w:val="28"/>
          <w:rtl w:val="true"/>
          <w:lang w:bidi="ar-SA"/>
        </w:rPr>
        <w:t>حكم العقل هذا من وجود موضوعه وثبوت محلّه كما هو ظاهر أيضا ، فلا بدّ من إثبات أنّ المقام ممّا يحتمل الضرر لو لا الإتيان به مثلا وهو منتف ؛ لأنّ المراد بالضرر إمّا أن يكون هو الضرر الدنيوي ، أو الأخروي ممّا لا يرجع إلى العقاب بعد القول به ، أو العقاب الأخروي ، أو ما يؤول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فستعرف الكلام فيه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الأخير ، فبعد قطع العقل واستقلاله بقبح التكليف بلا بيان لا احتمال له فإنّ العقل يقطع بعدم العقاب ولا ينافيه احتمال الوجوب إذ العقاب والثواب ليسا من آثار الوجوب ولوازمه ، ولا ملازمة بينهما ، وإنّما الملازمة بين العقاب والمخالفة والعصيان فاحتمال المخالفة يلازم احتمال العقاب لا الوجوب </w:t>
      </w:r>
      <w:r>
        <w:rPr>
          <w:rStyle w:val="FootnoteAnchor"/>
          <w:rtl w:val="true"/>
        </w:rPr>
        <w:footnoteReference w:id="1193"/>
      </w:r>
      <w:r>
        <w:rPr>
          <w:rFonts w:ascii="Amiri" w:hAnsi="Amiri" w:eastAsia="Amiri" w:cs="Amiri"/>
          <w:color w:val="111111"/>
          <w:sz w:val="28"/>
          <w:sz w:val="28"/>
          <w:szCs w:val="28"/>
          <w:rtl w:val="true"/>
          <w:lang w:bidi="ar-SA"/>
        </w:rPr>
        <w:t>، والعصيان فرع الأمر والعلم به وعند عدمه يستقلّ العقل بعدمه فاحتمال الضرر منتف بعد الحكم العقلي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التمسّك بالأصل في رفع احتمال العقاب مع أنّ جريانه فرع رفعه ، فإنّ الدعوى هي كون العقل بيانا ، فلا وجه للتمسّك به في دفع احتمال العقاب ، وبعد ما كان العقل بيانا فالأمر قطعي والمخالفة يقينية فالعقاب قطعي فإنّه على ما اعترفت من لوازم المخالفة وهي معلومة بعد الأمر ولو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أنّ في المقام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العقاب على التكاليف التي لا بيان عليها كوجوب قراءة الدعاء مثلا عند الشكّ فيه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على ترك الاحتياط في الإتيان بما يحتمل الوجوب لاحتمال العقاب ، ولا شكّ أنّ الثاني فرع الأوّل ، فالمحتمل للعقاب إمّا أن يحتمل العقاب على تلك التكاليف ، فلا خفاء في بطلانه عند الكلّ ، فإنّه تكليف بلا بيان ، وعقاب بلا برهان ، ولا يكاد يلتزم به العاقل فضلا عن الفاضل ، فالعقل يستقلّ بعدم العقاب فلا </w:t>
      </w:r>
    </w:p>
    <w:p>
      <w:pPr>
        <w:pStyle w:val="BookText"/>
        <w:rPr/>
      </w:pPr>
      <w:r>
        <w:rPr>
          <w:rFonts w:ascii="Amiri" w:hAnsi="Amiri" w:eastAsia="Amiri" w:cs="Amiri"/>
          <w:color w:val="111111"/>
          <w:sz w:val="28"/>
          <w:sz w:val="28"/>
          <w:szCs w:val="28"/>
          <w:rtl w:val="true"/>
          <w:lang w:bidi="ar-SA"/>
        </w:rPr>
        <w:t xml:space="preserve">احتمال وإمّا أن يحتمل العقاب على ترك الاحتياط الذي هو المبيّن بالعقل ، وهو أيضا فاسد إذ القول بقطع العقل بعدم العقاب على تلك التكاليف التي لا بيان عليها هو عين الالتزام بعدم </w:t>
      </w:r>
      <w:r>
        <w:rPr>
          <w:rStyle w:val="FootnoteAnchor"/>
          <w:rtl w:val="true"/>
        </w:rPr>
        <w:footnoteReference w:id="1194"/>
      </w:r>
      <w:r>
        <w:rPr>
          <w:rFonts w:ascii="Amiri" w:hAnsi="Amiri" w:eastAsia="Amiri" w:cs="Amiri"/>
          <w:color w:val="111111"/>
          <w:sz w:val="28"/>
          <w:sz w:val="28"/>
          <w:szCs w:val="28"/>
          <w:rtl w:val="true"/>
          <w:lang w:bidi="ar-SA"/>
        </w:rPr>
        <w:t>هذا الاحتمال أيضا فإنّه على ما عرفت هو فرع الأوّل ، وبعد القطع بعدم الأصل لا وجه لاحتمال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الأصل على ما مرّ في موضوع الشكّ وهو ينافي دعوى القطع بعدم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بعدم العقاب إنّما هو بعد ملاحظة قبح العقاب بلا بيان وحكمته تعالى ، وذلك ظاهر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المراد بالضرر الأخرويّ منه ، وأمّا إذا كان المراد منه الدنيويّ أو ما لا يرجع إلى العقاب على تقديره في الآخرة كأن احتمل عند الشكّ في وجوب قراءة الدعاء رمد العين </w:t>
      </w:r>
      <w:r>
        <w:rPr>
          <w:rStyle w:val="FootnoteAnchor"/>
          <w:rtl w:val="true"/>
        </w:rPr>
        <w:footnoteReference w:id="1195"/>
      </w:r>
      <w:r>
        <w:rPr>
          <w:rFonts w:ascii="IRNazanin" w:hAnsi="IRNazanin" w:eastAsia="IRNazanin"/>
          <w:color w:val="111111"/>
          <w:sz w:val="28"/>
          <w:sz w:val="28"/>
          <w:szCs w:val="28"/>
          <w:rtl w:val="true"/>
          <w:lang w:bidi="fa-IR"/>
        </w:rPr>
        <w:t xml:space="preserve">مثلا و </w:t>
      </w:r>
      <w:r>
        <w:rPr>
          <w:rStyle w:val="FootnoteAnchor"/>
          <w:rtl w:val="true"/>
        </w:rPr>
        <w:footnoteReference w:id="1196"/>
      </w:r>
      <w:r>
        <w:rPr>
          <w:rFonts w:ascii="Amiri" w:hAnsi="Amiri" w:eastAsia="Amiri" w:cs="Amiri"/>
          <w:color w:val="111111"/>
          <w:sz w:val="28"/>
          <w:sz w:val="28"/>
          <w:szCs w:val="28"/>
          <w:rtl w:val="true"/>
          <w:lang w:bidi="ar-SA"/>
        </w:rPr>
        <w:t xml:space="preserve">نحوه ، فلو كان مظنونا ، فلا بدّ من الاجتناب عنه لما مرّ في محلّه من حجّية الظنّ في الضرر لانسداد باب العلم فيه ، وإلاّ فهو إنّما يرجع إلى الشبهة في الموضوع الخارجي ؛ إذ العقل يحكم بحرمة الارتكاب فيما فيه ضرر قطعا ولا ترديد له في هذا الحكم بوجه ، وإنّما يشكّ </w:t>
      </w:r>
      <w:r>
        <w:rPr>
          <w:rStyle w:val="FootnoteAnchor"/>
          <w:rtl w:val="true"/>
        </w:rPr>
        <w:footnoteReference w:id="1197"/>
      </w:r>
      <w:r>
        <w:rPr>
          <w:rFonts w:ascii="Amiri" w:hAnsi="Amiri" w:eastAsia="Amiri" w:cs="Amiri"/>
          <w:color w:val="111111"/>
          <w:sz w:val="28"/>
          <w:sz w:val="28"/>
          <w:szCs w:val="28"/>
          <w:rtl w:val="true"/>
          <w:lang w:bidi="ar-SA"/>
        </w:rPr>
        <w:t xml:space="preserve">في أنّ الفعل الفلاني هل يوجب </w:t>
      </w:r>
      <w:r>
        <w:rPr>
          <w:rStyle w:val="FootnoteAnchor"/>
          <w:rtl w:val="true"/>
        </w:rPr>
        <w:footnoteReference w:id="1198"/>
      </w:r>
      <w:r>
        <w:rPr>
          <w:rFonts w:ascii="Amiri" w:hAnsi="Amiri" w:eastAsia="Amiri" w:cs="Amiri"/>
          <w:color w:val="111111"/>
          <w:sz w:val="28"/>
          <w:sz w:val="28"/>
          <w:szCs w:val="28"/>
          <w:rtl w:val="true"/>
          <w:lang w:bidi="ar-SA"/>
        </w:rPr>
        <w:t xml:space="preserve">ذلك ، أو لا كما إذا شكّ في أنّ هذا المائع الفلانيّ خمر ، أو خلّ فإنّ المدار في تميّز ذلك ظاهر كما لا يخفى على المتدرّب </w:t>
      </w:r>
      <w:r>
        <w:rPr>
          <w:rStyle w:val="FootnoteAnchor"/>
          <w:rtl w:val="true"/>
        </w:rPr>
        <w:footnoteReference w:id="1199"/>
      </w:r>
      <w:r>
        <w:rPr>
          <w:rFonts w:ascii="Amiri" w:hAnsi="Amiri" w:eastAsia="Amiri" w:cs="Amiri"/>
          <w:color w:val="111111"/>
          <w:sz w:val="28"/>
          <w:sz w:val="28"/>
          <w:szCs w:val="28"/>
          <w:rtl w:val="true"/>
          <w:lang w:bidi="ar-SA"/>
        </w:rPr>
        <w:t>في كلماتهم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 أنّ الشبهة الحكمية لا بدّ في رفع الشبهة فيها من الرجوع إلى الأدلّة الشرعية بخلاف الشبهة الموضوعية فإنّ منشأ الشكّ فيها هو الاشتباه في الأمور الخارجة ، فلا بدّ في رفعها من الرجوع إليها ولا ينافيه بيان الشارع في بعض الموارد على 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فالضرر لو كان أخرويا عقابيا ، فقد مرّ أنّه يقبح عند عدم البيان بل الثواب أيضا كذلك </w:t>
      </w:r>
      <w:r>
        <w:rPr>
          <w:rStyle w:val="FootnoteAnchor"/>
          <w:rtl w:val="true"/>
        </w:rPr>
        <w:footnoteReference w:id="1200"/>
      </w:r>
      <w:r>
        <w:rPr>
          <w:rFonts w:ascii="Amiri" w:hAnsi="Amiri" w:eastAsia="Amiri" w:cs="Amiri"/>
          <w:color w:val="111111"/>
          <w:sz w:val="28"/>
          <w:sz w:val="28"/>
          <w:szCs w:val="28"/>
          <w:rtl w:val="true"/>
          <w:lang w:bidi="ar-SA"/>
        </w:rPr>
        <w:t xml:space="preserve">اللّهمّ لتفضيل </w:t>
      </w:r>
      <w:r>
        <w:rPr>
          <w:rStyle w:val="FootnoteAnchor"/>
          <w:rtl w:val="true"/>
        </w:rPr>
        <w:footnoteReference w:id="1201"/>
      </w:r>
      <w:r>
        <w:rPr>
          <w:rFonts w:ascii="Amiri" w:hAnsi="Amiri" w:eastAsia="Amiri" w:cs="Amiri"/>
          <w:color w:val="111111"/>
          <w:sz w:val="28"/>
          <w:sz w:val="28"/>
          <w:szCs w:val="28"/>
          <w:rtl w:val="true"/>
          <w:lang w:bidi="ar-SA"/>
        </w:rPr>
        <w:t xml:space="preserve">خارج عن الاستحقاق ولو كان دنيويا ، فمرجعه إلى الشبهة الموضوعية وسيجيء الكلام فيه في الأصول الآتية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هل يحكم بالاستحباب فيما إذا دار الأمر بين الوجوب وغير التحريم بصورها ، أو لا بعد القول بعدم الوجوب؟ لا بدّ لتحقيق الكلام فيه من تفصيل في المقام ليتّضح </w:t>
      </w:r>
      <w:r>
        <w:rPr>
          <w:rStyle w:val="FootnoteAnchor"/>
          <w:rtl w:val="true"/>
        </w:rPr>
        <w:footnoteReference w:id="1203"/>
      </w:r>
      <w:r>
        <w:rPr>
          <w:rFonts w:ascii="IRNazanin" w:hAnsi="IRNazanin" w:eastAsia="IRNazanin"/>
          <w:color w:val="111111"/>
          <w:sz w:val="28"/>
          <w:sz w:val="28"/>
          <w:szCs w:val="28"/>
          <w:rtl w:val="true"/>
          <w:lang w:bidi="fa-IR"/>
        </w:rPr>
        <w:t xml:space="preserve">به المرام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إذا دار الأمر بين الوجوب والإباحة ، فيمكن القول بالاستحباب لأدلّة الاحتياط ، ولأخبار التسامح ولو في بعض موارده ، فإنّ بعض </w:t>
      </w:r>
      <w:r>
        <w:rPr>
          <w:rStyle w:val="FootnoteAnchor"/>
          <w:rtl w:val="true"/>
        </w:rPr>
        <w:footnoteReference w:id="1204"/>
      </w:r>
      <w:r>
        <w:rPr>
          <w:rFonts w:ascii="Amiri" w:hAnsi="Amiri" w:eastAsia="Amiri" w:cs="Amiri"/>
          <w:color w:val="111111"/>
          <w:sz w:val="28"/>
          <w:sz w:val="28"/>
          <w:szCs w:val="28"/>
          <w:rtl w:val="true"/>
          <w:lang w:bidi="ar-SA"/>
        </w:rPr>
        <w:t xml:space="preserve">الآخر منه ممّا لا يحتمل فيه تلك الأخبار كما إذا ورد نصّ مجمل </w:t>
      </w:r>
      <w:r>
        <w:rPr>
          <w:rStyle w:val="FootnoteAnchor"/>
          <w:rtl w:val="true"/>
        </w:rPr>
        <w:footnoteReference w:id="1205"/>
      </w:r>
      <w:r>
        <w:rPr>
          <w:rFonts w:ascii="Amiri" w:hAnsi="Amiri" w:eastAsia="Amiri" w:cs="Amiri"/>
          <w:color w:val="111111"/>
          <w:sz w:val="28"/>
          <w:sz w:val="28"/>
          <w:szCs w:val="28"/>
          <w:rtl w:val="true"/>
          <w:lang w:bidi="ar-SA"/>
        </w:rPr>
        <w:t>يحتمل الوجوب والاستحباب فإنّه يحكم بالاستحباب للاحتياط لا للتسامح ؛ لعدم صدق البلوغ المعتبر في أخباره ولا سيّما فيما إذا لم يكن المسألة معنونة في كلامهم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يتوهّم من اتّحادهما ؛ لأول الثاني إلى الأوّل ، فليس بسديد ؛ لأنّ الاحتياط إنّما يفيد الاستحباب الغيري تحصيلا لمطلوب المولى ومحبوبه ، ولا ينافيه عدم الدليل على وجوبه ، فإنّ المحبوبية تغاير الوجوب الفعلي المنفيّ بالأصل ، والتسامح إنّما يفيد الاستحباب النفسي ؛ فإنّ الثواب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الثواب المترتّب على ذلك الشيء بخلاف الاحتياط ، فإنّه من قبيل الانقياد ، ولا ينافي ما قلنا عدم احتمال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من دوران الأمر بين الوجوب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الاستحباب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آثار </w:t>
      </w:r>
      <w:r>
        <w:rPr>
          <w:rStyle w:val="FootnoteAnchor"/>
          <w:rtl w:val="true"/>
        </w:rPr>
        <w:footnoteReference w:id="1206"/>
      </w:r>
      <w:r>
        <w:rPr>
          <w:rFonts w:ascii="Amiri" w:hAnsi="Amiri" w:eastAsia="Amiri" w:cs="Amiri"/>
          <w:color w:val="111111"/>
          <w:sz w:val="28"/>
          <w:sz w:val="28"/>
          <w:szCs w:val="28"/>
          <w:rtl w:val="true"/>
          <w:lang w:bidi="ar-SA"/>
        </w:rPr>
        <w:t xml:space="preserve">المصالح الكامنة في ذات الشيء مع قطع النظر عن 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الاستحباب ولو بملاحظة هذا الاعتبار ، فهو قطعي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دار الأمر بين الوجوب والاستحباب ، فيمكن القول بالاستحباب أيضا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w:t>
      </w:r>
      <w:r>
        <w:rPr>
          <w:rStyle w:val="FootnoteAnchor"/>
          <w:rtl w:val="true"/>
        </w:rPr>
        <w:footnoteReference w:id="1207"/>
      </w:r>
      <w:r>
        <w:rPr>
          <w:rFonts w:ascii="Amiri" w:hAnsi="Amiri" w:eastAsia="Amiri" w:cs="Amiri"/>
          <w:color w:val="111111"/>
          <w:sz w:val="28"/>
          <w:sz w:val="28"/>
          <w:szCs w:val="28"/>
          <w:rtl w:val="true"/>
          <w:lang w:bidi="ar-SA"/>
        </w:rPr>
        <w:t>الآتية على ما سيجيء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رجحان الفعل حينئذ قطعي وهو يكفي في أولوية الفعل ، وهذا وإن لم يكن من الاستحباب المصطلح فإنّه أحد الأحكام الخمسة ولا بدّ في تحقّقه </w:t>
      </w:r>
      <w:r>
        <w:rPr>
          <w:rStyle w:val="FootnoteAnchor"/>
          <w:rtl w:val="true"/>
        </w:rPr>
        <w:footnoteReference w:id="1208"/>
      </w:r>
      <w:r>
        <w:rPr>
          <w:rFonts w:ascii="Amiri" w:hAnsi="Amiri" w:eastAsia="Amiri" w:cs="Amiri"/>
          <w:color w:val="111111"/>
          <w:sz w:val="28"/>
          <w:sz w:val="28"/>
          <w:szCs w:val="28"/>
          <w:rtl w:val="true"/>
          <w:lang w:bidi="ar-SA"/>
        </w:rPr>
        <w:t xml:space="preserve">من تحقّق </w:t>
      </w:r>
      <w:r>
        <w:rPr>
          <w:rStyle w:val="FootnoteAnchor"/>
          <w:rtl w:val="true"/>
        </w:rPr>
        <w:footnoteReference w:id="1209"/>
      </w:r>
      <w:r>
        <w:rPr>
          <w:rFonts w:ascii="Amiri" w:hAnsi="Amiri" w:eastAsia="Amiri" w:cs="Amiri"/>
          <w:color w:val="111111"/>
          <w:sz w:val="28"/>
          <w:sz w:val="28"/>
          <w:szCs w:val="28"/>
          <w:rtl w:val="true"/>
          <w:lang w:bidi="ar-SA"/>
        </w:rPr>
        <w:t xml:space="preserve">جنسه وفصله كليهما ، ومجرّد ثبوت الرجحان الذي هو الجنس القدر المشترك بينه وبين الوجوب لا يقضي </w:t>
      </w:r>
      <w:r>
        <w:rPr>
          <w:rStyle w:val="FootnoteAnchor"/>
          <w:rtl w:val="true"/>
        </w:rPr>
        <w:footnoteReference w:id="1210"/>
      </w:r>
      <w:r>
        <w:rPr>
          <w:rFonts w:ascii="Amiri" w:hAnsi="Amiri" w:eastAsia="Amiri" w:cs="Amiri"/>
          <w:color w:val="111111"/>
          <w:sz w:val="28"/>
          <w:sz w:val="28"/>
          <w:szCs w:val="28"/>
          <w:rtl w:val="true"/>
          <w:lang w:bidi="ar-SA"/>
        </w:rPr>
        <w:t xml:space="preserve">بوجود فصله وإن كان فصل الوجوب منفيّا </w:t>
      </w:r>
      <w:r>
        <w:rPr>
          <w:rStyle w:val="FootnoteAnchor"/>
          <w:rtl w:val="true"/>
        </w:rPr>
        <w:footnoteReference w:id="1211"/>
      </w:r>
      <w:r>
        <w:rPr>
          <w:rFonts w:ascii="Amiri" w:hAnsi="Amiri" w:eastAsia="Amiri" w:cs="Amiri"/>
          <w:color w:val="111111"/>
          <w:sz w:val="28"/>
          <w:sz w:val="28"/>
          <w:szCs w:val="28"/>
          <w:rtl w:val="true"/>
          <w:lang w:bidi="ar-SA"/>
        </w:rPr>
        <w:t>بالأصل إلاّ أنّه يكفي في أولوية الفعل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يتوهّم من أنّ الاستحباب في المقام استحباب ظاهري ، فهو كلام ظاهري لا محصّل له بعد ما عرفت من لزوم تحقّق الفصل في تحقّق النوع ، وعدم كفاية الجنس فقط ، على أنّ الحكم الظاهري إنّما هو في موضوع الشكّ ، ولا شكّ في انتفائه في المقام ، فعلى ما ذكرنا لا نحكم بترتّب آثار الاستحباب عليه ، كما لا نحكم بترتّب آثار الوجوب عليه ، فبالحقيقة </w:t>
      </w:r>
      <w:r>
        <w:rPr>
          <w:rStyle w:val="FootnoteAnchor"/>
          <w:rtl w:val="true"/>
        </w:rPr>
        <w:footnoteReference w:id="1212"/>
      </w:r>
      <w:r>
        <w:rPr>
          <w:rFonts w:ascii="Amiri" w:hAnsi="Amiri" w:eastAsia="Amiri" w:cs="Amiri"/>
          <w:color w:val="111111"/>
          <w:sz w:val="28"/>
          <w:sz w:val="28"/>
          <w:szCs w:val="28"/>
          <w:rtl w:val="true"/>
          <w:lang w:bidi="ar-SA"/>
        </w:rPr>
        <w:t xml:space="preserve">نحكم </w:t>
      </w:r>
      <w:r>
        <w:rPr>
          <w:rStyle w:val="FootnoteAnchor"/>
          <w:rtl w:val="true"/>
        </w:rPr>
        <w:footnoteReference w:id="1213"/>
      </w:r>
      <w:r>
        <w:rPr>
          <w:rFonts w:ascii="Amiri" w:hAnsi="Amiri" w:eastAsia="Amiri" w:cs="Amiri"/>
          <w:color w:val="111111"/>
          <w:sz w:val="28"/>
          <w:sz w:val="28"/>
          <w:szCs w:val="28"/>
          <w:rtl w:val="true"/>
          <w:lang w:bidi="ar-SA"/>
        </w:rPr>
        <w:t xml:space="preserve">بعدم الاستحباب والوجوب معا ، وإنّما الفعل في مقام الظاهر بالنسبة إلى المكلّف كأفعال الصبيّ من جهة الفعل </w:t>
      </w:r>
      <w:r>
        <w:rPr>
          <w:rStyle w:val="FootnoteAnchor"/>
          <w:rtl w:val="true"/>
        </w:rPr>
        <w:footnoteReference w:id="1214"/>
      </w:r>
      <w:r>
        <w:rPr>
          <w:rFonts w:ascii="Amiri" w:hAnsi="Amiri" w:eastAsia="Amiri" w:cs="Amiri"/>
          <w:color w:val="111111"/>
          <w:sz w:val="28"/>
          <w:sz w:val="28"/>
          <w:szCs w:val="28"/>
          <w:rtl w:val="true"/>
          <w:lang w:bidi="ar-SA"/>
        </w:rPr>
        <w:t xml:space="preserve">لا يحسن </w:t>
      </w:r>
      <w:r>
        <w:rPr>
          <w:rStyle w:val="FootnoteAnchor"/>
          <w:rtl w:val="true"/>
        </w:rPr>
        <w:footnoteReference w:id="1215"/>
      </w:r>
      <w:r>
        <w:rPr>
          <w:rFonts w:ascii="Amiri" w:hAnsi="Amiri" w:eastAsia="Amiri" w:cs="Amiri"/>
          <w:color w:val="111111"/>
          <w:sz w:val="28"/>
          <w:sz w:val="28"/>
          <w:szCs w:val="28"/>
          <w:rtl w:val="true"/>
          <w:lang w:bidi="ar-SA"/>
        </w:rPr>
        <w:t>، فإنّ الرجحان قطعي ، وذلك ظاهر لا سترة عليه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عدم اتّجاه الاستناد إلى الأخبار الواردة في مقام التسامح ؛ إذ لا محلّ لها بعد القطع بالثواب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دار الأمر بين الوجوب والكراهة فقد يحتمل </w:t>
      </w:r>
      <w:r>
        <w:rPr>
          <w:rStyle w:val="FootnoteAnchor"/>
          <w:rtl w:val="true"/>
        </w:rPr>
        <w:footnoteReference w:id="1216"/>
      </w:r>
      <w:r>
        <w:rPr>
          <w:rFonts w:ascii="Amiri" w:hAnsi="Amiri" w:eastAsia="Amiri" w:cs="Amiri"/>
          <w:color w:val="111111"/>
          <w:sz w:val="28"/>
          <w:sz w:val="28"/>
          <w:szCs w:val="28"/>
          <w:rtl w:val="true"/>
          <w:lang w:bidi="ar-SA"/>
        </w:rPr>
        <w:t>عدم القول بالاستحباب إلاّ أنّ الأقوى ذلك للأخبار الآمرة بالاحتياط لا لأخبار التسامح على ما هو ظاهر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الشبهة الوجوبية فيما إذا كانت الشبهة ناشئة عن فقد النصّ ، ومثله الكلام فيما إذا كانت لإجمال في الدليل من غير فرق بين نفي الوجوب وإثبات الاستحباب في الصورة المذكورة والغير المذكورة ممّا إذا دار الأمر بين الوجوب والاثنين من الأحكام غير الحرمة كما لا يخفى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من تعارض النصّين ، فمجمل الكلام فيه أنّه لا بدّ من التخيير فيما يجري فيه الأخبار الدالّة على التخيير ، وعلى تقدير عدم جريانها ، فلا بدّ من الأخذ بالأصل لا على وجه يكون مرجّحا للخبر </w:t>
      </w:r>
      <w:r>
        <w:rPr>
          <w:rStyle w:val="FootnoteAnchor"/>
          <w:rtl w:val="true"/>
        </w:rPr>
        <w:footnoteReference w:id="1217"/>
      </w:r>
      <w:r>
        <w:rPr>
          <w:rFonts w:ascii="Amiri" w:hAnsi="Amiri" w:eastAsia="Amiri" w:cs="Amiri"/>
          <w:color w:val="111111"/>
          <w:sz w:val="28"/>
          <w:sz w:val="28"/>
          <w:szCs w:val="28"/>
          <w:rtl w:val="true"/>
          <w:lang w:bidi="ar-SA"/>
        </w:rPr>
        <w:t xml:space="preserve">حتّى يصير مقرّرا بل على وجه يكون مرجّعا </w:t>
      </w:r>
      <w:r>
        <w:rPr>
          <w:rStyle w:val="FootnoteAnchor"/>
          <w:rtl w:val="true"/>
        </w:rPr>
        <w:footnoteReference w:id="1218"/>
      </w:r>
      <w:r>
        <w:rPr>
          <w:rFonts w:ascii="Amiri" w:hAnsi="Amiri" w:eastAsia="Amiri" w:cs="Amiri"/>
          <w:color w:val="111111"/>
          <w:sz w:val="28"/>
          <w:sz w:val="28"/>
          <w:szCs w:val="28"/>
          <w:rtl w:val="true"/>
          <w:lang w:bidi="ar-SA"/>
        </w:rPr>
        <w:t>على ما سيجيء تفصيل الكلام فيه في محلّه إن شاء اللّه</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273_211723"/>
      <w:bookmarkStart w:id="114" w:name="pg16273_211723"/>
      <w:bookmarkEnd w:id="114"/>
    </w:p>
    <w:p>
      <w:pPr>
        <w:pStyle w:val="Heading3"/>
        <w:numPr>
          <w:ilvl w:val="2"/>
          <w:numId w:val="1"/>
        </w:numPr>
        <w:rPr/>
      </w:pPr>
      <w:bookmarkStart w:id="115" w:name="pg16273_211723"/>
      <w:bookmarkStart w:id="116" w:name="__RefHeading___Toc4803536_1280447820"/>
      <w:bookmarkStart w:id="117" w:name="_Toc40"/>
      <w:bookmarkEnd w:id="115"/>
      <w:bookmarkEnd w:id="116"/>
      <w:r>
        <w:rPr>
          <w:rtl w:val="true"/>
        </w:rPr>
        <w:t xml:space="preserve">أصل </w:t>
      </w:r>
      <w:r>
        <w:rPr>
          <w:rtl w:val="true"/>
        </w:rPr>
        <w:t xml:space="preserve">[ </w:t>
      </w:r>
      <w:r>
        <w:rPr>
          <w:rtl w:val="true"/>
        </w:rPr>
        <w:t xml:space="preserve">في البراءة في الشبهة الحكمية التحريمية </w:t>
      </w:r>
      <w:r>
        <w:rPr>
          <w:rtl w:val="true"/>
        </w:rPr>
        <w:t>]</w:t>
      </w:r>
      <w:bookmarkEnd w:id="117"/>
    </w:p>
    <w:p>
      <w:pPr>
        <w:pStyle w:val="BookText"/>
        <w:rPr/>
      </w:pPr>
      <w:r>
        <w:rPr>
          <w:rFonts w:ascii="Amiri" w:hAnsi="Amiri" w:eastAsia="Amiri" w:cs="Amiri"/>
          <w:color w:val="111111"/>
          <w:sz w:val="28"/>
          <w:sz w:val="28"/>
          <w:szCs w:val="28"/>
          <w:rtl w:val="true"/>
          <w:lang w:bidi="ar-SA"/>
        </w:rPr>
        <w:t>في الشبهة التكليفية التحريمية فيما إذا كانت الشبهة ناشئة عن فقد النصّ أو إجماله ، وأمّا إذا تعارض النصّان ، فتفصيل الكلام فيه في مباحث التعادل والتراجيح ، وملخّص الكلام فيه أنّ المرجع إلى التخيير فيما إذا دلّ عليه دليل شرعا ، وإلى الأصول فيما إذا خالف أحدهما لها ولم يكن ما يدلّ على التخيير الشرعي ، وإلاّ فالتخيير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فالمجتهدون في المقام على البراءة وكثيرا ما يعبّر عنها </w:t>
      </w:r>
      <w:r>
        <w:rPr>
          <w:rStyle w:val="FootnoteAnchor"/>
          <w:rtl w:val="true"/>
        </w:rPr>
        <w:footnoteReference w:id="1219"/>
      </w:r>
      <w:r>
        <w:rPr>
          <w:rFonts w:ascii="Amiri" w:hAnsi="Amiri" w:eastAsia="Amiri" w:cs="Amiri"/>
          <w:color w:val="111111"/>
          <w:sz w:val="28"/>
          <w:sz w:val="28"/>
          <w:szCs w:val="28"/>
          <w:rtl w:val="true"/>
          <w:lang w:bidi="ar-SA"/>
        </w:rPr>
        <w:t>في لسانهم بالإباحة نظرا إلى ظهور البراءة في نفي الوجوب فقط في قبال الاشتغال ، وإنّما نظرهم في ذلك ليس إلى مجرّد حكم العقل فإنّه على ما عرفت لا يزيد حكمه على رفع العقاب والمؤاخذة ، ولذا يعبّر عنه بأصالة النفي بل الحكم بالإباحة في الشبهة التحريمية إنّما يستند إلى الأدلّة الشرعية كما نبّهنا عليه فيما تقدّم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والأخباريون على الاحتياط جميعا وربّما ينسب إليهم </w:t>
      </w:r>
      <w:r>
        <w:rPr>
          <w:rStyle w:val="FootnoteAnchor"/>
          <w:rtl w:val="true"/>
        </w:rPr>
        <w:footnoteReference w:id="1220"/>
      </w:r>
      <w:r>
        <w:rPr>
          <w:rFonts w:ascii="IRNazanin" w:hAnsi="IRNazanin" w:eastAsia="IRNazanin"/>
          <w:color w:val="111111"/>
          <w:sz w:val="28"/>
          <w:sz w:val="28"/>
          <w:szCs w:val="28"/>
          <w:rtl w:val="true"/>
          <w:lang w:bidi="fa-IR"/>
        </w:rPr>
        <w:t xml:space="preserve">أقوال </w:t>
      </w:r>
      <w:r>
        <w:rPr>
          <w:rStyle w:val="FootnoteAnchor"/>
          <w:rtl w:val="true"/>
        </w:rPr>
        <w:footnoteReference w:id="1221"/>
      </w:r>
      <w:r>
        <w:rPr>
          <w:rFonts w:ascii="Amiri" w:hAnsi="Amiri" w:eastAsia="Amiri" w:cs="Amiri"/>
          <w:color w:val="111111"/>
          <w:sz w:val="28"/>
          <w:sz w:val="28"/>
          <w:szCs w:val="28"/>
          <w:rtl w:val="true"/>
          <w:lang w:bidi="ar-SA"/>
        </w:rPr>
        <w:t xml:space="preserve">كالقول بالحرمة الواقعية أو الظاهرية أو التوقّف أو الاحتياط ، وقد يستشكل في الفرق بينها بعد وفاقهم على التحريم وعدم جواز الإتيان بالفعل إلاّ أنّه يمكن أن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الحرمة </w:t>
      </w:r>
      <w:r>
        <w:rPr>
          <w:rStyle w:val="FootnoteAnchor"/>
          <w:rtl w:val="true"/>
        </w:rPr>
        <w:footnoteReference w:id="1222"/>
      </w:r>
      <w:r>
        <w:rPr>
          <w:rFonts w:ascii="Amiri" w:hAnsi="Amiri" w:eastAsia="Amiri" w:cs="Amiri"/>
          <w:color w:val="111111"/>
          <w:sz w:val="28"/>
          <w:sz w:val="28"/>
          <w:szCs w:val="28"/>
          <w:rtl w:val="true"/>
          <w:lang w:bidi="ar-SA"/>
        </w:rPr>
        <w:t xml:space="preserve">الواقعية ، فالظاهر </w:t>
      </w:r>
      <w:r>
        <w:rPr>
          <w:rStyle w:val="FootnoteAnchor"/>
          <w:rtl w:val="true"/>
        </w:rPr>
        <w:footnoteReference w:id="1223"/>
      </w:r>
      <w:r>
        <w:rPr>
          <w:rFonts w:ascii="Amiri" w:hAnsi="Amiri" w:eastAsia="Amiri" w:cs="Amiri"/>
          <w:color w:val="111111"/>
          <w:sz w:val="28"/>
          <w:sz w:val="28"/>
          <w:szCs w:val="28"/>
          <w:rtl w:val="true"/>
          <w:lang w:bidi="ar-SA"/>
        </w:rPr>
        <w:t xml:space="preserve">أنّها غير مصرّح بها في كلامهم ، فلعلّها مأخوذة من ظاهر لفظ الحرمة بعد تقييدها في كلام بعضهم بالحرمة </w:t>
      </w:r>
      <w:r>
        <w:rPr>
          <w:rStyle w:val="FootnoteAnchor"/>
          <w:rtl w:val="true"/>
        </w:rPr>
        <w:footnoteReference w:id="1224"/>
      </w:r>
      <w:r>
        <w:rPr>
          <w:rFonts w:ascii="Amiri" w:hAnsi="Amiri" w:eastAsia="Amiri" w:cs="Amiri"/>
          <w:color w:val="111111"/>
          <w:sz w:val="28"/>
          <w:sz w:val="28"/>
          <w:szCs w:val="28"/>
          <w:rtl w:val="true"/>
          <w:lang w:bidi="ar-SA"/>
        </w:rPr>
        <w:t>الظاهرية ، ويحتمل أن يكون المراد بها أصالة الحظر المقرّرة في الأصل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الحرمة الظاهرية فيفترق </w:t>
      </w:r>
      <w:r>
        <w:rPr>
          <w:rStyle w:val="FootnoteAnchor"/>
          <w:rtl w:val="true"/>
        </w:rPr>
        <w:footnoteReference w:id="1225"/>
      </w:r>
      <w:r>
        <w:rPr>
          <w:rFonts w:ascii="Amiri" w:hAnsi="Amiri" w:eastAsia="Amiri" w:cs="Amiri"/>
          <w:color w:val="111111"/>
          <w:sz w:val="28"/>
          <w:sz w:val="28"/>
          <w:szCs w:val="28"/>
          <w:rtl w:val="true"/>
          <w:lang w:bidi="ar-SA"/>
        </w:rPr>
        <w:t xml:space="preserve">من التوقّف والاحتياط بأنّ الحرمة فيها تشريعية ظاهرية بخلاف الحرمة فيهما فإنّها إرشادية محضة كما يشعر به قوله في الخبر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حيث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التوقّف والاحتياط ، فلا يكاد تحقّق </w:t>
      </w:r>
      <w:r>
        <w:rPr>
          <w:rStyle w:val="FootnoteAnchor"/>
          <w:rtl w:val="true"/>
        </w:rPr>
        <w:footnoteReference w:id="1226"/>
      </w:r>
      <w:r>
        <w:rPr>
          <w:rFonts w:ascii="Amiri" w:hAnsi="Amiri" w:eastAsia="Amiri" w:cs="Amiri"/>
          <w:color w:val="111111"/>
          <w:sz w:val="28"/>
          <w:sz w:val="28"/>
          <w:szCs w:val="28"/>
          <w:rtl w:val="true"/>
          <w:lang w:bidi="ar-SA"/>
        </w:rPr>
        <w:t xml:space="preserve">الفرق بينهما إلاّ في عنوان الأخبار الواردة فيهما ؛ فإنّ جملة منها تشتمل </w:t>
      </w:r>
      <w:r>
        <w:rPr>
          <w:rStyle w:val="FootnoteAnchor"/>
          <w:rtl w:val="true"/>
        </w:rPr>
        <w:footnoteReference w:id="1227"/>
      </w:r>
      <w:r>
        <w:rPr>
          <w:rFonts w:ascii="Amiri" w:hAnsi="Amiri" w:eastAsia="Amiri" w:cs="Amiri"/>
          <w:color w:val="111111"/>
          <w:sz w:val="28"/>
          <w:sz w:val="28"/>
          <w:szCs w:val="28"/>
          <w:rtl w:val="true"/>
          <w:lang w:bidi="ar-SA"/>
        </w:rPr>
        <w:t xml:space="preserve">على لفظ التوقّف والوقوف ، وجملة أخرى على لفظ الاحتياط وإلاّ فبحسب المعنى لا فرق بينهما </w:t>
      </w:r>
      <w:r>
        <w:rPr>
          <w:rStyle w:val="FootnoteAnchor"/>
          <w:rtl w:val="true"/>
        </w:rPr>
        <w:footnoteReference w:id="1228"/>
      </w:r>
      <w:r>
        <w:rPr>
          <w:rFonts w:ascii="Amiri" w:hAnsi="Amiri" w:eastAsia="Amiri" w:cs="Amiri"/>
          <w:color w:val="111111"/>
          <w:sz w:val="28"/>
          <w:sz w:val="28"/>
          <w:szCs w:val="28"/>
          <w:rtl w:val="true"/>
          <w:lang w:bidi="ar-SA"/>
        </w:rPr>
        <w:t xml:space="preserve">؛ فإنّ التوقّف </w:t>
      </w:r>
      <w:r>
        <w:rPr>
          <w:rStyle w:val="FootnoteAnchor"/>
          <w:rtl w:val="true"/>
        </w:rPr>
        <w:footnoteReference w:id="1229"/>
      </w:r>
      <w:r>
        <w:rPr>
          <w:rFonts w:ascii="Amiri" w:hAnsi="Amiri" w:eastAsia="Amiri" w:cs="Amiri"/>
          <w:color w:val="111111"/>
          <w:sz w:val="28"/>
          <w:sz w:val="28"/>
          <w:szCs w:val="28"/>
          <w:rtl w:val="true"/>
          <w:lang w:bidi="ar-SA"/>
        </w:rPr>
        <w:t xml:space="preserve">معناه عدم ارتكاب المكلّف الشيء المأمور بالتوقّف </w:t>
      </w:r>
      <w:r>
        <w:rPr>
          <w:rStyle w:val="FootnoteAnchor"/>
          <w:rtl w:val="true"/>
        </w:rPr>
        <w:footnoteReference w:id="1230"/>
      </w:r>
      <w:r>
        <w:rPr>
          <w:rFonts w:ascii="Amiri" w:hAnsi="Amiri" w:eastAsia="Amiri" w:cs="Amiri"/>
          <w:color w:val="111111"/>
          <w:sz w:val="28"/>
          <w:sz w:val="28"/>
          <w:szCs w:val="28"/>
          <w:rtl w:val="true"/>
          <w:lang w:bidi="ar-SA"/>
        </w:rPr>
        <w:t>فيه وهو بعينه الأخذ بالأوثق كما هو المراد بالاحتياط لكنّ الإنصاف أنّ المعنى في الكلّ واحد ، وليس في كلامهم ما يدلّ على خلاف ذلك بل إنّما هو مجرّد اختلاف في العبارة والمقصود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فالحقّ ما ذهب إليه الأصوليون المجتهدون لوجوه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العزيز وهي آيات بيّنات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الأصل السابق وهي آية التعذيب وقد مرّ وجه الدلالة فيها وصحّة التقريب على وجه يليق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وجه الدلالة أنّ التكليف التحريمي فيما اشتبه حكمه بواسطة فقد النصّ أو إجماله كشرب التتن مثلا ممّا لم يأت النصّ به ، ولا يكلّف اللّه نفسا إلاّ ما آتاها ، فلا تكليف فيه ، اللّهمّ إلاّ أن يقال بأنّ صدر الآية إنّما هو في الإنفاق بالأموال ، فلا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والتقريب ظاهر إلاّ أنّ الاعتراض عليه أيضا ممكن ، فالأوضح من الكلّ هو آية التعذيب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نقلا في كلام جملة من الأعاظم ، وتحصيلا من غير الأخباري كما يظهر ذلك من استنادهم ذلك إلى المجتهد من غير استثناء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وهي كثيرة جدّا ، فمنها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وجه الدلالة أنّ الحرمة في واقعة شرب التتن مثلا ممّا حجب اللّه علمه عنّا وكلّ ما حجب اللّه علمه عنّا ، فهو موضوع عنّا ، فالحرمة في الواقعة المفروضة موضوعة عنّا وهو المطلوب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ظاهرة في ما إذا حجب اللّه علم شيء مخزون عنده أو عند أوليائه كأسرار القضاء والقدر ونحوهما كما يشتمل </w:t>
      </w:r>
      <w:r>
        <w:rPr>
          <w:rStyle w:val="FootnoteAnchor"/>
          <w:rtl w:val="true"/>
        </w:rPr>
        <w:footnoteReference w:id="1234"/>
      </w:r>
      <w:r>
        <w:rPr>
          <w:rFonts w:ascii="Amiri" w:hAnsi="Amiri" w:eastAsia="Amiri" w:cs="Amiri"/>
          <w:color w:val="111111"/>
          <w:sz w:val="28"/>
          <w:sz w:val="28"/>
          <w:szCs w:val="28"/>
          <w:rtl w:val="true"/>
          <w:lang w:bidi="ar-SA"/>
        </w:rPr>
        <w:t xml:space="preserve">عليه ذيل الخبر النبوي الآتي من أنّ رفع عن أمّتي إلخ فعلى هذا يصير مفادها بعينها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اسكتوا عمّا سكت اللّه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فلا يصحّ الاستناد إليها في أمثال المقام للفرق الظاهر بين ما إذا كان الأسباب المفيدة للعلم </w:t>
      </w:r>
      <w:r>
        <w:rPr>
          <w:rStyle w:val="FootnoteAnchor"/>
          <w:rtl w:val="true"/>
        </w:rPr>
        <w:footnoteReference w:id="1236"/>
      </w:r>
      <w:r>
        <w:rPr>
          <w:rFonts w:ascii="Amiri" w:hAnsi="Amiri" w:eastAsia="Amiri" w:cs="Amiri"/>
          <w:color w:val="111111"/>
          <w:sz w:val="28"/>
          <w:sz w:val="28"/>
          <w:szCs w:val="28"/>
          <w:rtl w:val="true"/>
          <w:lang w:bidi="ar-SA"/>
        </w:rPr>
        <w:t xml:space="preserve">فيه موجودا </w:t>
      </w:r>
      <w:r>
        <w:rPr>
          <w:rStyle w:val="FootnoteAnchor"/>
          <w:rtl w:val="true"/>
        </w:rPr>
        <w:footnoteReference w:id="1237"/>
      </w:r>
      <w:r>
        <w:rPr>
          <w:rFonts w:ascii="Amiri" w:hAnsi="Amiri" w:eastAsia="Amiri" w:cs="Amiri"/>
          <w:color w:val="111111"/>
          <w:sz w:val="28"/>
          <w:sz w:val="28"/>
          <w:szCs w:val="28"/>
          <w:rtl w:val="true"/>
          <w:lang w:bidi="ar-SA"/>
        </w:rPr>
        <w:t xml:space="preserve">وبين ما إذا كان مفقودا </w:t>
      </w:r>
      <w:r>
        <w:rPr>
          <w:rStyle w:val="FootnoteAnchor"/>
          <w:rtl w:val="true"/>
        </w:rPr>
        <w:footnoteReference w:id="1238"/>
      </w:r>
      <w:r>
        <w:rPr>
          <w:rFonts w:ascii="Amiri" w:hAnsi="Amiri" w:eastAsia="Amiri" w:cs="Amiri"/>
          <w:color w:val="111111"/>
          <w:sz w:val="28"/>
          <w:sz w:val="28"/>
          <w:szCs w:val="28"/>
          <w:rtl w:val="true"/>
          <w:lang w:bidi="ar-SA"/>
        </w:rPr>
        <w:t xml:space="preserve">، فالوضع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 المقام الثاني ، والمطلوب إنّما يتمّ فيما إذا كان من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الحجب إليه تعالى لا يخلو من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العلّة للحجب من غير مدخلية للعبد فيه تسبيبا وغيره كما في الأسرار المخزونة في علمه والمكنونة عند أهلها ، فيكون المراد من الرواية على هذا ما حجب اللّه علمه عن العباد لعدم جعله طريقا يوصلهم إليه ،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الحاجب تسبيبا منّا كأن يكون على وجه المباشرة منه تعالى ، ولكنّ السبب في الحجب منّا كما هو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وذلك أيضا ظاهر كما في غيبة الإمام عليه‌السلام فإنّ الفاعل غيرنا ونحن السبب فيها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الحاجب غيره إلاّ أنّه أسند </w:t>
      </w:r>
      <w:r>
        <w:rPr>
          <w:rStyle w:val="FootnoteAnchor"/>
          <w:rtl w:val="true"/>
        </w:rPr>
        <w:footnoteReference w:id="1240"/>
      </w:r>
      <w:r>
        <w:rPr>
          <w:rFonts w:ascii="Amiri" w:hAnsi="Amiri" w:eastAsia="Amiri" w:cs="Amiri"/>
          <w:color w:val="111111"/>
          <w:sz w:val="28"/>
          <w:sz w:val="28"/>
          <w:szCs w:val="28"/>
          <w:rtl w:val="true"/>
          <w:lang w:bidi="ar-SA"/>
        </w:rPr>
        <w:t xml:space="preserve">إليه من جهة عدم رفعه للموانع بعد وضعه أسباب العلم كإرسال الرسل وإنزال الكتب والأمر بالبيان والتبليغ ونحوه على وجه لا يستند </w:t>
      </w:r>
      <w:r>
        <w:rPr>
          <w:rStyle w:val="FootnoteAnchor"/>
          <w:rtl w:val="true"/>
        </w:rPr>
        <w:footnoteReference w:id="1241"/>
      </w:r>
      <w:r>
        <w:rPr>
          <w:rFonts w:ascii="Amiri" w:hAnsi="Amiri" w:eastAsia="Amiri" w:cs="Amiri"/>
          <w:color w:val="111111"/>
          <w:sz w:val="28"/>
          <w:sz w:val="28"/>
          <w:szCs w:val="28"/>
          <w:rtl w:val="true"/>
          <w:lang w:bidi="ar-SA"/>
        </w:rPr>
        <w:t xml:space="preserve">الحجب إليه إلاّ مجازا بعيدا لا يصار إليه إلاّ لقرينة مقتضية له ؛ لا شكّ في بطلان دعوى الانصراف إلى الأوّل فقط كما يظهر بالتأمّل في ذيل الحديث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امتنان فيه بعد ظهوره فيه كما لا يخفى فساد توهّم </w:t>
      </w:r>
      <w:r>
        <w:rPr>
          <w:rStyle w:val="FootnoteAnchor"/>
          <w:rtl w:val="true"/>
        </w:rPr>
        <w:footnoteReference w:id="1242"/>
      </w:r>
      <w:r>
        <w:rPr>
          <w:rFonts w:ascii="Amiri" w:hAnsi="Amiri" w:eastAsia="Amiri" w:cs="Amiri"/>
          <w:color w:val="111111"/>
          <w:sz w:val="28"/>
          <w:sz w:val="28"/>
          <w:szCs w:val="28"/>
          <w:rtl w:val="true"/>
          <w:lang w:bidi="ar-SA"/>
        </w:rPr>
        <w:t xml:space="preserve">التعميم بالنسبة إلى الثالث أيضا لما عرفت من بعده </w:t>
      </w:r>
      <w:r>
        <w:rPr>
          <w:rStyle w:val="FootnoteAnchor"/>
          <w:rtl w:val="true"/>
        </w:rPr>
        <w:footnoteReference w:id="1243"/>
      </w:r>
      <w:r>
        <w:rPr>
          <w:rFonts w:ascii="Amiri" w:hAnsi="Amiri" w:eastAsia="Amiri" w:cs="Amiri"/>
          <w:color w:val="111111"/>
          <w:sz w:val="28"/>
          <w:sz w:val="28"/>
          <w:szCs w:val="28"/>
          <w:rtl w:val="true"/>
          <w:lang w:bidi="ar-SA"/>
        </w:rPr>
        <w:t xml:space="preserve">من إسناد الحجب إليه تعالى ، فالأوسط أوسط الوجوه ، وبه يتمّ المطلوب فإنّه يصير حينئذ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غلب </w:t>
      </w:r>
    </w:p>
    <w:p>
      <w:pPr>
        <w:pStyle w:val="BookText"/>
        <w:rPr/>
      </w:pPr>
      <w:r>
        <w:rPr>
          <w:rFonts w:ascii="Amiri" w:hAnsi="Amiri" w:eastAsia="Amiri" w:cs="Amiri"/>
          <w:color w:val="111111"/>
          <w:sz w:val="28"/>
          <w:sz w:val="28"/>
          <w:szCs w:val="28"/>
          <w:rtl w:val="true"/>
          <w:lang w:bidi="ar-SA"/>
        </w:rPr>
        <w:t xml:space="preserve">اللّه فيه فهو أولى بالعذر </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كما في الأمراض فإنّ السبب غالبا منّا إلاّ أنّ المباشر غيرنا ولا يجري ذلك فيما إذا كان المكلّف سببا على وجه لا يصحّ إسناد المرض إلى غيره إلاّ من جهة عدم رفعه للموانع كما إذا شرب المرقد أو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ففيما إذا كان المكلّف سببا للحجب من اللّه تعالى دلّ الرواية على البراءة ولا قائل بالفصل فيتمّ المطلوب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وجه الدلالة ظاهر سواء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أو موصولة مضافا إليها </w:t>
      </w:r>
      <w:r>
        <w:rPr>
          <w:rStyle w:val="FootnoteAnchor"/>
          <w:rtl w:val="true"/>
        </w:rPr>
        <w:footnoteReference w:id="1246"/>
      </w:r>
      <w:r>
        <w:rPr>
          <w:rFonts w:ascii="IRNazanin" w:hAnsi="IRNazanin" w:eastAsia="IRNazanin"/>
          <w:color w:val="111111"/>
          <w:sz w:val="28"/>
          <w:sz w:val="28"/>
          <w:szCs w:val="28"/>
          <w:rtl w:val="true"/>
          <w:lang w:bidi="fa-IR"/>
        </w:rPr>
        <w:t>للمجرور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بالتكليف أعمّ من أن يكون إجماليا أو تفصيليا ، وسعة الجهل وعدم العلم لا يجدي في العلم الإجمالي لوجوده فإنّا نعلم وجدانا بوجود محرّمات كثيرة وواجبات كثيرة ، فلا يصحّ التمسّك بالرواية بعد العلم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المذكور إنّما يجري بعد حجّية الأخبار الآحاد عند المجتهد أو ما يكفي </w:t>
      </w:r>
      <w:r>
        <w:rPr>
          <w:rStyle w:val="FootnoteAnchor"/>
          <w:rtl w:val="true"/>
        </w:rPr>
        <w:footnoteReference w:id="1247"/>
      </w:r>
      <w:r>
        <w:rPr>
          <w:rFonts w:ascii="Amiri" w:hAnsi="Amiri" w:eastAsia="Amiri" w:cs="Amiri"/>
          <w:color w:val="111111"/>
          <w:sz w:val="28"/>
          <w:sz w:val="28"/>
          <w:szCs w:val="28"/>
          <w:rtl w:val="true"/>
          <w:lang w:bidi="ar-SA"/>
        </w:rPr>
        <w:t xml:space="preserve">عن رفع العلم الإجمالي بالتكاليف المحرّمة ، أو الواجبة من غيرها من الأمارات وبعدها لا يبقى </w:t>
      </w:r>
      <w:r>
        <w:rPr>
          <w:rStyle w:val="FootnoteAnchor"/>
          <w:rtl w:val="true"/>
        </w:rPr>
        <w:footnoteReference w:id="1248"/>
      </w:r>
      <w:r>
        <w:rPr>
          <w:rFonts w:ascii="Amiri" w:hAnsi="Amiri" w:eastAsia="Amiri" w:cs="Amiri"/>
          <w:color w:val="111111"/>
          <w:sz w:val="28"/>
          <w:sz w:val="28"/>
          <w:szCs w:val="28"/>
          <w:rtl w:val="true"/>
          <w:lang w:bidi="ar-SA"/>
        </w:rPr>
        <w:t>العلم الإجمالي ، فعالم الجهل أوسع من الكلّ فيتمّ التقريب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التوحيد في الصحيح عن حريز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استكرهوا </w:t>
      </w:r>
      <w:r>
        <w:rPr>
          <w:rStyle w:val="FootnoteAnchor"/>
          <w:rtl w:val="true"/>
        </w:rPr>
        <w:footnoteReference w:id="1249"/>
      </w:r>
      <w:r>
        <w:rPr>
          <w:rFonts w:ascii="Amiri" w:hAnsi="Amiri" w:eastAsia="Amiri" w:cs="Amiri"/>
          <w:color w:val="111111"/>
          <w:sz w:val="28"/>
          <w:sz w:val="28"/>
          <w:szCs w:val="28"/>
          <w:rtl w:val="true"/>
          <w:lang w:bidi="ar-SA"/>
        </w:rPr>
        <w:t xml:space="preserve">عليه ، وما لا يطيقون ، وما لا يعلمون ، وما اضطرّوا إليه ، والحسد ، والطيرة ، والتفكّر في الوسوسة في </w:t>
      </w:r>
    </w:p>
    <w:p>
      <w:pPr>
        <w:pStyle w:val="BookText"/>
        <w:rPr/>
      </w:pPr>
      <w:r>
        <w:rPr>
          <w:rFonts w:ascii="Amiri" w:hAnsi="Amiri" w:eastAsia="Amiri" w:cs="Amiri"/>
          <w:color w:val="111111"/>
          <w:sz w:val="28"/>
          <w:sz w:val="28"/>
          <w:szCs w:val="28"/>
          <w:rtl w:val="true"/>
          <w:lang w:bidi="ar-SA"/>
        </w:rPr>
        <w:t xml:space="preserve">الخلق ما لم ينطقوا </w:t>
      </w:r>
      <w:r>
        <w:rPr>
          <w:rStyle w:val="FootnoteAnchor"/>
          <w:rtl w:val="true"/>
        </w:rPr>
        <w:footnoteReference w:id="1250"/>
      </w:r>
      <w:r>
        <w:rPr>
          <w:rFonts w:ascii="Amiri" w:hAnsi="Amiri" w:eastAsia="Amiri" w:cs="Amiri"/>
          <w:color w:val="111111"/>
          <w:sz w:val="28"/>
          <w:sz w:val="28"/>
          <w:szCs w:val="28"/>
          <w:rtl w:val="true"/>
          <w:lang w:bidi="ar-SA"/>
        </w:rPr>
        <w:t xml:space="preserve">بشفة </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المشتبهة ممّا لا نعلمها وقد رفع عن تلك الأمّة المرحومة المؤاخذة عمّا لا يعلمون والعقاب عليه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يشكل الاستناد إلى الرواية من حيث إنّ </w:t>
      </w:r>
      <w:r>
        <w:rPr>
          <w:rStyle w:val="FootnoteAnchor"/>
          <w:rtl w:val="true"/>
        </w:rPr>
        <w:footnoteReference w:id="1252"/>
      </w:r>
      <w:r>
        <w:rPr>
          <w:rFonts w:ascii="Amiri" w:hAnsi="Amiri" w:eastAsia="Amiri" w:cs="Amiri"/>
          <w:color w:val="111111"/>
          <w:sz w:val="28"/>
          <w:sz w:val="28"/>
          <w:szCs w:val="28"/>
          <w:rtl w:val="true"/>
          <w:lang w:bidi="ar-SA"/>
        </w:rPr>
        <w:t xml:space="preserve">ظاهر السياق إرادة الموضوع والفعل من الموصول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منه الفعل المستكره عليه والفعل الذي لا يطيقونه ، فالمعنى رفع عن أمّتي الفعل والموضوع الذي لا يعلمونه على حذو </w:t>
      </w:r>
      <w:r>
        <w:rPr>
          <w:rStyle w:val="FootnoteAnchor"/>
          <w:rtl w:val="true"/>
        </w:rPr>
        <w:footnoteReference w:id="1253"/>
      </w:r>
      <w:r>
        <w:rPr>
          <w:rFonts w:ascii="Amiri" w:hAnsi="Amiri" w:eastAsia="Amiri" w:cs="Amiri"/>
          <w:color w:val="111111"/>
          <w:sz w:val="28"/>
          <w:sz w:val="28"/>
          <w:szCs w:val="28"/>
          <w:rtl w:val="true"/>
          <w:lang w:bidi="ar-SA"/>
        </w:rPr>
        <w:t xml:space="preserve">سائر الفقرات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المراد ممّا لا يعلمون نفس الفعل وحقيقته فإنّه لا يترتّب على ذات الفعل والعلم بها حكم شرعي ، فلا بدّ من تقدير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رفع عن أمّتي المؤاخذة على فعل ما </w:t>
      </w:r>
      <w:r>
        <w:rPr>
          <w:rStyle w:val="FootnoteAnchor"/>
          <w:rtl w:val="true"/>
        </w:rPr>
        <w:footnoteReference w:id="1254"/>
      </w:r>
      <w:r>
        <w:rPr>
          <w:rFonts w:ascii="Amiri" w:hAnsi="Amiri" w:eastAsia="Amiri" w:cs="Amiri"/>
          <w:color w:val="111111"/>
          <w:sz w:val="28"/>
          <w:sz w:val="28"/>
          <w:szCs w:val="28"/>
          <w:rtl w:val="true"/>
          <w:lang w:bidi="ar-SA"/>
        </w:rPr>
        <w:t>لم يعلم حكمه ، ولا ينافي السياق أيضا إذ السياق لا يزيد حكمه على اعتبار الموصول كناية عن الفعل ، ولا بدّ من تقدير الحكم ليصحّ الرفع ، فإنّ ما للشارع أن يضعه له أن يرفعه في مقام التشريع ، وليس إلاّ الحكم المتعلّق بالأفعال ، فعدم العلم بحكمها ممّا قد منّ اللّه تبارك وتعالى برفع العقاب عنه وهو أعمّ من أن يكون بحسب أصل الشريعة كما في الشبهة الحكمية أو بواسطة أمر خارجي كما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اختصاص الرواية بالشبهة في الموضوع وهو في محلّ من المنع ، فتأمّل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 لا يعلمون إن كان مطلق العلم تفصيليا كان أو إجماليا ، فلا امتنان لاشتراط التكليف عقلا بالعلم على وجه يستحيل خلافه وهذا حكم يعمّ سائر الأمم ، فلا يختصّ تلك الأمّة المرحومة بالعفو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والامتنان </w:t>
      </w:r>
    </w:p>
    <w:p>
      <w:pPr>
        <w:pStyle w:val="BookText"/>
        <w:rPr/>
      </w:pPr>
      <w:r>
        <w:rPr>
          <w:rFonts w:ascii="Amiri" w:hAnsi="Amiri" w:eastAsia="Amiri" w:cs="Amiri"/>
          <w:color w:val="111111"/>
          <w:sz w:val="28"/>
          <w:sz w:val="28"/>
          <w:szCs w:val="28"/>
          <w:rtl w:val="true"/>
          <w:lang w:bidi="ar-SA"/>
        </w:rPr>
        <w:t xml:space="preserve">وإن كان خصوص العلم التفصيلي وإن كان ممّا لا يعلمونه </w:t>
      </w:r>
      <w:r>
        <w:rPr>
          <w:rStyle w:val="FootnoteAnchor"/>
          <w:rtl w:val="true"/>
        </w:rPr>
        <w:footnoteReference w:id="1255"/>
      </w:r>
      <w:r>
        <w:rPr>
          <w:rFonts w:ascii="Amiri" w:hAnsi="Amiri" w:eastAsia="Amiri" w:cs="Amiri"/>
          <w:color w:val="111111"/>
          <w:sz w:val="28"/>
          <w:sz w:val="28"/>
          <w:szCs w:val="28"/>
          <w:rtl w:val="true"/>
          <w:lang w:bidi="ar-SA"/>
        </w:rPr>
        <w:t>ولو إجمالا ، فالرفع غير ثابت لا في تلك الأمّة ولا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قبح العقاب على التكاليف الواقعية مع عدم العلم بها وهذا الحكم سواء في جميع الأمم ولكنّه لا قبح في إيجاب الشارع الاحتياط فيه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احتملت وجوب شيء أو حرمته يجب عليك الإتيان بالواجب المحتمل والاجتناب عن المحرّم المحتمل ، فلو حكم الشارع في تلك المحتملات بالإطلاق ورفع المؤاخذة عنها كما هو مدلول الرواية ، فقد منّ منّة عظيمة لا تسعها السماوات والأرض على تلك الأمّة المرحومة ، ويحتمل إيجاب الاحتياط في سائر الأمم فعلى هذا الرواية هذه معارضة لأخبار الاحتياط بخلاف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إذ يمكن القول بأنّ أخبار الاحتياط بيان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بدّ من القول بعدم وجوب الاحتياط امتنانا منه تعالى على عباده كما هو المستفاد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يورد على الرواية بمثل ما أوردناه فيما لا يعلمون بالنسبة إلى الأحكام العقلية الأخر كرفع السهو والنسيان وما لا يطيقون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 الامتنان حاصل بالمجموع من الأحكام العقلية وغيرها كالطيرة مثلا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وركاكته ظاهرة إذ لا وجه لاختصاصه صلى‌اللّه‌عليه‌وآله بالتسعة إذ الأحكام العقلية كثيرة جدّا فقد يزيد على مائة ، فلا بدّ من توجيه آخر كأن يقال في النقض بالسهو </w:t>
      </w:r>
      <w:r>
        <w:rPr>
          <w:rStyle w:val="FootnoteAnchor"/>
          <w:rtl w:val="true"/>
        </w:rPr>
        <w:footnoteReference w:id="1256"/>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السهو مرفوع سواء كان من جهة القصور ، أو التقصير ، وفيما </w:t>
      </w:r>
      <w:r>
        <w:rPr>
          <w:rStyle w:val="FootnoteAnchor"/>
          <w:rtl w:val="true"/>
        </w:rPr>
        <w:footnoteReference w:id="1257"/>
      </w:r>
      <w:r>
        <w:rPr>
          <w:rFonts w:ascii="Amiri" w:hAnsi="Amiri" w:eastAsia="Amiri" w:cs="Amiri"/>
          <w:color w:val="111111"/>
          <w:sz w:val="28"/>
          <w:sz w:val="28"/>
          <w:szCs w:val="28"/>
          <w:rtl w:val="true"/>
          <w:lang w:bidi="ar-SA"/>
        </w:rPr>
        <w:t xml:space="preserve">لا يطيقون يعني ما </w:t>
      </w:r>
    </w:p>
    <w:p>
      <w:pPr>
        <w:pStyle w:val="BookText"/>
        <w:rPr/>
      </w:pPr>
      <w:r>
        <w:rPr>
          <w:rFonts w:ascii="Amiri" w:hAnsi="Amiri" w:eastAsia="Amiri" w:cs="Amiri"/>
          <w:color w:val="111111"/>
          <w:sz w:val="28"/>
          <w:sz w:val="28"/>
          <w:szCs w:val="28"/>
          <w:rtl w:val="true"/>
          <w:lang w:bidi="ar-SA"/>
        </w:rPr>
        <w:t xml:space="preserve">لا يتحمّل عادة كما يفصح عن ذلك الآية في آخر البقرة </w:t>
      </w:r>
      <w:r>
        <w:rPr>
          <w:rStyle w:val="FootnoteAnchor"/>
          <w:rtl w:val="true"/>
        </w:rPr>
        <w:footnoteReference w:id="1258"/>
      </w:r>
      <w:r>
        <w:rPr>
          <w:rFonts w:ascii="Amiri" w:hAnsi="Amiri" w:eastAsia="Amiri" w:cs="Amiri"/>
          <w:color w:val="111111"/>
          <w:sz w:val="28"/>
          <w:sz w:val="28"/>
          <w:szCs w:val="28"/>
          <w:rtl w:val="true"/>
          <w:lang w:bidi="ar-SA"/>
        </w:rPr>
        <w:t xml:space="preserve">، لكنّه يشكل الالتزام بما ذكر في السهو كما لا يخفى إلاّ أنّه غير ضائر </w:t>
      </w:r>
      <w:r>
        <w:rPr>
          <w:rStyle w:val="FootnoteAnchor"/>
          <w:rtl w:val="true"/>
        </w:rPr>
        <w:footnoteReference w:id="1259"/>
      </w:r>
      <w:r>
        <w:rPr>
          <w:rFonts w:ascii="Amiri" w:hAnsi="Amiri" w:eastAsia="Amiri" w:cs="Amiri"/>
          <w:color w:val="111111"/>
          <w:sz w:val="28"/>
          <w:sz w:val="28"/>
          <w:szCs w:val="28"/>
          <w:rtl w:val="true"/>
          <w:lang w:bidi="ar-SA"/>
        </w:rPr>
        <w:t>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أمر أو نهي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وجه الدلالة أنّ الرواية قد دلّت على إباحة كلّ شيء وإطلاقه ما لم نعلم بورود أمر فيه أو نهي </w:t>
      </w:r>
      <w:r>
        <w:rPr>
          <w:rStyle w:val="FootnoteAnchor"/>
          <w:rtl w:val="true"/>
        </w:rPr>
        <w:footnoteReference w:id="1261"/>
      </w:r>
      <w:r>
        <w:rPr>
          <w:rFonts w:ascii="Amiri" w:hAnsi="Amiri" w:eastAsia="Amiri" w:cs="Amiri"/>
          <w:color w:val="111111"/>
          <w:sz w:val="28"/>
          <w:sz w:val="28"/>
          <w:szCs w:val="28"/>
          <w:rtl w:val="true"/>
          <w:lang w:bidi="ar-SA"/>
        </w:rPr>
        <w:t>، فشرب التتن ممّا لم نعلم بورود النهي فيه ، فهو مطلق في حقّنا ومباح لنا في مرحلة الظاهر حتّى نعلم فيه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للاستناد إلى الرواية في وجه ولا حاجة إليها في وجه آخر فإنّ المراد بورود النهي هو الورود الواقعي ، فعند الشكّ في ورود النهي لو لم يستند بأصالة عدم ورود النهي لا وجه للاستناد إليها ، فلعلّه وارد في الواقع ومعه </w:t>
      </w:r>
      <w:r>
        <w:rPr>
          <w:rStyle w:val="FootnoteAnchor"/>
          <w:rtl w:val="true"/>
        </w:rPr>
        <w:footnoteReference w:id="1262"/>
      </w:r>
      <w:r>
        <w:rPr>
          <w:rFonts w:ascii="Amiri" w:hAnsi="Amiri" w:eastAsia="Amiri" w:cs="Amiri"/>
          <w:color w:val="111111"/>
          <w:sz w:val="28"/>
          <w:sz w:val="28"/>
          <w:szCs w:val="28"/>
          <w:rtl w:val="true"/>
          <w:lang w:bidi="ar-SA"/>
        </w:rPr>
        <w:t>لا حاجة إلى الاستناد إليها فإنّه يترتّب آثار الإطلاق والإباحة بمجرّد جريان الأصل المذكور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بالورود هو العلم بالنهي ، ولا يلزم تحصيل الحاصل ، أو العبث وإظهار ما لا فائدة فيه ؛ لأنّ المراد بالإطلاق هو ما لا منع فيه فالمقصود بهذه القضيّة لو كان إفادة الإطلاق والإباحة قبل ملاحظة جعل الأحكام منه ، يلزم الأمر الأوّل لأنّ قبل هذه الملاحظة لا منع في شيء ، فيصير المعنى كلّ شيء لا منع فيه لا منع فيه وهو تحصيل للحاصل ؛ لأنّ المقصود بالخبر والقضيّة إثبات المحمول للموضوع والمفروض أنّ المحمول جزء من الموضوع أو معتبر فيه ، فلو حاولنا مع ذلك إثبات المحمول له ، </w:t>
      </w:r>
    </w:p>
    <w:p>
      <w:pPr>
        <w:pStyle w:val="BookText"/>
        <w:rPr/>
      </w:pPr>
      <w:r>
        <w:rPr>
          <w:rFonts w:ascii="Amiri" w:hAnsi="Amiri" w:eastAsia="Amiri" w:cs="Amiri"/>
          <w:color w:val="111111"/>
          <w:sz w:val="28"/>
          <w:sz w:val="28"/>
          <w:szCs w:val="28"/>
          <w:rtl w:val="true"/>
          <w:lang w:bidi="ar-SA"/>
        </w:rPr>
        <w:t xml:space="preserve">يلزم تحصيل الحاصل بغير حصوله ، ولو كان المقصود بها إفادة الإطلاق بعد جعل الأحكام ، يلزم الأمر الثاني لأنّ بعد الجعل وحصر الأحكام المجعولة في الخمسة يلزم من نفي الأربعة إثبات الأخير لمكان الحصر والتضادّ ، فيصير المعنى كلّ ما لا وجوب فيه واقعا ولا تحريم فيه كذلك ، أو لا استحباب ولا كراهة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عمّمنا الأمر والنهي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مباح ومطلق ، وهل هذا إلاّ بمنزلة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حركة فيه ، فهو ساكن ، وليس </w:t>
      </w:r>
      <w:r>
        <w:rPr>
          <w:rStyle w:val="FootnoteAnchor"/>
          <w:rtl w:val="true"/>
        </w:rPr>
        <w:footnoteReference w:id="1263"/>
      </w:r>
      <w:r>
        <w:rPr>
          <w:rFonts w:ascii="Amiri" w:hAnsi="Amiri" w:eastAsia="Amiri" w:cs="Amiri"/>
          <w:color w:val="111111"/>
          <w:sz w:val="28"/>
          <w:sz w:val="28"/>
          <w:szCs w:val="28"/>
          <w:rtl w:val="true"/>
          <w:lang w:bidi="ar-SA"/>
        </w:rPr>
        <w:t xml:space="preserve">هذا إلاّ إظهارا لأمر بديهي يحترز عنه العقلاء ، ولا يصلح لحمل كلمات أرباب العصمة والحكمة عليه كما لا يخفى ، فتعيّن أن يكون المراد بالورود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ورودهما على المكلّف ، ولعمري إنّه دليل ساطع ، وبرهان قاطع لإثبات الإباحة الظاهرية لا يدانيه ريب كما لا يخفى بل لا يبعد القول بجواز الاستناد إليه في الشكّ في المكلّف به أيضا </w:t>
      </w:r>
      <w:r>
        <w:rPr>
          <w:rStyle w:val="FootnoteAnchor"/>
          <w:rtl w:val="true"/>
        </w:rPr>
        <w:footnoteReference w:id="1264"/>
      </w:r>
      <w:r>
        <w:rPr>
          <w:rFonts w:ascii="Amiri" w:hAnsi="Amiri" w:eastAsia="Amiri" w:cs="Amiri"/>
          <w:color w:val="111111"/>
          <w:sz w:val="28"/>
          <w:sz w:val="28"/>
          <w:szCs w:val="28"/>
          <w:rtl w:val="true"/>
          <w:lang w:bidi="ar-SA"/>
        </w:rPr>
        <w:t xml:space="preserve">كما استند إليه الصدوق </w:t>
      </w:r>
      <w:r>
        <w:rPr>
          <w:rStyle w:val="FootnoteAnchor"/>
          <w:rtl w:val="true"/>
        </w:rPr>
        <w:footnoteReference w:id="1265"/>
      </w:r>
      <w:r>
        <w:rPr>
          <w:rFonts w:ascii="Amiri" w:hAnsi="Amiri" w:eastAsia="Amiri" w:cs="Amiri"/>
          <w:color w:val="111111"/>
          <w:sz w:val="28"/>
          <w:sz w:val="28"/>
          <w:szCs w:val="28"/>
          <w:rtl w:val="true"/>
          <w:lang w:bidi="ar-SA"/>
        </w:rPr>
        <w:t xml:space="preserve">في الفقيه </w:t>
      </w:r>
      <w:r>
        <w:rPr>
          <w:rStyle w:val="FootnoteAnchor"/>
          <w:rtl w:val="true"/>
        </w:rPr>
        <w:footnoteReference w:id="1266"/>
      </w:r>
      <w:r>
        <w:rPr>
          <w:rFonts w:ascii="Amiri" w:hAnsi="Amiri" w:eastAsia="Amiri" w:cs="Amiri"/>
          <w:color w:val="111111"/>
          <w:sz w:val="28"/>
          <w:sz w:val="28"/>
          <w:szCs w:val="28"/>
          <w:rtl w:val="true"/>
          <w:lang w:bidi="ar-SA"/>
        </w:rPr>
        <w:t xml:space="preserve">في باب جواز القنوت بالفارسية ، فإنّ المحصّل في تلك الواقعة رجوعها إلى الشكّ في المكلّف به إذ الكلام في مانعية الفارسية للصلاة ، ومرجعها إلى اشتراط عدمها كما في جميع الموانع ، فيؤول الكلام إلى أنّ إتيان الصلاة على الوجه المخصوص يكفي عن الاشتغال اليقيني ، أو لا؟ وذلك ظاهر وسيزيد </w:t>
      </w:r>
      <w:r>
        <w:rPr>
          <w:rStyle w:val="FootnoteAnchor"/>
          <w:rtl w:val="true"/>
        </w:rPr>
        <w:footnoteReference w:id="1267"/>
      </w:r>
      <w:r>
        <w:rPr>
          <w:rFonts w:ascii="Amiri" w:hAnsi="Amiri" w:eastAsia="Amiri" w:cs="Amiri"/>
          <w:color w:val="111111"/>
          <w:sz w:val="28"/>
          <w:sz w:val="28"/>
          <w:szCs w:val="28"/>
          <w:rtl w:val="true"/>
          <w:lang w:bidi="ar-SA"/>
        </w:rPr>
        <w:t>ظهورا فيما سيجيء إن شاء اللّه تعالى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رواها في الكافى في نوادر المعيشة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يكون فيه حرام وحلال فهو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واستند إليه الفاضل التوني في الوافية </w:t>
      </w:r>
      <w:r>
        <w:rPr>
          <w:rStyle w:val="FootnoteAnchor"/>
          <w:rtl w:val="true"/>
        </w:rPr>
        <w:footnoteReference w:id="1269"/>
      </w:r>
      <w:r>
        <w:rPr>
          <w:rFonts w:ascii="Amiri" w:hAnsi="Amiri" w:eastAsia="Amiri" w:cs="Amiri"/>
          <w:color w:val="111111"/>
          <w:sz w:val="28"/>
          <w:sz w:val="28"/>
          <w:szCs w:val="28"/>
          <w:rtl w:val="true"/>
          <w:lang w:bidi="ar-SA"/>
        </w:rPr>
        <w:t xml:space="preserve">ووجّهها السيّد الشارح صدر الدين </w:t>
      </w:r>
      <w:r>
        <w:rPr>
          <w:rStyle w:val="FootnoteAnchor"/>
          <w:rtl w:val="true"/>
        </w:rPr>
        <w:footnoteReference w:id="1270"/>
      </w:r>
      <w:r>
        <w:rPr>
          <w:rFonts w:ascii="Amiri" w:hAnsi="Amiri" w:eastAsia="Amiri" w:cs="Amiri"/>
          <w:color w:val="111111"/>
          <w:sz w:val="28"/>
          <w:sz w:val="28"/>
          <w:szCs w:val="28"/>
          <w:rtl w:val="true"/>
          <w:lang w:bidi="ar-SA"/>
        </w:rPr>
        <w:t xml:space="preserve">بتوجيه ، واعترض عليه المحقّق القمّي </w:t>
      </w:r>
      <w:r>
        <w:rPr>
          <w:rStyle w:val="FootnoteAnchor"/>
          <w:rtl w:val="true"/>
        </w:rPr>
        <w:footnoteReference w:id="1271"/>
      </w:r>
      <w:r>
        <w:rPr>
          <w:rFonts w:ascii="Amiri" w:hAnsi="Amiri" w:eastAsia="Amiri" w:cs="Amiri"/>
          <w:color w:val="111111"/>
          <w:sz w:val="28"/>
          <w:sz w:val="28"/>
          <w:szCs w:val="28"/>
          <w:rtl w:val="true"/>
          <w:lang w:bidi="ar-SA"/>
        </w:rPr>
        <w:t xml:space="preserve">، ولا بدّ لنا من توضيح الحال ، وتحقيق المقال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المستفادة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Style w:val="FootnoteAnchor"/>
          <w:rtl w:val="true"/>
        </w:rPr>
        <w:footnoteReference w:id="1272"/>
      </w:r>
      <w:r>
        <w:rPr>
          <w:rFonts w:ascii="Amiri" w:hAnsi="Amiri" w:eastAsia="Amiri" w:cs="Amiri"/>
          <w:color w:val="111111"/>
          <w:sz w:val="28"/>
          <w:sz w:val="28"/>
          <w:szCs w:val="28"/>
          <w:rtl w:val="true"/>
          <w:lang w:bidi="ar-SA"/>
        </w:rPr>
        <w:t>ظرفية اشتمال على حذو اشتمال الكلّ للأجزاء ، فينطبق على الشبهة الموضوعية المحصورة وغير المحصورة ، وعلى الشبهة الحكمية فيما لو انضمّ العنوان المشتبه إلى عنوان معلوم الحلّ والحرمة ، فإنّ الإناءات المشتبهات شيء فيه حلال وحرام وهو لك حلال حتّى تعرف الحرام منه بعينه ، والعناوين المنضمّ بعضها إلى الآخر شيء فيه حلال وحرام وهو لك حلال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الظرفية ظرفية إحاطة وسريان على نحو ظرفية الكلّي للجزئيات فينطبق على الشبهة الحكمية فإنّ الغناء والغيبة له </w:t>
      </w:r>
      <w:r>
        <w:rPr>
          <w:rStyle w:val="FootnoteAnchor"/>
          <w:rtl w:val="true"/>
        </w:rPr>
        <w:footnoteReference w:id="1273"/>
      </w:r>
      <w:r>
        <w:rPr>
          <w:rFonts w:ascii="Amiri" w:hAnsi="Amiri" w:eastAsia="Amiri" w:cs="Amiri"/>
          <w:color w:val="111111"/>
          <w:sz w:val="28"/>
          <w:sz w:val="28"/>
          <w:szCs w:val="28"/>
          <w:rtl w:val="true"/>
          <w:lang w:bidi="ar-SA"/>
        </w:rPr>
        <w:t>أفراد محلّلة وأفراد محرّمة وهو شيء فلك حلال حتّى تعرف الحرام منه بعينه ، وعلى الشبهة الموضوعية كاللحم فإنّ المذكّى منه حلال والميتة حرام ، فهو لك حلال عند الجهل والاشتباه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الظرفية توسّعية معنوية على وجه يتطرّق المظروف في الظرف يعني له أن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 ويمكن اتّصافه بالحلّ والحرمة فيعمّ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الشبهة الحكمية ، فلأنّ شرب التتن ممّا يمكن اتّصافه بالحلّ والحرمة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الشبهة الموضوعية كاللحم المشترى من السوق فإنّه يمكن أن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كما في اللحم المذكّى ، ويمكن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كما في اللحم الغير المذكّى والميتة ، فشرب التتن كاللحم المشترى من السوق شيء فيه حلال وحرام وهو لك حلال حتّى تعرف الحرام منه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قد عرفت ما ذكرنا ، فاعلم أنّ السيّد المذكور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ثمّ إنّ بعضا من هذا البعض من الأفعال إن لم يرد لحكمه نصّ لا بلفظ خاصّ ولا عامّ ، علم كونه فردا له يصدق عليه أنّه من جملة الأشياء التي تنقسم إلى الحلال والحرام سواء كان متعلّقه مندرجا تحت جنس له نوعان أو نوع له صنفان ، وعلم من النصّ حلّية أحد النوعين أو الصنفين وحرمة الآخر أم لا ، فالأوّل كأكل اللحم المشترى من سوق المسلمين مثلا ، والثاني كاستعمال الحشيشة التي اشتهرت في هذه الأزمنة مثلا لأنّ الشارع جعل أكل اللحم المذكّى حلالا ، وجعل أكل الميتة حراما ، وليس لنا نصّ في حكم اللحم الذي اشتريناه وهو يحتمل أن يكون فردا من الصنف المذكّى كما يحتمل أن يكون من الصنف الآخر ، وأمّا الحشيشة فلم نظفر بنصّ يدلّ على الحلّ والحرمة في نوعين أو صنفين يحتمل كونها فردا لواحد منهما حتّى ينقسم استعمالها من جهة متعلّقه إلى الحلال والحرام ولا ريب في أنّه يصدق على كلّ من القسمين أنّه شيء فيه حلال وحرام عندنا بمعنى أنّه يجوز لنا أن نجعله مقسما للحكمين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إمّا حلال ، وإمّا حرام وأنّه من جملة الأفعال التي يكون بعض أنواعها وأصنافها حلالا وبعضها حراما ، واشترك القسمان أيضا في أنّ الحكم الشرعي المتعلّق بهما غير معلوم ، ويفترقان في أنّ الأوّل حكم متعلّقيه معلوم بخلاف الثاني ، فلو سألنا عن هذا اللحم المشترى المردّد بين الميتة والمذكّى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حلال أو حرام؟ لقلنا لا نصّ فيه ولا نعلم حكمه بخصوصه ، ولكنّه إن كان من المذكّى فحلال ، وإن كان ميتة فحرام بالنصّ الوارد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سألنا عن الحشيشة ، لقلنا مثل الأوّل من غير عقد القضيّة الشرعية والعقل لا يرجّح إباحة القسم الأوّل وحرمة الثاني والتوقّف فيه بل لو فرضنا حصر اللحوم مع القطع بأنّ فيها ميتة وأكلنا الجميع لجزمنا بأكل الحرام ، ولو فرضنا استعمال جميع أفراد تلك الحشيشة ما جزمنا بفعل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مضمون هذا الحديث أو قريب منه بألفاظ متقاربة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هو لك حلال حتّى تعلم الحرام فتدعه من قبل نفسك وذلك مثل الثوب يكون عليك قد اشتريته وهو سرقة أو المملوك يكون عندك ولعلّه حرّ قد باع نفسه أو خدع فبيع قهرا أو امرأة تحتك وهي أختك أو رضيعتك والأشياء كلّها على هذا حتّى يستبين لك غير ذلك أو تقوم لك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أحد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من جملة الأفعال التي تتّصف بالحلّ والحرمة وكذا كلّ عين ممّا يتعلّق به فعل المكلّف ويتّصف بالحلّ والحرمة إذا لم تعلم الحكم الخاصّ به من الحلّ والحرمة ، فهو لك حلال ، فخرج ما لا يتّصف بهما جميعا من الأفعال الاضطرارية والأعيان التي لا يتعلّق بها فعل المكلّف وما علم أنّه حلال لا حرام فيه أو حرام لا حلال فيه ، وليس الغرض من ذكر هذا الوصف مجرّد الاحتراز بل هو مع بيان ما فيه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الحاصل أنّ ما اشتبه حكمه وكان محتملا لأن يكون حلالا ولأن يكون حراما ، فهو حلال سواء علم حكم لكلّيّ فوقه أو تحته بحيث لو فرض العلم باندراجه تحته ، أو تحقّقه في ضمنه لعلم حكمه أيضا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فيه الحلال والحرام عندك بمعنى أنّك تقسم إلى هذين وتحكم عليه بأحدهما لا على التعيين ، أو لا تدري المعيّن منهما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تعلم له نوعين أو صنفين نصّ الشارع على أحدهما بالحلّ وعلى الآخر بالحرمة ، واشتبه عليك اندراج هذا الفرد فلا تدري من أيّ النوعين أو الصنفين هو ، فهو لك حلال ، فيكون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ينقسم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بالشيء الجزئي المعيّن وحينئذ يكون المعنى أنّه يحتمل الحلّ والحرمة للاشتباه في كونه فردا للحلال أو الحرام مع العلم بهما لنصّ الشارع عليهما ، وحاصل المعنيين أمر واحد ، والمعنى الثالث أخصّ من الأوّلين ، والثاني مرجعه إلى الأوّل وهو الذي ينفع القائلين بالإباحة ، والثالث هو الذي حمل القائل بوجوب التوقّف والاحتياط ، هذه الأحاديث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سلك في تقريب الاستدلال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بالصحيحة المذكورة المسلك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يكاد يخفى فساده أمّا أوّلا ، فلأنّ حمل الظرفية على هذه الظرفية التي لا يكاد يوجد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غير ضرورة داعية إليه تعسّف بارد ، وتكلّف فاسد ، فصدر الرواية ممّا لا يقبل هذا التأويل ، وأمّا ثانيا ، فقوله </w:t>
      </w:r>
      <w:r>
        <w:rPr>
          <w:rStyle w:val="FootnoteAnchor"/>
          <w:rtl w:val="true"/>
        </w:rPr>
        <w:footnoteReference w:id="1275"/>
      </w:r>
      <w:r>
        <w:rPr>
          <w:rFonts w:ascii="Amiri" w:hAnsi="Amiri" w:eastAsia="Amiri" w:cs="Amiri"/>
          <w:color w:val="111111"/>
          <w:sz w:val="28"/>
          <w:sz w:val="28"/>
          <w:szCs w:val="28"/>
          <w:rtl w:val="true"/>
          <w:lang w:bidi="ar-SA"/>
        </w:rPr>
        <w:t xml:space="preserve">عليه‌السلام في ذيل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يكون غاية لما قبله بل المناسب حينئذ </w:t>
      </w:r>
      <w:r>
        <w:rPr>
          <w:rStyle w:val="FootnoteAnchor"/>
          <w:rtl w:val="true"/>
        </w:rPr>
        <w:footnoteReference w:id="1276"/>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أنّه حرام ، فإنّ ورود النهي بالنسبة إلى شيء خاصّ لا يؤثّر في تحريم غيره ، ومعرفة الحرام بعينه لا يجدي في حلّية مشتبه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مقتضى كون الحكم مغيّا بغاية هو تبيّن حكمه بعد وصول الغاية لا ظهور حكم فرد منه ، فالحكم في حلّية شرب التتن مغيّا إلى معلومية حكمه بنفسه لا إلى معرفة الفرد المحرّم منه بعينه ، وذلك ظاهر في الغاية ، فلا وجه لحمل الرواية على هذا المعنى الآبي منه صدرها وذيلها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الأوّل ، فلا يذهب وهم إلى جواز حمل الرواية عليه فإنّ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فيها هو كون الشيء واحدا وحدة حقيقية لا وحدة اعتبارية كما في الشبهة المحصورة ولا جعلية كما في انضمام العنوان المعلوم حكمه إلى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ينطبق الحديث فيما إذا كان للشيء وحدة حقيقية عرفية كما في اللحم المشترى من السوق فإنّ فيه حلالا وحراما ، فاللحم لك حلال حتّى تعرف الفرد المحرّم منه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 فهو وإن كان يناسبه صدر الرواية إذ الظرفية في الكلّي والأفراد ممّا لا غبار عليها إلاّ أنّ ذيل الرواية يأبى عن الحمل عليه فإنّه لا يعقل أن يكون معرفة الفرد المحرّم غاية لحلّية الفرد المشتبه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التمسّك بها في الشبهة الحكمية كما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فيا ليتها كانت على وجه لا ينافي صدرها الحمل على الشبهة الحكمية ، وإلاّ فذيلها ممّا لا غبار عليه عكس الرواية التي نحن بصددها ، والحاصل أنّه </w:t>
      </w:r>
      <w:r>
        <w:rPr>
          <w:rStyle w:val="FootnoteAnchor"/>
          <w:rtl w:val="true"/>
        </w:rPr>
        <w:footnoteReference w:id="1278"/>
      </w:r>
      <w:r>
        <w:rPr>
          <w:rFonts w:ascii="Amiri" w:hAnsi="Amiri" w:eastAsia="Amiri" w:cs="Amiri"/>
          <w:color w:val="111111"/>
          <w:sz w:val="28"/>
          <w:sz w:val="28"/>
          <w:szCs w:val="28"/>
          <w:rtl w:val="true"/>
          <w:lang w:bidi="ar-SA"/>
        </w:rPr>
        <w:t>لا وجه للاستناد إلى الرواية في الشبهة الحكمية والموضوعية معا على الوجوه الثلاثة ، أمّا الوجهان اللذان استظهر السيّد المذكور أحدهما ، واحتمل الآخر بعضهم ، فظاهر ذلك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منها ، فلا يناسب ذيلها ذلك الحمل لمكان الغاية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وتحقيقه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الحرام المجهول قد يكون الجهل فيه باعتبار الوصف وهي الحرمة كما في الشبهة الحكمية ، وقد يكون باعتبار الموصوف بعد العلم بالوصف ، فلا يعلم أنّ الموصوف بذلك الوصف هذا الفرد أو غيره كما في الشبهة الموضوعية ، فالعلم بالوصف يصير غاية لحلّية ما لم نعلم بالوصف فيه من جهة الجهل بالحكم الشرعي ، ولا يصحّ أن يكون العلم بالحكم الشرعي غاية لحلّية ما لم نعلم بالموصوف وفرديته للحرام الشرعي ، والعلم بالموصوف غاية لحلّية الفرد المحرّم في الشبهة الموضوعية ، ولا يمكن أن يصير غاية لحلّية ما لم نعلم فيه الحكم الشرعي ، ووصف الحرمة مثلا في المثالين المذكورين في المقام العلم بحرمة غيبة الفاسق يمكن أن يكون غاية لحلّية المشتبه منها ، ولا يصحّ أن يكون العلم باندراج كلام خاصّ في غيبة الفاسق غاية لحلّية المشتبه ، ويمكن أن يكون العلم باندراج الفرد الخاصّ من اللحم في الميتة غاية لحلّية المشتبه من اللحم في </w:t>
      </w:r>
      <w:r>
        <w:rPr>
          <w:rStyle w:val="FootnoteAnchor"/>
          <w:rtl w:val="true"/>
        </w:rPr>
        <w:footnoteReference w:id="1279"/>
      </w:r>
      <w:r>
        <w:rPr>
          <w:rFonts w:ascii="Amiri" w:hAnsi="Amiri" w:eastAsia="Amiri" w:cs="Amiri"/>
          <w:color w:val="111111"/>
          <w:sz w:val="28"/>
          <w:sz w:val="28"/>
          <w:szCs w:val="28"/>
          <w:rtl w:val="true"/>
          <w:lang w:bidi="ar-SA"/>
        </w:rPr>
        <w:t>الموضوعات ، ولا وجه لكونه غاية لحلّية النوع المشتبه من اللحم في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أنّه ربّما يحصل العلم بالفردية أو الحكم الشرعي في المقامين ولا يترتّب على هذا العلم أحكام بعد الغاية وذلك ظاهر ، فلو حملنا الرواية على الأعمّ من الشبهة الحكمية أو الموضوعية ، فإن </w:t>
      </w:r>
      <w:r>
        <w:rPr>
          <w:rStyle w:val="FootnoteAnchor"/>
          <w:rtl w:val="true"/>
        </w:rPr>
        <w:footnoteReference w:id="1280"/>
      </w:r>
      <w:r>
        <w:rPr>
          <w:rFonts w:ascii="Amiri" w:hAnsi="Amiri" w:eastAsia="Amiri" w:cs="Amiri"/>
          <w:color w:val="111111"/>
          <w:sz w:val="28"/>
          <w:sz w:val="28"/>
          <w:szCs w:val="28"/>
          <w:rtl w:val="true"/>
          <w:lang w:bidi="ar-SA"/>
        </w:rPr>
        <w:t xml:space="preserve">حملنا المعرفة المعتبرة في الغاية على الأعمّ من معرفة الموضوع ومعرفة الحكم ، يلزم أن يكون معرفة الموضوع غاية لحلّية المشتبه الحكمي ومعرفة الحكم غاية لحلّية المشتبه الموضوعي وبطلانه ظاهر ، وإن حملناها على المعنيين استقلالا من غير ملاحظة الجامع بينهما ، يلزم استعمال اللفظ في أكثر من المعنى الواحد لا من حيث إنّ سبب المعرفة في الحكم هو الدليل الشرعي ، وفي الموضوع الأمارات الشرعية كالبيّنة على ما توهّمه </w:t>
      </w:r>
      <w:r>
        <w:rPr>
          <w:rStyle w:val="FootnoteAnchor"/>
          <w:rtl w:val="true"/>
        </w:rPr>
        <w:footnoteReference w:id="1281"/>
      </w:r>
      <w:r>
        <w:rPr>
          <w:rFonts w:ascii="Amiri" w:hAnsi="Amiri" w:eastAsia="Amiri" w:cs="Amiri"/>
          <w:color w:val="111111"/>
          <w:sz w:val="28"/>
          <w:sz w:val="28"/>
          <w:szCs w:val="28"/>
          <w:rtl w:val="true"/>
          <w:lang w:bidi="ar-SA"/>
        </w:rPr>
        <w:t xml:space="preserve">بعضهم بل للجهة </w:t>
      </w:r>
      <w:r>
        <w:rPr>
          <w:rStyle w:val="FootnoteAnchor"/>
          <w:rtl w:val="true"/>
        </w:rPr>
        <w:footnoteReference w:id="1282"/>
      </w:r>
      <w:r>
        <w:rPr>
          <w:rFonts w:ascii="Amiri" w:hAnsi="Amiri" w:eastAsia="Amiri" w:cs="Amiri"/>
          <w:color w:val="111111"/>
          <w:sz w:val="28"/>
          <w:sz w:val="28"/>
          <w:szCs w:val="28"/>
          <w:rtl w:val="true"/>
          <w:lang w:bidi="ar-SA"/>
        </w:rPr>
        <w:t xml:space="preserve">المذكورة ، وهل ذلك إلاّ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للجمعة والجنابة مريدا في الأوّل الاستحباب ، وفي الثاني الوجوب مع عدم ما يدلّ على التوزيع بينهما ، فظهر أن لا وجه لحمل الرواية على الأعمّ ولو بالنظر إلى الوجه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إمكان الجمع بينهما فليحمل الرواية على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فليحملها على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صدقة </w:t>
      </w:r>
      <w:r>
        <w:rPr>
          <w:rStyle w:val="FootnoteAnchor"/>
          <w:rtl w:val="true"/>
        </w:rPr>
        <w:footnoteReference w:id="1283"/>
      </w:r>
      <w:r>
        <w:rPr>
          <w:rFonts w:ascii="Amiri" w:hAnsi="Amiri" w:eastAsia="Amiri" w:cs="Amiri"/>
          <w:color w:val="111111"/>
          <w:sz w:val="28"/>
          <w:sz w:val="28"/>
          <w:szCs w:val="28"/>
          <w:rtl w:val="true"/>
          <w:lang w:bidi="ar-SA"/>
        </w:rPr>
        <w:t xml:space="preserve">الواردة في بيان الموضوع قطعا لاشتمال صدرها وذيلها على الموضوع كما يرشدك قوله عليه‌السلام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سأخبرك عن الجبن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عن هذا بل لا يوجد بينهما اختلاف إلاّ فيما لا مدخل له في ذلك ، والأخبار يكشف بعضها عن بعض ، فيصير قرينة على إرادة الموضوع منها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الرواية ينافي حملها على الحكمية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فيه حلال </w:t>
      </w:r>
    </w:p>
    <w:p>
      <w:pPr>
        <w:pStyle w:val="BookText"/>
        <w:rPr/>
      </w:pPr>
      <w:r>
        <w:rPr>
          <w:rFonts w:ascii="Amiri" w:hAnsi="Amiri" w:eastAsia="Amiri" w:cs="Amiri"/>
          <w:color w:val="111111"/>
          <w:sz w:val="28"/>
          <w:sz w:val="28"/>
          <w:szCs w:val="28"/>
          <w:rtl w:val="true"/>
          <w:lang w:bidi="ar-SA"/>
        </w:rPr>
        <w:t xml:space="preserve">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إرادة الموضوع يصير بيانا لمورد الشبهة وما به قوامها وإن لم يكن احترازية كما زعمه السيّد المذكور بخلاف ما لو حملناها على الشبهة الحكمية إذ يلغو التقييد عن أصله لأنّ </w:t>
      </w:r>
      <w:r>
        <w:rPr>
          <w:rStyle w:val="FootnoteAnchor"/>
          <w:rtl w:val="true"/>
        </w:rPr>
        <w:footnoteReference w:id="1284"/>
      </w:r>
      <w:r>
        <w:rPr>
          <w:rFonts w:ascii="Amiri" w:hAnsi="Amiri" w:eastAsia="Amiri" w:cs="Amiri"/>
          <w:color w:val="111111"/>
          <w:sz w:val="28"/>
          <w:sz w:val="28"/>
          <w:szCs w:val="28"/>
          <w:rtl w:val="true"/>
          <w:lang w:bidi="ar-SA"/>
        </w:rPr>
        <w:t>قوام الشبهة في الحكمية ليس على أن يكون هناك شيء يكون فيه حلال وحرام فإنّها يتحقّق في غيرها أيضا بل وهو الغالب كما في شرب التتن وأمثاله ، فظهر أنّه لا وجه لحملها على الشبهة الحكمية فقط كما لا وجه لحملها على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يوجّه بتوجيهين على وجه يشمل النوعين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الغاية للعهد بل للجنس سواء كان متعلّق المعرفة هو الوصف ، أو الموصوف إلاّ أنّه كما ترى خلاف ظاهر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المستفادة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قد تكون غاية للحكم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فإنّ غاية الحلّ هو العلم بالحرمة ، وقد تكون غاية لإطلاق الحكم وعمومه ، فيكون بمنزلة الاستثناء من العامّ كما في قولنا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حتّى تعلم الأصولي منهم فإنّه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إلاّ الأصولي منه ، والرواية من هذا القبيل ، فيستفاد منها حلّية كلّ شيء مجهول إلاّ الفرد المعلوم حرمته سواء كان موضوعا </w:t>
      </w:r>
      <w:r>
        <w:rPr>
          <w:rStyle w:val="FootnoteAnchor"/>
          <w:rtl w:val="true"/>
        </w:rPr>
        <w:footnoteReference w:id="1287"/>
      </w:r>
      <w:r>
        <w:rPr>
          <w:rFonts w:ascii="Amiri" w:hAnsi="Amiri" w:eastAsia="Amiri" w:cs="Amiri"/>
          <w:color w:val="111111"/>
          <w:sz w:val="28"/>
          <w:sz w:val="28"/>
          <w:szCs w:val="28"/>
          <w:rtl w:val="true"/>
          <w:lang w:bidi="ar-SA"/>
        </w:rPr>
        <w:t xml:space="preserve">، ولا يلزم أن يكون العلم بحرمة الموضوع مؤثّرا في الحكم كما لا يخفى فإنّ التوزيع هنا يستفاد من المقام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القوم دوابّهم ، بخلاف ما لو فرضنا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لنفس الحلّ لا لإطلاقه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فلا إشكال في شمول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إلاّ أن تعلم الحرام منه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للموضوع والحكم ومعرفة كلّ منهما بحسبه ، فينطبق </w:t>
      </w:r>
      <w:r>
        <w:rPr>
          <w:rStyle w:val="FootnoteAnchor"/>
          <w:rtl w:val="true"/>
        </w:rPr>
        <w:footnoteReference w:id="1289"/>
      </w:r>
      <w:r>
        <w:rPr>
          <w:rFonts w:ascii="Amiri" w:hAnsi="Amiri" w:eastAsia="Amiri" w:cs="Amiri"/>
          <w:color w:val="111111"/>
          <w:sz w:val="28"/>
          <w:sz w:val="28"/>
          <w:szCs w:val="28"/>
          <w:rtl w:val="true"/>
          <w:lang w:bidi="ar-SA"/>
        </w:rPr>
        <w:t xml:space="preserve">على الشبهة الحكمية بأقسامها من المحصورة كما إذا علمنا إجمالا بحرمة عنوان ولا نعلمها بالخصوص ، وغيرها كما في </w:t>
      </w:r>
    </w:p>
    <w:p>
      <w:pPr>
        <w:pStyle w:val="BookText"/>
        <w:rPr/>
      </w:pPr>
      <w:r>
        <w:rPr>
          <w:rFonts w:ascii="Amiri" w:hAnsi="Amiri" w:eastAsia="Amiri" w:cs="Amiri"/>
          <w:color w:val="111111"/>
          <w:sz w:val="28"/>
          <w:sz w:val="28"/>
          <w:szCs w:val="28"/>
          <w:rtl w:val="true"/>
          <w:lang w:bidi="ar-SA"/>
        </w:rPr>
        <w:t xml:space="preserve">الغيبة ممّا اشتمل على عنوان الحلال والحرام ، وما لا يشتمل عليهما كشرب التتن فإنّه بعد ما حكمنا في الشكّ في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كما في المحصورة ، فعند الشكّ في التكليف بطريق أولى ، وعلى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غاية توجيه الكلام في تقريب المرام من الرواية المذكورة ، وإنّما أطلنا الكلام فيها لأنّها مطرح لأنظار العلماء وأفكار الفضلاء ، وإلاّ فنحن في غنى من ذلك بعد ما عرفته من الأدلّة السالفة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على البراءة بوجوه أخر كلّها قاصرة عن إفادتها كالعمومات الدالّة على حصر المحرّمات في أشياء مخصوصة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إلخ وكقوله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ونحو ذلك فإنّ المقصود في المقام إثبات إباحة الأشياء والخلوّ من التكاليف فيها عند الشكّ كما عرفته في عنوان البحث فإنّه المراد بالأصل أيضا ، والأدلّة المذكورة إنّما نظرها إلى الواقع ولا ربط لها بما نحن بصددها أصلا على ما لا يخفى على الملاحظ في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شيء يمكن الاستناد إليه بنوع من التقريب والعناية وهو قوله تعالى في مقام الردّ على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إلخ وجه العناية أنّ في تلقين اللّه نبيّه الكريم في الاحتجاج على اليهود بعدم الوجدان دون عدم الوجود إيماء إلى </w:t>
      </w:r>
      <w:r>
        <w:rPr>
          <w:rStyle w:val="FootnoteAnchor"/>
          <w:rtl w:val="true"/>
        </w:rPr>
        <w:footnoteReference w:id="1294"/>
      </w:r>
      <w:r>
        <w:rPr>
          <w:rFonts w:ascii="Amiri" w:hAnsi="Amiri" w:eastAsia="Amiri" w:cs="Amiri"/>
          <w:color w:val="111111"/>
          <w:sz w:val="28"/>
          <w:sz w:val="28"/>
          <w:szCs w:val="28"/>
          <w:rtl w:val="true"/>
          <w:lang w:bidi="ar-SA"/>
        </w:rPr>
        <w:t>أنّ عدم الوجدان يصير دليلا على عدم الوجود كما هو المقصود وإن كان عدم وجدان النبيّ صلى‌اللّه‌عليه‌وآله لا يتخلّف عن عدم الوجود في الواقع إلاّ أنّ التعبير به ممّا يمكن استفادة ذلك منه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النبيّ صلى‌اللّه‌عليه‌وآله حيث إنّه اللوح المحفوظ فعدم وجدانه شيئا وإن كان هو عين عدم وجود ذلك الشيء إلاّ أنّه مع ذلك فلا يخلو من الإشعار بأنّ </w:t>
      </w:r>
    </w:p>
    <w:p>
      <w:pPr>
        <w:pStyle w:val="BookText"/>
        <w:rPr/>
      </w:pPr>
      <w:r>
        <w:rPr>
          <w:rFonts w:ascii="Amiri" w:hAnsi="Amiri" w:eastAsia="Amiri" w:cs="Amiri"/>
          <w:color w:val="111111"/>
          <w:sz w:val="28"/>
          <w:sz w:val="28"/>
          <w:szCs w:val="28"/>
          <w:rtl w:val="true"/>
          <w:lang w:bidi="ar-SA"/>
        </w:rPr>
        <w:t>عدم الوجدان دليل عدم الوجود كما لا يخفى إلاّ أنّه بعد ذلك لا يصحّ التعويل عليها في إثبات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فلأنّ ما ذكر </w:t>
      </w:r>
      <w:r>
        <w:rPr>
          <w:rStyle w:val="FootnoteAnchor"/>
          <w:rtl w:val="true"/>
        </w:rPr>
        <w:footnoteReference w:id="1295"/>
      </w:r>
      <w:r>
        <w:rPr>
          <w:rFonts w:ascii="Amiri" w:hAnsi="Amiri" w:eastAsia="Amiri" w:cs="Amiri"/>
          <w:color w:val="111111"/>
          <w:sz w:val="28"/>
          <w:sz w:val="28"/>
          <w:szCs w:val="28"/>
          <w:rtl w:val="true"/>
          <w:lang w:bidi="ar-SA"/>
        </w:rPr>
        <w:t>إنّما يصلح نكتة للعدول إلى العبارة المذكورة ولا يزيد على إشعار كما اعترف به أيضا ، فلا يصحّ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 فلأنّ الآية المذكورة إنّما نزلت في مقام الردّ على اليهود حيث حرّموا على أنفسهم من عندهم أشياء كثيرة كما يفصح عنه صدر الآية بدعة منهم </w:t>
      </w:r>
      <w:r>
        <w:rPr>
          <w:rStyle w:val="FootnoteAnchor"/>
          <w:rtl w:val="true"/>
        </w:rPr>
        <w:footnoteReference w:id="1296"/>
      </w:r>
      <w:r>
        <w:rPr>
          <w:rFonts w:ascii="Amiri" w:hAnsi="Amiri" w:eastAsia="Amiri" w:cs="Amiri"/>
          <w:color w:val="111111"/>
          <w:sz w:val="28"/>
          <w:sz w:val="28"/>
          <w:szCs w:val="28"/>
          <w:rtl w:val="true"/>
          <w:lang w:bidi="ar-SA"/>
        </w:rPr>
        <w:t xml:space="preserve">وتشريعا في دين اللّه من غير استنادهم في ذلك إلى ما يدلّهم عليه ، ولا شكّ أنّ عدم وجدان الدليل على التحريم يكفي في الحكم بحرمة تحريم شيء ، ولا خصوصية في ذلك لوجدان النبيّ صلى‌اللّه‌عليه‌وآله فلا مدخل </w:t>
      </w:r>
      <w:r>
        <w:rPr>
          <w:rStyle w:val="FootnoteAnchor"/>
          <w:rtl w:val="true"/>
        </w:rPr>
        <w:footnoteReference w:id="1297"/>
      </w:r>
      <w:r>
        <w:rPr>
          <w:rFonts w:ascii="Amiri" w:hAnsi="Amiri" w:eastAsia="Amiri" w:cs="Amiri"/>
          <w:color w:val="111111"/>
          <w:sz w:val="28"/>
          <w:sz w:val="28"/>
          <w:szCs w:val="28"/>
          <w:rtl w:val="true"/>
          <w:lang w:bidi="ar-SA"/>
        </w:rPr>
        <w:t xml:space="preserve">لها في إثبات البراءة إذ القائل بالاحتياط لا يقول بحرمة الأشياء المشتبهة من غير دليل يدلّهم عليه في الواقع ، فلا يترك الفعل على أنّه من </w:t>
      </w:r>
      <w:r>
        <w:rPr>
          <w:rStyle w:val="FootnoteAnchor"/>
          <w:rtl w:val="true"/>
        </w:rPr>
        <w:footnoteReference w:id="1298"/>
      </w:r>
      <w:r>
        <w:rPr>
          <w:rFonts w:ascii="Amiri" w:hAnsi="Amiri" w:eastAsia="Amiri" w:cs="Amiri"/>
          <w:color w:val="111111"/>
          <w:sz w:val="28"/>
          <w:sz w:val="28"/>
          <w:szCs w:val="28"/>
          <w:rtl w:val="true"/>
          <w:lang w:bidi="ar-SA"/>
        </w:rPr>
        <w:t>الدين بل على احتمال أنّ الترك من الدين ولا بدعة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يمكن أن يحتجّ به الأخباري وجوه </w:t>
      </w:r>
      <w:r>
        <w:rPr>
          <w:rStyle w:val="FootnoteAnchor"/>
          <w:rtl w:val="true"/>
        </w:rPr>
        <w:footnoteReference w:id="1299"/>
      </w:r>
      <w:r>
        <w:rPr>
          <w:rFonts w:ascii="Amiri" w:hAnsi="Amiri" w:eastAsia="Amiri" w:cs="Amiri"/>
          <w:color w:val="111111"/>
          <w:sz w:val="28"/>
          <w:sz w:val="28"/>
          <w:szCs w:val="28"/>
          <w:rtl w:val="true"/>
          <w:lang w:bidi="ar-SA"/>
        </w:rPr>
        <w:t>كتابا وسنّة وعقلا أمّا الإجماع ، فلم ينعقد على الاحتياط ولم ينقله أحد ولا ادّعاه أحد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00"/>
      </w:r>
      <w:r>
        <w:rPr>
          <w:rFonts w:ascii="Amiri" w:hAnsi="Amiri" w:eastAsia="Amiri" w:cs="Amiri"/>
          <w:color w:val="111111"/>
          <w:sz w:val="28"/>
          <w:sz w:val="28"/>
          <w:szCs w:val="28"/>
          <w:rtl w:val="true"/>
          <w:lang w:bidi="ar-SA"/>
        </w:rPr>
        <w:t xml:space="preserve">الآمرة بالتقوى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تُرْجَعُونَ فِيهِ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ونحوهما ممّا لا يعدّ ولا يحصى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أنّ الاحتياط فيما يحتمل التحريم بالترك إنّما يعدّ تقى من اللّه ويجب الاتّقاء والاحتراز عن مناهيه والامتثال بأوامره ، فيجب الاحتياط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الآمرة بالوقوف عند عدم العلم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ونحوه والتقريب ظاهر ، والناهية عن العمل بما وراء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فصنفان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حتّى تذهب الحمرة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وقوله لكميل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شئت </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التوقّف وهي كثيرة جدّا يقرب من خمسين على ما جمعها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عليه‌السلام في موثّقة حمزة بن طيّار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يسعكم فيما ينزل بكم ممّا لا تعلمون إلاّ الكفّ عنه والتثبّت والردّ إلى أئمّة الهدى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الكاظم عليه‌السلام 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والقياس إنّما هلك من هلك من قبلكم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ما تعلمون فقولوا به وإذا جاءكم ما لا تعلمون 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فيه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خلقه؟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يقولوا ما يعلمون ويكفّوا عمّا لا يعلمون </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مقبولة عمر بن حنظلة في الأخبار المتعارضة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لا يفضل واحد منهما على صاحبه؟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وإنّما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مشكل يردّ علمه إلى اللّه وإلى رسوله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 وحرام بيّن ، وشبهات بين ذلك ، فمن ترك الشبهات ، نجى من المحرّمات ، ومن أخذ بالشبهات ، ارتكب المحرّمات وهلك من حيث 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وافق حكّامهم الخبرين جميعا؟ قال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فأرجه حتّى تلقى إمامك فإنّ الوقوف عند الشبهات خير من الاقتحام في الهلكات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والأخبار في هذا المعنى فوق حدّ الاستفاضة بل لا يبعد دعوى تواترها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في الكلّ على وجه الاشتراك أنّ ما لا نصّ فيه ولو من جهة الإجمال ممّا لا نعلم حكمه ، فهو من الشبهات ولا بدّ فيما لا نعلمه من الوقوف والكفّ وعدم الارتكاب أداء لحقّ اللّه تعالى وتخلّصا عن المهالك لأخبار المعصومين عن الوقوع فيها على تقدير عدم الاجتناب والارتكاب ، على أنّ العلم العادي يحصل بالوقوع في المحرّمات فيما لو ارتكب الشبهات وإن فرضنا عدم إخبار المعصوم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فيمكن أن يقرّر بوجهين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مرارا من أنّ في ارتكاب تلك الموارد المشتبهة احتمال ضرر ، ويجب دفع الضرر ولو احتمالا ، فيجب الاجتناب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الموارد المشتبهة من موارد الشكّ في المكلّف به ، ويجب الاحتياط بحكم العقل الصريح فيما إذا كان الشكّ في المكلّف به فيجب الاحتياط في الموارد الشبهة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الكبرى ، فبعد صراحة حكم العقل فيها وفاقية مسلّمة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 فبيانها يتوقّف على تمهيد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من ورد في الإسلام ابتداء يعلم بوجود تكاليف واجبة ومحرّمة بين الوقائع المشتبهة على وجه لا يجوز من نفسه إهمال تلك الموارد بأجمعها ، فلا بدّ له من الاحتياط فيها اتّفاقا من الأخبارية والأصولية ، فلو حصل له العلم بموارد جمّة بحيث يقرب من المحرّمات والواجبات المعلومة إجمالا ، فلا شكّ </w:t>
      </w:r>
      <w:r>
        <w:rPr>
          <w:rStyle w:val="FootnoteAnchor"/>
          <w:rtl w:val="true"/>
        </w:rPr>
        <w:footnoteReference w:id="1313"/>
      </w:r>
      <w:r>
        <w:rPr>
          <w:rFonts w:ascii="Amiri" w:hAnsi="Amiri" w:eastAsia="Amiri" w:cs="Amiri"/>
          <w:color w:val="111111"/>
          <w:sz w:val="28"/>
          <w:sz w:val="28"/>
          <w:szCs w:val="28"/>
          <w:rtl w:val="true"/>
          <w:lang w:bidi="ar-SA"/>
        </w:rPr>
        <w:t xml:space="preserve">في انقلاب الشبهة تكليفية صرفة ولا كلام فيها ، وإلاّ فإن قام مقام العلم دليل شرعي على وجه يكون طريقا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جعله مسقطا عن الواقع لا من حيث التسهيل ورفع العسر كما في بعض من الأدلّة الشرعية في بعض من تلك الموارد المشتبهة على وجه يحصل العلم بامتثال التكاليف المعلومة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w:t>
      </w:r>
      <w:r>
        <w:rPr>
          <w:rStyle w:val="FootnoteAnchor"/>
          <w:rtl w:val="true"/>
        </w:rPr>
        <w:footnoteReference w:id="1314"/>
      </w:r>
      <w:r>
        <w:rPr>
          <w:rFonts w:ascii="Amiri" w:hAnsi="Amiri" w:eastAsia="Amiri" w:cs="Amiri"/>
          <w:color w:val="111111"/>
          <w:sz w:val="28"/>
          <w:sz w:val="28"/>
          <w:szCs w:val="28"/>
          <w:rtl w:val="true"/>
          <w:lang w:bidi="ar-SA"/>
        </w:rPr>
        <w:t xml:space="preserve">أيضا ؛ لأنّ الوقائع المعلومة أو المدلول عليها لذلك الطريق معلوم تفصيلا ، والموارد الباقية تبقى </w:t>
      </w:r>
      <w:r>
        <w:rPr>
          <w:rStyle w:val="FootnoteAnchor"/>
          <w:rtl w:val="true"/>
        </w:rPr>
        <w:footnoteReference w:id="1315"/>
      </w:r>
      <w:r>
        <w:rPr>
          <w:rFonts w:ascii="Amiri" w:hAnsi="Amiri" w:eastAsia="Amiri" w:cs="Amiri"/>
          <w:color w:val="111111"/>
          <w:sz w:val="28"/>
          <w:sz w:val="28"/>
          <w:szCs w:val="28"/>
          <w:rtl w:val="true"/>
          <w:lang w:bidi="ar-SA"/>
        </w:rPr>
        <w:t xml:space="preserve">مشكوكة صرفة ، فلا بدّ من إجراء البراءة ، ولو لم يكن هناك دليل علمي بقسميه ، فالظنون المعمولة في مداليل الألفاظ وغيرها من الظنون المتعلّقة بسند الأخبار ودلالتها وغيرها في جميع الموارد المرخّص فيها العمل بالظنّ لا دليل على كونها حجّة شرعية على وجه يسقط عن الواقع في الموارد المشكوكة أو الموهومة بل غاية الأمر جواز العمل بها تسهيلا للأمر ، فيبقى </w:t>
      </w:r>
      <w:r>
        <w:rPr>
          <w:rStyle w:val="FootnoteAnchor"/>
          <w:rtl w:val="true"/>
        </w:rPr>
        <w:footnoteReference w:id="1316"/>
      </w:r>
      <w:r>
        <w:rPr>
          <w:rFonts w:ascii="Amiri" w:hAnsi="Amiri" w:eastAsia="Amiri" w:cs="Amiri"/>
          <w:color w:val="111111"/>
          <w:sz w:val="28"/>
          <w:sz w:val="28"/>
          <w:szCs w:val="28"/>
          <w:rtl w:val="true"/>
          <w:lang w:bidi="ar-SA"/>
        </w:rPr>
        <w:t>التكليف في الموارد المشتبهة في المشكوكات والموهومات باقيا وهو المطلوب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إنّ جواز العمل بالظنون المعمولة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p>
    <w:p>
      <w:pPr>
        <w:pStyle w:val="BookText"/>
        <w:rPr/>
      </w:pPr>
      <w:r>
        <w:rPr>
          <w:rFonts w:ascii="Amiri" w:hAnsi="Amiri" w:eastAsia="Amiri" w:cs="Amiri"/>
          <w:color w:val="111111"/>
          <w:sz w:val="28"/>
          <w:sz w:val="28"/>
          <w:szCs w:val="28"/>
          <w:rtl w:val="true"/>
          <w:lang w:bidi="ar-SA"/>
        </w:rPr>
        <w:t xml:space="preserve">كانت متعلّقة بموضوعاتها اللغوية أو بأنفسها كما عليه الفريقان في </w:t>
      </w:r>
      <w:r>
        <w:rPr>
          <w:rStyle w:val="FootnoteAnchor"/>
          <w:rtl w:val="true"/>
        </w:rPr>
        <w:footnoteReference w:id="1317"/>
      </w:r>
      <w:r>
        <w:rPr>
          <w:rFonts w:ascii="Amiri" w:hAnsi="Amiri" w:eastAsia="Amiri" w:cs="Amiri"/>
          <w:color w:val="111111"/>
          <w:sz w:val="28"/>
          <w:sz w:val="28"/>
          <w:szCs w:val="28"/>
          <w:rtl w:val="true"/>
          <w:lang w:bidi="ar-SA"/>
        </w:rPr>
        <w:t xml:space="preserve">الأولى وعلى الثانية المجتهدون سواء كانوا من القائلين بالظنون الخاصّة أو من القائلين بمطلق الظنّ على اختلاف مشاربهم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من جهة رفع العسر اللازم على تقدير لزوم الاحتياط الكلّي كما بيّنّا في مباحث الظنّ ، ويبقى الوجوب الثابت في أوّل الأمر بعد رفع العذر بارتفاع العسر بحاله فإنّ الضرورة تتقدّر بقدرها ، ولزوم العسر على تقدير الاحتياط في جميع الموارد بعد رفعه لا يفضي بانقلاب الحكم الأوّلي الثابت بالعقل إذ لا مزيل له ، مثلا بعد إسقاط الشارع مراعاة الاحتياط في جميع الجهات الممكنة عند اشتباه القبلة وحكمه بعدم وجوب الصلاة على الدائرة مثلا في كلّ نقطة منها ليس لك أن تتوهّم بسقوط الاحتياط في الجهات الباقية أيضا ، فإنّ المقتضي للحكم بالاحتياط أيضا بحاله كما فيما لم يكن هناك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فالموارد المشكوكة أو الموهومة مثلا من موارد الشكّ في المكلّف نظرا إلى لزوم الاحتياط الكلّي في أوّل الأمر ، وإلى أنّ الظنون المعمول بها في مواردها إنّما تسهيل منه تعالى على العباد وليس بطريق جعلي شرعي ، وبعد ارتفاع العذر بارتفاع العسر لا بدّ من الاحتياط وهو المطلوب ، وهذا أقصى ما يتخيّل في توجيه قاعدة الاشتغال والاحتياط وجريانها في الموارد المشكوكة المشتبهة ، فتبصّر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أمّا عن الأوّل ، فمن </w:t>
      </w:r>
      <w:r>
        <w:rPr>
          <w:rStyle w:val="FootnoteAnchor"/>
          <w:rtl w:val="true"/>
        </w:rPr>
        <w:footnoteReference w:id="1318"/>
      </w:r>
      <w:r>
        <w:rPr>
          <w:rFonts w:ascii="Amiri" w:hAnsi="Amiri" w:eastAsia="Amiri" w:cs="Amiri"/>
          <w:color w:val="111111"/>
          <w:sz w:val="28"/>
          <w:sz w:val="28"/>
          <w:szCs w:val="28"/>
          <w:rtl w:val="true"/>
          <w:lang w:bidi="ar-SA"/>
        </w:rPr>
        <w:t xml:space="preserve">آيات التقوى فبأنّ الأمر بالاتّقاء من اللّه لا يعقل أن يكون أمرا تشريعيا فإنّه كالإطاعة والعصيان بل الأمر فيه إرشادي لا يترتّب عليه إلاّ خواصّ الاتّقاء ، ولو سلّم ، فالأمر دائر بين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الأمر فيه على الوجوب ، أو على الاستحباب ، أو على مطلق الرجحان ، والأوّلان باطلان ، فتعيّن الثالث</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فلأنّه وإن كان الأمر فيه حقيقة أو ظاهرا إلاّ أنّ الحمل عليه يوجب </w:t>
      </w:r>
    </w:p>
    <w:p>
      <w:pPr>
        <w:pStyle w:val="BookText"/>
        <w:rPr/>
      </w:pPr>
      <w:r>
        <w:rPr>
          <w:rFonts w:ascii="Amiri" w:hAnsi="Amiri" w:eastAsia="Amiri" w:cs="Amiri"/>
          <w:color w:val="111111"/>
          <w:sz w:val="28"/>
          <w:sz w:val="28"/>
          <w:szCs w:val="28"/>
          <w:rtl w:val="true"/>
          <w:lang w:bidi="ar-SA"/>
        </w:rPr>
        <w:t xml:space="preserve">تخصيصا كثيرا بل وتخصيص الأكثر ؛ فإنّ مراتب التقوى متفاوتة متكاثرة </w:t>
      </w:r>
      <w:r>
        <w:rPr>
          <w:rStyle w:val="FootnoteAnchor"/>
          <w:rtl w:val="true"/>
        </w:rPr>
        <w:footnoteReference w:id="1319"/>
      </w:r>
      <w:r>
        <w:rPr>
          <w:rFonts w:ascii="Amiri" w:hAnsi="Amiri" w:eastAsia="Amiri" w:cs="Amiri"/>
          <w:color w:val="111111"/>
          <w:sz w:val="28"/>
          <w:sz w:val="28"/>
          <w:szCs w:val="28"/>
          <w:rtl w:val="true"/>
          <w:lang w:bidi="ar-SA"/>
        </w:rPr>
        <w:t xml:space="preserve">لا يعلم لها حدّ ولا حصر ، ومن الضروري عدم وجوب جميع مراتبها بل لا يجب إلاّ في الواجبات و </w:t>
      </w:r>
      <w:r>
        <w:rPr>
          <w:rStyle w:val="FootnoteAnchor"/>
          <w:rtl w:val="true"/>
        </w:rPr>
        <w:footnoteReference w:id="1320"/>
      </w:r>
      <w:r>
        <w:rPr>
          <w:rFonts w:ascii="IRNazanin" w:hAnsi="IRNazanin" w:eastAsia="IRNazanin"/>
          <w:color w:val="111111"/>
          <w:sz w:val="28"/>
          <w:sz w:val="28"/>
          <w:szCs w:val="28"/>
          <w:rtl w:val="true"/>
          <w:lang w:bidi="fa-IR"/>
        </w:rPr>
        <w:t xml:space="preserve">المحرّمات ، فلو </w:t>
      </w:r>
      <w:r>
        <w:rPr>
          <w:rStyle w:val="FootnoteAnchor"/>
          <w:rtl w:val="true"/>
        </w:rPr>
        <w:footnoteReference w:id="1321"/>
      </w:r>
      <w:r>
        <w:rPr>
          <w:rFonts w:ascii="IRNazanin" w:hAnsi="IRNazanin" w:eastAsia="IRNazanin"/>
          <w:color w:val="111111"/>
          <w:sz w:val="28"/>
          <w:sz w:val="28"/>
          <w:szCs w:val="28"/>
          <w:rtl w:val="true"/>
          <w:lang w:bidi="fa-IR"/>
        </w:rPr>
        <w:t xml:space="preserve">حمل على الوجوب فلا مناص </w:t>
      </w:r>
      <w:r>
        <w:rPr>
          <w:rStyle w:val="FootnoteAnchor"/>
          <w:rtl w:val="true"/>
        </w:rPr>
        <w:footnoteReference w:id="1322"/>
      </w:r>
      <w:r>
        <w:rPr>
          <w:rFonts w:ascii="Amiri" w:hAnsi="Amiri" w:eastAsia="Amiri" w:cs="Amiri"/>
          <w:color w:val="111111"/>
          <w:sz w:val="28"/>
          <w:sz w:val="28"/>
          <w:szCs w:val="28"/>
          <w:rtl w:val="true"/>
          <w:lang w:bidi="ar-SA"/>
        </w:rPr>
        <w:t xml:space="preserve">من ارتكاب تلك التخصيصات المتكاثرة ، وهي مع كونها بنفسها شنيعة لا تتحمّل في كلمات من له أدنى مسكة ففي المقام ما يأبى عنها رأسا فإنّ سوق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 للمتدبّر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التخصيص فإنّه يعدّ من الهزل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إلاّ في مورد كذا وكذا ،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الاستحباب وإن كان أقرب للوجوب من استعمال الأمر في القدر المشترك لكثرة موارده إلاّ أنّه لا بدّ من تخصيص موارد وجوب التقوى ، فهو يستلزم مجازا وتخصيصا بخلاف ما لو حملنا على مطلق الراجح فإنّه مجاز واحد فقط من غير تخصيص ، والنظر في سياقها أيضا يعطي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آيات الوقوف عند عدم العلم وحرمة العمل بما وراء العلم ، فبالالتزام بمفادها ومنع مزاحمتها لما نحن بصدده ، فإنّ القول بالبراءة ليس عملا بغير العلم في مقام الاشتباه لقطع العقل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الأدلّة المذكورة فالحكم في مرحلة الظاهر معلوم لنا وإن أريد عدم العلم بنفس الحكم الواقعي ، فلا شكّ في أنّ المجتهدين فيه أيضا متوقّفون لعدم </w:t>
      </w:r>
      <w:r>
        <w:rPr>
          <w:rStyle w:val="FootnoteAnchor"/>
          <w:rtl w:val="true"/>
        </w:rPr>
        <w:footnoteReference w:id="1323"/>
      </w:r>
      <w:r>
        <w:rPr>
          <w:rFonts w:ascii="Amiri" w:hAnsi="Amiri" w:eastAsia="Amiri" w:cs="Amiri"/>
          <w:color w:val="111111"/>
          <w:sz w:val="28"/>
          <w:sz w:val="28"/>
          <w:szCs w:val="28"/>
          <w:rtl w:val="true"/>
          <w:lang w:bidi="ar-SA"/>
        </w:rPr>
        <w:t xml:space="preserve">العلم به ، وظنّي أنّ الاحتجاج بهذه الآيات في قبال الأصولي إنّما هو غفلة منهم </w:t>
      </w:r>
      <w:r>
        <w:rPr>
          <w:rStyle w:val="FootnoteAnchor"/>
          <w:rtl w:val="true"/>
        </w:rPr>
        <w:footnoteReference w:id="1324"/>
      </w:r>
      <w:r>
        <w:rPr>
          <w:rFonts w:ascii="Amiri" w:hAnsi="Amiri" w:eastAsia="Amiri" w:cs="Amiri"/>
          <w:color w:val="111111"/>
          <w:sz w:val="28"/>
          <w:sz w:val="28"/>
          <w:szCs w:val="28"/>
          <w:rtl w:val="true"/>
          <w:lang w:bidi="ar-SA"/>
        </w:rPr>
        <w:t>عن مرادهم ولذلك ترى المحقّقين منهم كصاحب الحدائق إنّما عدل منها إلى الآيات السابقة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الثاني ، فأمّا عن أخبار الاحتياط ، فقد أجاب المحقّق في المعارج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عن بعضها بأنّ إلزام المكلّف بالأثقل أيضا مظنّة ريبة بعد منعه من التمسّك بالأخبار الآحاد في المسألة الأصولية إلاّ أنّ ما أفاده يقصر عن الجواب حقيقة إذ لا ريبة في الاحتياط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خبرا واحدا فغير مضرّ بعد تسليم كون المسألة أصولية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ينظره بعض الأجلّة </w:t>
      </w:r>
      <w:r>
        <w:rPr>
          <w:rStyle w:val="FootnoteAnchor"/>
          <w:rtl w:val="true"/>
        </w:rPr>
        <w:footnoteReference w:id="1326"/>
      </w:r>
      <w:r>
        <w:rPr>
          <w:rFonts w:ascii="Amiri" w:hAnsi="Amiri" w:eastAsia="Amiri" w:cs="Amiri"/>
          <w:color w:val="111111"/>
          <w:sz w:val="28"/>
          <w:sz w:val="28"/>
          <w:szCs w:val="28"/>
          <w:rtl w:val="true"/>
          <w:lang w:bidi="ar-SA"/>
        </w:rPr>
        <w:t>في كلام المحقّق من أنّ مفاد الرواية ترك ما فيه ريبة إلى ما ليس فيه ريب لا مطلقا ، فمقلوب عليه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الجواب عنها </w:t>
      </w:r>
      <w:r>
        <w:rPr>
          <w:rStyle w:val="FootnoteAnchor"/>
          <w:rtl w:val="true"/>
        </w:rPr>
        <w:footnoteReference w:id="1327"/>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تسليم السند في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نقف عليها في الكتب الأربعة </w:t>
      </w:r>
      <w:r>
        <w:rPr>
          <w:rStyle w:val="FootnoteAnchor"/>
          <w:rtl w:val="true"/>
        </w:rPr>
        <w:footnoteReference w:id="1328"/>
      </w:r>
      <w:r>
        <w:rPr>
          <w:rFonts w:ascii="Amiri" w:hAnsi="Amiri" w:eastAsia="Amiri" w:cs="Amiri"/>
          <w:color w:val="111111"/>
          <w:sz w:val="28"/>
          <w:sz w:val="28"/>
          <w:szCs w:val="28"/>
          <w:rtl w:val="true"/>
          <w:lang w:bidi="ar-SA"/>
        </w:rPr>
        <w:t xml:space="preserve">وروى الشهيد بعضا منها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وأورده أيضا في الوسائل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التفسير الصغير للطبرسي وكنز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تنتظر حتى تذهب الحمرة وتأخذ بالحائطة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سبقت ورواها الطوسي في التهذيب وهذه هي التي رواها الشهيد في الذكرى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الحجري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الأنصاري في الفرائد والشيخ الحرّ في الوسائل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ولفظه عندهما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تنظر الحزم وتأخذ بالحائطة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بناكب عن الصراط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الآتية بعد سطور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إسناد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وجوب الاحتياط للزوم التخصيص الأكثر الآبي عن مطلقه سوق الروايات لو حمل على الوجوب ، ولزوم المجاز أيضا لو حمل على الاستحباب ، فتعيّن</w:t>
      </w:r>
    </w:p>
    <w:p>
      <w:pPr>
        <w:pStyle w:val="BookText"/>
        <w:rPr/>
      </w:pPr>
      <w:r>
        <w:rPr>
          <w:rFonts w:ascii="Amiri" w:hAnsi="Amiri" w:eastAsia="Amiri" w:cs="Amiri"/>
          <w:color w:val="111111"/>
          <w:sz w:val="28"/>
          <w:sz w:val="28"/>
          <w:szCs w:val="28"/>
          <w:rtl w:val="true"/>
          <w:lang w:bidi="ar-SA"/>
        </w:rPr>
        <w:t xml:space="preserve">الحمل على مطلق الرجحان كما يشاهد من سياقه أيضا ، ويشعرك </w:t>
      </w:r>
      <w:r>
        <w:rPr>
          <w:rStyle w:val="FootnoteAnchor"/>
          <w:rtl w:val="true"/>
        </w:rPr>
        <w:footnoteReference w:id="1330"/>
      </w:r>
      <w:r>
        <w:rPr>
          <w:rFonts w:ascii="Amiri" w:hAnsi="Amiri" w:eastAsia="Amiri" w:cs="Amiri"/>
          <w:color w:val="111111"/>
          <w:sz w:val="28"/>
          <w:sz w:val="28"/>
          <w:szCs w:val="28"/>
          <w:rtl w:val="true"/>
          <w:lang w:bidi="ar-SA"/>
        </w:rPr>
        <w:t xml:space="preserve">به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بناكب عن </w:t>
      </w:r>
      <w:r>
        <w:rPr>
          <w:rStyle w:val="FootnoteAnchor"/>
          <w:rtl w:val="true"/>
        </w:rPr>
        <w:footnoteReference w:id="1331"/>
      </w:r>
      <w:r>
        <w:rPr>
          <w:rFonts w:ascii="Amiri" w:hAnsi="Amiri" w:eastAsia="Amiri" w:cs="Amiri"/>
          <w:color w:val="111111"/>
          <w:sz w:val="28"/>
          <w:sz w:val="28"/>
          <w:szCs w:val="28"/>
          <w:rtl w:val="true"/>
          <w:lang w:bidi="ar-SA"/>
        </w:rPr>
        <w:t xml:space="preserve">الصراط من سلك سبيل الاحتياط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أمر معلوم بديهي لا مجال للكلام فيه ، ولو سلّم دلالتها بعد سلامة سندها ، فهي معارضة ببعض أدلّة البراءة فيتعارضان ، ولا مجال للتخيير بينهما فتساقطان ، ولا بدّ من الرجوع إلى دليل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البراءة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والإجماع المحصّل الحاكمين بعدم التكليف عند عدم البيان ، ولا خفاء في </w:t>
      </w:r>
      <w:r>
        <w:rPr>
          <w:rStyle w:val="FootnoteAnchor"/>
          <w:rtl w:val="true"/>
        </w:rPr>
        <w:footnoteReference w:id="1333"/>
      </w:r>
      <w:r>
        <w:rPr>
          <w:rFonts w:ascii="Amiri" w:hAnsi="Amiri" w:eastAsia="Amiri" w:cs="Amiri"/>
          <w:color w:val="111111"/>
          <w:sz w:val="28"/>
          <w:sz w:val="28"/>
          <w:szCs w:val="28"/>
          <w:rtl w:val="true"/>
          <w:lang w:bidi="ar-SA"/>
        </w:rPr>
        <w:t xml:space="preserve">أنّه لا قبح فيه على تقدير البيان ولو بالاحتياط ، فتلك الأخبار ترتفع موضوع </w:t>
      </w:r>
      <w:r>
        <w:rPr>
          <w:rStyle w:val="FootnoteAnchor"/>
          <w:rtl w:val="true"/>
        </w:rPr>
        <w:footnoteReference w:id="1334"/>
      </w:r>
      <w:r>
        <w:rPr>
          <w:rFonts w:ascii="Amiri" w:hAnsi="Amiri" w:eastAsia="Amiri" w:cs="Amiri"/>
          <w:color w:val="111111"/>
          <w:sz w:val="28"/>
          <w:sz w:val="28"/>
          <w:szCs w:val="28"/>
          <w:rtl w:val="true"/>
          <w:lang w:bidi="ar-SA"/>
        </w:rPr>
        <w:t>حكم العقل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المطابقة لحكم العقل والمساوقة لمعقد </w:t>
      </w:r>
      <w:r>
        <w:rPr>
          <w:rStyle w:val="FootnoteAnchor"/>
          <w:rtl w:val="true"/>
        </w:rPr>
        <w:footnoteReference w:id="1335"/>
      </w:r>
      <w:r>
        <w:rPr>
          <w:rFonts w:ascii="Amiri" w:hAnsi="Amiri" w:eastAsia="Amiri" w:cs="Amiri"/>
          <w:color w:val="111111"/>
          <w:sz w:val="28"/>
          <w:sz w:val="28"/>
          <w:szCs w:val="28"/>
          <w:rtl w:val="true"/>
          <w:lang w:bidi="ar-SA"/>
        </w:rPr>
        <w:t xml:space="preserve">الإجماع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ولا ريب في ورود أخبار الاحتياط عليها لأنّها مفيدة للعلم في مورد الشبهة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أعمّ من ذلك أيضا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امرئ ركب بجهالة أمرا فليس عليه شيء </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هل على من لم يعرف شيئا شيء </w:t>
      </w:r>
      <w:r>
        <w:rPr>
          <w:rStyle w:val="FootnoteAnchor"/>
          <w:rtl w:val="true"/>
        </w:rPr>
        <w:footnoteReference w:id="1338"/>
      </w:r>
      <w:r>
        <w:rPr>
          <w:rFonts w:ascii="Amiri" w:hAnsi="Amiri" w:eastAsia="Amiri" w:cs="Amiri"/>
          <w:color w:val="111111"/>
          <w:sz w:val="28"/>
          <w:sz w:val="28"/>
          <w:szCs w:val="28"/>
          <w:rtl w:val="true"/>
          <w:lang w:bidi="ar-SA"/>
        </w:rPr>
        <w:t xml:space="preserve">؟ فإنّ موضوع </w:t>
      </w:r>
    </w:p>
    <w:p>
      <w:pPr>
        <w:pStyle w:val="BookText"/>
        <w:rPr/>
      </w:pPr>
      <w:r>
        <w:rPr>
          <w:rFonts w:ascii="Amiri" w:hAnsi="Amiri" w:eastAsia="Amiri" w:cs="Amiri"/>
          <w:color w:val="111111"/>
          <w:sz w:val="28"/>
          <w:sz w:val="28"/>
          <w:szCs w:val="28"/>
          <w:rtl w:val="true"/>
          <w:lang w:bidi="ar-SA"/>
        </w:rPr>
        <w:t>مسألة البراءة على ما عرفته في المكلّف الملتفت ، وعدم العلم والجهل أعمّ من الالتفات وعدمه والجهل المركّب ، ولا ريب في ورود أدلّة الاحتياط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بظاهره على إباحة الأشياء عند الشكّ فيها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التوجيه المذكور في وجه التقريب في الاستدلال به والإجماعات المنقولة عن الصدوق والمحقّق والعلاّمة </w:t>
      </w:r>
      <w:r>
        <w:rPr>
          <w:rStyle w:val="FootnoteAnchor"/>
          <w:rtl w:val="true"/>
        </w:rPr>
        <w:footnoteReference w:id="1340"/>
      </w:r>
      <w:r>
        <w:rPr>
          <w:rFonts w:ascii="Amiri" w:hAnsi="Amiri" w:eastAsia="Amiri" w:cs="Amiri"/>
          <w:color w:val="111111"/>
          <w:sz w:val="28"/>
          <w:sz w:val="28"/>
          <w:szCs w:val="28"/>
          <w:rtl w:val="true"/>
          <w:lang w:bidi="ar-SA"/>
        </w:rPr>
        <w:t xml:space="preserve">فإنّها أيضا دالّة على حكم الأشياء المشتبهة بالبراءة ، فتعارض الأخبار الآمرة بالاحتياط عند الشكّ ، ولو لم نقل برجحان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لاعتضادها بمرجّحات كثيرة لقوّة سندها وصراحة دلالتها وموافقتها للكتاب </w:t>
      </w:r>
      <w:r>
        <w:rPr>
          <w:rStyle w:val="FootnoteAnchor"/>
          <w:rtl w:val="true"/>
        </w:rPr>
        <w:footnoteReference w:id="1341"/>
      </w:r>
      <w:r>
        <w:rPr>
          <w:rFonts w:ascii="Amiri" w:hAnsi="Amiri" w:eastAsia="Amiri" w:cs="Amiri"/>
          <w:color w:val="111111"/>
          <w:sz w:val="28"/>
          <w:sz w:val="28"/>
          <w:szCs w:val="28"/>
          <w:rtl w:val="true"/>
          <w:lang w:bidi="ar-SA"/>
        </w:rPr>
        <w:t xml:space="preserve">والاعتبار بملاحظة الشريعة السمحة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التساوي ، ومعه لا بدّ من الحكم بالتساقط ؛ إذ التخيير إنّما هو فيما لم يكن هناك ما يشبه من إجمال الدليل والمقام منه لاحتمال ارتفاع موضوع كلّ منهما بالآخر بخلاف سائر الأخبار المتعارضة ، ومع التساقط لا مناص من الرجوع إلى دليل آخر وهو في المقام يقضي بالبراءة إذ بعد فرض الإجمال لا دليل على البيان ، وفي موضوع </w:t>
      </w:r>
      <w:r>
        <w:rPr>
          <w:rStyle w:val="FootnoteAnchor"/>
          <w:rtl w:val="true"/>
        </w:rPr>
        <w:footnoteReference w:id="1342"/>
      </w:r>
      <w:r>
        <w:rPr>
          <w:rFonts w:ascii="Amiri" w:hAnsi="Amiri" w:eastAsia="Amiri" w:cs="Amiri"/>
          <w:color w:val="111111"/>
          <w:sz w:val="28"/>
          <w:sz w:val="28"/>
          <w:szCs w:val="28"/>
          <w:rtl w:val="true"/>
          <w:lang w:bidi="ar-SA"/>
        </w:rPr>
        <w:t>عدم البيان يستقلّ العقل بالبراءة كما هو مفاد الإجماع أيضا ، على أنّه يمكن القول بأخصّية أدلّة البراءة فيخصّص عموم الاحتياط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أخبار التوقّف ، فيقع الكلام في الجواب عنها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في غير خبر التثليث ، وأخرى فيه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لزوم التوقّف في مقام الشبهة بعد ظهور جملة منها في ردّ العامل بالقياس كما هو ظاهر من مساقها ، ولا ينبغي الاستناد إليها فيما لو حمل على الوجوب لورود التخصيصات المتكاثرة كما عرفت نظيره في أخبار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بعد تسليم الدلالة فيها لا يصحّ دعوى التعارض بينها وبين أخبار البراءة لكونها كثيرة جدّا فتصير أقوى سندا منها إلاّ أنّ دون إثبات </w:t>
      </w:r>
      <w:r>
        <w:rPr>
          <w:rStyle w:val="FootnoteAnchor"/>
          <w:rtl w:val="true"/>
        </w:rPr>
        <w:footnoteReference w:id="1343"/>
      </w:r>
      <w:r>
        <w:rPr>
          <w:rFonts w:ascii="IRNazanin" w:hAnsi="IRNazanin" w:eastAsia="IRNazanin"/>
          <w:color w:val="111111"/>
          <w:sz w:val="28"/>
          <w:sz w:val="28"/>
          <w:szCs w:val="28"/>
          <w:rtl w:val="true"/>
          <w:lang w:bidi="fa-IR"/>
        </w:rPr>
        <w:t>إفادتها الوجوب على ما هو الإنصاف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المقام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بتجديد المقال في تقريب الاستدلال بالحديث المذكور على وجه يندفع به بعض الشكوك الواردة فيه ليتّضح الفرق بين هذه الرواية وغيرها أيضا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ورودها في تلو المرجّحات في الأخبار المتعارضة عند قول الراوي للإمام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عدلان مرضيّان فأمر الإمام </w:t>
      </w:r>
      <w:r>
        <w:rPr>
          <w:rStyle w:val="FootnoteAnchor"/>
          <w:rtl w:val="true"/>
        </w:rPr>
        <w:footnoteReference w:id="1344"/>
      </w:r>
      <w:r>
        <w:rPr>
          <w:rFonts w:ascii="Amiri" w:hAnsi="Amiri" w:eastAsia="Amiri" w:cs="Amiri"/>
          <w:color w:val="111111"/>
          <w:sz w:val="28"/>
          <w:sz w:val="28"/>
          <w:szCs w:val="28"/>
          <w:rtl w:val="true"/>
          <w:lang w:bidi="ar-SA"/>
        </w:rPr>
        <w:t>بأخذ المجمع عليه المشهور الذي لا سترة عليه يعرف روايته كلّ أحد معلّلا في ذلك بعدم الريب فيه وترك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التعليل بعدم أمر وجودي دليل على أنّ وجود ذلك الشيء في محلّه مانع عن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العلّة في ترك الشاذّ ليس إلاّ وجود الريب لا العلم ببطلانه كما زعمه بعض الأجلّة </w:t>
      </w:r>
      <w:r>
        <w:rPr>
          <w:rStyle w:val="FootnoteAnchor"/>
          <w:rtl w:val="true"/>
        </w:rPr>
        <w:footnoteReference w:id="1345"/>
      </w:r>
      <w:r>
        <w:rPr>
          <w:rFonts w:ascii="Amiri" w:hAnsi="Amiri" w:eastAsia="Amiri" w:cs="Amiri"/>
          <w:color w:val="111111"/>
          <w:sz w:val="28"/>
          <w:sz w:val="28"/>
          <w:szCs w:val="28"/>
          <w:rtl w:val="true"/>
          <w:lang w:bidi="ar-SA"/>
        </w:rPr>
        <w:t xml:space="preserve">تبعا للمحقّق القمّي </w:t>
      </w:r>
      <w:r>
        <w:rPr>
          <w:rStyle w:val="FootnoteAnchor"/>
          <w:rtl w:val="true"/>
        </w:rPr>
        <w:footnoteReference w:id="1346"/>
      </w:r>
      <w:r>
        <w:rPr>
          <w:rStyle w:val="FootnoteAnchor"/>
          <w:rtl w:val="true"/>
        </w:rPr>
        <w:footnoteReference w:id="1347"/>
      </w:r>
      <w:r>
        <w:rPr>
          <w:rFonts w:ascii="Amiri" w:hAnsi="Amiri" w:eastAsia="Amiri" w:cs="Amiri"/>
          <w:color w:val="111111"/>
          <w:sz w:val="28"/>
          <w:sz w:val="28"/>
          <w:szCs w:val="28"/>
          <w:rtl w:val="true"/>
          <w:lang w:bidi="ar-SA"/>
        </w:rPr>
        <w:t xml:space="preserve">نظرا إلى قرينة المقابلة ، وأنّ الحكم المخالف للإجماع قطعي البطلان لأنّ المقابلة تقضي بما قلنا ، والإجماع في المقام بمعنى المشهور بالمعنى اللغوي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شاهر ، بحيث يراه كلّ أحد ، فهو بنفسه لا يقتضي بطلان خلافه كما في الإجماع المصطلح في الأحكام الشرعية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تثليث الإمام عليه‌السلام الأقسام المذكورة أدلّ دليل على أنّ المراد منه ومن التقسيم بيان حكم المشتبه تمثيلا للمقام ، ولو لا أنّ الرواية التي لا شهرة فيها من المشتبه ، لما صحّ ذلك فإنّ بيان القسمين المعلومين توطئة لبيان المشتبه وقضيّة التمثيل في المقام كما عرفت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القسمة حينئذ </w:t>
      </w:r>
      <w:r>
        <w:rPr>
          <w:rStyle w:val="FootnoteAnchor"/>
          <w:rtl w:val="true"/>
        </w:rPr>
        <w:footnoteReference w:id="1348"/>
      </w:r>
      <w:r>
        <w:rPr>
          <w:rFonts w:ascii="Amiri" w:hAnsi="Amiri" w:eastAsia="Amiri" w:cs="Amiri"/>
          <w:color w:val="111111"/>
          <w:sz w:val="28"/>
          <w:sz w:val="28"/>
          <w:szCs w:val="28"/>
          <w:rtl w:val="true"/>
          <w:lang w:bidi="ar-SA"/>
        </w:rPr>
        <w:t xml:space="preserve">ينبغي أن لا تكون ثلاثية بل ثنائية إذ احتمال كون ما لا يعلم أنّه من المجمع عليه أو من خلافه مشتبها كما احتمله بعض الأجلّة ممّا لا يعقل بعد ما عرفت معنى الإجماع والشهرة في المقام كما لا يخفى ، فالروايات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بصحّته وهو المجمع عليه ، وما يعلم بفساده وهو ما ظهر كذبه ، وما لا يعلم بصدقه وصحّته وفساده وكذبه وهو الشاذّ النادر الذي أمر الإمام عليه‌السلام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أمر الإمام عليه‌السلام بتركه </w:t>
      </w:r>
      <w:r>
        <w:rPr>
          <w:rStyle w:val="FootnoteAnchor"/>
          <w:rtl w:val="true"/>
        </w:rPr>
        <w:footnoteReference w:id="1349"/>
      </w:r>
      <w:r>
        <w:rPr>
          <w:rFonts w:ascii="Amiri" w:hAnsi="Amiri" w:eastAsia="Amiri" w:cs="Amiri"/>
          <w:color w:val="111111"/>
          <w:sz w:val="28"/>
          <w:sz w:val="28"/>
          <w:szCs w:val="28"/>
          <w:rtl w:val="true"/>
          <w:lang w:bidi="ar-SA"/>
        </w:rPr>
        <w:t>فهو من باب معلوم الغيّ فيرجع القسمة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بالأمر صار معلوم الغيّ وظاهر البطلان والكلام مع قطع النظر عن الأمر بالترك ، وبعد ما ظهر أنّ الشاذّ الذي يجب تركه والأخذ بالمجمع عليه في قباله هو ما فيه الريب لا ما علم ببطلانه ، فظهر </w:t>
      </w:r>
      <w:r>
        <w:rPr>
          <w:rStyle w:val="FootnoteAnchor"/>
          <w:rtl w:val="true"/>
        </w:rPr>
        <w:footnoteReference w:id="1350"/>
      </w:r>
      <w:r>
        <w:rPr>
          <w:rFonts w:ascii="Amiri" w:hAnsi="Amiri" w:eastAsia="Amiri" w:cs="Amiri"/>
          <w:color w:val="111111"/>
          <w:sz w:val="28"/>
          <w:sz w:val="28"/>
          <w:szCs w:val="28"/>
          <w:rtl w:val="true"/>
          <w:lang w:bidi="ar-SA"/>
        </w:rPr>
        <w:t>أنّ كلّ ما فيه ريب كشرب التتن يجب تركه لعموم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إنّما هو في الشبهات الحكمية ، ولزوم طرح الأخبار الشاذّة لا دخل له فيما نحن بصدده ، لكونها من الشبهات الموضوعية ، إذ مرجع الشكّ إلى أنّ الصادر من الإمام أيّ من الخبرين المتعارضين وهي شبهة موضوعية ولا ينبغي قياس ما نحن فيه بما لا ربط له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الشكّ في الصدور حقيقة يلازم الشكّ في نفس الحكم الشرعي المشتمل عليه الحديثان المتعارضان كما يظهر من ملاحظة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مشكل يردّ علمه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الشبهة الموضوعية إنّما يرتفع بارتفاع أسبابه من الأمور الخارجية ولا يناط إلى بيان الشارع حكمه </w:t>
      </w:r>
      <w:r>
        <w:rPr>
          <w:rStyle w:val="FootnoteAnchor"/>
          <w:rtl w:val="true"/>
        </w:rPr>
        <w:footnoteReference w:id="1351"/>
      </w:r>
      <w:r>
        <w:rPr>
          <w:rFonts w:ascii="Amiri" w:hAnsi="Amiri" w:eastAsia="Amiri" w:cs="Amiri"/>
          <w:color w:val="111111"/>
          <w:sz w:val="28"/>
          <w:sz w:val="28"/>
          <w:szCs w:val="28"/>
          <w:rtl w:val="true"/>
          <w:lang w:bidi="ar-SA"/>
        </w:rPr>
        <w:t xml:space="preserve">بخلاف الشبهات الحكمية فإنّ معيار التمييز </w:t>
      </w:r>
      <w:r>
        <w:rPr>
          <w:rStyle w:val="FootnoteAnchor"/>
          <w:rtl w:val="true"/>
        </w:rPr>
        <w:footnoteReference w:id="1352"/>
      </w:r>
      <w:r>
        <w:rPr>
          <w:rFonts w:ascii="Amiri" w:hAnsi="Amiri" w:eastAsia="Amiri" w:cs="Amiri"/>
          <w:color w:val="111111"/>
          <w:sz w:val="28"/>
          <w:sz w:val="28"/>
          <w:szCs w:val="28"/>
          <w:rtl w:val="true"/>
          <w:lang w:bidi="ar-SA"/>
        </w:rPr>
        <w:t xml:space="preserve">بينهما إلى أنّ الرافع للشكّ في الموضوع هو الرجوع إلى الأمور الخارجية ، </w:t>
      </w:r>
    </w:p>
    <w:p>
      <w:pPr>
        <w:pStyle w:val="BookText"/>
        <w:rPr/>
      </w:pPr>
      <w:r>
        <w:rPr>
          <w:rFonts w:ascii="Amiri" w:hAnsi="Amiri" w:eastAsia="Amiri" w:cs="Amiri"/>
          <w:color w:val="111111"/>
          <w:sz w:val="28"/>
          <w:sz w:val="28"/>
          <w:szCs w:val="28"/>
          <w:rtl w:val="true"/>
          <w:lang w:bidi="ar-SA"/>
        </w:rPr>
        <w:t>وفي الحكم إلى الأدلّة الشرعية ، فالردّ إلى اللّه في بيان حكم المشتبه يدلّ على أنّ المشكوك هو الحكم لا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وجوب ردّ حكم المشتبه إلى اللّه وإلى رسوله بل غاية ما هناك هو أولويته واستحبابه لعدم ما يدلّ عليه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تثليث الأمور وتقسيمها إلى ما هو بيّن الرشد وإلى ما هو بيّن الغيّ وإلى أمر مشكل إنّما هو في مقام الأخذ بالمرجّحات في الأخبار المتعارضة ، ولا ريب أنّ العمل بوجوه التراجيح وترك ما لا يشتمل عليها واجب ، فحمل الأمر المستفاد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الوجوب ممّا ينافي مورد الرواية ، فظهر من جميع ما مرّ أنّ استشهاد الإمام عليه‌السلام بكلام الرسول صلى‌اللّه‌عليه‌وآله أيضا ليس إلاّ من الجهة التي تقرب إلى الاستدلال بكلامه صلى‌اللّه‌عليه‌وآله ، فلا بدّ من حمله أيضا على الوجوب كما هو ظاهره لئلاّ يخالف مورد الكلام فوجوه الدلالة في الرواية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طرح كلّ ما فيه ريب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الإمام عليه‌السلام الأمور وتقسيمها إلى ما هو بيّن الرشد وبيّن الغيّ ، وإلى ما هو مشكل يردّ علمه إلى اللّه وإلى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النبيّ صلى‌اللّه‌عليه‌وآله فإنّ ملاحظة ورود التثليث والاستشهاد في هذا المقام الخاصّ يقتضي حمل الأمر المستفاد فيهما </w:t>
      </w:r>
      <w:r>
        <w:rPr>
          <w:rStyle w:val="FootnoteAnchor"/>
          <w:rtl w:val="true"/>
        </w:rPr>
        <w:footnoteReference w:id="1353"/>
      </w:r>
      <w:r>
        <w:rPr>
          <w:rFonts w:ascii="IRNazanin" w:hAnsi="IRNazanin" w:eastAsia="IRNazanin"/>
          <w:color w:val="111111"/>
          <w:sz w:val="28"/>
          <w:sz w:val="28"/>
          <w:szCs w:val="28"/>
          <w:rtl w:val="true"/>
          <w:lang w:bidi="fa-IR"/>
        </w:rPr>
        <w:t>على الوجوب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ليست ممّا يصحّ الاستناد إليها باعتبار جهالة حال عمر بن حنظلة واشتمال السند على داود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ولكنّها مقبولة عند الأصحاب مع اشتمال السند على صفوان الذي أجمع الكلّ على تصحيح ما يصحّ عنه ، وأمّا داود ، فقد وثّقه النجاشي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الردّ إلى اللّه ورسوله هو الكفّ عنه وبعد لزوم الأخذ بالرواية </w:t>
      </w:r>
    </w:p>
    <w:p>
      <w:pPr>
        <w:pStyle w:val="BookText"/>
        <w:rPr/>
      </w:pPr>
      <w:r>
        <w:rPr>
          <w:rFonts w:ascii="Amiri" w:hAnsi="Amiri" w:eastAsia="Amiri" w:cs="Amiri"/>
          <w:color w:val="111111"/>
          <w:sz w:val="28"/>
          <w:sz w:val="28"/>
          <w:szCs w:val="28"/>
          <w:rtl w:val="true"/>
          <w:lang w:bidi="ar-SA"/>
        </w:rPr>
        <w:t>المشهورة لا يتحقّق هناك إلاّ طرح الشاذّ وهو ليس من الكفّ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إنّما هو في مقام الصدور وعدمه وبالنسبة إلى الحكم المشتمل عليه الرواية الشاذّة ، والطرح في مقام العمل ليس بضائر فيه فلا 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 قد تقرّر هذا </w:t>
      </w:r>
      <w:r>
        <w:rPr>
          <w:rStyle w:val="FootnoteAnchor"/>
          <w:rtl w:val="true"/>
        </w:rPr>
        <w:footnoteReference w:id="1355"/>
      </w:r>
      <w:r>
        <w:rPr>
          <w:rFonts w:ascii="Amiri" w:hAnsi="Amiri" w:eastAsia="Amiri" w:cs="Amiri"/>
          <w:color w:val="111111"/>
          <w:sz w:val="28"/>
          <w:sz w:val="28"/>
          <w:szCs w:val="28"/>
          <w:rtl w:val="true"/>
          <w:lang w:bidi="ar-SA"/>
        </w:rPr>
        <w:t xml:space="preserve">فاعلم لا بدّ لنا من بيان عدم دلالة الحديث على الاحتياط اللازم بشيء من الوجوه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1356"/>
      </w:r>
      <w:r>
        <w:rPr>
          <w:rFonts w:ascii="Amiri" w:hAnsi="Amiri" w:eastAsia="Amiri" w:cs="Amiri"/>
          <w:color w:val="111111"/>
          <w:sz w:val="28"/>
          <w:sz w:val="28"/>
          <w:szCs w:val="28"/>
          <w:rtl w:val="true"/>
          <w:lang w:bidi="ar-SA"/>
        </w:rPr>
        <w:t xml:space="preserve">الكلام في الاستشهاد ، 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وشبهات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الخارجية كأن يكون الشيء في الخارج بين حلال وحرام بمعنى اشتماله على كلا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الذهنية العقلية </w:t>
      </w:r>
      <w:r>
        <w:rPr>
          <w:rStyle w:val="FootnoteAnchor"/>
          <w:rtl w:val="true"/>
        </w:rPr>
        <w:footnoteReference w:id="1357"/>
      </w:r>
      <w:r>
        <w:rPr>
          <w:rFonts w:ascii="Amiri" w:hAnsi="Amiri" w:eastAsia="Amiri" w:cs="Amiri"/>
          <w:color w:val="111111"/>
          <w:sz w:val="28"/>
          <w:sz w:val="28"/>
          <w:szCs w:val="28"/>
          <w:rtl w:val="true"/>
          <w:lang w:bidi="ar-SA"/>
        </w:rPr>
        <w:t xml:space="preserve">على وجه يكون الشيء في الذهن وعند العقل ممّا يحتمل </w:t>
      </w:r>
      <w:r>
        <w:rPr>
          <w:rStyle w:val="FootnoteAnchor"/>
          <w:rtl w:val="true"/>
        </w:rPr>
        <w:footnoteReference w:id="1358"/>
      </w:r>
      <w:r>
        <w:rPr>
          <w:rFonts w:ascii="Amiri" w:hAnsi="Amiri" w:eastAsia="Amiri" w:cs="Amiri"/>
          <w:color w:val="111111"/>
          <w:sz w:val="28"/>
          <w:sz w:val="28"/>
          <w:szCs w:val="28"/>
          <w:rtl w:val="true"/>
          <w:lang w:bidi="ar-SA"/>
        </w:rPr>
        <w:t>أن يكون حلالا أو حراما محكوما عليه بأحد العنوانين على وجه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تعميم الثاني للأوّل أيضا ، فلا وجه لإرادة الأوّل لاستلزامه أن لا يكون القسمة النبوية حاصرة </w:t>
      </w:r>
      <w:r>
        <w:rPr>
          <w:rStyle w:val="FootnoteAnchor"/>
          <w:rtl w:val="true"/>
        </w:rPr>
        <w:footnoteReference w:id="1359"/>
      </w:r>
      <w:r>
        <w:rPr>
          <w:rFonts w:ascii="Amiri" w:hAnsi="Amiri" w:eastAsia="Amiri" w:cs="Amiri"/>
          <w:color w:val="111111"/>
          <w:sz w:val="28"/>
          <w:sz w:val="28"/>
          <w:szCs w:val="28"/>
          <w:rtl w:val="true"/>
          <w:lang w:bidi="ar-SA"/>
        </w:rPr>
        <w:t>لخروج الثاني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أخذ الشبهات ارتكب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الملازمة بين الأخذ بالشبهات وارتكاب المحرّمات واقعية من حيث علمه صلى‌اللّه‌عليه‌وآله بالواقع واطّلاعه على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الملازمة عادية بمعنى أنّ الآخذ بها يعلم علما عاديا بارتكابه بالمحرّمات من حيث كثرة المشتبهات وحصول العلم الإجمالي بحرمة جملة منها في الواقع فارتكاب الشبهة لا يكاد ينفكّ عن ارتكاب المحرّم في العادة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الملازمة المجازية على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قتيلا من حيث </w:t>
      </w:r>
    </w:p>
    <w:p>
      <w:pPr>
        <w:pStyle w:val="BookText"/>
        <w:rPr/>
      </w:pPr>
      <w:r>
        <w:rPr>
          <w:rFonts w:ascii="Amiri" w:hAnsi="Amiri" w:eastAsia="Amiri" w:cs="Amiri"/>
          <w:color w:val="111111"/>
          <w:sz w:val="28"/>
          <w:sz w:val="28"/>
          <w:szCs w:val="28"/>
          <w:rtl w:val="true"/>
          <w:lang w:bidi="ar-SA"/>
        </w:rPr>
        <w:t>مشارفة الآخذ بالشبهة إلى الوقوع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بالملازمة على حدّ قولهم من حام حول الحمى يوشك أن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الأخيرين أنّ في الأوّل منهما مخالفة الوقوع في المحرّمات المجهولة ، وفي الثاني مخافة الوقوع في المحرّمات المعلومة من حيث إنّ ارتكاب الشبهة يورث خبثا في الباطن ورذالة في النفس على وجه لا يبالي </w:t>
      </w:r>
      <w:r>
        <w:rPr>
          <w:rStyle w:val="FootnoteAnchor"/>
          <w:rtl w:val="true"/>
        </w:rPr>
        <w:footnoteReference w:id="1360"/>
      </w:r>
      <w:r>
        <w:rPr>
          <w:rFonts w:ascii="Amiri" w:hAnsi="Amiri" w:eastAsia="Amiri" w:cs="Amiri"/>
          <w:color w:val="111111"/>
          <w:sz w:val="28"/>
          <w:sz w:val="28"/>
          <w:szCs w:val="28"/>
          <w:rtl w:val="true"/>
          <w:lang w:bidi="ar-SA"/>
        </w:rPr>
        <w:t xml:space="preserve">ارتكاب المحرّم </w:t>
      </w:r>
      <w:r>
        <w:rPr>
          <w:rStyle w:val="FootnoteAnchor"/>
          <w:rtl w:val="true"/>
        </w:rPr>
        <w:footnoteReference w:id="1361"/>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خفاء في أنّ في حمل الرواية على المعنيين الأخيرين ليس دلالة على مطلوب الخصم بوجه إذ أقصى ما يتوهّم هناك هو رجحان الترك في الشبهات كما في الموضوعات مثل أكل أطعمة الظلاّم وأخذ أموال العشّار فإنّه لإيراثه قساوة في القلب على وجه يقع صاحبها في المحرّم الآخر أو في الحرام المجهول فيها لا حرمة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الأوّل ، فلا يصحّ حمل الحديث عليه لاستلزامه الكذب لاحتمال اختلاف الشبهات بالنسبة إلى الأشخاص ، فربّ شبهة لواحد يكون بيّنة لآخر ، فيحتمل أن يكون هناك شخص له وقائع مشتبهة كلّها حلال في الواقع ، فلا ملازمة في الواقع بين الأخذ بها وارتكابها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كانت الموارد المشتبهة متّحدة بالنسبة إلى الكلّ في كلّ موضع ، صحّ دعوى ذلك كما لا يخفى ، فتعيّن </w:t>
      </w:r>
      <w:r>
        <w:rPr>
          <w:rStyle w:val="FootnoteAnchor"/>
          <w:rtl w:val="true"/>
        </w:rPr>
        <w:footnoteReference w:id="1362"/>
      </w:r>
      <w:r>
        <w:rPr>
          <w:rFonts w:ascii="Amiri" w:hAnsi="Amiri" w:eastAsia="Amiri" w:cs="Amiri"/>
          <w:color w:val="111111"/>
          <w:sz w:val="28"/>
          <w:sz w:val="28"/>
          <w:szCs w:val="28"/>
          <w:rtl w:val="true"/>
          <w:lang w:bidi="ar-SA"/>
        </w:rPr>
        <w:t xml:space="preserve">أن يكون المراد بالملازمة هي الملازمة العاديّة من حيث ارتكاب الشبهة ، والأخذ بها يوجب العلم العادي بارتكاب المحرّمات المجهولة فيها من جهة </w:t>
      </w:r>
      <w:r>
        <w:rPr>
          <w:rStyle w:val="FootnoteAnchor"/>
          <w:rtl w:val="true"/>
        </w:rPr>
        <w:footnoteReference w:id="1363"/>
      </w:r>
      <w:r>
        <w:rPr>
          <w:rFonts w:ascii="Amiri" w:hAnsi="Amiri" w:eastAsia="Amiri" w:cs="Amiri"/>
          <w:color w:val="111111"/>
          <w:sz w:val="28"/>
          <w:sz w:val="28"/>
          <w:szCs w:val="28"/>
          <w:rtl w:val="true"/>
          <w:lang w:bidi="ar-SA"/>
        </w:rPr>
        <w:t xml:space="preserve">كثرة الموارد المشتبهة ، وحينئذ فلا بدّ إمّا من القول بارتكاب الشبهة في الأحكام والموضوعات يوجب العلم أو بانضمام موارد الظنون أو باعتبار الموارد التي لا فحص </w:t>
      </w:r>
    </w:p>
    <w:p>
      <w:pPr>
        <w:pStyle w:val="BookText"/>
        <w:rPr/>
      </w:pPr>
      <w:r>
        <w:rPr>
          <w:rFonts w:ascii="Amiri" w:hAnsi="Amiri" w:eastAsia="Amiri" w:cs="Amiri"/>
          <w:color w:val="111111"/>
          <w:sz w:val="28"/>
          <w:sz w:val="28"/>
          <w:szCs w:val="28"/>
          <w:rtl w:val="true"/>
          <w:lang w:bidi="ar-SA"/>
        </w:rPr>
        <w:t>فيها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فاسدان ، أمّا الأوّل ، فباتّفاق من الخصم ، وأمّا الثاني ، فلما دلّ على حجّيتها ، فتعيّن الثالث ونحن لا ننكر ذلك فإنّ من شروط العمل بالأصل في موارده الفحص عن الدليل كما سيجيء إن شاء اللّه ، فظهر من جميع ما مرّ أنّ الاستشهاد بقول الرسول صلى‌اللّه‌عليه‌وآله ليس إلاّ تقريبا وبيانا للمناسبة لا تحقيقا كما هو مبنى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التثليث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أنّ الرواية الشاذّة التي عارضتها رواية مشهورة ليست من الأمور المشكلة التي يجب ردّ علمها إلى اللّه ورسوله ، فإنّ الظاهر من الأمر المشكل ما كان كذلك في حدّ ذاته مع قطع النظر عن معارضته بشيء آخر كما يشاهد ذلك في سائر وجوه التراجيح أيضا فإنّ موافقة الكتاب ومخالفة العامّة ممّا </w:t>
      </w:r>
      <w:r>
        <w:rPr>
          <w:rStyle w:val="FootnoteAnchor"/>
          <w:rtl w:val="true"/>
        </w:rPr>
        <w:footnoteReference w:id="1364"/>
      </w:r>
      <w:r>
        <w:rPr>
          <w:rFonts w:ascii="Amiri" w:hAnsi="Amiri" w:eastAsia="Amiri" w:cs="Amiri"/>
          <w:color w:val="111111"/>
          <w:sz w:val="28"/>
          <w:sz w:val="28"/>
          <w:szCs w:val="28"/>
          <w:rtl w:val="true"/>
          <w:lang w:bidi="ar-SA"/>
        </w:rPr>
        <w:t xml:space="preserve">هي </w:t>
      </w:r>
      <w:r>
        <w:rPr>
          <w:rStyle w:val="FootnoteAnchor"/>
          <w:rtl w:val="true"/>
        </w:rPr>
        <w:footnoteReference w:id="1365"/>
      </w:r>
      <w:r>
        <w:rPr>
          <w:rFonts w:ascii="Amiri" w:hAnsi="Amiri" w:eastAsia="Amiri" w:cs="Amiri"/>
          <w:color w:val="111111"/>
          <w:sz w:val="28"/>
          <w:sz w:val="28"/>
          <w:szCs w:val="28"/>
          <w:rtl w:val="true"/>
          <w:lang w:bidi="ar-SA"/>
        </w:rPr>
        <w:t xml:space="preserve">ثابتة للرواية </w:t>
      </w:r>
      <w:r>
        <w:rPr>
          <w:rStyle w:val="FootnoteAnchor"/>
          <w:rtl w:val="true"/>
        </w:rPr>
        <w:footnoteReference w:id="1366"/>
      </w:r>
      <w:r>
        <w:rPr>
          <w:rFonts w:ascii="Amiri" w:hAnsi="Amiri" w:eastAsia="Amiri" w:cs="Amiri"/>
          <w:color w:val="111111"/>
          <w:sz w:val="28"/>
          <w:sz w:val="28"/>
          <w:szCs w:val="28"/>
          <w:rtl w:val="true"/>
          <w:lang w:bidi="ar-SA"/>
        </w:rPr>
        <w:t>في حدّ نفسها وإن لم يكن هناك معارض لها ، والرواية الشاذّة ليست في نفسها كذلك لوجوب الأخذ بها فيما لم يكن معارضا بالمشهور وفيما لو كان الراوي فيها أعدل من الراوي في الرواية المشهورة كما هو ظاهر الترتيب المستفاد من ظاهر الخبر كما لا يخفى ، ولهذا قد نبّهنا عليه في بعض المباحث من أنّ الأخذ بظاهر الخبر ربّما يخالف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هذه لها حالات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وجود المعارض</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المعارض ، فتارة بعد العلم بوجوب طرحه بواسطة هذا الخبر ، وأخرى قبل العلم بذلك ، لا شكّ في عدم إشكالها قبل التعارض </w:t>
      </w:r>
      <w:r>
        <w:rPr>
          <w:rStyle w:val="FootnoteAnchor"/>
          <w:rtl w:val="true"/>
        </w:rPr>
        <w:footnoteReference w:id="1367"/>
      </w:r>
      <w:r>
        <w:rPr>
          <w:rFonts w:ascii="Amiri" w:hAnsi="Amiri" w:eastAsia="Amiri" w:cs="Amiri"/>
          <w:color w:val="111111"/>
          <w:sz w:val="28"/>
          <w:sz w:val="28"/>
          <w:szCs w:val="28"/>
          <w:rtl w:val="true"/>
          <w:lang w:bidi="ar-SA"/>
        </w:rPr>
        <w:t xml:space="preserve">للزوم الأخذ بها والعمل بموجبها ، كما لا شكّ في عدم إشكالها في الحالة الأخيرة بعد العلم بلزوم طرحها فإنّها من هذه الحيثية بيّن غيّها ، فلا إشكال ، وكذلك لا إشكال في الحالة الثانية </w:t>
      </w:r>
    </w:p>
    <w:p>
      <w:pPr>
        <w:pStyle w:val="BookText"/>
        <w:rPr/>
      </w:pPr>
      <w:r>
        <w:rPr>
          <w:rFonts w:ascii="Amiri" w:hAnsi="Amiri" w:eastAsia="Amiri" w:cs="Amiri"/>
          <w:color w:val="111111"/>
          <w:sz w:val="28"/>
          <w:sz w:val="28"/>
          <w:szCs w:val="28"/>
          <w:rtl w:val="true"/>
          <w:lang w:bidi="ar-SA"/>
        </w:rPr>
        <w:t xml:space="preserve">قبل العلم بلزوم الطرح ، وإلاّ لكان المشهور أيضا من الأمر المشكل مع أنّه لا يتوهّمه أحد ، فظهر </w:t>
      </w:r>
      <w:r>
        <w:rPr>
          <w:rStyle w:val="FootnoteAnchor"/>
          <w:rtl w:val="true"/>
        </w:rPr>
        <w:footnoteReference w:id="1368"/>
      </w:r>
      <w:r>
        <w:rPr>
          <w:rFonts w:ascii="Amiri" w:hAnsi="Amiri" w:eastAsia="Amiri" w:cs="Amiri"/>
          <w:color w:val="111111"/>
          <w:sz w:val="28"/>
          <w:sz w:val="28"/>
          <w:szCs w:val="28"/>
          <w:rtl w:val="true"/>
          <w:lang w:bidi="ar-SA"/>
        </w:rPr>
        <w:t>أنّ الرواية الشاذّة ليست من الأمر المشكل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الريب في الرواية لا يبتني على المعارضة كسائر وجوه التراجيح بل وفيها الريب ولو قطع النظر عنها ، وهذا موهن وعدمه مرجّح للخبر المشهور ، ولو سلّم فجملة من المرجّحات كالأقوائية والأظهرية ونحوهما </w:t>
      </w:r>
      <w:r>
        <w:rPr>
          <w:rStyle w:val="FootnoteAnchor"/>
          <w:rtl w:val="true"/>
        </w:rPr>
        <w:footnoteReference w:id="1369"/>
      </w:r>
      <w:r>
        <w:rPr>
          <w:rFonts w:ascii="Amiri" w:hAnsi="Amiri" w:eastAsia="Amiri" w:cs="Amiri"/>
          <w:color w:val="111111"/>
          <w:sz w:val="28"/>
          <w:sz w:val="28"/>
          <w:szCs w:val="28"/>
          <w:rtl w:val="true"/>
          <w:lang w:bidi="ar-SA"/>
        </w:rPr>
        <w:t xml:space="preserve">ممّا لا يتعقّل لا </w:t>
      </w:r>
      <w:r>
        <w:rPr>
          <w:rStyle w:val="FootnoteAnchor"/>
          <w:rtl w:val="true"/>
        </w:rPr>
        <w:footnoteReference w:id="1370"/>
      </w:r>
      <w:r>
        <w:rPr>
          <w:rFonts w:ascii="Amiri" w:hAnsi="Amiri" w:eastAsia="Amiri" w:cs="Amiri"/>
          <w:color w:val="111111"/>
          <w:sz w:val="28"/>
          <w:sz w:val="28"/>
          <w:szCs w:val="28"/>
          <w:rtl w:val="true"/>
          <w:lang w:bidi="ar-SA"/>
        </w:rPr>
        <w:t>مضافا إلى الغير ، فلا نسلّم كون المرجّح للرواية ثابتا في نفس الرواية مع قطع النظر عن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وجود الريب مطلقا موهنا ، وإلاّ لم يصحّ التعويل على المشهور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الأقوائية والأظهرية ، فالمرجّح في الحقيقة هي المرتبة الخاصّة من الظهور والقوّة الثابتة في نفس الأمر إلاّ أنّ إطلاق اللفظ عليه على صيغة اسم التفضيل لا يصحّ إلاّ بعد ملاحظة </w:t>
      </w:r>
      <w:r>
        <w:rPr>
          <w:rStyle w:val="FootnoteAnchor"/>
          <w:rtl w:val="true"/>
        </w:rPr>
        <w:footnoteReference w:id="1371"/>
      </w:r>
      <w:r>
        <w:rPr>
          <w:rFonts w:ascii="Amiri" w:hAnsi="Amiri" w:eastAsia="Amiri" w:cs="Amiri"/>
          <w:color w:val="111111"/>
          <w:sz w:val="28"/>
          <w:sz w:val="28"/>
          <w:szCs w:val="28"/>
          <w:rtl w:val="true"/>
          <w:lang w:bidi="ar-SA"/>
        </w:rPr>
        <w:t>تلك المرتبة مضافا إلى غيرها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فكون الرواية من الأمر المشكل أمر مشكل بل </w:t>
      </w:r>
      <w:r>
        <w:rPr>
          <w:rStyle w:val="FootnoteAnchor"/>
          <w:rtl w:val="true"/>
        </w:rPr>
        <w:footnoteReference w:id="1372"/>
      </w:r>
      <w:r>
        <w:rPr>
          <w:rFonts w:ascii="Amiri" w:hAnsi="Amiri" w:eastAsia="Amiri" w:cs="Amiri"/>
          <w:color w:val="111111"/>
          <w:sz w:val="28"/>
          <w:sz w:val="28"/>
          <w:szCs w:val="28"/>
          <w:rtl w:val="true"/>
          <w:lang w:bidi="ar-SA"/>
        </w:rPr>
        <w:t xml:space="preserve">بيّن البطلان والغيّ ، فلا مناص من حمل التثليث كالاستشهاد على مجرّد التقريب وبيان المناسبة ، وإلاّ فكيف يتصوّر انطباق الأمور الثلاثة على الروايات تحقيقا ، فظهر أنّه لا فرق بين الروايات الآمرة بالتوقّف في غير خبر التثليث ، وبين هذه الفقرة من هذه الرواية ، فنقول في الجواب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إعمال البراءة في الأمر المشتبه لا إشكال كما أنّه لا إشكال في الموضوعات بعد جريان البراءة فيها على ما هو المتّفق عليه بين الأصولية والأخبارية ، فبالجملة فكما أنّ أدلّة الأصول استصحابا وبراءة واردة على أدلّة القرعة </w:t>
      </w:r>
    </w:p>
    <w:p>
      <w:pPr>
        <w:pStyle w:val="BookText"/>
        <w:rPr/>
      </w:pPr>
      <w:r>
        <w:rPr>
          <w:rFonts w:ascii="Amiri" w:hAnsi="Amiri" w:eastAsia="Amiri" w:cs="Amiri"/>
          <w:color w:val="111111"/>
          <w:sz w:val="28"/>
          <w:sz w:val="28"/>
          <w:szCs w:val="28"/>
          <w:rtl w:val="true"/>
          <w:lang w:bidi="ar-SA"/>
        </w:rPr>
        <w:t>مع أنّها لكلّ أمر مشكل ، والموضوعات قبل إعمال الأصول فيها من الأمر المشكل ، ولا يلتزم أحد بإعمال القرعة فيها فكذلك لا ضير في القول بورود أدلّة البراءة على مثل هذه الأخبار وارتفاع الإشكال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فبأنّا لو سلّمنا عدم الورود ، فأخبار البراءة أخصّ مطلقا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الاحتياط للشكّ في التكليف والمكلّف به واختصاصها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شمولها لجميع الأحكام واختصاصها بالوجوب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البراءة في مقام العذر والاحتياط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الثالث ، فأمّا عن تقريره الأوّل ، فبأنّ المراد بالضرر إن كان الأخروي منه فبالبراءة ينتفي صغراه ، وإن كان المراد به الضرر الدنيوي ممّا يرجع إلى قساوة القلب والشقاوة النفسانية ، فقد مرّ أنّ المرجع فيها إلى الشبهة الموضوعية إذ المفروض معلومية حرمة الشيء المشتمل على الضرر ، والكلام إنّما هو في أنّ الشيء الفلاني هل يندرج فيه أو لا؟ وسيجيء الكلام في محلّه من أنّ الشبهة الموضوعية ممّا لا يجب الاجتناب عنه بالاتّفاق ، غاية الأمر أنّ الدليل العقلي لا ينهض فيها ونحن لا نضايق من ذلك كما قرّرنا في أصالة الإباحة من أنّ الأصل العقلي الأوّلي الحظر ، ولا منافاة لحكم الشارع بخلافه لاحتمال أن يتداركه بترياق ونحوه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تقريره الثاني ، فبوجوه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بالشبهة الوجوبية فإنّ قضية 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الاحتياط بعد إعمال الظنون المعمولة في مواردها لا من حيث إنّها طريق إلى الواقع بل من حيث رفع العسر وتسهيل الأمر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الموارد فإنّها جهة واحدة إن صحّت ، صحّت في الكلّ مع ما عرفت من أنّ الأخباري أيضا لا يقول بالاحتياط فيها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 فبالحلّ ، وبيان ذلك أنّ محصّل ما ذكر في تقريب الاستدلال هو أنّ الظنّ قد يكون طريقا إلى الواقع وقد يكون العمل بها تسهيلا للأمر ، وهما في طرفي </w:t>
      </w:r>
    </w:p>
    <w:p>
      <w:pPr>
        <w:pStyle w:val="BookText"/>
        <w:rPr/>
      </w:pPr>
      <w:r>
        <w:rPr>
          <w:rFonts w:ascii="Amiri" w:hAnsi="Amiri" w:eastAsia="Amiri" w:cs="Amiri"/>
          <w:color w:val="111111"/>
          <w:sz w:val="28"/>
          <w:sz w:val="28"/>
          <w:szCs w:val="28"/>
          <w:rtl w:val="true"/>
          <w:lang w:bidi="ar-SA"/>
        </w:rPr>
        <w:t xml:space="preserve">التعاكس فإنّه على الأوّل إنّما يحتاج إليها لإثبات التكاليف ، وأمّا في طرف نفي التكليف ، فلا يحتاج إليها فإنّ الأصل يكفي في رفع التكليف ، وعلى الثاني فحيث إنّ الحكم من جهة وجوب الاحتياط ففي مقام إثبات التكليف لا حاجة إليها ، وإنّما الحاجة إليها من جهة نفي التكليف تسهيلا للأمر ، ولا نسلّم جواز العمل بالظنّ حتّى في الألفاظ في تشخيص مداليلها إلاّ على الوجه </w:t>
      </w:r>
      <w:r>
        <w:rPr>
          <w:rStyle w:val="FootnoteAnchor"/>
          <w:rtl w:val="true"/>
        </w:rPr>
        <w:footnoteReference w:id="1373"/>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التي تدلّ على حجّية الظنون إنّما تدلّ على كونها طريقا للواقع على وجه يسقط عنه ، أمّا الظنون الدلالية ، فلأنّ المدرك فيها بناء العقلاء وهم يكتفون عن الواقع بالظنون الدلالية فيما لو أحرزوا الواقع بها ، مثلا لو أمر المولى بإتيان شيء فيتوقّف استخراج مراد المولى على إعمال الظنون الدلالية ، فلا شكّ في اكتفائهم بهذه </w:t>
      </w:r>
      <w:r>
        <w:rPr>
          <w:rStyle w:val="FootnoteAnchor"/>
          <w:rtl w:val="true"/>
        </w:rPr>
        <w:footnoteReference w:id="1374"/>
      </w:r>
      <w:r>
        <w:rPr>
          <w:rFonts w:ascii="Amiri" w:hAnsi="Amiri" w:eastAsia="Amiri" w:cs="Amiri"/>
          <w:color w:val="111111"/>
          <w:sz w:val="28"/>
          <w:sz w:val="28"/>
          <w:szCs w:val="28"/>
          <w:rtl w:val="true"/>
          <w:lang w:bidi="ar-SA"/>
        </w:rPr>
        <w:t>الظنون عن الواقع ولا ينافي ذلك اعتبار الظنّ في الدلالات من جهة التسهيل ورفع العسر فإنّ ذلك حكمة في الحجّية ، وعلّة لجعله طريقا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الآحاد فالأدلّة </w:t>
      </w:r>
      <w:r>
        <w:rPr>
          <w:rStyle w:val="FootnoteAnchor"/>
          <w:rtl w:val="true"/>
        </w:rPr>
        <w:footnoteReference w:id="1375"/>
      </w:r>
      <w:r>
        <w:rPr>
          <w:rFonts w:ascii="Amiri" w:hAnsi="Amiri" w:eastAsia="Amiri" w:cs="Amiri"/>
          <w:color w:val="111111"/>
          <w:sz w:val="28"/>
          <w:sz w:val="28"/>
          <w:szCs w:val="28"/>
          <w:rtl w:val="true"/>
          <w:lang w:bidi="ar-SA"/>
        </w:rPr>
        <w:t>الناهضة على حجّيتها إنّما تفيد كونها طريقا إلى الواقع على 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يشكل الأمر على القائل بحجّية الظنون المطلقة فإنّ مبنى حجّية الظنّ المطلق على ما عرفت هو الاحتياط الكلّي ولزوم العسر على تقديره وذلك كلّه 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 فلأنّ الإتيان بالموارد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من جهة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أيضا في رفع العلم الإجمالي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علمنا إجمالا بوجود محرّمات في جملة مشتبهات كثيرة تقرب تلك المحرّمات من مائة مثلا فحصل لنا الظنّ بحرمة جملة من تلك المشتبهات على وجه </w:t>
      </w:r>
    </w:p>
    <w:p>
      <w:pPr>
        <w:pStyle w:val="BookText"/>
        <w:rPr/>
      </w:pPr>
      <w:r>
        <w:rPr>
          <w:rFonts w:ascii="Amiri" w:hAnsi="Amiri" w:eastAsia="Amiri" w:cs="Amiri"/>
          <w:color w:val="111111"/>
          <w:sz w:val="28"/>
          <w:sz w:val="28"/>
          <w:szCs w:val="28"/>
          <w:rtl w:val="true"/>
          <w:lang w:bidi="ar-SA"/>
        </w:rPr>
        <w:t xml:space="preserve">يحصل العلم بإحراز المحرّمات المجهولة في ضمن تلك الموارد المظنونة ، فلا شكّ في كفاية ذلك عن الواقع ولو لم يكن على وجه الطريقية ، وهذا نظير ما أوردناه في بعض مباحث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لزوم الفحص عن المخصّص إنّما يكون مستندا إلى العلم الإجمالي بوجود مخصّصات كثيرة في العمومات الواردة في الشريعة ، ومع العلم لو قلنا بإجمال العمومات ، فلا يثمر الفحص إذ بالفحص لا يرتفع الإجمال ، ولو لم نقل بإجمالها </w:t>
      </w:r>
      <w:r>
        <w:rPr>
          <w:rStyle w:val="FootnoteAnchor"/>
          <w:rtl w:val="true"/>
        </w:rPr>
        <w:footnoteReference w:id="1376"/>
      </w:r>
      <w:r>
        <w:rPr>
          <w:rFonts w:ascii="Amiri" w:hAnsi="Amiri" w:eastAsia="Amiri" w:cs="Amiri"/>
          <w:color w:val="111111"/>
          <w:sz w:val="28"/>
          <w:sz w:val="28"/>
          <w:szCs w:val="28"/>
          <w:rtl w:val="true"/>
          <w:lang w:bidi="ar-SA"/>
        </w:rPr>
        <w:t xml:space="preserve">، فلا يجب الفحص عن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أجبنا عن ذلك بأنّ العلم الإجمالي حاصل بوجود المخصّص في تلك الأمارات </w:t>
      </w:r>
      <w:r>
        <w:rPr>
          <w:rStyle w:val="FootnoteAnchor"/>
          <w:rtl w:val="true"/>
        </w:rPr>
        <w:footnoteReference w:id="1377"/>
      </w:r>
      <w:r>
        <w:rPr>
          <w:rFonts w:ascii="Amiri" w:hAnsi="Amiri" w:eastAsia="Amiri" w:cs="Amiri"/>
          <w:color w:val="111111"/>
          <w:sz w:val="28"/>
          <w:sz w:val="28"/>
          <w:szCs w:val="28"/>
          <w:rtl w:val="true"/>
          <w:lang w:bidi="ar-SA"/>
        </w:rPr>
        <w:t>المحتملة للتخصيص فقط ، وبعد الفحص يرتفع ذلك العلم فيبقى العامّ بحاله ظاهر الدلالة من غير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فنحن نمنع العلم الإجمالي في أكثر ممّا أحرزناه في الموارد المظنونة ولو لم يكن طريقا بل جوّز العمل بها تسهيلا ، فيقلب الشكّ فيما يزيد عليها شكّا بدويا وهو محلّ البراءة فإنّ ملاك الأمر ومناطه في رفع العلم الإجمالي ولهذا لو كان الظنّ طريقا ولم يصل حدّا يرتفع فيه العلم الإجمالي ، فلا مناص من الاحتياط فيما بقي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أطراف العلم الإجمالي في الشبهة المحصورة ، فلا يكفي في رفع الاحتياط فيما بقي منها بل لا بدّ من الاحتياط وكذا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ظاهر بين المقامين ، فإنّ الظنّ إنّما يتعلّق بالواقع دون التلف ، فهو يكفي في رفع العلم الإجمالي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فيما سيجيء تفصيله في بعض المباحث الآتية من أنّ الموارد المشتبهة كما في الشبهة المحصورة لو طرأت فيها شبهة أخرى </w:t>
      </w:r>
      <w:r>
        <w:rPr>
          <w:rStyle w:val="FootnoteAnchor"/>
          <w:rtl w:val="true"/>
        </w:rPr>
        <w:footnoteReference w:id="1378"/>
      </w:r>
      <w:r>
        <w:rPr>
          <w:rFonts w:ascii="Amiri" w:hAnsi="Amiri" w:eastAsia="Amiri" w:cs="Amiri"/>
          <w:color w:val="111111"/>
          <w:sz w:val="28"/>
          <w:sz w:val="28"/>
          <w:szCs w:val="28"/>
          <w:rtl w:val="true"/>
          <w:lang w:bidi="ar-SA"/>
        </w:rPr>
        <w:t>، وهذا هو تمام الكلام في الجواب عن احتجاج الأخباريين في المقام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بقي في المقام شيئان لا بأس بالتنبيه عليهما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w:t>
      </w:r>
      <w:r>
        <w:rPr>
          <w:rStyle w:val="FootnoteAnchor"/>
          <w:rtl w:val="true"/>
        </w:rPr>
        <w:footnoteReference w:id="1379"/>
      </w:r>
      <w:r>
        <w:rPr>
          <w:rFonts w:ascii="Amiri" w:hAnsi="Amiri" w:eastAsia="Amiri" w:cs="Amiri"/>
          <w:color w:val="111111"/>
          <w:sz w:val="28"/>
          <w:sz w:val="28"/>
          <w:szCs w:val="28"/>
          <w:rtl w:val="true"/>
          <w:lang w:bidi="ar-SA"/>
        </w:rPr>
        <w:t>إلى المحقّق من التفصيل في موارد البراءة بين ما يعمّ البلوى به ، فقال بالبراءة وبين غيره فلم يعتبرها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يتوقّف على إيراد عبارته في المقام ليندفع الأوهام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كتابه في </w:t>
      </w:r>
      <w:r>
        <w:rPr>
          <w:rStyle w:val="FootnoteAnchor"/>
          <w:rtl w:val="true"/>
        </w:rPr>
        <w:footnoteReference w:id="1380"/>
      </w:r>
      <w:r>
        <w:rPr>
          <w:rFonts w:ascii="Amiri" w:hAnsi="Amiri" w:eastAsia="Amiri" w:cs="Amiri"/>
          <w:color w:val="111111"/>
          <w:sz w:val="28"/>
          <w:sz w:val="28"/>
          <w:szCs w:val="28"/>
          <w:rtl w:val="true"/>
          <w:lang w:bidi="ar-SA"/>
        </w:rPr>
        <w:t xml:space="preserve">الأصول بالبراءة كما هو مذهب المجتهدين من غير تفصيل فيها ، وقال في مقدّمات المعتبر بعد تثليثه لأقسام الاستصحاب ، وجعل الأوّل منها استصحاب حال العقل وفسّرها بالبراءة الأصلية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كذا فيجب انتفاؤه وهذا يصحّ فيما يعلم أنّه لو كان هناك دليل لظفر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لا مع ذلك فإنّه يجب التوقّف ولا يكون ذلك الاستدلال حجّة ومنه القول بالإباحة لعدم دليل الحظر والوجوب </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من أمعن النظر في كلامه أنّه ليس في صدد التفصيل في أصالة البراءة ولا في أصل آخر بل صريح كلامه إنّما هو حجّيتها مطلقا ، وكان من نسب إليه ذلك إنّما توهّم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القول بالإباحة لعدم دليل الحظر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زاعما أنّ مفاد البراءة والإباحة واحد ، وليس كذلك بل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تزيد على حكم عدمي يعبّر عنه بخلوّ الذمّة وعدم الاشتغال من غير أن يكون مفادها الإباحة </w:t>
      </w:r>
      <w:r>
        <w:rPr>
          <w:rStyle w:val="FootnoteAnchor"/>
          <w:rtl w:val="true"/>
        </w:rPr>
        <w:footnoteReference w:id="1382"/>
      </w:r>
      <w:r>
        <w:rPr>
          <w:rFonts w:ascii="Amiri" w:hAnsi="Amiri" w:eastAsia="Amiri" w:cs="Amiri"/>
          <w:color w:val="111111"/>
          <w:sz w:val="28"/>
          <w:sz w:val="28"/>
          <w:szCs w:val="28"/>
          <w:rtl w:val="true"/>
          <w:lang w:bidi="ar-SA"/>
        </w:rPr>
        <w:t>، ولذلك قد يعبّر عنها في لسانهم بأصالة النفي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فالمحقّق إنّما هو في بيان مورد القاعدة المعمولة عندهم من أنّ عدم الدليل دليل العدم ولا يفصّل </w:t>
      </w:r>
      <w:r>
        <w:rPr>
          <w:rStyle w:val="FootnoteAnchor"/>
          <w:rtl w:val="true"/>
        </w:rPr>
        <w:footnoteReference w:id="1383"/>
      </w:r>
      <w:r>
        <w:rPr>
          <w:rFonts w:ascii="Amiri" w:hAnsi="Amiri" w:eastAsia="Amiri" w:cs="Amiri"/>
          <w:color w:val="111111"/>
          <w:sz w:val="28"/>
          <w:sz w:val="28"/>
          <w:szCs w:val="28"/>
          <w:rtl w:val="true"/>
          <w:lang w:bidi="ar-SA"/>
        </w:rPr>
        <w:t xml:space="preserve">فيها أيضا بيان ذلك أنّ من المعلوم ضرورة عدم الملازمة بين وجود الشيء والعلم به فربّما يكون موجودا ولا نعلمه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بواسطة ما قد يتخيّل من أنّ النافي لا يحتاج في دعواه إلى الدليل ، فذلك </w:t>
      </w:r>
    </w:p>
    <w:p>
      <w:pPr>
        <w:pStyle w:val="BookText"/>
        <w:rPr/>
      </w:pPr>
      <w:r>
        <w:rPr>
          <w:rFonts w:ascii="Amiri" w:hAnsi="Amiri" w:eastAsia="Amiri" w:cs="Amiri"/>
          <w:color w:val="111111"/>
          <w:sz w:val="28"/>
          <w:sz w:val="28"/>
          <w:szCs w:val="28"/>
          <w:rtl w:val="true"/>
          <w:lang w:bidi="ar-SA"/>
        </w:rPr>
        <w:t xml:space="preserve">ظاهر البطلان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المحقّقين على عدم الفرق بين دعوى وجود شيء </w:t>
      </w:r>
      <w:r>
        <w:rPr>
          <w:rStyle w:val="FootnoteAnchor"/>
          <w:rtl w:val="true"/>
        </w:rPr>
        <w:footnoteReference w:id="1384"/>
      </w:r>
      <w:r>
        <w:rPr>
          <w:rFonts w:ascii="Amiri" w:hAnsi="Amiri" w:eastAsia="Amiri" w:cs="Amiri"/>
          <w:color w:val="111111"/>
          <w:sz w:val="28"/>
          <w:sz w:val="28"/>
          <w:szCs w:val="28"/>
          <w:rtl w:val="true"/>
          <w:lang w:bidi="ar-SA"/>
        </w:rPr>
        <w:t xml:space="preserve">وبين عدمه ، فكما أنّ القضية الموجبة لا بدّ في إثباتها إلى الدليل ، فكذلك القضية السالبة ضرورة عدم تعقّل الفرق بينهما ولو كان بواسطة أنّ مرجع الاستدلال إلى الحكم بوجود المعلول أو العلّة بعد العلم بوجود الآخر ، فلو لم يكن الشيء له آثار لازمة </w:t>
      </w:r>
      <w:r>
        <w:rPr>
          <w:rStyle w:val="FootnoteAnchor"/>
          <w:rtl w:val="true"/>
        </w:rPr>
        <w:footnoteReference w:id="1385"/>
      </w:r>
      <w:r>
        <w:rPr>
          <w:rFonts w:ascii="Amiri" w:hAnsi="Amiri" w:eastAsia="Amiri" w:cs="Amiri"/>
          <w:color w:val="111111"/>
          <w:sz w:val="28"/>
          <w:sz w:val="28"/>
          <w:szCs w:val="28"/>
          <w:rtl w:val="true"/>
          <w:lang w:bidi="ar-SA"/>
        </w:rPr>
        <w:t xml:space="preserve">لذاته أو علّة هو </w:t>
      </w:r>
      <w:r>
        <w:rPr>
          <w:rStyle w:val="FootnoteAnchor"/>
          <w:rtl w:val="true"/>
        </w:rPr>
        <w:footnoteReference w:id="1386"/>
      </w:r>
      <w:r>
        <w:rPr>
          <w:rFonts w:ascii="Amiri" w:hAnsi="Amiri" w:eastAsia="Amiri" w:cs="Amiri"/>
          <w:color w:val="111111"/>
          <w:sz w:val="28"/>
          <w:sz w:val="28"/>
          <w:szCs w:val="28"/>
          <w:rtl w:val="true"/>
          <w:lang w:bidi="ar-SA"/>
        </w:rPr>
        <w:t xml:space="preserve">من لوازمها ، فلا وجود لذلك الشيء لأنّ الموجود الخارجي لا ينفكّ عن الآثار المترتّبة عليه في الواقع وعن وجود العلّة كما لا يخفى ، فهذا حقّ لا محيص عنه إلاّ أنّ القضية المذكورة كما يظهر في موارد إطلاقاتهم لا دخل لها في ذلك فإنّ ملخّص ذلك أنّ عدم الدليل على وجود شيء واقعا دليل على عدمه في الواقع ، والمقصود من القضية هذه </w:t>
      </w:r>
      <w:r>
        <w:rPr>
          <w:rStyle w:val="FootnoteAnchor"/>
          <w:rtl w:val="true"/>
        </w:rPr>
        <w:footnoteReference w:id="1387"/>
      </w:r>
      <w:r>
        <w:rPr>
          <w:rFonts w:ascii="Amiri" w:hAnsi="Amiri" w:eastAsia="Amiri" w:cs="Amiri"/>
          <w:color w:val="111111"/>
          <w:sz w:val="28"/>
          <w:sz w:val="28"/>
          <w:szCs w:val="28"/>
          <w:rtl w:val="true"/>
          <w:lang w:bidi="ar-SA"/>
        </w:rPr>
        <w:t xml:space="preserve">هو القول بالعدم عند عدم وجدان الدليل لا عند عدم الدليل واقعا ، وعلى هذا فلو كان بين وجود الشيء والعلم به ملازمة عقلية أو شرعية أو عادية ، يصحّ الاستناد إليها ولو لم يكن بين وجود الشيء والعلم به ملازمة لا وجه للاستناد إليها مثلا التكليف الفعلي المنجّز وجوده يلازم وجوده وجود الدليل عليه لئلاّ يلزم التكليف بما لا يطاق ، فعدم الدليل على التكليف الفعلي دليل على عدم التكليف للملازمة الواقعية بينهما ، وعدم الدليل على نبوّة مدّعي النبوّة ربّما يعدّ دليلا على عدم نبوّته عادة للملازمة </w:t>
      </w:r>
      <w:r>
        <w:rPr>
          <w:rStyle w:val="FootnoteAnchor"/>
          <w:rtl w:val="true"/>
        </w:rPr>
        <w:footnoteReference w:id="1388"/>
      </w:r>
      <w:r>
        <w:rPr>
          <w:rFonts w:ascii="Amiri" w:hAnsi="Amiri" w:eastAsia="Amiri" w:cs="Amiri"/>
          <w:color w:val="111111"/>
          <w:sz w:val="28"/>
          <w:sz w:val="28"/>
          <w:szCs w:val="28"/>
          <w:rtl w:val="true"/>
          <w:lang w:bidi="ar-SA"/>
        </w:rPr>
        <w:t>العادية وعدم الدليل على وجوب الصلاة وجوبا واقعيا مع عموم البلوى مثلا بها دليل على عدم وجوبها في الواقع ، غاية الأمر أنّ الحكم بالعدم الواقعي مظنون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فكلّما كان وجود شيء ملازما للعلم بوجوده لزوما عقليا كتنجّز التكليف أو عاديا قطعيا كالنبوّة أو ظنّيا فعدم ما يفيد العلم دليل على عدم ذلك </w:t>
      </w:r>
    </w:p>
    <w:p>
      <w:pPr>
        <w:pStyle w:val="BookText"/>
        <w:rPr/>
      </w:pPr>
      <w:r>
        <w:rPr>
          <w:rFonts w:ascii="Amiri" w:hAnsi="Amiri" w:eastAsia="Amiri" w:cs="Amiri"/>
          <w:color w:val="111111"/>
          <w:sz w:val="28"/>
          <w:sz w:val="28"/>
          <w:szCs w:val="28"/>
          <w:rtl w:val="true"/>
          <w:lang w:bidi="ar-SA"/>
        </w:rPr>
        <w:t>الشيء على حسب الملازمة الثابتة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عدم الدليل في موارده دليل واقعي لا ينبغي أن يعدّ من الأدلّة الظاهرية كما ظهر أنّ المحقّق ليس بصدد التفصيل في هذه القاعدة ولا قاعدة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تفريع الحكم بالإباحة والحظر على ما ذكره </w:t>
      </w:r>
      <w:r>
        <w:rPr>
          <w:rStyle w:val="FootnoteAnchor"/>
          <w:rtl w:val="true"/>
        </w:rPr>
        <w:footnoteReference w:id="1389"/>
      </w:r>
      <w:r>
        <w:rPr>
          <w:rFonts w:ascii="Amiri" w:hAnsi="Amiri" w:eastAsia="Amiri" w:cs="Amiri"/>
          <w:color w:val="111111"/>
          <w:sz w:val="28"/>
          <w:sz w:val="28"/>
          <w:szCs w:val="28"/>
          <w:rtl w:val="true"/>
          <w:lang w:bidi="ar-SA"/>
        </w:rPr>
        <w:t xml:space="preserve">على ما هو المنشأ في هذا الاستناد </w:t>
      </w:r>
      <w:r>
        <w:rPr>
          <w:rStyle w:val="FootnoteAnchor"/>
          <w:rtl w:val="true"/>
        </w:rPr>
        <w:footnoteReference w:id="1390"/>
      </w:r>
      <w:r>
        <w:rPr>
          <w:rFonts w:ascii="Amiri" w:hAnsi="Amiri" w:eastAsia="Amiri" w:cs="Amiri"/>
          <w:color w:val="111111"/>
          <w:sz w:val="28"/>
          <w:sz w:val="28"/>
          <w:szCs w:val="28"/>
          <w:rtl w:val="true"/>
          <w:lang w:bidi="ar-SA"/>
        </w:rPr>
        <w:t>إليه ممّا لا دليل فيه عليه بعد ما عرفت من عدم التفصيل فيها أيضا ، على أنّ الإباحة لا دخل لها بالبراءة فإنّ الأولى حكم جعلي إنشائي بخلاف الثانية فإنّ مفادها لا يزيد على عدم الحرج ورفع التكليف وخلوّ الذمّة وذلك كلّه ظاهر لا سترة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ما عرفت من حجّية البراءة وجريانها في الشبهات الحكمية التحريمية فلا بدّ أن تعلم أنّ حجّية البراءة إنّما هو في مقام لا دليل على تلك الواقعة إلاّ البراءة ولو كان ذلك الدليل هو الاستصحاب ، أو أصل آخر أخصّ منها كما وقع ذلك في موارد كالدماء والفروج ، ومنها ما نبّه عليه الشهيد في محكيّ الذكرى </w:t>
      </w:r>
      <w:r>
        <w:rPr>
          <w:rStyle w:val="FootnoteAnchor"/>
          <w:rtl w:val="true"/>
        </w:rPr>
        <w:footnoteReference w:id="1391"/>
      </w:r>
      <w:r>
        <w:rPr>
          <w:rFonts w:ascii="Amiri" w:hAnsi="Amiri" w:eastAsia="Amiri" w:cs="Amiri"/>
          <w:color w:val="111111"/>
          <w:sz w:val="28"/>
          <w:sz w:val="28"/>
          <w:szCs w:val="28"/>
          <w:rtl w:val="true"/>
          <w:lang w:bidi="ar-SA"/>
        </w:rPr>
        <w:t xml:space="preserve">من أنّ الأصل في اللحوم الحرمة نظرا إلى أصالة عدم التذكية سواء كان الشكّ في قابلية المحلّ لها ، أو شكّ في اشتراط شيء كالتسمية ونحوها فيها بخلاف ما إذا علمنا بقابلية المحلّ ، وأحرزنا الشرائط والأجزاء ، وشككنا في اندراج اللحم الخاصّ في عنوانها فإنّ الأصل فيها الحرمة قطعا لأصالة عدم التذكية في الموضوع وسيجيء ، والأصل في ذلك أنّ التذكية أمر توقيفي جعلي منوط بحصول الترخيص من الشارع ، وكلّما شكّ في مثل ذلك فالأصل العدم فإنّ الحلّ في الأدلّة الشرعية كقوله تعالى بعد عدّ المحرّمات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علمت أنّه مذكّى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من آثار التذكية على وجه هو الشرط </w:t>
      </w:r>
    </w:p>
    <w:p>
      <w:pPr>
        <w:pStyle w:val="BookText"/>
        <w:rPr/>
      </w:pPr>
      <w:r>
        <w:rPr>
          <w:rFonts w:ascii="Amiri" w:hAnsi="Amiri" w:eastAsia="Amiri" w:cs="Amiri"/>
          <w:color w:val="111111"/>
          <w:sz w:val="28"/>
          <w:sz w:val="28"/>
          <w:szCs w:val="28"/>
          <w:rtl w:val="true"/>
          <w:lang w:bidi="ar-SA"/>
        </w:rPr>
        <w:t xml:space="preserve">فيه لا أنّ الميتة مانعة </w:t>
      </w:r>
      <w:r>
        <w:rPr>
          <w:rStyle w:val="FootnoteAnchor"/>
          <w:rtl w:val="true"/>
        </w:rPr>
        <w:footnoteReference w:id="1394"/>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التذكية لا تثبت </w:t>
      </w:r>
      <w:r>
        <w:rPr>
          <w:rStyle w:val="FootnoteAnchor"/>
          <w:rtl w:val="true"/>
        </w:rPr>
        <w:footnoteReference w:id="1395"/>
      </w:r>
      <w:r>
        <w:rPr>
          <w:rFonts w:ascii="Amiri" w:hAnsi="Amiri" w:eastAsia="Amiri" w:cs="Amiri"/>
          <w:color w:val="111111"/>
          <w:sz w:val="28"/>
          <w:sz w:val="28"/>
          <w:szCs w:val="28"/>
          <w:rtl w:val="true"/>
          <w:lang w:bidi="ar-SA"/>
        </w:rPr>
        <w:t>كون اللحم ميتة ومع ذلك لا يفيد وعلى تقديره لا تعويل عليه لأنّه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إنّ الحلّ والحرمة على ما هو المستفاد من عنوان الأدلّة ممّا يترتّبان على التذكية وعدمها ، فلا يكون الأصل مثبتا ، ولو سلّم فالمذكّى والميتة ليسا من الأمور الوجودية التي بينها تضادّ كالفسق والعدالة بل أحدهما الملكة ، وثانيهما العدم ، فأصالة عدم الملكة عين إحراز العدم ، فمجرى الأصل وما أضيف إليه في المقام هو العدم فلا يكون من الأصول المثبتة وذلك مثل ما ورد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بعد تحريم النكاح في عناوين خاصّة كالأمّ ونحوها فإنّ أصالة عدم تلك العناوين عين ما وراء تلك العناوين فالأجنبية وما يضادّها ليسا من المتضادّين </w:t>
      </w:r>
      <w:r>
        <w:rPr>
          <w:rStyle w:val="FootnoteAnchor"/>
          <w:rtl w:val="true"/>
        </w:rPr>
        <w:footnoteReference w:id="1397"/>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مبنى القول هذا على أن لا يكون هناك إطلاق وارد ورود الاجتهادي على الأصل هذا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فإنّ النقل أمر توقيفي مبنيّ على ترخيص الشارع ولكن لمّا كان ما دلّ على سببية البيع للنقل مطلقا ، جاز التمسّك بإطلاقه في كلّ مورد يشكّ في سببيته وإن كان المسبّب توقيفيا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التذكية أمر عرفي ولا يدّعي أحد ثبوت الحقيقة الشرعية فيها فكلّ ما صدق التذكية فيه لا بدّ من الأخذ بالإطلاق والحكم بالحلّية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كون التذكية أمرا عرفيا وبين أن يكون السبب في تحقّقها توقيفيا كما في النقل والانتقال فإنّه أمر عرفي إلاّ أنّ الشارع لم يعتبره إلاّ في ضمن البيع ونحوه وإن كان البيع مطلقا ، وليس في الأدلّة ما يدلّ بإطلاقه على سببية التذكية على </w:t>
      </w:r>
    </w:p>
    <w:p>
      <w:pPr>
        <w:pStyle w:val="BookText"/>
        <w:rPr/>
      </w:pPr>
      <w:r>
        <w:rPr>
          <w:rFonts w:ascii="Amiri" w:hAnsi="Amiri" w:eastAsia="Amiri" w:cs="Amiri"/>
          <w:color w:val="111111"/>
          <w:sz w:val="28"/>
          <w:sz w:val="28"/>
          <w:szCs w:val="28"/>
          <w:rtl w:val="true"/>
          <w:lang w:bidi="ar-SA"/>
        </w:rPr>
        <w:t xml:space="preserve">وجه يأخذ بالإطلاق عند الشكّ في القابلية ، أو في الشرطية فإنّ الإطلاق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على تقديره ليس ممّا يستفاد منه الحكم مطلقا لوروده في غير المقام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وذلك 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الشهيد الثاني </w:t>
      </w:r>
      <w:r>
        <w:rPr>
          <w:rStyle w:val="FootnoteAnchor"/>
          <w:rtl w:val="true"/>
        </w:rPr>
        <w:footnoteReference w:id="1402"/>
      </w:r>
      <w:r>
        <w:rPr>
          <w:rFonts w:ascii="Amiri" w:hAnsi="Amiri" w:eastAsia="Amiri" w:cs="Amiri"/>
          <w:color w:val="111111"/>
          <w:sz w:val="28"/>
          <w:sz w:val="28"/>
          <w:szCs w:val="28"/>
          <w:rtl w:val="true"/>
          <w:lang w:bidi="ar-SA"/>
        </w:rPr>
        <w:t xml:space="preserve">حكم بطهارة الحيوان المتولّد من الحيوانين في الروضة </w:t>
      </w:r>
      <w:r>
        <w:rPr>
          <w:rStyle w:val="FootnoteAnchor"/>
          <w:rtl w:val="true"/>
        </w:rPr>
        <w:footnoteReference w:id="1403"/>
      </w:r>
      <w:r>
        <w:rPr>
          <w:rFonts w:ascii="Amiri" w:hAnsi="Amiri" w:eastAsia="Amiri" w:cs="Amiri"/>
          <w:color w:val="111111"/>
          <w:sz w:val="28"/>
          <w:sz w:val="28"/>
          <w:szCs w:val="28"/>
          <w:rtl w:val="true"/>
          <w:lang w:bidi="ar-SA"/>
        </w:rPr>
        <w:t xml:space="preserve">وحرمته معلّلا فيهما بقوله عملا بالأصلين فيهما ، أمّا أصالة الطهارة ، فظاهرة ، وأمّا أصالة الحرمة ، فالمراد بها غير ظاهر فإنّه على ما يظهر منه في عدّة موارد في كتبه ممّا يعوّل على الإطلاق في الدليل الدالّ على سببية التذكية كما يفصح عنه تمسّكه في الحيوانات المختلف فيها في كتاب الأطعمة والأشربة بأصالة الحلّ ، فلا يصحّ 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بالأصل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على </w:t>
      </w:r>
      <w:r>
        <w:rPr>
          <w:rStyle w:val="FootnoteAnchor"/>
          <w:rtl w:val="true"/>
        </w:rPr>
        <w:footnoteReference w:id="1404"/>
      </w:r>
      <w:r>
        <w:rPr>
          <w:rFonts w:ascii="Amiri" w:hAnsi="Amiri" w:eastAsia="Amiri" w:cs="Amiri"/>
          <w:color w:val="111111"/>
          <w:sz w:val="28"/>
          <w:sz w:val="28"/>
          <w:szCs w:val="28"/>
          <w:rtl w:val="true"/>
          <w:lang w:bidi="ar-SA"/>
        </w:rPr>
        <w:t xml:space="preserve">ما أصّلناه ، فلا بدّ له من توجيه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المحقّق الثاني والفاضل الهندي وبعض المعلّقين على الروضة والشهيد الثاني </w:t>
      </w:r>
      <w:r>
        <w:rPr>
          <w:rStyle w:val="FootnoteAnchor"/>
          <w:rtl w:val="true"/>
        </w:rPr>
        <w:footnoteReference w:id="1405"/>
      </w:r>
      <w:r>
        <w:rPr>
          <w:rFonts w:ascii="Amiri" w:hAnsi="Amiri" w:eastAsia="Amiri" w:cs="Amiri"/>
          <w:color w:val="111111"/>
          <w:sz w:val="28"/>
          <w:sz w:val="28"/>
          <w:szCs w:val="28"/>
          <w:rtl w:val="true"/>
          <w:lang w:bidi="ar-SA"/>
        </w:rPr>
        <w:t xml:space="preserve">أيضا في بعض تعليقات الأوّل على الشرائع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وقال أيضا في جامع المقاصد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والمتولّد من الكلب والشاة يتبع 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تنقيحه أنّه إذا كان بصورة أحد النوعين بحيث استحقّ إطلاق اسم ذلك النوع عليه عرفا لحقته أحكامه ؛ لأنّه إذا سمّي بأحدهما اقتراحا تلحقه الأحكام ، ولو لم تغلب عليه صورة أحد النوعين فهو طاهر غير حلال ، تمسّكا بالأصل في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فرائد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وشرح الثاني على</w:t>
      </w:r>
    </w:p>
    <w:p>
      <w:pPr>
        <w:pStyle w:val="BookText"/>
        <w:rPr/>
      </w:pPr>
      <w:r>
        <w:rPr>
          <w:rFonts w:ascii="Amiri" w:hAnsi="Amiri" w:eastAsia="Amiri" w:cs="Amiri"/>
          <w:color w:val="111111"/>
          <w:sz w:val="28"/>
          <w:sz w:val="28"/>
          <w:szCs w:val="28"/>
          <w:rtl w:val="true"/>
          <w:lang w:bidi="ar-SA"/>
        </w:rPr>
        <w:t xml:space="preserve">الروضة </w:t>
      </w:r>
      <w:r>
        <w:rPr>
          <w:rStyle w:val="FootnoteAnchor"/>
          <w:rtl w:val="true"/>
        </w:rPr>
        <w:footnoteReference w:id="1407"/>
      </w:r>
      <w:r>
        <w:rPr>
          <w:rFonts w:ascii="Amiri" w:hAnsi="Amiri" w:eastAsia="Amiri" w:cs="Amiri"/>
          <w:color w:val="111111"/>
          <w:sz w:val="28"/>
          <w:sz w:val="28"/>
          <w:szCs w:val="28"/>
          <w:rtl w:val="true"/>
          <w:lang w:bidi="ar-SA"/>
        </w:rPr>
        <w:t xml:space="preserve">وبعض تعليقات الثالث عليها </w:t>
      </w:r>
      <w:r>
        <w:rPr>
          <w:rStyle w:val="FootnoteAnchor"/>
          <w:rtl w:val="true"/>
        </w:rPr>
        <w:footnoteReference w:id="1408"/>
      </w:r>
      <w:r>
        <w:rPr>
          <w:rFonts w:ascii="Amiri" w:hAnsi="Amiri" w:eastAsia="Amiri" w:cs="Amiri"/>
          <w:color w:val="111111"/>
          <w:sz w:val="28"/>
          <w:sz w:val="28"/>
          <w:szCs w:val="28"/>
          <w:rtl w:val="true"/>
          <w:lang w:bidi="ar-SA"/>
        </w:rPr>
        <w:t xml:space="preserve">وتمهيد القواعد </w:t>
      </w:r>
      <w:r>
        <w:rPr>
          <w:rStyle w:val="FootnoteAnchor"/>
          <w:rtl w:val="true"/>
        </w:rPr>
        <w:footnoteReference w:id="1409"/>
      </w:r>
      <w:r>
        <w:rPr>
          <w:rFonts w:ascii="Amiri" w:hAnsi="Amiri" w:eastAsia="Amiri" w:cs="Amiri"/>
          <w:color w:val="111111"/>
          <w:sz w:val="28"/>
          <w:sz w:val="28"/>
          <w:szCs w:val="28"/>
          <w:rtl w:val="true"/>
          <w:lang w:bidi="ar-SA"/>
        </w:rPr>
        <w:t>أنّ الأصل فيه هو انحصار المحلّل في عناوين مخصوصة وعدم انحصار المحرّم في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أرادوا من ذلك أنّ الشارع قد حصر المحلّل من الأشياء في أشياء مخصوصة وحكم بحرمة ما سواها في دليل دالّ على الحكمين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410"/>
      </w:r>
      <w:r>
        <w:rPr>
          <w:rFonts w:ascii="Amiri" w:hAnsi="Amiri" w:eastAsia="Amiri" w:cs="Amiri"/>
          <w:color w:val="111111"/>
          <w:sz w:val="28"/>
          <w:sz w:val="28"/>
          <w:szCs w:val="28"/>
          <w:rtl w:val="true"/>
          <w:lang w:bidi="ar-SA"/>
        </w:rPr>
        <w:t>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 فليس من الأصل في شيء فإنّه دليل اجتهادي على حرمة ما وراء المحلّلات فلا يصحّ التعبير بالأصل الظاهر منه عند أرباب الصناعة </w:t>
      </w:r>
      <w:r>
        <w:rPr>
          <w:rStyle w:val="FootnoteAnchor"/>
          <w:rtl w:val="true"/>
        </w:rPr>
        <w:footnoteReference w:id="1411"/>
      </w:r>
      <w:r>
        <w:rPr>
          <w:rFonts w:ascii="Amiri" w:hAnsi="Amiri" w:eastAsia="Amiri" w:cs="Amiri"/>
          <w:color w:val="111111"/>
          <w:sz w:val="28"/>
          <w:sz w:val="28"/>
          <w:szCs w:val="28"/>
          <w:rtl w:val="true"/>
          <w:lang w:bidi="ar-SA"/>
        </w:rPr>
        <w:t>ما يعوّل عليه عند الشكّ في مقام العمل ، اللّهمّ إلاّ أن يراد به القاعدة في المقامين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منه الغلبة بمعنى أنّ </w:t>
      </w:r>
      <w:r>
        <w:rPr>
          <w:rStyle w:val="FootnoteAnchor"/>
          <w:rtl w:val="true"/>
        </w:rPr>
        <w:footnoteReference w:id="1412"/>
      </w:r>
      <w:r>
        <w:rPr>
          <w:rFonts w:ascii="Amiri" w:hAnsi="Amiri" w:eastAsia="Amiri" w:cs="Amiri"/>
          <w:color w:val="111111"/>
          <w:sz w:val="28"/>
          <w:sz w:val="28"/>
          <w:szCs w:val="28"/>
          <w:rtl w:val="true"/>
          <w:lang w:bidi="ar-SA"/>
        </w:rPr>
        <w:t xml:space="preserve">الأغلب في اللحوم الحرمة والشكّ يلحق الشيء بالأعمّ الأغلب ، ففيه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الغلبة إن أريد بها الغلبة الشخصية فإنّ الأفراد المحلّلة تزيد على المحرّمة بكثير كما لا يخفى ، وإن أريد بها الغلبة النوعية فعلى تقدير تسليمها على وجه يكفي في حمل المشكوك عليها ، فلا جدوى فيها إذ الكلام في الحيوان المتولّد من الحيوانين ، وبعد لم يعلم مخالفته لنوعي والديه ، فربّما يكون من أفراد أحد النوعين واقعا وإن كان </w:t>
      </w:r>
    </w:p>
    <w:p>
      <w:pPr>
        <w:pStyle w:val="BookText"/>
        <w:rPr/>
      </w:pPr>
      <w:r>
        <w:rPr>
          <w:rFonts w:ascii="Amiri" w:hAnsi="Amiri" w:eastAsia="Amiri" w:cs="Amiri"/>
          <w:color w:val="111111"/>
          <w:sz w:val="28"/>
          <w:sz w:val="28"/>
          <w:szCs w:val="28"/>
          <w:rtl w:val="true"/>
          <w:lang w:bidi="ar-SA"/>
        </w:rPr>
        <w:t xml:space="preserve">يخالفهما </w:t>
      </w:r>
      <w:r>
        <w:rPr>
          <w:rStyle w:val="FootnoteAnchor"/>
          <w:rtl w:val="true"/>
        </w:rPr>
        <w:footnoteReference w:id="1413"/>
      </w:r>
      <w:r>
        <w:rPr>
          <w:rFonts w:ascii="Amiri" w:hAnsi="Amiri" w:eastAsia="Amiri" w:cs="Amiri"/>
          <w:color w:val="111111"/>
          <w:sz w:val="28"/>
          <w:sz w:val="28"/>
          <w:szCs w:val="28"/>
          <w:rtl w:val="true"/>
          <w:lang w:bidi="ar-SA"/>
        </w:rPr>
        <w:t>في الظاهر فمرجع الشكّ إلى الشخص ، وقد عرفت أنّ الغلبة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جميع ذلك لا دليل على اعتبار الغلبة مطلقا ولا سيّما بعد تلك الإطلاقات على ما هو مذاقهم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أنّ الشارع إنّما حكم بانحصار المحلّل في عناوين خاصّة في أدلّة مخصوصة وسكت عن حال المحرّمات ومثل ذلك يعدّ في العرف من حصر المحرّمات فيما عدا المحرّم وإن لم يصرّح بالحصر كما أنّه حصر الحلال من الحيوانات البحرية في السمك ، ومنه فيما له فلس ، ومن الطيور فيما له حوصلة أو صيصة </w:t>
      </w:r>
      <w:r>
        <w:rPr>
          <w:rStyle w:val="FootnoteAnchor"/>
          <w:rtl w:val="true"/>
        </w:rPr>
        <w:footnoteReference w:id="1414"/>
      </w:r>
      <w:r>
        <w:rPr>
          <w:rFonts w:ascii="Amiri" w:hAnsi="Amiri" w:eastAsia="Amiri" w:cs="Amiri"/>
          <w:color w:val="111111"/>
          <w:sz w:val="28"/>
          <w:sz w:val="28"/>
          <w:szCs w:val="28"/>
          <w:rtl w:val="true"/>
          <w:lang w:bidi="ar-SA"/>
        </w:rPr>
        <w:t>ونحو ذلك ، فلو سلّم استفادة الحصر من ذلك ، فلا يجدي فيما نحن بصدده من الحيوانات البرّية لفقدان مثله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يستند في ذلك إلى السيرة فإنّا نراهم لا يعوّلون على أصالة الحلّ والبراءة في اللحوم والحيوانات ، ولذلك يبادرون بالسؤال عنها ، ولا يجوّزون من أنفسهم ارتكاب </w:t>
      </w:r>
      <w:r>
        <w:rPr>
          <w:rStyle w:val="FootnoteAnchor"/>
          <w:rtl w:val="true"/>
        </w:rPr>
        <w:footnoteReference w:id="1415"/>
      </w:r>
      <w:r>
        <w:rPr>
          <w:rFonts w:ascii="Amiri" w:hAnsi="Amiri" w:eastAsia="Amiri" w:cs="Amiri"/>
          <w:color w:val="111111"/>
          <w:sz w:val="28"/>
          <w:sz w:val="28"/>
          <w:szCs w:val="28"/>
          <w:rtl w:val="true"/>
          <w:lang w:bidi="ar-SA"/>
        </w:rPr>
        <w:t>أكلها إلاّ بعد العلم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لعلّه إنّما بواسطة لزوم الفحص في مورد الأصل ولا ينكره أحد فإنّه لا مناص منه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الفحص كما يجب في اللحوم فكذلك يجب في غيرها كما في البقول مثلا ، ومع ذلك يظهر منهم فيها من الجدّ والجهد ما لا يظهر فيها كما يظهر بالرجوع إلى ديدنهم فلعلّه يستند إلى كثرة المحرّمات فيها دون غيرها ، فلو فرضنا مثل ذلك في البقول ، لقلنا بمثله فيها أيضا على ما لا يخفى إلاّ أنّ الإنصاف أنّ اللحوم بعد لا يخلو من شيء ، فتدبّر</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الأصل في كلام الشهيد </w:t>
      </w:r>
      <w:r>
        <w:rPr>
          <w:rStyle w:val="FootnoteAnchor"/>
          <w:rtl w:val="true"/>
        </w:rPr>
        <w:footnoteReference w:id="1416"/>
      </w:r>
      <w:r>
        <w:rPr>
          <w:rFonts w:ascii="Amiri" w:hAnsi="Amiri" w:eastAsia="Amiri" w:cs="Amiri"/>
          <w:color w:val="111111"/>
          <w:sz w:val="28"/>
          <w:sz w:val="28"/>
          <w:szCs w:val="28"/>
          <w:rtl w:val="true"/>
          <w:lang w:bidi="ar-SA"/>
        </w:rPr>
        <w:t>بأنّ ارتضاع الحلال من الحرام يؤثّر في حرمة المرتضع وما يتولّد منه كما يستفاد ذلك من جملة من الأخبار الواردة فيه ، وعلى هذا فقد يمكن دعوى دلالة تلك الأخبار على حرمة الحيوان المتولّد من الحيوانين أيضا ولو بالفحوى إلاّ أنّ كلّ ذلك ممّا لا تعويل عليه وإن كان قد يستشمّ منها كما لا يخفى</w:t>
      </w:r>
      <w:r>
        <w:rPr>
          <w:rFonts w:eastAsia="Amiri" w:cs="Amiri" w:ascii="Amiri" w:hAnsi="Amiri"/>
          <w:color w:val="111111"/>
          <w:sz w:val="28"/>
          <w:szCs w:val="28"/>
          <w:rtl w:val="true"/>
          <w:lang w:bidi="ar-SA"/>
        </w:rPr>
        <w:t xml:space="preserve">. </w:t>
      </w:r>
      <w:bookmarkStart w:id="118" w:name="pg16273_211767"/>
    </w:p>
    <w:p>
      <w:pPr>
        <w:pStyle w:val="Heading3"/>
        <w:numPr>
          <w:ilvl w:val="2"/>
          <w:numId w:val="1"/>
        </w:numPr>
        <w:rPr/>
      </w:pPr>
      <w:bookmarkStart w:id="119" w:name="__RefHeading___Toc4803538_1280447820"/>
      <w:bookmarkStart w:id="120" w:name="_Toc41"/>
      <w:bookmarkEnd w:id="118"/>
      <w:bookmarkEnd w:id="119"/>
      <w:r>
        <w:rPr>
          <w:rtl w:val="true"/>
        </w:rPr>
        <w:t xml:space="preserve">أصل </w:t>
      </w:r>
      <w:r>
        <w:rPr>
          <w:rtl w:val="true"/>
        </w:rPr>
        <w:t xml:space="preserve">[ </w:t>
      </w:r>
      <w:r>
        <w:rPr>
          <w:rtl w:val="true"/>
        </w:rPr>
        <w:t xml:space="preserve">في دوران الأمر بين المحذورين </w:t>
      </w:r>
      <w:r>
        <w:rPr>
          <w:rtl w:val="true"/>
        </w:rPr>
        <w:t>]</w:t>
      </w:r>
      <w:bookmarkEnd w:id="120"/>
    </w:p>
    <w:p>
      <w:pPr>
        <w:pStyle w:val="Heading4"/>
        <w:numPr>
          <w:ilvl w:val="3"/>
          <w:numId w:val="1"/>
        </w:numPr>
        <w:rPr/>
      </w:pPr>
      <w:bookmarkStart w:id="121" w:name="__RefHeading___Toc4803540_1280447820"/>
      <w:bookmarkStart w:id="122" w:name="_Toc42"/>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فيما إذا دار الأمر بين المتباينين من الشكّ في التكليف في الشبهة الحكمية المستندة إلى فقد النصّ أو إجماله ، وأمّا تعارض النصّين ، فستطّلع على تفاصيله في التعادل والتراجيح ، ويتمّ الكلام فيه </w:t>
      </w:r>
      <w:r>
        <w:rPr>
          <w:rStyle w:val="FootnoteAnchor"/>
          <w:rtl w:val="true"/>
        </w:rPr>
        <w:footnoteReference w:id="1417"/>
      </w:r>
      <w:r>
        <w:rPr>
          <w:rFonts w:ascii="Amiri" w:hAnsi="Amiri" w:eastAsia="Amiri" w:cs="Amiri"/>
          <w:color w:val="111111"/>
          <w:sz w:val="28"/>
          <w:sz w:val="28"/>
          <w:szCs w:val="28"/>
          <w:rtl w:val="true"/>
          <w:lang w:bidi="ar-SA"/>
        </w:rPr>
        <w:t xml:space="preserve">في مقامات أربع يستعلم </w:t>
      </w:r>
      <w:r>
        <w:rPr>
          <w:rStyle w:val="FootnoteAnchor"/>
          <w:rtl w:val="true"/>
        </w:rPr>
        <w:footnoteReference w:id="1418"/>
      </w:r>
      <w:r>
        <w:rPr>
          <w:rFonts w:ascii="Amiri" w:hAnsi="Amiri" w:eastAsia="Amiri" w:cs="Amiri"/>
          <w:color w:val="111111"/>
          <w:sz w:val="28"/>
          <w:sz w:val="28"/>
          <w:szCs w:val="28"/>
          <w:rtl w:val="true"/>
          <w:lang w:bidi="ar-SA"/>
        </w:rPr>
        <w:t>منها التزام المكلّف بشيء عند دوران الأمر بينهما ، أو عدمه ، وعلى الأوّل فهل هو التعيين أو التخيير ، وعلى الثاني فهل هو بدوي أو استمراري؟ وعلى التقديرين فهل المفتي يفتي بالمختار للمقلّد أو بالتخيير؟</w:t>
      </w:r>
    </w:p>
    <w:p>
      <w:pPr>
        <w:pStyle w:val="Heading4"/>
        <w:numPr>
          <w:ilvl w:val="3"/>
          <w:numId w:val="1"/>
        </w:numPr>
        <w:rPr/>
      </w:pPr>
      <w:bookmarkStart w:id="123" w:name="__RefHeading___Toc4803542_1280447820"/>
      <w:bookmarkStart w:id="124" w:name="_Toc43"/>
      <w:bookmarkEnd w:id="123"/>
      <w:r>
        <w:rPr>
          <w:rtl w:val="true"/>
        </w:rPr>
        <w:t xml:space="preserve">المقام الأوّل </w:t>
      </w:r>
      <w:r>
        <w:rPr>
          <w:rtl w:val="true"/>
        </w:rPr>
        <w:t xml:space="preserve">: [ </w:t>
      </w:r>
      <w:r>
        <w:rPr>
          <w:rtl w:val="true"/>
        </w:rPr>
        <w:t xml:space="preserve">في اللاحرجية العقلية </w:t>
      </w:r>
      <w:r>
        <w:rPr>
          <w:rtl w:val="true"/>
        </w:rPr>
        <w:t>]</w:t>
      </w:r>
      <w:bookmarkEnd w:id="124"/>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اللاحرجية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المكلّف إذا دار أمره بين المحذورين ، فهل هو ملتزم بشيء أم لا سواء كان ذلك هو التعيين أو التخيير؟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فكما أنّه لو شكّ في الوجوب فقط ، أو في الحرمة كذلك لا يلتزم بهما ويحكم بخلوّ الذمّة عن الشواغل الشرعية ويبنى على البراءة ، فهل له ذلك بالحكم بخلوّ ذمّته عن كلّ منهما تخييرا ، أو تعيينا فيبنى على عدم الحكم والبراءة أو لا بل عليه </w:t>
      </w:r>
    </w:p>
    <w:p>
      <w:pPr>
        <w:pStyle w:val="BookText"/>
        <w:rPr/>
      </w:pPr>
      <w:r>
        <w:rPr>
          <w:rFonts w:ascii="Amiri" w:hAnsi="Amiri" w:eastAsia="Amiri" w:cs="Amiri"/>
          <w:color w:val="111111"/>
          <w:sz w:val="28"/>
          <w:sz w:val="28"/>
          <w:szCs w:val="28"/>
          <w:rtl w:val="true"/>
          <w:lang w:bidi="ar-SA"/>
        </w:rPr>
        <w:t xml:space="preserve">أن يلتزم بشيء </w:t>
      </w:r>
      <w:r>
        <w:rPr>
          <w:rStyle w:val="FootnoteAnchor"/>
          <w:rtl w:val="true"/>
        </w:rPr>
        <w:footnoteReference w:id="1419"/>
      </w:r>
      <w:r>
        <w:rPr>
          <w:rFonts w:ascii="Amiri" w:hAnsi="Amiri" w:eastAsia="Amiri" w:cs="Amiri"/>
          <w:color w:val="111111"/>
          <w:sz w:val="28"/>
          <w:sz w:val="28"/>
          <w:szCs w:val="28"/>
          <w:rtl w:val="true"/>
          <w:lang w:bidi="ar-SA"/>
        </w:rPr>
        <w:t>ولو بالتخيير؟</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تقضي بالأوّل لأنّ الالتزام إمّا بأحدهما معيّنا أو بهما مخيّرا ، وعلى التقديرين لا دليل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 فلأنّ التكليف الواقعي بعد الجهل به لا يؤثّر في الظاهر بوجه لقبح </w:t>
      </w:r>
      <w:r>
        <w:rPr>
          <w:rStyle w:val="FootnoteAnchor"/>
          <w:rtl w:val="true"/>
        </w:rPr>
        <w:footnoteReference w:id="1420"/>
      </w:r>
      <w:r>
        <w:rPr>
          <w:rFonts w:ascii="Amiri" w:hAnsi="Amiri" w:eastAsia="Amiri" w:cs="Amiri"/>
          <w:color w:val="111111"/>
          <w:sz w:val="28"/>
          <w:sz w:val="28"/>
          <w:szCs w:val="28"/>
          <w:rtl w:val="true"/>
          <w:lang w:bidi="ar-SA"/>
        </w:rPr>
        <w:t>التكليف بلا بيان ، فلا وجه للقول بالتكليف بأحدهما في الواقع كما أنّه لا وجه للعقاب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 فلأنّ التخيير ليس من آثار الوجوب أو الحرمة الواقعية إذ لا يقتضي شيء منهما به ، ولا دليل على انقلاب التكليف التعييني في الواقع إلى التخيير فإنّ الواجب العيني أو الحرام العيني لا بدّ في انقلابهما إلى التخييري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الآمرة بانقياد العبد لأوامر المولى ونواهيه وأدلّة وجوب الإطاعة ناهضة في المقام ، وقضيّتها الالتزام في الجملة لا الحكم بالبراءة وخلوّ الذمّة والقول بعدم الحرج كما في أفعال البهائم والصبيان والحكم بخلوّ الواقعة عن الأحكام الظاهرية كما هو مفاد البراءة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لزوم الانقياد والإطاعة التديّن بأوامره تعالى ونواهيه فإن أراد ذلك بالنسبة إلى ما هو الواجب أو </w:t>
      </w:r>
      <w:r>
        <w:rPr>
          <w:rStyle w:val="FootnoteAnchor"/>
          <w:rtl w:val="true"/>
        </w:rPr>
        <w:footnoteReference w:id="1421"/>
      </w:r>
      <w:r>
        <w:rPr>
          <w:rFonts w:ascii="Amiri" w:hAnsi="Amiri" w:eastAsia="Amiri" w:cs="Amiri"/>
          <w:color w:val="111111"/>
          <w:sz w:val="28"/>
          <w:sz w:val="28"/>
          <w:szCs w:val="28"/>
          <w:rtl w:val="true"/>
          <w:lang w:bidi="ar-SA"/>
        </w:rPr>
        <w:t xml:space="preserve">الحرام بخصوصه ، فلا إمكان فيه ، وإن أراد التديّن به ولو إجمالا ، فنحن لا ننكره بل نحن مؤمنون بكلّ ما جاء به الرسول ، وإن أراد التديّن بالتخيير بينهما والانقياد به ، فلا إمكان فيه إذ لم يثبت وجوبه حتّى ينقاد به ، وإن أريد العمل على طبق ما جاء به النبيّ صلى‌اللّه‌عليه‌وآله ، فإن أراد العمل بالواجب والحرام الواقعيين مع قصد الوجوب والحرمة فلا إمكان فيه ، وإن أراد تطبيق العمل بهما فهو كذلك لأنّ التكليف لا يخلو من الفعل والترك دائما ، فالعمل إمّا على الوجوب ، أو على الحرمة إذ </w:t>
      </w:r>
    </w:p>
    <w:p>
      <w:pPr>
        <w:pStyle w:val="BookText"/>
        <w:rPr/>
      </w:pPr>
      <w:r>
        <w:rPr>
          <w:rFonts w:ascii="Amiri" w:hAnsi="Amiri" w:eastAsia="Amiri" w:cs="Amiri"/>
          <w:color w:val="111111"/>
          <w:sz w:val="28"/>
          <w:sz w:val="28"/>
          <w:szCs w:val="28"/>
          <w:rtl w:val="true"/>
          <w:lang w:bidi="ar-SA"/>
        </w:rPr>
        <w:t xml:space="preserve">لا واسطة بين الفعل والترك ، فالمكلّف دائما إمّا أن يفعل الفعل أو يتركه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بالتكليف منجّز له ولهذا تراهم يقولون بتكليف الكفّار بالفروع فأدلّة الإطاعة والانقياد بالنسبة إلى أوامره تعالى ناهضة محكّمة ، ومن هنا قلنا </w:t>
      </w:r>
      <w:r>
        <w:rPr>
          <w:rStyle w:val="FootnoteAnchor"/>
          <w:rtl w:val="true"/>
        </w:rPr>
        <w:footnoteReference w:id="1423"/>
      </w:r>
      <w:r>
        <w:rPr>
          <w:rFonts w:ascii="Amiri" w:hAnsi="Amiri" w:eastAsia="Amiri" w:cs="Amiri"/>
          <w:color w:val="111111"/>
          <w:sz w:val="28"/>
          <w:sz w:val="28"/>
          <w:szCs w:val="28"/>
          <w:rtl w:val="true"/>
          <w:lang w:bidi="ar-SA"/>
        </w:rPr>
        <w:t xml:space="preserve">فيما سبق بأنّ الموافقة القطعية لو لم تكن </w:t>
      </w:r>
      <w:r>
        <w:rPr>
          <w:rStyle w:val="FootnoteAnchor"/>
          <w:rtl w:val="true"/>
        </w:rPr>
        <w:footnoteReference w:id="1424"/>
      </w:r>
      <w:r>
        <w:rPr>
          <w:rFonts w:ascii="Amiri" w:hAnsi="Amiri" w:eastAsia="Amiri" w:cs="Amiri"/>
          <w:color w:val="111111"/>
          <w:sz w:val="28"/>
          <w:sz w:val="28"/>
          <w:szCs w:val="28"/>
          <w:rtl w:val="true"/>
          <w:lang w:bidi="ar-SA"/>
        </w:rPr>
        <w:t>ممكنة ، فلا بدّ من الموافقة الظنّية وهكذا متدرّجا إلى أن يصل إلى الموافقة الاحتمالية بعد ثبوت العلم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أنّ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كلام صاحب المعالم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مطبقون على عدم جواز طرح القولين بين الطائفة والرجوع إلى ثالث خارج منهما للقطع ببطلان الثالث فإنّه لا فرق في المقام وهناك إلاّ فيما لا يؤثّر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 بأنّ أخبار التخيير الواردة في تعارض الخبرين ربّما تدلّ على التخيير في المقام أيضا ولو بفحوى الخطاب بدعوى أنّ الحكم بالتخيير فيما إذا ورد خبران ليس إلاّ باعتبار اشتمالهما على الحكمين وهو موجود في المقام بل ربّما يستفاد من طريقة العقلاء التزامهم في أمثال المقام بشيء من الحكمين فإنّه يعدّ من المخالفة في نظرهم ، على أنّ المبالاة بالأوامر الشرعية والاعتناء بها واجبة قطعا ، وفي ترك الحكمين تخييرا أو تعيينا وعدم الالتزام بشيء منهما والحكم بأنّه لا حرج في الفعل والترك مع العلم بوجوبه أو حرمته من عدم المبالاة وترك الاعتناء ما لا يخفى على المتدبّر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الكلّ بعد قاصر عن إفادة المطلوب ، أمّا حديث العلم الإجمالي وتنجّز التكليف به ولزوم الانقياد بأوامره تعالى ، فهو على إطلاقه لا ينهض بإثبات المطلوب </w:t>
      </w:r>
    </w:p>
    <w:p>
      <w:pPr>
        <w:pStyle w:val="BookText"/>
        <w:rPr/>
      </w:pPr>
      <w:r>
        <w:rPr>
          <w:rFonts w:ascii="Amiri" w:hAnsi="Amiri" w:eastAsia="Amiri" w:cs="Amiri"/>
          <w:color w:val="111111"/>
          <w:sz w:val="28"/>
          <w:sz w:val="28"/>
          <w:szCs w:val="28"/>
          <w:rtl w:val="true"/>
          <w:lang w:bidi="ar-SA"/>
        </w:rPr>
        <w:t xml:space="preserve">بل فيما يلزم </w:t>
      </w:r>
      <w:r>
        <w:rPr>
          <w:rStyle w:val="FootnoteAnchor"/>
          <w:rtl w:val="true"/>
        </w:rPr>
        <w:footnoteReference w:id="1426"/>
      </w:r>
      <w:r>
        <w:rPr>
          <w:rFonts w:ascii="Amiri" w:hAnsi="Amiri" w:eastAsia="Amiri" w:cs="Amiri"/>
          <w:color w:val="111111"/>
          <w:sz w:val="28"/>
          <w:sz w:val="28"/>
          <w:szCs w:val="28"/>
          <w:rtl w:val="true"/>
          <w:lang w:bidi="ar-SA"/>
        </w:rPr>
        <w:t>المخالفة العملية على تقدير عدم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ليس المقصود بالأوامر الآمرة بالانقياد والالتزام بأوامره والانزجار عن نواهيه التعبّد بها بل المراد بها وقوع الفعل المأمور به وترك الفعل المنهيّ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فالأمر بالالتزام إنّما هو للتوصّل إلى الفعل والترك ، فلو فرضنا حصول الفعل المأمور به وترك الفعل المنهيّ عنه دائما ، فلا فائدة في الإلزام </w:t>
      </w:r>
      <w:r>
        <w:rPr>
          <w:rStyle w:val="FootnoteAnchor"/>
          <w:rtl w:val="true"/>
        </w:rPr>
        <w:footnoteReference w:id="1427"/>
      </w:r>
      <w:r>
        <w:rPr>
          <w:rFonts w:ascii="Amiri" w:hAnsi="Amiri" w:eastAsia="Amiri" w:cs="Amiri"/>
          <w:color w:val="111111"/>
          <w:sz w:val="28"/>
          <w:sz w:val="28"/>
          <w:szCs w:val="28"/>
          <w:rtl w:val="true"/>
          <w:lang w:bidi="ar-SA"/>
        </w:rPr>
        <w:t>بالالتزام بمثل ذلك إذ المفروض حصول المقصود ، فالداعي للأمر شرعا مفقود كما أنّ العقل أيضا في هذه الحالة ممّا لا يحكم بالالتزام ، وذلك لا ينافي وجوبه أو حرمته بدون الفعل والترك كما هو الشأن في الواجبات التوصّلية فإنّها قبل الحصول واجبات ، وبعده لا أمر حتّى يكون هناك واجب أو غير ذلك ، غاية الأمر عدم ترتّب الثواب على الفعل والترك عند حصولهما في الخارج من غير قصد الإطاعة فإنّها لا تصدق فيما لم يقصد الفاعل أو التارك امتثال الأمر أو النهي ، ولا ضير في ذلك بعد ما فرضنا من أنّ المقصود من تلك الأوامر ليس إلاّ التوصّل إلى الأفعال المأمور بها والتروك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تقرّر هذه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والحرام المحتمل كلاّ منهما فيما دار الأمر بينهما ، إمّا أن يكونا تعبّديين ، أو توصّليين ، أو أحدهما تعبّديا ، والآخر توصّليا ، فإمّا مع تعيين التعبّدي ، وإمّا مع الجهل به كأن يعلم أنّ أحدهما تعبّدي إجمالا ، والآخر توصّلي ، وحيث إنّ الغرض من التوصّلي على ما عرفت هو وقوع الفعل في الخارج على وجه لا يناط في تحقّقه صدق الامتثال وإن كان الفعل معلوما بالتفصيل ، ففيما لو كان الفعل موجودا وإن لم يكن امتثالا فيجزي عن الأمر بنفس الفعل فضلا عن الأمر بالالتزام ؛ إذ ليس المقصود به الاعتقاد تعبّدا كما في العقائد ، فعلى هذا فيما لو كان الواجب والحرام توصّليين ، لا يلزم مخالفة في العمل لحصول الفعل أو الترك دائما وبعد </w:t>
      </w:r>
    </w:p>
    <w:p>
      <w:pPr>
        <w:pStyle w:val="BookText"/>
        <w:rPr/>
      </w:pPr>
      <w:r>
        <w:rPr>
          <w:rFonts w:ascii="Amiri" w:hAnsi="Amiri" w:eastAsia="Amiri" w:cs="Amiri"/>
          <w:color w:val="111111"/>
          <w:sz w:val="28"/>
          <w:sz w:val="28"/>
          <w:szCs w:val="28"/>
          <w:rtl w:val="true"/>
          <w:lang w:bidi="ar-SA"/>
        </w:rPr>
        <w:t xml:space="preserve">حصوله يسقط الأمران ، وإن لم يكن الفاعل والتارك مثابا وممتثلا ، ويمتنع </w:t>
      </w:r>
      <w:r>
        <w:rPr>
          <w:rStyle w:val="FootnoteAnchor"/>
          <w:rtl w:val="true"/>
        </w:rPr>
        <w:footnoteReference w:id="1428"/>
      </w:r>
      <w:r>
        <w:rPr>
          <w:rFonts w:ascii="Amiri" w:hAnsi="Amiri" w:eastAsia="Amiri" w:cs="Amiri"/>
          <w:color w:val="111111"/>
          <w:sz w:val="28"/>
          <w:sz w:val="28"/>
          <w:szCs w:val="28"/>
          <w:rtl w:val="true"/>
          <w:lang w:bidi="ar-SA"/>
        </w:rPr>
        <w:t>الأمر به حينئذ لامتناع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تعبّديين فلا شكّ في لزوم المخالفة العملية لوجود الواسطة بين الفعل والترك المطلقين وهو الفعل على وجه التعبّد والترك كذلك ، والمكلّف يصحّ خلوّه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أحدهما تعبّديا والآخر توصّليا فإن كان التعبّدي معيّنا كالواجب بمعنى أنّ الواجب المحتمل على تقديره تعبّدي كما في دوران الأمر للحائض بين الصلاة وتركها والصوم وتركه فإنّهما على تقدير الوجوب تعبّديان ، فلا خفاء أيضا في أنّ العمل لا يلزم أن يكون دائما مطابقا لأحدهما لإمكان الإتيان بصورة الصلاة من دون التعبّد وهي ليس بالفعل لانضمام القيد إليه ولا بالترك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التعبّدي منهما غير معلوم ، فالموافقة العملية حاصلة لإمكان أن يكون المأتيّ به دائما هو غير التعبّدي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فبعد عدم إمكان الموافقة القطعية والظنّية ، فلا مناص من الموافقة الاحتمالية ونحن لا ننكر ذلك إلاّ أنّ قضيّته لا يزيد على لزوم الإتيان والالتزام فيما لا يحصل إلاّ بعنوان خاصّ كالقربة والتعبّد مثلا ، وفي التعبّديات نحن نلتزم بوجوب الالتزام حذرا من المخالفة العملية القطعية ، 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يكونا توصّليين أو أحدهما توصّليا مع عدم العلم بالتعبّدي على وجه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الالتزام بحصول الفعل المأمور به والترك دائما لعدم الواسطة في الأوّل وحصول الموافقة الاحتمالية في الثاني إذ كلّ من الفعل والترك يحتمل أن يكون توصّليا ولا يخلو المكلّف منهما ، فيحتمل دائما حصول المطلوب إذ المفروض أنّ الأمر بالالتزام توصّلي ، والأمر بنفس الفعل والمنهيّ عنه أيضا توصّليان ، وسقوط الواجب التوصّلي بحصول الفعل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غير وجه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مجال لإنكاره حذرا من لزوم تحصيل </w:t>
      </w:r>
      <w:bookmarkStart w:id="125" w:name="pg16273_211772"/>
    </w:p>
    <w:p>
      <w:pPr>
        <w:pStyle w:val="BookText"/>
        <w:rPr/>
      </w:pPr>
      <w:bookmarkEnd w:id="125"/>
      <w:r>
        <w:rPr>
          <w:rFonts w:ascii="Amiri" w:hAnsi="Amiri" w:eastAsia="Amiri" w:cs="Amiri"/>
          <w:color w:val="111111"/>
          <w:sz w:val="28"/>
          <w:sz w:val="28"/>
          <w:szCs w:val="28"/>
          <w:rtl w:val="true"/>
          <w:lang w:bidi="ar-SA"/>
        </w:rPr>
        <w:t>الحاصل في وجه وخلاف الفرض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Style w:val="FootnoteAnchor"/>
          <w:rtl w:val="true"/>
        </w:rPr>
        <w:footnoteReference w:id="1430"/>
      </w:r>
      <w:r>
        <w:rPr>
          <w:rFonts w:ascii="Amiri" w:hAnsi="Amiri" w:eastAsia="Amiri" w:cs="Amiri"/>
          <w:color w:val="111111"/>
          <w:sz w:val="28"/>
          <w:sz w:val="28"/>
          <w:szCs w:val="28"/>
          <w:rtl w:val="true"/>
          <w:lang w:bidi="ar-SA"/>
        </w:rPr>
        <w:t xml:space="preserve">من جميع ما مرّ من أنّ المخالفة القطعية لو صادفتها </w:t>
      </w:r>
      <w:r>
        <w:rPr>
          <w:rStyle w:val="FootnoteAnchor"/>
          <w:rtl w:val="true"/>
        </w:rPr>
        <w:footnoteReference w:id="1431"/>
      </w:r>
      <w:r>
        <w:rPr>
          <w:rFonts w:ascii="Amiri" w:hAnsi="Amiri" w:eastAsia="Amiri" w:cs="Amiri"/>
          <w:color w:val="111111"/>
          <w:sz w:val="28"/>
          <w:sz w:val="28"/>
          <w:szCs w:val="28"/>
          <w:rtl w:val="true"/>
          <w:lang w:bidi="ar-SA"/>
        </w:rPr>
        <w:t xml:space="preserve">الموافقة </w:t>
      </w:r>
      <w:r>
        <w:rPr>
          <w:rStyle w:val="FootnoteAnchor"/>
          <w:rtl w:val="true"/>
        </w:rPr>
        <w:footnoteReference w:id="1432"/>
      </w:r>
      <w:r>
        <w:rPr>
          <w:rFonts w:ascii="Amiri" w:hAnsi="Amiri" w:eastAsia="Amiri" w:cs="Amiri"/>
          <w:color w:val="111111"/>
          <w:sz w:val="28"/>
          <w:sz w:val="28"/>
          <w:szCs w:val="28"/>
          <w:rtl w:val="true"/>
          <w:lang w:bidi="ar-SA"/>
        </w:rPr>
        <w:t>العملية ، فلا دليل على فسادها كما في التوصّليات ، وإلاّ فلا بدّ من الالتزام أخذا بالأدلّة الدالّة على لزوم اتّباع حكم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ادّعاه صاحب المعالم من إطباق الفرقة على لزوم الأخذ بأحد الحكمين المجمع عليهما إجمالا ، فمحمول على ما ذكرناه فيما لو لم يوافق العمل أحد القولين دائما ، على أنّ الشيخ </w:t>
      </w:r>
      <w:r>
        <w:rPr>
          <w:rStyle w:val="FootnoteAnchor"/>
          <w:rtl w:val="true"/>
        </w:rPr>
        <w:footnoteReference w:id="1433"/>
      </w:r>
      <w:r>
        <w:rPr>
          <w:rFonts w:ascii="Amiri" w:hAnsi="Amiri" w:eastAsia="Amiri" w:cs="Amiri"/>
          <w:color w:val="111111"/>
          <w:sz w:val="28"/>
          <w:sz w:val="28"/>
          <w:szCs w:val="28"/>
          <w:rtl w:val="true"/>
          <w:lang w:bidi="ar-SA"/>
        </w:rPr>
        <w:t>حكم بالتخيير الواقعي بين الحكمين ومن المعلوم توافقهما في نفي الثالث وإن كان هو التخيير ، وأمّا دعوى دلالة أخبار التخيير على لزوم الأخذ بمطلق الحكمين المتباينين تخييرا فعهدتها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فلا نسلّم فيما وافق أحدهما العمل دائما ، وأمّا بناء العقلاء على لزوم الأخذ ، فمسلّم فيما لا يوافق العمل ، وأمّا الالتزام والاعتناء لا يقضي بذلك فإنّ المحرّم هو عدم المبالاة بالشرع وترك الاعتناء إليه واللزوم على تقدير الموافقة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الإنصاف أنّ الأدلّة المذكورة وإن لم تكن على وجه يعوّل عليها في الحكم كما عرفت من وجوه الضعف فيها إلاّ أنّ المسألة بعد محلّ إشكال ، فلم يرتفع نقاب الشكّ عن وجه المطلوب على ما ينبغي كما لا يخفى ، فتدبّر</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803544_1280447820"/>
      <w:bookmarkStart w:id="127" w:name="_Toc44"/>
      <w:bookmarkEnd w:id="126"/>
      <w:r>
        <w:rPr>
          <w:rtl w:val="true"/>
        </w:rPr>
        <w:t xml:space="preserve">المقام الثاني </w:t>
      </w:r>
      <w:r>
        <w:rPr>
          <w:rtl w:val="true"/>
        </w:rPr>
        <w:t xml:space="preserve">: [ </w:t>
      </w:r>
      <w:r>
        <w:rPr>
          <w:rtl w:val="true"/>
        </w:rPr>
        <w:t xml:space="preserve">في التخيير أو الترجيح </w:t>
      </w:r>
      <w:r>
        <w:rPr>
          <w:rtl w:val="true"/>
        </w:rPr>
        <w:t>]</w:t>
      </w:r>
      <w:bookmarkEnd w:id="12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بعد ما قلنا بأنّ الحكم فيما دار الأمر بين المحذورين ليس عدم الحكم والحرج بل لا بدّ من الالتزام ، فهل الحكم هو التخيير بين الوجوب والحرمة ، أو لا بدّ من </w:t>
      </w:r>
    </w:p>
    <w:p>
      <w:pPr>
        <w:pStyle w:val="BookText"/>
        <w:rPr/>
      </w:pPr>
      <w:r>
        <w:rPr>
          <w:rFonts w:ascii="Amiri" w:hAnsi="Amiri" w:eastAsia="Amiri" w:cs="Amiri"/>
          <w:color w:val="111111"/>
          <w:sz w:val="28"/>
          <w:sz w:val="28"/>
          <w:szCs w:val="28"/>
          <w:rtl w:val="true"/>
          <w:lang w:bidi="ar-SA"/>
        </w:rPr>
        <w:t xml:space="preserve">ترجيح جانب الحرمة؟ قد يقال بالثاني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وبيان ذلك أنّا تتبّعنا الموارد التي اجتمع فيها الوجوب والحرمة كالعبادة للحائض في أيّام استظهاره وعبادة المبتدأة والإناء المشتبه فوجدنا الشارع قد حكم فيها بغلبة جانب الحرمة على الوجوب ، وهذا يوجب العلم ولا أقلّ من الظنّ بأنّ مبنى الشرعيات على غلبة </w:t>
      </w:r>
      <w:r>
        <w:rPr>
          <w:rStyle w:val="FootnoteAnchor"/>
          <w:rtl w:val="true"/>
        </w:rPr>
        <w:footnoteReference w:id="1434"/>
      </w:r>
      <w:r>
        <w:rPr>
          <w:rFonts w:ascii="Amiri" w:hAnsi="Amiri" w:eastAsia="Amiri" w:cs="Amiri"/>
          <w:color w:val="111111"/>
          <w:sz w:val="28"/>
          <w:sz w:val="28"/>
          <w:szCs w:val="28"/>
          <w:rtl w:val="true"/>
          <w:lang w:bidi="ar-SA"/>
        </w:rPr>
        <w:t xml:space="preserve">جهة الحرمة على جهة الوجوب واعلم أنّه يمكن الفرق بين الغلبة المدّعى بها في كلامهم والاستقراء بأنّ الغلبة لا بدّ في تحقّقها من أن يكون هناك فرد نادر بخلاف الأفراد الغالبة ، ولا يجب ذلك في الاستقراء إذ قد لا يكون هناك </w:t>
      </w:r>
      <w:r>
        <w:rPr>
          <w:rStyle w:val="FootnoteAnchor"/>
          <w:rtl w:val="true"/>
        </w:rPr>
        <w:footnoteReference w:id="1435"/>
      </w:r>
      <w:r>
        <w:rPr>
          <w:rFonts w:ascii="Amiri" w:hAnsi="Amiri" w:eastAsia="Amiri" w:cs="Amiri"/>
          <w:color w:val="111111"/>
          <w:sz w:val="28"/>
          <w:sz w:val="28"/>
          <w:szCs w:val="28"/>
          <w:rtl w:val="true"/>
          <w:lang w:bidi="ar-SA"/>
        </w:rPr>
        <w:t>فرد نادر ؛ بل قد يقال بوجوب عدمه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 وبيانها أنّ الأمر في المقام دائر بين التعيين والتخيير بين الحرام والواجب ، فلو أخذنا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بالحرمة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بالامتثال بخلاف ما لو أخذنا </w:t>
      </w:r>
      <w:r>
        <w:rPr>
          <w:rStyle w:val="FootnoteAnchor"/>
          <w:rtl w:val="true"/>
        </w:rPr>
        <w:footnoteReference w:id="1436"/>
      </w:r>
      <w:r>
        <w:rPr>
          <w:rFonts w:ascii="Amiri" w:hAnsi="Amiri" w:eastAsia="Amiri" w:cs="Amiri"/>
          <w:color w:val="111111"/>
          <w:sz w:val="28"/>
          <w:sz w:val="28"/>
          <w:szCs w:val="28"/>
          <w:rtl w:val="true"/>
          <w:lang w:bidi="ar-SA"/>
        </w:rPr>
        <w:t>بالتخيير إذ يحتمل أن يكون المطلوب هو التعيين فهو القدر المتيقّن ، ولا بدّ من الأخذ به ليرتفع العلم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الأمر والوجوب على إحراز المصلحة وجلب المنفعة ووجه النهي والحرمة على نفي المفسدة ودفع المضرّة ، والعقل بصرافته لو دار الأمر بين جلب المنفعة ودفع المضرّة ربّما يحكم بأولويّة الثاني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المنفعة كثيرة والمضرّة قليلة ، فكيف ينافي الحكم بالأولوية </w:t>
      </w:r>
      <w:r>
        <w:rPr>
          <w:rStyle w:val="FootnoteAnchor"/>
          <w:rtl w:val="true"/>
        </w:rPr>
        <w:footnoteReference w:id="1437"/>
      </w:r>
      <w:r>
        <w:rPr>
          <w:rFonts w:ascii="IRNazanin" w:hAnsi="IRNazanin" w:eastAsia="IRNazanin"/>
          <w:color w:val="111111"/>
          <w:sz w:val="28"/>
          <w:sz w:val="28"/>
          <w:szCs w:val="28"/>
          <w:rtl w:val="true"/>
          <w:lang w:bidi="fa-IR"/>
        </w:rPr>
        <w:t>على إطلاقها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بذلك صحّ ما ذكر ، وإلاّ فاحتمال الكثرة في كلّ منهما سواء ، والكلام في أولوية دفع المضرّة من جلب المنفعة لو جرّدا عن جميع ما يمكن احتفافهما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الأمر والنهي كلّ من الأمرين متحقّق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مبنى الأمر على ما قلنا عند العقلاء على إحراز المصلحة والنهي بخلافه ، فلا يضرّ في ذلك وجود الوجوب التبعي في النهي ، والحرمة التبعية في الأمر إذ الحكم التبعي فيهما مبنيّ على عدم المصلحة والمفسدة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اجتمع الحلال والحرام غلب الحرام الحلال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الكلّ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w:t>
      </w:r>
      <w:r>
        <w:rPr>
          <w:rStyle w:val="FootnoteAnchor"/>
          <w:rtl w:val="true"/>
        </w:rPr>
        <w:footnoteReference w:id="1439"/>
      </w:r>
      <w:r>
        <w:rPr>
          <w:rFonts w:ascii="Amiri" w:hAnsi="Amiri" w:eastAsia="Amiri" w:cs="Amiri"/>
          <w:color w:val="111111"/>
          <w:sz w:val="28"/>
          <w:sz w:val="28"/>
          <w:szCs w:val="28"/>
          <w:rtl w:val="true"/>
          <w:lang w:bidi="ar-SA"/>
        </w:rPr>
        <w:t xml:space="preserve">الأوّل ، فبمنع الاستقراء ، كيف ونحن لم نجد مثالا لما نحن بصدده ولو واحدا ، والعجب أنّه لم يكتف بدعوى الاستقراء عن الغلبة مع </w:t>
      </w:r>
      <w:r>
        <w:rPr>
          <w:rStyle w:val="FootnoteAnchor"/>
          <w:rtl w:val="true"/>
        </w:rPr>
        <w:footnoteReference w:id="1440"/>
      </w:r>
      <w:r>
        <w:rPr>
          <w:rFonts w:ascii="Amiri" w:hAnsi="Amiri" w:eastAsia="Amiri" w:cs="Amiri"/>
          <w:color w:val="111111"/>
          <w:sz w:val="28"/>
          <w:sz w:val="28"/>
          <w:szCs w:val="28"/>
          <w:rtl w:val="true"/>
          <w:lang w:bidi="ar-SA"/>
        </w:rPr>
        <w:t>أنّ الأمر في الاستقراء على ما نبّهنا عليه أصعب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الأمثلة المذكورة فممّا لا مساس لها بالمقام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منها ، فلأنّ الحكم فيها في أيّام الاستظهار إنّما هو بواسطة أمر اجتهادي وهو حكم المعصوم بحرمة الصلاة مثلا ، ويكفي في المقام عدم العلم بالوجه في حكم المعصوم ، فلعلّه لم يكن من حيث إنّه مجهول الحكم ، ومنه يعلم الحال في الثاني أيضا لأنّ الحكم بالحرمة من جهة القاعدة المقرّرة عندهم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يمكن أن يكون حيضا فهو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راجع إلى بيان الموضوع ، وإلاّ فكيف يعقل طرح الاستصحابات الكثيرة فيه من استصحاب وجوب الصلاة وجواز قراءة العزائم ونحوها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أيضا فإنّ الحكم بإهراق الإناءين من جهة النصّ فلعلّه لا يناط بالجهل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w:t>
      </w:r>
      <w:r>
        <w:rPr>
          <w:rStyle w:val="FootnoteAnchor"/>
          <w:rtl w:val="true"/>
        </w:rPr>
        <w:footnoteReference w:id="1441"/>
      </w:r>
      <w:r>
        <w:rPr>
          <w:rFonts w:ascii="Amiri" w:hAnsi="Amiri" w:eastAsia="Amiri" w:cs="Amiri"/>
          <w:color w:val="111111"/>
          <w:sz w:val="28"/>
          <w:sz w:val="28"/>
          <w:szCs w:val="28"/>
          <w:rtl w:val="true"/>
          <w:lang w:bidi="ar-SA"/>
        </w:rPr>
        <w:t xml:space="preserve">الثاني ، فلأنّ قاعدة الاشتغال لا تجري </w:t>
      </w:r>
      <w:r>
        <w:rPr>
          <w:rStyle w:val="FootnoteAnchor"/>
          <w:rtl w:val="true"/>
        </w:rPr>
        <w:footnoteReference w:id="1442"/>
      </w:r>
      <w:r>
        <w:rPr>
          <w:rFonts w:ascii="Amiri" w:hAnsi="Amiri" w:eastAsia="Amiri" w:cs="Amiri"/>
          <w:color w:val="111111"/>
          <w:sz w:val="28"/>
          <w:sz w:val="28"/>
          <w:szCs w:val="28"/>
          <w:rtl w:val="true"/>
          <w:lang w:bidi="ar-SA"/>
        </w:rPr>
        <w:t xml:space="preserve">في المسائل العقلية إذ الحاكم </w:t>
      </w:r>
      <w:bookmarkStart w:id="128" w:name="pg16273_211775"/>
    </w:p>
    <w:p>
      <w:pPr>
        <w:pStyle w:val="BookText"/>
        <w:rPr/>
      </w:pPr>
      <w:bookmarkEnd w:id="128"/>
      <w:r>
        <w:rPr>
          <w:rFonts w:ascii="Amiri" w:hAnsi="Amiri" w:eastAsia="Amiri" w:cs="Amiri"/>
          <w:color w:val="111111"/>
          <w:sz w:val="28"/>
          <w:sz w:val="28"/>
          <w:szCs w:val="28"/>
          <w:rtl w:val="true"/>
          <w:lang w:bidi="ar-SA"/>
        </w:rPr>
        <w:t>فيها العقل وهو موجود في زمان الشكّ أيضا ، فلا بدّ من التحلية في تحصيل حكم العقل لو اشتبهت حكمه بواسطة ممازجته بالحجب الوهمانية ، واختلاطه بالأوهام النفسانية فإن حكم بالتعيين ، فهو المتّبع أو بالتخيير فكذلك ، وأمّا الشكّ فلا يتصوّر في أمثال المقام إذ كيف يعقل كون العقل حاكما مع الجهل بموضوع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ذلك فيما لو قلنا بأنّ العقل كاشف عن الحكم الشرعي ، وحيث إنّ الحاكم هو الشرع فيمكن حصول الجهل بموضوع حكمه ، فيحكم العقل بالتعيين فيما لو دار الأمر بينه وبين التخيير وذلك ظاهر ، وسيجيء تفصيله في غير المقام على وجه يندفع به الشكوك والأوهام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 ، فلأنّ الحكم بالأولوية ممّا لا يجدي في التعيين إذ غاية الأمر هو الحكم بالاستحباب وهو لا ينافي التخيير ، اللّهمّ إلاّ أن يدّعى بأنّ العقل لو جرّد النظر عن جميع الخصوصيات المختصّة بالمقام ، يحكم بالوجوب ،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الرابع ، فلأنّ الظاهر منه هو اجتماع الحلال والحرام في شيء واحد على نحو الممازجة ، وكيف ما كان ، فلا يبعد دعوى التعيين في المقام نظرا إلى حكم العقل في الدليل الثالث كما لا يخفى</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803546_1280447820"/>
      <w:bookmarkStart w:id="130" w:name="_Toc45"/>
      <w:bookmarkEnd w:id="129"/>
      <w:r>
        <w:rPr>
          <w:rtl w:val="true"/>
        </w:rPr>
        <w:t xml:space="preserve">المقام الثالث </w:t>
      </w:r>
      <w:r>
        <w:rPr>
          <w:rtl w:val="true"/>
        </w:rPr>
        <w:t xml:space="preserve">: [ </w:t>
      </w:r>
      <w:r>
        <w:rPr>
          <w:rtl w:val="true"/>
        </w:rPr>
        <w:t xml:space="preserve">في كون التخيير بدويا أو استمراريا </w:t>
      </w:r>
      <w:r>
        <w:rPr>
          <w:rtl w:val="true"/>
        </w:rPr>
        <w:t>]</w:t>
      </w:r>
      <w:bookmarkEnd w:id="130"/>
    </w:p>
    <w:p>
      <w:pPr>
        <w:pStyle w:val="BookText"/>
        <w:rPr/>
      </w:pPr>
      <w:r>
        <w:rPr>
          <w:rFonts w:ascii="Amiri" w:hAnsi="Amiri" w:eastAsia="Amiri" w:cs="Amiri"/>
          <w:color w:val="111111"/>
          <w:sz w:val="28"/>
          <w:sz w:val="28"/>
          <w:szCs w:val="28"/>
          <w:rtl w:val="true"/>
          <w:lang w:bidi="ar-SA"/>
        </w:rPr>
        <w:t xml:space="preserve">في أنّ بعد القول بالتخيير ، فهل هو بدوي ، أو استمراري؟ قد يقال بالأوّل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 وبيانها أنّ الأمر دائر بين التخيير والتعيين وقد أطبق الكلّ على اختيار التعيين دون التخيير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الحكم في المسألة الفرعية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محذور عدم الالتزام بشيء من الحكمين على تقديره ، بيان ذلك أنّا قلنا بوجوب الالتزام بالأحكام الشرعية حذرا من المخالفة القطعية وترك الاعتناء بأوامر الشارع وعدم المبالاة بأحكامه ، وهذا هو بعينه موجود في التخيير الاستمراري ، غاية الأمر </w:t>
      </w:r>
      <w:r>
        <w:rPr>
          <w:rStyle w:val="FootnoteAnchor"/>
          <w:rtl w:val="true"/>
        </w:rPr>
        <w:footnoteReference w:id="1444"/>
      </w:r>
      <w:r>
        <w:rPr>
          <w:rFonts w:ascii="Amiri" w:hAnsi="Amiri" w:eastAsia="Amiri" w:cs="Amiri"/>
          <w:color w:val="111111"/>
          <w:sz w:val="28"/>
          <w:sz w:val="28"/>
          <w:szCs w:val="28"/>
          <w:rtl w:val="true"/>
          <w:lang w:bidi="ar-SA"/>
        </w:rPr>
        <w:t>استناد عمله في كلّ وقت إلى قصده الالتزام بأحد الحكمين على حسب اختلاف دواعيه النفسانية وذلك يقرب من الهرج والمرج بل وهذا مفوّت للّطف الباعث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 فلما عرفت آنفا </w:t>
      </w:r>
      <w:r>
        <w:rPr>
          <w:rStyle w:val="FootnoteAnchor"/>
          <w:rtl w:val="true"/>
        </w:rPr>
        <w:footnoteReference w:id="1445"/>
      </w:r>
      <w:r>
        <w:rPr>
          <w:rFonts w:ascii="Amiri" w:hAnsi="Amiri" w:eastAsia="Amiri" w:cs="Amiri"/>
          <w:color w:val="111111"/>
          <w:sz w:val="28"/>
          <w:sz w:val="28"/>
          <w:szCs w:val="28"/>
          <w:rtl w:val="true"/>
          <w:lang w:bidi="ar-SA"/>
        </w:rPr>
        <w:t>من عدم جواز الاتّكال بالاشتغال في الأحكام العقلية إذ العقل بعد موجود ، ولا بدّ من الرجوع إلى كيفية حكمه من أوّل الأمر ، ولو سلّم فاستصحاب التخيير في المسألة الأصولية دليل اجتهادي بالنسبة إلى قاعدة الاشتغال وإن كنّا لا نعوّل عليه أيضا من الجهة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فلهذين الوجهين بعينهما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 ، فلأنّ للمكلّف أن يدخل نفسه في عناوين مختلفة على وجه يختلف الأحكام بحسب اختلافها كما أنّا تارة نقيم </w:t>
      </w:r>
      <w:r>
        <w:rPr>
          <w:rStyle w:val="FootnoteAnchor"/>
          <w:rtl w:val="true"/>
        </w:rPr>
        <w:footnoteReference w:id="1446"/>
      </w:r>
      <w:r>
        <w:rPr>
          <w:rFonts w:ascii="Amiri" w:hAnsi="Amiri" w:eastAsia="Amiri" w:cs="Amiri"/>
          <w:color w:val="111111"/>
          <w:sz w:val="28"/>
          <w:sz w:val="28"/>
          <w:szCs w:val="28"/>
          <w:rtl w:val="true"/>
          <w:lang w:bidi="ar-SA"/>
        </w:rPr>
        <w:t xml:space="preserve">في بلد ، ونسافر أخرى ، فربّما يختلف العنوان باختلاف يسير ، فالمكلّف في الحقيقة إنّما يوجد أسباب التكليف ولا غائلة فيه ، ويكفي في المبالاة بالأحكام </w:t>
      </w:r>
      <w:r>
        <w:rPr>
          <w:rStyle w:val="FootnoteAnchor"/>
          <w:rtl w:val="true"/>
        </w:rPr>
        <w:footnoteReference w:id="1447"/>
      </w:r>
      <w:r>
        <w:rPr>
          <w:rFonts w:ascii="Amiri" w:hAnsi="Amiri" w:eastAsia="Amiri" w:cs="Amiri"/>
          <w:color w:val="111111"/>
          <w:sz w:val="28"/>
          <w:sz w:val="28"/>
          <w:szCs w:val="28"/>
          <w:rtl w:val="true"/>
          <w:lang w:bidi="ar-SA"/>
        </w:rPr>
        <w:t>الشرعية استناد العمل بعد الاختيار إلى الحكم الشرعي ، وهذا هو عين المبالاة والاعتناء واللطف كما لا يخفى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مدرك التخيير لو كان دليلا شرعيا كأخبار التخيير في الأخبار المتعارضة ، فلا يبعد القول بالتخيير الاستمراري نظرا إلى استصحاب التخيير ، ووروده على استصحاب الأحكام </w:t>
      </w:r>
      <w:r>
        <w:rPr>
          <w:rStyle w:val="FootnoteAnchor"/>
          <w:rtl w:val="true"/>
        </w:rPr>
        <w:footnoteReference w:id="1448"/>
      </w:r>
      <w:r>
        <w:rPr>
          <w:rFonts w:ascii="Amiri" w:hAnsi="Amiri" w:eastAsia="Amiri" w:cs="Amiri"/>
          <w:color w:val="111111"/>
          <w:sz w:val="28"/>
          <w:sz w:val="28"/>
          <w:szCs w:val="28"/>
          <w:rtl w:val="true"/>
          <w:lang w:bidi="ar-SA"/>
        </w:rPr>
        <w:t xml:space="preserve">الشرعية في المسائل الفرعية إلاّ أنّ المحقّق في مقامه عدم جواز التعويل على مثل هذا الاستصحاب لأنّ شرط جواز التعويل عليه </w:t>
      </w:r>
    </w:p>
    <w:p>
      <w:pPr>
        <w:pStyle w:val="BookText"/>
        <w:rPr/>
      </w:pPr>
      <w:r>
        <w:rPr>
          <w:rFonts w:ascii="Amiri" w:hAnsi="Amiri" w:eastAsia="Amiri" w:cs="Amiri"/>
          <w:color w:val="111111"/>
          <w:sz w:val="28"/>
          <w:sz w:val="28"/>
          <w:szCs w:val="28"/>
          <w:rtl w:val="true"/>
          <w:lang w:bidi="ar-SA"/>
        </w:rPr>
        <w:t>إحراز موضوعه علما وهو في المقام غير محرز ؛ لاحتمال أن يكون لوصف التخيير مدخلية فيه ، وبعد الأخذ يرتفع الوصف فيرتفع الموضوع ، فعلى ما ذكرنا قاعدة الاشتغال محكّمة لجريانها في الأحكام الشرعية وعدم ما يعارضها من الاستصحاب ، فلا بدّ من الحكم بالتخيير البدوي كما بيّنّا على مثل ذلك في بعض مسائل الاجتهاد والتقليد ولو كان الدليل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بأنّ الفرار من المخالفة القطعية هو المنشأ في الحكم بالتخيير ، فالتخيير بدوي لحصولها ولو تدريجا في التخيير الاستمراري ، ولو </w:t>
      </w:r>
      <w:r>
        <w:rPr>
          <w:rStyle w:val="FootnoteAnchor"/>
          <w:rtl w:val="true"/>
        </w:rPr>
        <w:footnoteReference w:id="1449"/>
      </w:r>
      <w:r>
        <w:rPr>
          <w:rFonts w:ascii="Amiri" w:hAnsi="Amiri" w:eastAsia="Amiri" w:cs="Amiri"/>
          <w:color w:val="111111"/>
          <w:sz w:val="28"/>
          <w:sz w:val="28"/>
          <w:szCs w:val="28"/>
          <w:rtl w:val="true"/>
          <w:lang w:bidi="ar-SA"/>
        </w:rPr>
        <w:t>قلنا بأنّ الوجه في الالتزام بالتخيير هو لزوم الالتزام بالأحكام الشرعية وتقييده بها ، فهذا لا ينافي التخيير الاستمراري إذ في كلّ من الحالتين يلتزم المكلّف بالأحكام الشرعية ولا منافاة واللطف حاصل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 الوجه هو عدم المبالاة بالشرع ولزوم المخالفة القطعية أيضا على وجه يعدّ في العادة مخالفة ، فمقتضاه التفصيل بين ما إذا حصل المخالفة عن علم كما إذا كان بانيا على الاستمرار في التخيير في أوّل الأمر فإنّه يعلم بترتّب </w:t>
      </w:r>
      <w:r>
        <w:rPr>
          <w:rStyle w:val="FootnoteAnchor"/>
          <w:rtl w:val="true"/>
        </w:rPr>
        <w:footnoteReference w:id="1450"/>
      </w:r>
      <w:r>
        <w:rPr>
          <w:rFonts w:ascii="Amiri" w:hAnsi="Amiri" w:eastAsia="Amiri" w:cs="Amiri"/>
          <w:color w:val="111111"/>
          <w:sz w:val="28"/>
          <w:sz w:val="28"/>
          <w:szCs w:val="28"/>
          <w:rtl w:val="true"/>
          <w:lang w:bidi="ar-SA"/>
        </w:rPr>
        <w:t>المخالفة على العمل ابتداء فإنّه يعدّ من المخالفة فيحكم بعدم الاستمرار وبين غيره كما إذا كان في أوّل الأمر بانيا على الأخذ به دائما ، ثمّ بدا له اختيار الآخر لغرض آخر فإنّه يمكن القول بأنّه لا يعدّ في العادة من المخالفة كالمقيم في بلد الإقامة بعد ما سنحت له سانحة تقضي بمسافرته بعد الإقامة</w:t>
      </w:r>
      <w:r>
        <w:rPr>
          <w:rFonts w:eastAsia="Amiri" w:cs="Amiri" w:ascii="Amiri" w:hAnsi="Amiri"/>
          <w:color w:val="111111"/>
          <w:sz w:val="28"/>
          <w:szCs w:val="28"/>
          <w:rtl w:val="true"/>
          <w:lang w:bidi="ar-SA"/>
        </w:rPr>
        <w:t xml:space="preserve">. </w:t>
      </w:r>
      <w:bookmarkStart w:id="131" w:name="pg16273_211778"/>
    </w:p>
    <w:p>
      <w:pPr>
        <w:pStyle w:val="Heading4"/>
        <w:numPr>
          <w:ilvl w:val="3"/>
          <w:numId w:val="1"/>
        </w:numPr>
        <w:rPr/>
      </w:pPr>
      <w:bookmarkStart w:id="132" w:name="__RefHeading___Toc4803548_1280447820"/>
      <w:bookmarkStart w:id="133" w:name="_Toc46"/>
      <w:bookmarkEnd w:id="131"/>
      <w:bookmarkEnd w:id="132"/>
      <w:r>
        <w:rPr>
          <w:rtl w:val="true"/>
        </w:rPr>
        <w:t xml:space="preserve">المقام الرابع </w:t>
      </w:r>
      <w:r>
        <w:rPr>
          <w:rtl w:val="true"/>
        </w:rPr>
        <w:t xml:space="preserve">: [ </w:t>
      </w:r>
      <w:r>
        <w:rPr>
          <w:rtl w:val="true"/>
        </w:rPr>
        <w:t xml:space="preserve">في كون التخيير أصوليا أو فقهيا </w:t>
      </w:r>
      <w:r>
        <w:rPr>
          <w:rtl w:val="true"/>
        </w:rPr>
        <w:t>]</w:t>
      </w:r>
      <w:bookmarkEnd w:id="133"/>
    </w:p>
    <w:p>
      <w:pPr>
        <w:pStyle w:val="BookText"/>
        <w:rPr/>
      </w:pPr>
      <w:r>
        <w:rPr>
          <w:rFonts w:ascii="Amiri" w:hAnsi="Amiri" w:eastAsia="Amiri" w:cs="Amiri"/>
          <w:color w:val="111111"/>
          <w:sz w:val="28"/>
          <w:sz w:val="28"/>
          <w:szCs w:val="28"/>
          <w:rtl w:val="true"/>
          <w:lang w:bidi="ar-SA"/>
        </w:rPr>
        <w:t xml:space="preserve">في أنّ المجتهد بعد القول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بدويا أو استمراريا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يفتي بالمختار مطلقا ، أو بالتخيير كذلك ، أو يفصّل بين ما إذا قال بالتخيير البدوي فبالمختار ، أو بالاستمراري فبالتخيير؟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يقال بالأوّل ؛ لأنّ الحكم المعلوم إجمالا </w:t>
      </w:r>
      <w:r>
        <w:rPr>
          <w:rStyle w:val="FootnoteAnchor"/>
          <w:rtl w:val="true"/>
        </w:rPr>
        <w:footnoteReference w:id="1451"/>
      </w:r>
      <w:r>
        <w:rPr>
          <w:rFonts w:ascii="Amiri" w:hAnsi="Amiri" w:eastAsia="Amiri" w:cs="Amiri"/>
          <w:color w:val="111111"/>
          <w:sz w:val="28"/>
          <w:sz w:val="28"/>
          <w:szCs w:val="28"/>
          <w:rtl w:val="true"/>
          <w:lang w:bidi="ar-SA"/>
        </w:rPr>
        <w:t xml:space="preserve">لا يصير حكما شرعيا إلاّ بعد الأخذ والاختيار ، فالمختار هو حكم اللّه لجميع الناس في نظره فباختياره يصير حكما شرعيا لا مطلقا ، فلو أفتى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أنّه لا يصير حكما شرعيا إلاّ بعد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أفتى بغير ما أنزل كما في الأخبار المتعارضة فإنّ الحكم المدلول عليه بإحدى الروايتين لا يكون حكما شرعيا إلاّ بعد تعيين المجتهد إحداهما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فكما أنّ المجتهد لا بدّ له من تعيين الحكم فيما لو كان واجبا عينيا ، وما لم يعيّنه المجتهد لا يصير من الأحكام الشرعية ، فكذلك فيما لو كان واجبا تخييرا فإنّ تعيين أحد </w:t>
      </w:r>
      <w:r>
        <w:rPr>
          <w:rStyle w:val="FootnoteAnchor"/>
          <w:rtl w:val="true"/>
        </w:rPr>
        <w:footnoteReference w:id="1452"/>
      </w:r>
      <w:r>
        <w:rPr>
          <w:rFonts w:ascii="Amiri" w:hAnsi="Amiri" w:eastAsia="Amiri" w:cs="Amiri"/>
          <w:color w:val="111111"/>
          <w:sz w:val="28"/>
          <w:sz w:val="28"/>
          <w:szCs w:val="28"/>
          <w:rtl w:val="true"/>
          <w:lang w:bidi="ar-SA"/>
        </w:rPr>
        <w:t>فردي الواجب التخييري بمنزلة تعيين الواجب العيني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بالثاني ؛ لأنّ المجتهد إنّما ينوب عن المقلّد في تعيين الأحكام الشرعية التي لا يناط إلى أفعال اختيارية راجعة إلى الدواعي </w:t>
      </w:r>
      <w:r>
        <w:rPr>
          <w:rStyle w:val="FootnoteAnchor"/>
          <w:rtl w:val="true"/>
        </w:rPr>
        <w:footnoteReference w:id="1453"/>
      </w:r>
      <w:r>
        <w:rPr>
          <w:rFonts w:ascii="Amiri" w:hAnsi="Amiri" w:eastAsia="Amiri" w:cs="Amiri"/>
          <w:color w:val="111111"/>
          <w:sz w:val="28"/>
          <w:sz w:val="28"/>
          <w:szCs w:val="28"/>
          <w:rtl w:val="true"/>
          <w:lang w:bidi="ar-SA"/>
        </w:rPr>
        <w:t xml:space="preserve">النفسانية ، فهو إنّما واسطة له في فهم الأحكام من حيث عدم قدرته له وعدم إمكان تحصيل العلم بها إلاّ من جهة المجتهد ، وإلاّ فالحكم الواقعي بالنسبة إلى المقلّد والمجتهد سواء ، فكيف يعقل مدخلية اختيار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دواعيه </w:t>
      </w:r>
      <w:r>
        <w:rPr>
          <w:rStyle w:val="FootnoteAnchor"/>
          <w:rtl w:val="true"/>
        </w:rPr>
        <w:footnoteReference w:id="1454"/>
      </w:r>
      <w:r>
        <w:rPr>
          <w:rFonts w:ascii="Amiri" w:hAnsi="Amiri" w:eastAsia="Amiri" w:cs="Amiri"/>
          <w:color w:val="111111"/>
          <w:sz w:val="28"/>
          <w:sz w:val="28"/>
          <w:szCs w:val="28"/>
          <w:rtl w:val="true"/>
          <w:lang w:bidi="ar-SA"/>
        </w:rPr>
        <w:t xml:space="preserve">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تكليف </w:t>
      </w:r>
      <w:r>
        <w:rPr>
          <w:rStyle w:val="FootnoteAnchor"/>
          <w:rtl w:val="true"/>
        </w:rPr>
        <w:footnoteReference w:id="1455"/>
      </w:r>
      <w:r>
        <w:rPr>
          <w:rFonts w:ascii="Amiri" w:hAnsi="Amiri" w:eastAsia="Amiri" w:cs="Amiri"/>
          <w:color w:val="111111"/>
          <w:sz w:val="28"/>
          <w:sz w:val="28"/>
          <w:szCs w:val="28"/>
          <w:rtl w:val="true"/>
          <w:lang w:bidi="ar-SA"/>
        </w:rPr>
        <w:t xml:space="preserve">المقلّد مع أنّه لو قلنا بذلك ، لزم وجوب إفطار المقلّد فيما لو سافر المجتهد ، فلو كان الحكم الواقعي هو التخيير ، فلا فرق </w:t>
      </w:r>
    </w:p>
    <w:p>
      <w:pPr>
        <w:pStyle w:val="BookText"/>
        <w:rPr/>
      </w:pPr>
      <w:r>
        <w:rPr>
          <w:rFonts w:ascii="Amiri" w:hAnsi="Amiri" w:eastAsia="Amiri" w:cs="Amiri"/>
          <w:color w:val="111111"/>
          <w:sz w:val="28"/>
          <w:sz w:val="28"/>
          <w:szCs w:val="28"/>
          <w:rtl w:val="true"/>
          <w:lang w:bidi="ar-SA"/>
        </w:rPr>
        <w:t xml:space="preserve">في ذلك بين آحاد المكلّفين ، ولم يقم </w:t>
      </w:r>
      <w:r>
        <w:rPr>
          <w:rStyle w:val="FootnoteAnchor"/>
          <w:rtl w:val="true"/>
        </w:rPr>
        <w:footnoteReference w:id="1456"/>
      </w:r>
      <w:r>
        <w:rPr>
          <w:rFonts w:ascii="Amiri" w:hAnsi="Amiri" w:eastAsia="Amiri" w:cs="Amiri"/>
          <w:color w:val="111111"/>
          <w:sz w:val="28"/>
          <w:sz w:val="28"/>
          <w:szCs w:val="28"/>
          <w:rtl w:val="true"/>
          <w:lang w:bidi="ar-SA"/>
        </w:rPr>
        <w:t>دليل على مدخلية اختيار المجتهد بعد عدم تأثيره في الحكم الشرعي الواقعي الذي هو التخيير في تكليف المقلّد ، فليس له الفتوى بالمختار لعدم كونه من الأحكام الشرعية ، ولا أقلّ من الشكّ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التخيير في الواقعة هو الحكم الواقعي الإلهي ، فلا مناص من الالتزام به دون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التخيير إن كان شرعيا لفظيا كما في الأخبار المتعارضة ، فلا بدّ من الفتوى بالمختار فإنّ الاختيار فيها من جملة ما يتمّ به الحكم الشرعي فإنّ مفاد التخيير هناك هو التخيير بين العمل بالدليلين المتعارضين ، ووجوب الأخذ بأحدهما إنّما هو مثل الأخذ بالخبر الغير </w:t>
      </w:r>
      <w:r>
        <w:rPr>
          <w:rStyle w:val="FootnoteAnchor"/>
          <w:rtl w:val="true"/>
        </w:rPr>
        <w:footnoteReference w:id="1457"/>
      </w:r>
      <w:r>
        <w:rPr>
          <w:rFonts w:ascii="Amiri" w:hAnsi="Amiri" w:eastAsia="Amiri" w:cs="Amiri"/>
          <w:color w:val="111111"/>
          <w:sz w:val="28"/>
          <w:sz w:val="28"/>
          <w:szCs w:val="28"/>
          <w:rtl w:val="true"/>
          <w:lang w:bidi="ar-SA"/>
        </w:rPr>
        <w:t xml:space="preserve">المعارض بمثله ، ولا فرق بينهما إلاّ أنّ الوجوب في الأوّل تخييري ، وفي الثاني عيني ، فبالحقيقة الحكم الشرعي هو مدلول أحد الدليلين ، والتخيير ليس فيه بل في نفس الدليلين وإن كان دليل التخيير عقليا كالفرار عن المخالفة القطعية والالتزام بأوامره تعالى كما فيما نحن فيه ، فالأقرب هو الفتوى بالتخيير لأنّ التخيير العقلي إنّما هو بين </w:t>
      </w:r>
      <w:r>
        <w:rPr>
          <w:rStyle w:val="FootnoteAnchor"/>
          <w:rtl w:val="true"/>
        </w:rPr>
        <w:footnoteReference w:id="1458"/>
      </w:r>
      <w:r>
        <w:rPr>
          <w:rFonts w:ascii="Amiri" w:hAnsi="Amiri" w:eastAsia="Amiri" w:cs="Amiri"/>
          <w:color w:val="111111"/>
          <w:sz w:val="28"/>
          <w:sz w:val="28"/>
          <w:szCs w:val="28"/>
          <w:rtl w:val="true"/>
          <w:lang w:bidi="ar-SA"/>
        </w:rPr>
        <w:t>نفس الحكمين كما في التخيير بين خصال الكفّارة فإنّ التخيير فيها بين الأحكام وإن كان بينها وبين ما نحن بصدده فرق من جهة أخرى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مرّ </w:t>
      </w:r>
      <w:r>
        <w:rPr>
          <w:rStyle w:val="FootnoteAnchor"/>
          <w:rtl w:val="true"/>
        </w:rPr>
        <w:footnoteReference w:id="1459"/>
      </w:r>
      <w:r>
        <w:rPr>
          <w:rFonts w:ascii="Amiri" w:hAnsi="Amiri" w:eastAsia="Amiri" w:cs="Amiri"/>
          <w:color w:val="111111"/>
          <w:sz w:val="28"/>
          <w:sz w:val="28"/>
          <w:szCs w:val="28"/>
          <w:rtl w:val="true"/>
          <w:lang w:bidi="ar-SA"/>
        </w:rPr>
        <w:t>ذكره يظهر وجه التفصيل بين الاستمراري والبدوي فكأنّه في البدوي اختيار المجتهد للحكم من متمّمات نفس الحكم ، بخلافه في الاستمراري ، وللنظر فيه مجال واسع</w:t>
      </w:r>
      <w:r>
        <w:rPr>
          <w:rFonts w:eastAsia="Amiri" w:cs="Amiri" w:ascii="Amiri" w:hAnsi="Amiri"/>
          <w:color w:val="111111"/>
          <w:sz w:val="28"/>
          <w:szCs w:val="28"/>
          <w:rtl w:val="true"/>
          <w:lang w:bidi="ar-SA"/>
        </w:rPr>
        <w:t xml:space="preserve">. </w:t>
      </w:r>
      <w:bookmarkStart w:id="134" w:name="pg16273_211780"/>
    </w:p>
    <w:p>
      <w:pPr>
        <w:pStyle w:val="Heading4"/>
        <w:numPr>
          <w:ilvl w:val="3"/>
          <w:numId w:val="1"/>
        </w:numPr>
        <w:rPr/>
      </w:pPr>
      <w:bookmarkStart w:id="135" w:name="__RefHeading___Toc4803550_1280447820"/>
      <w:bookmarkStart w:id="136" w:name="_Toc47"/>
      <w:bookmarkEnd w:id="134"/>
      <w:bookmarkEnd w:id="135"/>
      <w:r>
        <w:rPr>
          <w:rtl w:val="true"/>
        </w:rPr>
        <w:t xml:space="preserve">وينبغي التنبيه على أمور </w:t>
      </w:r>
      <w:r>
        <w:rPr>
          <w:rtl w:val="true"/>
        </w:rPr>
        <w:t>:</w:t>
      </w:r>
      <w:bookmarkEnd w:id="136"/>
    </w:p>
    <w:p>
      <w:pPr>
        <w:pStyle w:val="Heading5"/>
        <w:numPr>
          <w:ilvl w:val="4"/>
          <w:numId w:val="1"/>
        </w:numPr>
        <w:rPr/>
      </w:pPr>
      <w:bookmarkStart w:id="137" w:name="__RefHeading___Toc4803552_1280447820"/>
      <w:bookmarkStart w:id="138" w:name="_Toc48"/>
      <w:bookmarkEnd w:id="137"/>
      <w:r>
        <w:rPr>
          <w:rtl w:val="true"/>
        </w:rPr>
        <w:t xml:space="preserve">الأوّل </w:t>
      </w:r>
      <w:r>
        <w:rPr>
          <w:rtl w:val="true"/>
        </w:rPr>
        <w:t>:</w:t>
      </w:r>
      <w:bookmarkEnd w:id="138"/>
    </w:p>
    <w:p>
      <w:pPr>
        <w:pStyle w:val="BookText"/>
        <w:rPr/>
      </w:pPr>
      <w:r>
        <w:rPr>
          <w:rFonts w:ascii="Amiri" w:hAnsi="Amiri" w:eastAsia="Amiri" w:cs="Amiri"/>
          <w:color w:val="111111"/>
          <w:sz w:val="28"/>
          <w:sz w:val="28"/>
          <w:szCs w:val="28"/>
          <w:rtl w:val="true"/>
          <w:lang w:bidi="ar-SA"/>
        </w:rPr>
        <w:t xml:space="preserve">لا يكاد يخفى على من تبصّر فيما أوردنا له في الأصول المتقدّمة أن لا نزاع بين الأخباري والأصولي إلاّ في الشبهة التحريمية </w:t>
      </w:r>
      <w:r>
        <w:rPr>
          <w:rStyle w:val="FootnoteAnchor"/>
          <w:rtl w:val="true"/>
        </w:rPr>
        <w:footnoteReference w:id="1460"/>
      </w:r>
      <w:r>
        <w:rPr>
          <w:rFonts w:ascii="Amiri" w:hAnsi="Amiri" w:eastAsia="Amiri" w:cs="Amiri"/>
          <w:color w:val="111111"/>
          <w:sz w:val="28"/>
          <w:sz w:val="28"/>
          <w:szCs w:val="28"/>
          <w:rtl w:val="true"/>
          <w:lang w:bidi="ar-SA"/>
        </w:rPr>
        <w:t>فيما دار الأمر بين الحرمة وغير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الشبهة الوجوبية ، فالكلّ مطبقون على البراءة إلاّ ما قد </w:t>
      </w:r>
      <w:r>
        <w:rPr>
          <w:rStyle w:val="FootnoteAnchor"/>
          <w:rtl w:val="true"/>
        </w:rPr>
        <w:footnoteReference w:id="1461"/>
      </w:r>
      <w:r>
        <w:rPr>
          <w:rFonts w:ascii="Amiri" w:hAnsi="Amiri" w:eastAsia="Amiri" w:cs="Amiri"/>
          <w:color w:val="111111"/>
          <w:sz w:val="28"/>
          <w:sz w:val="28"/>
          <w:szCs w:val="28"/>
          <w:rtl w:val="true"/>
          <w:lang w:bidi="ar-SA"/>
        </w:rPr>
        <w:t xml:space="preserve">يظهر عن أمينهم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بالتتبع في كلماتهم مثل ما ذكره الشيخ الأجلّ رئيس جهابذة الأخبارية الشيخ الحرّ العاملي في كتاب القضاء </w:t>
      </w:r>
      <w:r>
        <w:rPr>
          <w:rStyle w:val="FootnoteAnchor"/>
          <w:rtl w:val="true"/>
        </w:rPr>
        <w:footnoteReference w:id="1463"/>
      </w:r>
      <w:r>
        <w:rPr>
          <w:rFonts w:ascii="Amiri" w:hAnsi="Amiri" w:eastAsia="Amiri" w:cs="Amiri"/>
          <w:color w:val="111111"/>
          <w:sz w:val="28"/>
          <w:sz w:val="28"/>
          <w:szCs w:val="28"/>
          <w:rtl w:val="true"/>
          <w:lang w:bidi="ar-SA"/>
        </w:rPr>
        <w:t xml:space="preserve">والسيّد صدر الدين في شرحه على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خانهم في ذلك حيث تفرّد فيه عنهم أيضا ، وأمّا فيما دار الأمر بين المتباينين ، فالأخباريون أيضا لا يقولون بوجوب الاحتياط ، فهم والمجتهدون سواء في ذلك ، وعلى هذا فما أورد بعضهم على الأخباريين بلزوم العسر والحرج لو وجب الاحتياط تارة ، وبعدم إمكان الاحتياط فيما لو دار الأمر بين المتباينين أخرى ، فكأنّه غفلة منه عن كلامهم </w:t>
      </w:r>
      <w:r>
        <w:rPr>
          <w:rStyle w:val="FootnoteAnchor"/>
          <w:rtl w:val="true"/>
        </w:rPr>
        <w:footnoteReference w:id="1464"/>
      </w:r>
      <w:r>
        <w:rPr>
          <w:rFonts w:ascii="Amiri" w:hAnsi="Amiri" w:eastAsia="Amiri" w:cs="Amiri"/>
          <w:color w:val="111111"/>
          <w:sz w:val="28"/>
          <w:sz w:val="28"/>
          <w:szCs w:val="28"/>
          <w:rtl w:val="true"/>
          <w:lang w:bidi="ar-SA"/>
        </w:rPr>
        <w:t xml:space="preserve">لما عرفت من أنّ الشبهات الوجوبية ممّا لا يلتزم فيها بالاحتياط فيها ، والشبهات التحريمية في غاية القلّة حيث إنّ الكلام بعد الفحص والفراغ عن إثبات حجّية الأمارات على حسب اختلاف المشارب في تعيين الحجّة ، وعلى تقديره فالتروك لا مشقّة فيها </w:t>
      </w:r>
      <w:r>
        <w:rPr>
          <w:rStyle w:val="FootnoteAnchor"/>
          <w:rtl w:val="true"/>
        </w:rPr>
        <w:footnoteReference w:id="1465"/>
      </w:r>
      <w:r>
        <w:rPr>
          <w:rFonts w:ascii="Amiri" w:hAnsi="Amiri" w:eastAsia="Amiri" w:cs="Amiri"/>
          <w:color w:val="111111"/>
          <w:sz w:val="28"/>
          <w:sz w:val="28"/>
          <w:szCs w:val="28"/>
          <w:rtl w:val="true"/>
          <w:lang w:bidi="ar-SA"/>
        </w:rPr>
        <w:t>في وجه ، وعدم إمكان الاحتياط في المتباينين بعد عدم القول به فيهما لا يؤثّر فيما يمكن الاحتياط فيه كما لا يخفى</w:t>
      </w:r>
      <w:r>
        <w:rPr>
          <w:rFonts w:eastAsia="Amiri" w:cs="Amiri" w:ascii="Amiri" w:hAnsi="Amiri"/>
          <w:color w:val="111111"/>
          <w:sz w:val="28"/>
          <w:szCs w:val="28"/>
          <w:rtl w:val="true"/>
          <w:lang w:bidi="ar-SA"/>
        </w:rPr>
        <w:t xml:space="preserve">. </w:t>
      </w:r>
      <w:bookmarkStart w:id="139" w:name="pg16273_211781"/>
    </w:p>
    <w:p>
      <w:pPr>
        <w:pStyle w:val="Heading5"/>
        <w:numPr>
          <w:ilvl w:val="4"/>
          <w:numId w:val="1"/>
        </w:numPr>
        <w:rPr/>
      </w:pPr>
      <w:bookmarkStart w:id="140" w:name="__RefHeading___Toc4803554_1280447820"/>
      <w:bookmarkStart w:id="141" w:name="_Toc49"/>
      <w:bookmarkEnd w:id="139"/>
      <w:bookmarkEnd w:id="140"/>
      <w:r>
        <w:rPr>
          <w:rtl w:val="true"/>
        </w:rPr>
        <w:t xml:space="preserve">الثاني </w:t>
      </w:r>
      <w:r>
        <w:rPr>
          <w:rtl w:val="true"/>
        </w:rPr>
        <w:t>:</w:t>
      </w:r>
      <w:bookmarkEnd w:id="141"/>
    </w:p>
    <w:p>
      <w:pPr>
        <w:pStyle w:val="BookText"/>
        <w:rPr/>
      </w:pPr>
      <w:r>
        <w:rPr>
          <w:rFonts w:ascii="Amiri" w:hAnsi="Amiri" w:eastAsia="Amiri" w:cs="Amiri"/>
          <w:color w:val="111111"/>
          <w:sz w:val="28"/>
          <w:sz w:val="28"/>
          <w:szCs w:val="28"/>
          <w:rtl w:val="true"/>
          <w:lang w:bidi="ar-SA"/>
        </w:rPr>
        <w:t xml:space="preserve">أنّ الكلام في دوران الأمر بين الواجب والمحرّم في المقام </w:t>
      </w:r>
      <w:r>
        <w:rPr>
          <w:rStyle w:val="FootnoteAnchor"/>
          <w:rtl w:val="true"/>
        </w:rPr>
        <w:footnoteReference w:id="1466"/>
      </w:r>
      <w:r>
        <w:rPr>
          <w:rFonts w:ascii="Amiri" w:hAnsi="Amiri" w:eastAsia="Amiri" w:cs="Amiri"/>
          <w:color w:val="111111"/>
          <w:sz w:val="28"/>
          <w:sz w:val="28"/>
          <w:szCs w:val="28"/>
          <w:rtl w:val="true"/>
          <w:lang w:bidi="ar-SA"/>
        </w:rPr>
        <w:t xml:space="preserve">إنّما هو فيما إذا كان الشكّ فيهما مسبّبا عن أمر ثالث خارج منهما كما إذا ورد هناك أمر فلم نعلم أنّه للوجوب أو للتحريم من جهة التهديد ، وأمّا إذا كان الشكّ في أحدهما مسبّبا عن الآخر ، فمرجعه في الحقيقة إلى أحد الأصلين السابقين إذ بعد ارتفاع الوجوب الناشئ منه الشكّ في الحرمة بالأصل يرتفع الشكّ في الحرمة لارتفاع المسبّب بارتفاع السبب ، وكذا بعد ارتفاع الحرمة بأصالة البراءة يرتفع احتمال الوجوب المنبعث عن احتمال الحرمة لعين ما مرّ من قضية العلّية والسّببية ، مثلا لو شكّ في وجوب الصلاة من جهة الشكّ في حرمة ترك إزالة النجاسة عن المسجد ، فبعد القول بجواز ترك الإزالة نظرا إلى أصالة البراءة فيها عن الحرمة ، فلا مجال للشكّ في وجوب الصلاة لعدم المانع ، وأيضا لو قلنا بحرمة الارتماس في نهار رمضان من غير أن يكون مفطرا ، ففي ضيق الوقت وعدم إمكان غير الارتماس نشكّ في وجوب الصلاة من جهة الشكّ في حرمة الارتماس في هذا الوقت ، فلو عملنا بأصالة البراءة فيها ، فاللازم الحكم بوجوب الصلاة من غير تزلزل فيه لارتفاع الشكّ بارتفاع سببه كما لا يخفى ، والمقصود من إيراد المثالين التنبيه على نفس الحكم ، وإلاّ فالحكم </w:t>
      </w:r>
      <w:r>
        <w:rPr>
          <w:rStyle w:val="FootnoteAnchor"/>
          <w:rtl w:val="true"/>
        </w:rPr>
        <w:footnoteReference w:id="1467"/>
      </w:r>
      <w:r>
        <w:rPr>
          <w:rFonts w:ascii="Amiri" w:hAnsi="Amiri" w:eastAsia="Amiri" w:cs="Amiri"/>
          <w:color w:val="111111"/>
          <w:sz w:val="28"/>
          <w:sz w:val="28"/>
          <w:szCs w:val="28"/>
          <w:rtl w:val="true"/>
          <w:lang w:bidi="ar-SA"/>
        </w:rPr>
        <w:t>فيهما بعد محلّ نظر</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4803556_1280447820"/>
      <w:bookmarkStart w:id="143" w:name="_Toc50"/>
      <w:bookmarkEnd w:id="142"/>
      <w:r>
        <w:rPr>
          <w:rtl w:val="true"/>
        </w:rPr>
        <w:t xml:space="preserve">الثالث </w:t>
      </w:r>
      <w:r>
        <w:rPr>
          <w:rtl w:val="true"/>
        </w:rPr>
        <w:t>:</w:t>
      </w:r>
      <w:bookmarkEnd w:id="14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يستفاد من تضاعيف كلماتنا في الأصل </w:t>
      </w:r>
      <w:r>
        <w:rPr>
          <w:rStyle w:val="FootnoteAnchor"/>
          <w:rtl w:val="true"/>
        </w:rPr>
        <w:footnoteReference w:id="1468"/>
      </w:r>
      <w:r>
        <w:rPr>
          <w:rFonts w:ascii="Amiri" w:hAnsi="Amiri" w:eastAsia="Amiri" w:cs="Amiri"/>
          <w:color w:val="111111"/>
          <w:sz w:val="28"/>
          <w:sz w:val="28"/>
          <w:szCs w:val="28"/>
          <w:rtl w:val="true"/>
          <w:lang w:bidi="ar-SA"/>
        </w:rPr>
        <w:t>المقدّم ، وهذا الأصل حكم ما إذا دار الأمر بين الحرام والاستحباب ، أو الكراهة ، أو الإباحة ، أو اثنين منها على اختلاف صورها ، أو الثلاثة وما إذا دار الأمر بين غير الواجب وغير الحرام كالإباحة والاستحباب ، وكالاستحباب والكراهة على اختلاف الأقسام المتصوّرة فيه ، فلا حاجة إلى تطويل المقام بانعطاف عنان الكلام إليه ، فعليك باستخراج أحكامها</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6273_211783"/>
      <w:bookmarkStart w:id="145" w:name="pg16273_211783"/>
      <w:bookmarkEnd w:id="145"/>
    </w:p>
    <w:p>
      <w:pPr>
        <w:pStyle w:val="Heading3"/>
        <w:numPr>
          <w:ilvl w:val="2"/>
          <w:numId w:val="1"/>
        </w:numPr>
        <w:rPr/>
      </w:pPr>
      <w:bookmarkStart w:id="146" w:name="pg16273_211783"/>
      <w:bookmarkStart w:id="147" w:name="__RefHeading___Toc4803558_1280447820"/>
      <w:bookmarkStart w:id="148" w:name="_Toc51"/>
      <w:bookmarkEnd w:id="146"/>
      <w:bookmarkEnd w:id="147"/>
      <w:r>
        <w:rPr>
          <w:rtl w:val="true"/>
        </w:rPr>
        <w:t xml:space="preserve">أصل </w:t>
      </w:r>
      <w:r>
        <w:rPr>
          <w:rtl w:val="true"/>
        </w:rPr>
        <w:t xml:space="preserve">[ </w:t>
      </w:r>
      <w:r>
        <w:rPr>
          <w:rtl w:val="true"/>
        </w:rPr>
        <w:t xml:space="preserve">في الشبهة الموضوعية الوجوبية والتحريمية </w:t>
      </w:r>
      <w:r>
        <w:rPr>
          <w:rtl w:val="true"/>
        </w:rPr>
        <w:t>]</w:t>
      </w:r>
      <w:bookmarkEnd w:id="148"/>
    </w:p>
    <w:p>
      <w:pPr>
        <w:pStyle w:val="BookText"/>
        <w:rPr/>
      </w:pPr>
      <w:r>
        <w:rPr>
          <w:rFonts w:ascii="Amiri" w:hAnsi="Amiri" w:eastAsia="Amiri" w:cs="Amiri"/>
          <w:color w:val="111111"/>
          <w:sz w:val="28"/>
          <w:sz w:val="28"/>
          <w:szCs w:val="28"/>
          <w:rtl w:val="true"/>
          <w:lang w:bidi="ar-SA"/>
        </w:rPr>
        <w:t xml:space="preserve">قد عرفت تفصيل القول في الشبهة الحكمية التكليفية وجوبية وتحريمية وغيرهما فيما دار الأمر بينهما ، وأمّا الشبهة الموضوعية التكليفية ، فالكلام فيها يقع في مقامات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 الوجوب دون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 الحرمة دون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الأمر بين الواجب </w:t>
      </w:r>
      <w:r>
        <w:rPr>
          <w:rStyle w:val="FootnoteAnchor"/>
          <w:rtl w:val="true"/>
        </w:rPr>
        <w:footnoteReference w:id="1469"/>
      </w: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الأوليين </w:t>
      </w:r>
      <w:r>
        <w:rPr>
          <w:rStyle w:val="FootnoteAnchor"/>
          <w:rtl w:val="true"/>
        </w:rPr>
        <w:footnoteReference w:id="1470"/>
      </w:r>
      <w:r>
        <w:rPr>
          <w:rFonts w:ascii="Amiri" w:hAnsi="Amiri" w:eastAsia="Amiri" w:cs="Amiri"/>
          <w:color w:val="111111"/>
          <w:sz w:val="28"/>
          <w:sz w:val="28"/>
          <w:szCs w:val="28"/>
          <w:rtl w:val="true"/>
          <w:lang w:bidi="ar-SA"/>
        </w:rPr>
        <w:t>في هذا الأصل ، ثمّ نتبعه بأصل آخر في بيان الثالث لعدم اختلاف الأوليين في الأحكام بخلافه في الشبهة الحكمية كما لا يخفى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يعلم أنّ الكلام في المقام ليس في جريان البراءة في كلّ موضوع فإنّ جملة منها لا يمكن جريان البراءة فيها لجريان أصل موضوعي فيها كالزوجية مثلا فإنّا لو شككنا في أنّ المرأة الفلانية هل هي معقودة أو لا؟ فلا يجوز </w:t>
      </w:r>
      <w:r>
        <w:rPr>
          <w:rStyle w:val="FootnoteAnchor"/>
          <w:rtl w:val="true"/>
        </w:rPr>
        <w:footnoteReference w:id="1471"/>
      </w:r>
      <w:r>
        <w:rPr>
          <w:rFonts w:ascii="Amiri" w:hAnsi="Amiri" w:eastAsia="Amiri" w:cs="Amiri"/>
          <w:color w:val="111111"/>
          <w:sz w:val="28"/>
          <w:sz w:val="28"/>
          <w:szCs w:val="28"/>
          <w:rtl w:val="true"/>
          <w:lang w:bidi="ar-SA"/>
        </w:rPr>
        <w:t xml:space="preserve">الاستناد إلى البراءة في حرمة وطيها التي تستند إلى الشكّ في كونها أجنبية أو لا؟ فإنّ أصالة عدم الزوجية محكّمة </w:t>
      </w:r>
      <w:r>
        <w:rPr>
          <w:rStyle w:val="FootnoteAnchor"/>
          <w:rtl w:val="true"/>
        </w:rPr>
        <w:footnoteReference w:id="1472"/>
      </w:r>
      <w:r>
        <w:rPr>
          <w:rFonts w:ascii="Amiri" w:hAnsi="Amiri" w:eastAsia="Amiri" w:cs="Amiri"/>
          <w:color w:val="111111"/>
          <w:sz w:val="28"/>
          <w:sz w:val="28"/>
          <w:szCs w:val="28"/>
          <w:rtl w:val="true"/>
          <w:lang w:bidi="ar-SA"/>
        </w:rPr>
        <w:t xml:space="preserve">في المقام ، وكالتذكية فإنّ اللحم المطروح من غير سبق يد المسلم </w:t>
      </w:r>
    </w:p>
    <w:p>
      <w:pPr>
        <w:pStyle w:val="BookText"/>
        <w:rPr/>
      </w:pPr>
      <w:r>
        <w:rPr>
          <w:rFonts w:ascii="Amiri" w:hAnsi="Amiri" w:eastAsia="Amiri" w:cs="Amiri"/>
          <w:color w:val="111111"/>
          <w:sz w:val="28"/>
          <w:sz w:val="28"/>
          <w:szCs w:val="28"/>
          <w:rtl w:val="true"/>
          <w:lang w:bidi="ar-SA"/>
        </w:rPr>
        <w:t xml:space="preserve">عليه محكوم بالحرمة والنجاسة لأصالة عدم التذكية ، وكالملكية فإنّ المستفاد من حصر الشارع أسباب الملك في أشياء مخصوصة كالبيع والصلح والهبة وغيرها من الأسباب الشرعية عدم جواز التصرّف في شيء إلاّ بعد إحراز عنوان </w:t>
      </w:r>
      <w:r>
        <w:rPr>
          <w:rStyle w:val="FootnoteAnchor"/>
          <w:rtl w:val="true"/>
        </w:rPr>
        <w:footnoteReference w:id="1473"/>
      </w:r>
      <w:r>
        <w:rPr>
          <w:rFonts w:ascii="Amiri" w:hAnsi="Amiri" w:eastAsia="Amiri" w:cs="Amiri"/>
          <w:color w:val="111111"/>
          <w:sz w:val="28"/>
          <w:sz w:val="28"/>
          <w:szCs w:val="28"/>
          <w:rtl w:val="true"/>
          <w:lang w:bidi="ar-SA"/>
        </w:rPr>
        <w:t>الملك ، ففي مقام الشكّ لا وجه للاستناد إلى أصالة البراءة في دفع الحرمة لأصالة عدم الملكية ويترتّب عليها الحرمة وعدم جواز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المقام إنّما هو في حكم ما اشتبه موضوع الحكم الشرعي وهو من الأحكام الشرعية التي لا بدّ من استعلامها من الأدلّة الشرعية كما هو الشأن في جميع الأحكام على ما هو ظاهر لا سترة عليه ، وإذ قد عرفت هذا ، فاعلم أنّ الأدلّة المذكورة فيما تقدّم بعينها ناهضة على عدم التكليف عند الشكّ فيه بواسطة الشكّ في موضوع الحكم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 فظاهرة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1474"/>
      </w:r>
      <w:r>
        <w:rPr>
          <w:rFonts w:ascii="IRNazanin" w:hAnsi="IRNazanin" w:eastAsia="IRNazanin"/>
          <w:color w:val="111111"/>
          <w:sz w:val="28"/>
          <w:sz w:val="28"/>
          <w:szCs w:val="28"/>
          <w:rtl w:val="true"/>
          <w:lang w:bidi="fa-IR"/>
        </w:rPr>
        <w:t>على ما فسّره بعضهم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أعلمها وأقدرها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 </w:t>
      </w:r>
      <w:r>
        <w:rPr>
          <w:rStyle w:val="FootnoteAnchor"/>
          <w:rtl w:val="true"/>
        </w:rPr>
        <w:footnoteReference w:id="1475"/>
      </w:r>
      <w:r>
        <w:rPr>
          <w:rFonts w:ascii="Amiri" w:hAnsi="Amiri" w:eastAsia="Amiri" w:cs="Amiri"/>
          <w:color w:val="111111"/>
          <w:sz w:val="28"/>
          <w:sz w:val="28"/>
          <w:szCs w:val="28"/>
          <w:rtl w:val="true"/>
          <w:lang w:bidi="ar-SA"/>
        </w:rPr>
        <w:t>الجميع حكما وموضوعا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 فقوله </w:t>
      </w:r>
      <w:r>
        <w:rPr>
          <w:rStyle w:val="FootnoteAnchor"/>
          <w:rtl w:val="true"/>
        </w:rPr>
        <w:footnoteReference w:id="1476"/>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يكون فيه حلال وحرام </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إمّا أن يكون مختصّا بالشبهة في موضوع الحكم ، أو يعمّه والحكم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 xml:space="preserve">بعمومه يشمل </w:t>
      </w:r>
      <w:r>
        <w:rPr>
          <w:rStyle w:val="FootnoteAnchor"/>
          <w:rtl w:val="true"/>
        </w:rPr>
        <w:footnoteReference w:id="1479"/>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الإجماع ، فالأخباري أيضا يقول بالبراءة فيه كما هو أحد محاملهم لأخبار البراءة ، ونقله ربّما يعدّ مستفيضا كما لا يخفى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 ، فتقريره جار </w:t>
      </w:r>
      <w:r>
        <w:rPr>
          <w:rStyle w:val="FootnoteAnchor"/>
          <w:rtl w:val="true"/>
        </w:rPr>
        <w:footnoteReference w:id="1480"/>
      </w:r>
      <w:r>
        <w:rPr>
          <w:rFonts w:ascii="Amiri" w:hAnsi="Amiri" w:eastAsia="Amiri" w:cs="Amiri"/>
          <w:color w:val="111111"/>
          <w:sz w:val="28"/>
          <w:sz w:val="28"/>
          <w:szCs w:val="28"/>
          <w:rtl w:val="true"/>
          <w:lang w:bidi="ar-SA"/>
        </w:rPr>
        <w:t xml:space="preserve">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لزوم التكليف بما لا يطاق ، فلأنّ عند الشكّ في التكليف بواسطة الشكّ في الموضوع الخاصّ وعدم العلم بالأمر لو كان </w:t>
      </w:r>
    </w:p>
    <w:p>
      <w:pPr>
        <w:pStyle w:val="BookText"/>
        <w:rPr/>
      </w:pPr>
      <w:r>
        <w:rPr>
          <w:rFonts w:ascii="Amiri" w:hAnsi="Amiri" w:eastAsia="Amiri" w:cs="Amiri"/>
          <w:color w:val="111111"/>
          <w:sz w:val="28"/>
          <w:sz w:val="28"/>
          <w:szCs w:val="28"/>
          <w:rtl w:val="true"/>
          <w:lang w:bidi="ar-SA"/>
        </w:rPr>
        <w:t xml:space="preserve">مكلّفا بالفعل على أنّه مأمور لزم التكليف بالمحال فإنّ حال عدم العلم بالأمر يمتنع إتيان الفعل لداعي الأمر وهو ظاهر ، وقد مرّ تفصيل ذلك في الشبهة الوجوبية الحكمية بما فيه من الأسئلة </w:t>
      </w:r>
      <w:r>
        <w:rPr>
          <w:rStyle w:val="FootnoteAnchor"/>
          <w:rtl w:val="true"/>
        </w:rPr>
        <w:footnoteReference w:id="1481"/>
      </w:r>
      <w:r>
        <w:rPr>
          <w:rFonts w:ascii="Amiri" w:hAnsi="Amiri" w:eastAsia="Amiri" w:cs="Amiri"/>
          <w:color w:val="111111"/>
          <w:sz w:val="28"/>
          <w:sz w:val="28"/>
          <w:szCs w:val="28"/>
          <w:rtl w:val="true"/>
          <w:lang w:bidi="ar-SA"/>
        </w:rPr>
        <w:t xml:space="preserve">والأجوبة ، وأمّا لزوم التكليف بلا بيان ، فلأنّ المفروض عدم العلم بالتكليف ولو بواسطة الشكّ في الموضوع ، ومع عدم العلم لو قيل بالتكليف والعقاب على الترك والفعل لزم التكليف من غير بيان والعقاب بلا برهان ، وذلك أيضا أمر </w:t>
      </w:r>
      <w:r>
        <w:rPr>
          <w:rStyle w:val="FootnoteAnchor"/>
          <w:rtl w:val="true"/>
        </w:rPr>
        <w:footnoteReference w:id="1482"/>
      </w:r>
      <w:r>
        <w:rPr>
          <w:rFonts w:ascii="Amiri" w:hAnsi="Amiri" w:eastAsia="Amiri" w:cs="Amiri"/>
          <w:color w:val="111111"/>
          <w:sz w:val="28"/>
          <w:sz w:val="28"/>
          <w:szCs w:val="28"/>
          <w:rtl w:val="true"/>
          <w:lang w:bidi="ar-SA"/>
        </w:rPr>
        <w:t xml:space="preserve">واضح يحكم به كلّ من يجد من </w:t>
      </w:r>
      <w:r>
        <w:rPr>
          <w:rStyle w:val="FootnoteAnchor"/>
          <w:rtl w:val="true"/>
        </w:rPr>
        <w:footnoteReference w:id="1483"/>
      </w:r>
      <w:r>
        <w:rPr>
          <w:rFonts w:ascii="Amiri" w:hAnsi="Amiri" w:eastAsia="Amiri" w:cs="Amiri"/>
          <w:color w:val="111111"/>
          <w:sz w:val="28"/>
          <w:sz w:val="28"/>
          <w:szCs w:val="28"/>
          <w:rtl w:val="true"/>
          <w:lang w:bidi="ar-SA"/>
        </w:rPr>
        <w:t xml:space="preserve">نفسه رائحة من المعنى ، فإنّ الرقيب العتيد </w:t>
      </w:r>
      <w:r>
        <w:rPr>
          <w:rStyle w:val="FootnoteAnchor"/>
          <w:rtl w:val="true"/>
        </w:rPr>
        <w:footnoteReference w:id="1484"/>
      </w:r>
      <w:r>
        <w:rPr>
          <w:rFonts w:ascii="Amiri" w:hAnsi="Amiri" w:eastAsia="Amiri" w:cs="Amiri"/>
          <w:color w:val="111111"/>
          <w:sz w:val="28"/>
          <w:sz w:val="28"/>
          <w:szCs w:val="28"/>
          <w:rtl w:val="true"/>
          <w:lang w:bidi="ar-SA"/>
        </w:rPr>
        <w:t>الذي يحاسبنا في حركاتنا الجزئية وسكناتنا الشخصية كيف يتأتّى منه التعذيب على الأمر المجهول مع ظهور حجّة العبد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ظاهر بين ما نحن بصدده وما مرّ من الشبهة الحكمية لعدم معلومية الحكم والتكليف فيها رأسا بخلاف المقام فإنّ التكليف بالاجتناب عن الخمر أو إكرام العالم مثلا معلوم ، والشكّ في اندراج الفرد لا يجدي في رفع الحكم المعلوم لأنّ المأمور بالاجتناب عنه وإكرامه هو الخمر الواقعي والعالم النفس الأمري ، والتكليف بالعنوان الواقعي يقضي بالاجتناب عن الخمر المشكوك وإكرام العالم المجهول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w:t>
      </w:r>
      <w:r>
        <w:rPr>
          <w:rStyle w:val="FootnoteAnchor"/>
          <w:rtl w:val="true"/>
        </w:rPr>
        <w:footnoteReference w:id="1485"/>
      </w:r>
      <w:r>
        <w:rPr>
          <w:rFonts w:ascii="Amiri" w:hAnsi="Amiri" w:eastAsia="Amiri" w:cs="Amiri"/>
          <w:color w:val="111111"/>
          <w:sz w:val="28"/>
          <w:sz w:val="28"/>
          <w:szCs w:val="28"/>
          <w:rtl w:val="true"/>
          <w:lang w:bidi="ar-SA"/>
        </w:rPr>
        <w:t xml:space="preserve">لزوم الاجتناب عن الخمر المشكوك وجوبه بواسطة الخطاب </w:t>
      </w:r>
      <w:r>
        <w:rPr>
          <w:rStyle w:val="FootnoteAnchor"/>
          <w:rtl w:val="true"/>
        </w:rPr>
        <w:footnoteReference w:id="1486"/>
      </w:r>
      <w:r>
        <w:rPr>
          <w:rFonts w:ascii="Amiri" w:hAnsi="Amiri" w:eastAsia="Amiri" w:cs="Amiri"/>
          <w:color w:val="111111"/>
          <w:sz w:val="28"/>
          <w:sz w:val="28"/>
          <w:szCs w:val="28"/>
          <w:rtl w:val="true"/>
          <w:lang w:bidi="ar-SA"/>
        </w:rPr>
        <w:t xml:space="preserve">العامّ الحاكم باجتناب الخمر ، فذلك ظاهر البطلان بل لا يكاد يلتزم به العاقل لما عرفت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ولو كان خاصّا في خصوص فعل جزئي يحتاج إلى العلم ، والعلم بالعنوان لا يجدي في الموضوعات الخاصّة بعد كون المقصود حقيقة من الأمر بالكلّي إيجاد الأفراد </w:t>
      </w:r>
      <w:r>
        <w:rPr>
          <w:rStyle w:val="FootnoteAnchor"/>
          <w:rtl w:val="true"/>
        </w:rPr>
        <w:footnoteReference w:id="1487"/>
      </w:r>
      <w:r>
        <w:rPr>
          <w:rFonts w:ascii="Amiri" w:hAnsi="Amiri" w:eastAsia="Amiri" w:cs="Amiri"/>
          <w:color w:val="111111"/>
          <w:sz w:val="28"/>
          <w:sz w:val="28"/>
          <w:szCs w:val="28"/>
          <w:rtl w:val="true"/>
          <w:lang w:bidi="ar-SA"/>
        </w:rPr>
        <w:t xml:space="preserve">كما لا يخفى ، ولو كان الاستناد إلى العنوان المعلوم كافيا في التكليف بالأفراد المشكوكة ، لصحّ الاستناد إليه فيها أيضا لو كان حكم العنوانين </w:t>
      </w:r>
    </w:p>
    <w:p>
      <w:pPr>
        <w:pStyle w:val="BookText"/>
        <w:rPr/>
      </w:pPr>
      <w:r>
        <w:rPr>
          <w:rFonts w:ascii="Amiri" w:hAnsi="Amiri" w:eastAsia="Amiri" w:cs="Amiri"/>
          <w:color w:val="111111"/>
          <w:sz w:val="28"/>
          <w:sz w:val="28"/>
          <w:szCs w:val="28"/>
          <w:rtl w:val="true"/>
          <w:lang w:bidi="ar-SA"/>
        </w:rPr>
        <w:t xml:space="preserve">مختلفا ، مثلا لو قلنا بحرمة إكرام الجاهل ووجوب إكرام العالم وشكّ في زيد هل هو عالم أو جاهل ، فلو صحّ دعوى وجوب إكرامه نظرا إلى وجوب إكرام العالم الواقعي واحتمال أن يكون زيد منه ، لصحّ </w:t>
      </w:r>
      <w:r>
        <w:rPr>
          <w:rStyle w:val="FootnoteAnchor"/>
          <w:rtl w:val="true"/>
        </w:rPr>
        <w:footnoteReference w:id="1488"/>
      </w:r>
      <w:r>
        <w:rPr>
          <w:rFonts w:ascii="Amiri" w:hAnsi="Amiri" w:eastAsia="Amiri" w:cs="Amiri"/>
          <w:color w:val="111111"/>
          <w:sz w:val="28"/>
          <w:sz w:val="28"/>
          <w:szCs w:val="28"/>
          <w:rtl w:val="true"/>
          <w:lang w:bidi="ar-SA"/>
        </w:rPr>
        <w:t xml:space="preserve">دعوى حرمة إكرامه نظرا إلى حرمة إكرام الجاهل الواقعي فإنّ لكلّ مطلوب دليلا يستفاد ذلك المطلوب منه ، وهو لا مناص من تركه من مقدّمتين إحداهما يحكم فيها بثبوت </w:t>
      </w:r>
      <w:r>
        <w:rPr>
          <w:rStyle w:val="FootnoteAnchor"/>
          <w:rtl w:val="true"/>
        </w:rPr>
        <w:footnoteReference w:id="1489"/>
      </w:r>
      <w:r>
        <w:rPr>
          <w:rFonts w:ascii="Amiri" w:hAnsi="Amiri" w:eastAsia="Amiri" w:cs="Amiri"/>
          <w:color w:val="111111"/>
          <w:sz w:val="28"/>
          <w:sz w:val="28"/>
          <w:szCs w:val="28"/>
          <w:rtl w:val="true"/>
          <w:lang w:bidi="ar-SA"/>
        </w:rPr>
        <w:t xml:space="preserve">الملزوم ، والأخرى بالملازمة ، ففي وجوب إكرام زيد المشكوك كونه عالما لو صحّ الاستناد إلى وجوب إكرام مطلق العالم المعلوم بالخطاب العامّ ، لزم إثبات المطلوب بمقدّمة تكفل </w:t>
      </w:r>
      <w:r>
        <w:rPr>
          <w:rStyle w:val="FootnoteAnchor"/>
          <w:rtl w:val="true"/>
        </w:rPr>
        <w:footnoteReference w:id="1490"/>
      </w:r>
      <w:r>
        <w:rPr>
          <w:rFonts w:ascii="Amiri" w:hAnsi="Amiri" w:eastAsia="Amiri" w:cs="Amiri"/>
          <w:color w:val="111111"/>
          <w:sz w:val="28"/>
          <w:sz w:val="28"/>
          <w:szCs w:val="28"/>
          <w:rtl w:val="true"/>
          <w:lang w:bidi="ar-SA"/>
        </w:rPr>
        <w:t>لبيان الملازمة فقط وهي المسمّاة بالكبرى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زيادة توضيح في </w:t>
      </w:r>
      <w:r>
        <w:rPr>
          <w:rStyle w:val="FootnoteAnchor"/>
          <w:rtl w:val="true"/>
        </w:rPr>
        <w:footnoteReference w:id="1491"/>
      </w:r>
      <w:r>
        <w:rPr>
          <w:rFonts w:ascii="Amiri" w:hAnsi="Amiri" w:eastAsia="Amiri" w:cs="Amiri"/>
          <w:color w:val="111111"/>
          <w:sz w:val="28"/>
          <w:sz w:val="28"/>
          <w:szCs w:val="28"/>
          <w:rtl w:val="true"/>
          <w:lang w:bidi="ar-SA"/>
        </w:rPr>
        <w:t xml:space="preserve">ذلك ، فانظر إلى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بعد إحراز ما يستفاد منه ثبوت القيام لزيد كيف يدور العلم بالقيام له والظنّ والشكّ فيه أيضا مدار العلم بزيد والظنّ به والشكّ فيه ، فكما أنّ ثبوت شيء لشيء فرع ثبوت ذلك الشيء ، فالعلم بثبوت شيء لشيء فرع العلم بذلك الشيء ، وهذا ظاهر معلوم لكلّ من راجع وجدانه بل وهو من أجلى الضروريات ، ولهذا تراهم </w:t>
      </w:r>
      <w:r>
        <w:rPr>
          <w:rStyle w:val="FootnoteAnchor"/>
          <w:rtl w:val="true"/>
        </w:rPr>
        <w:footnoteReference w:id="1492"/>
      </w:r>
      <w:r>
        <w:rPr>
          <w:rFonts w:ascii="Amiri" w:hAnsi="Amiri" w:eastAsia="Amiri" w:cs="Amiri"/>
          <w:color w:val="111111"/>
          <w:sz w:val="28"/>
          <w:sz w:val="28"/>
          <w:szCs w:val="28"/>
          <w:rtl w:val="true"/>
          <w:lang w:bidi="ar-SA"/>
        </w:rPr>
        <w:t>يرسلون اشتراط مطلق التكليف بمطلق العلم إرسال المسلّمات على ما لا يخفى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w:t>
      </w:r>
      <w:r>
        <w:rPr>
          <w:rStyle w:val="FootnoteAnchor"/>
          <w:rtl w:val="true"/>
        </w:rPr>
        <w:footnoteReference w:id="1493"/>
      </w:r>
      <w:r>
        <w:rPr>
          <w:rFonts w:ascii="Amiri" w:hAnsi="Amiri" w:eastAsia="Amiri" w:cs="Amiri"/>
          <w:color w:val="111111"/>
          <w:sz w:val="28"/>
          <w:sz w:val="28"/>
          <w:szCs w:val="28"/>
          <w:rtl w:val="true"/>
          <w:lang w:bidi="ar-SA"/>
        </w:rPr>
        <w:t xml:space="preserve">أنّ في موضوع الاحتمال دليل </w:t>
      </w:r>
      <w:r>
        <w:rPr>
          <w:rStyle w:val="FootnoteAnchor"/>
          <w:rtl w:val="true"/>
        </w:rPr>
        <w:footnoteReference w:id="1494"/>
      </w:r>
      <w:r>
        <w:rPr>
          <w:rFonts w:ascii="Amiri" w:hAnsi="Amiri" w:eastAsia="Amiri" w:cs="Amiri"/>
          <w:color w:val="111111"/>
          <w:sz w:val="28"/>
          <w:sz w:val="28"/>
          <w:szCs w:val="28"/>
          <w:rtl w:val="true"/>
          <w:lang w:bidi="ar-SA"/>
        </w:rPr>
        <w:t xml:space="preserve">آخر غير ما دلّ على وجوب إكرام العالم ولزوم الاجتناب من </w:t>
      </w:r>
      <w:r>
        <w:rPr>
          <w:rStyle w:val="FootnoteAnchor"/>
          <w:rtl w:val="true"/>
        </w:rPr>
        <w:footnoteReference w:id="1495"/>
      </w:r>
      <w:r>
        <w:rPr>
          <w:rFonts w:ascii="Amiri" w:hAnsi="Amiri" w:eastAsia="Amiri" w:cs="Amiri"/>
          <w:color w:val="111111"/>
          <w:sz w:val="28"/>
          <w:sz w:val="28"/>
          <w:szCs w:val="28"/>
          <w:rtl w:val="true"/>
          <w:lang w:bidi="ar-SA"/>
        </w:rPr>
        <w:t xml:space="preserve">الخمر من حيث وجود العلم الإجمالي بوجود الخمر الحقيقي الواقعي في سلسلة المشكوكات ، فهذا خارج عن مفروض الكلام في المقام حيث إنّ الكلام إنّما هو في الشكّ الابتدائي من غير سبق علم إجمالي بوجود الواجب والحرام في </w:t>
      </w:r>
    </w:p>
    <w:p>
      <w:pPr>
        <w:pStyle w:val="BookText"/>
        <w:rPr/>
      </w:pPr>
      <w:r>
        <w:rPr>
          <w:rFonts w:ascii="Amiri" w:hAnsi="Amiri" w:eastAsia="Amiri" w:cs="Amiri"/>
          <w:color w:val="111111"/>
          <w:sz w:val="28"/>
          <w:sz w:val="28"/>
          <w:szCs w:val="28"/>
          <w:rtl w:val="true"/>
          <w:lang w:bidi="ar-SA"/>
        </w:rPr>
        <w:t xml:space="preserve">المشكوكات كما في الشبهة المحصورة ، فإنّ للكلام فيها مقاما آخر ستعرفه </w:t>
      </w:r>
      <w:r>
        <w:rPr>
          <w:rStyle w:val="FootnoteAnchor"/>
          <w:rtl w:val="true"/>
        </w:rPr>
        <w:footnoteReference w:id="1496"/>
      </w:r>
      <w:r>
        <w:rPr>
          <w:rFonts w:ascii="Amiri" w:hAnsi="Amiri" w:eastAsia="Amiri" w:cs="Amiri"/>
          <w:color w:val="111111"/>
          <w:sz w:val="28"/>
          <w:sz w:val="28"/>
          <w:szCs w:val="28"/>
          <w:rtl w:val="true"/>
          <w:lang w:bidi="ar-SA"/>
        </w:rPr>
        <w:t>فيما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فالمكلّف تارة يعلم تفصيلا بالموضوع والحكم ، وظاهر لزوم الامتثال حينئذ </w:t>
      </w:r>
      <w:r>
        <w:rPr>
          <w:rStyle w:val="FootnoteAnchor"/>
          <w:rtl w:val="true"/>
        </w:rPr>
        <w:footnoteReference w:id="1497"/>
      </w:r>
      <w:r>
        <w:rPr>
          <w:rFonts w:ascii="Amiri" w:hAnsi="Amiri" w:eastAsia="Amiri" w:cs="Amiri"/>
          <w:color w:val="111111"/>
          <w:sz w:val="28"/>
          <w:sz w:val="28"/>
          <w:szCs w:val="28"/>
          <w:rtl w:val="true"/>
          <w:lang w:bidi="ar-SA"/>
        </w:rPr>
        <w:t xml:space="preserve">، وتارة يعلم بوجود الموضوع في جملة مشتبهة فله حكمه على ما سيجيء ، وأخرى يشكّ في الموضوع فيشكّ في نفس التكليف بالنسبة إليه بالخصوص ، ولا فرق بين الشكّ في التكليف الكلّي والجزئي بعد اتّحاد </w:t>
      </w:r>
      <w:r>
        <w:rPr>
          <w:rStyle w:val="FootnoteAnchor"/>
          <w:rtl w:val="true"/>
        </w:rPr>
        <w:footnoteReference w:id="1498"/>
      </w:r>
      <w:r>
        <w:rPr>
          <w:rFonts w:ascii="Amiri" w:hAnsi="Amiri" w:eastAsia="Amiri" w:cs="Amiri"/>
          <w:color w:val="111111"/>
          <w:sz w:val="28"/>
          <w:sz w:val="28"/>
          <w:szCs w:val="28"/>
          <w:rtl w:val="true"/>
          <w:lang w:bidi="ar-SA"/>
        </w:rPr>
        <w:t xml:space="preserve">المناط ولا سيّما بعد ما عرفت من أنّ المقصود حقيقة منه إتيان </w:t>
      </w:r>
      <w:r>
        <w:rPr>
          <w:rStyle w:val="FootnoteAnchor"/>
          <w:rtl w:val="true"/>
        </w:rPr>
        <w:footnoteReference w:id="1499"/>
      </w:r>
      <w:r>
        <w:rPr>
          <w:rFonts w:ascii="Amiri" w:hAnsi="Amiri" w:eastAsia="Amiri" w:cs="Amiri"/>
          <w:color w:val="111111"/>
          <w:sz w:val="28"/>
          <w:sz w:val="28"/>
          <w:szCs w:val="28"/>
          <w:rtl w:val="true"/>
          <w:lang w:bidi="ar-SA"/>
        </w:rPr>
        <w:t xml:space="preserve">الجزئيات كما لا يخفى ، وانضمام الأفراد المعلومة بالتفصيل إلى الأفراد </w:t>
      </w:r>
      <w:r>
        <w:rPr>
          <w:rStyle w:val="FootnoteAnchor"/>
          <w:rtl w:val="true"/>
        </w:rPr>
        <w:footnoteReference w:id="1500"/>
      </w:r>
      <w:r>
        <w:rPr>
          <w:rFonts w:ascii="Amiri" w:hAnsi="Amiri" w:eastAsia="Amiri" w:cs="Amiri"/>
          <w:color w:val="111111"/>
          <w:sz w:val="28"/>
          <w:sz w:val="28"/>
          <w:szCs w:val="28"/>
          <w:rtl w:val="true"/>
          <w:lang w:bidi="ar-SA"/>
        </w:rPr>
        <w:t xml:space="preserve">المشكوكة لا يؤثّر في جريان البراءة فيها ؛ للعلم بعدم مدخلية المعلوم في المجهول ، فالإتيان بالمشكوكات لو كان من جهة كونها مقدّمة للأفراد المعلومة بالتفصيل ، فلا يعقل له معنى ولو كان بواسطة الأفراد المعلومة بالإجمال ، فالمفروض خلاف ذلك ، ولو كان بواسطة تحصيل العلم بالأفراد الواقعية ، فالشكّ إنّما هو في كونها فردا واقعيا ولا بدّ في تعلّق التكليف بشيء من العلم به وبمتعلّقه </w:t>
      </w:r>
      <w:r>
        <w:rPr>
          <w:rStyle w:val="FootnoteAnchor"/>
          <w:rtl w:val="true"/>
        </w:rPr>
        <w:footnoteReference w:id="1501"/>
      </w:r>
      <w:r>
        <w:rPr>
          <w:rFonts w:ascii="Amiri" w:hAnsi="Amiri" w:eastAsia="Amiri" w:cs="Amiri"/>
          <w:color w:val="111111"/>
          <w:sz w:val="28"/>
          <w:sz w:val="28"/>
          <w:szCs w:val="28"/>
          <w:rtl w:val="true"/>
          <w:lang w:bidi="ar-SA"/>
        </w:rPr>
        <w:t>وبجميع ما له دخل فيه ، وإلاّ فالشكّ يرجع إلى نفس التكليف والبراءة محكّمة فيه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المقام شيء آخر وهو القول بلزوم الاحتياط والإتيان بالمشكوكات نظرا إلى لزوم دفع الضرر المحتمل وليس المراد به الضرر الأخروي من العقاب المترتّب على ترك المأمور به وفعل المنهيّ عنه </w:t>
      </w:r>
      <w:r>
        <w:rPr>
          <w:rStyle w:val="FootnoteAnchor"/>
          <w:rtl w:val="true"/>
        </w:rPr>
        <w:footnoteReference w:id="1502"/>
      </w:r>
      <w:r>
        <w:rPr>
          <w:rFonts w:ascii="Amiri" w:hAnsi="Amiri" w:eastAsia="Amiri" w:cs="Amiri"/>
          <w:color w:val="111111"/>
          <w:sz w:val="28"/>
          <w:sz w:val="28"/>
          <w:szCs w:val="28"/>
          <w:rtl w:val="true"/>
          <w:lang w:bidi="ar-SA"/>
        </w:rPr>
        <w:t xml:space="preserve">كي يقال بأنّ قبح التكليف بلا بيان يؤمننا الضرر ، ولا ما يترتّب على ترك الاحتياط حتّى يقال بعدم وجوبه بعد عدم جواز العقاب على نفس التكاليف الواقعية كما مرّ تحقيقه في الشبهة الوجوبية ، بل المراد به الضرر الدنيوي من الآلام المحتملة عند ترك ما يحتمل الوجوب كاحتمال الرمد عند </w:t>
      </w:r>
    </w:p>
    <w:p>
      <w:pPr>
        <w:pStyle w:val="BookText"/>
        <w:rPr/>
      </w:pPr>
      <w:r>
        <w:rPr>
          <w:rFonts w:ascii="Amiri" w:hAnsi="Amiri" w:eastAsia="Amiri" w:cs="Amiri"/>
          <w:color w:val="111111"/>
          <w:sz w:val="28"/>
          <w:sz w:val="28"/>
          <w:szCs w:val="28"/>
          <w:rtl w:val="true"/>
          <w:lang w:bidi="ar-SA"/>
        </w:rPr>
        <w:t xml:space="preserve">ترك قراءة الدعاء عند الاستهلال مثلا ، أو الأخروي فيما لا يرجع إلى العقاب على التكاليف الواقعية وإن كان بواسطة مخالفة حكم العقل ، وهذا هو الذي نبّهنا عليه في الشبهة الوجوبية ووعدنا توضيحه لك في هذا المقام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الأعاظم قد تصدّوا لدفع الإشكال إلاّ أنّهم بعد لم يأتوا بشيء يشفي العليل ، ويروي الغليل ، فمن ذلك ما أفاده بعضهم من منع حكم العقل بدفع الضرر ولو احتمالا مرجوحا أو مساويا ، غاية الأمر لزوم دفع المظنون منه ، وزاد بعضهم على ذلك ، فمنع من وجوب دفعه شرعا أيضا نظرا إلى منع الملازمة بينهما بل إنّما هو حكم عقلي صرف لا يمازجه شوب الشرع ، فلا يثبت به الحكم الشرعي ووجوب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المحقّق الوحيد البهبهاني الأستاذ الأكبر في رسالته المعمولة في البراءة والاحتياط </w:t>
      </w:r>
      <w:r>
        <w:rPr>
          <w:rStyle w:val="FootnoteAnchor"/>
          <w:rtl w:val="true"/>
        </w:rPr>
        <w:footnoteReference w:id="1504"/>
      </w:r>
      <w:r>
        <w:rPr>
          <w:rFonts w:ascii="Amiri" w:hAnsi="Amiri" w:eastAsia="Amiri" w:cs="Amiri"/>
          <w:color w:val="111111"/>
          <w:sz w:val="28"/>
          <w:sz w:val="28"/>
          <w:szCs w:val="28"/>
          <w:rtl w:val="true"/>
          <w:lang w:bidi="ar-SA"/>
        </w:rPr>
        <w:t xml:space="preserve">أنّ </w:t>
      </w:r>
      <w:r>
        <w:rPr>
          <w:rStyle w:val="FootnoteAnchor"/>
          <w:rtl w:val="true"/>
        </w:rPr>
        <w:footnoteReference w:id="1505"/>
      </w:r>
      <w:r>
        <w:rPr>
          <w:rFonts w:ascii="Amiri" w:hAnsi="Amiri" w:eastAsia="Amiri" w:cs="Amiri"/>
          <w:color w:val="111111"/>
          <w:sz w:val="28"/>
          <w:sz w:val="28"/>
          <w:szCs w:val="28"/>
          <w:rtl w:val="true"/>
          <w:lang w:bidi="ar-SA"/>
        </w:rPr>
        <w:t xml:space="preserve">حكم العقل بلزوم دفع الضرر إنّما هو مجرّد إرشاد من العقل وإراءة طريق لنا لا يصل حدّا يوجب العقوبة على تقدير المخالفة ، فالعقل يحكم بالاحتياط ودفع الضرر حذرا من وقوعه فيه لا أنّه عنوان يحكم العقل بحرمته في نفسه على وجه يستوجب المخالف للذمّ كما في الظلم ونحوه ، والكلّ كما ترى بسقوط </w:t>
      </w:r>
      <w:r>
        <w:rPr>
          <w:rStyle w:val="FootnoteAnchor"/>
          <w:rtl w:val="true"/>
        </w:rPr>
        <w:footnoteReference w:id="1506"/>
      </w:r>
      <w:r>
        <w:rPr>
          <w:rFonts w:ascii="IRNazanin" w:hAnsi="IRNazanin" w:eastAsia="IRNazanin"/>
          <w:color w:val="111111"/>
          <w:sz w:val="28"/>
          <w:sz w:val="28"/>
          <w:szCs w:val="28"/>
          <w:rtl w:val="true"/>
          <w:lang w:bidi="fa-IR"/>
        </w:rPr>
        <w:t xml:space="preserve">الأوّل ؛ لقضاء </w:t>
      </w:r>
      <w:r>
        <w:rPr>
          <w:rStyle w:val="FootnoteAnchor"/>
          <w:rtl w:val="true"/>
        </w:rPr>
        <w:footnoteReference w:id="1507"/>
      </w:r>
      <w:r>
        <w:rPr>
          <w:rFonts w:ascii="Amiri" w:hAnsi="Amiri" w:eastAsia="Amiri" w:cs="Amiri"/>
          <w:color w:val="111111"/>
          <w:sz w:val="28"/>
          <w:sz w:val="28"/>
          <w:szCs w:val="28"/>
          <w:rtl w:val="true"/>
          <w:lang w:bidi="ar-SA"/>
        </w:rPr>
        <w:t xml:space="preserve">الضرورة بخلافه ، والثاني بما مرّ فيما سبق من تحقّق </w:t>
      </w:r>
      <w:r>
        <w:rPr>
          <w:rStyle w:val="FootnoteAnchor"/>
          <w:rtl w:val="true"/>
        </w:rPr>
        <w:footnoteReference w:id="1508"/>
      </w:r>
      <w:r>
        <w:rPr>
          <w:rFonts w:ascii="Amiri" w:hAnsi="Amiri" w:eastAsia="Amiri" w:cs="Amiri"/>
          <w:color w:val="111111"/>
          <w:sz w:val="28"/>
          <w:sz w:val="28"/>
          <w:szCs w:val="28"/>
          <w:rtl w:val="true"/>
          <w:lang w:bidi="ar-SA"/>
        </w:rPr>
        <w:t>الملازمة الواقعية بين العقل والشرع ، وكيف لا وهو خالق العقل؟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فبعد الإغماض عن مخالفته لما في الوجدان ، فهو هدم لما أسّسه </w:t>
      </w:r>
      <w:r>
        <w:rPr>
          <w:rStyle w:val="FootnoteAnchor"/>
          <w:rtl w:val="true"/>
        </w:rPr>
        <w:footnoteReference w:id="1509"/>
      </w:r>
      <w:r>
        <w:rPr>
          <w:rFonts w:ascii="Amiri" w:hAnsi="Amiri" w:eastAsia="Amiri" w:cs="Amiri"/>
          <w:color w:val="111111"/>
          <w:sz w:val="28"/>
          <w:sz w:val="28"/>
          <w:szCs w:val="28"/>
          <w:rtl w:val="true"/>
          <w:lang w:bidi="ar-SA"/>
        </w:rPr>
        <w:t xml:space="preserve">أكابر المتكلّمين من وجوبه على الوجه المزبور ، وكيف وهذا هو المبنى لأسّ مسائل الربوبية </w:t>
      </w:r>
    </w:p>
    <w:p>
      <w:pPr>
        <w:pStyle w:val="BookText"/>
        <w:rPr/>
      </w:pPr>
      <w:r>
        <w:rPr>
          <w:rFonts w:ascii="Amiri" w:hAnsi="Amiri" w:eastAsia="Amiri" w:cs="Amiri"/>
          <w:color w:val="111111"/>
          <w:sz w:val="28"/>
          <w:sz w:val="28"/>
          <w:szCs w:val="28"/>
          <w:rtl w:val="true"/>
          <w:lang w:bidi="ar-SA"/>
        </w:rPr>
        <w:t xml:space="preserve">والمعارف الإلهية كما لا يخفى ، فالأولى الالتزام به ومع ذلك فالمطلوب ثابت لما عرفت أنّ الأحكام العقلية على قسمين بل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يمنع تصريح الشارع بخلافها كما فيما لو كان الحسن والقبح من مقتضيات ذات الشيء كحسن المعرفة وقبح الكذب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لا يمنع </w:t>
      </w:r>
      <w:r>
        <w:rPr>
          <w:rStyle w:val="FootnoteAnchor"/>
          <w:rtl w:val="true"/>
        </w:rPr>
        <w:footnoteReference w:id="1510"/>
      </w:r>
      <w:r>
        <w:rPr>
          <w:rFonts w:ascii="Amiri" w:hAnsi="Amiri" w:eastAsia="Amiri" w:cs="Amiri"/>
          <w:color w:val="111111"/>
          <w:sz w:val="28"/>
          <w:sz w:val="28"/>
          <w:szCs w:val="28"/>
          <w:rtl w:val="true"/>
          <w:lang w:bidi="ar-SA"/>
        </w:rPr>
        <w:t xml:space="preserve">التصريح بخلافها لكن لا من حيث عنوان الحسن والقبح بل بواسطة عنوان آخر طار على الأوّل ، وقد مرّ أيضا أنّ عدم العلم بطريان العنوان الطارئ لا يجدي في ظاهرية حكم العقل وإن كان في موضوع الجهل كما أنّ عدم العلم بلحوق عنوان الطارئ لا يوجب عدم استقلال العقل بالحكم عند احتماله إذ مع عدم العلم بالعنوان اللاحق لا حكم له قطعا لعدمه حقيقة لاشتراط وجوده بالعلم ، فعند عدمه يستقلّ العقل بالحكم ، فلو استقلّ العقل بوجوب دفع الضرر الدنيوي ، فللشارع أن يحكم بخلافه لكن لا على وجه التخصيص بل حكم </w:t>
      </w:r>
      <w:r>
        <w:rPr>
          <w:rStyle w:val="FootnoteAnchor"/>
          <w:rtl w:val="true"/>
        </w:rPr>
        <w:footnoteReference w:id="1511"/>
      </w:r>
      <w:r>
        <w:rPr>
          <w:rFonts w:ascii="Amiri" w:hAnsi="Amiri" w:eastAsia="Amiri" w:cs="Amiri"/>
          <w:color w:val="111111"/>
          <w:sz w:val="28"/>
          <w:sz w:val="28"/>
          <w:szCs w:val="28"/>
          <w:rtl w:val="true"/>
          <w:lang w:bidi="ar-SA"/>
        </w:rPr>
        <w:t xml:space="preserve">الشارع يكشف عن وجود مصلحة فائقة على المفسدة التي أحرزها العقل ، فالفعل حينئذ يعنون بغير العنوان الحسن أو القبح </w:t>
      </w:r>
      <w:r>
        <w:rPr>
          <w:rStyle w:val="FootnoteAnchor"/>
          <w:rtl w:val="true"/>
        </w:rPr>
        <w:footnoteReference w:id="1512"/>
      </w:r>
      <w:r>
        <w:rPr>
          <w:rFonts w:ascii="Amiri" w:hAnsi="Amiri" w:eastAsia="Amiri" w:cs="Amiri"/>
          <w:color w:val="111111"/>
          <w:sz w:val="28"/>
          <w:sz w:val="28"/>
          <w:szCs w:val="28"/>
          <w:rtl w:val="true"/>
          <w:lang w:bidi="ar-SA"/>
        </w:rPr>
        <w:t>، فهو تخصيص موضوعي كقتل الكفّار وقطع يد السارقين ونحو 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تمهّدت ما ذكرنا ، فاعلم أنّ الشارع قد جوّز ارتكاب الضرر الدنيوي في صورة العلم في موارد عديدة كالجهاد والتمكين من القتل عند إظهار كلمة الكفر لمن يعتدّ بشأنه في الدين وأمثال ذلك ، فكيف بالضرر المظنون والمشكوك ، فلا ضير في حكم العقل بوجوب دفع الضرر من حيث هو هو حكم الشرع في موارد خاصّة لعدم وجوبه للمصالح الكامنة في ارتكاب الضرر ، ولهذا تراهم عند الشكّ في الضرر لا يحكمون بسقوط التكليف إلاّ عن جماعة قليلة لشبهة اختلجت في أذهانهم نظرا إلى عنوان الخوف في بعض الأدلّة ، ولا دخل له بما نحن بصدده إذ على تقدير كون الخوف عنوانا على حدة في الأدلّة الشرعية ، فعند الشكّ وجوده قطعي والحكم لا يناط أبدا </w:t>
      </w:r>
    </w:p>
    <w:p>
      <w:pPr>
        <w:pStyle w:val="BookText"/>
        <w:rPr/>
      </w:pPr>
      <w:r>
        <w:rPr>
          <w:rFonts w:ascii="Amiri" w:hAnsi="Amiri" w:eastAsia="Amiri" w:cs="Amiri"/>
          <w:color w:val="111111"/>
          <w:sz w:val="28"/>
          <w:sz w:val="28"/>
          <w:szCs w:val="28"/>
          <w:rtl w:val="true"/>
          <w:lang w:bidi="ar-SA"/>
        </w:rPr>
        <w:t>بالشكّ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فلا مانع في العقل أن يحكم الشارع الحكيم بعدم </w:t>
      </w:r>
      <w:r>
        <w:rPr>
          <w:rStyle w:val="FootnoteAnchor"/>
          <w:rtl w:val="true"/>
        </w:rPr>
        <w:footnoteReference w:id="1513"/>
      </w:r>
      <w:r>
        <w:rPr>
          <w:rFonts w:ascii="Amiri" w:hAnsi="Amiri" w:eastAsia="Amiri" w:cs="Amiri"/>
          <w:color w:val="111111"/>
          <w:sz w:val="28"/>
          <w:sz w:val="28"/>
          <w:szCs w:val="28"/>
          <w:rtl w:val="true"/>
          <w:lang w:bidi="ar-SA"/>
        </w:rPr>
        <w:t xml:space="preserve">لزوم الاجتناب عن الضرر الدنيوي ترخيصا لنا في أفعال تحتمله </w:t>
      </w:r>
      <w:r>
        <w:rPr>
          <w:rStyle w:val="FootnoteAnchor"/>
          <w:rtl w:val="true"/>
        </w:rPr>
        <w:footnoteReference w:id="1514"/>
      </w:r>
      <w:r>
        <w:rPr>
          <w:rFonts w:ascii="Amiri" w:hAnsi="Amiri" w:eastAsia="Amiri" w:cs="Amiri"/>
          <w:color w:val="111111"/>
          <w:sz w:val="28"/>
          <w:sz w:val="28"/>
          <w:szCs w:val="28"/>
          <w:rtl w:val="true"/>
          <w:lang w:bidi="ar-SA"/>
        </w:rPr>
        <w:t xml:space="preserve">نظرا إلى عموم ترياق رحمته تعالى المصلح لسموم </w:t>
      </w:r>
      <w:r>
        <w:rPr>
          <w:rStyle w:val="FootnoteAnchor"/>
          <w:rtl w:val="true"/>
        </w:rPr>
        <w:footnoteReference w:id="1515"/>
      </w:r>
      <w:r>
        <w:rPr>
          <w:rFonts w:ascii="IRNazanin" w:hAnsi="IRNazanin" w:eastAsia="IRNazanin"/>
          <w:color w:val="111111"/>
          <w:sz w:val="28"/>
          <w:sz w:val="28"/>
          <w:szCs w:val="28"/>
          <w:rtl w:val="true"/>
          <w:lang w:bidi="fa-IR"/>
        </w:rPr>
        <w:t xml:space="preserve">الأفعال ، وبعد ما عرفت </w:t>
      </w:r>
      <w:r>
        <w:rPr>
          <w:rStyle w:val="FootnoteAnchor"/>
          <w:rtl w:val="true"/>
        </w:rPr>
        <w:footnoteReference w:id="1516"/>
      </w:r>
      <w:r>
        <w:rPr>
          <w:rFonts w:ascii="Amiri" w:hAnsi="Amiri" w:eastAsia="Amiri" w:cs="Amiri"/>
          <w:color w:val="111111"/>
          <w:sz w:val="28"/>
          <w:sz w:val="28"/>
          <w:szCs w:val="28"/>
          <w:rtl w:val="true"/>
          <w:lang w:bidi="ar-SA"/>
        </w:rPr>
        <w:t xml:space="preserve">من قيام الإجماع على عدم لزوم الاجتناب عن الضرر المحتمل وورود الأخبار والآيات على جوازه لا مناص من الحكم بالبراءة فيه ، غاية الأمر عدم تمامية دليل العقل في الشبهة الموضوعية ولا ضير فيه بعد كفاية غيره عن المطلوب ، ولا يلزم الانفكاك بين حكمي العقل والشرع نظرا إلى اختلاف العنوانين في الحكمين ، ولا يلزم من جواز تبدّل العنوانين عدم استقلال العقل في حكمه قبل العلم بلحوق العنوان الآخر كما في الأصول الدينية ولا يكون الحكم بوجوب </w:t>
      </w:r>
      <w:r>
        <w:rPr>
          <w:rStyle w:val="FootnoteAnchor"/>
          <w:rtl w:val="true"/>
        </w:rPr>
        <w:footnoteReference w:id="1517"/>
      </w:r>
      <w:r>
        <w:rPr>
          <w:rFonts w:ascii="Amiri" w:hAnsi="Amiri" w:eastAsia="Amiri" w:cs="Amiri"/>
          <w:color w:val="111111"/>
          <w:sz w:val="28"/>
          <w:sz w:val="28"/>
          <w:szCs w:val="28"/>
          <w:rtl w:val="true"/>
          <w:lang w:bidi="ar-SA"/>
        </w:rPr>
        <w:t>الدفع قبل الشرع حكما ظاهريا من العقل لما عرفت من أنّ الاحتمال دليل على عدم تحقّقه ولا يعقل في الأحكام العقلية كونها ظاهرية وهذا كلّه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مباحث الظنّ حجّيته في الضرر وإن كان من الموضوعات ، وغاية ما يثبت </w:t>
      </w:r>
      <w:r>
        <w:rPr>
          <w:rStyle w:val="FootnoteAnchor"/>
          <w:rtl w:val="true"/>
        </w:rPr>
        <w:footnoteReference w:id="1518"/>
      </w:r>
      <w:r>
        <w:rPr>
          <w:rFonts w:ascii="Amiri" w:hAnsi="Amiri" w:eastAsia="Amiri" w:cs="Amiri"/>
          <w:color w:val="111111"/>
          <w:sz w:val="28"/>
          <w:sz w:val="28"/>
          <w:szCs w:val="28"/>
          <w:rtl w:val="true"/>
          <w:lang w:bidi="ar-SA"/>
        </w:rPr>
        <w:t>في المقام هو إلغاء الضرر المشكوك نظرا إلى قيام الإجماع عليه ، ولا خفاء في أنّ الظنّ بالواجب يلازم الظنّ بالضرر الغير الأخروي ممّا يرجع إلى العقاب ، فاللازم من جميع ذلك حجّية مطلق الظنّ ، وهذا هدم لما تقرّر في محلّه من عدم حجّيته سيّما بواسطة الضرر المحتمل مع قطع النظر عن مقدّمات الانسداد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حجّية الظنّ في الموضوعات التي لا يرجع إلى أمر عرفي لا يجري فيها دليل الانسداد فإنّ المناط في الحجّية على ما قرّرنا في محلّه هو جريان الانسداد في نفس الموضوع وقاعدة الاستلزام ، وإن شئت زيادة توضيح لذلك ، فراجع مظانّه من مباحث الظنّ ، فتدبّر</w:t>
      </w:r>
      <w:r>
        <w:rPr>
          <w:rFonts w:eastAsia="Amiri" w:cs="Amiri" w:ascii="Amiri" w:hAnsi="Amiri"/>
          <w:color w:val="111111"/>
          <w:sz w:val="28"/>
          <w:szCs w:val="28"/>
          <w:rtl w:val="true"/>
          <w:lang w:bidi="ar-SA"/>
        </w:rPr>
        <w:t xml:space="preserve">. </w:t>
      </w:r>
      <w:bookmarkStart w:id="149" w:name="pg16273_211791"/>
    </w:p>
    <w:p>
      <w:pPr>
        <w:pStyle w:val="Heading3"/>
        <w:numPr>
          <w:ilvl w:val="2"/>
          <w:numId w:val="1"/>
        </w:numPr>
        <w:rPr/>
      </w:pPr>
      <w:bookmarkStart w:id="150" w:name="__RefHeading___Toc4803560_1280447820"/>
      <w:bookmarkStart w:id="151" w:name="_Toc52"/>
      <w:bookmarkEnd w:id="149"/>
      <w:bookmarkEnd w:id="150"/>
      <w:r>
        <w:rPr>
          <w:rtl w:val="true"/>
        </w:rPr>
        <w:t xml:space="preserve">أصل </w:t>
      </w:r>
      <w:r>
        <w:rPr>
          <w:rtl w:val="true"/>
        </w:rPr>
        <w:t xml:space="preserve">[ </w:t>
      </w:r>
      <w:r>
        <w:rPr>
          <w:rtl w:val="true"/>
        </w:rPr>
        <w:t xml:space="preserve">في اشتباه الواجب بالحرام </w:t>
      </w:r>
      <w:r>
        <w:rPr>
          <w:rtl w:val="true"/>
        </w:rPr>
        <w:t>]</w:t>
      </w:r>
      <w:bookmarkEnd w:id="151"/>
    </w:p>
    <w:p>
      <w:pPr>
        <w:pStyle w:val="BookText"/>
        <w:rPr/>
      </w:pPr>
      <w:r>
        <w:rPr>
          <w:rFonts w:ascii="Amiri" w:hAnsi="Amiri" w:eastAsia="Amiri" w:cs="Amiri"/>
          <w:color w:val="111111"/>
          <w:sz w:val="28"/>
          <w:sz w:val="28"/>
          <w:szCs w:val="28"/>
          <w:rtl w:val="true"/>
          <w:lang w:bidi="ar-SA"/>
        </w:rPr>
        <w:t xml:space="preserve">في الشبهة الموضوعية التكليفية فيما دار الأمر بين الحرام والواجب والكلام فيه كالكلام في الشبهة التكليفية من عدم الالتزام بشيء منهما وتحكيم البراءة فيهما بعد ما فرضنا كون الواقع مجهولا وعدم دليل على انقلاب التكليف التعييني </w:t>
      </w:r>
      <w:r>
        <w:rPr>
          <w:rStyle w:val="FootnoteAnchor"/>
          <w:rtl w:val="true"/>
        </w:rPr>
        <w:footnoteReference w:id="1519"/>
      </w:r>
      <w:r>
        <w:rPr>
          <w:rFonts w:ascii="Amiri" w:hAnsi="Amiri" w:eastAsia="Amiri" w:cs="Amiri"/>
          <w:color w:val="111111"/>
          <w:sz w:val="28"/>
          <w:sz w:val="28"/>
          <w:szCs w:val="28"/>
          <w:rtl w:val="true"/>
          <w:lang w:bidi="ar-SA"/>
        </w:rPr>
        <w:t xml:space="preserve">إلى التكليف التخييري عدى أنّ عدم </w:t>
      </w:r>
      <w:r>
        <w:rPr>
          <w:rStyle w:val="FootnoteAnchor"/>
          <w:rtl w:val="true"/>
        </w:rPr>
        <w:footnoteReference w:id="1520"/>
      </w:r>
      <w:r>
        <w:rPr>
          <w:rFonts w:ascii="Amiri" w:hAnsi="Amiri" w:eastAsia="Amiri" w:cs="Amiri"/>
          <w:color w:val="111111"/>
          <w:sz w:val="28"/>
          <w:sz w:val="28"/>
          <w:szCs w:val="28"/>
          <w:rtl w:val="true"/>
          <w:lang w:bidi="ar-SA"/>
        </w:rPr>
        <w:t xml:space="preserve">الالتزام في المقام أوضح إذ من طرح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الالتزام بهما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عدم الالتزام بالحكم الإلهي الكلّي إذ الشكّ في تعلّق ذلك الحكم على المكلّف بواسطة الشكّ في اندراج الموضوع في موضوع الحكم ، فعدم الالتزام بتعلّق الحكم عين الالتزام بالحكم الكلّي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قد أوردوا في المقام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نذر شرب إناء معلوم من الخلّ ، ثمّ اشتبه بالخمر لعارض كالظلمة ، أو نذر شرب المشتبه بالخمر ابتداء فإنّ الموضوع المردّد بين الخلّ والخمر في الصورتين يحتمل أن يكون واجبا لتعلّق النذر به ، ويحتمل أن يكون </w:t>
      </w:r>
      <w:r>
        <w:rPr>
          <w:rStyle w:val="FootnoteAnchor"/>
          <w:rtl w:val="true"/>
        </w:rPr>
        <w:footnoteReference w:id="1521"/>
      </w:r>
      <w:r>
        <w:rPr>
          <w:rFonts w:ascii="Amiri" w:hAnsi="Amiri" w:eastAsia="Amiri" w:cs="Amiri"/>
          <w:color w:val="111111"/>
          <w:sz w:val="28"/>
          <w:sz w:val="28"/>
          <w:szCs w:val="28"/>
          <w:rtl w:val="true"/>
          <w:lang w:bidi="ar-SA"/>
        </w:rPr>
        <w:t>حراما لاحتمال الخمرية فيه ، فهو إمّا واجب وإمّا حرام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نذر وطي زوجته الخاصّة ، ثمّ اشتبهت بغيرها لعارض ، أو نذر وطي المشتبه بالأجنبية ابتداء فإنّ الوطي بالنسبة إلى الموضوع المشتبه في الصورتين إمّا </w:t>
      </w:r>
    </w:p>
    <w:p>
      <w:pPr>
        <w:pStyle w:val="BookText"/>
        <w:rPr/>
      </w:pPr>
      <w:r>
        <w:rPr>
          <w:rFonts w:ascii="Amiri" w:hAnsi="Amiri" w:eastAsia="Amiri" w:cs="Amiri"/>
          <w:color w:val="111111"/>
          <w:sz w:val="28"/>
          <w:sz w:val="28"/>
          <w:szCs w:val="28"/>
          <w:rtl w:val="true"/>
          <w:lang w:bidi="ar-SA"/>
        </w:rPr>
        <w:t>واجب ، وإمّا حرام بالنظر إلى النذر وحرمة وطي الأجنبية ، ومثل النذر ما لو اشتبهت في رأس أربعة أشهر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يتصدّق بمال مخصوص ، ثمّ اشتبه بملك الغير ، أو تعلّق نذره بالمشتبه ابتداء فإنّ التصدّق بالعين </w:t>
      </w:r>
      <w:r>
        <w:rPr>
          <w:rStyle w:val="FootnoteAnchor"/>
          <w:rtl w:val="true"/>
        </w:rPr>
        <w:footnoteReference w:id="1522"/>
      </w:r>
      <w:r>
        <w:rPr>
          <w:rFonts w:ascii="Amiri" w:hAnsi="Amiri" w:eastAsia="Amiri" w:cs="Amiri"/>
          <w:color w:val="111111"/>
          <w:sz w:val="28"/>
          <w:sz w:val="28"/>
          <w:szCs w:val="28"/>
          <w:rtl w:val="true"/>
          <w:lang w:bidi="ar-SA"/>
        </w:rPr>
        <w:t>المعهودة إمّا أن يكون واجبا للنذر ، أو حراما لكونها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منها ليس بوارد </w:t>
      </w:r>
      <w:r>
        <w:rPr>
          <w:rStyle w:val="FootnoteAnchor"/>
          <w:rtl w:val="true"/>
        </w:rPr>
        <w:footnoteReference w:id="1523"/>
      </w:r>
      <w:r>
        <w:rPr>
          <w:rFonts w:ascii="Amiri" w:hAnsi="Amiri" w:eastAsia="Amiri" w:cs="Amiri"/>
          <w:color w:val="111111"/>
          <w:sz w:val="28"/>
          <w:sz w:val="28"/>
          <w:szCs w:val="28"/>
          <w:rtl w:val="true"/>
          <w:lang w:bidi="ar-SA"/>
        </w:rPr>
        <w:t>على ما نحن فيه بعد ما عرفت فيما سبق من أنّ الكلام فيما إذا لم يكن أحد الشكّين مسبّبا عن الآخر كأن يكونا مستندين إلى علّة ثالثة خارجة منهما ، وفيما إذا لم يكن هناك أصل موضوعي به يتعيّن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الأوّل منها يرتفع الإشكال فيه تارة بجريان أصل موضوعي فيه كما إذا اشتبه المنذور بغيره لأصالة عدم تعلّق النذر به ، فيجري البراءة من غير إشكال ، وأخرى بجريان أصل البراءة في الشكّ السببي فيرتفع الشكّ في المسبّب كما إذا تعلّق النذر </w:t>
      </w:r>
      <w:r>
        <w:rPr>
          <w:rStyle w:val="FootnoteAnchor"/>
          <w:rtl w:val="true"/>
        </w:rPr>
        <w:footnoteReference w:id="1524"/>
      </w:r>
      <w:r>
        <w:rPr>
          <w:rFonts w:ascii="Amiri" w:hAnsi="Amiri" w:eastAsia="Amiri" w:cs="Amiri"/>
          <w:color w:val="111111"/>
          <w:sz w:val="28"/>
          <w:sz w:val="28"/>
          <w:szCs w:val="28"/>
          <w:rtl w:val="true"/>
          <w:lang w:bidi="ar-SA"/>
        </w:rPr>
        <w:t>بالمشتبه فإنّ الشكّ في وجوب الشرب مسبّب عن الشكّ في حرمته ، وبعد جريان البراءة ، فلا إشكال فيجب الشرب من دون احتمال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فيرتفع الإشكال فيه تارة بجريان الأصل في الموضوع كما إذا تعلّق النذر بالمشتبه فإنّ أصالة عدم الزوجية محكّمة ، فيرتفع الشكّ في وجوب الوطي ، وأخرى بجريان أصل موضوعي آخر كما إذا اشتبه المنذور وطؤها لأصالة عدم تعلّق النذر بها وحيث إنّ الأصل أيضا عدم الزوجية فيحرم وطؤها من غير إشكال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ففيما إذا اشتبه الموضوع فالأصل عدم تعلّق النذر به كما أنّ الأصل عدم الملكية فيحرم التصدّق به ، وفيما إذا تعلّق </w:t>
      </w:r>
      <w:r>
        <w:rPr>
          <w:rStyle w:val="FootnoteAnchor"/>
          <w:rtl w:val="true"/>
        </w:rPr>
        <w:footnoteReference w:id="1525"/>
      </w:r>
      <w:r>
        <w:rPr>
          <w:rFonts w:ascii="Amiri" w:hAnsi="Amiri" w:eastAsia="Amiri" w:cs="Amiri"/>
          <w:color w:val="111111"/>
          <w:sz w:val="28"/>
          <w:sz w:val="28"/>
          <w:szCs w:val="28"/>
          <w:rtl w:val="true"/>
          <w:lang w:bidi="ar-SA"/>
        </w:rPr>
        <w:t xml:space="preserve">النذر بالمشتبه فأصالة عدم الملكية بعد </w:t>
      </w:r>
    </w:p>
    <w:p>
      <w:pPr>
        <w:pStyle w:val="BookText"/>
        <w:rPr/>
      </w:pPr>
      <w:r>
        <w:rPr>
          <w:rFonts w:ascii="Amiri" w:hAnsi="Amiri" w:eastAsia="Amiri" w:cs="Amiri"/>
          <w:color w:val="111111"/>
          <w:sz w:val="28"/>
          <w:sz w:val="28"/>
          <w:szCs w:val="28"/>
          <w:rtl w:val="true"/>
          <w:lang w:bidi="ar-SA"/>
        </w:rPr>
        <w:t>جريانها لا محلّ للنذر وذلك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المدرك في أصالة عدم الملكية يمكن أن يكون أمورا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المالية عند الاشتباه فيحرم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ليس على ما ينبغي لأنّ الحرمة في عنوان الأدلّة الشرعية لا يترتّب على عدم المالية فإنّها من آثار ملك الغير ، فبدون التسرية إلى ثبوت ملك الغير بالأصل </w:t>
      </w:r>
      <w:r>
        <w:rPr>
          <w:rStyle w:val="FootnoteAnchor"/>
          <w:rtl w:val="true"/>
        </w:rPr>
        <w:footnoteReference w:id="1527"/>
      </w:r>
      <w:r>
        <w:rPr>
          <w:rFonts w:ascii="Amiri" w:hAnsi="Amiri" w:eastAsia="Amiri" w:cs="Amiri"/>
          <w:color w:val="111111"/>
          <w:sz w:val="28"/>
          <w:sz w:val="28"/>
          <w:szCs w:val="28"/>
          <w:rtl w:val="true"/>
          <w:lang w:bidi="ar-SA"/>
        </w:rPr>
        <w:t xml:space="preserve">لا جدوى فيه ، ومعها لا تعويل </w:t>
      </w:r>
      <w:r>
        <w:rPr>
          <w:rStyle w:val="FootnoteAnchor"/>
          <w:rtl w:val="true"/>
        </w:rPr>
        <w:footnoteReference w:id="1528"/>
      </w:r>
      <w:r>
        <w:rPr>
          <w:rFonts w:ascii="Amiri" w:hAnsi="Amiri" w:eastAsia="Amiri" w:cs="Amiri"/>
          <w:color w:val="111111"/>
          <w:sz w:val="28"/>
          <w:sz w:val="28"/>
          <w:szCs w:val="28"/>
          <w:rtl w:val="true"/>
          <w:lang w:bidi="ar-SA"/>
        </w:rPr>
        <w:t xml:space="preserve">عليه لأنّه </w:t>
      </w:r>
      <w:r>
        <w:rPr>
          <w:rStyle w:val="FootnoteAnchor"/>
          <w:rtl w:val="true"/>
        </w:rPr>
        <w:footnoteReference w:id="1529"/>
      </w:r>
      <w:r>
        <w:rPr>
          <w:rFonts w:ascii="Amiri" w:hAnsi="Amiri" w:eastAsia="Amiri" w:cs="Amiri"/>
          <w:color w:val="111111"/>
          <w:sz w:val="28"/>
          <w:sz w:val="28"/>
          <w:szCs w:val="28"/>
          <w:rtl w:val="true"/>
          <w:lang w:bidi="ar-SA"/>
        </w:rPr>
        <w:t xml:space="preserve">أصل مثبت ، على أنّه معارض بأصالة عدم ملك الغير ، فيجري أصالة الإباحة فيها مع أنّ طريقة الأصحاب ممّا تنفي </w:t>
      </w:r>
      <w:r>
        <w:rPr>
          <w:rStyle w:val="FootnoteAnchor"/>
          <w:rtl w:val="true"/>
        </w:rPr>
        <w:footnoteReference w:id="1530"/>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الملكية نظرا إلى أصالة عدم ما يفيد الملك من الأسباب الشرعية كالصلح والهبة والبيع ونحوها بناء على أنّ الاستقراء في الشرعيات يعطي انحصار الملك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الاستقراء هذا وإن كان حقّا إلاّ أنّ مفاده لا يزيد على حصر الملك في أسباب خاصّة ، وأصالة عدم تلك الأسباب لا يقضي بالحرمة بل يقضي </w:t>
      </w:r>
      <w:r>
        <w:rPr>
          <w:rStyle w:val="FootnoteAnchor"/>
          <w:rtl w:val="true"/>
        </w:rPr>
        <w:footnoteReference w:id="1531"/>
      </w:r>
      <w:r>
        <w:rPr>
          <w:rFonts w:ascii="Amiri" w:hAnsi="Amiri" w:eastAsia="Amiri" w:cs="Amiri"/>
          <w:color w:val="111111"/>
          <w:sz w:val="28"/>
          <w:sz w:val="28"/>
          <w:szCs w:val="28"/>
          <w:rtl w:val="true"/>
          <w:lang w:bidi="ar-SA"/>
        </w:rPr>
        <w:t>بعدم حصول الملك والحرمة على ما عرفت من آثار ملك الغير لا من آثار عدم الملكية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الحرمة الثابتة ولو في زمان ما في بعض الأقسام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المشتبه المردّد بين أن يكون ملكا لك أو لغيرك لا يخلو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مسبوقا بالإباحة الذاتية الأصلية </w:t>
      </w:r>
      <w:r>
        <w:rPr>
          <w:rStyle w:val="FootnoteAnchor"/>
          <w:rtl w:val="true"/>
        </w:rPr>
        <w:footnoteReference w:id="1532"/>
      </w:r>
      <w:r>
        <w:rPr>
          <w:rFonts w:ascii="Amiri" w:hAnsi="Amiri" w:eastAsia="Amiri" w:cs="Amiri"/>
          <w:color w:val="111111"/>
          <w:sz w:val="28"/>
          <w:sz w:val="28"/>
          <w:szCs w:val="28"/>
          <w:rtl w:val="true"/>
          <w:lang w:bidi="ar-SA"/>
        </w:rPr>
        <w:t>كالمباحات الشرعية وكان الشكّ في أنّ سبب الملك وهي الحيازة هل حصلت لك أو لغيرك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مسبوقا بيد الغير مع الشكّ في انتقاله إليك من غير احتمال انتقاله </w:t>
      </w:r>
    </w:p>
    <w:p>
      <w:pPr>
        <w:pStyle w:val="BookText"/>
        <w:rPr/>
      </w:pPr>
      <w:r>
        <w:rPr>
          <w:rFonts w:ascii="Amiri" w:hAnsi="Amiri" w:eastAsia="Amiri" w:cs="Amiri"/>
          <w:color w:val="111111"/>
          <w:sz w:val="28"/>
          <w:sz w:val="28"/>
          <w:szCs w:val="28"/>
          <w:rtl w:val="true"/>
          <w:lang w:bidi="ar-SA"/>
        </w:rPr>
        <w:t>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مسبوقا بيد الغير مع الشكّ في انتقاله إليك مع احتمال انتقاله إلى غيرك أيضا لا </w:t>
      </w:r>
      <w:r>
        <w:rPr>
          <w:rStyle w:val="FootnoteAnchor"/>
          <w:rtl w:val="true"/>
        </w:rPr>
        <w:footnoteReference w:id="1533"/>
      </w:r>
      <w:r>
        <w:rPr>
          <w:rFonts w:ascii="Amiri" w:hAnsi="Amiri" w:eastAsia="Amiri" w:cs="Amiri"/>
          <w:color w:val="111111"/>
          <w:sz w:val="28"/>
          <w:sz w:val="28"/>
          <w:szCs w:val="28"/>
          <w:rtl w:val="true"/>
          <w:lang w:bidi="ar-SA"/>
        </w:rPr>
        <w:t>شكّ في إباحة الأوّل لاستصحابها ، وحرمة الثاني أيضا لاستصحاب ملك الغير وأصالة عدم خروجه عن سلطانه كما أنّه لا ريب في حرمة الثالث نظرا إلى استصحاب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الغير قد انقطع إن أريد به ملك من يحتمل انتقاله منه إليك وغير معلوم رأسا إن أريد به ملك من يحتمل انتقاله منه إليه ، وهل هذا إلاّ </w:t>
      </w:r>
      <w:r>
        <w:rPr>
          <w:rStyle w:val="FootnoteAnchor"/>
          <w:rtl w:val="true"/>
        </w:rPr>
        <w:footnoteReference w:id="1534"/>
      </w:r>
      <w:r>
        <w:rPr>
          <w:rFonts w:ascii="Amiri" w:hAnsi="Amiri" w:eastAsia="Amiri" w:cs="Amiri"/>
          <w:color w:val="111111"/>
          <w:sz w:val="28"/>
          <w:sz w:val="28"/>
          <w:szCs w:val="28"/>
          <w:rtl w:val="true"/>
          <w:lang w:bidi="ar-SA"/>
        </w:rPr>
        <w:t>مثل استصحاب الضاحك بعد العلم بتبدّل الأفراد فإنّ الضاحك الموجود اليقيني في ضمن زيد قد ارتفع قطعا ، وفي ضمن عمرو لم يعلم ثبوته ، فلا تعويل على مثل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تبدّل الأفراد لا يقضي بانتفاء الجنس والكلّي فإنّ ملك الغير على سبيل الكلّية والجنسية معلوم والشكّ في وجوده لا يثمر ، فيحكم ببقائه حتّى يعلم انتفاء الجنس ، وانتفاء الفرد لا دخل له فيه ، ألا ترى أنّ انتفاء الفرد الشديد من السواد لا يخلّ في استصحاب مطلق السواد وجنسه ولو في فرد آخر ، وحديث الضاحك أيضا غير مسلّم فيما لو كان الشكّ في وجود مطلق الضاحك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الشكّ في الضحك الخاصّ الموجود في ضمن زيد بخصوصه ، لا يعقل استصحابه في ضمن عمرو فإنّ نسبة الجنس إلى جميع أفراده المندرجة تحته سواء ، وانتفاء الخاصّ لا يدلّ على انتفاء العامّ بخلاف ما إذا كان الكلام في خصوصيات الأفراد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يحلّ مال امرئ إلاّ بطيب من </w:t>
      </w:r>
      <w:r>
        <w:rPr>
          <w:rStyle w:val="FootnoteAnchor"/>
          <w:rtl w:val="true"/>
        </w:rPr>
        <w:footnoteReference w:id="1535"/>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فإنّ الحلّية في الحديث </w:t>
      </w:r>
    </w:p>
    <w:p>
      <w:pPr>
        <w:pStyle w:val="BookText"/>
        <w:rPr/>
      </w:pPr>
      <w:r>
        <w:rPr>
          <w:rFonts w:ascii="Amiri" w:hAnsi="Amiri" w:eastAsia="Amiri" w:cs="Amiri"/>
          <w:color w:val="111111"/>
          <w:sz w:val="28"/>
          <w:sz w:val="28"/>
          <w:szCs w:val="28"/>
          <w:rtl w:val="true"/>
          <w:lang w:bidi="ar-SA"/>
        </w:rPr>
        <w:t xml:space="preserve">موقوفة على طيب النفس والرضاء </w:t>
      </w:r>
      <w:r>
        <w:rPr>
          <w:rStyle w:val="FootnoteAnchor"/>
          <w:rtl w:val="true"/>
        </w:rPr>
        <w:footnoteReference w:id="1537"/>
      </w:r>
      <w:r>
        <w:rPr>
          <w:rFonts w:ascii="Amiri" w:hAnsi="Amiri" w:eastAsia="Amiri" w:cs="Amiri"/>
          <w:color w:val="111111"/>
          <w:sz w:val="28"/>
          <w:sz w:val="28"/>
          <w:szCs w:val="28"/>
          <w:rtl w:val="true"/>
          <w:lang w:bidi="ar-SA"/>
        </w:rPr>
        <w:t xml:space="preserve">الباطني والأصل عدم حصول طيب النفس ، ويؤيّد ذلك ما ذكروه </w:t>
      </w:r>
      <w:r>
        <w:rPr>
          <w:rStyle w:val="FootnoteAnchor"/>
          <w:rtl w:val="true"/>
        </w:rPr>
        <w:footnoteReference w:id="1538"/>
      </w:r>
      <w:r>
        <w:rPr>
          <w:rFonts w:ascii="Amiri" w:hAnsi="Amiri" w:eastAsia="Amiri" w:cs="Amiri"/>
          <w:color w:val="111111"/>
          <w:sz w:val="28"/>
          <w:sz w:val="28"/>
          <w:szCs w:val="28"/>
          <w:rtl w:val="true"/>
          <w:lang w:bidi="ar-SA"/>
        </w:rPr>
        <w:t xml:space="preserve">في كتاب اللقطة من أنّ من وجد في بيته مالا مع كثرة دوران الناس في بيته ، يحكم بكونه لقطة ، ويترتّب عليه آثارها من الإعلام ونحوه كما يؤيّد ذلك أيضا ما ورد في بعض الأخبار </w:t>
      </w:r>
      <w:r>
        <w:rPr>
          <w:rStyle w:val="FootnoteAnchor"/>
          <w:rtl w:val="true"/>
        </w:rPr>
        <w:footnoteReference w:id="1539"/>
      </w:r>
      <w:r>
        <w:rPr>
          <w:rFonts w:ascii="Amiri" w:hAnsi="Amiri" w:eastAsia="Amiri" w:cs="Amiri"/>
          <w:color w:val="111111"/>
          <w:sz w:val="28"/>
          <w:sz w:val="28"/>
          <w:szCs w:val="28"/>
          <w:rtl w:val="true"/>
          <w:lang w:bidi="ar-SA"/>
        </w:rPr>
        <w:t>من أنّ المال الموجود في الصندوق المشترك لا يجوز التصرّف فيه عند الاشتباه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أنّه ليس الكلام في الأموال التي لا يعلم </w:t>
      </w:r>
      <w:r>
        <w:rPr>
          <w:rStyle w:val="FootnoteAnchor"/>
          <w:rtl w:val="true"/>
        </w:rPr>
        <w:footnoteReference w:id="1540"/>
      </w:r>
      <w:r>
        <w:rPr>
          <w:rFonts w:ascii="IRNazanin" w:hAnsi="IRNazanin" w:eastAsia="IRNazanin"/>
          <w:color w:val="111111"/>
          <w:sz w:val="28"/>
          <w:sz w:val="28"/>
          <w:szCs w:val="28"/>
          <w:rtl w:val="true"/>
          <w:lang w:bidi="fa-IR"/>
        </w:rPr>
        <w:t xml:space="preserve">سبق </w:t>
      </w:r>
      <w:r>
        <w:rPr>
          <w:rStyle w:val="FootnoteAnchor"/>
          <w:rtl w:val="true"/>
        </w:rPr>
        <w:footnoteReference w:id="1541"/>
      </w:r>
      <w:r>
        <w:rPr>
          <w:rFonts w:ascii="Amiri" w:hAnsi="Amiri" w:eastAsia="Amiri" w:cs="Amiri"/>
          <w:color w:val="111111"/>
          <w:sz w:val="28"/>
          <w:sz w:val="28"/>
          <w:szCs w:val="28"/>
          <w:rtl w:val="true"/>
          <w:lang w:bidi="ar-SA"/>
        </w:rPr>
        <w:t xml:space="preserve">اليد عليه </w:t>
      </w:r>
      <w:r>
        <w:rPr>
          <w:rStyle w:val="FootnoteAnchor"/>
          <w:rtl w:val="true"/>
        </w:rPr>
        <w:footnoteReference w:id="1542"/>
      </w:r>
      <w:r>
        <w:rPr>
          <w:rFonts w:ascii="Amiri" w:hAnsi="Amiri" w:eastAsia="Amiri" w:cs="Amiri"/>
          <w:color w:val="111111"/>
          <w:sz w:val="28"/>
          <w:sz w:val="28"/>
          <w:szCs w:val="28"/>
          <w:rtl w:val="true"/>
          <w:lang w:bidi="ar-SA"/>
        </w:rPr>
        <w:t xml:space="preserve">فإنّ فيها ربّما نقول باستصحاب الإباحة الذاتية كما عرفت بل المقصود إثبات الإباحة العرضية المسبّبة عن أحد الأسباب الشرعية وعدمها ، وهذا نظير قولنا في بعض مباحث المفاهيم قبالا لمن زعم أنّ الحكم </w:t>
      </w:r>
      <w:r>
        <w:rPr>
          <w:rStyle w:val="FootnoteAnchor"/>
          <w:rtl w:val="true"/>
        </w:rPr>
        <w:footnoteReference w:id="1543"/>
      </w:r>
      <w:r>
        <w:rPr>
          <w:rFonts w:ascii="Amiri" w:hAnsi="Amiri" w:eastAsia="Amiri" w:cs="Amiri"/>
          <w:color w:val="111111"/>
          <w:sz w:val="28"/>
          <w:sz w:val="28"/>
          <w:szCs w:val="28"/>
          <w:rtl w:val="true"/>
          <w:lang w:bidi="ar-SA"/>
        </w:rPr>
        <w:t>المستفاد من المفهوم لو كان موافقا لأصالة الإباحة ممّا لا جدوى فيه لحصول الإباحة بدون التعليق من أنّ الإباحة المستفادة من المفهوم تغاير الإباحة المطلقة لاستنادها إلى التعليق ، فهي إباحة سببية ، وتلك إباحة ذاتية ، فعند انتفاء الشرط يحكم بانتفاء الإباحة العرضية لا الإباحة الذاتية ، وذلك ظاهر لمن تدبّر</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6273_211797"/>
      <w:bookmarkStart w:id="153" w:name="pg16273_211797"/>
      <w:bookmarkEnd w:id="153"/>
    </w:p>
    <w:p>
      <w:pPr>
        <w:pStyle w:val="Heading3"/>
        <w:numPr>
          <w:ilvl w:val="2"/>
          <w:numId w:val="1"/>
        </w:numPr>
        <w:rPr/>
      </w:pPr>
      <w:bookmarkStart w:id="154" w:name="pg16273_211797"/>
      <w:bookmarkStart w:id="155" w:name="__RefHeading___Toc4803562_1280447820"/>
      <w:bookmarkStart w:id="156" w:name="_Toc53"/>
      <w:bookmarkEnd w:id="154"/>
      <w:bookmarkEnd w:id="155"/>
      <w:r>
        <w:rPr>
          <w:rtl w:val="true"/>
        </w:rPr>
        <w:t xml:space="preserve">أصل </w:t>
      </w:r>
      <w:r>
        <w:rPr>
          <w:rtl w:val="true"/>
        </w:rPr>
        <w:t xml:space="preserve">[ </w:t>
      </w:r>
      <w:r>
        <w:rPr>
          <w:rtl w:val="true"/>
        </w:rPr>
        <w:t xml:space="preserve">في الشبهة الموضوعية الوجوبية من الشكّ في المكلّف به </w:t>
      </w:r>
      <w:r>
        <w:rPr>
          <w:rtl w:val="true"/>
        </w:rPr>
        <w:t>]</w:t>
      </w:r>
      <w:bookmarkEnd w:id="156"/>
    </w:p>
    <w:p>
      <w:pPr>
        <w:pStyle w:val="Heading4"/>
        <w:numPr>
          <w:ilvl w:val="3"/>
          <w:numId w:val="1"/>
        </w:numPr>
        <w:rPr/>
      </w:pPr>
      <w:bookmarkStart w:id="157" w:name="__RefHeading___Toc4803564_1280447820"/>
      <w:bookmarkStart w:id="158" w:name="_Toc54"/>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قد عرفت فيما سبق أنّ الشكّ تارة في التكليف ، وأقسامه من </w:t>
      </w:r>
      <w:r>
        <w:rPr>
          <w:rStyle w:val="FootnoteAnchor"/>
          <w:rtl w:val="true"/>
        </w:rPr>
        <w:footnoteReference w:id="1544"/>
      </w:r>
      <w:r>
        <w:rPr>
          <w:rFonts w:ascii="Amiri" w:hAnsi="Amiri" w:eastAsia="Amiri" w:cs="Amiri"/>
          <w:color w:val="111111"/>
          <w:sz w:val="28"/>
          <w:sz w:val="28"/>
          <w:szCs w:val="28"/>
          <w:rtl w:val="true"/>
          <w:lang w:bidi="ar-SA"/>
        </w:rPr>
        <w:t xml:space="preserve">الموضوعية والحكمية بأقسامهما </w:t>
      </w:r>
      <w:r>
        <w:rPr>
          <w:rStyle w:val="FootnoteAnchor"/>
          <w:rtl w:val="true"/>
        </w:rPr>
        <w:footnoteReference w:id="1545"/>
      </w:r>
      <w:r>
        <w:rPr>
          <w:rFonts w:ascii="Amiri" w:hAnsi="Amiri" w:eastAsia="Amiri" w:cs="Amiri"/>
          <w:color w:val="111111"/>
          <w:sz w:val="28"/>
          <w:sz w:val="28"/>
          <w:szCs w:val="28"/>
          <w:rtl w:val="true"/>
          <w:lang w:bidi="ar-SA"/>
        </w:rPr>
        <w:t>ستّة ، وقد مرّ تفصيل الكلام فيها ، وأخرى في المكلّف به فتارة في الموضوع ، وأخرى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الأخير ، فستطّلع إن شاء اللّه العزيز على تفاصيل أقسامه وأحكامه </w:t>
      </w:r>
      <w:r>
        <w:rPr>
          <w:rStyle w:val="FootnoteAnchor"/>
          <w:rtl w:val="true"/>
        </w:rPr>
        <w:footnoteReference w:id="1546"/>
      </w:r>
      <w:r>
        <w:rPr>
          <w:rFonts w:ascii="Amiri" w:hAnsi="Amiri" w:eastAsia="Amiri" w:cs="Amiri"/>
          <w:color w:val="111111"/>
          <w:sz w:val="28"/>
          <w:sz w:val="28"/>
          <w:szCs w:val="28"/>
          <w:rtl w:val="true"/>
          <w:lang w:bidi="ar-SA"/>
        </w:rPr>
        <w:t>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 فتارة فيما دار الأمر بين الواجب وغير الحرام ، وأخرى فيما دار بين الحرام وغير الواجب ، ومرّة فيما دار الأمر بين الحرام والواجب سواء كان الأمر في الموضوع دائرا بين الأقلّ والأكثر ، أم 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هذا الأصل معقود لبيان حكم الشبهة الموضوعية عند الشكّ في المكلّف به فيما دار الأمر بين الواجب وغير الحرام ، ويتبعه الكلام فيما دار الأمر بين الأقلّ والأكثر سواء كانا استقلاليين أو لا ، مثال ذلك ما لو اشتبهت القبلة فإنّ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الصلاة على 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وإنّما الشكّ في أنّ الواجب هو الفعل مستقبلا على الجهة الفلانية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في كون المذكور مثالا لما نحن فيه لاحتمال أن يكون القبلة </w:t>
      </w:r>
      <w:r>
        <w:rPr>
          <w:rStyle w:val="FootnoteAnchor"/>
          <w:rtl w:val="true"/>
        </w:rPr>
        <w:footnoteReference w:id="1547"/>
      </w:r>
      <w:r>
        <w:rPr>
          <w:rFonts w:ascii="Amiri" w:hAnsi="Amiri" w:eastAsia="Amiri" w:cs="Amiri"/>
          <w:color w:val="111111"/>
          <w:sz w:val="28"/>
          <w:sz w:val="28"/>
          <w:szCs w:val="28"/>
          <w:rtl w:val="true"/>
          <w:lang w:bidi="ar-SA"/>
        </w:rPr>
        <w:t xml:space="preserve">واستقبالها من الشروط العلمية ، فعند عدم العلم لا يكون الاستقبال واجبا كما في الذبح فإنّ التخيير بين الجهات حينئذ ليس تخييرا شرعيا ، فالأولى التمثيل بالصلاة الفائتة من الصلوات الخمس عند اشتباهها ، فإنّ التكليف الوجوبي معلوم ، والشكّ إنّما هو </w:t>
      </w:r>
      <w:r>
        <w:rPr>
          <w:rStyle w:val="FootnoteAnchor"/>
          <w:rtl w:val="true"/>
        </w:rPr>
        <w:footnoteReference w:id="1548"/>
      </w:r>
      <w:r>
        <w:rPr>
          <w:rFonts w:ascii="Amiri" w:hAnsi="Amiri" w:eastAsia="Amiri" w:cs="Amiri"/>
          <w:color w:val="111111"/>
          <w:sz w:val="28"/>
          <w:sz w:val="28"/>
          <w:szCs w:val="28"/>
          <w:rtl w:val="true"/>
          <w:lang w:bidi="ar-SA"/>
        </w:rPr>
        <w:t>في المكلّف به وفي تعيين الواجب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المحذورين في المقام لاحتمال التشريع وهو إتيان الصلاة لا على جهة القبلة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في الحرمة التشريعية إذ بعد حكم العقل بلزوم الاحتياط يرتفع موضوعه بل في الحرمة الشرعية ولا احتمال لها في أمثال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اشتباه موضوع الحكم هل يجوز المخالفة القطعية بطرح جميع المحتملات ، أو لا؟</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القول بعدم جواز </w:t>
      </w:r>
      <w:r>
        <w:rPr>
          <w:rStyle w:val="FootnoteAnchor"/>
          <w:rtl w:val="true"/>
        </w:rPr>
        <w:footnoteReference w:id="1549"/>
      </w:r>
      <w:r>
        <w:rPr>
          <w:rFonts w:ascii="Amiri" w:hAnsi="Amiri" w:eastAsia="Amiri" w:cs="Amiri"/>
          <w:color w:val="111111"/>
          <w:sz w:val="28"/>
          <w:sz w:val="28"/>
          <w:szCs w:val="28"/>
          <w:rtl w:val="true"/>
          <w:lang w:bidi="ar-SA"/>
        </w:rPr>
        <w:t>المخالفة القطعية فاللازم تحصيل الموافقة القطعية ، أو يكفي الموافقة الاحتمالية؟ ففي المقام الأوّل لو قلنا بجواز المخالفة يجوز ترك الصلاة في جميع الجهات ، وفي المقام الثاني لو قلنا بوجوب تحصيل الموافقة القطعية لا بدّ من الإتيان بجميع المحتملات تحصيلا للواقع ، ولو قلنا بعدم وجوبه وكفاية الموافقة الاحتمالية ، يكفي بالصلاة في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المقام الأوّل ، فالظاهر أنّه لم يذهب وهم إلى جواز المخالفة القطعية بل الكلّ مطبقون على تحصيل الموافقة ولو احتمالا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 ففيه خلاف يظهر من بعض الأواخر </w:t>
      </w:r>
      <w:r>
        <w:rPr>
          <w:rStyle w:val="FootnoteAnchor"/>
          <w:rtl w:val="true"/>
        </w:rPr>
        <w:footnoteReference w:id="1550"/>
      </w:r>
      <w:r>
        <w:rPr>
          <w:rFonts w:ascii="Amiri" w:hAnsi="Amiri" w:eastAsia="Amiri" w:cs="Amiri"/>
          <w:color w:val="111111"/>
          <w:sz w:val="28"/>
          <w:sz w:val="28"/>
          <w:szCs w:val="28"/>
          <w:rtl w:val="true"/>
          <w:lang w:bidi="ar-SA"/>
        </w:rPr>
        <w:t xml:space="preserve">في نظير المقام عدم </w:t>
      </w:r>
    </w:p>
    <w:p>
      <w:pPr>
        <w:pStyle w:val="BookText"/>
        <w:rPr/>
      </w:pPr>
      <w:r>
        <w:rPr>
          <w:rFonts w:ascii="Amiri" w:hAnsi="Amiri" w:eastAsia="Amiri" w:cs="Amiri"/>
          <w:color w:val="111111"/>
          <w:sz w:val="28"/>
          <w:sz w:val="28"/>
          <w:szCs w:val="28"/>
          <w:rtl w:val="true"/>
          <w:lang w:bidi="ar-SA"/>
        </w:rPr>
        <w:t xml:space="preserve">وجوب الموافقة القطعية ، وتبعهم في ذلك المحقّق القمّي </w:t>
      </w:r>
      <w:r>
        <w:rPr>
          <w:rStyle w:val="FootnoteAnchor"/>
          <w:rtl w:val="true"/>
        </w:rPr>
        <w:footnoteReference w:id="1551"/>
      </w:r>
      <w:r>
        <w:rPr>
          <w:rStyle w:val="FootnoteAnchor"/>
          <w:rtl w:val="true"/>
        </w:rPr>
        <w:footnoteReference w:id="1552"/>
      </w:r>
      <w:r>
        <w:rPr>
          <w:rFonts w:ascii="Amiri" w:hAnsi="Amiri" w:eastAsia="Amiri" w:cs="Amiri"/>
          <w:color w:val="111111"/>
          <w:sz w:val="28"/>
          <w:sz w:val="28"/>
          <w:szCs w:val="28"/>
          <w:rtl w:val="true"/>
          <w:lang w:bidi="ar-SA"/>
        </w:rPr>
        <w:t xml:space="preserve">في المقام ، والمنصور </w:t>
      </w:r>
      <w:r>
        <w:rPr>
          <w:rStyle w:val="FootnoteAnchor"/>
          <w:rtl w:val="true"/>
        </w:rPr>
        <w:footnoteReference w:id="1553"/>
      </w:r>
      <w:r>
        <w:rPr>
          <w:rFonts w:ascii="Amiri" w:hAnsi="Amiri" w:eastAsia="Amiri" w:cs="Amiri"/>
          <w:color w:val="111111"/>
          <w:sz w:val="28"/>
          <w:sz w:val="28"/>
          <w:szCs w:val="28"/>
          <w:rtl w:val="true"/>
          <w:lang w:bidi="ar-SA"/>
        </w:rPr>
        <w:t xml:space="preserve">هو وجوب الاحتياط وتحصيل الموافقة ، لنا على ما صرنا إليه أنّ من المعلوم عندنا تعلّق الوجوب الواقعي وترتّبه على الصلاة بالقبلة </w:t>
      </w:r>
      <w:r>
        <w:rPr>
          <w:rStyle w:val="FootnoteAnchor"/>
          <w:rtl w:val="true"/>
        </w:rPr>
        <w:footnoteReference w:id="1554"/>
      </w:r>
      <w:r>
        <w:rPr>
          <w:rFonts w:ascii="Amiri" w:hAnsi="Amiri" w:eastAsia="Amiri" w:cs="Amiri"/>
          <w:color w:val="111111"/>
          <w:sz w:val="28"/>
          <w:sz w:val="28"/>
          <w:szCs w:val="28"/>
          <w:rtl w:val="true"/>
          <w:lang w:bidi="ar-SA"/>
        </w:rPr>
        <w:t xml:space="preserve">الواقعية ، وكلّما علمنا تعلّق الوجوب الواقعي على موضوع واقعي يجب الإتيان به وامتثال أمره ، فيجب الإتيان </w:t>
      </w:r>
      <w:r>
        <w:rPr>
          <w:rStyle w:val="FootnoteAnchor"/>
          <w:rtl w:val="true"/>
        </w:rPr>
        <w:footnoteReference w:id="1555"/>
      </w:r>
      <w:r>
        <w:rPr>
          <w:rFonts w:ascii="Amiri" w:hAnsi="Amiri" w:eastAsia="Amiri" w:cs="Amiri"/>
          <w:color w:val="111111"/>
          <w:sz w:val="28"/>
          <w:sz w:val="28"/>
          <w:szCs w:val="28"/>
          <w:rtl w:val="true"/>
          <w:lang w:bidi="ar-SA"/>
        </w:rPr>
        <w:t xml:space="preserve">بالصلاة على القبلة الواقعية ، فالمانع إن عطف عنان كلامه إلى منع الصغرى بعدم </w:t>
      </w:r>
      <w:r>
        <w:rPr>
          <w:rStyle w:val="FootnoteAnchor"/>
          <w:rtl w:val="true"/>
        </w:rPr>
        <w:footnoteReference w:id="1556"/>
      </w:r>
      <w:r>
        <w:rPr>
          <w:rFonts w:ascii="Amiri" w:hAnsi="Amiri" w:eastAsia="Amiri" w:cs="Amiri"/>
          <w:color w:val="111111"/>
          <w:sz w:val="28"/>
          <w:sz w:val="28"/>
          <w:szCs w:val="28"/>
          <w:rtl w:val="true"/>
          <w:lang w:bidi="ar-SA"/>
        </w:rPr>
        <w:t xml:space="preserve">تسليمه ترتّب الوجوب على الصلاة بالقبلة </w:t>
      </w:r>
      <w:r>
        <w:rPr>
          <w:rStyle w:val="FootnoteAnchor"/>
          <w:rtl w:val="true"/>
        </w:rPr>
        <w:footnoteReference w:id="1557"/>
      </w:r>
      <w:r>
        <w:rPr>
          <w:rFonts w:ascii="Amiri" w:hAnsi="Amiri" w:eastAsia="Amiri" w:cs="Amiri"/>
          <w:color w:val="111111"/>
          <w:sz w:val="28"/>
          <w:sz w:val="28"/>
          <w:szCs w:val="28"/>
          <w:rtl w:val="true"/>
          <w:lang w:bidi="ar-SA"/>
        </w:rPr>
        <w:t xml:space="preserve">الواقعية نظرا إلى عدم تعلّق الأحكام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مدلولة للألفاظ لعدم وضعها للمعاني الواقعية أو مدلولة للإجماع لأنّ المتيقّن </w:t>
      </w:r>
      <w:r>
        <w:rPr>
          <w:rStyle w:val="FootnoteAnchor"/>
          <w:rtl w:val="true"/>
        </w:rPr>
        <w:footnoteReference w:id="1558"/>
      </w:r>
      <w:r>
        <w:rPr>
          <w:rFonts w:ascii="Amiri" w:hAnsi="Amiri" w:eastAsia="Amiri" w:cs="Amiri"/>
          <w:color w:val="111111"/>
          <w:sz w:val="28"/>
          <w:sz w:val="28"/>
          <w:szCs w:val="28"/>
          <w:rtl w:val="true"/>
          <w:lang w:bidi="ar-SA"/>
        </w:rPr>
        <w:t xml:space="preserve">من معاقد الإجماع هو ما كان الحكم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بيننا وبينه هي </w:t>
      </w:r>
      <w:r>
        <w:rPr>
          <w:rStyle w:val="FootnoteAnchor"/>
          <w:rtl w:val="true"/>
        </w:rPr>
        <w:footnoteReference w:id="1559"/>
      </w:r>
      <w:r>
        <w:rPr>
          <w:rFonts w:ascii="Amiri" w:hAnsi="Amiri" w:eastAsia="Amiri" w:cs="Amiri"/>
          <w:color w:val="111111"/>
          <w:sz w:val="28"/>
          <w:sz w:val="28"/>
          <w:szCs w:val="28"/>
          <w:rtl w:val="true"/>
          <w:lang w:bidi="ar-SA"/>
        </w:rPr>
        <w:t xml:space="preserve">الأدلّة الشرعية لفظا ولبّا بالرجوع إليها فإنّ من الضروري بحيث لا ينكره إلاّ المكابر تعلّق الأحكام بالواقع في الأدلّة الشرعية ، على أنّ ذلك لو تمّ لم يجب الموافقة الاحتمالية بل مقتضاه جواز المخالفة الواقعية ؛ لعدم ثبوت التكليف في وجه ، لعدم العلم ، مع أنّ الخصم لا يسلّم ذلك ، والاستناد في ذلك إلى الإجماع على لزوم الإتيان بشيء من الأمر المردّد ممّا لا يسمن ولا يغني فإنّ الإجماع على ما هو ظاهر لمن تدبّر كلمات المجمعين إنّما هو نظره إلى ثبوت الحكم في الواقع لا أنّه </w:t>
      </w:r>
      <w:r>
        <w:rPr>
          <w:rStyle w:val="FootnoteAnchor"/>
          <w:rtl w:val="true"/>
        </w:rPr>
        <w:footnoteReference w:id="1560"/>
      </w:r>
      <w:r>
        <w:rPr>
          <w:rFonts w:ascii="Amiri" w:hAnsi="Amiri" w:eastAsia="Amiri" w:cs="Amiri"/>
          <w:color w:val="111111"/>
          <w:sz w:val="28"/>
          <w:sz w:val="28"/>
          <w:szCs w:val="28"/>
          <w:rtl w:val="true"/>
          <w:lang w:bidi="ar-SA"/>
        </w:rPr>
        <w:t>حكم آخر ، كيف؟ ولو كان كذلك ، لكان التخيير واقعيا بين الاحتمالين كوجوب الخصال ، وعلى تقديره فليس من الموافقة الاحتمالية في شيء بل هو الموافقة القطعية التفصيلية وذلك واضح ، والظاهر أنّ الخصم أيضا ممّن لا ينكر ذلك أيضا ، وإنّما تعرّضنا لدفعه تحقيقا للمقام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استند في دفع الحجّة المذكورة إلى منع الكبرى نظرا إلى عدم الدليل على </w:t>
      </w:r>
    </w:p>
    <w:p>
      <w:pPr>
        <w:pStyle w:val="BookText"/>
        <w:rPr/>
      </w:pPr>
      <w:r>
        <w:rPr>
          <w:rFonts w:ascii="Amiri" w:hAnsi="Amiri" w:eastAsia="Amiri" w:cs="Amiri"/>
          <w:color w:val="111111"/>
          <w:sz w:val="28"/>
          <w:sz w:val="28"/>
          <w:szCs w:val="28"/>
          <w:rtl w:val="true"/>
          <w:lang w:bidi="ar-SA"/>
        </w:rPr>
        <w:t xml:space="preserve">وجوب الامتثال على الوجه المذكور لأنّه إن كان هو الشرع فالمفروض انتفاؤه ، وعلى تقديره ، فلا يجدي لأنّ الكلام في وجوب الاحتياط والإتيان بالمحتملات نظرا إلى دليل الواقع من غير حاجة إلى دليل الاحتياط وإن كان هو العقل من حيث إنّ بعد العلم بتعلّق الوجوب الواقعي على الصلاة بالقبلة الواقعية ، فلا يكون هناك حالة منتظرة للإتيان بالفعل على الوجه المذكور ، فإنّ أريد أنّ مجرّد العلم بتعلّق الوجوب علّة تامّة لحكم العقل بوجوب الاحتياط كما في صورة حصول العلم التفصيلي ، فغير سديد لجواز تصريح الشارع بالعفو عن الاحتياط من غير محذور كما هو واقع أيضا ، فلا يصحّ قياسه بالعلم التفصيلي كما لا يخفى ، وإن أريد أنّه مقتض للاحتياط ، فغير مفيد لجواز تخلّف المقتضي عن المقتضى </w:t>
      </w:r>
      <w:r>
        <w:rPr>
          <w:rStyle w:val="FootnoteAnchor"/>
          <w:rtl w:val="true"/>
        </w:rPr>
        <w:footnoteReference w:id="1561"/>
      </w:r>
      <w:r>
        <w:rPr>
          <w:rFonts w:ascii="IRNazanin" w:hAnsi="IRNazanin" w:eastAsia="IRNazanin"/>
          <w:color w:val="111111"/>
          <w:sz w:val="28"/>
          <w:sz w:val="28"/>
          <w:szCs w:val="28"/>
          <w:rtl w:val="true"/>
          <w:lang w:bidi="fa-IR"/>
        </w:rPr>
        <w:t>لاحتمال وجود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عنه أنّ مطلق العلم بتعلّق التكليف بالأمر الواقعي مع إمكان الامتثال علّة تامّة للإطاعة عقلا كما تشهد به صراحة الوجدان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عقلية صرفة كما إذا لم يرد من الشارع ما يسقط بعض الاحتمالات ، فيجب الإتيان بها طرّا لتحصيل الامتثال ، وذلك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شرعية كما إذا دلّ الدليل الشرعي على سقوط بعض المحتملات فإنّ للشارع أن يجعل إطاعة هذا الأمر على هذا الوجه فكأنّه بدل من الواقع كما إذا قامت البيّنة على تعيين القبلة الواقعية ، ولا ضير في 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فكما أنّ قيام البيّنة العادلة على تعيين القبلة الواقعية مشخّص </w:t>
      </w:r>
      <w:r>
        <w:rPr>
          <w:rStyle w:val="FootnoteAnchor"/>
          <w:rtl w:val="true"/>
        </w:rPr>
        <w:footnoteReference w:id="1562"/>
      </w:r>
      <w:r>
        <w:rPr>
          <w:rFonts w:ascii="Amiri" w:hAnsi="Amiri" w:eastAsia="Amiri" w:cs="Amiri"/>
          <w:color w:val="111111"/>
          <w:sz w:val="28"/>
          <w:sz w:val="28"/>
          <w:szCs w:val="28"/>
          <w:rtl w:val="true"/>
          <w:lang w:bidi="ar-SA"/>
        </w:rPr>
        <w:t xml:space="preserve">لموضوع الأمر ويحصل الامتثال بالعمل على مفادها من غير نكير ، فكذا حكم الشارع بإسقاط بعض المحتملات لا يضرّ في الامتثال وحصول الإطاعة بالنسبة إلى الأمر الواقعي فإنّ امتثاله فيه ، فظهر صحّة مقايسته بالعلم التفصيلي فإنّ تجويز </w:t>
      </w:r>
      <w:r>
        <w:rPr>
          <w:rStyle w:val="FootnoteAnchor"/>
          <w:rtl w:val="true"/>
        </w:rPr>
        <w:footnoteReference w:id="1563"/>
      </w:r>
      <w:r>
        <w:rPr>
          <w:rFonts w:ascii="Amiri" w:hAnsi="Amiri" w:eastAsia="Amiri" w:cs="Amiri"/>
          <w:color w:val="111111"/>
          <w:sz w:val="28"/>
          <w:sz w:val="28"/>
          <w:szCs w:val="28"/>
          <w:rtl w:val="true"/>
          <w:lang w:bidi="ar-SA"/>
        </w:rPr>
        <w:t xml:space="preserve">ترك الإطاعة مطلقا </w:t>
      </w:r>
    </w:p>
    <w:p>
      <w:pPr>
        <w:pStyle w:val="BookText"/>
        <w:rPr/>
      </w:pPr>
      <w:r>
        <w:rPr>
          <w:rFonts w:ascii="Amiri" w:hAnsi="Amiri" w:eastAsia="Amiri" w:cs="Amiri"/>
          <w:color w:val="111111"/>
          <w:sz w:val="28"/>
          <w:sz w:val="28"/>
          <w:szCs w:val="28"/>
          <w:rtl w:val="true"/>
          <w:lang w:bidi="ar-SA"/>
        </w:rPr>
        <w:t xml:space="preserve">عقلية وشرعية يناقض العلم الإجمالي بوجوب الإطاعة في الجملة على أحد الوجهين كما أنّه يناقض تجويز </w:t>
      </w:r>
      <w:r>
        <w:rPr>
          <w:rStyle w:val="FootnoteAnchor"/>
          <w:rtl w:val="true"/>
        </w:rPr>
        <w:footnoteReference w:id="1564"/>
      </w:r>
      <w:r>
        <w:rPr>
          <w:rFonts w:ascii="Amiri" w:hAnsi="Amiri" w:eastAsia="Amiri" w:cs="Amiri"/>
          <w:color w:val="111111"/>
          <w:sz w:val="28"/>
          <w:sz w:val="28"/>
          <w:szCs w:val="28"/>
          <w:rtl w:val="true"/>
          <w:lang w:bidi="ar-SA"/>
        </w:rPr>
        <w:t>ترك الامتثال التفصيلي عند حصول العلم التفصيلي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لنا أن نختار الشقّ الثاني ، واحتمال المانع مدفوع بالأصل ، ولا يعارضه أصالة البراءة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استند في منعهما إلى لزوم التكليف بالمجمل وتأخير البيان عن وقت الحاجة مع إطباق العدلية على امتناعه بتقريب أنّ الوجوب الواقعي إنّما يترتّب على الموضوع الواقعي فيما لم يلزم منه التكليف بالمجمل ، وأمّا فيما يلزم منه التكليف بالمجمل ، فلا يترتّب على الموضوع الواقعي بل لا بدّ من حمله على موضوع لا يلزم منه المحذور المذكور ، وعلى تقدير تعلّق الوجوب بالواقع ، فالامتثال فيه وجوبه إنّما يسلّم فيما لم يلزم منه التكليف بالمجمل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أنّ التكليف بالمجمل الذي اتّفق العدلية على امتناعه هو ما لم يكن للمكلّف مندوحة في الامتثال ولم يكن طريق عقلي للإطاعة فيه وبعد ما عرفت من أنّ العقل بعد العلم بتعلّق الوجوب على الموضوع الواقعي يستقلّ بالحكم على لزوم الإطاعة والامتثال ، فلا إجمال في التكليف ولا في المكلّف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الإجمال في المقام على تقديره إنّما هو في تعلّق الحكم الشرعي وموضوعه لا في نفس التكليف الكلّي ومتعلّقه على 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الكلام في المقام أنّ منع </w:t>
      </w:r>
      <w:r>
        <w:rPr>
          <w:rStyle w:val="FootnoteAnchor"/>
          <w:rtl w:val="true"/>
        </w:rPr>
        <w:footnoteReference w:id="1565"/>
      </w:r>
      <w:r>
        <w:rPr>
          <w:rFonts w:ascii="Amiri" w:hAnsi="Amiri" w:eastAsia="Amiri" w:cs="Amiri"/>
          <w:color w:val="111111"/>
          <w:sz w:val="28"/>
          <w:sz w:val="28"/>
          <w:szCs w:val="28"/>
          <w:rtl w:val="true"/>
          <w:lang w:bidi="ar-SA"/>
        </w:rPr>
        <w:t>الصغرى المذكورة تارة بمنع المقتضي بمنع تعلّق الوجوب إلى الموضوع الواقعي وقد عرفت فساده ، وأخرى بوجود المانع لاستلزامه التكليف بالمجمل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الكبرى أيضا تارة بمنع المقتضي لعدم الدليل على وجوب الامتثال حينئذ ، وأخرى بوجود المانع من استلزامه المحذور المذكور ، وقد عرفت فساد الكلّ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ما ذكرنا فحوى الأخبار الآمرة بتكرير </w:t>
      </w:r>
      <w:r>
        <w:rPr>
          <w:rStyle w:val="FootnoteAnchor"/>
          <w:rtl w:val="true"/>
        </w:rPr>
        <w:footnoteReference w:id="1566"/>
      </w:r>
      <w:r>
        <w:rPr>
          <w:rFonts w:ascii="Amiri" w:hAnsi="Amiri" w:eastAsia="Amiri" w:cs="Amiri"/>
          <w:color w:val="111111"/>
          <w:sz w:val="28"/>
          <w:sz w:val="28"/>
          <w:szCs w:val="28"/>
          <w:rtl w:val="true"/>
          <w:lang w:bidi="ar-SA"/>
        </w:rPr>
        <w:t xml:space="preserve">الفائتة في ثلاثة حيث إنّ المنساق منها لزوم تكريرها </w:t>
      </w:r>
      <w:r>
        <w:rPr>
          <w:rStyle w:val="FootnoteAnchor"/>
          <w:rtl w:val="true"/>
        </w:rPr>
        <w:footnoteReference w:id="1567"/>
      </w:r>
      <w:r>
        <w:rPr>
          <w:rFonts w:ascii="Amiri" w:hAnsi="Amiri" w:eastAsia="Amiri" w:cs="Amiri"/>
          <w:color w:val="111111"/>
          <w:sz w:val="28"/>
          <w:sz w:val="28"/>
          <w:szCs w:val="28"/>
          <w:rtl w:val="true"/>
          <w:lang w:bidi="ar-SA"/>
        </w:rPr>
        <w:t>إدراكا للواقع المجهول فيه كما يظهر من ملاحظة تعليل الإمام عليه‌السلام من أنّ الفائتة إن كانت كذا فكذا ، ومن ثمّ تراهم حاكمين بلزوم إتيان ركعتين ، أو ثلاث ركعات فيما لو فاتت من المسافر صلاة واحدة فقط ، وذلك ظاهر بعد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تنجّز التكليف في حقّ المكلّف إلاّ في صورة العلم التفصيلي ممنوعة على مدّعيها إذ من الظاهر مخالفته لطريقة </w:t>
      </w:r>
      <w:r>
        <w:rPr>
          <w:rStyle w:val="FootnoteAnchor"/>
          <w:rtl w:val="true"/>
        </w:rPr>
        <w:footnoteReference w:id="1568"/>
      </w:r>
      <w:r>
        <w:rPr>
          <w:rFonts w:ascii="Amiri" w:hAnsi="Amiri" w:eastAsia="Amiri" w:cs="Amiri"/>
          <w:color w:val="111111"/>
          <w:sz w:val="28"/>
          <w:sz w:val="28"/>
          <w:szCs w:val="28"/>
          <w:rtl w:val="true"/>
          <w:lang w:bidi="ar-SA"/>
        </w:rPr>
        <w:t>الامتثال المأخوذة عن طريقة العقلاء في امتثال أوامر مواليهم إذ لا مانع منه بعد العلم بالتكليف والمكلّف به إجمالا ، ولا يعدّ التارك إلاّ مخالفا ، وذلك واضح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في المقام بوجود المقتضي للامتثال وهو العلم بتعلّق الأمر الواقعي على الموضوع الواقعي وعدم المانع منه لإمكان الامتثال والاحتياط ، وقد يعبّر عنه في لسان البعض بقاعدة الاشتغال حيث إنّ الاشتغال يقيني ، فيحتاج إلى براءة يقينية ، وفي لسان آخرين بأنّ تحصيل العلم بالامتثال واجب ، فلا يحصل إلاّ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تقرّر بأنّ في ترك الاحتياط احتمال الضرر العقابي ، فلا بدّ في دفعه من الاحتياط ، فتأمّل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ذلك دعوى استقرار بناء العقلاء على الامتثال فيما علم التكليف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مرجعه إلى ما قلنا ، عباراتنا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يتمسّك في المقام باستصحاب الاشتغال عند الشكّ في الامتثال بعد إتيان الصلاة مثلا في جهة واحدة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فيما مرّ عدم استقامة هذا الكلام فإنّ الاستصحاب ممّا لا يترتّب عليه فائدة إلاّ أن يكون مثبتا في وجه ، وممّا لا مجرى له في وجه آخر</w:t>
      </w:r>
      <w:r>
        <w:rPr>
          <w:rFonts w:eastAsia="Amiri" w:cs="Amiri" w:ascii="Amiri" w:hAnsi="Amiri"/>
          <w:color w:val="111111"/>
          <w:sz w:val="28"/>
          <w:szCs w:val="28"/>
          <w:rtl w:val="true"/>
          <w:lang w:bidi="ar-SA"/>
        </w:rPr>
        <w:t xml:space="preserve">. </w:t>
      </w:r>
      <w:bookmarkStart w:id="159" w:name="pg16273_211803"/>
    </w:p>
    <w:p>
      <w:pPr>
        <w:pStyle w:val="BookText"/>
        <w:rPr/>
      </w:pPr>
      <w:bookmarkEnd w:id="159"/>
      <w:r>
        <w:rPr>
          <w:rFonts w:ascii="Amiri" w:hAnsi="Amiri" w:eastAsia="Amiri" w:cs="Amiri"/>
          <w:color w:val="111111"/>
          <w:sz w:val="28"/>
          <w:sz w:val="28"/>
          <w:szCs w:val="28"/>
          <w:rtl w:val="true"/>
          <w:lang w:bidi="ar-SA"/>
        </w:rPr>
        <w:t>بيان ذلك أنّ من المعلوم عدم ملاحظة الحالة السابقة في قاعدة الاشتغال فإنّ المناط فيها هو حكم العقل بلزوم تحصيل البراءة عند الشكّ فيها فمع ملاحظة حكم العقل بوجوب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اللاحق حتّى يحتاج إلى استصحاب الاشتغال ، ومع قطع النظر عن حكم العقل بلزوم الاحتياط ووجوب تفريغ الذمّة وإن كان الشكّ باقيا إلاّ أنّ الحكم بوجوب إتيان الصلاة في الجهة الباقية أو الجهات الباقية ممّا لا يترتّب على بقاء الاشتغال واستصحابه إذ الاشتغال الاستصحابي لا يزيد على الاشتغال الواقعي ، فكما أنّ الاشتغال الواقعي لا يقضي بالاحتياط فكذلك ما هو </w:t>
      </w:r>
      <w:r>
        <w:rPr>
          <w:rStyle w:val="FootnoteAnchor"/>
          <w:rtl w:val="true"/>
        </w:rPr>
        <w:footnoteReference w:id="1570"/>
      </w:r>
      <w:r>
        <w:rPr>
          <w:rFonts w:ascii="Amiri" w:hAnsi="Amiri" w:eastAsia="Amiri" w:cs="Amiri"/>
          <w:color w:val="111111"/>
          <w:sz w:val="28"/>
          <w:sz w:val="28"/>
          <w:szCs w:val="28"/>
          <w:rtl w:val="true"/>
          <w:lang w:bidi="ar-SA"/>
        </w:rPr>
        <w:t>منزّل منزلته كما لا يخفى ، اللّهمّ إلاّ أن يكون استصحاب بقاء الاشتغال مثبتا لكون القبلة هي الجهة الباقية ، أو إحدى الجهات الباقية ولا تعويل عليه عند التحقيق</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803566_1280447820"/>
      <w:bookmarkStart w:id="161" w:name="_Toc55"/>
      <w:bookmarkEnd w:id="160"/>
      <w:r>
        <w:rPr>
          <w:rtl w:val="true"/>
        </w:rPr>
        <w:t xml:space="preserve">وينبغي التنبيه على أمور </w:t>
      </w:r>
      <w:r>
        <w:rPr>
          <w:rtl w:val="true"/>
        </w:rPr>
        <w:t>:</w:t>
      </w:r>
      <w:bookmarkEnd w:id="161"/>
    </w:p>
    <w:p>
      <w:pPr>
        <w:pStyle w:val="Heading5"/>
        <w:numPr>
          <w:ilvl w:val="4"/>
          <w:numId w:val="1"/>
        </w:numPr>
        <w:rPr/>
      </w:pPr>
      <w:bookmarkStart w:id="162" w:name="__RefHeading___Toc4803568_1280447820"/>
      <w:bookmarkStart w:id="163" w:name="_Toc56"/>
      <w:bookmarkEnd w:id="162"/>
      <w:r>
        <w:rPr>
          <w:rtl w:val="true"/>
        </w:rPr>
        <w:t xml:space="preserve">الأوّل </w:t>
      </w:r>
      <w:r>
        <w:rPr>
          <w:rtl w:val="true"/>
        </w:rPr>
        <w:t>:</w:t>
      </w:r>
      <w:bookmarkEnd w:id="163"/>
    </w:p>
    <w:p>
      <w:pPr>
        <w:pStyle w:val="BookText"/>
        <w:rPr/>
      </w:pPr>
      <w:r>
        <w:rPr>
          <w:rFonts w:ascii="Amiri" w:hAnsi="Amiri" w:eastAsia="Amiri" w:cs="Amiri"/>
          <w:color w:val="111111"/>
          <w:sz w:val="28"/>
          <w:sz w:val="28"/>
          <w:szCs w:val="28"/>
          <w:rtl w:val="true"/>
          <w:lang w:bidi="ar-SA"/>
        </w:rPr>
        <w:t>أنّ بعد ما عرفت من لزوم الاحتياط والجمع بين المحتملات ، فلو أتى المكلّف بواحد منها ولكن صادف الواقع ، فهل هو معاقب في تركه الاحتمالات الأخر أو لا؟ الحقّ الثاني بناء على ما هو التحقيق من أنّ الحكم بوجوب الاحتياط في المقام عقلي لا شرعي ، والمقصود هو الوصول إلى الواقع وهو حاصل ، فلا وجه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الاحتمال الآخر وإن لم يكن محرّما من حيث أداء الواقع وحصول المقصود إلاّ أنّ عنوان التجرّي شامل له ، فيحرم من باب التجرّي في أوامره وعدم الانقياد 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للمتجرّي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w:t>
      </w:r>
      <w:r>
        <w:rPr>
          <w:rStyle w:val="FootnoteAnchor"/>
          <w:rtl w:val="true"/>
        </w:rPr>
        <w:footnoteReference w:id="1572"/>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أعلاها فيما لو علم </w:t>
      </w:r>
      <w:bookmarkStart w:id="164" w:name="pg16273_211804"/>
    </w:p>
    <w:p>
      <w:pPr>
        <w:pStyle w:val="BookText"/>
        <w:rPr/>
      </w:pPr>
      <w:bookmarkEnd w:id="164"/>
      <w:r>
        <w:rPr>
          <w:rFonts w:ascii="Amiri" w:hAnsi="Amiri" w:eastAsia="Amiri" w:cs="Amiri"/>
          <w:color w:val="111111"/>
          <w:sz w:val="28"/>
          <w:sz w:val="28"/>
          <w:szCs w:val="28"/>
          <w:rtl w:val="true"/>
          <w:lang w:bidi="ar-SA"/>
        </w:rPr>
        <w:t xml:space="preserve">بالمخالفة ، وأدونها ما لو احتمل المخالفة لكن مع عدم المبالاة بها ، وأمّا فيما لو احتمل المخالفة ، فيرتكب الفعل عسى </w:t>
      </w:r>
      <w:r>
        <w:rPr>
          <w:rStyle w:val="FootnoteAnchor"/>
          <w:rtl w:val="true"/>
        </w:rPr>
        <w:footnoteReference w:id="1573"/>
      </w:r>
      <w:r>
        <w:rPr>
          <w:rFonts w:ascii="Amiri" w:hAnsi="Amiri" w:eastAsia="Amiri" w:cs="Amiri"/>
          <w:color w:val="111111"/>
          <w:sz w:val="28"/>
          <w:sz w:val="28"/>
          <w:szCs w:val="28"/>
          <w:rtl w:val="true"/>
          <w:lang w:bidi="ar-SA"/>
        </w:rPr>
        <w:t xml:space="preserve">أن لا يكون مخالفة ، فلا نسلّم كون الفعل المذكور تجرّيا ، ولو سلّمنا الصغرى ، فلا نسلّم الكبرى إذ لا دليل على أنّ مطلق التجرّي ولو في هذا الفرد حرام ، والعقل لا يزيد حكمه على حرمة الأوليين كما لا يخفى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ما يراه البعض من لزوم الاحتياط بواسطة الأدلّة الشرعية كالاستصحاب ودليل الاحتياط فيحتمل العقاب وإن صادف الواقع نظرا إلى أنّ الشارع قد جعل في مرحلة الظاهر للشاكّ طريقا إلى الواقع ، فمصادفة الواقع لا يجدي في صدق المخالفة بالنسبة إلى الطريق المجعول الشرعي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النقض لليقين بالشكّ ، و </w:t>
      </w:r>
      <w:r>
        <w:rPr>
          <w:rStyle w:val="FootnoteAnchor"/>
          <w:rtl w:val="true"/>
        </w:rPr>
        <w:footnoteReference w:id="1575"/>
      </w:r>
      <w:r>
        <w:rPr>
          <w:rFonts w:ascii="Amiri" w:hAnsi="Amiri" w:eastAsia="Amiri" w:cs="Amiri"/>
          <w:color w:val="111111"/>
          <w:sz w:val="28"/>
          <w:sz w:val="28"/>
          <w:szCs w:val="28"/>
          <w:rtl w:val="true"/>
          <w:lang w:bidi="ar-SA"/>
        </w:rPr>
        <w:t>في الصورة المذكورة لم يمتثل المكلّف هذا النهي ، ولا ينافيه عدم تعدّد العقاب فيما لو خالف الواقع إذ لا يعدّ هناك إلاّ مخالفة واحدة للواقع ، وهذا كلام جار في جميع الطرق الظاهرية اجتهادية كانت أو تعبّدية ، كذا أفاد سلّمه اللّه إلاّ أنّه بعد في إجمال ، فتأمّل</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4803570_1280447820"/>
      <w:bookmarkStart w:id="166" w:name="_Toc57"/>
      <w:bookmarkEnd w:id="165"/>
      <w:r>
        <w:rPr>
          <w:rtl w:val="true"/>
        </w:rPr>
        <w:t xml:space="preserve">الثاني </w:t>
      </w:r>
      <w:r>
        <w:rPr>
          <w:rtl w:val="true"/>
        </w:rPr>
        <w:t>:</w:t>
      </w:r>
      <w:bookmarkEnd w:id="166"/>
    </w:p>
    <w:p>
      <w:pPr>
        <w:pStyle w:val="BookText"/>
        <w:rPr/>
      </w:pPr>
      <w:r>
        <w:rPr>
          <w:rFonts w:ascii="Amiri" w:hAnsi="Amiri" w:eastAsia="Amiri" w:cs="Amiri"/>
          <w:color w:val="111111"/>
          <w:sz w:val="28"/>
          <w:sz w:val="28"/>
          <w:szCs w:val="28"/>
          <w:rtl w:val="true"/>
          <w:lang w:bidi="ar-SA"/>
        </w:rPr>
        <w:t xml:space="preserve">لا إشكال في عدم لزوم قصد إتيان الجميع عند الإتيان بواحد من المحتملات فيما لو كان </w:t>
      </w:r>
      <w:r>
        <w:rPr>
          <w:rStyle w:val="FootnoteAnchor"/>
          <w:rtl w:val="true"/>
        </w:rPr>
        <w:footnoteReference w:id="1576"/>
      </w:r>
      <w:r>
        <w:rPr>
          <w:rFonts w:ascii="Amiri" w:hAnsi="Amiri" w:eastAsia="Amiri" w:cs="Amiri"/>
          <w:color w:val="111111"/>
          <w:sz w:val="28"/>
          <w:sz w:val="28"/>
          <w:szCs w:val="28"/>
          <w:rtl w:val="true"/>
          <w:lang w:bidi="ar-SA"/>
        </w:rPr>
        <w:t xml:space="preserve">المردّد بين أمرين واجبا توصّليا في الإجزاء وإسقاط الأمر وارتفاع التكليف لعدم </w:t>
      </w:r>
      <w:r>
        <w:rPr>
          <w:rStyle w:val="FootnoteAnchor"/>
          <w:rtl w:val="true"/>
        </w:rPr>
        <w:footnoteReference w:id="1577"/>
      </w:r>
      <w:r>
        <w:rPr>
          <w:rFonts w:ascii="Amiri" w:hAnsi="Amiri" w:eastAsia="Amiri" w:cs="Amiri"/>
          <w:color w:val="111111"/>
          <w:sz w:val="28"/>
          <w:sz w:val="28"/>
          <w:szCs w:val="28"/>
          <w:rtl w:val="true"/>
          <w:lang w:bidi="ar-SA"/>
        </w:rPr>
        <w:t>اشتراطه بقصد القربة بل ولا بقصد الفعل ، ولهذا يكتفى بما لو حصل اضطرارا ، وأمّا الثواب والإطاعة ، فلا يحصل في التوصّليات أيضا إلاّ بعد القصد والإرادة مضافا إلى قصد الامتثال أيضا على وجه يكون الداعي للفعل هو الأمر وتحصيل الامتثال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المذكور من الصلاة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قصد الإتيان بالجميع عند إتيان كلّ واحد من المحتملات على وجه لو لم يقصد ذلك لم يكن </w:t>
      </w:r>
    </w:p>
    <w:p>
      <w:pPr>
        <w:pStyle w:val="BookText"/>
        <w:rPr/>
      </w:pPr>
      <w:r>
        <w:rPr>
          <w:rFonts w:ascii="IRNazanin" w:hAnsi="IRNazanin" w:eastAsia="IRNazanin"/>
          <w:color w:val="111111"/>
          <w:sz w:val="28"/>
          <w:sz w:val="28"/>
          <w:szCs w:val="28"/>
          <w:rtl w:val="true"/>
          <w:lang w:bidi="fa-IR"/>
        </w:rPr>
        <w:t>ممتثلا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 في ذلك ما تقرّر فيما تقدّم من مباحث المقدّمة من أنّ وجوبها إنّما هو بواسطة عنوان المقدّمية ، ولا يحصل </w:t>
      </w:r>
      <w:r>
        <w:rPr>
          <w:rStyle w:val="FootnoteAnchor"/>
          <w:rtl w:val="true"/>
        </w:rPr>
        <w:footnoteReference w:id="1578"/>
      </w:r>
      <w:r>
        <w:rPr>
          <w:rFonts w:ascii="Amiri" w:hAnsi="Amiri" w:eastAsia="Amiri" w:cs="Amiri"/>
          <w:color w:val="111111"/>
          <w:sz w:val="28"/>
          <w:sz w:val="28"/>
          <w:szCs w:val="28"/>
          <w:rtl w:val="true"/>
          <w:lang w:bidi="ar-SA"/>
        </w:rPr>
        <w:t xml:space="preserve">عنوانها إلاّ بعد إرادة التوصّل بها إلى ذيها وإن لم تكن </w:t>
      </w:r>
      <w:r>
        <w:rPr>
          <w:rStyle w:val="FootnoteAnchor"/>
          <w:rtl w:val="true"/>
        </w:rPr>
        <w:footnoteReference w:id="1579"/>
      </w:r>
      <w:r>
        <w:rPr>
          <w:rFonts w:ascii="Amiri" w:hAnsi="Amiri" w:eastAsia="Amiri" w:cs="Amiri"/>
          <w:color w:val="111111"/>
          <w:sz w:val="28"/>
          <w:sz w:val="28"/>
          <w:szCs w:val="28"/>
          <w:rtl w:val="true"/>
          <w:lang w:bidi="ar-SA"/>
        </w:rPr>
        <w:t xml:space="preserve">موصلة كما زعمه بعض الأجلّة </w:t>
      </w:r>
      <w:r>
        <w:rPr>
          <w:rStyle w:val="FootnoteAnchor"/>
          <w:rtl w:val="true"/>
        </w:rPr>
        <w:footnoteReference w:id="1580"/>
      </w:r>
      <w:r>
        <w:rPr>
          <w:rFonts w:ascii="Amiri" w:hAnsi="Amiri" w:eastAsia="Amiri" w:cs="Amiri"/>
          <w:color w:val="111111"/>
          <w:sz w:val="28"/>
          <w:sz w:val="28"/>
          <w:szCs w:val="28"/>
          <w:rtl w:val="true"/>
          <w:lang w:bidi="ar-SA"/>
        </w:rPr>
        <w:t xml:space="preserve">، فلو توضّأ أحد من غير قصد إلى غاية معيّنة عنده لم يكن متطهّرا ، وذلك كما إذا أمر المولى بإكرام زيد تعبّدا فإنّ من الظاهر عدم سقوط الأمر فيما لو قصد الإهانة إليه ، أو غيرها من الأفعال ولكن صادف إكرامه ، فلا بدّ في حصول فعل من قصد عنوانه وإرادة نفسه وذلك ظاهر ، فعلى هذا لو لم يكن المكلّف حال إتيانه بأحد المحتملات قاصدا لإتيان غيره منها ، لم يكن قاصدا لعنوان </w:t>
      </w:r>
      <w:r>
        <w:rPr>
          <w:rStyle w:val="FootnoteAnchor"/>
          <w:rtl w:val="true"/>
        </w:rPr>
        <w:footnoteReference w:id="1581"/>
      </w:r>
      <w:r>
        <w:rPr>
          <w:rFonts w:ascii="Amiri" w:hAnsi="Amiri" w:eastAsia="Amiri" w:cs="Amiri"/>
          <w:color w:val="111111"/>
          <w:sz w:val="28"/>
          <w:sz w:val="28"/>
          <w:szCs w:val="28"/>
          <w:rtl w:val="true"/>
          <w:lang w:bidi="ar-SA"/>
        </w:rPr>
        <w:t>المقدّمية ، ولا يصدق على فعله الامتثال كما لا يخفى ، فيبقى الاشتغال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العلّة الغائية في الفعل والعمل لا بدّ وأن يكون مجزوما بها ، وحيث إنّ المفروض أنّ الداعي في التعبّديات هو موافقة الأمر وتحصيل الامتثال ، فلا بدّ أن يكون كلّ من الاحتمالات مقرونا بالنيّة والقصد على وجه لو كان هو الواقع ، لكان مقرونا بالنيّة وقصد الامتثال فيؤثّر أثره ويحصل الموافقة والإطاعة على ما هو المعتبر فيه ، والقصد على هذا الوجه لا يحصل إلاّ بعد إتيان كلّ من المحتملات لاحتمال أنّه الواقع مع القصد بإتيان الباقي من المحتملات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يلزم انسداد باب الاحتياط في الشكوك البدوية من غير سبق العلم الإجمالي لعدم الجزم بالأمر الداعي للفعل مع أنّه خلاف ما استقرّ عليه طريقتهم مضافا إلى الوجدان الحاكم بخلافه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له مراتب </w:t>
      </w:r>
      <w:r>
        <w:rPr>
          <w:rStyle w:val="FootnoteAnchor"/>
          <w:rtl w:val="true"/>
        </w:rPr>
        <w:footnoteReference w:id="1583"/>
      </w:r>
      <w:r>
        <w:rPr>
          <w:rFonts w:ascii="Amiri" w:hAnsi="Amiri" w:eastAsia="Amiri" w:cs="Amiri"/>
          <w:color w:val="111111"/>
          <w:sz w:val="28"/>
          <w:sz w:val="28"/>
          <w:szCs w:val="28"/>
          <w:rtl w:val="true"/>
          <w:lang w:bidi="ar-SA"/>
        </w:rPr>
        <w:t xml:space="preserve">فتارة يعلم بوجود الأمر تفصيلا في موضوع </w:t>
      </w:r>
      <w:r>
        <w:rPr>
          <w:rStyle w:val="FootnoteAnchor"/>
          <w:rtl w:val="true"/>
        </w:rPr>
        <w:footnoteReference w:id="1584"/>
      </w:r>
      <w:r>
        <w:rPr>
          <w:rFonts w:ascii="Amiri" w:hAnsi="Amiri" w:eastAsia="Amiri" w:cs="Amiri"/>
          <w:color w:val="111111"/>
          <w:sz w:val="28"/>
          <w:sz w:val="28"/>
          <w:szCs w:val="28"/>
          <w:rtl w:val="true"/>
          <w:lang w:bidi="ar-SA"/>
        </w:rPr>
        <w:t xml:space="preserve">معيّن </w:t>
      </w:r>
      <w:bookmarkStart w:id="167" w:name="pg16273_211806"/>
    </w:p>
    <w:p>
      <w:pPr>
        <w:pStyle w:val="BookText"/>
        <w:rPr/>
      </w:pPr>
      <w:bookmarkEnd w:id="167"/>
      <w:r>
        <w:rPr>
          <w:rFonts w:ascii="Amiri" w:hAnsi="Amiri" w:eastAsia="Amiri" w:cs="Amiri"/>
          <w:color w:val="111111"/>
          <w:sz w:val="28"/>
          <w:sz w:val="28"/>
          <w:szCs w:val="28"/>
          <w:rtl w:val="true"/>
          <w:lang w:bidi="ar-SA"/>
        </w:rPr>
        <w:t xml:space="preserve">كذلك ، فلا بدّ فيه من قصد الأمر تفصيلا تحصيلا للامتثال ، وأخرى يعلم بالأمر إجمالا ، فلا بدّ من قصد الامتثال إجمالا ، ومرّة الأمر مشكوك عن أصله ، فالداعي في الفعل هو رجاء الوصول إلى الواقع وهو مجزوم به </w:t>
      </w:r>
      <w:r>
        <w:rPr>
          <w:rStyle w:val="FootnoteAnchor"/>
          <w:rtl w:val="true"/>
        </w:rPr>
        <w:footnoteReference w:id="1585"/>
      </w:r>
      <w:r>
        <w:rPr>
          <w:rFonts w:ascii="Amiri" w:hAnsi="Amiri" w:eastAsia="Amiri" w:cs="Amiri"/>
          <w:color w:val="111111"/>
          <w:sz w:val="28"/>
          <w:sz w:val="28"/>
          <w:szCs w:val="28"/>
          <w:rtl w:val="true"/>
          <w:lang w:bidi="ar-SA"/>
        </w:rPr>
        <w:t xml:space="preserve">، فالعلّة الغائية الباعثة لتحرّك </w:t>
      </w:r>
      <w:r>
        <w:rPr>
          <w:rStyle w:val="FootnoteAnchor"/>
          <w:rtl w:val="true"/>
        </w:rPr>
        <w:footnoteReference w:id="1586"/>
      </w:r>
      <w:r>
        <w:rPr>
          <w:rFonts w:ascii="Amiri" w:hAnsi="Amiri" w:eastAsia="Amiri" w:cs="Amiri"/>
          <w:color w:val="111111"/>
          <w:sz w:val="28"/>
          <w:sz w:val="28"/>
          <w:szCs w:val="28"/>
          <w:rtl w:val="true"/>
          <w:lang w:bidi="ar-SA"/>
        </w:rPr>
        <w:t xml:space="preserve">العضلات حتّى يصدر الفعل لا بدّ وأن يكون أمرا مجزوما به ، فلو كان في فعل </w:t>
      </w:r>
      <w:r>
        <w:rPr>
          <w:rStyle w:val="FootnoteAnchor"/>
          <w:rtl w:val="true"/>
        </w:rPr>
        <w:footnoteReference w:id="1587"/>
      </w:r>
      <w:r>
        <w:rPr>
          <w:rFonts w:ascii="Amiri" w:hAnsi="Amiri" w:eastAsia="Amiri" w:cs="Amiri"/>
          <w:color w:val="111111"/>
          <w:sz w:val="28"/>
          <w:sz w:val="28"/>
          <w:szCs w:val="28"/>
          <w:rtl w:val="true"/>
          <w:lang w:bidi="ar-SA"/>
        </w:rPr>
        <w:t xml:space="preserve">الداعي إليه هو الأمر لا مناص من إتيانه لأجله </w:t>
      </w:r>
      <w:r>
        <w:rPr>
          <w:rStyle w:val="FootnoteAnchor"/>
          <w:rtl w:val="true"/>
        </w:rPr>
        <w:footnoteReference w:id="1588"/>
      </w:r>
      <w:r>
        <w:rPr>
          <w:rFonts w:ascii="Amiri" w:hAnsi="Amiri" w:eastAsia="Amiri" w:cs="Amiri"/>
          <w:color w:val="111111"/>
          <w:sz w:val="28"/>
          <w:sz w:val="28"/>
          <w:szCs w:val="28"/>
          <w:rtl w:val="true"/>
          <w:lang w:bidi="ar-SA"/>
        </w:rPr>
        <w:t>على الوجه المقرّر إن علما فعلما ، وإن احتمالا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والذي يدور عليه رحى الإطاعة هو </w:t>
      </w:r>
      <w:r>
        <w:rPr>
          <w:rStyle w:val="FootnoteAnchor"/>
          <w:rtl w:val="true"/>
        </w:rPr>
        <w:footnoteReference w:id="1589"/>
      </w:r>
      <w:r>
        <w:rPr>
          <w:rFonts w:ascii="Amiri" w:hAnsi="Amiri" w:eastAsia="Amiri" w:cs="Amiri"/>
          <w:color w:val="111111"/>
          <w:sz w:val="28"/>
          <w:sz w:val="28"/>
          <w:szCs w:val="28"/>
          <w:rtl w:val="true"/>
          <w:lang w:bidi="ar-SA"/>
        </w:rPr>
        <w:t>قصد الأمر على وجه يكون الداعي في صدور الفعل هو الأمر ، ومع عدم القصد بإتيان الباقي من المحتملات لا يعدّ ذلك إطاعة وامتثالا ، لعدم تحقّق القصد بالأمر كما هو ظاهر لا سترة عليه</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4803572_1280447820"/>
      <w:bookmarkStart w:id="169" w:name="_Toc58"/>
      <w:bookmarkEnd w:id="168"/>
      <w:r>
        <w:rPr>
          <w:rtl w:val="true"/>
        </w:rPr>
        <w:t xml:space="preserve">الثالث </w:t>
      </w:r>
      <w:r>
        <w:rPr>
          <w:rtl w:val="true"/>
        </w:rPr>
        <w:t>:</w:t>
      </w:r>
      <w:bookmarkEnd w:id="169"/>
    </w:p>
    <w:p>
      <w:pPr>
        <w:pStyle w:val="BookText"/>
        <w:rPr/>
      </w:pPr>
      <w:r>
        <w:rPr>
          <w:rFonts w:ascii="Amiri" w:hAnsi="Amiri" w:eastAsia="Amiri" w:cs="Amiri"/>
          <w:color w:val="111111"/>
          <w:sz w:val="28"/>
          <w:sz w:val="28"/>
          <w:szCs w:val="28"/>
          <w:rtl w:val="true"/>
          <w:lang w:bidi="ar-SA"/>
        </w:rPr>
        <w:t xml:space="preserve">أنّ بعد ما عرفت من لزوم الاحتياط في المقام والحكم بلزوم إتيان الصلاة في أربع جهات ، فهل اللازم إتيان احتمالات الظهر بتمامها قبل احتمالات العصر فيما لو كان القبلة مشتبهة فيهما ، أو يجوز التداخل بمعنى إتيان كلّ احتمالات الظهر في جهة ، ثمّ </w:t>
      </w:r>
      <w:r>
        <w:rPr>
          <w:rStyle w:val="FootnoteAnchor"/>
          <w:rtl w:val="true"/>
        </w:rPr>
        <w:footnoteReference w:id="1590"/>
      </w:r>
      <w:r>
        <w:rPr>
          <w:rFonts w:ascii="Amiri" w:hAnsi="Amiri" w:eastAsia="Amiri" w:cs="Amiri"/>
          <w:color w:val="111111"/>
          <w:sz w:val="28"/>
          <w:sz w:val="28"/>
          <w:szCs w:val="28"/>
          <w:rtl w:val="true"/>
          <w:lang w:bidi="ar-SA"/>
        </w:rPr>
        <w:t xml:space="preserve">بعد ذلك بإتيان ما يحتمل أن يكون عصرا فيها وهكذا في كلّ جهة؟ وأمّا التداخل لا على الوجه المذكور </w:t>
      </w:r>
      <w:r>
        <w:rPr>
          <w:rStyle w:val="FootnoteAnchor"/>
          <w:rtl w:val="true"/>
        </w:rPr>
        <w:footnoteReference w:id="1591"/>
      </w:r>
      <w:r>
        <w:rPr>
          <w:rFonts w:ascii="Amiri" w:hAnsi="Amiri" w:eastAsia="Amiri" w:cs="Amiri"/>
          <w:color w:val="111111"/>
          <w:sz w:val="28"/>
          <w:sz w:val="28"/>
          <w:szCs w:val="28"/>
          <w:rtl w:val="true"/>
          <w:lang w:bidi="ar-SA"/>
        </w:rPr>
        <w:t>، فلا خفاء في فساده ، وجوه ثالثها التفصيل بين وقوع احتمالات العصر في الوقت المختصّ بالظهر ، فلا بدّ من ملاحظة الترتيب وتقديم احتمالات الظهر ، وبين وقوعها في الوقت المشترك فيجوز التداخل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المقام أنّه قد يقال بلزوم ملاحظة الترتيب مطلقا وتقديم احتمالات الظهر </w:t>
      </w:r>
    </w:p>
    <w:p>
      <w:pPr>
        <w:pStyle w:val="BookText"/>
        <w:rPr/>
      </w:pPr>
      <w:r>
        <w:rPr>
          <w:rFonts w:ascii="IRNazanin" w:hAnsi="IRNazanin" w:eastAsia="IRNazanin"/>
          <w:color w:val="111111"/>
          <w:sz w:val="28"/>
          <w:sz w:val="28"/>
          <w:szCs w:val="28"/>
          <w:rtl w:val="true"/>
          <w:lang w:bidi="fa-IR"/>
        </w:rPr>
        <w:t xml:space="preserve">بوجوه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الظهر في الذمّة وعدم تفريغها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مجد ؛ لأنّ عدم جواز الدخول في احتمالات العصر لا يترتّب على اشتغال الذمّة بالظهر الواقعي ، وإنّما الممنوع منه هو الإتيان بالعصر الواقعي لا بما يحتمل أن يكون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مشروعية الدخول في العصر واحتمالاته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مجد بالنسبة إلى العصر الواقعي إذ الكلام في محتملاته ، وإن أريد عدم مشروعية الدخول في محتملاته فإطلاق الأدلّة الآمرة بالعصر وارد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وللتأمّل فيه وفيما قبله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w:t>
      </w:r>
      <w:r>
        <w:rPr>
          <w:rStyle w:val="FootnoteAnchor"/>
          <w:rtl w:val="true"/>
        </w:rPr>
        <w:footnoteReference w:id="1593"/>
      </w:r>
      <w:r>
        <w:rPr>
          <w:rFonts w:ascii="Amiri" w:hAnsi="Amiri" w:eastAsia="Amiri" w:cs="Amiri"/>
          <w:color w:val="111111"/>
          <w:sz w:val="28"/>
          <w:sz w:val="28"/>
          <w:szCs w:val="28"/>
          <w:rtl w:val="true"/>
          <w:lang w:bidi="ar-SA"/>
        </w:rPr>
        <w:t xml:space="preserve">المقرّر في محلّه أنّ عدم إمكان الامتثال التفصيلي في جهة لا يقضي بعدم اعتباره فيما يمكن إحرازه تفصيلا كما فيما نحن فيه فإنّ الإتيان بالصلاة على القبلة الواقعية عند الاشتباه تفصيلا غير ممكن ، وملاحظة الترتيب بين الظهر والعصر ممّا يمكن إحرازه تفصيلا ، والميسور لا يسقط بالمعسور ، فلا مناص من تقديم محتملات الظهر على محتملات العصر تحصيلا للامتثال التفصيلي فيما يمكن ، وذلك ظاهر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التفصيلي في الترتيب أيضا حاصل في التداخل كما لا يخفى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بعدم ملاحظة الترتيب مطلقا نظرا إلى حصول الامتثال الواقعي والترتيب التفصيلي إذ القدر الواجب من ملاحظة الترتيب هو وقوع العصر الواقعي بعد الظهر الواقعي </w:t>
      </w:r>
      <w:r>
        <w:rPr>
          <w:rStyle w:val="FootnoteAnchor"/>
          <w:rtl w:val="true"/>
        </w:rPr>
        <w:footnoteReference w:id="1594"/>
      </w:r>
      <w:r>
        <w:rPr>
          <w:rFonts w:ascii="Amiri" w:hAnsi="Amiri" w:eastAsia="Amiri" w:cs="Amiri"/>
          <w:color w:val="111111"/>
          <w:sz w:val="28"/>
          <w:sz w:val="28"/>
          <w:szCs w:val="28"/>
          <w:rtl w:val="true"/>
          <w:lang w:bidi="ar-SA"/>
        </w:rPr>
        <w:t>وهو حاصل تفصيلا من غير إجمال ، وأمّا ملاحظة الترتيب في محتملاته ، فممّا لم يدلّ دليل عليه ، والأصل عدمه</w:t>
      </w:r>
      <w:r>
        <w:rPr>
          <w:rFonts w:eastAsia="Amiri" w:cs="Amiri" w:ascii="Amiri" w:hAnsi="Amiri"/>
          <w:color w:val="111111"/>
          <w:sz w:val="28"/>
          <w:szCs w:val="28"/>
          <w:rtl w:val="true"/>
          <w:lang w:bidi="ar-SA"/>
        </w:rPr>
        <w:t xml:space="preserve">. </w:t>
      </w:r>
      <w:bookmarkStart w:id="170" w:name="pg16273_211808"/>
    </w:p>
    <w:p>
      <w:pPr>
        <w:pStyle w:val="BookText"/>
        <w:rPr/>
      </w:pPr>
      <w:bookmarkEnd w:id="170"/>
      <w:r>
        <w:rPr>
          <w:rFonts w:ascii="Amiri" w:hAnsi="Amiri" w:eastAsia="Amiri" w:cs="Amiri"/>
          <w:color w:val="111111"/>
          <w:sz w:val="28"/>
          <w:sz w:val="28"/>
          <w:szCs w:val="28"/>
          <w:rtl w:val="true"/>
          <w:lang w:bidi="ar-SA"/>
        </w:rPr>
        <w:t xml:space="preserve">وقد يقال بالتفصيل بين ما وقع محتملات العصر في الوقت الخاصّ بالظهر بناء على أنّ الوقت في حقّ المشتبه والجاهل هو مقدار ما يسعه من المحتملات جميعا كما أنّ الوقت الخاصّ بالظهر في حقّ الحاضر هو مقدار ما يسعه أربع ركعات ، وفي حقّ المسافر ركعتان ، أو على أنّ الوقت هو مقدار الصلاة بالقبلة الواقعية من المحتملات ، فلا يجوز الإتيان بمحتملات العصر لعدم </w:t>
      </w:r>
      <w:r>
        <w:rPr>
          <w:rStyle w:val="FootnoteAnchor"/>
          <w:rtl w:val="true"/>
        </w:rPr>
        <w:footnoteReference w:id="1595"/>
      </w:r>
      <w:r>
        <w:rPr>
          <w:rFonts w:ascii="Amiri" w:hAnsi="Amiri" w:eastAsia="Amiri" w:cs="Amiri"/>
          <w:color w:val="111111"/>
          <w:sz w:val="28"/>
          <w:sz w:val="28"/>
          <w:szCs w:val="28"/>
          <w:rtl w:val="true"/>
          <w:lang w:bidi="ar-SA"/>
        </w:rPr>
        <w:t>وقوعها في وقت مشترك لهما بل في وقت خاصّ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1596"/>
      </w:r>
      <w:r>
        <w:rPr>
          <w:rFonts w:ascii="Amiri" w:hAnsi="Amiri" w:eastAsia="Amiri" w:cs="Amiri"/>
          <w:color w:val="111111"/>
          <w:sz w:val="28"/>
          <w:sz w:val="28"/>
          <w:szCs w:val="28"/>
          <w:rtl w:val="true"/>
          <w:lang w:bidi="ar-SA"/>
        </w:rPr>
        <w:t xml:space="preserve">فيما لو كان تمام الوقت مختصّا بالظهر ، فظاهر ؛ وأمّا فيما لو كان الوقت الذي يقع فيه الصلاة بالقبلة الواقعية مختصّا بالظهر من بين المحتملات ، فلأنّه لا يعلم وقوع العصر في الوقت المختصّ بالظهر ، أو في وقت مشترك ، وبين ما وقع احتمالات العصر في الوقت المشترك ، فيجوز لعدم المانع من الإتيان على ما عرفت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 الوقت بالظهر في هذا المقام لا يمنع عن جواز الإتيان بمحتملات العصر ، وإنّما يمنع عن الإتيان بالعصر الواقعي في وقت خاصّ بالظهر الواقعي ، وبالجملة فاحتمال التداخل مطلقا قويّ في النظر ، فتدبّر</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4803574_1280447820"/>
      <w:bookmarkStart w:id="172" w:name="_Toc59"/>
      <w:bookmarkEnd w:id="171"/>
      <w:r>
        <w:rPr>
          <w:rtl w:val="true"/>
        </w:rPr>
        <w:t xml:space="preserve">الرابع </w:t>
      </w:r>
      <w:r>
        <w:rPr>
          <w:rtl w:val="true"/>
        </w:rPr>
        <w:t>:</w:t>
      </w:r>
      <w:bookmarkEnd w:id="172"/>
    </w:p>
    <w:p>
      <w:pPr>
        <w:pStyle w:val="BookText"/>
        <w:rPr/>
      </w:pPr>
      <w:r>
        <w:rPr>
          <w:rFonts w:ascii="Amiri" w:hAnsi="Amiri" w:eastAsia="Amiri" w:cs="Amiri"/>
          <w:color w:val="111111"/>
          <w:sz w:val="28"/>
          <w:sz w:val="28"/>
          <w:szCs w:val="28"/>
          <w:rtl w:val="true"/>
          <w:lang w:bidi="ar-SA"/>
        </w:rPr>
        <w:t xml:space="preserve">أنّ بعد ما عرفت من لزوم الاحتياط في المقام ، فلو امتنع الإتيان </w:t>
      </w:r>
      <w:r>
        <w:rPr>
          <w:rStyle w:val="FootnoteAnchor"/>
          <w:rtl w:val="true"/>
        </w:rPr>
        <w:footnoteReference w:id="1597"/>
      </w:r>
      <w:r>
        <w:rPr>
          <w:rFonts w:ascii="Amiri" w:hAnsi="Amiri" w:eastAsia="Amiri" w:cs="Amiri"/>
          <w:color w:val="111111"/>
          <w:sz w:val="28"/>
          <w:sz w:val="28"/>
          <w:szCs w:val="28"/>
          <w:rtl w:val="true"/>
          <w:lang w:bidi="ar-SA"/>
        </w:rPr>
        <w:t>بجميع الجهات وتمام المحتملات شرعا أو عقلا ، فهل يجب الاحتياط في الجهات المقدورة ، أو ينقلب الشبهة تكليفية ، فلا يجب بل يؤخذ بالبراءة؟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يقتضي بسطا في الكلام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المانع عقليا كأن يكون المكلّف غير قادر للإتيان بالجميع ، أو يكون المانع شرعيا ، وعلى التقديرين إمّا أن يكون المانع يمنع عن الإتيان بجهة خاصّة معيّنة ، أو عن </w:t>
      </w:r>
      <w:r>
        <w:rPr>
          <w:rStyle w:val="FootnoteAnchor"/>
          <w:rtl w:val="true"/>
        </w:rPr>
        <w:footnoteReference w:id="1598"/>
      </w:r>
      <w:r>
        <w:rPr>
          <w:rFonts w:ascii="Amiri" w:hAnsi="Amiri" w:eastAsia="Amiri" w:cs="Amiri"/>
          <w:color w:val="111111"/>
          <w:sz w:val="28"/>
          <w:sz w:val="28"/>
          <w:szCs w:val="28"/>
          <w:rtl w:val="true"/>
          <w:lang w:bidi="ar-SA"/>
        </w:rPr>
        <w:t xml:space="preserve">جهة لا </w:t>
      </w:r>
    </w:p>
    <w:p>
      <w:pPr>
        <w:pStyle w:val="BookText"/>
        <w:rPr/>
      </w:pPr>
      <w:r>
        <w:rPr>
          <w:rFonts w:ascii="Amiri" w:hAnsi="Amiri" w:eastAsia="Amiri" w:cs="Amiri"/>
          <w:color w:val="111111"/>
          <w:sz w:val="28"/>
          <w:sz w:val="28"/>
          <w:szCs w:val="28"/>
          <w:rtl w:val="true"/>
          <w:lang w:bidi="ar-SA"/>
        </w:rPr>
        <w:t xml:space="preserve">بعينها </w:t>
      </w:r>
      <w:r>
        <w:rPr>
          <w:rStyle w:val="FootnoteAnchor"/>
          <w:rtl w:val="true"/>
        </w:rPr>
        <w:footnoteReference w:id="1599"/>
      </w:r>
      <w:r>
        <w:rPr>
          <w:rFonts w:ascii="Amiri" w:hAnsi="Amiri" w:eastAsia="Amiri" w:cs="Amiri"/>
          <w:color w:val="111111"/>
          <w:sz w:val="28"/>
          <w:sz w:val="28"/>
          <w:szCs w:val="28"/>
          <w:rtl w:val="true"/>
          <w:lang w:bidi="ar-SA"/>
        </w:rPr>
        <w:t xml:space="preserve">مردّدة بين الكلّ ، وعلى التقادير إمّا أن يكون الامتناع طارئا بعد أن كان الإتيان ممكنا في الجميع ، أو يمتنع الاحتياط الكلّي من أوّل الأمر ، فهذه صور ثمانية ، وحيث أن لا عبرة عندنا بالاستصحاب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لمنع </w:t>
      </w:r>
      <w:r>
        <w:rPr>
          <w:rStyle w:val="FootnoteAnchor"/>
          <w:rtl w:val="true"/>
        </w:rPr>
        <w:footnoteReference w:id="1600"/>
      </w:r>
      <w:r>
        <w:rPr>
          <w:rFonts w:ascii="Amiri" w:hAnsi="Amiri" w:eastAsia="Amiri" w:cs="Amiri"/>
          <w:color w:val="111111"/>
          <w:sz w:val="28"/>
          <w:sz w:val="28"/>
          <w:szCs w:val="28"/>
          <w:rtl w:val="true"/>
          <w:lang w:bidi="ar-SA"/>
        </w:rPr>
        <w:t xml:space="preserve">في </w:t>
      </w:r>
      <w:r>
        <w:rPr>
          <w:rStyle w:val="FootnoteAnchor"/>
          <w:rtl w:val="true"/>
        </w:rPr>
        <w:footnoteReference w:id="1601"/>
      </w:r>
      <w:r>
        <w:rPr>
          <w:rFonts w:ascii="Amiri" w:hAnsi="Amiri" w:eastAsia="Amiri" w:cs="Amiri"/>
          <w:color w:val="111111"/>
          <w:sz w:val="28"/>
          <w:sz w:val="28"/>
          <w:szCs w:val="28"/>
          <w:rtl w:val="true"/>
          <w:lang w:bidi="ar-SA"/>
        </w:rPr>
        <w:t xml:space="preserve">موضوعه ، أو عدم جريانه رأسا في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أن يكون الامتناع طارئا ، أو ثابتا من أوّل الأمر لظهور أنّ التقسيم </w:t>
      </w:r>
      <w:r>
        <w:rPr>
          <w:rStyle w:val="FootnoteAnchor"/>
          <w:rtl w:val="true"/>
        </w:rPr>
        <w:footnoteReference w:id="1602"/>
      </w:r>
      <w:r>
        <w:rPr>
          <w:rFonts w:ascii="Amiri" w:hAnsi="Amiri" w:eastAsia="Amiri" w:cs="Amiri"/>
          <w:color w:val="111111"/>
          <w:sz w:val="28"/>
          <w:sz w:val="28"/>
          <w:szCs w:val="28"/>
          <w:rtl w:val="true"/>
          <w:lang w:bidi="ar-SA"/>
        </w:rPr>
        <w:t xml:space="preserve">المذكور إنّما يثمر من حيث استصحاب الوجوب السابق على طريان الامتناع ، فيسقط التقسيم الأخير ، فيبقى الصور </w:t>
      </w:r>
      <w:r>
        <w:rPr>
          <w:rStyle w:val="FootnoteAnchor"/>
          <w:rtl w:val="true"/>
        </w:rPr>
        <w:footnoteReference w:id="1603"/>
      </w:r>
      <w:r>
        <w:rPr>
          <w:rFonts w:ascii="Amiri" w:hAnsi="Amiri" w:eastAsia="Amiri" w:cs="Amiri"/>
          <w:color w:val="111111"/>
          <w:sz w:val="28"/>
          <w:sz w:val="28"/>
          <w:szCs w:val="28"/>
          <w:rtl w:val="true"/>
          <w:lang w:bidi="ar-SA"/>
        </w:rPr>
        <w:t>أربعة ، مثال ذلك إجمالا الصلاة بالقبلة الواقعية بعد اشتباهها فإنّ قضية الاحتياط والإتيان بكلّ من المحتملات هو الصلاة على كلّ نقطة من الدائرة التي يكون المكلّف مركزها إلاّ أنّه لا يمكن الاحتياط على الوجه المذكور عقلا ، ثمّ شرعا بإسقاط الشارع بعض المحتملات وانحصار الجهات في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المثال المذكور باحتمال أن يكون القبلة للجاهل الشاكّ هو بين المغرب والمشرق مطلقا على وجه في أيّ جهة منه وقعت صحّت لوقوع الصلاة على القبلة الواقعية ، فلا إسقاط ، ولذا جوّز بعضهم الصلاة في جهات ثلاثة على أضلاع مثلّث مفروض عنده فإنّه على كلّ وجه اتّفق لا يخلو من أن يكون أحد أضلاعه في طرف من بين المغرب والمشرق كما لا يخفى ، فيقع الصلاة على القبلة الواقعية من غير إسقاط لبعض الأفراد والمحتملات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يمثّل بالاحتياط الكلّي في الفقه عند انسداد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تأمّل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يمثّل بالصلاة الفائتة المشتبهة بالخمس فإنّ الشارع قد أسقط بعض المحتملات ، وكيف كان ، فلو كان المانع عقليا وكان الممنوع منه فردا بعينها كما إذا أمر المولى بإكرام </w:t>
      </w:r>
    </w:p>
    <w:p>
      <w:pPr>
        <w:pStyle w:val="BookText"/>
        <w:rPr/>
      </w:pPr>
      <w:r>
        <w:rPr>
          <w:rFonts w:ascii="Amiri" w:hAnsi="Amiri" w:eastAsia="Amiri" w:cs="Amiri"/>
          <w:color w:val="111111"/>
          <w:sz w:val="28"/>
          <w:sz w:val="28"/>
          <w:szCs w:val="28"/>
          <w:rtl w:val="true"/>
          <w:lang w:bidi="ar-SA"/>
        </w:rPr>
        <w:t>زيد المردّد في أشخاص معلومة لا يمكن عقلا إكرام واحد معلوم منهم ، فالظاهر أنّ الحكم هو البراءة لرجوع الشكّ حينئذ إلى الشكّ في التكليف فإنّ بعد إسقاط واحد منهم يحتمل أن يكون هو الواقع ، فلا تكليف لعدم القدرة عليه ، ويحتمل أن يكون هو غيره فيبقى التكليف بحاله ، فبالحقيقة الشكّ إنّما هو في أصل التكليف وقد عرفت فيما تقدّم حكومة البراءة في مقام الشكّ في التكليف سواء كانت الشبهة بدوية عن أصلها أو راجعة إليها كما فيما نحن فيه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المانع عقليا لكن في فرد لا بعينها </w:t>
      </w:r>
      <w:r>
        <w:rPr>
          <w:rStyle w:val="FootnoteAnchor"/>
          <w:rtl w:val="true"/>
        </w:rPr>
        <w:footnoteReference w:id="1604"/>
      </w:r>
      <w:r>
        <w:rPr>
          <w:rFonts w:ascii="Amiri" w:hAnsi="Amiri" w:eastAsia="Amiri" w:cs="Amiri"/>
          <w:color w:val="111111"/>
          <w:sz w:val="28"/>
          <w:sz w:val="28"/>
          <w:szCs w:val="28"/>
          <w:rtl w:val="true"/>
          <w:lang w:bidi="ar-SA"/>
        </w:rPr>
        <w:t xml:space="preserve">فلا تكليف فيه أيضا ، إذ لا دليل على الاحتياط ولزوم الإتيان بجميع المحتملات سوى دليل الواقع والعلم بتعلّق التكليف الحقيقي الواقعي على الموضوع الواقعي ، ولذلك قلنا برجوع سائر وجوه </w:t>
      </w:r>
      <w:r>
        <w:rPr>
          <w:rStyle w:val="FootnoteAnchor"/>
          <w:rtl w:val="true"/>
        </w:rPr>
        <w:footnoteReference w:id="1605"/>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دفع الضرر ، ووجوب مقدّمة الواجب ، وقاعدة الاشتغال ، ونحوها إليه ، ويمتنع تعلّق الخطاب والتكليف بالمكلّف في الواقع فيما لا يمكن للمكلّف قصد الفعل على العنوان الذي قد أمر به فإنّ من شروط التكليف تمكّن المكلّف من قصد الامتثال وإرادة عنوان المأمور به على وجه يستند إلى اختياره من حيث إنّه مأمور به ، وفيما لو كان الممتنع جهة لا بعينها </w:t>
      </w:r>
      <w:r>
        <w:rPr>
          <w:rStyle w:val="FootnoteAnchor"/>
          <w:rtl w:val="true"/>
        </w:rPr>
        <w:footnoteReference w:id="1606"/>
      </w:r>
      <w:r>
        <w:rPr>
          <w:rFonts w:ascii="Amiri" w:hAnsi="Amiri" w:eastAsia="Amiri" w:cs="Amiri"/>
          <w:color w:val="111111"/>
          <w:sz w:val="28"/>
          <w:sz w:val="28"/>
          <w:szCs w:val="28"/>
          <w:rtl w:val="true"/>
          <w:lang w:bidi="ar-SA"/>
        </w:rPr>
        <w:t>لا يمكن قصد عنوان الفعل والامتثال به لعدم العلم به لا تفصيلا ولا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فظاهر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 الواقع فيما لو اشتبه بعدّة أفراد امتنع فرد منها لا بعينها </w:t>
      </w:r>
      <w:r>
        <w:rPr>
          <w:rStyle w:val="FootnoteAnchor"/>
          <w:rtl w:val="true"/>
        </w:rPr>
        <w:footnoteReference w:id="1607"/>
      </w:r>
      <w:r>
        <w:rPr>
          <w:rFonts w:ascii="Amiri" w:hAnsi="Amiri" w:eastAsia="Amiri" w:cs="Amiri"/>
          <w:color w:val="111111"/>
          <w:sz w:val="28"/>
          <w:sz w:val="28"/>
          <w:szCs w:val="28"/>
          <w:rtl w:val="true"/>
          <w:lang w:bidi="ar-SA"/>
        </w:rPr>
        <w:t xml:space="preserve">لا يعلم المكلّف بوقوعه في مقدوراته لاختلاف وجوه مقدوراته </w:t>
      </w:r>
      <w:r>
        <w:rPr>
          <w:rStyle w:val="FootnoteAnchor"/>
          <w:rtl w:val="true"/>
        </w:rPr>
        <w:footnoteReference w:id="1608"/>
      </w:r>
      <w:r>
        <w:rPr>
          <w:rFonts w:ascii="Amiri" w:hAnsi="Amiri" w:eastAsia="Amiri" w:cs="Amiri"/>
          <w:color w:val="111111"/>
          <w:sz w:val="28"/>
          <w:sz w:val="28"/>
          <w:szCs w:val="28"/>
          <w:rtl w:val="true"/>
          <w:lang w:bidi="ar-SA"/>
        </w:rPr>
        <w:t xml:space="preserve">باختلاف اختياراته ، فمرّة يختار الأفراد التي لا يقع فيها الواقع ، وأخرى يختار ما يقع فيها ، فالواقع لو حصل فهو إنّما لضرب من الاتّفاق ، فيكون خارجا عن تحت القدرة ، فلا يكون متعلّقا للأمر فإنّه </w:t>
      </w:r>
    </w:p>
    <w:p>
      <w:pPr>
        <w:pStyle w:val="BookText"/>
        <w:rPr/>
      </w:pPr>
      <w:r>
        <w:rPr>
          <w:rFonts w:ascii="Amiri" w:hAnsi="Amiri" w:eastAsia="Amiri" w:cs="Amiri"/>
          <w:color w:val="111111"/>
          <w:sz w:val="28"/>
          <w:sz w:val="28"/>
          <w:szCs w:val="28"/>
          <w:rtl w:val="true"/>
          <w:lang w:bidi="ar-SA"/>
        </w:rPr>
        <w:t xml:space="preserve">على ما تقرّر </w:t>
      </w:r>
      <w:r>
        <w:rPr>
          <w:rStyle w:val="FootnoteAnchor"/>
          <w:rtl w:val="true"/>
        </w:rPr>
        <w:footnoteReference w:id="1609"/>
      </w:r>
      <w:r>
        <w:rPr>
          <w:rFonts w:ascii="Amiri" w:hAnsi="Amiri" w:eastAsia="Amiri" w:cs="Amiri"/>
          <w:color w:val="111111"/>
          <w:sz w:val="28"/>
          <w:sz w:val="28"/>
          <w:szCs w:val="28"/>
          <w:rtl w:val="true"/>
          <w:lang w:bidi="ar-SA"/>
        </w:rPr>
        <w:t xml:space="preserve">سابقا بتبعية </w:t>
      </w:r>
      <w:r>
        <w:rPr>
          <w:rStyle w:val="FootnoteAnchor"/>
          <w:rtl w:val="true"/>
        </w:rPr>
        <w:footnoteReference w:id="1610"/>
      </w:r>
      <w:r>
        <w:rPr>
          <w:rFonts w:ascii="Amiri" w:hAnsi="Amiri" w:eastAsia="Amiri" w:cs="Amiri"/>
          <w:color w:val="111111"/>
          <w:sz w:val="28"/>
          <w:sz w:val="28"/>
          <w:szCs w:val="28"/>
          <w:rtl w:val="true"/>
          <w:lang w:bidi="ar-SA"/>
        </w:rPr>
        <w:t xml:space="preserve">الأحكام للحسن والقبح وهما من صفات العناوين اللاحقة لذوات الأفعال اختيارا ، والفعل بعنوانه المأمور به لا يصير اختياريا إلاّ بعد العلم به وقصده إمّا تفصيلا أو إجمالا ، وحيث لا علم فلا اختيار فلا تكليف ، وذلك ظاهر ، ولذلك قد حكموا بعدم بطلان الصوم فيما لو أكل الصائم ناسيا مع كون الأكل مختارا عامدا فيه وقاصدا له ، فإنّ وقوع ذات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بعنوان غير ما هو المعتبر في عنوان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صدق العنوان الذي هو المناط في ثبوت الحكم ، فالأكل بعنوان أنّه مفطر لو وقع من المكلّف بأن يعلم به ويقصده مبطل للصوم وموجب للقضاء مثلا بخلاف سائر وجوه الأكل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في الصورة المفروضة منفيّ لانتفاء شرطه وهو تمكّن المكلّف من الامتثال ، وليس هذا من أصل البراءة في شيء فإنّ أصالة البراءة تنفي تنجّز التكليف مع إمكان أصل التكليف في الواقع شأنا كما في الصورة الأولى بخلاف المقام فإنّ قضية عدم إمكان الامتثال عدم التكليف في الواقع كما في غير البالغ والعاجز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الصورتين في عدم إمكان قصد الامتثال للمكلّف كما عرفت في وجه الاستدلال بالبراءة فإنّ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استدلّه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إلاّ من حيث عدم إمكان قصد الامتثال للمكلّف فعلى هذا فلا بدّ إمّا من القول بأنّ الصورة الأولى أيضا ممّا يمكن به </w:t>
      </w:r>
      <w:r>
        <w:rPr>
          <w:rStyle w:val="FootnoteAnchor"/>
          <w:rtl w:val="true"/>
        </w:rPr>
        <w:footnoteReference w:id="1611"/>
      </w:r>
      <w:r>
        <w:rPr>
          <w:rFonts w:ascii="Amiri" w:hAnsi="Amiri" w:eastAsia="Amiri" w:cs="Amiri"/>
          <w:color w:val="111111"/>
          <w:sz w:val="28"/>
          <w:sz w:val="28"/>
          <w:szCs w:val="28"/>
          <w:rtl w:val="true"/>
          <w:lang w:bidi="ar-SA"/>
        </w:rPr>
        <w:t>التكليف لاشتراطه بإمكان قصد الامتثال بل وفي مطلق موارد البراءة ، وإمّا القول بجريان البراءة في الصورة المفروضة أيضا ، فلا وجه لتغيير الأسلوب في الاستدلال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ظاهر بين المقامين وبين الموردين فإنّ الشكّ في الأوّل إنّما هو في </w:t>
      </w:r>
    </w:p>
    <w:p>
      <w:pPr>
        <w:pStyle w:val="BookText"/>
        <w:rPr/>
      </w:pPr>
      <w:r>
        <w:rPr>
          <w:rFonts w:ascii="Amiri" w:hAnsi="Amiri" w:eastAsia="Amiri" w:cs="Amiri"/>
          <w:color w:val="111111"/>
          <w:sz w:val="28"/>
          <w:sz w:val="28"/>
          <w:szCs w:val="28"/>
          <w:rtl w:val="true"/>
          <w:lang w:bidi="ar-SA"/>
        </w:rPr>
        <w:t xml:space="preserve">التكليف بعد إمكان توجيه الخطاب ولو شأنا على تقدير </w:t>
      </w:r>
      <w:r>
        <w:rPr>
          <w:rStyle w:val="FootnoteAnchor"/>
          <w:rtl w:val="true"/>
        </w:rPr>
        <w:footnoteReference w:id="1612"/>
      </w:r>
      <w:r>
        <w:rPr>
          <w:rFonts w:ascii="Amiri" w:hAnsi="Amiri" w:eastAsia="Amiri" w:cs="Amiri"/>
          <w:color w:val="111111"/>
          <w:sz w:val="28"/>
          <w:sz w:val="28"/>
          <w:szCs w:val="28"/>
          <w:rtl w:val="true"/>
          <w:lang w:bidi="ar-SA"/>
        </w:rPr>
        <w:t>لم يكن الفرد الممتنع هو الواقع فإنّ العلم وإن كان من شروط التكليف إلاّ أنّه بعدمه لا يتغيّر عنوان التكليف لما تقرّر من أنّ العلم والجهل ليسا من الوجوه المغيّرة للأحكام بخلاف سائر شرائط التكليف كالعجز والقدرة والبلوغ والصباوة فإنّ الموضوع فيها مختلف كما لا يخفى ، وفي الثاني يمتنع تعلّق التكليف الواقعي لامتناع شرطه وهو القصد إلى الفعل المأمور به على وجه يكون الداعي هو الأمر ، وهذا وإن كان موجودا في الأوّل أيضا إلاّ أنّه إنّما امتنع بواسطة الجهل بالتكليف ، وفي المقام امتنع التكليف لامتناع القصد ، فعدم إمكان القصد في الأوّل متفرّع على عدم العلم بالتكليف ، وعدم التكليف في الثاني متفرّع على امتناع القصد ، والفرق ظاهر بين المقامين ، ومحصّل الفرق أنّ الصورة الأولى مع عدم العلم بوجود المكلّف به في مقدوراته يصحّ التكليف على تقدير وجوده فيها شأنا إلاّ أنّ عدم العلم به عذر في مقام الظاهر ، والصورة الثانية مع العلم بوجود المكلّف به في الاحتمالات التي أحدها غير مقدور للمكلّف لا يصحّ التكليف لتردّدها بين الواقع وعدمه ، فالجهات الممكنة لا يعلم بإمكانها ومقدوريتها ، إلاّ بعد وقوعها وصدورها منه وبعد الوقوع لو حصل الواقع ، فلم يكن المكلّف مختارا في صدوره مريدا عنوان الفعل ولو إجمالا ، فتدبّر في المقام ، كي لا يشتبه عليك المرام هذا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الواقعي المتعلّق بالموضوع الواقعي وإن امتنع تعلّقه بالمكلّف في حال عدم العلم بقدرته للمكلّف به إلاّ أنّه يمكن استفادة مطلوبية الفعل ومحبوبيته في نفسه وإن لم يكن الطلب متعلّقا به من وجوه خارجة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وأمثال ذلك من الأمور التي يمكن استفادة أمثال ذلك منه كما لا يخفى على المتدرّب </w:t>
      </w:r>
      <w:r>
        <w:rPr>
          <w:rStyle w:val="FootnoteAnchor"/>
          <w:rtl w:val="true"/>
        </w:rPr>
        <w:footnoteReference w:id="1614"/>
      </w:r>
      <w:r>
        <w:rPr>
          <w:rFonts w:ascii="Amiri" w:hAnsi="Amiri" w:eastAsia="Amiri" w:cs="Amiri"/>
          <w:color w:val="111111"/>
          <w:sz w:val="28"/>
          <w:sz w:val="28"/>
          <w:szCs w:val="28"/>
          <w:rtl w:val="true"/>
          <w:lang w:bidi="ar-SA"/>
        </w:rPr>
        <w:t>في فنون الاستنباطات من وجوه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الواقع وإن كان لا يمكن تعلّقه بالفعل في هذه الحالة إلاّ أنّه ليس إلاّ من جهة قصور </w:t>
      </w:r>
      <w:r>
        <w:rPr>
          <w:rStyle w:val="FootnoteAnchor"/>
          <w:rtl w:val="true"/>
        </w:rPr>
        <w:footnoteReference w:id="1615"/>
      </w:r>
      <w:r>
        <w:rPr>
          <w:rFonts w:ascii="Amiri" w:hAnsi="Amiri" w:eastAsia="Amiri" w:cs="Amiri"/>
          <w:color w:val="111111"/>
          <w:sz w:val="28"/>
          <w:sz w:val="28"/>
          <w:szCs w:val="28"/>
          <w:rtl w:val="true"/>
          <w:lang w:bidi="ar-SA"/>
        </w:rPr>
        <w:t xml:space="preserve">في الطلب بحيث لا يصحّ تعلّقه بمطلوب غير معلوم ، وإلاّ فالفعل يشمل على صفة المحبوبية وإن لم يمكن طلبه ولذلك تراهم يحكمون باستحباب صلاة الظهر بخصوصه مثلا على الصبيّ حيث إنّ الأمر به يكشف عن وجود المصلحة الكامنة في الطبيعة المطلقة على ما هو الموضوع له اللفظ </w:t>
      </w:r>
      <w:r>
        <w:rPr>
          <w:rStyle w:val="FootnoteAnchor"/>
          <w:rtl w:val="true"/>
        </w:rPr>
        <w:footnoteReference w:id="1616"/>
      </w:r>
      <w:r>
        <w:rPr>
          <w:rFonts w:ascii="Amiri" w:hAnsi="Amiri" w:eastAsia="Amiri" w:cs="Amiri"/>
          <w:color w:val="111111"/>
          <w:sz w:val="28"/>
          <w:sz w:val="28"/>
          <w:szCs w:val="28"/>
          <w:rtl w:val="true"/>
          <w:lang w:bidi="ar-SA"/>
        </w:rPr>
        <w:t xml:space="preserve">في المادّة إلاّ أنّ الطلب من الصبيّ ممّا يمنع منه المانع ولو شرعا ، ولا فرق في ذلك بين أن يكون المانع من تعلّق الطلب شرعيا كما في الصبيّ أو عقليا كما فيما نحن بصدده ، وهذا طريق واسع في استنباط المطالب من الألفاظ الدالّة على الطلب وإن قصر الطلب من تمام المقصود كما نبّهنا عليه في عدّة مقامات ، وستطّلع فيما سيأتي إن شاء اللّه </w:t>
      </w:r>
      <w:r>
        <w:rPr>
          <w:rStyle w:val="FootnoteAnchor"/>
          <w:rtl w:val="true"/>
        </w:rPr>
        <w:footnoteReference w:id="1617"/>
      </w:r>
      <w:r>
        <w:rPr>
          <w:rFonts w:ascii="Amiri" w:hAnsi="Amiri" w:eastAsia="Amiri" w:cs="Amiri"/>
          <w:color w:val="111111"/>
          <w:sz w:val="28"/>
          <w:sz w:val="28"/>
          <w:szCs w:val="28"/>
          <w:rtl w:val="true"/>
          <w:lang w:bidi="ar-SA"/>
        </w:rPr>
        <w:t>على نظير المقام ، وهذا كلّه فيما إذا كان المانع من الإتيان بجميع الأفراد عقليا بقسميه من المنع عن جهة معينة أو غيرها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لو كان المانع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الممنوع منه فردا معلوما معيّنا أو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على وجوه ، فتارة يكون حكم الشارع كاشفا عن أنّ الواقع في جهة </w:t>
      </w:r>
      <w:r>
        <w:rPr>
          <w:rStyle w:val="FootnoteAnchor"/>
          <w:rtl w:val="true"/>
        </w:rPr>
        <w:footnoteReference w:id="1618"/>
      </w:r>
      <w:r>
        <w:rPr>
          <w:rFonts w:ascii="Amiri" w:hAnsi="Amiri" w:eastAsia="Amiri" w:cs="Amiri"/>
          <w:color w:val="111111"/>
          <w:sz w:val="28"/>
          <w:sz w:val="28"/>
          <w:szCs w:val="28"/>
          <w:rtl w:val="true"/>
          <w:lang w:bidi="ar-SA"/>
        </w:rPr>
        <w:t xml:space="preserve">غيره ولا إشكال فيه لكونه دليلا اجتهاديا مشخّصا لموضوع الأمر في الجملة ، وأخرى يحكم الشارع بحرمة الجهة الممنوعة فإن كان في غير الفرد المحرّم العلم الإجمالي باقيا فله حكمه من لزوم امتثاله كما في غيره أيضا من الموانع العقلية ، وذلك مثل أنّ الشارع قد نهى عن القياس وحرّم العمل به مع أنّ الاحتياط الكلّي على تقدير الانسداد قاض بالعمل بالمظنونات وسائر السلاسل مطلقا فإنّ بعد المنع عن القياس لا يرتفع العلم الإجمالي من بين سائر السلاسل مظنونا ومشكوكا وموهوما ، فيجب الاحتياط لوجود المقتضي وعدم المانع ، وإن لم يكن في الجهات الباقية </w:t>
      </w:r>
    </w:p>
    <w:p>
      <w:pPr>
        <w:pStyle w:val="BookText"/>
        <w:rPr/>
      </w:pPr>
      <w:r>
        <w:rPr>
          <w:rFonts w:ascii="Amiri" w:hAnsi="Amiri" w:eastAsia="Amiri" w:cs="Amiri"/>
          <w:color w:val="111111"/>
          <w:sz w:val="28"/>
          <w:sz w:val="28"/>
          <w:szCs w:val="28"/>
          <w:rtl w:val="true"/>
          <w:lang w:bidi="ar-SA"/>
        </w:rPr>
        <w:t xml:space="preserve">والمحتملات الغير الممنوع منها علم إجمالي على وجه يتردّد التكليف بين أن يكون متعلّقا في الواقع بالفرد المحرّم أو بغيره فهو كالمانع العقلي على قسميه ولا كلام فيه ، وإنّما الكلام فيما إذا أسقط الشارع بعض المحتملات لمصلحة في نفس الإسقاط على وجه يحتمل أن يكون الواقع فيما أسقطه معيّنا ، أو جوّز ترك البعض ولو بحسب الاختيار مع عدم العلم الإجمالي في المحتملات الباقية في الصورتين فإنّه يحتمل </w:t>
      </w:r>
      <w:r>
        <w:rPr>
          <w:rStyle w:val="FootnoteAnchor"/>
          <w:rtl w:val="true"/>
        </w:rPr>
        <w:footnoteReference w:id="1619"/>
      </w:r>
      <w:r>
        <w:rPr>
          <w:rFonts w:ascii="Amiri" w:hAnsi="Amiri" w:eastAsia="Amiri" w:cs="Amiri"/>
          <w:color w:val="111111"/>
          <w:sz w:val="28"/>
          <w:sz w:val="28"/>
          <w:szCs w:val="28"/>
          <w:rtl w:val="true"/>
          <w:lang w:bidi="ar-SA"/>
        </w:rPr>
        <w:t xml:space="preserve">أن يكون كالمانع العقلي إلاّ أنّ التحقيق خلافه نظرا إلى أنّ الشارع إنّما جعل امتثال الواقع فيه كما في جميع الطرق الظنّية اجتهادية وتعبّدية فكأنّ الشارع اكتفى عن الواقع فيما لم يصادفه المكلّف بالأفراد الباقية و </w:t>
      </w:r>
      <w:r>
        <w:rPr>
          <w:rStyle w:val="FootnoteAnchor"/>
          <w:rtl w:val="true"/>
        </w:rPr>
        <w:footnoteReference w:id="1620"/>
      </w:r>
      <w:r>
        <w:rPr>
          <w:rFonts w:ascii="Amiri" w:hAnsi="Amiri" w:eastAsia="Amiri" w:cs="Amiri"/>
          <w:color w:val="111111"/>
          <w:sz w:val="28"/>
          <w:sz w:val="28"/>
          <w:szCs w:val="28"/>
          <w:rtl w:val="true"/>
          <w:lang w:bidi="ar-SA"/>
        </w:rPr>
        <w:t>بالإطاعة فيها ، فالباقي واقع جعلي كالبدل لكن لا على وجه يكون المصلحة فيه في حيال مصلحة الواقع ، ولا على وجه التقييد كما زعمه البعض ، بل على وجه يكون جعل الطريق من متمّمات مصلحة الواقع ، فهو لطف آخر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إشكال في أنّ الواجب على هذا التقدير الإتيان بالجهات الباقية والأفراد المحتملة ، وإنّما الإشكال في كيفية جعل الباقي بدلا عن الواقع مع إمكان تحصيل الواقع ، وهذا إشكال سار في غير المقام من الطرق المجعولة في مقام الظاهر كاليد والاستصحاب والبيّنة فإنّ مع إمكان الرجوع إلى فتوى المجتهد وأخذها منه يصحّ الأخذ من العادل ، ومع إمكان الطهارة الواقعية يصحّ الاكتفاء بالطهارة الاستصحابية ، ولقد نبّهنا على دفعه فيما تقدّم في مباحث الظنّ في دفع مقالة المانع من التعبّد بخبر الواحد ، فعليك بالتأمّل التامّ ، كي تهتدي بالمرام ، فإنّه من مزالّ الأقدام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ما كان المانع عقليا وبين ما كان شرعيا ظاهر ؛ لعدم حكومة العقل بجعل الباقي بدلا بخلاف الشرع فإنّ المستفاد من وجوب الواقع لدليله </w:t>
      </w:r>
      <w:r>
        <w:rPr>
          <w:rStyle w:val="FootnoteAnchor"/>
          <w:rtl w:val="true"/>
        </w:rPr>
        <w:footnoteReference w:id="1621"/>
      </w:r>
      <w:r>
        <w:rPr>
          <w:rFonts w:ascii="Amiri" w:hAnsi="Amiri" w:eastAsia="Amiri" w:cs="Amiri"/>
          <w:color w:val="111111"/>
          <w:sz w:val="28"/>
          <w:sz w:val="28"/>
          <w:szCs w:val="28"/>
          <w:rtl w:val="true"/>
          <w:lang w:bidi="ar-SA"/>
        </w:rPr>
        <w:t xml:space="preserve">وحكم </w:t>
      </w:r>
    </w:p>
    <w:p>
      <w:pPr>
        <w:pStyle w:val="BookText"/>
        <w:rPr/>
      </w:pPr>
      <w:r>
        <w:rPr>
          <w:rFonts w:ascii="Amiri" w:hAnsi="Amiri" w:eastAsia="Amiri" w:cs="Amiri"/>
          <w:color w:val="111111"/>
          <w:sz w:val="28"/>
          <w:sz w:val="28"/>
          <w:szCs w:val="28"/>
          <w:rtl w:val="true"/>
          <w:lang w:bidi="ar-SA"/>
        </w:rPr>
        <w:t xml:space="preserve">الشارع بسقوط البعض مع تنجّز التكليف المستفاد من دليل الواقع هو الاكتفاء عن الواقع </w:t>
      </w:r>
      <w:r>
        <w:rPr>
          <w:rStyle w:val="FootnoteAnchor"/>
          <w:rtl w:val="true"/>
        </w:rPr>
        <w:footnoteReference w:id="1622"/>
      </w:r>
      <w:r>
        <w:rPr>
          <w:rFonts w:ascii="Amiri" w:hAnsi="Amiri" w:eastAsia="Amiri" w:cs="Amiri"/>
          <w:color w:val="111111"/>
          <w:sz w:val="28"/>
          <w:sz w:val="28"/>
          <w:szCs w:val="28"/>
          <w:rtl w:val="true"/>
          <w:lang w:bidi="ar-SA"/>
        </w:rPr>
        <w:t xml:space="preserve">بالباقي لئلاّ يلزم التناقض بين حكم العقل بوجوب الامتثال للأمر المنجّز </w:t>
      </w:r>
      <w:r>
        <w:rPr>
          <w:rStyle w:val="FootnoteAnchor"/>
          <w:rtl w:val="true"/>
        </w:rPr>
        <w:footnoteReference w:id="1623"/>
      </w:r>
      <w:r>
        <w:rPr>
          <w:rFonts w:ascii="Amiri" w:hAnsi="Amiri" w:eastAsia="Amiri" w:cs="Amiri"/>
          <w:color w:val="111111"/>
          <w:sz w:val="28"/>
          <w:sz w:val="28"/>
          <w:szCs w:val="28"/>
          <w:rtl w:val="true"/>
          <w:lang w:bidi="ar-SA"/>
        </w:rPr>
        <w:t xml:space="preserve">في حقّنا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وحكم الشرع بسقوط البعض ، واحتمال عدم التنجّز للجهل بالتكليف واه جدّا كما عرفت ، هذا تمام الكلام في الشبهة الوجوبية الموضوعية فيما كان الشكّ في المكلّف به لو كان أطراف الشبهة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فيها ما لو كانت أطرافها الأقلّ والأكثر فإن كان الطرفان استقلاليين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علمنا بفوات عدّة من الصلوات وشككنا في أنّ الفائت منها هو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عموم أخبار الباب هو التعويل على البراءة لأنّ الأقلّ متيقّن تفصيلا ، وما زاد عليه مشكوك كذلك ، فرجع </w:t>
      </w:r>
      <w:r>
        <w:rPr>
          <w:rStyle w:val="FootnoteAnchor"/>
          <w:rtl w:val="true"/>
        </w:rPr>
        <w:footnoteReference w:id="1625"/>
      </w:r>
      <w:r>
        <w:rPr>
          <w:rFonts w:ascii="Amiri" w:hAnsi="Amiri" w:eastAsia="Amiri" w:cs="Amiri"/>
          <w:color w:val="111111"/>
          <w:sz w:val="28"/>
          <w:sz w:val="28"/>
          <w:szCs w:val="28"/>
          <w:rtl w:val="true"/>
          <w:lang w:bidi="ar-SA"/>
        </w:rPr>
        <w:t xml:space="preserve">الشكّ إلى نفس التكليف كما في جميع موارد البراءة إلاّ أنّ المعهود من أصحابنا الفقهاء هو الحكم بوجوب إتيان ما به يحصل العلم بفراغ الذمّة في خصوص المسألة ، ولذلك ناقشهم صاحب المدارك </w:t>
      </w:r>
      <w:r>
        <w:rPr>
          <w:rStyle w:val="FootnoteAnchor"/>
          <w:rtl w:val="true"/>
        </w:rPr>
        <w:footnoteReference w:id="1626"/>
      </w:r>
      <w:r>
        <w:rPr>
          <w:rFonts w:ascii="Amiri" w:hAnsi="Amiri" w:eastAsia="Amiri" w:cs="Amiri"/>
          <w:color w:val="111111"/>
          <w:sz w:val="28"/>
          <w:sz w:val="28"/>
          <w:szCs w:val="28"/>
          <w:rtl w:val="true"/>
          <w:lang w:bidi="ar-SA"/>
        </w:rPr>
        <w:t>بأنّ القاعدة تقضي بخلافه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ذلك بين أن يكون الأكثر أو الأقلّ من طرفي الشبهة ممّا يمكن احصاؤه عرفا وعادة ، وبين ما لا يمكن ، وحكمهم بوجوب تحصيل العلم بالفراغ إنّما هو في الثاني دون الأوّل ، ولعلّه مستفاد من فحوى الأخبار الدالّة على ذلك في النوافل بعد اعتضادها بفتوى المشهور وإن كانا ارتباطيين كما إذا نذر صوم بين هلالي رجب وشعبان وشكّ في يوم أنّه هل من الرجب أو لا ، فقضيّة الاشتغال تحصيل البراءة التي لا يعلم إلاّ بالاحتياط ، وذلك وإن قطع النظر عن الأصول الموضوعية التي يجري في </w:t>
      </w:r>
    </w:p>
    <w:p>
      <w:pPr>
        <w:pStyle w:val="BookText"/>
        <w:rPr/>
      </w:pPr>
      <w:r>
        <w:rPr>
          <w:rFonts w:ascii="Amiri" w:hAnsi="Amiri" w:eastAsia="Amiri" w:cs="Amiri"/>
          <w:color w:val="111111"/>
          <w:sz w:val="28"/>
          <w:sz w:val="28"/>
          <w:szCs w:val="28"/>
          <w:rtl w:val="true"/>
          <w:lang w:bidi="ar-SA"/>
        </w:rPr>
        <w:t>المقام كأصالة عدم دخول شعبان وعدم خروج رجب نظرا إلى احتمال عدم التعويل عليها في الزمان وغيره من الموجودات المتدرّجة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فالقاعدة في مثل المقام تقضي بالاشتغال وإن لم نقل به في نظير المقام في الشبهة الحكمية على ما ستعرف تفصيل الكلام فيها فيما سيأتي إن شاء اللّه</w:t>
      </w:r>
      <w:r>
        <w:rPr>
          <w:rFonts w:eastAsia="Amiri" w:cs="Amiri" w:ascii="Amiri" w:hAnsi="Amiri"/>
          <w:color w:val="111111"/>
          <w:sz w:val="28"/>
          <w:szCs w:val="28"/>
          <w:rtl w:val="true"/>
          <w:lang w:bidi="ar-SA"/>
        </w:rPr>
        <w:t xml:space="preserve">. </w:t>
      </w:r>
      <w:bookmarkStart w:id="173" w:name="pg16273_211817"/>
    </w:p>
    <w:p>
      <w:pPr>
        <w:pStyle w:val="Heading3"/>
        <w:numPr>
          <w:ilvl w:val="2"/>
          <w:numId w:val="1"/>
        </w:numPr>
        <w:rPr/>
      </w:pPr>
      <w:bookmarkStart w:id="174" w:name="__RefHeading___Toc4803576_1280447820"/>
      <w:bookmarkStart w:id="175" w:name="_Toc60"/>
      <w:bookmarkEnd w:id="173"/>
      <w:bookmarkEnd w:id="174"/>
      <w:r>
        <w:rPr>
          <w:rtl w:val="true"/>
        </w:rPr>
        <w:t xml:space="preserve">أصل </w:t>
      </w:r>
      <w:r>
        <w:rPr>
          <w:rtl w:val="true"/>
        </w:rPr>
        <w:t xml:space="preserve">[ </w:t>
      </w:r>
      <w:r>
        <w:rPr>
          <w:rtl w:val="true"/>
        </w:rPr>
        <w:t xml:space="preserve">في الشبهة الموضوعية التحريمية من الشكّ في المكلّف به </w:t>
      </w:r>
      <w:r>
        <w:rPr>
          <w:rtl w:val="true"/>
        </w:rPr>
        <w:t>]</w:t>
      </w:r>
      <w:bookmarkEnd w:id="175"/>
    </w:p>
    <w:p>
      <w:pPr>
        <w:pStyle w:val="Heading4"/>
        <w:numPr>
          <w:ilvl w:val="3"/>
          <w:numId w:val="1"/>
        </w:numPr>
        <w:rPr/>
      </w:pPr>
      <w:bookmarkStart w:id="176" w:name="__RefHeading___Toc4803578_1280447820"/>
      <w:bookmarkStart w:id="177" w:name="_Toc61"/>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في الشبهة الموضوعية التحريمية فتارة فيما إذا كان الشكّ بين الأقلّ والأكثر كما إذا حرّم على نفسه الصوم بين الهلالين وشكّ في حرمة الزائد ، فالبراءة محكّمة لرجوع الشكّ في الزائد إلى مجرّد التكليف كذا أفيد ، ولعلّ التفصيل بين الارتباطي والاستقلالي في محلّه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فيما إذا كانا متباينين وهذه الصورة هي المسمّاة عندهم بالشبهة المحصورة والأمثلة كثيرة فوق حدّ الإحصاء لكن إذا كان أطراف محصورة على ما ستعرف تفصيل الكلام في تحديدها وتحديد ما يقابلها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صورة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1627"/>
      </w:r>
      <w:r>
        <w:rPr>
          <w:rFonts w:ascii="Amiri" w:hAnsi="Amiri" w:eastAsia="Amiri" w:cs="Amiri"/>
          <w:color w:val="111111"/>
          <w:sz w:val="28"/>
          <w:sz w:val="28"/>
          <w:szCs w:val="28"/>
          <w:rtl w:val="true"/>
          <w:lang w:bidi="ar-SA"/>
        </w:rPr>
        <w:t xml:space="preserve">إذا خلط الماء المباح بالمحرّم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w:t>
      </w:r>
      <w:r>
        <w:rPr>
          <w:rStyle w:val="FootnoteAnchor"/>
          <w:rtl w:val="true"/>
        </w:rPr>
        <w:footnoteReference w:id="1628"/>
      </w:r>
      <w:r>
        <w:rPr>
          <w:rFonts w:ascii="Amiri" w:hAnsi="Amiri" w:eastAsia="Amiri" w:cs="Amiri"/>
          <w:color w:val="111111"/>
          <w:sz w:val="28"/>
          <w:sz w:val="28"/>
          <w:szCs w:val="28"/>
          <w:rtl w:val="true"/>
          <w:lang w:bidi="ar-SA"/>
        </w:rPr>
        <w:t>عن النزاع فإنّه لم يذهب وهم إلى عدم تحريمه وجواز التصرّف فيه كما لا يخفى ، وإنّما الكلام في غير صورة المزج</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803580_1280447820"/>
      <w:bookmarkStart w:id="179" w:name="_Toc62"/>
      <w:bookmarkEnd w:id="178"/>
      <w:r>
        <w:rPr>
          <w:rtl w:val="true"/>
        </w:rPr>
        <w:t xml:space="preserve">وتحقيق المقام في موردين </w:t>
      </w:r>
      <w:r>
        <w:rPr>
          <w:rtl w:val="true"/>
        </w:rPr>
        <w:t>:</w:t>
      </w:r>
      <w:bookmarkEnd w:id="179"/>
    </w:p>
    <w:p>
      <w:pPr>
        <w:pStyle w:val="Heading5"/>
        <w:numPr>
          <w:ilvl w:val="4"/>
          <w:numId w:val="1"/>
        </w:numPr>
        <w:rPr/>
      </w:pPr>
      <w:bookmarkStart w:id="180" w:name="__RefHeading___Toc4803582_1280447820"/>
      <w:bookmarkStart w:id="181" w:name="_Toc63"/>
      <w:bookmarkEnd w:id="180"/>
      <w:r>
        <w:rPr>
          <w:rtl w:val="true"/>
        </w:rPr>
        <w:t>المورد الأوّل</w:t>
      </w:r>
      <w:bookmarkEnd w:id="18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المخالفة القطعية بارتكاب الجميع ، أو لا يجوز؟ وجهان ، والحقّ هو الثاني </w:t>
      </w:r>
    </w:p>
    <w:p>
      <w:pPr>
        <w:pStyle w:val="BookText"/>
        <w:rPr/>
      </w:pPr>
      <w:r>
        <w:rPr>
          <w:rFonts w:ascii="IRNazanin" w:hAnsi="IRNazanin" w:eastAsia="IRNazanin"/>
          <w:color w:val="111111"/>
          <w:sz w:val="28"/>
          <w:sz w:val="28"/>
          <w:szCs w:val="28"/>
          <w:rtl w:val="true"/>
          <w:lang w:bidi="fa-IR"/>
        </w:rPr>
        <w:t xml:space="preserve">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من العلماء في عدّة موارد من كتاب الأطعمة والأشربة وغيره على ما لا يخفى على المتدرّب في كلماتهم المتتبّع فيها بل لم نجد مصرّحا بجواز المخالفة القطعية في المقام عدى ما يظهر من العلاّمة المجلسي رحمه‌اللّه على ما حكاه المحقّق القمّي رحمه‌اللّه </w:t>
      </w:r>
      <w:r>
        <w:rPr>
          <w:rStyle w:val="FootnoteAnchor"/>
          <w:rtl w:val="true"/>
        </w:rPr>
        <w:footnoteReference w:id="1629"/>
      </w:r>
      <w:r>
        <w:rPr>
          <w:rFonts w:ascii="Amiri" w:hAnsi="Amiri" w:eastAsia="Amiri" w:cs="Amiri"/>
          <w:color w:val="111111"/>
          <w:sz w:val="28"/>
          <w:sz w:val="28"/>
          <w:szCs w:val="28"/>
          <w:rtl w:val="true"/>
          <w:lang w:bidi="ar-SA"/>
        </w:rPr>
        <w:t>إلاّ أنّه غير صريح في الدعوى بل ربّما يمكن الاستظهار منه بأنّه إنّما مجرّد تقوية الدليل ، وأمّا الفتوى كما هو الأصل في استكشاف الإجماع ، فلا دلالة في كلامه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الأدلّة الدالّة على وجوب الموافقة القطعية كما سترد عليك تفاصيلها فإنّ وجوب الموافقة إنّما هو بعد إحراز عدم المخالفة ، فالدليل عليها قاض به أيضا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الأجلّة </w:t>
      </w:r>
      <w:r>
        <w:rPr>
          <w:rStyle w:val="FootnoteAnchor"/>
          <w:rtl w:val="true"/>
        </w:rPr>
        <w:footnoteReference w:id="1630"/>
      </w:r>
      <w:r>
        <w:rPr>
          <w:rFonts w:ascii="Amiri" w:hAnsi="Amiri" w:eastAsia="Amiri" w:cs="Amiri"/>
          <w:color w:val="111111"/>
          <w:sz w:val="28"/>
          <w:sz w:val="28"/>
          <w:szCs w:val="28"/>
          <w:rtl w:val="true"/>
          <w:lang w:bidi="ar-SA"/>
        </w:rPr>
        <w:t xml:space="preserve">من أنّ فتح هذا الباب يؤدّي إلى رفع العصمة عن الأموال والفروج والدماء لأنّ الاختلاط بين الحلال والحرام جائز ، وبعد الاشتباه ارتكابه أيضا جائز لجواز المخالفة </w:t>
      </w:r>
      <w:r>
        <w:rPr>
          <w:rStyle w:val="FootnoteAnchor"/>
          <w:rtl w:val="true"/>
        </w:rPr>
        <w:footnoteReference w:id="1631"/>
      </w:r>
      <w:r>
        <w:rPr>
          <w:rFonts w:ascii="Amiri" w:hAnsi="Amiri" w:eastAsia="Amiri" w:cs="Amiri"/>
          <w:color w:val="111111"/>
          <w:sz w:val="28"/>
          <w:sz w:val="28"/>
          <w:szCs w:val="28"/>
          <w:rtl w:val="true"/>
          <w:lang w:bidi="ar-SA"/>
        </w:rPr>
        <w:t xml:space="preserve">القطعية ، فيجوز لجماعة اجتمعوا على أرغف مغصوبة إذا وضعوا فيها رغيفا مباحا على وجه حصل الاشتباه بينه وبينها ولو لعارض كالظلمة أن يتناول كلّ واحد منهم رغيفا ، وفيما لو صادفوا امرأة واشتبه على كلّ واحد منهم كونها زوجته ، أو أجنبية أن يحلّ لهم وطيها على التعاقب مع تخلّل العدّة إن كانت من ذواتها ، وإلاّ فبدونها </w:t>
      </w:r>
      <w:r>
        <w:rPr>
          <w:rStyle w:val="FootnoteAnchor"/>
          <w:rtl w:val="true"/>
        </w:rPr>
        <w:footnoteReference w:id="1632"/>
      </w:r>
      <w:r>
        <w:rPr>
          <w:rFonts w:ascii="Amiri" w:hAnsi="Amiri" w:eastAsia="Amiri" w:cs="Amiri"/>
          <w:color w:val="111111"/>
          <w:sz w:val="28"/>
          <w:sz w:val="28"/>
          <w:szCs w:val="28"/>
          <w:rtl w:val="true"/>
          <w:lang w:bidi="ar-SA"/>
        </w:rPr>
        <w:t xml:space="preserve">، وفيما لو صادف </w:t>
      </w:r>
      <w:r>
        <w:rPr>
          <w:rStyle w:val="FootnoteAnchor"/>
          <w:rtl w:val="true"/>
        </w:rPr>
        <w:footnoteReference w:id="1633"/>
      </w:r>
      <w:r>
        <w:rPr>
          <w:rFonts w:ascii="Amiri" w:hAnsi="Amiri" w:eastAsia="Amiri" w:cs="Amiri"/>
          <w:color w:val="111111"/>
          <w:sz w:val="28"/>
          <w:sz w:val="28"/>
          <w:szCs w:val="28"/>
          <w:rtl w:val="true"/>
          <w:lang w:bidi="ar-SA"/>
        </w:rPr>
        <w:t xml:space="preserve">جماعة من المسلمين فيهم رجل مباح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واشتبه بينهم ولو لعارض </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 xml:space="preserve">أن يجوز لكلّ واحد أن يباشر قتل واحد منهم بل وذلك سار فيما لو أراد وطي الأجنبية ، أو قتل المسلم ، أو أكل مال </w:t>
      </w:r>
    </w:p>
    <w:p>
      <w:pPr>
        <w:pStyle w:val="BookText"/>
        <w:rPr/>
      </w:pPr>
      <w:r>
        <w:rPr>
          <w:rFonts w:ascii="Amiri" w:hAnsi="Amiri" w:eastAsia="Amiri" w:cs="Amiri"/>
          <w:color w:val="111111"/>
          <w:sz w:val="28"/>
          <w:sz w:val="28"/>
          <w:szCs w:val="28"/>
          <w:rtl w:val="true"/>
          <w:lang w:bidi="ar-SA"/>
        </w:rPr>
        <w:t xml:space="preserve">الغير ، أو شرب الخمر بإحداثه الاشتباه بين الحلال والحرام ، ويكرّر العمل في الكلّ إلى أن يصادف الحرام الواقعي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أنّ عدم جواز المخالفة القطعية يوجب ذلك ولو مع قطع النظر عن إرادة الوقوع في المحرّم كما يساعد عليه أوّل كلامه ، فغير سديد لجواز اختلاف الأحكام باختلاف الموضوعات كما يرشد إليه جواز استعمال الحيل الشرعية في الأحكام الفرعية وغيرها فإنّ القائل بجواز المخالفة لا بدّ له من تصرّف على وجه يلازم اختلاف الموضوع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مذاق الشرع عدم جواز استعمال تلك الحيل في تلك الموارد ، وعلى تقديره فلا كلام فيه لخروجه عن محلّ الكلام فإنّ الكلام ممحّض من جهة اقتضاء القاعدة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 ارتكاب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ممّا تستند إلى اختيار المكلّف ، أو لا من حيث إيصاله </w:t>
      </w:r>
      <w:r>
        <w:rPr>
          <w:rStyle w:val="FootnoteAnchor"/>
          <w:rtl w:val="true"/>
        </w:rPr>
        <w:footnoteReference w:id="1636"/>
      </w:r>
      <w:r>
        <w:rPr>
          <w:rFonts w:ascii="Amiri" w:hAnsi="Amiri" w:eastAsia="Amiri" w:cs="Amiri"/>
          <w:color w:val="111111"/>
          <w:sz w:val="28"/>
          <w:sz w:val="28"/>
          <w:szCs w:val="28"/>
          <w:rtl w:val="true"/>
          <w:lang w:bidi="ar-SA"/>
        </w:rPr>
        <w:t xml:space="preserve">إلى الحرام الواقعي بحيث يكون ارتكاب كلّ واحد من المشتبهات مقدّمة للوصول إلى الحرام كما في صورة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ذلك ، فغير مفيد لاستقلال العقل بحرمة الارتكاب على هذا الوجه فإنّه من أعظم أقسام التجرّي وأعلاها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يلتزم القائل بجواز المخالفة القطعية بذلك على الوجه المذكور على ما هو ظاهر لا سترة عليه بل وفساد ذلك ظاهر فيما لو ارتكب أحد أطراف الشبهة في الغير المحصورة أيضا فكيف بالمحصورة مع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الاستدلال للقائل بجواز المخالفة بوجهين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وتقريره أنّه لا شكّ في جريان البراءة في الشبهة الحكمية البدوية فإنّ المحكّم فيها هو الأخذ بالبراءة على ما مرّ كما لا شكّ في لزوم الاحتياط فيما تنجّز التكليف فإنّ الحكم الشرعي فيه الاحتياط ، ففيما شكّ في لزوم الاحتياط كما في غير </w:t>
      </w:r>
    </w:p>
    <w:p>
      <w:pPr>
        <w:pStyle w:val="BookText"/>
        <w:rPr/>
      </w:pPr>
      <w:r>
        <w:rPr>
          <w:rFonts w:ascii="Amiri" w:hAnsi="Amiri" w:eastAsia="Amiri" w:cs="Amiri"/>
          <w:color w:val="111111"/>
          <w:sz w:val="28"/>
          <w:sz w:val="28"/>
          <w:szCs w:val="28"/>
          <w:rtl w:val="true"/>
          <w:lang w:bidi="ar-SA"/>
        </w:rPr>
        <w:t xml:space="preserve">الشبهات البدوية ، وعدمه كما فيها يرجع الشكّ إلى نفس التكليف في الاحتياط وعدمه ، والأصل البراءة من الاحتياط ووجوبه ، وهذا لا ينافي كون الكلام في الشبهة الموضوعية التي لا يؤول الأمر فيها </w:t>
      </w:r>
      <w:r>
        <w:rPr>
          <w:rStyle w:val="FootnoteAnchor"/>
          <w:rtl w:val="true"/>
        </w:rPr>
        <w:footnoteReference w:id="1637"/>
      </w:r>
      <w:r>
        <w:rPr>
          <w:rFonts w:ascii="Amiri" w:hAnsi="Amiri" w:eastAsia="Amiri" w:cs="Amiri"/>
          <w:color w:val="111111"/>
          <w:sz w:val="28"/>
          <w:sz w:val="28"/>
          <w:szCs w:val="28"/>
          <w:rtl w:val="true"/>
          <w:lang w:bidi="ar-SA"/>
        </w:rPr>
        <w:t xml:space="preserve">إلى اشتباه في الحكم إذ المقصود بيان حكمها ، وفيما لو اشتبه حكم الموضوع شرعا يصير الشكّ شكّا حكميا وإن كان موضوع هذا الحكم المشتبه هو الموضوع المشتبه وذلك ظاهر إلاّ أنّه لا يتمّ إلاّ بعد التصرّف في الأدلّة الواقعية ، وإلاّ فمع بقائها بحالها يستقلّ العقل بوجوب الامتثال بالاحتياط ، وذلك التصرّف إمّا بالقول بوضع الألفاظ للمعاني المعلومة ، أو بانصرافها إليها مطلقا ، أو حيثما كان في حيّز الطلب والتكليف عرفا أو عقلا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الأخبار الدالّة على جواز الارتكاب في الشبهات الموضوعية عموما كما مرّ وخصوصا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حرام وحلال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حلال حتّى تعرف الحرام منه بعينه </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والأخبار الواردة في هذا المضمار على ما ادّعاه البعض </w:t>
      </w:r>
      <w:r>
        <w:rPr>
          <w:rStyle w:val="FootnoteAnchor"/>
          <w:rtl w:val="true"/>
        </w:rPr>
        <w:footnoteReference w:id="1640"/>
      </w:r>
      <w:r>
        <w:rPr>
          <w:rFonts w:ascii="Amiri" w:hAnsi="Amiri" w:eastAsia="Amiri" w:cs="Amiri"/>
          <w:color w:val="111111"/>
          <w:sz w:val="28"/>
          <w:sz w:val="28"/>
          <w:szCs w:val="28"/>
          <w:rtl w:val="true"/>
          <w:lang w:bidi="ar-SA"/>
        </w:rPr>
        <w:t>فوق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 فبأنّ التصرّف في الأدلّة الواقعية يقع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بوجوب الاجتناب عن الخمر الواقعي إنّما هو مقيّد بصورة العلم بنفس الحكم على وجه لا مدخل للتقييد </w:t>
      </w:r>
      <w:r>
        <w:rPr>
          <w:rStyle w:val="FootnoteAnchor"/>
          <w:rtl w:val="true"/>
        </w:rPr>
        <w:footnoteReference w:id="1641"/>
      </w:r>
      <w:r>
        <w:rPr>
          <w:rFonts w:ascii="Amiri" w:hAnsi="Amiri" w:eastAsia="Amiri" w:cs="Amiri"/>
          <w:color w:val="111111"/>
          <w:sz w:val="28"/>
          <w:sz w:val="28"/>
          <w:szCs w:val="28"/>
          <w:rtl w:val="true"/>
          <w:lang w:bidi="ar-SA"/>
        </w:rPr>
        <w:t>في موضوع الحكم ، ولا في حال من حالات المكلّف ، ومن الظاهر فساده ؛ ضرورة توقّف العلم على المعلوم السابق منه ليصحّ تعلّقه به ، فلو كان له مدخل في تحقّقه ، لكان دورا صريحا ، فلا يعقل اعتبار العلم في نفس الحكم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مقيّد بالعلم بمعنى أنّ الخمر مطلقا ليس ممّا يجب الاجتناب عنه ، وإنّما يجب إذا كان معلوما فحيث لم يكن معلوما ، فلا يكون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يتوجّه إليه الخطاب مطلقا في جميع حالاته بل المكلّف العالم يجب عليه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دعوى وضع الألفاظ للمعاني المعلومة على أن يكون العلم معتبرا في الموضوع له سخيفة جدّا لا يكاد يلتزم بها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تبادر المعلومات منها وهم في خلط ؛ لاشتباه </w:t>
      </w:r>
      <w:r>
        <w:rPr>
          <w:rStyle w:val="FootnoteAnchor"/>
          <w:rtl w:val="true"/>
        </w:rPr>
        <w:footnoteReference w:id="1642"/>
      </w:r>
      <w:r>
        <w:rPr>
          <w:rFonts w:ascii="Amiri" w:hAnsi="Amiri" w:eastAsia="Amiri" w:cs="Amiri"/>
          <w:color w:val="111111"/>
          <w:sz w:val="28"/>
          <w:sz w:val="28"/>
          <w:szCs w:val="28"/>
          <w:rtl w:val="true"/>
          <w:lang w:bidi="ar-SA"/>
        </w:rPr>
        <w:t>العلم المرآتي بالعلم الموضوعي عنده إذ المعنى لا يتبادر إلاّ أن يكون معلوما حاضرا عند العالم على وجه يكون العلم مرآة للواقع ، ولا دخل في هذا العلم في 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الانصراف إلى المعلومات وإن لم تكن في حيّز الطلب والتكليف مبنيّة على الخلط المختلط بالوهم المذكور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الانصراف في حيّز التكاليف ، فلو </w:t>
      </w:r>
      <w:r>
        <w:rPr>
          <w:rStyle w:val="FootnoteAnchor"/>
          <w:rtl w:val="true"/>
        </w:rPr>
        <w:footnoteReference w:id="1643"/>
      </w:r>
      <w:r>
        <w:rPr>
          <w:rFonts w:ascii="Amiri" w:hAnsi="Amiri" w:eastAsia="Amiri" w:cs="Amiri"/>
          <w:color w:val="111111"/>
          <w:sz w:val="28"/>
          <w:sz w:val="28"/>
          <w:szCs w:val="28"/>
          <w:rtl w:val="true"/>
          <w:lang w:bidi="ar-SA"/>
        </w:rPr>
        <w:t xml:space="preserve">كانت القرينة المقتضية لذلك نقلية ، فعهدتها على مدّعيها إذ لم نجد إلى الآن في الأدلّة النقلية ما يقضي </w:t>
      </w:r>
      <w:r>
        <w:rPr>
          <w:rStyle w:val="FootnoteAnchor"/>
          <w:rtl w:val="true"/>
        </w:rPr>
        <w:footnoteReference w:id="1644"/>
      </w:r>
      <w:r>
        <w:rPr>
          <w:rFonts w:ascii="Amiri" w:hAnsi="Amiri" w:eastAsia="Amiri" w:cs="Amiri"/>
          <w:color w:val="111111"/>
          <w:sz w:val="28"/>
          <w:sz w:val="28"/>
          <w:szCs w:val="28"/>
          <w:rtl w:val="true"/>
          <w:lang w:bidi="ar-SA"/>
        </w:rPr>
        <w:t xml:space="preserve">بذلك ، وإن كانت عقلية ، فنحن كلّما راجعنا وجداننا مرّة بعد أولى وعهدنا إلى عقولنا كرّة بعد أخرى لا نجد فيها ما يقتضي التصرّف في مدلول الخطاب بل غاية ما هناك أنّ العقل يحكم بأنّ المكلّف في تكليفه لا بدّ له من حامل على التكليف والطلب ، وقبل علم المكلّف بالخطاب لا حامل له ، فليس في العقل ما يقضي باعتبار العلم في معنى اللفظ فإنّ الخطاب وإرادة المولى أو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يعبّر عنهما تارة بالطلب ، وأخرى بالأمر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متساوية النسبة إلى العالم والجاهل فإنّ ما للطالب دخل فيه قد تمّ ، ولا ينشأ بعد العلم من الطالب والمولى طلب آخر وإرادة أخرى وإن لم يكن المكلّف عند الجهل </w:t>
      </w:r>
    </w:p>
    <w:p>
      <w:pPr>
        <w:pStyle w:val="BookText"/>
        <w:rPr/>
      </w:pPr>
      <w:r>
        <w:rPr>
          <w:rFonts w:ascii="Amiri" w:hAnsi="Amiri" w:eastAsia="Amiri" w:cs="Amiri"/>
          <w:color w:val="111111"/>
          <w:sz w:val="28"/>
          <w:sz w:val="28"/>
          <w:szCs w:val="28"/>
          <w:rtl w:val="true"/>
          <w:lang w:bidi="ar-SA"/>
        </w:rPr>
        <w:t>بالخطاب معاقبا من حيث إنّ معنى التكليف هو الحمل على الكلفة وفيما لو كان ذلك الحمل بطلب قولي أو غيره مع عدم العلم بالحامل لا حامل له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فنحن لا نضايق من القول بعدم ترتّب العقاب على المكلّف في الشبهة التكليفية البدوية من حيث عدم علمه بنفس التكليف بل هو كذلك كما عرفت إلاّ أنّه ليس باعتبار التصرّف في الأدلّة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لو تمّ ، لما صحّ التمسّك بالأصل فيه إذ المعهود منهم في الاستدلال به إنّما هو في الأحكام الظاهرية ، وبعد التصرّف في الأدلّة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التصرّف </w:t>
      </w:r>
      <w:r>
        <w:rPr>
          <w:rStyle w:val="FootnoteAnchor"/>
          <w:rtl w:val="true"/>
        </w:rPr>
        <w:footnoteReference w:id="1645"/>
      </w:r>
      <w:r>
        <w:rPr>
          <w:rFonts w:ascii="Amiri" w:hAnsi="Amiri" w:eastAsia="Amiri" w:cs="Amiri"/>
          <w:color w:val="111111"/>
          <w:sz w:val="28"/>
          <w:sz w:val="28"/>
          <w:szCs w:val="28"/>
          <w:rtl w:val="true"/>
          <w:lang w:bidi="ar-SA"/>
        </w:rPr>
        <w:t xml:space="preserve">عقلا بتخصيص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من الأحكام الظاهرية في شيء لعدم ترتّب أحد الحكمين على الآخر لاختلاف موضوعيهما اختلافا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الواقعية الدالّة على لزوم الاجتناب عن الخمر والنجس شاملة </w:t>
      </w:r>
      <w:r>
        <w:rPr>
          <w:rStyle w:val="FootnoteAnchor"/>
          <w:rtl w:val="true"/>
        </w:rPr>
        <w:footnoteReference w:id="1646"/>
      </w:r>
      <w:r>
        <w:rPr>
          <w:rFonts w:ascii="Amiri" w:hAnsi="Amiri" w:eastAsia="Amiri" w:cs="Amiri"/>
          <w:color w:val="111111"/>
          <w:sz w:val="28"/>
          <w:sz w:val="28"/>
          <w:szCs w:val="28"/>
          <w:rtl w:val="true"/>
          <w:lang w:bidi="ar-SA"/>
        </w:rPr>
        <w:t xml:space="preserve">للمقام ، والامتثال ممكن ، والعقل حاكم بلزوم تحصيل البراءة ولا مانع منه بعد العلم بالتكليف ووقوع المكلّف به في أشياء محصورة ، فالمقتضي للامتثال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بتعلّق التكليف الواقعي بالخمر الواقعي الموجود بين الإناءات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 والمانع مفقود ، والعقل حاكم بلزوم الامتثال ، فلا مناص منه كذا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التمسّك بالأصل المذكورة محلّ نظر فإنّ الأصل فيما إذا شكّ في البراءة والاحتياط عند التحقيق فيما لو كان الاحتياط حكما عقليا هو الاحتياط ، فالأصل في المسألة الأصولية أيضا هو الاحتياط ، وستعرف ذلك فيما سيأتي إن شاء اللّه تعالى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فلأنّك قد عرفت شمول الخطاب للعالم والجاهل ، ولا قرينة على التقييد لا عرفا ولا عقلا لعين ما مرّ من عدم اعتبار العلم في معاني الألفاظ وضعا ، ولا يقضي بذلك العقل وإنّما هو قاض بعدم العقاب في صورة الجهل ، والعلم في المقام </w:t>
      </w:r>
    </w:p>
    <w:p>
      <w:pPr>
        <w:pStyle w:val="BookText"/>
        <w:rPr/>
      </w:pPr>
      <w:r>
        <w:rPr>
          <w:rFonts w:ascii="Amiri" w:hAnsi="Amiri" w:eastAsia="Amiri" w:cs="Amiri"/>
          <w:color w:val="111111"/>
          <w:sz w:val="28"/>
          <w:sz w:val="28"/>
          <w:szCs w:val="28"/>
          <w:rtl w:val="true"/>
          <w:lang w:bidi="ar-SA"/>
        </w:rPr>
        <w:t>موجود إجمالا ونحن لا نجد قبحا في العقول أن يعاقب المولى عبدا يعلم بوقوع المنهيّ عنه في أشياء محصورة مردّدة مع ارتكابه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 فبأنّ هذه الأخبار لا دخل لها بالمقام لعدم </w:t>
      </w:r>
      <w:r>
        <w:rPr>
          <w:rStyle w:val="FootnoteAnchor"/>
          <w:rtl w:val="true"/>
        </w:rPr>
        <w:footnoteReference w:id="1647"/>
      </w:r>
      <w:r>
        <w:rPr>
          <w:rFonts w:ascii="Amiri" w:hAnsi="Amiri" w:eastAsia="Amiri" w:cs="Amiri"/>
          <w:color w:val="111111"/>
          <w:sz w:val="28"/>
          <w:sz w:val="28"/>
          <w:szCs w:val="28"/>
          <w:rtl w:val="true"/>
          <w:lang w:bidi="ar-SA"/>
        </w:rPr>
        <w:t>إمكان المعارضة بين حكمي العقل والشرع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 هذه الأخبار بيان الأحكام الظاهرية في صورة الاشتباه كما يلوح ذلك بعد ملاحظة تقييد الحكم فيها بغاية حصول العلم ، ولعلّه لا يكون ذلك محلاّ للتأمّل والإنكار ، وقد عرفت أنّ العقل بعد ملاحظة شمول الخطاب الواقعي للمقام ليس له حالة منتظرة للحكم بلزوم الامتثال إلاّ أن يرتفع موضوع التكليف بارتفاع أحد أركانه من نسخه ، أو تقييد ما دلّ عليه بفرد دون آخر ، أو تخصيصه ونحو ذلك ، أو موت المكلّف ، أو امتثاله والمفروض وجود سائر الأركان سوى ما يحتمل من التقييد أو التخصيص بملاحظة هذه الأخبار وهو غير معقول إذ لا يعقل تصرّف ما هو في بيان الحكم الظاهري </w:t>
      </w:r>
      <w:r>
        <w:rPr>
          <w:rStyle w:val="FootnoteAnchor"/>
          <w:rtl w:val="true"/>
        </w:rPr>
        <w:footnoteReference w:id="1648"/>
      </w:r>
      <w:r>
        <w:rPr>
          <w:rFonts w:ascii="Amiri" w:hAnsi="Amiri" w:eastAsia="Amiri" w:cs="Amiri"/>
          <w:color w:val="111111"/>
          <w:sz w:val="28"/>
          <w:sz w:val="28"/>
          <w:szCs w:val="28"/>
          <w:rtl w:val="true"/>
          <w:lang w:bidi="ar-SA"/>
        </w:rPr>
        <w:t xml:space="preserve">في الأدلّة الواقعية ، فالدليل </w:t>
      </w:r>
      <w:r>
        <w:rPr>
          <w:rStyle w:val="FootnoteAnchor"/>
          <w:rtl w:val="true"/>
        </w:rPr>
        <w:footnoteReference w:id="1649"/>
      </w:r>
      <w:r>
        <w:rPr>
          <w:rFonts w:ascii="Amiri" w:hAnsi="Amiri" w:eastAsia="Amiri" w:cs="Amiri"/>
          <w:color w:val="111111"/>
          <w:sz w:val="28"/>
          <w:sz w:val="28"/>
          <w:szCs w:val="28"/>
          <w:rtl w:val="true"/>
          <w:lang w:bidi="ar-SA"/>
        </w:rPr>
        <w:t xml:space="preserve">الدالّ على لزوم الاجتناب عن الخمر الواقعي الموجود في الإناءين موجود في محلّه من غير أن يتطرّق فيه شائبة تخصيص بصورة عدم الاشتباه ، ووجود العلم التفصيلي والعلم بالتكليف وبوجود المكلّف به حاصل ، فيحكم العقل بوجوب الامتثال والخروج عن ربقة التكليف ، فلا مناص منه ، وحينئذ إمّا أن يؤخذ بهذه الأخبار ، أو بأدلّة الواقع ، لا سبيل إلى الأوّل لاستلزامه ترك أدلّة الواقع من غير وجه شرعي لعدم إمكان تصوير </w:t>
      </w:r>
      <w:r>
        <w:rPr>
          <w:rStyle w:val="FootnoteAnchor"/>
          <w:rtl w:val="true"/>
        </w:rPr>
        <w:footnoteReference w:id="1650"/>
      </w:r>
      <w:r>
        <w:rPr>
          <w:rFonts w:ascii="Amiri" w:hAnsi="Amiri" w:eastAsia="Amiri" w:cs="Amiri"/>
          <w:color w:val="111111"/>
          <w:sz w:val="28"/>
          <w:sz w:val="28"/>
          <w:szCs w:val="28"/>
          <w:rtl w:val="true"/>
          <w:lang w:bidi="ar-SA"/>
        </w:rPr>
        <w:t xml:space="preserve">التقييد فيها بالنسبة إليها لاختلاف موضوعيهما </w:t>
      </w:r>
      <w:r>
        <w:rPr>
          <w:rStyle w:val="FootnoteAnchor"/>
          <w:rtl w:val="true"/>
        </w:rPr>
        <w:footnoteReference w:id="1651"/>
      </w:r>
      <w:r>
        <w:rPr>
          <w:rFonts w:ascii="Amiri" w:hAnsi="Amiri" w:eastAsia="Amiri" w:cs="Amiri"/>
          <w:color w:val="111111"/>
          <w:sz w:val="28"/>
          <w:sz w:val="28"/>
          <w:szCs w:val="28"/>
          <w:rtl w:val="true"/>
          <w:lang w:bidi="ar-SA"/>
        </w:rPr>
        <w:t xml:space="preserve">بترتّب أحدهما على الآخر ، وليست </w:t>
      </w:r>
      <w:r>
        <w:rPr>
          <w:rStyle w:val="FootnoteAnchor"/>
          <w:rtl w:val="true"/>
        </w:rPr>
        <w:footnoteReference w:id="1652"/>
      </w:r>
      <w:r>
        <w:rPr>
          <w:rFonts w:ascii="Amiri" w:hAnsi="Amiri" w:eastAsia="Amiri" w:cs="Amiri"/>
          <w:color w:val="111111"/>
          <w:sz w:val="28"/>
          <w:sz w:val="28"/>
          <w:szCs w:val="28"/>
          <w:rtl w:val="true"/>
          <w:lang w:bidi="ar-SA"/>
        </w:rPr>
        <w:t xml:space="preserve">هذه الأخبار بألفاظها متعرّضة لبيان تلك الأدلّة الواقعية حتّى يقال بالحكومة أيضا ، فتعيّن الأخذ بالأدلّة الواقعية ، وقضية ذلك هو الاحتياط ووجوب الاجتناب عن </w:t>
      </w:r>
    </w:p>
    <w:p>
      <w:pPr>
        <w:pStyle w:val="BookText"/>
        <w:rPr/>
      </w:pPr>
      <w:r>
        <w:rPr>
          <w:rFonts w:ascii="Amiri" w:hAnsi="Amiri" w:eastAsia="Amiri" w:cs="Amiri"/>
          <w:color w:val="111111"/>
          <w:sz w:val="28"/>
          <w:sz w:val="28"/>
          <w:szCs w:val="28"/>
          <w:rtl w:val="true"/>
          <w:lang w:bidi="ar-SA"/>
        </w:rPr>
        <w:t>المشتبهات ، وعلى تقدير التسليم فلا يقول به القائل لجواز المخالفة القطعية إذ بعد التصرّف والتقييد يصير الحكم بجواز ارتكاب أطراف الشبهة حكما واقعيا ، ومقصوده إثبات الحلّية الظاهرية تعويلا على هذه الأخبار ، فلا وجه للقول بتقييد هذه الأخبار للأدلّة الواقعية كما لا وجه للأخذ بهذه الأخبار في قبال حكم العقل بعد شمول الخطاب للمقام بالامتثال وحصول العلم كما في صورة العلم التفصيلي ، فلا بدّ من القول بأنّ هذه الأخبار محمولة على الشبهة البدوية الحكمية أو الموضوعية إذ هناك لا علم بالتكليف ، فلا يحكم العقل بلزوم الامتثال ، فيصحّ من الشارع العفو وعدم العقاب وإثبات الإباحة الظاهرية عند عدم العلم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هذه الأخبار بحكم العقل القاطع محمولة </w:t>
      </w:r>
      <w:r>
        <w:rPr>
          <w:rStyle w:val="FootnoteAnchor"/>
          <w:rtl w:val="true"/>
        </w:rPr>
        <w:footnoteReference w:id="1653"/>
      </w:r>
      <w:r>
        <w:rPr>
          <w:rFonts w:ascii="Amiri" w:hAnsi="Amiri" w:eastAsia="Amiri" w:cs="Amiri"/>
          <w:color w:val="111111"/>
          <w:sz w:val="28"/>
          <w:sz w:val="28"/>
          <w:szCs w:val="28"/>
          <w:rtl w:val="true"/>
          <w:lang w:bidi="ar-SA"/>
        </w:rPr>
        <w:t>على الشبهات البدوية كما عرفت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الأحكام الشرعية بأسرها سواء كانت اقتضائية أو تخييرية لا تتعلّق </w:t>
      </w:r>
      <w:r>
        <w:rPr>
          <w:rStyle w:val="FootnoteAnchor"/>
          <w:rtl w:val="true"/>
        </w:rPr>
        <w:footnoteReference w:id="1654"/>
      </w:r>
      <w:r>
        <w:rPr>
          <w:rFonts w:ascii="Amiri" w:hAnsi="Amiri" w:eastAsia="Amiri" w:cs="Amiri"/>
          <w:color w:val="111111"/>
          <w:sz w:val="28"/>
          <w:sz w:val="28"/>
          <w:szCs w:val="28"/>
          <w:rtl w:val="true"/>
          <w:lang w:bidi="ar-SA"/>
        </w:rPr>
        <w:t xml:space="preserve">إلاّ على عنوانات اختيارية مقصودة للمكلّف فإنّها هي مهابط الحسن والقبح اللذين عليهما يدور رحى الأحكام الشرعية من غير فرق في ذلك بين الوجوب والحرمة فكما أنّ الوجوب لا يتعلّق </w:t>
      </w:r>
      <w:r>
        <w:rPr>
          <w:rStyle w:val="FootnoteAnchor"/>
          <w:rtl w:val="true"/>
        </w:rPr>
        <w:footnoteReference w:id="1655"/>
      </w:r>
      <w:r>
        <w:rPr>
          <w:rFonts w:ascii="Amiri" w:hAnsi="Amiri" w:eastAsia="Amiri" w:cs="Amiri"/>
          <w:color w:val="111111"/>
          <w:sz w:val="28"/>
          <w:sz w:val="28"/>
          <w:szCs w:val="28"/>
          <w:rtl w:val="true"/>
          <w:lang w:bidi="ar-SA"/>
        </w:rPr>
        <w:t xml:space="preserve">إلاّ على عنوان مقصود له فكذا التحريم على وجه يكون صدور الفعل من المكلّف على عنوانه المحرّم مستندا إلى اختيار المكلّف ، ولا يكفي في ذلك صدوره على وجه الاختيار بعنوان آخر غير عنوان المحرّم ، فعلى هذا لو علم المكلّف بحرمة الإناء المخصوص وارتكبه ، حرم قطعا لعدم انفكاك ذلك من القصد إليه بعد العلم به وإن لم يكن الداعي إلى الفعل هو العنوان المحرّم ، وأمّا إذا لم يعلم بحرمة الإناء المخصوص تفصيلا ففيما لم يكن الداعي إلى الفعل هو العنوان المحرّم والوصول إليه ، فلا تحريم </w:t>
      </w:r>
      <w:r>
        <w:rPr>
          <w:rStyle w:val="FootnoteAnchor"/>
          <w:rtl w:val="true"/>
        </w:rPr>
        <w:footnoteReference w:id="1656"/>
      </w:r>
      <w:r>
        <w:rPr>
          <w:rFonts w:ascii="Amiri" w:hAnsi="Amiri" w:eastAsia="Amiri" w:cs="Amiri"/>
          <w:color w:val="111111"/>
          <w:sz w:val="28"/>
          <w:sz w:val="28"/>
          <w:szCs w:val="28"/>
          <w:rtl w:val="true"/>
          <w:lang w:bidi="ar-SA"/>
        </w:rPr>
        <w:t xml:space="preserve">فيه بل يجوز ارتكابه لأنّ العنوان المحرّم بعد عدم العلم به غير مقصود للفاعل ، فلو صادف الخمر الحقيقي ، فقد وقع منه شرب </w:t>
      </w:r>
    </w:p>
    <w:p>
      <w:pPr>
        <w:pStyle w:val="BookText"/>
        <w:rPr/>
      </w:pPr>
      <w:r>
        <w:rPr>
          <w:rFonts w:ascii="Amiri" w:hAnsi="Amiri" w:eastAsia="Amiri" w:cs="Amiri"/>
          <w:color w:val="111111"/>
          <w:sz w:val="28"/>
          <w:sz w:val="28"/>
          <w:szCs w:val="28"/>
          <w:rtl w:val="true"/>
          <w:lang w:bidi="ar-SA"/>
        </w:rPr>
        <w:t>الخمر اتّفاقا ، ولا يتّصف الفعل الاتّفاقي الخارج عن مقدرة المكلّف من حيث هو اتّفاقي بالحسن والقبح باتّفاق من القائلين بالتحسين والتقبيح العقليين ، فلا يتعلّق به الحكم الشرعي وهو التحريم ، فيجوز ارتكابه ، وهكذا كلّ واحد من الإناءات المشتبهة فيجوز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أنّ المطلوب بالأمر هو نفس الفعل ، وفي النهي </w:t>
      </w:r>
      <w:r>
        <w:rPr>
          <w:rStyle w:val="FootnoteAnchor"/>
          <w:rtl w:val="true"/>
        </w:rPr>
        <w:footnoteReference w:id="1657"/>
      </w:r>
      <w:r>
        <w:rPr>
          <w:rFonts w:ascii="Amiri" w:hAnsi="Amiri" w:eastAsia="Amiri" w:cs="Amiri"/>
          <w:color w:val="111111"/>
          <w:sz w:val="28"/>
          <w:sz w:val="28"/>
          <w:szCs w:val="28"/>
          <w:rtl w:val="true"/>
          <w:lang w:bidi="ar-SA"/>
        </w:rPr>
        <w:t xml:space="preserve">هو ترك الفعل وعدم إيجاده ، فالمكلّف به في الأوّل هو الفعل ، وفي الثاني </w:t>
      </w:r>
      <w:r>
        <w:rPr>
          <w:rStyle w:val="FootnoteAnchor"/>
          <w:rtl w:val="true"/>
        </w:rPr>
        <w:footnoteReference w:id="1658"/>
      </w:r>
      <w:r>
        <w:rPr>
          <w:rFonts w:ascii="Amiri" w:hAnsi="Amiri" w:eastAsia="Amiri" w:cs="Amiri"/>
          <w:color w:val="111111"/>
          <w:sz w:val="28"/>
          <w:sz w:val="28"/>
          <w:szCs w:val="28"/>
          <w:rtl w:val="true"/>
          <w:lang w:bidi="ar-SA"/>
        </w:rPr>
        <w:t xml:space="preserve">هو الترك ، ولا بدّ أن يكون المكلّف به </w:t>
      </w:r>
      <w:r>
        <w:rPr>
          <w:rStyle w:val="FootnoteAnchor"/>
          <w:rtl w:val="true"/>
        </w:rPr>
        <w:footnoteReference w:id="1659"/>
      </w:r>
      <w:r>
        <w:rPr>
          <w:rFonts w:ascii="Amiri" w:hAnsi="Amiri" w:eastAsia="Amiri" w:cs="Amiri"/>
          <w:color w:val="111111"/>
          <w:sz w:val="28"/>
          <w:sz w:val="28"/>
          <w:szCs w:val="28"/>
          <w:rtl w:val="true"/>
          <w:lang w:bidi="ar-SA"/>
        </w:rPr>
        <w:t xml:space="preserve">مقدورا للمكلّف ، اختياريا ، مقصودا له ففي الأمر لا بدّ أن يكون الفعل اختياريا ، وفي النهي لا بدّ أن يكون الترك اختياريا بمعنى أن يكون ترك شرب الخمر مقصودا في النهي ، وفعل الصلاة مقصودا في الأمر ، فالقصد قيد للترك لا للمتروك </w:t>
      </w:r>
      <w:r>
        <w:rPr>
          <w:rStyle w:val="FootnoteAnchor"/>
          <w:rtl w:val="true"/>
        </w:rPr>
        <w:footnoteReference w:id="1660"/>
      </w:r>
      <w:r>
        <w:rPr>
          <w:rFonts w:ascii="Amiri" w:hAnsi="Amiri" w:eastAsia="Amiri" w:cs="Amiri"/>
          <w:color w:val="111111"/>
          <w:sz w:val="28"/>
          <w:sz w:val="28"/>
          <w:szCs w:val="28"/>
          <w:rtl w:val="true"/>
          <w:lang w:bidi="ar-SA"/>
        </w:rPr>
        <w:t>، فالمقصود للمكلّف لا بدّ أن يكون هو الترك ، وترك شرب الخمر إذا كان مقصودا لا يتحقّق إلاّ عند ترك جميع الأفراد المحتملة ، وإلاّ لم يكن قاصدا للترك والمفروض اعتبار تعلّق القصد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متعلّق التكليف لا بدّ أن يكون فعلا اختياريا مقصودا للمكلّف ، والتكليف تارة هو الأمر ، وأخرى هو النهي ، وفي الأوّل لا بدّ أن يكون المكلّف قاصدا للفعل ، وفي الثاني لا بدّ أن يكون قاصدا للترك حتّى يحصل الامتثال وإذا كان المكلّف قاصدا لا بدّ له من عدم الارتكاب ، وإلاّ لم يكن قاصدا للترك وهذا خلف</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الدالّة على رفع الحكم عند الاشتباه هو أنّ المحرّم ارتكاب الحرام قصدا وعمدا إليه ، فلا يجب الاجتناب من الخمر المردّد عند عدم القصد إلى عنوانه</w:t>
      </w:r>
      <w:r>
        <w:rPr>
          <w:rFonts w:eastAsia="Amiri" w:cs="Amiri" w:ascii="Amiri" w:hAnsi="Amiri"/>
          <w:color w:val="111111"/>
          <w:sz w:val="28"/>
          <w:szCs w:val="28"/>
          <w:rtl w:val="true"/>
          <w:lang w:bidi="ar-SA"/>
        </w:rPr>
        <w:t xml:space="preserve">. </w:t>
      </w:r>
      <w:bookmarkStart w:id="182" w:name="pg16273_211826"/>
    </w:p>
    <w:p>
      <w:pPr>
        <w:pStyle w:val="BookText"/>
        <w:rPr/>
      </w:pPr>
      <w:bookmarkEnd w:id="18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المعلوم أنّ هذه الأخبار لا دلالة فيها على هذه الدعوى لعدم المنافاة بين أن يكون حكم الشيء من حيث الاشتباه شيئا ولكن بعد اجتماعه مع عنوان آخر كأن يكون مقدّمة لواجب شيئا آخر كما في المقام فإنّ الخمر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المشتبه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عدم وجوب الاجتناب ، وذلك لا ينافي أن يكون الموضوع المشتبه واجب الاجتناب إذا كان مقدّمة للوصول إلى الحرام ، وكان تركه مقدّمة للعلم بحصول امتثال الخطاب الدالّ على لزوم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لنا أن نقول بالفرق بين الأوامر والنواهي ، ففي الأوّل لا بدّ أن يكون الفعل مقصودا بخلاف الثاني فإنّ المطلوب منه إنّما هو مجرّد عدم وقوع المنهيّ عنه وإن لم يكن مقصودا ، وأمّا عدم تعلّق الطلب بفعل غير مقصود ، فإنّما هو بواسطة قصور فيه ، وإلاّ فالمقصود فيه </w:t>
      </w:r>
      <w:r>
        <w:rPr>
          <w:rStyle w:val="FootnoteAnchor"/>
          <w:rtl w:val="true"/>
        </w:rPr>
        <w:footnoteReference w:id="1662"/>
      </w:r>
      <w:r>
        <w:rPr>
          <w:rFonts w:ascii="Amiri" w:hAnsi="Amiri" w:eastAsia="Amiri" w:cs="Amiri"/>
          <w:color w:val="111111"/>
          <w:sz w:val="28"/>
          <w:sz w:val="28"/>
          <w:szCs w:val="28"/>
          <w:rtl w:val="true"/>
          <w:lang w:bidi="ar-SA"/>
        </w:rPr>
        <w:t>يكون أعمّ</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803584_1280447820"/>
      <w:bookmarkStart w:id="184" w:name="_Toc64"/>
      <w:bookmarkEnd w:id="183"/>
      <w:r>
        <w:rPr>
          <w:rtl w:val="true"/>
        </w:rPr>
        <w:t>المورد الثاني</w:t>
      </w:r>
      <w:bookmarkEnd w:id="184"/>
    </w:p>
    <w:p>
      <w:pPr>
        <w:pStyle w:val="BookText"/>
        <w:rPr/>
      </w:pPr>
      <w:r>
        <w:rPr>
          <w:rFonts w:ascii="Amiri" w:hAnsi="Amiri" w:eastAsia="Amiri" w:cs="Amiri"/>
          <w:color w:val="111111"/>
          <w:sz w:val="28"/>
          <w:sz w:val="28"/>
          <w:szCs w:val="28"/>
          <w:rtl w:val="true"/>
          <w:lang w:bidi="ar-SA"/>
        </w:rPr>
        <w:t xml:space="preserve">المورد الثاني </w:t>
      </w:r>
      <w:r>
        <w:rPr>
          <w:rStyle w:val="FootnoteAnchor"/>
          <w:rtl w:val="true"/>
        </w:rPr>
        <w:footnoteReference w:id="166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هل يجب الموافقة القطعية بعد ما عرفت من حرمة المخالفة القطعية ، أو لا؟ والكلام في هذا المورد وإن كان ظاهرا بعد حرمة المخالفة القطعية فإنّ التحقيق أنّ القول بحرمة المخالفة القطعية </w:t>
      </w:r>
      <w:r>
        <w:rPr>
          <w:rStyle w:val="FootnoteAnchor"/>
          <w:rtl w:val="true"/>
        </w:rPr>
        <w:footnoteReference w:id="1664"/>
      </w:r>
      <w:r>
        <w:rPr>
          <w:rFonts w:ascii="Amiri" w:hAnsi="Amiri" w:eastAsia="Amiri" w:cs="Amiri"/>
          <w:color w:val="111111"/>
          <w:sz w:val="28"/>
          <w:sz w:val="28"/>
          <w:szCs w:val="28"/>
          <w:rtl w:val="true"/>
          <w:lang w:bidi="ar-SA"/>
        </w:rPr>
        <w:t xml:space="preserve">في المورد الأوّل يلازم القول بوجوب الموافقة القطعية فإنّها معلولي </w:t>
      </w:r>
      <w:r>
        <w:rPr>
          <w:rStyle w:val="FootnoteAnchor"/>
          <w:rtl w:val="true"/>
        </w:rPr>
        <w:footnoteReference w:id="1665"/>
      </w:r>
      <w:r>
        <w:rPr>
          <w:rFonts w:ascii="Amiri" w:hAnsi="Amiri" w:eastAsia="Amiri" w:cs="Amiri"/>
          <w:color w:val="111111"/>
          <w:sz w:val="28"/>
          <w:sz w:val="28"/>
          <w:szCs w:val="28"/>
          <w:rtl w:val="true"/>
          <w:lang w:bidi="ar-SA"/>
        </w:rPr>
        <w:t xml:space="preserve">علّة واحدة إلاّ أنّه لا بأس في تحرير </w:t>
      </w:r>
      <w:r>
        <w:rPr>
          <w:rStyle w:val="FootnoteAnchor"/>
          <w:rtl w:val="true"/>
        </w:rPr>
        <w:footnoteReference w:id="1666"/>
      </w:r>
      <w:r>
        <w:rPr>
          <w:rFonts w:ascii="Amiri" w:hAnsi="Amiri" w:eastAsia="Amiri" w:cs="Amiri"/>
          <w:color w:val="111111"/>
          <w:sz w:val="28"/>
          <w:sz w:val="28"/>
          <w:szCs w:val="28"/>
          <w:rtl w:val="true"/>
          <w:lang w:bidi="ar-SA"/>
        </w:rPr>
        <w:t xml:space="preserve">المقال لتوضيح الحال فإنّ المسألة ربّما </w:t>
      </w:r>
      <w:r>
        <w:rPr>
          <w:rStyle w:val="FootnoteAnchor"/>
          <w:rtl w:val="true"/>
        </w:rPr>
        <w:footnoteReference w:id="1667"/>
      </w:r>
      <w:r>
        <w:rPr>
          <w:rFonts w:ascii="Amiri" w:hAnsi="Amiri" w:eastAsia="Amiri" w:cs="Amiri"/>
          <w:color w:val="111111"/>
          <w:sz w:val="28"/>
          <w:sz w:val="28"/>
          <w:szCs w:val="28"/>
          <w:rtl w:val="true"/>
          <w:lang w:bidi="ar-SA"/>
        </w:rPr>
        <w:t xml:space="preserve">يعسر </w:t>
      </w:r>
      <w:r>
        <w:rPr>
          <w:rStyle w:val="FootnoteAnchor"/>
          <w:rtl w:val="true"/>
        </w:rPr>
        <w:footnoteReference w:id="1668"/>
      </w:r>
      <w:r>
        <w:rPr>
          <w:rFonts w:ascii="Amiri" w:hAnsi="Amiri" w:eastAsia="Amiri" w:cs="Amiri"/>
          <w:color w:val="111111"/>
          <w:sz w:val="28"/>
          <w:sz w:val="28"/>
          <w:szCs w:val="28"/>
          <w:rtl w:val="true"/>
          <w:lang w:bidi="ar-SA"/>
        </w:rPr>
        <w:t xml:space="preserve">على بعض الأفهام الوصول إلى حقيقتها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جمهور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لأنّ المفروض في المقام الأوّل عدم التصرّف في الأدلّة الواقعية وبقاؤها بحالها من غير احتمال متطرّق فيه من التخصيص والتقييد ونحوهما </w:t>
      </w:r>
    </w:p>
    <w:p>
      <w:pPr>
        <w:pStyle w:val="BookText"/>
        <w:rPr/>
      </w:pPr>
      <w:r>
        <w:rPr>
          <w:rFonts w:ascii="Amiri" w:hAnsi="Amiri" w:eastAsia="Amiri" w:cs="Amiri"/>
          <w:color w:val="111111"/>
          <w:sz w:val="28"/>
          <w:sz w:val="28"/>
          <w:szCs w:val="28"/>
          <w:rtl w:val="true"/>
          <w:lang w:bidi="ar-SA"/>
        </w:rPr>
        <w:t xml:space="preserve">فيها ، والمفروض أيضا شمول تلك الأدلّة للمكلّف حال إرادة ارتكاب البعض ، فكأنّ الخطاب بمسمع منه وهو يحكم بعدم </w:t>
      </w:r>
      <w:r>
        <w:rPr>
          <w:rStyle w:val="FootnoteAnchor"/>
          <w:rtl w:val="true"/>
        </w:rPr>
        <w:footnoteReference w:id="1669"/>
      </w:r>
      <w:r>
        <w:rPr>
          <w:rFonts w:ascii="Amiri" w:hAnsi="Amiri" w:eastAsia="Amiri" w:cs="Amiri"/>
          <w:color w:val="111111"/>
          <w:sz w:val="28"/>
          <w:sz w:val="28"/>
          <w:szCs w:val="28"/>
          <w:rtl w:val="true"/>
          <w:lang w:bidi="ar-SA"/>
        </w:rPr>
        <w:t xml:space="preserve">جواز تناول الخمر وشربه في الواقع وإن كان مردّدا بين الإناءين فكأنّه يسمع خطاب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 اجتنب عن هذا الخمر الموجود في الإناءين </w:t>
      </w:r>
      <w:r>
        <w:rPr>
          <w:rStyle w:val="FootnoteAnchor"/>
          <w:rtl w:val="true"/>
        </w:rPr>
        <w:footnoteReference w:id="1670"/>
      </w:r>
      <w:r>
        <w:rPr>
          <w:rFonts w:ascii="Amiri" w:hAnsi="Amiri" w:eastAsia="Amiri" w:cs="Amiri"/>
          <w:color w:val="111111"/>
          <w:sz w:val="28"/>
          <w:sz w:val="28"/>
          <w:szCs w:val="28"/>
          <w:rtl w:val="true"/>
          <w:lang w:bidi="ar-SA"/>
        </w:rPr>
        <w:t xml:space="preserve">، ولا يتمّ تحصيل الامتثال إلاّ بترك جميع المحتملات ، فلا بدّ من تركه فإنّ الخطاب العامّ ينحلّ إلى خطابات خاصّة ، ولا فرق بينهما إلاّ في كون أحدهما نصّا ، والآخر ظاهرا ، وبعد فرض عدم التخصيص يرتفع احتماله ويساوي الخاصّ في كونه نصّا ، فالخطاب العامّ مرجعه إلى الخطاب الخاصّ كما عرفت ، فالقائل بجواز ارتكاب </w:t>
      </w:r>
      <w:r>
        <w:rPr>
          <w:rStyle w:val="FootnoteAnchor"/>
          <w:rtl w:val="true"/>
        </w:rPr>
        <w:footnoteReference w:id="1671"/>
      </w:r>
      <w:r>
        <w:rPr>
          <w:rFonts w:ascii="IRNazanin" w:hAnsi="IRNazanin" w:eastAsia="IRNazanin"/>
          <w:color w:val="111111"/>
          <w:sz w:val="28"/>
          <w:sz w:val="28"/>
          <w:szCs w:val="28"/>
          <w:rtl w:val="true"/>
          <w:lang w:bidi="fa-IR"/>
        </w:rPr>
        <w:t xml:space="preserve">وعدم جواز </w:t>
      </w:r>
      <w:r>
        <w:rPr>
          <w:rStyle w:val="FootnoteAnchor"/>
          <w:rtl w:val="true"/>
        </w:rPr>
        <w:footnoteReference w:id="1672"/>
      </w:r>
      <w:r>
        <w:rPr>
          <w:rFonts w:ascii="Amiri" w:hAnsi="Amiri" w:eastAsia="Amiri" w:cs="Amiri"/>
          <w:color w:val="111111"/>
          <w:sz w:val="28"/>
          <w:sz w:val="28"/>
          <w:szCs w:val="28"/>
          <w:rtl w:val="true"/>
          <w:lang w:bidi="ar-SA"/>
        </w:rPr>
        <w:t xml:space="preserve">ارتكاب ما يساوي الحرام مؤاخذ في كلا جزءي دعواه فإنّك إمّا أن تقول بتخصيص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عن الخمر بتقريب أنّه يجب الاجتناب على العالم تفصيلا ، وإمّا أن لا تقول به ، فعلى الأوّل ، فلا وجه للقول بحرمة ارتكاب ما هو بقدر الحرام لعدم دليل على حرمته حينئذ ، وعلى الثاني ، فلا وجه للقول بجواز ارتكاب البعض للعلم بحامل التكليف وهو الخطاب الشامل لجميع الأحوال ولجميع الأشخاص ، فلا وجه لهذا القول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بالأخبار في هذا المقام ، فممّا لا وجه له أيضا إذ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ممّا علم حرمته بالعقل بعد بقاء الخطاب على حاله ولزوم امتثاله ، والقول بأنّ الحرمة المعتبرة في الغاية لا بدّ وأن يكون هي الحرمة المجهولة ، والحرمة المعلومة ليست هي مدفوع بأنّ التمثيل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فيه حلال وحرام </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مبنيّ على تقريب غير مختصّة معلومة </w:t>
      </w:r>
      <w:r>
        <w:rPr>
          <w:rStyle w:val="FootnoteAnchor"/>
          <w:rtl w:val="true"/>
        </w:rPr>
        <w:footnoteReference w:id="1674"/>
      </w:r>
      <w:r>
        <w:rPr>
          <w:rFonts w:ascii="Amiri" w:hAnsi="Amiri" w:eastAsia="Amiri" w:cs="Amiri"/>
          <w:color w:val="111111"/>
          <w:sz w:val="28"/>
          <w:sz w:val="28"/>
          <w:szCs w:val="28"/>
          <w:rtl w:val="true"/>
          <w:lang w:bidi="ar-SA"/>
        </w:rPr>
        <w:t>الحرمة فيه بكونها هي الحرمة المجهولة كما لا يخفى ، فتأمّل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الحرام بعينه موجود بين الإناءين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تقدير الدلالة فإمّا أن يقال بدلالتها على جواز ارتكاب الجميع </w:t>
      </w:r>
      <w:r>
        <w:rPr>
          <w:rStyle w:val="FootnoteAnchor"/>
          <w:rtl w:val="true"/>
        </w:rPr>
        <w:footnoteReference w:id="1675"/>
      </w:r>
      <w:r>
        <w:rPr>
          <w:rFonts w:ascii="Amiri" w:hAnsi="Amiri" w:eastAsia="Amiri" w:cs="Amiri"/>
          <w:color w:val="111111"/>
          <w:sz w:val="28"/>
          <w:sz w:val="28"/>
          <w:szCs w:val="28"/>
          <w:rtl w:val="true"/>
          <w:lang w:bidi="ar-SA"/>
        </w:rPr>
        <w:t xml:space="preserve">، أو البعض معيّنا ، أو غير معيّن ، فعلى الأوّل لا وجه للتخصيص بالبعض ، وعلى الثاني فهو ترجيح بلا مرجّح ، وعلى الثالث لا دلالة فيها عليه لأنّ الأفراد الانتزاعية الاعتبارية ليست داخلة في العامّ ، والفرد الغير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اعتباري انتزاعي ، وذلك نظير ما ستطّلع عليه في بحث التعارض حيث زعم بعضهم أنّ أحد الخبرين لا بعينه مندرج في الأدلّة الدالّة على حجّية الخبر بعد زعمه لعدم شمولها لهما ولأحدهما معيّنا ، لمكان التعارض ولزوم الترجيح بلا مرجّح فإنّ من الظاهر أنّ بعد ما قد اعترف بعدم </w:t>
      </w:r>
      <w:r>
        <w:rPr>
          <w:rStyle w:val="FootnoteAnchor"/>
          <w:rtl w:val="true"/>
        </w:rPr>
        <w:footnoteReference w:id="1676"/>
      </w:r>
      <w:r>
        <w:rPr>
          <w:rFonts w:ascii="Amiri" w:hAnsi="Amiri" w:eastAsia="Amiri" w:cs="Amiri"/>
          <w:color w:val="111111"/>
          <w:sz w:val="28"/>
          <w:sz w:val="28"/>
          <w:szCs w:val="28"/>
          <w:rtl w:val="true"/>
          <w:lang w:bidi="ar-SA"/>
        </w:rPr>
        <w:t xml:space="preserve">شمولها للخبرين ولواحد معيّن منهما لا وجه للشمول على هذا الوجه لأنّ أحدها ليس إلاّ فردا انتزاعيا ، ولا مدخل للعامّ فيه ، فليتأمّل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حتّى تعرف الحرام منه بعينه </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يدلّ </w:t>
      </w:r>
      <w:r>
        <w:rPr>
          <w:rStyle w:val="FootnoteAnchor"/>
          <w:rtl w:val="true"/>
        </w:rPr>
        <w:footnoteReference w:id="1679"/>
      </w:r>
      <w:r>
        <w:rPr>
          <w:rFonts w:ascii="Amiri" w:hAnsi="Amiri" w:eastAsia="Amiri" w:cs="Amiri"/>
          <w:color w:val="111111"/>
          <w:sz w:val="28"/>
          <w:sz w:val="28"/>
          <w:szCs w:val="28"/>
          <w:rtl w:val="true"/>
          <w:lang w:bidi="ar-SA"/>
        </w:rPr>
        <w:t xml:space="preserve">على أنّ الشارع لم يرد الامتثال في صورة الاشتباه على وجه يعمّ الصورة المفروضة مع وجود العلم الإجمالي ، فبالحقيقة مرجع التعارض إلى الحكومة كما في أخبار الضرر وأدلّة العسر ونحو ذلك فإنّها حاكمة على سائر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وضعياتها وتكليفياتها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إطلاقه وشموله للعالم والجاهل سواء </w:t>
      </w:r>
      <w:r>
        <w:rPr>
          <w:rStyle w:val="FootnoteAnchor"/>
          <w:rtl w:val="true"/>
        </w:rPr>
        <w:footnoteReference w:id="1680"/>
      </w:r>
      <w:r>
        <w:rPr>
          <w:rFonts w:ascii="Amiri" w:hAnsi="Amiri" w:eastAsia="Amiri" w:cs="Amiri"/>
          <w:color w:val="111111"/>
          <w:sz w:val="28"/>
          <w:sz w:val="28"/>
          <w:szCs w:val="28"/>
          <w:rtl w:val="true"/>
          <w:lang w:bidi="ar-SA"/>
        </w:rPr>
        <w:t xml:space="preserve">سواء كان علمه تفصيليا أو إجماليا بعد العلم به وبوجود </w:t>
      </w:r>
      <w:r>
        <w:rPr>
          <w:rStyle w:val="FootnoteAnchor"/>
          <w:rtl w:val="true"/>
        </w:rPr>
        <w:footnoteReference w:id="1681"/>
      </w:r>
      <w:r>
        <w:rPr>
          <w:rFonts w:ascii="Amiri" w:hAnsi="Amiri" w:eastAsia="Amiri" w:cs="Amiri"/>
          <w:color w:val="111111"/>
          <w:sz w:val="28"/>
          <w:sz w:val="28"/>
          <w:szCs w:val="28"/>
          <w:rtl w:val="true"/>
          <w:lang w:bidi="ar-SA"/>
        </w:rPr>
        <w:t xml:space="preserve">المكلّف به ، وهذا أمر ظاهر إلاّ أنّ الخبر المذكور يدلّ على أنّ الشارع قيّد المطلوب بهذا الأمر بما لو حصل للمكلّف علم تفصيلي بالمكلّف به وبالتكليف كما أنّ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لصورة يلزم فيها العسر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 xml:space="preserve">إنّما </w:t>
      </w:r>
      <w:r>
        <w:rPr>
          <w:rStyle w:val="FootnoteAnchor"/>
          <w:rtl w:val="true"/>
        </w:rPr>
        <w:footnoteReference w:id="1683"/>
      </w:r>
      <w:r>
        <w:rPr>
          <w:rFonts w:ascii="IRNazanin" w:hAnsi="IRNazanin" w:eastAsia="IRNazanin"/>
          <w:color w:val="111111"/>
          <w:sz w:val="28"/>
          <w:sz w:val="28"/>
          <w:szCs w:val="28"/>
          <w:rtl w:val="true"/>
          <w:lang w:bidi="fa-IR"/>
        </w:rPr>
        <w:t xml:space="preserve">فسّر المطلوب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والمطلوب هو ما إذا </w:t>
      </w:r>
      <w:r>
        <w:rPr>
          <w:rStyle w:val="FootnoteAnchor"/>
          <w:rtl w:val="true"/>
        </w:rPr>
        <w:footnoteReference w:id="1684"/>
      </w:r>
      <w:r>
        <w:rPr>
          <w:rFonts w:ascii="Amiri" w:hAnsi="Amiri" w:eastAsia="Amiri" w:cs="Amiri"/>
          <w:color w:val="111111"/>
          <w:sz w:val="28"/>
          <w:sz w:val="28"/>
          <w:szCs w:val="28"/>
          <w:rtl w:val="true"/>
          <w:lang w:bidi="ar-SA"/>
        </w:rPr>
        <w:t>لم يستلزم الصلاة العسر ولا ضير في ذلك فإنّه باب واسع في الأدلّة الشرعية 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الأدلّة الواقعية على وجه يكون مقيّدا للواقع كما في أدلّة العسر والحرج بالنسبة إلى سائر الشرعيات ، فواضح سقوطه ؛ لأنّ المنساق منه ومن 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تقييد الحكم بحصول المعرفة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الحلّية الظاهرية عند عدم العلم بالحرام الواقعي ، ولا يعقل تقييد الحلال الواقعي بالعلم بحرمته إذ لو كان هو الحلال في الواقع ، فلا حرمة فيه حتّى تكون </w:t>
      </w:r>
      <w:r>
        <w:rPr>
          <w:rStyle w:val="FootnoteAnchor"/>
          <w:rtl w:val="true"/>
        </w:rPr>
        <w:footnoteReference w:id="1685"/>
      </w:r>
      <w:r>
        <w:rPr>
          <w:rFonts w:ascii="Amiri" w:hAnsi="Amiri" w:eastAsia="Amiri" w:cs="Amiri"/>
          <w:color w:val="111111"/>
          <w:sz w:val="28"/>
          <w:sz w:val="28"/>
          <w:szCs w:val="28"/>
          <w:rtl w:val="true"/>
          <w:lang w:bidi="ar-SA"/>
        </w:rPr>
        <w:t>الحلّية مقيّدة بالعلم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يراد من الخبر أنّ الإناءين المشتبهين شيء فيه حلال هو الخلّ وفيه حرام هو </w:t>
      </w:r>
      <w:r>
        <w:rPr>
          <w:rStyle w:val="FootnoteAnchor"/>
          <w:rtl w:val="true"/>
        </w:rPr>
        <w:footnoteReference w:id="1686"/>
      </w:r>
      <w:r>
        <w:rPr>
          <w:rFonts w:ascii="Amiri" w:hAnsi="Amiri" w:eastAsia="Amiri" w:cs="Amiri"/>
          <w:color w:val="111111"/>
          <w:sz w:val="28"/>
          <w:sz w:val="28"/>
          <w:szCs w:val="28"/>
          <w:rtl w:val="true"/>
          <w:lang w:bidi="ar-SA"/>
        </w:rPr>
        <w:t>الخمر ، وذلك الشيء حلال لك في الواقع حتّى تعرف الخمر منه بعينه ، فاستعمل الحرام وأريد منه ما يصير حراما في بعض الأوقات كما إذا علم أنّه خمر إلاّ أنّه مجاز لا يصار إليه إلاّ بدليل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يكون حينئذ حكما واقعيا لعدم اختلاف الموضوعات بالعلم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لبعض المتأخّرين في بعض المقامات كالنجاسة ونحوها كلام يشعر بالتصويب فيها ، مع أنّ ذلك لو تمّ لما صحّ القول بإبقاء القدر المحرّم ، وقد عرفت فيما سبق دعوى الإجماع على حرمة المخالفة القطعية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حاكما على الأدلّة الواقعية لكن لا على وجه التقييد بل المستفاد منه عدم العقاب على تقدير تناول الخمر صورة الاشتباه ، فكما أنّ الأدلّة الواقعية شاملة للمكلّف حال الجهل في الشبهة البدوية </w:t>
      </w:r>
    </w:p>
    <w:p>
      <w:pPr>
        <w:pStyle w:val="BookText"/>
        <w:rPr/>
      </w:pPr>
      <w:r>
        <w:rPr>
          <w:rFonts w:ascii="Amiri" w:hAnsi="Amiri" w:eastAsia="Amiri" w:cs="Amiri"/>
          <w:color w:val="111111"/>
          <w:sz w:val="28"/>
          <w:sz w:val="28"/>
          <w:szCs w:val="28"/>
          <w:rtl w:val="true"/>
          <w:lang w:bidi="ar-SA"/>
        </w:rPr>
        <w:t xml:space="preserve">ومع ذلك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رفع العقاب ، فكذلك في المقام الأدلّة الواقعية شاملة لصورة العلم الإجمالي ، فما المانع من أن يكون هذا الخبر وأضرابه واردا في مقام بيان عدم ترتّب العقاب على ارتكاب الخمر حال الاشتباه؟ فبطلانه غير خفيّ على ذي مسكة لأنّ المراد بعدم العقاب إن كان 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تنظير المقام بالشبهة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فمتّضح الفساد إذ ليس للشارع أن يحكم بعدم الاستحقاق بعد وجود علّته التامّة فإنّ الاستحقاق من الأمور التي لا تعلّق لجعل الشارع فيه بل هو من الآثار العقلية للمخالفة والإطاعة ، ونفي الاستحقاق في الشبهة البدوية إنّما هو لعدم تحقّق علّته التامّة وهو العلم بحامل التكليف ، ولذلك كان العقاب قبيحا عقلا </w:t>
      </w:r>
      <w:r>
        <w:rPr>
          <w:rStyle w:val="FootnoteAnchor"/>
          <w:rtl w:val="true"/>
        </w:rPr>
        <w:footnoteReference w:id="1687"/>
      </w:r>
      <w:r>
        <w:rPr>
          <w:rFonts w:ascii="Amiri" w:hAnsi="Amiri" w:eastAsia="Amiri" w:cs="Amiri"/>
          <w:color w:val="111111"/>
          <w:sz w:val="28"/>
          <w:sz w:val="28"/>
          <w:szCs w:val="28"/>
          <w:rtl w:val="true"/>
          <w:lang w:bidi="ar-SA"/>
        </w:rPr>
        <w:t xml:space="preserve">أيضا ، والمفروض في المقام ثبوت التكليف ، فلا يصحّ قياسه بها لوجود الفارق وهو حكم العقل بالاستحقاق فيه لأنّ العلم بحامل التكليف وهو الخطاب الشامل للعلم التفصيلي والإجمالي علّة تامّة للامتثال على وجه يحصل معه العلم بدفع الضرر العقابي ، وقد مرّ أنّ الشرع لا يمكن وروده على خلاف حكم العقل في خصوص الضرر العقابي كما في أمثاله من العناوين المقتضية للحسن والقبح في حدود ذواتها على وجه لا يتغيّر حكمها بلحوق عنوان آخر كما في الكذب بالنسبة إلى اللّه </w:t>
      </w:r>
      <w:r>
        <w:rPr>
          <w:rStyle w:val="FootnoteAnchor"/>
          <w:rtl w:val="true"/>
        </w:rPr>
        <w:footnoteReference w:id="1688"/>
      </w:r>
      <w:r>
        <w:rPr>
          <w:rFonts w:ascii="Amiri" w:hAnsi="Amiri" w:eastAsia="Amiri" w:cs="Amiri"/>
          <w:color w:val="111111"/>
          <w:sz w:val="28"/>
          <w:sz w:val="28"/>
          <w:szCs w:val="28"/>
          <w:rtl w:val="true"/>
          <w:lang w:bidi="ar-SA"/>
        </w:rPr>
        <w:t>تعالى والشرك وأضرابهما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لو </w:t>
      </w:r>
      <w:r>
        <w:rPr>
          <w:rStyle w:val="FootnoteAnchor"/>
          <w:rtl w:val="true"/>
        </w:rPr>
        <w:footnoteReference w:id="1689"/>
      </w:r>
      <w:r>
        <w:rPr>
          <w:rFonts w:ascii="Amiri" w:hAnsi="Amiri" w:eastAsia="Amiri" w:cs="Amiri"/>
          <w:color w:val="111111"/>
          <w:sz w:val="28"/>
          <w:sz w:val="28"/>
          <w:szCs w:val="28"/>
          <w:rtl w:val="true"/>
          <w:lang w:bidi="ar-SA"/>
        </w:rPr>
        <w:t xml:space="preserve">علم المكلّف إجمالا بالتكليف لا تفصيلا يصحّ أن يجعل الشارع طريقا للوصول إلى الواقع على وجه لو كان هو الواقع فهو ، وإلاّ كان مسقطا عنه لكن لا على وجه البدلية ليصحّ القول بالإجزاء فيما لو انكشف الخلاف ، ولا على وجه التقييد كما زعمه بعض الأجلّة على ما مرّ تفصيل الكلام في تزييفه في مباحث الظنّ ، ولا على وجه لا يترتّب عليه العصيان فيما لو صادف الواقع وتخلّف عن الطريق فإنّه واقع جعلي ، وفهم هذا المقام كما ينبغي يحتاج إلى لطف قريحة ولطافة سليقة فإنّ فيه نوع </w:t>
      </w:r>
    </w:p>
    <w:p>
      <w:pPr>
        <w:pStyle w:val="BookText"/>
        <w:rPr/>
      </w:pPr>
      <w:r>
        <w:rPr>
          <w:rFonts w:ascii="IRNazanin" w:hAnsi="IRNazanin" w:eastAsia="IRNazanin"/>
          <w:color w:val="111111"/>
          <w:sz w:val="28"/>
          <w:sz w:val="28"/>
          <w:szCs w:val="28"/>
          <w:rtl w:val="true"/>
          <w:lang w:bidi="fa-IR"/>
        </w:rPr>
        <w:t>خفاء وغموض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فلا قبح في العقول أن يجعل الشارع قول العدل طريقا إلى الواقع عند اشتباه الخمر بالخلّ على ما نبّهنا عليه في نظير المقام في الشبهة الوجوبية ، ولا منافاة بين أدلّة الواقع وبين ما به يصير إليه </w:t>
      </w:r>
      <w:r>
        <w:rPr>
          <w:rStyle w:val="FootnoteAnchor"/>
          <w:rtl w:val="true"/>
        </w:rPr>
        <w:footnoteReference w:id="1690"/>
      </w:r>
      <w:r>
        <w:rPr>
          <w:rFonts w:ascii="Amiri" w:hAnsi="Amiri" w:eastAsia="Amiri" w:cs="Amiri"/>
          <w:color w:val="111111"/>
          <w:sz w:val="28"/>
          <w:sz w:val="28"/>
          <w:szCs w:val="28"/>
          <w:rtl w:val="true"/>
          <w:lang w:bidi="ar-SA"/>
        </w:rPr>
        <w:t>طريقا بل يؤكّده لما عرفت من أنّها طريق إليه ومفادها واقع لكن جعلا على وجه يكون امتثال الواقع فيه ، ولا يكون مسقطا عنه كما في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أنّه على تقدير جعل الطريق لا تعارض بين أدلّة الواقع وبين ما يدلّ على طريقية الطرق الظاهرية ، فلا يصير موردا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بعدم العقاب العفو ولو كان مستحقّا أيضا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يحم حول هذه المقالة بعد الغضّ </w:t>
      </w:r>
      <w:r>
        <w:rPr>
          <w:rStyle w:val="FootnoteAnchor"/>
          <w:rtl w:val="true"/>
        </w:rPr>
        <w:footnoteReference w:id="1691"/>
      </w:r>
      <w:r>
        <w:rPr>
          <w:rFonts w:ascii="Amiri" w:hAnsi="Amiri" w:eastAsia="Amiri" w:cs="Amiri"/>
          <w:color w:val="111111"/>
          <w:sz w:val="28"/>
          <w:sz w:val="28"/>
          <w:szCs w:val="28"/>
          <w:rtl w:val="true"/>
          <w:lang w:bidi="ar-SA"/>
        </w:rPr>
        <w:t>عن عدم دلالة الرواية عليه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حقيقة هو إثبات استحقاق المرتكب للشبهة المحصورة ، وما علينا بيان فعلية العقاب فإنّه بيده يفعل ما يشاء ، ويحكم ما يريد ، فلعلّ العفو مستند </w:t>
      </w:r>
      <w:r>
        <w:rPr>
          <w:rStyle w:val="FootnoteAnchor"/>
          <w:rtl w:val="true"/>
        </w:rPr>
        <w:footnoteReference w:id="1692"/>
      </w:r>
      <w:r>
        <w:rPr>
          <w:rFonts w:ascii="Amiri" w:hAnsi="Amiri" w:eastAsia="Amiri" w:cs="Amiri"/>
          <w:color w:val="111111"/>
          <w:sz w:val="28"/>
          <w:sz w:val="28"/>
          <w:szCs w:val="28"/>
          <w:rtl w:val="true"/>
          <w:lang w:bidi="ar-SA"/>
        </w:rPr>
        <w:t xml:space="preserve">إلى رحمته الواسعة ، وقد مرّ أنّ الاستناد إلى الرواية وأشباهها في الحكم بالإباحة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1693"/>
      </w:r>
      <w:r>
        <w:rPr>
          <w:rFonts w:ascii="Amiri" w:hAnsi="Amiri" w:eastAsia="Amiri" w:cs="Amiri"/>
          <w:color w:val="111111"/>
          <w:sz w:val="28"/>
          <w:sz w:val="28"/>
          <w:szCs w:val="28"/>
          <w:rtl w:val="true"/>
          <w:lang w:bidi="ar-SA"/>
        </w:rPr>
        <w:t xml:space="preserve">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يجدي للقائل بعدم وجوب الموافقة القطعية لعدم دلالتها على جواز ارتكاب أحدها كما هو المقصود في المقام ؛ إذ بعد عدم اعتبار الفرد المعيّن لاستلزامهما الترجيح بلا مرجّح وعدم ملاحظة المجموع نظرا إلى خلاف الفرض لا يعقل دخول الفرد الانتزاعي واعتباره في العامّ الدالّ على الإباحة ؛ لخروج منشأ الانتزاع عنه كما لا يخفى بل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قاعدة سارية في غير المقام أيضا هي أنّه كلّما خرج عن العامّ بعض أبعاضه </w:t>
      </w:r>
      <w:r>
        <w:rPr>
          <w:rStyle w:val="FootnoteAnchor"/>
          <w:rtl w:val="true"/>
        </w:rPr>
        <w:footnoteReference w:id="1694"/>
      </w:r>
      <w:r>
        <w:rPr>
          <w:rFonts w:ascii="Amiri" w:hAnsi="Amiri" w:eastAsia="Amiri" w:cs="Amiri"/>
          <w:color w:val="111111"/>
          <w:sz w:val="28"/>
          <w:sz w:val="28"/>
          <w:szCs w:val="28"/>
          <w:rtl w:val="true"/>
          <w:lang w:bidi="ar-SA"/>
        </w:rPr>
        <w:t xml:space="preserve">الشخصية لا وجه للقول بأنّ الأمر المنتزع منها </w:t>
      </w:r>
    </w:p>
    <w:p>
      <w:pPr>
        <w:pStyle w:val="BookText"/>
        <w:rPr/>
      </w:pPr>
      <w:r>
        <w:rPr>
          <w:rFonts w:ascii="Amiri" w:hAnsi="Amiri" w:eastAsia="Amiri" w:cs="Amiri"/>
          <w:color w:val="111111"/>
          <w:sz w:val="28"/>
          <w:sz w:val="28"/>
          <w:szCs w:val="28"/>
          <w:rtl w:val="true"/>
          <w:lang w:bidi="ar-SA"/>
        </w:rPr>
        <w:t>داخل فيما لو شكّ في أنّ الخارج هو خصوص ذلك أو غيره ، ومن هنا قلنا بسقوط الاستصحابين وسائر الأصول المتعارضة عند التعارض ؛ لخروج أحدهما قطعا عن الدليل الدالّ على حجّية الأصول ولا معيّن لأحدهما بالخصوص إذا لم يكن أحد سببا ، والفرد الغير المعيّن أيضا فرد انتزاعي ، وبعد خروج منشأ الانتزاع لا وجه للقول بدخوله فيه ، فلا بدّ من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يستثنى من ذلك ما لو علمنا بمطلوبية المتعارضين واشتمالهما على مصلحة الحكم حتّى عند التعارض كما في تزاحم الحقوق كإنقاذ غريقين وإطفاء حريقين ، ولتحقيق المقام محلّ آخر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 بعدم جواز المخالفة القطعية في المورد الأوّل وعدم وجوب الموافقة القطعية في المورد الثاني ربّما يظهر من بعضهم الاستناد إلى عدم جواز تحصيل العلم في الوقوع في المحرّم كما هو صريح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تجشّم بعض </w:t>
      </w:r>
      <w:r>
        <w:rPr>
          <w:rStyle w:val="FootnoteAnchor"/>
          <w:rtl w:val="true"/>
        </w:rPr>
        <w:footnoteReference w:id="1695"/>
      </w:r>
      <w:r>
        <w:rPr>
          <w:rFonts w:ascii="Amiri" w:hAnsi="Amiri" w:eastAsia="Amiri" w:cs="Amiri"/>
          <w:color w:val="111111"/>
          <w:sz w:val="28"/>
          <w:sz w:val="28"/>
          <w:szCs w:val="28"/>
          <w:rtl w:val="true"/>
          <w:lang w:bidi="ar-SA"/>
        </w:rPr>
        <w:t xml:space="preserve">الآخر في المقام بما لم نقف له على محصّل إلاّ بالرجوع إلى ذلك بتقريب أنّ ارتكاب الباقي مقدّمة لتحصيل العلم في الوقوع في المحرّم ، وكما أنّ ارتكاب نفس الحرام حرام ، فكذا تحصيل العلم بالوقوع في المحرّم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بعض الأجلّة </w:t>
      </w:r>
      <w:r>
        <w:rPr>
          <w:rStyle w:val="FootnoteAnchor"/>
          <w:rtl w:val="true"/>
        </w:rPr>
        <w:footnoteReference w:id="1697"/>
      </w:r>
      <w:r>
        <w:rPr>
          <w:rFonts w:ascii="Amiri" w:hAnsi="Amiri" w:eastAsia="Amiri" w:cs="Amiri"/>
          <w:color w:val="111111"/>
          <w:sz w:val="28"/>
          <w:sz w:val="28"/>
          <w:szCs w:val="28"/>
          <w:rtl w:val="true"/>
          <w:lang w:bidi="ar-SA"/>
        </w:rPr>
        <w:t>بأنّ تحصيل العلم بالحرام لو كان حراما لحرم على من نسي معاصيه أن يراجع ما يفيده تذكّرها ، فيحرم على من شرب مائعا أن يستعلم من كونه خمرا وهو ممّا لا يقول به أحد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تحصيل العلم بالوقوع في الحرام يقع على وجهين ، فتارة بالفحص عن أحواله السابقة وأعماله المتقدّمة من غير أن يكون مشتغلا بما يحتمل أن يكون هو المحرّم قطعا كما في مفروض المعترض من تذكّره لها واستعلامه عمّن يصاحبه ، أو عن </w:t>
      </w:r>
    </w:p>
    <w:p>
      <w:pPr>
        <w:pStyle w:val="BookText"/>
        <w:rPr/>
      </w:pPr>
      <w:r>
        <w:rPr>
          <w:rFonts w:ascii="Amiri" w:hAnsi="Amiri" w:eastAsia="Amiri" w:cs="Amiri"/>
          <w:color w:val="111111"/>
          <w:sz w:val="28"/>
          <w:sz w:val="28"/>
          <w:szCs w:val="28"/>
          <w:rtl w:val="true"/>
          <w:lang w:bidi="ar-SA"/>
        </w:rPr>
        <w:t xml:space="preserve">أهل الخبرة فيما إذا اشتبه عليه موضوع وغير ذلك من أسباب حصول العلم ، وأخرى بارتكاب ما به يتمّ عنوان الحرام وما به يحصل مصداق الفعل المحرّم في الواقع ، فالمكلّف إنّما يوجد ما به يحصل له العلم بحصول الفعل المحرّم في الخارج كما في العمل بالأشكال المجسّمة ، فإنّ الاشتغال بما تتمّ به الصورة </w:t>
      </w:r>
      <w:r>
        <w:rPr>
          <w:rStyle w:val="FootnoteAnchor"/>
          <w:rtl w:val="true"/>
        </w:rPr>
        <w:footnoteReference w:id="1698"/>
      </w:r>
      <w:r>
        <w:rPr>
          <w:rFonts w:ascii="Amiri" w:hAnsi="Amiri" w:eastAsia="Amiri" w:cs="Amiri"/>
          <w:color w:val="111111"/>
          <w:sz w:val="28"/>
          <w:sz w:val="28"/>
          <w:szCs w:val="28"/>
          <w:rtl w:val="true"/>
          <w:lang w:bidi="ar-SA"/>
        </w:rPr>
        <w:t>من الأجزاء الباقية مثلا محصّل للعلم بوقوع المكلّف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والمستدلّ إنّما بنى استدلاله على القسم الثاني ، والمعترض إنّما حاول الاعتراض عليه بالقسم الأوّل ، وكم من فرق بين المقامين فإنّه لا شكّ في عدم حرمة الأوّل وإن كان قد يظهر من بعض الآثار المرويّة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يلوح منه الكراهة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سأل السائل عن كون زوجته الانقطاعية في حبالة زوج آخر فعلم به </w:t>
      </w:r>
      <w:r>
        <w:rPr>
          <w:rStyle w:val="FootnoteAnchor"/>
          <w:rtl w:val="true"/>
        </w:rPr>
        <w:footnoteReference w:id="1699"/>
      </w:r>
      <w:r>
        <w:rPr>
          <w:rFonts w:ascii="Amiri" w:hAnsi="Amiri" w:eastAsia="Amiri" w:cs="Amiri"/>
          <w:color w:val="111111"/>
          <w:sz w:val="28"/>
          <w:sz w:val="28"/>
          <w:szCs w:val="28"/>
          <w:rtl w:val="true"/>
          <w:lang w:bidi="ar-SA"/>
        </w:rPr>
        <w:t>، كما أنّه لا ريب في حرمة الثاني ؛ لأنّ العنوان المحرّم يحصّله بعلمه لمكان مدخلية له فيه ، فالمستدلّ زعم أنّ ارتكاب الأفراد الباقية إنّما هو بمنزلة تتميم الصورة المنقوشة وارتكاب غيرها بمنزلة الأجزاء الأول من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الجواب عدم صحّة المقايسة </w:t>
      </w:r>
      <w:r>
        <w:rPr>
          <w:rStyle w:val="FootnoteAnchor"/>
          <w:rtl w:val="true"/>
        </w:rPr>
        <w:footnoteReference w:id="1700"/>
      </w:r>
      <w:r>
        <w:rPr>
          <w:rFonts w:ascii="Amiri" w:hAnsi="Amiri" w:eastAsia="Amiri" w:cs="Amiri"/>
          <w:color w:val="111111"/>
          <w:sz w:val="28"/>
          <w:sz w:val="28"/>
          <w:szCs w:val="28"/>
          <w:rtl w:val="true"/>
          <w:lang w:bidi="ar-SA"/>
        </w:rPr>
        <w:t>بالمثال المذكور بإبداء الفرق بينهما من أنّ الاشتغال بالأجزاء الباقية من الصورة المنقوشة قطعا محصّل لعنوان محرّم ، وبه يتمّ مصداق الفعل الحرام لدوران الحكم مدار اسم الكلّ ، وبه يحصل الكلّ بخلاف الإتيان بالأفراد الباقية إذ لا قطع بأنّ ارتكاب تلك الأفراد محصّل لعنوان الفعل المحرّم ، فلعلّه حصل بالفرد الأوّل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الحرمة في الصورة أيضا لا تترتّب على تحصيل العلم بالحرام </w:t>
      </w:r>
      <w:r>
        <w:rPr>
          <w:rStyle w:val="FootnoteAnchor"/>
          <w:rtl w:val="true"/>
        </w:rPr>
        <w:footnoteReference w:id="1701"/>
      </w:r>
      <w:r>
        <w:rPr>
          <w:rFonts w:ascii="Amiri" w:hAnsi="Amiri" w:eastAsia="Amiri" w:cs="Amiri"/>
          <w:color w:val="111111"/>
          <w:sz w:val="28"/>
          <w:sz w:val="28"/>
          <w:szCs w:val="28"/>
          <w:rtl w:val="true"/>
          <w:lang w:bidi="ar-SA"/>
        </w:rPr>
        <w:t>بل إنّما يلازم نفس الفعل ، وحيث إنّ تمام الفعل في الخارج يلازم العلم بحصول الحرام ، فقد يتوهّم المتوهّم أنّ تحصيل العلم بالحرام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فلا دليل على لزوم إبقاء مقدار ما يساوي الحرام إلاّ دعوى حرمة تحصيل العلم بالحرام كما عرفت ، ولا دليل عليه لا عقلا ولا نقلا ، والعمدة في المقام هو عدم جواز التصرّف في الأدلّة الواقعية ، وحكم العقل بوجوب تحصيل الإطاعة والفراغ بعد العلم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لزوم الموافقة القطعية ببناء العقلاء فإنّهم بسجاياهم يحكمون على لزوم الاحتراز من الإناءين المقطوع وجود السمّ في أحدهما ، ويلحقون المرتكب لهما بأصحاب السوداء والجنون ، وهو كذلك إلاّ أنّه لا ينهض حجّة في المقام وأمثاله لما ستعرف من أنّ إلزام العقلاء على ذلك من جهة قصور أنظارهم على إحراز المصالح والمفاسد الكائنة في نفس الأشياء مع قطع النظر عن التعبّد بأوامره ونواهيه ، فكأنّهم يوجبون الاحتياط في الأمور الراجعة إليهم ، وذلك لا يتمّ فيما علمنا عدم الاقتصار على مجرّد المصالح والمفاسد لمدخل التعبّد فيه كما في الشرعيات بعد عدم دليل على وجوب الاحتياط إلاّ ما دلّ على وجوب الشيء في الواقع ، فظهر أنّ الركون إلى مثل هذا الوجه ممّا لا تعويل عليه إلاّ بعد الرجوع إلى ما مرّ وأوله إلى ما ذكر وبدونه لا جدوى فيه لاختلاف وجوه الأدلّة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يلوح من بعض متأخّري المتأخّرين كصاحب الحدائق </w:t>
      </w:r>
      <w:r>
        <w:rPr>
          <w:rStyle w:val="FootnoteAnchor"/>
          <w:rtl w:val="true"/>
        </w:rPr>
        <w:footnoteReference w:id="1702"/>
      </w:r>
      <w:r>
        <w:rPr>
          <w:rFonts w:ascii="Amiri" w:hAnsi="Amiri" w:eastAsia="Amiri" w:cs="Amiri"/>
          <w:color w:val="111111"/>
          <w:sz w:val="28"/>
          <w:sz w:val="28"/>
          <w:szCs w:val="28"/>
          <w:rtl w:val="true"/>
          <w:lang w:bidi="ar-SA"/>
        </w:rPr>
        <w:t>دعوى الاستقراء على عدم جواز الارتكاب ، وفيه منع واضح إذ الموارد التي بملاحظتها حكم بالاستقراء لا تزيد على معدود ، فهي في غاية القلّة ، فكيف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بدّل هذه الدعوى بدعوى دلالة </w:t>
      </w:r>
      <w:r>
        <w:rPr>
          <w:rStyle w:val="FootnoteAnchor"/>
          <w:rtl w:val="true"/>
        </w:rPr>
        <w:footnoteReference w:id="1703"/>
      </w:r>
      <w:r>
        <w:rPr>
          <w:rFonts w:ascii="Amiri" w:hAnsi="Amiri" w:eastAsia="Amiri" w:cs="Amiri"/>
          <w:color w:val="111111"/>
          <w:sz w:val="28"/>
          <w:sz w:val="28"/>
          <w:szCs w:val="28"/>
          <w:rtl w:val="true"/>
          <w:lang w:bidi="ar-SA"/>
        </w:rPr>
        <w:t>بعض الأخبار الواردة في موارد خاصّة ولو بعد تنقيح مناطها على حرمة الارتكاب ، لم يكن بذلك البعيد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في حديث طويل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أصابه ولم أدر أين هو فأغسله؟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من ثوبك الناحية التي ترى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أصابها حتّى تكون على يقين من طهارتك </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والتقريب ظاهر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الحلال والحرام إلاّ وقد غلب الحرام على الحلال </w:t>
      </w:r>
      <w:r>
        <w:rPr>
          <w:rFonts w:eastAsia="IRNazanin" w:cs="IRNazanin"/>
          <w:color w:val="111111"/>
          <w:sz w:val="28"/>
          <w:szCs w:val="28"/>
          <w:rtl w:val="true"/>
          <w:lang w:bidi="fa-IR"/>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والرواية عامية رواها عبد الرزّاق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الجعفي عن الشعبي عن ابن مسعود ، وجابر الجعفي ضعيف والشعبي عن ابن مسعود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العجلوني في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السبكي في الأشباه والنظائر نقلا عن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الجعفي عن ابن مسعود وفيه ضعف وانقطاع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الزين العراقي في تخريج منهاج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 وأدرجه ابن مفلح في أوّل كتابه في الأصول فيما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في بحار الأنوار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الرواية فهي عامّية مخالفة للروايات المعتبرة ، والأصل والعمومات وحصر المحرّمات يرجّح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عند عبد الرزّاق والبيهقي ، وفي سائر المصادر وردت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قريبه في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على المطلوب لظهوره في المزجيات </w:t>
      </w:r>
      <w:r>
        <w:rPr>
          <w:rStyle w:val="FootnoteAnchor"/>
          <w:rtl w:val="true"/>
        </w:rPr>
        <w:footnoteReference w:id="1706"/>
      </w:r>
      <w:r>
        <w:rPr>
          <w:rFonts w:ascii="Amiri" w:hAnsi="Amiri" w:eastAsia="Amiri" w:cs="Amiri"/>
          <w:color w:val="111111"/>
          <w:sz w:val="28"/>
          <w:sz w:val="28"/>
          <w:szCs w:val="28"/>
          <w:rtl w:val="true"/>
          <w:lang w:bidi="ar-SA"/>
        </w:rPr>
        <w:t xml:space="preserve">كما يؤيّده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الآخر </w:t>
      </w:r>
      <w:r>
        <w:rPr>
          <w:rStyle w:val="FootnoteAnchor"/>
          <w:rtl w:val="true"/>
        </w:rPr>
        <w:footnoteReference w:id="1707"/>
      </w:r>
      <w:r>
        <w:rPr>
          <w:rFonts w:ascii="Amiri" w:hAnsi="Amiri" w:eastAsia="Amiri" w:cs="Amiri"/>
          <w:color w:val="111111"/>
          <w:sz w:val="28"/>
          <w:sz w:val="28"/>
          <w:szCs w:val="28"/>
          <w:rtl w:val="true"/>
          <w:lang w:bidi="ar-SA"/>
        </w:rPr>
        <w:t>وقد عرفت أنّ صورة المزج خارجة عن محلّ الكلام كما إذا امتزج السمن بمثله المحرّم أو بغير جنسه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فالحرمة في المزجيات ليست </w:t>
      </w:r>
      <w:r>
        <w:rPr>
          <w:rStyle w:val="FootnoteAnchor"/>
          <w:rtl w:val="true"/>
        </w:rPr>
        <w:footnoteReference w:id="1708"/>
      </w:r>
      <w:r>
        <w:rPr>
          <w:rFonts w:ascii="Amiri" w:hAnsi="Amiri" w:eastAsia="Amiri" w:cs="Amiri"/>
          <w:color w:val="111111"/>
          <w:sz w:val="28"/>
          <w:sz w:val="28"/>
          <w:szCs w:val="28"/>
          <w:rtl w:val="true"/>
          <w:lang w:bidi="ar-SA"/>
        </w:rPr>
        <w:t>باعتبار غلبة جانب الحرام الحلال عند العلم بحرمة أحد المختلطين إجمالا بل بواسطة عنوان تفصيلي آخر وهو حصول الشركة أو النجاسة القطعية فإنّهم قد عدّوا من أسباب الشركة المزج اختيارا أو اضطرارا ، وبعد حصولها يحرم التصرّف بواسطة حصول الإشاعة ولا مدخل للحرام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معارضة الخبر بمثله بتقديم الحرام على الحلال كما عن بعض الأعاظم من الأواخر </w:t>
      </w:r>
      <w:r>
        <w:rPr>
          <w:rStyle w:val="FootnoteAnchor"/>
          <w:rtl w:val="true"/>
        </w:rPr>
        <w:footnoteReference w:id="1709"/>
      </w:r>
      <w:r>
        <w:rPr>
          <w:rFonts w:ascii="Amiri" w:hAnsi="Amiri" w:eastAsia="Amiri" w:cs="Amiri"/>
          <w:color w:val="111111"/>
          <w:sz w:val="28"/>
          <w:sz w:val="28"/>
          <w:szCs w:val="28"/>
          <w:rtl w:val="true"/>
          <w:lang w:bidi="ar-SA"/>
        </w:rPr>
        <w:t xml:space="preserve">، فمدفوع بأنّ أمثال هذه الأخبار ممّا لا تعويل عليها إلاّ فيما عاضده العمل على وجه يحصل الاطمئنان بسندها ودلالتها ، والأوّل كذلك لاستناد العلاّمة </w:t>
      </w:r>
      <w:r>
        <w:rPr>
          <w:rStyle w:val="FootnoteAnchor"/>
          <w:rtl w:val="true"/>
        </w:rPr>
        <w:footnoteReference w:id="1710"/>
      </w:r>
      <w:r>
        <w:rPr>
          <w:rFonts w:ascii="Amiri" w:hAnsi="Amiri" w:eastAsia="Amiri" w:cs="Amiri"/>
          <w:color w:val="111111"/>
          <w:sz w:val="28"/>
          <w:sz w:val="28"/>
          <w:szCs w:val="28"/>
          <w:rtl w:val="true"/>
          <w:lang w:bidi="ar-SA"/>
        </w:rPr>
        <w:t xml:space="preserve">إليه في بعض الموارد بخلاف الثاني ، فلا بدّ من حمله على وجه لا ينافي الأوّل كأن يحمل على نصب الحلال على أن يكون مفعولا </w:t>
      </w:r>
      <w:r>
        <w:rPr>
          <w:rStyle w:val="FootnoteAnchor"/>
          <w:rtl w:val="true"/>
        </w:rPr>
        <w:footnoteReference w:id="1711"/>
      </w:r>
      <w:r>
        <w:rPr>
          <w:rFonts w:ascii="IRNazanin" w:hAnsi="IRNazanin" w:eastAsia="IRNazanin"/>
          <w:color w:val="111111"/>
          <w:sz w:val="28"/>
          <w:sz w:val="28"/>
          <w:szCs w:val="28"/>
          <w:rtl w:val="true"/>
          <w:lang w:bidi="fa-IR"/>
        </w:rPr>
        <w:t xml:space="preserve">ورفع الحرام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اتركوا ما لا بأس به حذرا ممّا به البأس </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قال المحقّق الحلّي في الرسائل التسع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المستدل بهذه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نعرفها والجمهور قد أنكرها أكثرهم ، قال صاحب كتاب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إليه ابن إدريس </w:t>
      </w:r>
      <w:r>
        <w:rPr>
          <w:rStyle w:val="FootnoteAnchor"/>
          <w:rtl w:val="true"/>
        </w:rPr>
        <w:footnoteReference w:id="1714"/>
      </w:r>
      <w:r>
        <w:rPr>
          <w:rFonts w:ascii="Amiri" w:hAnsi="Amiri" w:eastAsia="Amiri" w:cs="Amiri"/>
          <w:color w:val="111111"/>
          <w:sz w:val="28"/>
          <w:sz w:val="28"/>
          <w:szCs w:val="28"/>
          <w:rtl w:val="true"/>
          <w:lang w:bidi="ar-SA"/>
        </w:rPr>
        <w:t xml:space="preserve">في مقام وجوب الاحتياط في قضاء صلاة </w:t>
      </w:r>
      <w:r>
        <w:rPr>
          <w:rStyle w:val="FootnoteAnchor"/>
          <w:rtl w:val="true"/>
        </w:rPr>
        <w:footnoteReference w:id="1715"/>
      </w:r>
      <w:r>
        <w:rPr>
          <w:rFonts w:ascii="Amiri" w:hAnsi="Amiri" w:eastAsia="Amiri" w:cs="Amiri"/>
          <w:color w:val="111111"/>
          <w:sz w:val="28"/>
          <w:sz w:val="28"/>
          <w:szCs w:val="28"/>
          <w:rtl w:val="true"/>
          <w:lang w:bidi="ar-SA"/>
        </w:rPr>
        <w:t>الفائتة ، ودلالته على لزوم ترك المباح الواقعي مقدّمة لترك الحرام ظاهرة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سماعة عن الصادق عليه‌السلام في رجل معه إناءان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w:t>
      </w:r>
    </w:p>
    <w:p>
      <w:pPr>
        <w:pStyle w:val="BookText"/>
        <w:rPr/>
      </w:pPr>
      <w:r>
        <w:rPr>
          <w:rFonts w:ascii="Amiri" w:hAnsi="Amiri" w:eastAsia="Amiri" w:cs="Amiri"/>
          <w:color w:val="111111"/>
          <w:sz w:val="28"/>
          <w:sz w:val="28"/>
          <w:szCs w:val="28"/>
          <w:rtl w:val="true"/>
          <w:lang w:bidi="ar-SA"/>
        </w:rPr>
        <w:t xml:space="preserve">أحدهما ولا يدري أيّهما هو وليس يقدر على ماء غيرهما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ويتيمّم </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 xml:space="preserve">ومثله موثّقة عمّار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المحاسن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الجبن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راى أنّه يجعل فيه الميتة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أنّه </w:t>
      </w:r>
      <w:r>
        <w:rPr>
          <w:rStyle w:val="FootnoteAnchor"/>
          <w:rtl w:val="true"/>
        </w:rPr>
        <w:footnoteReference w:id="1718"/>
      </w:r>
      <w:r>
        <w:rPr>
          <w:rFonts w:ascii="Amiri" w:hAnsi="Amiri" w:eastAsia="Amiri" w:cs="Amiri"/>
          <w:color w:val="111111"/>
          <w:sz w:val="28"/>
          <w:sz w:val="28"/>
          <w:szCs w:val="28"/>
          <w:rtl w:val="true"/>
          <w:lang w:bidi="ar-SA"/>
        </w:rPr>
        <w:t xml:space="preserve">مكان </w:t>
      </w:r>
      <w:r>
        <w:rPr>
          <w:rStyle w:val="FootnoteAnchor"/>
          <w:rtl w:val="true"/>
        </w:rPr>
        <w:footnoteReference w:id="1719"/>
      </w:r>
      <w:r>
        <w:rPr>
          <w:rFonts w:ascii="Amiri" w:hAnsi="Amiri" w:eastAsia="Amiri" w:cs="Amiri"/>
          <w:color w:val="111111"/>
          <w:sz w:val="28"/>
          <w:sz w:val="28"/>
          <w:szCs w:val="28"/>
          <w:rtl w:val="true"/>
          <w:lang w:bidi="ar-SA"/>
        </w:rPr>
        <w:t xml:space="preserve">واحد يجعل فيه الميتة حرّم جميع ما في الأرض فما علمت منه أنّه ميتة فلا تأكله وما لم تعلمه </w:t>
      </w:r>
      <w:r>
        <w:rPr>
          <w:rStyle w:val="FootnoteAnchor"/>
          <w:rtl w:val="true"/>
        </w:rPr>
        <w:footnoteReference w:id="1720"/>
      </w:r>
      <w:r>
        <w:rPr>
          <w:rFonts w:ascii="Amiri" w:hAnsi="Amiri" w:eastAsia="Amiri" w:cs="Amiri"/>
          <w:color w:val="111111"/>
          <w:sz w:val="28"/>
          <w:sz w:val="28"/>
          <w:szCs w:val="28"/>
          <w:rtl w:val="true"/>
          <w:lang w:bidi="ar-SA"/>
        </w:rPr>
        <w:t xml:space="preserve">فاشتره وبعه وكله واللّه إنّي لأعرض </w:t>
      </w:r>
      <w:r>
        <w:rPr>
          <w:rStyle w:val="FootnoteAnchor"/>
          <w:rtl w:val="true"/>
        </w:rPr>
        <w:footnoteReference w:id="1721"/>
      </w:r>
      <w:r>
        <w:rPr>
          <w:rFonts w:ascii="Amiri" w:hAnsi="Amiri" w:eastAsia="Amiri" w:cs="Amiri"/>
          <w:color w:val="111111"/>
          <w:sz w:val="28"/>
          <w:sz w:val="28"/>
          <w:szCs w:val="28"/>
          <w:rtl w:val="true"/>
          <w:lang w:bidi="ar-SA"/>
        </w:rPr>
        <w:t xml:space="preserve">السوق فأشتري منه اللحم والسمن والجبن واللّه ما أظنّ كلّهم مسلمون </w:t>
      </w:r>
      <w:r>
        <w:rPr>
          <w:rStyle w:val="FootnoteAnchor"/>
          <w:rtl w:val="true"/>
        </w:rPr>
        <w:footnoteReference w:id="1722"/>
      </w:r>
      <w:r>
        <w:rPr>
          <w:rFonts w:ascii="IRNazanin" w:hAnsi="IRNazanin" w:eastAsia="IRNazanin"/>
          <w:color w:val="111111"/>
          <w:sz w:val="28"/>
          <w:sz w:val="28"/>
          <w:szCs w:val="28"/>
          <w:rtl w:val="true"/>
          <w:lang w:bidi="fa-IR"/>
        </w:rPr>
        <w:t xml:space="preserve">هذه البربر </w:t>
      </w:r>
      <w:r>
        <w:rPr>
          <w:rStyle w:val="FootnoteAnchor"/>
          <w:rtl w:val="true"/>
        </w:rPr>
        <w:footnoteReference w:id="1723"/>
      </w:r>
      <w:r>
        <w:rPr>
          <w:rFonts w:ascii="IRNazanin" w:hAnsi="IRNazanin" w:eastAsia="IRNazanin"/>
          <w:color w:val="111111"/>
          <w:sz w:val="28"/>
          <w:sz w:val="28"/>
          <w:szCs w:val="28"/>
          <w:rtl w:val="true"/>
          <w:lang w:bidi="fa-IR"/>
        </w:rPr>
        <w:t xml:space="preserve">وهذه السودان </w:t>
      </w:r>
      <w:r>
        <w:rPr>
          <w:rFonts w:eastAsia="IRNazanin" w:cs="IRNazanin"/>
          <w:color w:val="111111"/>
          <w:sz w:val="28"/>
          <w:szCs w:val="28"/>
          <w:rtl w:val="true"/>
          <w:lang w:bidi="fa-IR"/>
        </w:rPr>
        <w:t xml:space="preserve">» </w:t>
      </w:r>
      <w:r>
        <w:rPr>
          <w:rStyle w:val="FootnoteAnchor"/>
          <w:rtl w:val="true"/>
        </w:rPr>
        <w:footnoteReference w:id="1724"/>
      </w:r>
      <w:r>
        <w:rPr>
          <w:rFonts w:ascii="Amiri" w:hAnsi="Amiri" w:eastAsia="Amiri" w:cs="Amiri"/>
          <w:color w:val="111111"/>
          <w:sz w:val="28"/>
          <w:sz w:val="28"/>
          <w:szCs w:val="28"/>
          <w:rtl w:val="true"/>
          <w:lang w:bidi="ar-SA"/>
        </w:rPr>
        <w:t>فإنّ فيه إشعارا بلزوم الاجتناب في صورة الانحصار كما لا يخفى على الخبير بصناعة الكلام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القرعة سؤالا وجوابا فإنّها بسياقها تدلّ </w:t>
      </w:r>
      <w:r>
        <w:rPr>
          <w:rStyle w:val="FootnoteAnchor"/>
          <w:rtl w:val="true"/>
        </w:rPr>
        <w:footnoteReference w:id="1725"/>
      </w:r>
      <w:r>
        <w:rPr>
          <w:rFonts w:ascii="Amiri" w:hAnsi="Amiri" w:eastAsia="Amiri" w:cs="Amiri"/>
          <w:color w:val="111111"/>
          <w:sz w:val="28"/>
          <w:sz w:val="28"/>
          <w:szCs w:val="28"/>
          <w:rtl w:val="true"/>
          <w:lang w:bidi="ar-SA"/>
        </w:rPr>
        <w:t xml:space="preserve">على أنّ سجيّة أهل الشرع كافّة على عدم الارتكاب وتوقّفهم فيه فإنّ يحيى بن أكثم من قضاة العامّة فقد حاول عرض المشاكل على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الإمام عليه‌السلام بكون القرعة طريقا إلى الواقع </w:t>
      </w:r>
      <w:r>
        <w:rPr>
          <w:rStyle w:val="FootnoteAnchor"/>
          <w:rtl w:val="true"/>
        </w:rPr>
        <w:footnoteReference w:id="1726"/>
      </w:r>
      <w:r>
        <w:rPr>
          <w:rFonts w:ascii="Amiri" w:hAnsi="Amiri" w:eastAsia="Amiri" w:cs="Amiri"/>
          <w:color w:val="111111"/>
          <w:sz w:val="28"/>
          <w:sz w:val="28"/>
          <w:szCs w:val="28"/>
          <w:rtl w:val="true"/>
          <w:lang w:bidi="ar-SA"/>
        </w:rPr>
        <w:t xml:space="preserve">إنّما يشعر بعدم </w:t>
      </w:r>
      <w:r>
        <w:rPr>
          <w:rStyle w:val="FootnoteAnchor"/>
          <w:rtl w:val="true"/>
        </w:rPr>
        <w:footnoteReference w:id="1727"/>
      </w:r>
      <w:r>
        <w:rPr>
          <w:rFonts w:ascii="Amiri" w:hAnsi="Amiri" w:eastAsia="Amiri" w:cs="Amiri"/>
          <w:color w:val="111111"/>
          <w:sz w:val="28"/>
          <w:sz w:val="28"/>
          <w:szCs w:val="28"/>
          <w:rtl w:val="true"/>
          <w:lang w:bidi="ar-SA"/>
        </w:rPr>
        <w:t xml:space="preserve">تغيّر الواقع كنفس السؤال ، وأمثال هذه التلويحات في الأخبار ما لا تحصى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هاهنا قولا ثالثا وهو تعيين الحرام بالقرعة نظرا إلى خصوص الرواية المذكورة وعموم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مجهول ففيه القرعة </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الجواب عن الرواية الخاصّة ، فبأنّها قضية في واقعة خاصّة يعمل بها في مواردها ولا عموم فيها حتّى تنهض بإثبات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عمومات القرعة ، فقد يستفاد من بعضهم رميها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محلّه لانجبار سندها بالعمل ، ولا يعقل ضعفها في مورد دون 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بعموم موردها بالنسبة إلى موارد الأصول </w:t>
      </w:r>
      <w:r>
        <w:rPr>
          <w:rStyle w:val="FootnoteAnchor"/>
          <w:rtl w:val="true"/>
        </w:rPr>
        <w:footnoteReference w:id="1730"/>
      </w:r>
      <w:r>
        <w:rPr>
          <w:rFonts w:ascii="Amiri" w:hAnsi="Amiri" w:eastAsia="Amiri" w:cs="Amiri"/>
          <w:color w:val="111111"/>
          <w:sz w:val="28"/>
          <w:sz w:val="28"/>
          <w:szCs w:val="28"/>
          <w:rtl w:val="true"/>
          <w:lang w:bidi="ar-SA"/>
        </w:rPr>
        <w:t>فإنّها لكلّ ما فيه الاشتباه سواء كان هناك علم سابق بالتكليف ، أو كان الشكّ فيه ، أو غير ذلك من موارد الأصول العملية الأربعة بخلاف موارد الأصول لاختصاص كلّ واحد منها بمورده فيخصّص عموم أدلّة القرعة بأدلّة هذه الأصول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أيضا واضح لاستلزامه تخصيص الأكثر بل يوجب </w:t>
      </w:r>
      <w:r>
        <w:rPr>
          <w:rStyle w:val="FootnoteAnchor"/>
          <w:rtl w:val="true"/>
        </w:rPr>
        <w:footnoteReference w:id="1731"/>
      </w:r>
      <w:r>
        <w:rPr>
          <w:rFonts w:ascii="Amiri" w:hAnsi="Amiri" w:eastAsia="Amiri" w:cs="Amiri"/>
          <w:color w:val="111111"/>
          <w:sz w:val="28"/>
          <w:sz w:val="28"/>
          <w:szCs w:val="28"/>
          <w:rtl w:val="true"/>
          <w:lang w:bidi="ar-SA"/>
        </w:rPr>
        <w:t>تخصيص العامّ بالفرد الأندر ولا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بحكومة أدلّة الأصول على أدلّة القرعة لأنّها لكلّ ما فيه الاشتباه وبإعمال الأصول يرتفع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معكوسة لأنّ المستفاد من أخبارها هو كونه طريقا إلى الواقع كما في البيّنة ونحوها ، فلا ينبغي توهّم ورود مثل الأصول عليها ، وستعرف لذلك زيادة تحقيق إن شاء اللّه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من أمعن النظر في أمثال هذه الروايات ممّا لم يستقرّ عمل الطائفة على الأخذ بها في كلّ ما يظهر أنّه من مواردها كأخبار نفي الضرر ، يجد من نفسه ما يمنعه عن كونها مفيدة لقاعدة كلّية منضبطة سارية في تمام مواردها إلاّ ما قام الدليل على </w:t>
      </w:r>
    </w:p>
    <w:p>
      <w:pPr>
        <w:pStyle w:val="BookText"/>
        <w:rPr/>
      </w:pPr>
      <w:r>
        <w:rPr>
          <w:rFonts w:ascii="Amiri" w:hAnsi="Amiri" w:eastAsia="Amiri" w:cs="Amiri"/>
          <w:color w:val="111111"/>
          <w:sz w:val="28"/>
          <w:sz w:val="28"/>
          <w:szCs w:val="28"/>
          <w:rtl w:val="true"/>
          <w:lang w:bidi="ar-SA"/>
        </w:rPr>
        <w:t xml:space="preserve">تخصيصها فكأنّها تقضي بأنّها طريق الواقع في ضمن موارد مخصوصة معهودة يستكشف عنها بعمل جملة من أرباب الصناعة على وجه يحصل الاطمئنان والسكون فإنّ الشارع إنّما نفى الضرر في جملة موارد يستعلم بعمل الأصحاب منها ، وإلاّ فلو بنينا على العمل بمفاد أمثال هذه العمومات ، لزم تجديد الفقه عن أصله كما نبّه عليه بعض الأفاضل </w:t>
      </w:r>
      <w:r>
        <w:rPr>
          <w:rStyle w:val="FootnoteAnchor"/>
          <w:rtl w:val="true"/>
        </w:rPr>
        <w:footnoteReference w:id="1732"/>
      </w:r>
      <w:r>
        <w:rPr>
          <w:rFonts w:ascii="Amiri" w:hAnsi="Amiri" w:eastAsia="Amiri" w:cs="Amiri"/>
          <w:color w:val="111111"/>
          <w:sz w:val="28"/>
          <w:sz w:val="28"/>
          <w:szCs w:val="28"/>
          <w:rtl w:val="true"/>
          <w:lang w:bidi="ar-SA"/>
        </w:rPr>
        <w:t>سيّما فيما لو قلنا بعمومها للأحكام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بالعموم وخروج ما خصّص فيه بشاعة يأباه الذوق السليم وإن قلنا بجواز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فحيث إنّ أخبار القرعة غير معمول بها في المقام فنحن لا نجترئ على العمل بها ، وإلاّ فكان القول بها قويّا جدّا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أخبارا أخر بظاهرها تدلّ على عدم وجوب الاجتناب عند العلم الإجمالي على ما زعمه بعضهم </w:t>
      </w:r>
      <w:r>
        <w:rPr>
          <w:rStyle w:val="FootnoteAnchor"/>
          <w:rtl w:val="true"/>
        </w:rPr>
        <w:footnoteReference w:id="1733"/>
      </w:r>
      <w:r>
        <w:rPr>
          <w:rFonts w:ascii="Amiri" w:hAnsi="Amiri" w:eastAsia="Amiri" w:cs="Amiri"/>
          <w:color w:val="111111"/>
          <w:sz w:val="28"/>
          <w:sz w:val="28"/>
          <w:szCs w:val="28"/>
          <w:rtl w:val="true"/>
          <w:lang w:bidi="ar-SA"/>
        </w:rPr>
        <w:t xml:space="preserve">مثل ما يدلّ على جواز شراء ما في يد السارق والعشّار </w:t>
      </w:r>
      <w:r>
        <w:rPr>
          <w:rStyle w:val="FootnoteAnchor"/>
          <w:rtl w:val="true"/>
        </w:rPr>
        <w:footnoteReference w:id="1734"/>
      </w:r>
      <w:r>
        <w:rPr>
          <w:rFonts w:ascii="Amiri" w:hAnsi="Amiri" w:eastAsia="Amiri" w:cs="Amiri"/>
          <w:color w:val="111111"/>
          <w:sz w:val="28"/>
          <w:sz w:val="28"/>
          <w:szCs w:val="28"/>
          <w:rtl w:val="true"/>
          <w:lang w:bidi="ar-SA"/>
        </w:rPr>
        <w:t xml:space="preserve">ونحو ذلك من وجوب إخراج الخمس في ما اختلط بالحرام ، ولا بدّ من حملها على وجه لا ينافي ما ذكرناه ، وكثير منها ممّا لا يأبى ذلك كأن يحمل على جوازه فيما لو دلّ الدليل الشرعي عليه كما إذا كان تحت أيدي المسلمين ونحو ذلك ، وليس ما ذكرنا بعيدا فإنّ كلمات بعض الأصحاب كظاهر بعض الأخبار توهم </w:t>
      </w:r>
      <w:r>
        <w:rPr>
          <w:rStyle w:val="FootnoteAnchor"/>
          <w:rtl w:val="true"/>
        </w:rPr>
        <w:footnoteReference w:id="1735"/>
      </w:r>
      <w:r>
        <w:rPr>
          <w:rFonts w:ascii="Amiri" w:hAnsi="Amiri" w:eastAsia="Amiri" w:cs="Amiri"/>
          <w:color w:val="111111"/>
          <w:sz w:val="28"/>
          <w:sz w:val="28"/>
          <w:szCs w:val="28"/>
          <w:rtl w:val="true"/>
          <w:lang w:bidi="ar-SA"/>
        </w:rPr>
        <w:t xml:space="preserve">عدم وجوب الامتثال عند العلم التفصيلي أيضا كما أشرنا إليه في بعض المباحث السالفة </w:t>
      </w:r>
      <w:r>
        <w:rPr>
          <w:rStyle w:val="FootnoteAnchor"/>
          <w:rtl w:val="true"/>
        </w:rPr>
        <w:footnoteReference w:id="1736"/>
      </w:r>
      <w:r>
        <w:rPr>
          <w:rFonts w:ascii="IRNazanin" w:hAnsi="IRNazanin" w:eastAsia="IRNazanin"/>
          <w:color w:val="111111"/>
          <w:sz w:val="28"/>
          <w:sz w:val="28"/>
          <w:szCs w:val="28"/>
          <w:rtl w:val="true"/>
          <w:lang w:bidi="fa-IR"/>
        </w:rPr>
        <w:t>من مباحث الظنّ</w:t>
      </w:r>
      <w:r>
        <w:rPr>
          <w:rFonts w:eastAsia="IRNazanin" w:cs="IRNazanin"/>
          <w:color w:val="111111"/>
          <w:sz w:val="28"/>
          <w:szCs w:val="28"/>
          <w:rtl w:val="true"/>
          <w:lang w:bidi="fa-IR"/>
        </w:rPr>
        <w:t xml:space="preserve">. </w:t>
      </w:r>
      <w:bookmarkStart w:id="185" w:name="pg16273_211840"/>
    </w:p>
    <w:p>
      <w:pPr>
        <w:pStyle w:val="Heading4"/>
        <w:numPr>
          <w:ilvl w:val="3"/>
          <w:numId w:val="1"/>
        </w:numPr>
        <w:rPr/>
      </w:pPr>
      <w:bookmarkStart w:id="186" w:name="__RefHeading___Toc4803586_1280447820"/>
      <w:bookmarkStart w:id="187" w:name="_Toc65"/>
      <w:bookmarkEnd w:id="185"/>
      <w:bookmarkEnd w:id="186"/>
      <w:r>
        <w:rPr>
          <w:rtl w:val="true"/>
        </w:rPr>
        <w:t xml:space="preserve">وينبغي التنبيه على أمور </w:t>
      </w:r>
      <w:r>
        <w:rPr>
          <w:rtl w:val="true"/>
        </w:rPr>
        <w:t>:</w:t>
      </w:r>
      <w:bookmarkEnd w:id="187"/>
    </w:p>
    <w:p>
      <w:pPr>
        <w:pStyle w:val="Heading5"/>
        <w:numPr>
          <w:ilvl w:val="4"/>
          <w:numId w:val="1"/>
        </w:numPr>
        <w:rPr/>
      </w:pPr>
      <w:bookmarkStart w:id="188" w:name="__RefHeading___Toc4803588_1280447820"/>
      <w:bookmarkStart w:id="189" w:name="_Toc66"/>
      <w:bookmarkEnd w:id="188"/>
      <w:r>
        <w:rPr>
          <w:rtl w:val="true"/>
        </w:rPr>
        <w:t xml:space="preserve">الأوّل </w:t>
      </w:r>
      <w:r>
        <w:rPr>
          <w:rtl w:val="true"/>
        </w:rPr>
        <w:t>:</w:t>
      </w:r>
      <w:bookmarkEnd w:id="189"/>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737"/>
      </w:r>
      <w:r>
        <w:rPr>
          <w:rFonts w:ascii="Amiri" w:hAnsi="Amiri" w:eastAsia="Amiri" w:cs="Amiri"/>
          <w:color w:val="111111"/>
          <w:sz w:val="28"/>
          <w:sz w:val="28"/>
          <w:szCs w:val="28"/>
          <w:rtl w:val="true"/>
          <w:lang w:bidi="ar-SA"/>
        </w:rPr>
        <w:t>في نظير المقام في الشبهة الوجوبية أنّ وجوب الإتيان بالمحتملات من باب المقدّمة العلمية وتحصيل اليقين بالبراءة إنّما هو وجوب عقلي لا شرعي لا يترتّب على مخالفته إلاّ ما يترتّب على مخالفة نفس الفعل كما هو الشأن في الإرشاديات بتمامها ، والكلام في المقام هو الكلام فيه بعينه من غير فرق ؛ لاتّحاد المناط ، وهو حكم العقل بلزوم تحصيل البراءة والفراغ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التجرّي ، فقد عرفت أيضا وجه الكلام فيه </w:t>
      </w:r>
      <w:r>
        <w:rPr>
          <w:rStyle w:val="FootnoteAnchor"/>
          <w:rtl w:val="true"/>
        </w:rPr>
        <w:footnoteReference w:id="1738"/>
      </w:r>
      <w:r>
        <w:rPr>
          <w:rFonts w:ascii="Amiri" w:hAnsi="Amiri" w:eastAsia="Amiri" w:cs="Amiri"/>
          <w:color w:val="111111"/>
          <w:sz w:val="28"/>
          <w:sz w:val="28"/>
          <w:szCs w:val="28"/>
          <w:rtl w:val="true"/>
          <w:lang w:bidi="ar-SA"/>
        </w:rPr>
        <w:t>ونزيده هنا في المقام توضيحا بأنّه قد قرّر في محلّه أنّ التجرّي تارة يقع على وجه يكشف عن سوء سريرة الفاعل وخبث طينته فقط من غير أن يكون الفعل متّصفا بالحسن والقبح من هذه الحيثية كما إذا ارتكب الفعل المحرّم في اعتقاده عصيانا على وجه يقرّ بكونه معصية كما في سائر المعاصي لاحتمال تكفيره وحبطه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يقع على وجه يكشف عن قبح الفعل أيضا كما إذا أتى بالفعل للوصول إلى الحرام على أن يكون هو الداعي إليه ، فمرّة للالتذاذ بالفعل المحرّم ، وأخرى للعناد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دليل على حرمة التجرّي بهذا الوجه ، وإنّما يستحقّ اللوم من جهة خبث طينته وكدورة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والثالث ، فلا ريب في حرمته بل ذلك في الثالث يوجب الكفر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فالقول بحرمة ارتكاب أحد الإناءين المشتبهين على وجه يترتّب على كلّ واحد منهما عقاب على حدة يبقى بلا دليل إذ الحرمة العقلية لا يقضي إلاّ بعقاب </w:t>
      </w:r>
      <w:r>
        <w:rPr>
          <w:rStyle w:val="FootnoteAnchor"/>
          <w:rtl w:val="true"/>
        </w:rPr>
        <w:footnoteReference w:id="1739"/>
      </w:r>
      <w:r>
        <w:rPr>
          <w:rFonts w:ascii="Amiri" w:hAnsi="Amiri" w:eastAsia="Amiri" w:cs="Amiri"/>
          <w:color w:val="111111"/>
          <w:sz w:val="28"/>
          <w:sz w:val="28"/>
          <w:szCs w:val="28"/>
          <w:rtl w:val="true"/>
          <w:lang w:bidi="ar-SA"/>
        </w:rPr>
        <w:t>واحد على مخالفة الواقع</w:t>
      </w:r>
      <w:r>
        <w:rPr>
          <w:rFonts w:eastAsia="Amiri" w:cs="Amiri" w:ascii="Amiri" w:hAnsi="Amiri"/>
          <w:color w:val="111111"/>
          <w:sz w:val="28"/>
          <w:szCs w:val="28"/>
          <w:rtl w:val="true"/>
          <w:lang w:bidi="ar-SA"/>
        </w:rPr>
        <w:t xml:space="preserve">. </w:t>
      </w:r>
      <w:bookmarkStart w:id="190" w:name="pg16273_211841"/>
    </w:p>
    <w:p>
      <w:pPr>
        <w:pStyle w:val="BookText"/>
        <w:rPr/>
      </w:pPr>
      <w:bookmarkEnd w:id="190"/>
      <w:r>
        <w:rPr>
          <w:rFonts w:ascii="Amiri" w:hAnsi="Amiri" w:eastAsia="Amiri" w:cs="Amiri"/>
          <w:color w:val="111111"/>
          <w:sz w:val="28"/>
          <w:sz w:val="28"/>
          <w:szCs w:val="28"/>
          <w:rtl w:val="true"/>
          <w:lang w:bidi="ar-SA"/>
        </w:rPr>
        <w:t xml:space="preserve">والتجرّي في هذا القسم يمتنع </w:t>
      </w:r>
      <w:r>
        <w:rPr>
          <w:rStyle w:val="FootnoteAnchor"/>
          <w:rtl w:val="true"/>
        </w:rPr>
        <w:footnoteReference w:id="1740"/>
      </w:r>
      <w:r>
        <w:rPr>
          <w:rFonts w:ascii="Amiri" w:hAnsi="Amiri" w:eastAsia="Amiri" w:cs="Amiri"/>
          <w:color w:val="111111"/>
          <w:sz w:val="28"/>
          <w:sz w:val="28"/>
          <w:szCs w:val="28"/>
          <w:rtl w:val="true"/>
          <w:lang w:bidi="ar-SA"/>
        </w:rPr>
        <w:t xml:space="preserve">أن يكون موجبا للعقاب لعدم مدخلية نفس الفعل في الذمّ على أنّ صدق عنوان التجرّي على المرتكب لواحد </w:t>
      </w:r>
      <w:r>
        <w:rPr>
          <w:rStyle w:val="FootnoteAnchor"/>
          <w:rtl w:val="true"/>
        </w:rPr>
        <w:footnoteReference w:id="1741"/>
      </w:r>
      <w:r>
        <w:rPr>
          <w:rFonts w:ascii="Amiri" w:hAnsi="Amiri" w:eastAsia="Amiri" w:cs="Amiri"/>
          <w:color w:val="111111"/>
          <w:sz w:val="28"/>
          <w:sz w:val="28"/>
          <w:szCs w:val="28"/>
          <w:rtl w:val="true"/>
          <w:lang w:bidi="ar-SA"/>
        </w:rPr>
        <w:t xml:space="preserve">من الإناءين لا بعنوان الوصول إلى الحرام كما في المقدّمات العلمية أوّل الكلام إذ غاية ما يسلّم هناك صدقه فيما لو أتى بالفعل جازما بأنّه هو الفعل المحرّم سواء كان عنادا أو لا ، وقد مرّ تفصيله بما لا مزيد عليه في بعض مباحث العلم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4803590_1280447820"/>
      <w:bookmarkStart w:id="192" w:name="_Toc67"/>
      <w:bookmarkEnd w:id="191"/>
      <w:r>
        <w:rPr>
          <w:rtl w:val="true"/>
        </w:rPr>
        <w:t xml:space="preserve">الثاني </w:t>
      </w:r>
      <w:r>
        <w:rPr>
          <w:rtl w:val="true"/>
        </w:rPr>
        <w:t>:</w:t>
      </w:r>
      <w:bookmarkEnd w:id="192"/>
    </w:p>
    <w:p>
      <w:pPr>
        <w:pStyle w:val="BookText"/>
        <w:rPr/>
      </w:pPr>
      <w:r>
        <w:rPr>
          <w:rFonts w:ascii="Amiri" w:hAnsi="Amiri" w:eastAsia="Amiri" w:cs="Amiri"/>
          <w:color w:val="111111"/>
          <w:sz w:val="28"/>
          <w:sz w:val="28"/>
          <w:szCs w:val="28"/>
          <w:rtl w:val="true"/>
          <w:lang w:bidi="ar-SA"/>
        </w:rPr>
        <w:t xml:space="preserve">قد تقرّر في مباحث الألفاظ أنّ بين الأوامر والنواهي فرقا من جهة أنّ المطلوب في الثاني هو ترك الفعل المنهيّ عنه وإن لم يكن مقصودا ، بخلاف الأوّل فإنّها وإن لم يكن الأصل فيها أن يكون على وجه التعبّد كما زعمه جملة منهم إلاّ أنّ المطلوب فيها ولو لدليل خارجي التعبّد بها </w:t>
      </w:r>
      <w:r>
        <w:rPr>
          <w:rStyle w:val="FootnoteAnchor"/>
          <w:rtl w:val="true"/>
        </w:rPr>
        <w:footnoteReference w:id="1743"/>
      </w:r>
      <w:r>
        <w:rPr>
          <w:rFonts w:ascii="Amiri" w:hAnsi="Amiri" w:eastAsia="Amiri" w:cs="Amiri"/>
          <w:color w:val="111111"/>
          <w:sz w:val="28"/>
          <w:sz w:val="28"/>
          <w:szCs w:val="28"/>
          <w:rtl w:val="true"/>
          <w:lang w:bidi="ar-SA"/>
        </w:rPr>
        <w:t>، فلا بدّ في الامتثال من قصد القربة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قصد عنوان الفعل الواجب على أن يكون الفعل بعنوانه المأمور به اختياريا كما مرّت إليه الإشارة في نظير المقام ، وذلك بخلاف النهي فإنّ المناهي كلّها توصّليات والامتثال وإن كان لا يصدق فيها أيضا إلاّ إذا كان الترك مقصودا لكنّ الترك مطلقا مسقط للنهي </w:t>
      </w:r>
      <w:r>
        <w:rPr>
          <w:rStyle w:val="FootnoteAnchor"/>
          <w:rtl w:val="true"/>
        </w:rPr>
        <w:footnoteReference w:id="1744"/>
      </w:r>
      <w:r>
        <w:rPr>
          <w:rFonts w:ascii="Amiri" w:hAnsi="Amiri" w:eastAsia="Amiri" w:cs="Amiri"/>
          <w:color w:val="111111"/>
          <w:sz w:val="28"/>
          <w:sz w:val="28"/>
          <w:szCs w:val="28"/>
          <w:rtl w:val="true"/>
          <w:lang w:bidi="ar-SA"/>
        </w:rPr>
        <w:t xml:space="preserve">كما في الأوامر التوصّلية أيضا </w:t>
      </w:r>
      <w:r>
        <w:rPr>
          <w:rStyle w:val="FootnoteAnchor"/>
          <w:rtl w:val="true"/>
        </w:rPr>
        <w:footnoteReference w:id="1745"/>
      </w:r>
      <w:r>
        <w:rPr>
          <w:rFonts w:ascii="Amiri" w:hAnsi="Amiri" w:eastAsia="Amiri" w:cs="Amiri"/>
          <w:color w:val="111111"/>
          <w:sz w:val="28"/>
          <w:sz w:val="28"/>
          <w:szCs w:val="28"/>
          <w:rtl w:val="true"/>
          <w:lang w:bidi="ar-SA"/>
        </w:rPr>
        <w:t xml:space="preserve">، فعلى هذا لو ترك المكلّف أحد أطراف الشبهة قاصدا فعل الآخر واتّفق عدم ارتكابه لذلك الآخر أجزأ عن ترك الحرام لحصول المقصود فيما لو صادف الترك الحرام وإن كان لا يثاب عليه فإنّ عدم الثواب على الترك لا يلازم العقاب على المخالفة ، وذلك </w:t>
      </w:r>
      <w:r>
        <w:rPr>
          <w:rStyle w:val="FootnoteAnchor"/>
          <w:rtl w:val="true"/>
        </w:rPr>
        <w:footnoteReference w:id="1746"/>
      </w:r>
      <w:r>
        <w:rPr>
          <w:rFonts w:ascii="Amiri" w:hAnsi="Amiri" w:eastAsia="Amiri" w:cs="Amiri"/>
          <w:color w:val="111111"/>
          <w:sz w:val="28"/>
          <w:sz w:val="28"/>
          <w:szCs w:val="28"/>
          <w:rtl w:val="true"/>
          <w:lang w:bidi="ar-SA"/>
        </w:rPr>
        <w:t xml:space="preserve">بخلاف الشبهة الوجوبية ، فقد عرفت لزوم القصد بالنسبة إلى الامتثال بالطرف الآخر عند إتيانه </w:t>
      </w:r>
      <w:r>
        <w:rPr>
          <w:rStyle w:val="FootnoteAnchor"/>
          <w:rtl w:val="true"/>
        </w:rPr>
        <w:footnoteReference w:id="1747"/>
      </w:r>
      <w:r>
        <w:rPr>
          <w:rFonts w:ascii="IRNazanin" w:hAnsi="IRNazanin" w:eastAsia="IRNazanin"/>
          <w:color w:val="111111"/>
          <w:sz w:val="28"/>
          <w:sz w:val="28"/>
          <w:szCs w:val="28"/>
          <w:rtl w:val="true"/>
          <w:lang w:bidi="fa-IR"/>
        </w:rPr>
        <w:t>بالطرف الأوّل</w:t>
      </w:r>
      <w:r>
        <w:rPr>
          <w:rFonts w:eastAsia="IRNazanin" w:cs="IRNazanin"/>
          <w:color w:val="111111"/>
          <w:sz w:val="28"/>
          <w:szCs w:val="28"/>
          <w:rtl w:val="true"/>
          <w:lang w:bidi="fa-IR"/>
        </w:rPr>
        <w:t xml:space="preserve">. </w:t>
      </w:r>
      <w:bookmarkStart w:id="193" w:name="pg16273_211842"/>
    </w:p>
    <w:p>
      <w:pPr>
        <w:pStyle w:val="BookText"/>
        <w:rPr/>
      </w:pPr>
      <w:bookmarkEnd w:id="19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ذلك التفصيل في المقامين على أنّه لم يقم دليل خارجي على التعبّد في الأوامر فتدبّر</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4803592_1280447820"/>
      <w:bookmarkStart w:id="195" w:name="_Toc68"/>
      <w:bookmarkEnd w:id="194"/>
      <w:r>
        <w:rPr>
          <w:rtl w:val="true"/>
        </w:rPr>
        <w:t xml:space="preserve">الثالث </w:t>
      </w:r>
      <w:r>
        <w:rPr>
          <w:rtl w:val="true"/>
        </w:rPr>
        <w:t>:</w:t>
      </w:r>
      <w:bookmarkEnd w:id="195"/>
    </w:p>
    <w:p>
      <w:pPr>
        <w:pStyle w:val="BookText"/>
        <w:rPr/>
      </w:pPr>
      <w:r>
        <w:rPr>
          <w:rFonts w:ascii="Amiri" w:hAnsi="Amiri" w:eastAsia="Amiri" w:cs="Amiri"/>
          <w:color w:val="111111"/>
          <w:sz w:val="28"/>
          <w:sz w:val="28"/>
          <w:szCs w:val="28"/>
          <w:rtl w:val="true"/>
          <w:lang w:bidi="ar-SA"/>
        </w:rPr>
        <w:t xml:space="preserve">أنّ ما ذكرنا من وجوب الاجتناب في الشبهة المحصورة إنّما هو فيما إذا صحّ التكليف لكلّ </w:t>
      </w:r>
      <w:r>
        <w:rPr>
          <w:rStyle w:val="FootnoteAnchor"/>
          <w:rtl w:val="true"/>
        </w:rPr>
        <w:footnoteReference w:id="1748"/>
      </w:r>
      <w:r>
        <w:rPr>
          <w:rFonts w:ascii="Amiri" w:hAnsi="Amiri" w:eastAsia="Amiri" w:cs="Amiri"/>
          <w:color w:val="111111"/>
          <w:sz w:val="28"/>
          <w:sz w:val="28"/>
          <w:szCs w:val="28"/>
          <w:rtl w:val="true"/>
          <w:lang w:bidi="ar-SA"/>
        </w:rPr>
        <w:t xml:space="preserve">واحد من الإناءين المشتبهين منجّزا من غير تعليق على شيء سواء لم يكن معلّقا ومشروطا عن أصله أو كان ، ولكن بعد حصول المعلّق عليه والشرط كما إذا كان المكلّف متمكّنا على تمام أطراف الشبهة وكان في محلّ الاحتياج والابتلاء منه ، وأمّا إذا كان الأطراف على وجه لا يصحّ النهي عن ارتكاب كلّ واحد منها تنجيزا </w:t>
      </w:r>
      <w:r>
        <w:rPr>
          <w:rStyle w:val="FootnoteAnchor"/>
          <w:rtl w:val="true"/>
        </w:rPr>
        <w:footnoteReference w:id="1749"/>
      </w:r>
      <w:r>
        <w:rPr>
          <w:rFonts w:ascii="Amiri" w:hAnsi="Amiri" w:eastAsia="Amiri" w:cs="Amiri"/>
          <w:color w:val="111111"/>
          <w:sz w:val="28"/>
          <w:sz w:val="28"/>
          <w:szCs w:val="28"/>
          <w:rtl w:val="true"/>
          <w:lang w:bidi="ar-SA"/>
        </w:rPr>
        <w:t>بل كان النهي عنه محتاجا إلى تعليقه على شيء عقلا أو عادة أو عرفا فلا يجب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إجمالا ، فلأنّ بعد اعتبار التعليق في النهي كالتعليق على القدرة وعدم حصول المعلّق عليه لا نعلم بتحقّق التكليف في حقّ المكلّف لاحتمال أن يكون الخمر الواقعي هو الطرف الغير المقدور ، فلا نعلم </w:t>
      </w:r>
      <w:r>
        <w:rPr>
          <w:rStyle w:val="FootnoteAnchor"/>
          <w:rtl w:val="true"/>
        </w:rPr>
        <w:footnoteReference w:id="1750"/>
      </w:r>
      <w:r>
        <w:rPr>
          <w:rFonts w:ascii="Amiri" w:hAnsi="Amiri" w:eastAsia="Amiri" w:cs="Amiri"/>
          <w:color w:val="111111"/>
          <w:sz w:val="28"/>
          <w:sz w:val="28"/>
          <w:szCs w:val="28"/>
          <w:rtl w:val="true"/>
          <w:lang w:bidi="ar-SA"/>
        </w:rPr>
        <w:t>بحصول التكليف ولو إجمالا فتقلب الشبهة بدوية صرفة ، وقد مرّ الحكم بجريان البراءة فيها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تفصيلا ، فلأنّ التعليق فيما إذا حكم به العقل كالقدرة ، فلا كلام فيه لأنّ الواجب المشروط قبل حصول الشرط لا يجدي في حكم من أحكام الواجبات ، فقبل أن يكون المكلّف قادرا على شرب أحد الإناءين لا يتعلّق </w:t>
      </w:r>
      <w:r>
        <w:rPr>
          <w:rStyle w:val="FootnoteAnchor"/>
          <w:rtl w:val="true"/>
        </w:rPr>
        <w:footnoteReference w:id="1751"/>
      </w:r>
      <w:r>
        <w:rPr>
          <w:rFonts w:ascii="Amiri" w:hAnsi="Amiri" w:eastAsia="Amiri" w:cs="Amiri"/>
          <w:color w:val="111111"/>
          <w:sz w:val="28"/>
          <w:sz w:val="28"/>
          <w:szCs w:val="28"/>
          <w:rtl w:val="true"/>
          <w:lang w:bidi="ar-SA"/>
        </w:rPr>
        <w:t>به نهي ؛ لقبح النهي عن غير المقدور إذ المفروض حصول المطلوب فيه وهو الترك ، فلا جدوى في النهي أبدا لا تعبّدا ولا توصّلا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حكم به العادة فظاهر أيضا كما إذا كان الخمر في حوصلة طير في جوّ </w:t>
      </w:r>
    </w:p>
    <w:p>
      <w:pPr>
        <w:pStyle w:val="BookText"/>
        <w:rPr/>
      </w:pPr>
      <w:r>
        <w:rPr>
          <w:rFonts w:ascii="Amiri" w:hAnsi="Amiri" w:eastAsia="Amiri" w:cs="Amiri"/>
          <w:color w:val="111111"/>
          <w:sz w:val="28"/>
          <w:sz w:val="28"/>
          <w:szCs w:val="28"/>
          <w:rtl w:val="true"/>
          <w:lang w:bidi="ar-SA"/>
        </w:rPr>
        <w:t xml:space="preserve">السماء ، فإنّ العادة تقضي </w:t>
      </w:r>
      <w:r>
        <w:rPr>
          <w:rStyle w:val="FootnoteAnchor"/>
          <w:rtl w:val="true"/>
        </w:rPr>
        <w:footnoteReference w:id="1752"/>
      </w:r>
      <w:r>
        <w:rPr>
          <w:rFonts w:ascii="Amiri" w:hAnsi="Amiri" w:eastAsia="Amiri" w:cs="Amiri"/>
          <w:color w:val="111111"/>
          <w:sz w:val="28"/>
          <w:sz w:val="28"/>
          <w:szCs w:val="28"/>
          <w:rtl w:val="true"/>
          <w:lang w:bidi="ar-SA"/>
        </w:rPr>
        <w:t xml:space="preserve">بقبح النهي عن هذا الخمر ، فإذا علمنا بأنّ الخمر في جملة مردّدة بين ما في حوصلة ذلك الطير وبين غيره ، فلا يجب عنه </w:t>
      </w:r>
      <w:r>
        <w:rPr>
          <w:rStyle w:val="FootnoteAnchor"/>
          <w:rtl w:val="true"/>
        </w:rPr>
        <w:footnoteReference w:id="1753"/>
      </w:r>
      <w:r>
        <w:rPr>
          <w:rFonts w:ascii="Amiri" w:hAnsi="Amiri" w:eastAsia="Amiri" w:cs="Amiri"/>
          <w:color w:val="111111"/>
          <w:sz w:val="28"/>
          <w:sz w:val="28"/>
          <w:szCs w:val="28"/>
          <w:rtl w:val="true"/>
          <w:lang w:bidi="ar-SA"/>
        </w:rPr>
        <w:t>الاجتناب لاحتمال أن يكون هو المنهيّ عنه واقعا والمفروض أنّه بحكم العادة معلّق على حصول شرط غير واقع</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حكم العرف بالتعليق كأن يكون الخطاب على وجه الإطلاق والتنجيز من غير اشتراط وتعليق مستنكرا شنيعا </w:t>
      </w:r>
      <w:r>
        <w:rPr>
          <w:rStyle w:val="FootnoteAnchor"/>
          <w:rtl w:val="true"/>
        </w:rPr>
        <w:footnoteReference w:id="1754"/>
      </w:r>
      <w:r>
        <w:rPr>
          <w:rFonts w:ascii="Amiri" w:hAnsi="Amiri" w:eastAsia="Amiri" w:cs="Amiri"/>
          <w:color w:val="111111"/>
          <w:sz w:val="28"/>
          <w:sz w:val="28"/>
          <w:szCs w:val="28"/>
          <w:rtl w:val="true"/>
          <w:lang w:bidi="ar-SA"/>
        </w:rPr>
        <w:t xml:space="preserve">في العرف كما إذا لم يكن أحد أطراف الشبهة في محلّ احتياج المكلّف ومورد ابتلائه فإنّ من له أدنى دربة يشاهد من نفسه بشاعة الخطاب الناهي عن استعمال أواني الذهب والفضّة الموجودة في خزائن السلاطين من غير تعليق بالابتلاء وكذا يعدّ في العرف من اللغو الخطاب الناهي عن شرب ماء في الحوض في أقصى بلاد الهند إلاّ إذا كان معلّقا بالابتلاء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ابتليت بأواني الذهب والفضّة الموجودة في تلك الخزائن ، فلا تستعملها ، وإذا ابتليت بشرب ماء في الحوض الفلاني ، فلا تشربه ، فإذا علمنا بأنّ أحد الأواني الموجود </w:t>
      </w:r>
      <w:r>
        <w:rPr>
          <w:rStyle w:val="FootnoteAnchor"/>
          <w:rtl w:val="true"/>
        </w:rPr>
        <w:footnoteReference w:id="1755"/>
      </w:r>
      <w:r>
        <w:rPr>
          <w:rFonts w:ascii="Amiri" w:hAnsi="Amiri" w:eastAsia="Amiri" w:cs="Amiri"/>
          <w:color w:val="111111"/>
          <w:sz w:val="28"/>
          <w:sz w:val="28"/>
          <w:szCs w:val="28"/>
          <w:rtl w:val="true"/>
          <w:lang w:bidi="ar-SA"/>
        </w:rPr>
        <w:t xml:space="preserve">عندنا ، أو المخزون عند السلطان من الذهب ، أو من الفضّة ، فلا يجب الاجتناب عن الموجود عندنا لأنّ المفروض عدم تعلّق النهي بالموجود في خزانة السلطان منجّزا ، فلو كان هو الذهب لم يكن متعلّق التكليف به لعدم حصول الشرط والمعلّق عليه وهو الابتلاء بمورد الاحتياج به ، وكذا يعدّ في العرف سفها نهي المكلّف عن السجدة على أرض معلوم النجس في البرّ ، فإذا دار الأمر بين أن يكون الأرض الكذائي نجسا أو الماء الفلاني الذي هو محلّ الحاجة دونها ، جاز استعمال الماء لأنّ النهي عن السجدة لم يكن مطلقا بل لا بدّ من أن يكون مقيّدا بصورة الابتلاء ، فيحتمل أن يكون النجس في الواقع هو ما لا يصحّ تعلّق النهي به من غير تعليق والمفروض عدم حصول المعلّق </w:t>
      </w:r>
    </w:p>
    <w:p>
      <w:pPr>
        <w:pStyle w:val="BookText"/>
        <w:rPr/>
      </w:pPr>
      <w:r>
        <w:rPr>
          <w:rFonts w:ascii="Amiri" w:hAnsi="Amiri" w:eastAsia="Amiri" w:cs="Amiri"/>
          <w:color w:val="111111"/>
          <w:sz w:val="28"/>
          <w:sz w:val="28"/>
          <w:szCs w:val="28"/>
          <w:rtl w:val="true"/>
          <w:lang w:bidi="ar-SA"/>
        </w:rPr>
        <w:t>عليه وهو الابتلاء فلا حرمة فيه ، فيقلب الشكّ في الآخر شكّا بدويا صرفا ، وقد مرّ حكومة البراءة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ينبغي أن يعلم أنّ ما ذكرنا من عدم تنجّز التكليف عرفا وكون الخطاب بلا تعليق شنيعا </w:t>
      </w:r>
      <w:r>
        <w:rPr>
          <w:rStyle w:val="FootnoteAnchor"/>
          <w:rtl w:val="true"/>
        </w:rPr>
        <w:footnoteReference w:id="1756"/>
      </w:r>
      <w:r>
        <w:rPr>
          <w:rFonts w:ascii="Amiri" w:hAnsi="Amiri" w:eastAsia="Amiri" w:cs="Amiri"/>
          <w:color w:val="111111"/>
          <w:sz w:val="28"/>
          <w:sz w:val="28"/>
          <w:szCs w:val="28"/>
          <w:rtl w:val="true"/>
          <w:lang w:bidi="ar-SA"/>
        </w:rPr>
        <w:t xml:space="preserve">إنّما يختلف خفاء ووضوحا ، فالمذكور من الأمثلة من </w:t>
      </w:r>
      <w:r>
        <w:rPr>
          <w:rStyle w:val="FootnoteAnchor"/>
          <w:rtl w:val="true"/>
        </w:rPr>
        <w:footnoteReference w:id="1757"/>
      </w:r>
      <w:r>
        <w:rPr>
          <w:rFonts w:ascii="Amiri" w:hAnsi="Amiri" w:eastAsia="Amiri" w:cs="Amiri"/>
          <w:color w:val="111111"/>
          <w:sz w:val="28"/>
          <w:sz w:val="28"/>
          <w:szCs w:val="28"/>
          <w:rtl w:val="true"/>
          <w:lang w:bidi="ar-SA"/>
        </w:rPr>
        <w:t>الموارد الواضحة ، وأمّا الموارد الخفيّة فكما إذا رشّ من مكان نجس رشاشة وشكّ في وقوعها داخل الإناء أو ظاهره فإنّه يحكم بطهارة ما في الإناء وإن علم إجمالا بوقوع الرشاشة في أحد الموضعين ، وأولى من ذلك ما إذا شكّ في وقوعها فيما لا يرتبط بالإناء كالأرض التي ليست محلاّ للحاجة ، وبذلك قد أيّد صاحب المدارك القول بعدم وجوب الاجتناب في الشبهة المحصورة حيث إنّ الأصحاب مطبقون فيما هو الظاهر على عدم وجوب الاحتراز في القضية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قواعد الأصحاب أنّه لو تعلّق الشكّ بوقوع النجاسة في الماء وخارجه </w:t>
      </w:r>
      <w:r>
        <w:rPr>
          <w:rStyle w:val="FootnoteAnchor"/>
          <w:rtl w:val="true"/>
        </w:rPr>
        <w:footnoteReference w:id="1758"/>
      </w:r>
      <w:r>
        <w:rPr>
          <w:rFonts w:ascii="Amiri" w:hAnsi="Amiri" w:eastAsia="Amiri" w:cs="Amiri"/>
          <w:color w:val="111111"/>
          <w:sz w:val="28"/>
          <w:sz w:val="28"/>
          <w:szCs w:val="28"/>
          <w:rtl w:val="true"/>
          <w:lang w:bidi="ar-SA"/>
        </w:rPr>
        <w:t xml:space="preserve">، لم ينجس الماء بذلك ، ولا يمنع </w:t>
      </w:r>
      <w:r>
        <w:rPr>
          <w:rStyle w:val="FootnoteAnchor"/>
          <w:rtl w:val="true"/>
        </w:rPr>
        <w:footnoteReference w:id="1759"/>
      </w:r>
      <w:r>
        <w:rPr>
          <w:rFonts w:ascii="Amiri" w:hAnsi="Amiri" w:eastAsia="Amiri" w:cs="Amiri"/>
          <w:color w:val="111111"/>
          <w:sz w:val="28"/>
          <w:sz w:val="28"/>
          <w:szCs w:val="28"/>
          <w:rtl w:val="true"/>
          <w:lang w:bidi="ar-SA"/>
        </w:rPr>
        <w:t xml:space="preserve">من استعماله ، وهو مؤيّد لما ذكرنا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بعض من تأخّر عنه </w:t>
      </w:r>
      <w:r>
        <w:rPr>
          <w:rStyle w:val="FootnoteAnchor"/>
          <w:rtl w:val="true"/>
        </w:rPr>
        <w:footnoteReference w:id="1761"/>
      </w:r>
      <w:r>
        <w:rPr>
          <w:rFonts w:ascii="Amiri" w:hAnsi="Amiri" w:eastAsia="Amiri" w:cs="Amiri"/>
          <w:color w:val="111111"/>
          <w:sz w:val="28"/>
          <w:sz w:val="28"/>
          <w:szCs w:val="28"/>
          <w:rtl w:val="true"/>
          <w:lang w:bidi="ar-SA"/>
        </w:rPr>
        <w:t xml:space="preserve">بأنّ </w:t>
      </w:r>
      <w:r>
        <w:rPr>
          <w:rStyle w:val="FootnoteAnchor"/>
          <w:rtl w:val="true"/>
        </w:rPr>
        <w:footnoteReference w:id="1762"/>
      </w:r>
      <w:r>
        <w:rPr>
          <w:rFonts w:ascii="Amiri" w:hAnsi="Amiri" w:eastAsia="Amiri" w:cs="Amiri"/>
          <w:color w:val="111111"/>
          <w:sz w:val="28"/>
          <w:sz w:val="28"/>
          <w:szCs w:val="28"/>
          <w:rtl w:val="true"/>
          <w:lang w:bidi="ar-SA"/>
        </w:rPr>
        <w:t xml:space="preserve">المفروض من الشبهة الغير </w:t>
      </w:r>
      <w:r>
        <w:rPr>
          <w:rStyle w:val="FootnoteAnchor"/>
          <w:rtl w:val="true"/>
        </w:rPr>
        <w:footnoteReference w:id="1763"/>
      </w:r>
      <w:r>
        <w:rPr>
          <w:rFonts w:ascii="Amiri" w:hAnsi="Amiri" w:eastAsia="Amiri" w:cs="Amiri"/>
          <w:color w:val="111111"/>
          <w:sz w:val="28"/>
          <w:sz w:val="28"/>
          <w:szCs w:val="28"/>
          <w:rtl w:val="true"/>
          <w:lang w:bidi="ar-SA"/>
        </w:rPr>
        <w:t>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إذ لا اختصاص للمذكور بذلك لجواز أن يكون الخارج الواقع فيه النجاسة احتمالا محصورا كما لا يخفى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أيضا في الحدائق بإبداء الفارق بين المقامين من حيث إنّ القاعدة </w:t>
      </w:r>
    </w:p>
    <w:p>
      <w:pPr>
        <w:pStyle w:val="BookText"/>
        <w:rPr/>
      </w:pPr>
      <w:r>
        <w:rPr>
          <w:rFonts w:ascii="Amiri" w:hAnsi="Amiri" w:eastAsia="Amiri" w:cs="Amiri"/>
          <w:color w:val="111111"/>
          <w:sz w:val="28"/>
          <w:sz w:val="28"/>
          <w:szCs w:val="28"/>
          <w:rtl w:val="true"/>
          <w:lang w:bidi="ar-SA"/>
        </w:rPr>
        <w:t xml:space="preserve">المذكورة إنّما تتعلّق بالأفراد المندرجة تحت ماهيّة واحدة ، والجزئيات التي تحويها حقيقة واحدة إن اشتبه طاهرها بنجسها وحلالها بحرامها ، فيفرّق فيها بين المحصور وغير المحصور بما تضمّنه تلك الأخبار لا وقوع الاشتباه كيف اتّفق </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بعد ما تحقّقت حقيقة ما قد تقدّم منّا في المقام تعرف ضعف التأييد وعدم كون الفرق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حكم الأصحاب بعدم لزوم الاجتناب في القضية المفروضة إنّما هو بواسطة ما ذكرنا من عدم ابتلاء المكلّف بتمام أطراف الشبهة ، وليس في ذلك تأييد لما ذكره ، وإلاّ لكان الموارد التي لا يتمكّن المكلّف من ارتكاب أحد الأطراف عقلا أيضا مؤيّدا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التفصيل المذكور منه ممّا لم يسبقه إليه أحد ، ولا يكاد أن يلحقه فيه أيضا لأنّ بعد ما عرفت من أنّ الوجه في الحكم بالاجتناب هو تنجّز الخطاب الواقعي ، فبعد تحقّق المناط لا وجه للتفصيل المذكور ، وسيأتي لذلك زيادة تحقيق وبحث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ويتفرّع على ذلك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الاجتناب في الشبهة الغير المحصورة فإنّ الأطراف التي ليست بمحلّ الابتلاء من المكلّف لا يكون الخطاب منجّزا بالنسبة إليها ولو بواسطة استهجان وركاكة لا يخفى على من مارس أنواع الكلام وضروب المقام كما ستطّلع عليه بعيد ذلك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وقعت نجاسة من الميزاب مثلا في أحد الإناءين اللذين كان أحدهما قبل ذلك نجسا قطعا وشكّ في وقوعها في الإناء الطاهر أو النجس بعد </w:t>
      </w:r>
      <w:r>
        <w:rPr>
          <w:rStyle w:val="FootnoteAnchor"/>
          <w:rtl w:val="true"/>
        </w:rPr>
        <w:footnoteReference w:id="1766"/>
      </w:r>
      <w:r>
        <w:rPr>
          <w:rFonts w:ascii="IRNazanin" w:hAnsi="IRNazanin" w:eastAsia="IRNazanin"/>
          <w:color w:val="111111"/>
          <w:sz w:val="28"/>
          <w:sz w:val="28"/>
          <w:szCs w:val="28"/>
          <w:rtl w:val="true"/>
          <w:lang w:bidi="fa-IR"/>
        </w:rPr>
        <w:t xml:space="preserve">العلم بعدم </w:t>
      </w:r>
    </w:p>
    <w:p>
      <w:pPr>
        <w:pStyle w:val="BookText"/>
        <w:rPr/>
      </w:pPr>
      <w:r>
        <w:rPr>
          <w:rFonts w:ascii="Amiri" w:hAnsi="Amiri" w:eastAsia="Amiri" w:cs="Amiri"/>
          <w:color w:val="111111"/>
          <w:sz w:val="28"/>
          <w:sz w:val="28"/>
          <w:szCs w:val="28"/>
          <w:rtl w:val="true"/>
          <w:lang w:bidi="ar-SA"/>
        </w:rPr>
        <w:t>خروجها منهما فإنّه لا يحكم بلزوم الاجتناب عن الإناء الطاهر سابقا لأنّ مرجع الشكّ في المقام إلى حدوث تكليف آخر غير ما كان مكلّفا به ابتداء لأنّ المفروض أنّ الإناء النجس إنّما هو معلوم النجاسة ، فليس هو بمحلّ الاحتياج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تلك النجاسة الواقعة المردّدة ممّا يختلف حكمها حكم النجاسة الأولى كأن كانت الثانية ولوغ الكلب مثلا والأولى غيره ممّا لا يحتاج إلى استعمال الطين والتراب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أنّه ملحق بالشبهة المحصورة في لزوم الاجتناب لأنّ المعلوم السابق ممّا لا أثر له في المعلوم اللاحق لاختلاف أحكامهما ، وكذا لو كان أحد الأطراف معلوم الحرمة من جهة ، ثمّ طرأت الحرمة من جهة أخرى كأن كان مغصوبا فصار نجسا فإنّ لكلّ واحد من الاعتبارين حكما يلحق به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يتراءى في بعض الأنظار أنّه ما لو صار أحد الأطراف المعلوم بالإجمال معلوما تفصيليا كأن يكون معلوم النجاسة إجمالا ، ثمّ علم بنجاسة أحد الأطراف تفصيلا أيضا ، فلا يجب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بشيء ؛ لعدم الارتباط بين الجهتين ، فإنّ المناط في عدم وجوب الاجتناب رجوع الشكّ إلى الشكّ البدوي المعمول فيه البراءة ، ولا دخل للجهة التفصيلية اللاحقة بالجهة الإجمالية ، فيلحق بكلّ </w:t>
      </w:r>
      <w:r>
        <w:rPr>
          <w:rStyle w:val="FootnoteAnchor"/>
          <w:rtl w:val="true"/>
        </w:rPr>
        <w:footnoteReference w:id="1767"/>
      </w:r>
      <w:r>
        <w:rPr>
          <w:rFonts w:ascii="Amiri" w:hAnsi="Amiri" w:eastAsia="Amiri" w:cs="Amiri"/>
          <w:color w:val="111111"/>
          <w:sz w:val="28"/>
          <w:sz w:val="28"/>
          <w:szCs w:val="28"/>
          <w:rtl w:val="true"/>
          <w:lang w:bidi="ar-SA"/>
        </w:rPr>
        <w:t>واحد منهما حكمهما على ما هو ظاهر لا سترة عليه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تعذّر ارتكاب أحد الأطراف كما إذا أريق أحد الإناءين على الأرض فإن كان العلم الإجمالي حاصلا بعد التعذّر ، فلا إشكال في عدم وجوب الاجتناب لرجوع الشكّ في الباقي إلى الشكّ البدوي ، لاحتمال أن يكون الخمر الواقعي هو المتعذّر ، فيقبح التكليف وإن كان العلم الإجمالي حاصلا بعد التعذّر ، ففي إلحاقه بالشبهة </w:t>
      </w:r>
      <w:bookmarkStart w:id="196" w:name="pg16273_211847"/>
    </w:p>
    <w:p>
      <w:pPr>
        <w:pStyle w:val="BookText"/>
        <w:rPr/>
      </w:pPr>
      <w:bookmarkEnd w:id="196"/>
      <w:r>
        <w:rPr>
          <w:rFonts w:ascii="Amiri" w:hAnsi="Amiri" w:eastAsia="Amiri" w:cs="Amiri"/>
          <w:color w:val="111111"/>
          <w:sz w:val="28"/>
          <w:sz w:val="28"/>
          <w:szCs w:val="28"/>
          <w:rtl w:val="true"/>
          <w:lang w:bidi="ar-SA"/>
        </w:rPr>
        <w:t xml:space="preserve">المحصورة لأنّ التالف بمنزلة المتروك امتثالا ، وعدمه نظرا إلى رجوع الشبهة وانقلابها إلى الشبهة البدوية ولا مدخلية لحصول العلم قبل التعذّر وبعده ،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كما أفاده الأستاذ دام علاه ولعلّ وجهه أنّ البناء على مثل ذلك في الحكم بعدم وجوب الاجتناب يوجب هدم أساس القول به إذ بعد الامتثال بترك واحد من الأطراف في المقام أو بفعله في نظيره ينقلب الشبهة بالنسبة إلى الباقي شبهة بدوية ، والمفروض أنّ العقل حكم بلزوم الاجتناب عن الجميع أوّلا ، وأمّا الحكم بعدم وجوب الاجتناب فيما لو حصل العلم الإجمالي بعد التعذّر ، فلأنّ العقل لا حكم له قبل العلم وبعده فالشبهة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بدّ من التأمّل التامّ في أمثال المقام كي لا يشتبه عليك المرام فإنّ الكلام متشابه الأطراف ، ولعلّك بعد التأمّل فيما تقدّم في الشبهة الوجوبية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ما لو كان التعذّر عقليا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على جريانه فيما نحن بصدده وإن كان ذلك ممّا لا يخلو عن شيء لا يخفى وجهه ، وكان ذلك هو الوجه في عدم تعرّض الأستاذ دامت إفاداته له في المقام ، والحمد لله أوّلا وآخرا ، وظاهرا وباطنا ، وله الشكر على ما أنعمنا من نعمه المتوالية ، وآلائه المتواترة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803594_1280447820"/>
      <w:bookmarkStart w:id="198" w:name="_Toc69"/>
      <w:bookmarkEnd w:id="197"/>
      <w:r>
        <w:rPr>
          <w:rtl w:val="true"/>
        </w:rPr>
        <w:t xml:space="preserve">الرابع </w:t>
      </w:r>
      <w:r>
        <w:rPr>
          <w:rtl w:val="true"/>
        </w:rPr>
        <w:t>:</w:t>
      </w:r>
      <w:bookmarkEnd w:id="198"/>
    </w:p>
    <w:p>
      <w:pPr>
        <w:pStyle w:val="BookText"/>
        <w:rPr/>
      </w:pPr>
      <w:r>
        <w:rPr>
          <w:rFonts w:ascii="Amiri" w:hAnsi="Amiri" w:eastAsia="Amiri" w:cs="Amiri"/>
          <w:color w:val="111111"/>
          <w:sz w:val="28"/>
          <w:sz w:val="28"/>
          <w:szCs w:val="28"/>
          <w:rtl w:val="true"/>
          <w:lang w:bidi="ar-SA"/>
        </w:rPr>
        <w:t xml:space="preserve">قد عرفت فيما سبق أنّ الوجه في اختيارنا لزوم الاجتناب في الشبهة المحصورة هو بقاء أدلّة الواقع بحالها وعدم التصرّف بتقييد وتخصيص فيها والحكم بوجوب الامتثال عند العلم بوجود المكلّف به يترك </w:t>
      </w:r>
      <w:r>
        <w:rPr>
          <w:rStyle w:val="FootnoteAnchor"/>
          <w:rtl w:val="true"/>
        </w:rPr>
        <w:footnoteReference w:id="1768"/>
      </w:r>
      <w:r>
        <w:rPr>
          <w:rFonts w:ascii="Amiri" w:hAnsi="Amiri" w:eastAsia="Amiri" w:cs="Amiri"/>
          <w:color w:val="111111"/>
          <w:sz w:val="28"/>
          <w:sz w:val="28"/>
          <w:szCs w:val="28"/>
          <w:rtl w:val="true"/>
          <w:lang w:bidi="ar-SA"/>
        </w:rPr>
        <w:t>الكلّ نظرا إلى وجوب مقدّمة الواجب فلا بدّ فيه من الاقتصار على ما يقتضيه قاعدة المقدّمية ، ولا شكّ أنّ قضية المقدّمية لا تزيد على تسرية الحكم التكليفي وهو وجوب الاجتناب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 الوضعي ، فلا مدخل للمقدّمية فيه ، مثلا لو أمر المولى بإكرام العالم </w:t>
      </w:r>
    </w:p>
    <w:p>
      <w:pPr>
        <w:pStyle w:val="BookText"/>
        <w:rPr/>
      </w:pPr>
      <w:r>
        <w:rPr>
          <w:rFonts w:ascii="Amiri" w:hAnsi="Amiri" w:eastAsia="Amiri" w:cs="Amiri"/>
          <w:color w:val="111111"/>
          <w:sz w:val="28"/>
          <w:sz w:val="28"/>
          <w:szCs w:val="28"/>
          <w:rtl w:val="true"/>
          <w:lang w:bidi="ar-SA"/>
        </w:rPr>
        <w:t xml:space="preserve">واشتبه بين أشخاص محصورة فإنّ وجوب إكرام العالم يقضي </w:t>
      </w:r>
      <w:r>
        <w:rPr>
          <w:rStyle w:val="FootnoteAnchor"/>
          <w:rtl w:val="true"/>
        </w:rPr>
        <w:footnoteReference w:id="1769"/>
      </w:r>
      <w:r>
        <w:rPr>
          <w:rFonts w:ascii="Amiri" w:hAnsi="Amiri" w:eastAsia="Amiri" w:cs="Amiri"/>
          <w:color w:val="111111"/>
          <w:sz w:val="28"/>
          <w:sz w:val="28"/>
          <w:szCs w:val="28"/>
          <w:rtl w:val="true"/>
          <w:lang w:bidi="ar-SA"/>
        </w:rPr>
        <w:t xml:space="preserve">بوجوب إكرام الأفراد المشتبهة ، ولا يقضي بأن يكون تلك الأفراد عالمين كما لا يخفى ، وكذا وجوب الاجتناب عن الخمر الواقعي </w:t>
      </w:r>
      <w:r>
        <w:rPr>
          <w:rStyle w:val="FootnoteAnchor"/>
          <w:rtl w:val="true"/>
        </w:rPr>
        <w:footnoteReference w:id="1770"/>
      </w:r>
      <w:r>
        <w:rPr>
          <w:rFonts w:ascii="Amiri" w:hAnsi="Amiri" w:eastAsia="Amiri" w:cs="Amiri"/>
          <w:color w:val="111111"/>
          <w:sz w:val="28"/>
          <w:sz w:val="28"/>
          <w:szCs w:val="28"/>
          <w:rtl w:val="true"/>
          <w:lang w:bidi="ar-SA"/>
        </w:rPr>
        <w:t xml:space="preserve">يوجب الاجتناب </w:t>
      </w:r>
      <w:r>
        <w:rPr>
          <w:rStyle w:val="FootnoteAnchor"/>
          <w:rtl w:val="true"/>
        </w:rPr>
        <w:footnoteReference w:id="1771"/>
      </w:r>
      <w:r>
        <w:rPr>
          <w:rFonts w:ascii="Amiri" w:hAnsi="Amiri" w:eastAsia="Amiri" w:cs="Amiri"/>
          <w:color w:val="111111"/>
          <w:sz w:val="28"/>
          <w:sz w:val="28"/>
          <w:szCs w:val="28"/>
          <w:rtl w:val="true"/>
          <w:lang w:bidi="ar-SA"/>
        </w:rPr>
        <w:t xml:space="preserve">عمّا اشتبه به الخمر ، ولا يدلّ على خمرية الأفراد المشتبهة ، وهكذا وجوب الاجتناب عن النجس لا يقضي بنجاسة الأفراد المشتبهة ، وإنّما يوجب وجوب الاجتناب عنها ، فعلى ما ذكرنا يظهر غاية الظهور عدم نجاسة الملاقي بأحد </w:t>
      </w:r>
      <w:r>
        <w:rPr>
          <w:rStyle w:val="FootnoteAnchor"/>
          <w:rtl w:val="true"/>
        </w:rPr>
        <w:footnoteReference w:id="1772"/>
      </w:r>
      <w:r>
        <w:rPr>
          <w:rFonts w:ascii="Amiri" w:hAnsi="Amiri" w:eastAsia="Amiri" w:cs="Amiri"/>
          <w:color w:val="111111"/>
          <w:sz w:val="28"/>
          <w:sz w:val="28"/>
          <w:szCs w:val="28"/>
          <w:rtl w:val="true"/>
          <w:lang w:bidi="ar-SA"/>
        </w:rPr>
        <w:t>الإناءين المشتبهين فإنّ غاية الأمر وجوب الاجتناب وهو حكم تكليفي لا دخل فيه بالنجاسة التي هي من الأحكام الوضعية ، ونجاسة الملاقي إنّما تترتّب على نجاسة الإناءين لا على وجوب الاجتناب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المحدّث البحراني </w:t>
      </w:r>
      <w:r>
        <w:rPr>
          <w:rStyle w:val="FootnoteAnchor"/>
          <w:rtl w:val="true"/>
        </w:rPr>
        <w:footnoteReference w:id="1773"/>
      </w:r>
      <w:r>
        <w:rPr>
          <w:rFonts w:ascii="Amiri" w:hAnsi="Amiri" w:eastAsia="Amiri" w:cs="Amiri"/>
          <w:color w:val="111111"/>
          <w:sz w:val="28"/>
          <w:sz w:val="28"/>
          <w:szCs w:val="28"/>
          <w:rtl w:val="true"/>
          <w:lang w:bidi="ar-SA"/>
        </w:rPr>
        <w:t xml:space="preserve">القول بنجاسة الملاقي تبعا لما يظهر من كلام العلاّمة </w:t>
      </w:r>
      <w:r>
        <w:rPr>
          <w:rStyle w:val="FootnoteAnchor"/>
          <w:rtl w:val="true"/>
        </w:rPr>
        <w:footnoteReference w:id="1774"/>
      </w:r>
      <w:r>
        <w:rPr>
          <w:rFonts w:ascii="Amiri" w:hAnsi="Amiri" w:eastAsia="Amiri" w:cs="Amiri"/>
          <w:color w:val="111111"/>
          <w:sz w:val="28"/>
          <w:sz w:val="28"/>
          <w:szCs w:val="28"/>
          <w:rtl w:val="true"/>
          <w:lang w:bidi="ar-SA"/>
        </w:rPr>
        <w:t>في بعض كتبه استنادا إلى ظواهر الأخبار الآمرة بالإهراق في الإناءين نظرا إلى دعوى استفادة نجاسة كلّ منهما من الأمر بالإهراق مع إمكان صحّة الوضوء كأن يتوضّأ أوّلا من أحدهما ، ثمّ يطهّر محالّ الوضوء فيتوضّأ ثانيا من الآخر ، ثمّ يطهّر ثانيا ، فيصلّي فإنّ أحد الوضوءين في الصورة المفروضة يقع صحيحا بلا إشكال ، فالأمر بالإهراق لا يتمّ إلاّ على القول بنجاسة الجميع عند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الملاقي إنّما هو بمنزلة الملاقى ، فلو انضمّ إلى الأصلين كانت الشبهة مردّدة بين ثلاثة فهو كأحد أطراف الشبهة ؛ لأنّ العلم الإجمالي إنّما هو موجود بين الثلاثة ، غاية الأمر أنّ أحدها يتبع الآخر في الحكم بلزوم الاجتناب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الوجهين ضعيف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 فلأنّ الأمر بالإهراق في الرواية لا يستفاد منه سوى وجوب الاجتناب ، ودعوى استفادة الحكم الوضعي منه ممنوعة ، وحديث صحّة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ولم يدلّ دليل على فساده ، فلا دلالة في الإهراق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الحكم بلزوم الاجتناب من الأطراف إنّما كان بواسطة الأدلّة الواقعية مع عدم أصل موضوعي يستعلم منه حال الموضوع كاستصحاب الطهارة ، أو طريق يتوصّل به إلى الواقع كالبيّنة والقرعة ونحوها ، وأمّا فيما كان هناك أصل موضوعي يعلم منه حال المشتبه ، فلا يجب الاجتناب كما في الملاقي فإنّ أصالة الطهارة واستصحابها جارية من غير أن يعارضها شيء ، ولا ضير في التمسّك بالأصل في قبال الأدلّة الواقعية لعدم منافاتها له فإنّها تحكم </w:t>
      </w:r>
      <w:r>
        <w:rPr>
          <w:rStyle w:val="FootnoteAnchor"/>
          <w:rtl w:val="true"/>
        </w:rPr>
        <w:footnoteReference w:id="1775"/>
      </w:r>
      <w:r>
        <w:rPr>
          <w:rFonts w:ascii="Amiri" w:hAnsi="Amiri" w:eastAsia="Amiri" w:cs="Amiri"/>
          <w:color w:val="111111"/>
          <w:sz w:val="28"/>
          <w:sz w:val="28"/>
          <w:szCs w:val="28"/>
          <w:rtl w:val="true"/>
          <w:lang w:bidi="ar-SA"/>
        </w:rPr>
        <w:t xml:space="preserve">بوجوب الاجتناب عن النجس ، ولا دخل لها في الموضوع ، والاستصحاب حاكم بأنّ هذا الموضوع ليس نجسا كالقرعة ، والبيّنة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الطرق </w:t>
      </w:r>
      <w:r>
        <w:rPr>
          <w:rStyle w:val="FootnoteAnchor"/>
          <w:rtl w:val="true"/>
        </w:rPr>
        <w:footnoteReference w:id="1776"/>
      </w: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w:t>
      </w:r>
      <w:r>
        <w:rPr>
          <w:rStyle w:val="FootnoteAnchor"/>
          <w:rtl w:val="true"/>
        </w:rPr>
        <w:footnoteReference w:id="1777"/>
      </w:r>
      <w:r>
        <w:rPr>
          <w:rFonts w:ascii="Amiri" w:hAnsi="Amiri" w:eastAsia="Amiri" w:cs="Amiri"/>
          <w:color w:val="111111"/>
          <w:sz w:val="28"/>
          <w:sz w:val="28"/>
          <w:szCs w:val="28"/>
          <w:rtl w:val="true"/>
          <w:lang w:bidi="ar-SA"/>
        </w:rPr>
        <w:t xml:space="preserve">الأدلّة الواقعية بل تؤكّدها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طهارة الطرف الآخر كما يعارض أصالة الطهارة في نفس الملاقى كذا يعارضها </w:t>
      </w:r>
      <w:r>
        <w:rPr>
          <w:rStyle w:val="FootnoteAnchor"/>
          <w:rtl w:val="true"/>
        </w:rPr>
        <w:footnoteReference w:id="1779"/>
      </w:r>
      <w:r>
        <w:rPr>
          <w:rFonts w:ascii="Amiri" w:hAnsi="Amiri" w:eastAsia="Amiri" w:cs="Amiri"/>
          <w:color w:val="111111"/>
          <w:sz w:val="28"/>
          <w:sz w:val="28"/>
          <w:szCs w:val="28"/>
          <w:rtl w:val="true"/>
          <w:lang w:bidi="ar-SA"/>
        </w:rPr>
        <w:t>في الملاقي أيضا ، فلا يجري استصحاب الطهارة ولا أصالة الطهارة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في مقامه من أنّ الأصلين إذا تعارضا إنّما يحكم </w:t>
      </w:r>
      <w:r>
        <w:rPr>
          <w:rStyle w:val="FootnoteAnchor"/>
          <w:rtl w:val="true"/>
        </w:rPr>
        <w:footnoteReference w:id="1780"/>
      </w:r>
      <w:r>
        <w:rPr>
          <w:rFonts w:ascii="Amiri" w:hAnsi="Amiri" w:eastAsia="Amiri" w:cs="Amiri"/>
          <w:color w:val="111111"/>
          <w:sz w:val="28"/>
          <w:sz w:val="28"/>
          <w:szCs w:val="28"/>
          <w:rtl w:val="true"/>
          <w:lang w:bidi="ar-SA"/>
        </w:rPr>
        <w:t xml:space="preserve">بتساقطهما ، ولا بدّ من الرجوع إلى أصل ثالث وإن كان الأصل الثالث ممّا لا يجري عند جريان الأصلين </w:t>
      </w:r>
    </w:p>
    <w:p>
      <w:pPr>
        <w:pStyle w:val="BookText"/>
        <w:rPr/>
      </w:pPr>
      <w:r>
        <w:rPr>
          <w:rFonts w:ascii="Amiri" w:hAnsi="Amiri" w:eastAsia="Amiri" w:cs="Amiri"/>
          <w:color w:val="111111"/>
          <w:sz w:val="28"/>
          <w:sz w:val="28"/>
          <w:szCs w:val="28"/>
          <w:rtl w:val="true"/>
          <w:lang w:bidi="ar-SA"/>
        </w:rPr>
        <w:t xml:space="preserve">إذ المانع من جريان الثالث جريانهما </w:t>
      </w:r>
      <w:r>
        <w:rPr>
          <w:rStyle w:val="FootnoteAnchor"/>
          <w:rtl w:val="true"/>
        </w:rPr>
        <w:footnoteReference w:id="1781"/>
      </w:r>
      <w:r>
        <w:rPr>
          <w:rFonts w:ascii="IRNazanin" w:hAnsi="IRNazanin" w:eastAsia="IRNazanin"/>
          <w:color w:val="111111"/>
          <w:sz w:val="28"/>
          <w:sz w:val="28"/>
          <w:szCs w:val="28"/>
          <w:rtl w:val="true"/>
          <w:lang w:bidi="fa-IR"/>
        </w:rPr>
        <w:t xml:space="preserve">وبعد سقوطهما </w:t>
      </w:r>
      <w:r>
        <w:rPr>
          <w:rStyle w:val="FootnoteAnchor"/>
          <w:rtl w:val="true"/>
        </w:rPr>
        <w:footnoteReference w:id="1782"/>
      </w:r>
      <w:r>
        <w:rPr>
          <w:rFonts w:ascii="Amiri" w:hAnsi="Amiri" w:eastAsia="Amiri" w:cs="Amiri"/>
          <w:color w:val="111111"/>
          <w:sz w:val="28"/>
          <w:sz w:val="28"/>
          <w:szCs w:val="28"/>
          <w:rtl w:val="true"/>
          <w:lang w:bidi="ar-SA"/>
        </w:rPr>
        <w:t xml:space="preserve">فيجري من غير مانع كما في المقام فإنّ أصالة طهارة الملاقي لو كانت جارية ، فلا مجرى لأصالة الطهارة في الملاقى لكونها مزيلة بالنسبة إليها لاستناد الشكّ في طهارة الملاقى </w:t>
      </w:r>
      <w:r>
        <w:rPr>
          <w:rStyle w:val="FootnoteAnchor"/>
          <w:rtl w:val="true"/>
        </w:rPr>
        <w:footnoteReference w:id="1783"/>
      </w:r>
      <w:r>
        <w:rPr>
          <w:rFonts w:ascii="Amiri" w:hAnsi="Amiri" w:eastAsia="Amiri" w:cs="Amiri"/>
          <w:color w:val="111111"/>
          <w:sz w:val="28"/>
          <w:sz w:val="28"/>
          <w:szCs w:val="28"/>
          <w:rtl w:val="true"/>
          <w:lang w:bidi="ar-SA"/>
        </w:rPr>
        <w:t xml:space="preserve">إلى الشكّ في طهارة الملاقي وبعد استصحاب طهارة الملاقي ، فلا حاجة إلى استصحاب طهارة الملاقى فإنّ طهارته من آثار طهارة الملاقي و </w:t>
      </w:r>
      <w:r>
        <w:rPr>
          <w:rStyle w:val="FootnoteAnchor"/>
          <w:rtl w:val="true"/>
        </w:rPr>
        <w:footnoteReference w:id="1784"/>
      </w:r>
      <w:r>
        <w:rPr>
          <w:rFonts w:ascii="Amiri" w:hAnsi="Amiri" w:eastAsia="Amiri" w:cs="Amiri"/>
          <w:color w:val="111111"/>
          <w:sz w:val="28"/>
          <w:sz w:val="28"/>
          <w:szCs w:val="28"/>
          <w:rtl w:val="true"/>
          <w:lang w:bidi="ar-SA"/>
        </w:rPr>
        <w:t>أحكامه ، وبعد ما فرضنا من معارضة أصالة الطهارة في الطرف الآخر بأصالة الطهارة في الملاقى وسقوطهما لا بدّ من الرجوع إلى الأصل الثالث الذي يجري مع عدم جريان الأصل الموضوعي وهو استصحاب الطهارة في التابع والملاقي ، ولا يعقل معارضته للأصل في التابع إذ المفروض سقوطه بأصالة الطهارة في المتبوع والملاقى ، فالأصل في التابع وهو الملاقي جار بلا معارض ، فلا بدّ من العمل به ، والأخذ بمدلوله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w:t>
      </w:r>
      <w:r>
        <w:rPr>
          <w:rStyle w:val="FootnoteAnchor"/>
          <w:rtl w:val="true"/>
        </w:rPr>
        <w:footnoteReference w:id="1785"/>
      </w:r>
      <w:r>
        <w:rPr>
          <w:rFonts w:ascii="Amiri" w:hAnsi="Amiri" w:eastAsia="Amiri" w:cs="Amiri"/>
          <w:color w:val="111111"/>
          <w:sz w:val="28"/>
          <w:sz w:val="28"/>
          <w:szCs w:val="28"/>
          <w:rtl w:val="true"/>
          <w:lang w:bidi="ar-SA"/>
        </w:rPr>
        <w:t>بأنّ الملاقي كأحد أطراف الشبهة ، فليس على إطلاقه فإنّه تابع لأحد أطراف الشبهة لا أنّه أحد الأطراف كما لا يخفى فإنّه منه سرى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ليس من قبيل ترجيح الأصل في جانب المتبوع على الأصل في الطرف الآخر بتعاضده </w:t>
      </w:r>
      <w:r>
        <w:rPr>
          <w:rStyle w:val="FootnoteAnchor"/>
          <w:rtl w:val="true"/>
        </w:rPr>
        <w:footnoteReference w:id="1786"/>
      </w:r>
      <w:r>
        <w:rPr>
          <w:rFonts w:ascii="Amiri" w:hAnsi="Amiri" w:eastAsia="Amiri" w:cs="Amiri"/>
          <w:color w:val="111111"/>
          <w:sz w:val="28"/>
          <w:sz w:val="28"/>
          <w:szCs w:val="28"/>
          <w:rtl w:val="true"/>
          <w:lang w:bidi="ar-SA"/>
        </w:rPr>
        <w:t xml:space="preserve">بالأصل في التابع كما قد يتوهّم حيث إنّ تعاضد أحد الأصلين للآخر فرع جريانهما ، والمفروض أنّ التابع لا مجرى </w:t>
      </w:r>
      <w:r>
        <w:rPr>
          <w:rStyle w:val="FootnoteAnchor"/>
          <w:rtl w:val="true"/>
        </w:rPr>
        <w:footnoteReference w:id="1787"/>
      </w:r>
      <w:r>
        <w:rPr>
          <w:rFonts w:ascii="Amiri" w:hAnsi="Amiri" w:eastAsia="Amiri" w:cs="Amiri"/>
          <w:color w:val="111111"/>
          <w:sz w:val="28"/>
          <w:sz w:val="28"/>
          <w:szCs w:val="28"/>
          <w:rtl w:val="true"/>
          <w:lang w:bidi="ar-SA"/>
        </w:rPr>
        <w:t>له مع جريان المتبوع لكونه دليلا اجتهاديا بالنسبة إليه وبدونه لا تعاضد في البين لسقوطه عن أصل ، وذلك بخلاف الأدلّة الاجتهادية كما ستعرف الكلام فيها إن شاء اللّه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جميع ما مرّ أنّ طهارة الملاقي ما تقضي </w:t>
      </w:r>
      <w:r>
        <w:rPr>
          <w:rStyle w:val="FootnoteAnchor"/>
          <w:rtl w:val="true"/>
        </w:rPr>
        <w:footnoteReference w:id="1788"/>
      </w:r>
      <w:r>
        <w:rPr>
          <w:rFonts w:ascii="Amiri" w:hAnsi="Amiri" w:eastAsia="Amiri" w:cs="Amiri"/>
          <w:color w:val="111111"/>
          <w:sz w:val="28"/>
          <w:sz w:val="28"/>
          <w:szCs w:val="28"/>
          <w:rtl w:val="true"/>
          <w:lang w:bidi="ar-SA"/>
        </w:rPr>
        <w:t xml:space="preserve">بها القواعد لكن ينبغي أن يعلم </w:t>
      </w:r>
    </w:p>
    <w:p>
      <w:pPr>
        <w:pStyle w:val="BookText"/>
        <w:rPr/>
      </w:pPr>
      <w:r>
        <w:rPr>
          <w:rFonts w:ascii="Amiri" w:hAnsi="Amiri" w:eastAsia="Amiri" w:cs="Amiri"/>
          <w:color w:val="111111"/>
          <w:sz w:val="28"/>
          <w:sz w:val="28"/>
          <w:szCs w:val="28"/>
          <w:rtl w:val="true"/>
          <w:lang w:bidi="ar-SA"/>
        </w:rPr>
        <w:t xml:space="preserve">أنّ عدم لزوم الاجتناب عن الملاقي إنّما هو فيما </w:t>
      </w:r>
      <w:r>
        <w:rPr>
          <w:rStyle w:val="FootnoteAnchor"/>
          <w:rtl w:val="true"/>
        </w:rPr>
        <w:footnoteReference w:id="1789"/>
      </w:r>
      <w:r>
        <w:rPr>
          <w:rFonts w:ascii="Amiri" w:hAnsi="Amiri" w:eastAsia="Amiri" w:cs="Amiri"/>
          <w:color w:val="111111"/>
          <w:sz w:val="28"/>
          <w:sz w:val="28"/>
          <w:szCs w:val="28"/>
          <w:rtl w:val="true"/>
          <w:lang w:bidi="ar-SA"/>
        </w:rPr>
        <w:t xml:space="preserve">إذا كان الملاقي لواحد من الأطراف ، وأمّا لو لاقى بشيء واحد كلّ واحد منها </w:t>
      </w:r>
      <w:r>
        <w:rPr>
          <w:rStyle w:val="FootnoteAnchor"/>
          <w:rtl w:val="true"/>
        </w:rPr>
        <w:footnoteReference w:id="1790"/>
      </w:r>
      <w:r>
        <w:rPr>
          <w:rFonts w:ascii="Amiri" w:hAnsi="Amiri" w:eastAsia="Amiri" w:cs="Amiri"/>
          <w:color w:val="111111"/>
          <w:sz w:val="28"/>
          <w:sz w:val="28"/>
          <w:szCs w:val="28"/>
          <w:rtl w:val="true"/>
          <w:lang w:bidi="ar-SA"/>
        </w:rPr>
        <w:t>، فلا شكّ في نجاسته تفصيلا لكن فيما لم يحصل التطهير بالآخر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تعدّد الملاقي بحسب تعدّد الأطراف ، فالحكم في الملاقيات كالحكم في نفس الأطراف لحصول العلم الإجمالي بنجاسة أحدها ، غاية الأمر أنّها تابعة لنجاسة الأطراف ، ويلحق كلّ منهما حكمهما من لزوم الاجتناب ، ولو نقص أحد الأطراف مع بقاء ملاقيه ، فهل يحكم بطهارة الملاقي والطرف الآخر ، أو لا؟ فيه تفصيل بين حصول العلم الإجمالي قبل النقصان والتعذّر ، وبين حصوله بعد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يحكم بالطهارة في الملاقي ولزوم الاجتناب عن الطرف الآخر إذ المفروض أنّ الاستصحاب قضى بطهارة الملاقي قبل التعذّر والعلم </w:t>
      </w:r>
      <w:r>
        <w:rPr>
          <w:rStyle w:val="FootnoteAnchor"/>
          <w:rtl w:val="true"/>
        </w:rPr>
        <w:footnoteReference w:id="1791"/>
      </w:r>
      <w:r>
        <w:rPr>
          <w:rFonts w:ascii="Amiri" w:hAnsi="Amiri" w:eastAsia="Amiri" w:cs="Amiri"/>
          <w:color w:val="111111"/>
          <w:sz w:val="28"/>
          <w:sz w:val="28"/>
          <w:szCs w:val="28"/>
          <w:rtl w:val="true"/>
          <w:lang w:bidi="ar-SA"/>
        </w:rPr>
        <w:t>الإجمالي الدائر بين الطرفين بنجاسة الطرف الآخر ، وتعذّر الملاقي بعد الحكم بالطهارة الشرعية لا يجدي في الحكم بنجاسة الملاقي وطهارة الطرف الآخر لقيام دليل شرعي على الطهارة في الملاقي والنجاسة في الطرف الآخر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يحكم بنجاسة الملاقي ونجاسة الطرف الآخر لحصول العلم الإجمالي بين هذا الملاقي ونفس الطرف الآخر بأنّ أحدهما نجس في الواقع ، ولا بدّ من الاجتناب والمفروض عدم قيام دليل شرعي على طهارة الملاقي لتعارض أصالة الطهارة في الطرف الآخر بأصالة الطهارة في الملاقى حيث إنّ الملاقي بعد لا محلّ له يجري فيه أصالة الطهارة حتّى يكون معارضا بالأصل في الطرف الآخر ، وحيث قد علمت أنّ المعيار في الحكم بالطهارة هو عدم معارضة أصل آخر لأصالة الطهارة يظهر الوجه في الحكم بنجاسة الملاقي فيما لو حصل العلم بعد التعذّر ، فتدبّر</w:t>
      </w:r>
      <w:r>
        <w:rPr>
          <w:rFonts w:eastAsia="Amiri" w:cs="Amiri" w:ascii="Amiri" w:hAnsi="Amiri"/>
          <w:color w:val="111111"/>
          <w:sz w:val="28"/>
          <w:szCs w:val="28"/>
          <w:rtl w:val="true"/>
          <w:lang w:bidi="ar-SA"/>
        </w:rPr>
        <w:t xml:space="preserve">. </w:t>
      </w:r>
      <w:bookmarkStart w:id="199" w:name="pg16273_211852"/>
    </w:p>
    <w:p>
      <w:pPr>
        <w:pStyle w:val="Heading5"/>
        <w:numPr>
          <w:ilvl w:val="4"/>
          <w:numId w:val="1"/>
        </w:numPr>
        <w:rPr/>
      </w:pPr>
      <w:bookmarkStart w:id="200" w:name="__RefHeading___Toc4803596_1280447820"/>
      <w:bookmarkStart w:id="201" w:name="_Toc70"/>
      <w:bookmarkEnd w:id="199"/>
      <w:bookmarkEnd w:id="200"/>
      <w:r>
        <w:rPr>
          <w:rtl w:val="true"/>
        </w:rPr>
        <w:t xml:space="preserve">الخامس </w:t>
      </w:r>
      <w:r>
        <w:rPr>
          <w:rtl w:val="true"/>
        </w:rPr>
        <w:t>:</w:t>
      </w:r>
      <w:bookmarkEnd w:id="201"/>
    </w:p>
    <w:p>
      <w:pPr>
        <w:pStyle w:val="BookText"/>
        <w:rPr/>
      </w:pPr>
      <w:r>
        <w:rPr>
          <w:rFonts w:ascii="Amiri" w:hAnsi="Amiri" w:eastAsia="Amiri" w:cs="Amiri"/>
          <w:color w:val="111111"/>
          <w:sz w:val="28"/>
          <w:sz w:val="28"/>
          <w:szCs w:val="28"/>
          <w:rtl w:val="true"/>
          <w:lang w:bidi="ar-SA"/>
        </w:rPr>
        <w:t xml:space="preserve">هل الحكم بوجوب الاجتناب يخصّ ما إذا اجتمعت أطراف الشبهة في الوجود أو يعمّها ، وما إذا اندرجت </w:t>
      </w:r>
      <w:r>
        <w:rPr>
          <w:rStyle w:val="FootnoteAnchor"/>
          <w:rtl w:val="true"/>
        </w:rPr>
        <w:footnoteReference w:id="1792"/>
      </w:r>
      <w:r>
        <w:rPr>
          <w:rFonts w:ascii="Amiri" w:hAnsi="Amiri" w:eastAsia="Amiri" w:cs="Amiri"/>
          <w:color w:val="111111"/>
          <w:sz w:val="28"/>
          <w:sz w:val="28"/>
          <w:szCs w:val="28"/>
          <w:rtl w:val="true"/>
          <w:lang w:bidi="ar-SA"/>
        </w:rPr>
        <w:t xml:space="preserve">فيه كأن يعلم بأنّ أحد الأيّام من الأسبوع الخاصّ في الشهر المخصوص يحرم عليه المسافرة أو الصيام؟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الثاني لكن حيث يكون المكلّف بمحلّ الابتلاء منه على وجه يصحّ التكليف به من غير تعليق كما مرّ كأن يكون مريدا لصوم ذلك الأسبوع فإنّ المدرك في هذا الحكم هو استقلال العقل بعد العلم بالتكليف على تحصيل الامتثال والفراغ عن عهدته ، والعقل لا يفرق بين أن يكون الأطراف مجتمعة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الإناءين أو الدراهم المعلوم غصبية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متدرّجة كما فيما إذا علم بحرمة واحد من أفاعيله الواقعة في برهة من الزمان المعلوم مع كون الفاعل في صدد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أفتى الشيخ في محكيّ النهاية </w:t>
      </w:r>
      <w:r>
        <w:rPr>
          <w:rStyle w:val="FootnoteAnchor"/>
          <w:rtl w:val="true"/>
        </w:rPr>
        <w:footnoteReference w:id="1793"/>
      </w:r>
      <w:r>
        <w:rPr>
          <w:rFonts w:ascii="Amiri" w:hAnsi="Amiri" w:eastAsia="Amiri" w:cs="Amiri"/>
          <w:color w:val="111111"/>
          <w:sz w:val="28"/>
          <w:sz w:val="28"/>
          <w:szCs w:val="28"/>
          <w:rtl w:val="true"/>
          <w:lang w:bidi="ar-SA"/>
        </w:rPr>
        <w:t>بوجوب الاحتياط على امرأة تعلم باستمرار دمها في شهر أو شهرين مع علمها بأنّ بعضا منه أيّام أقرائه وحيضه من تركها ما يحرم على الحائض وإتيانها بما يجب عليها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يتوهّم بأنّ الحكم بالاحتياط لا يبتني على لزوم الاجتناب في الشبهة المحصورة نظرا إلى وجود أصل موضوعي في المقام في تمام الشهر وهو استصحاب الطهر إلى أن يبلغ عشرين يوما مع أنّه لا معارض له وأصالة الإباحة في العشرة الأخيرة لاحتمال أن يكون العشرة الأولى أو المتوسّطة أو الملفّقة حيضا ، ولا معارض لها أيضا إلاّ أن يكون استصحاب الطهر مثبتا لكون العشرة الأخيرة حيضا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ولكنّك خبير بانقطاع الأصلين بالعلم الإجمالي بأنّ عشرة من الشهر أيّام حيضها ، فيرجع الحكم بالاحتياط إلى الشبهة المحصورة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794"/>
      </w:r>
      <w:r>
        <w:rPr>
          <w:rFonts w:ascii="Amiri" w:hAnsi="Amiri" w:eastAsia="Amiri" w:cs="Amiri"/>
          <w:color w:val="111111"/>
          <w:sz w:val="28"/>
          <w:sz w:val="28"/>
          <w:szCs w:val="28"/>
          <w:rtl w:val="true"/>
          <w:lang w:bidi="ar-SA"/>
        </w:rPr>
        <w:t xml:space="preserve">أنّ المحدّث البحراني قد أجاب عمّا أورده صاحب المدارك على المشهور من حكمهم بوجوب الاجتناب </w:t>
      </w:r>
      <w:r>
        <w:rPr>
          <w:rStyle w:val="FootnoteAnchor"/>
          <w:rtl w:val="true"/>
        </w:rPr>
        <w:footnoteReference w:id="1795"/>
      </w:r>
      <w:r>
        <w:rPr>
          <w:rFonts w:ascii="Amiri" w:hAnsi="Amiri" w:eastAsia="Amiri" w:cs="Amiri"/>
          <w:color w:val="111111"/>
          <w:sz w:val="28"/>
          <w:sz w:val="28"/>
          <w:szCs w:val="28"/>
          <w:rtl w:val="true"/>
          <w:lang w:bidi="ar-SA"/>
        </w:rPr>
        <w:t xml:space="preserve">في الشبهة المحصورة مع عدم وجوبه فيما إذا علمنا بوقوع النجاسة إمّا على الأرض أو خارج الإناء أو في الإناء </w:t>
      </w:r>
      <w:r>
        <w:rPr>
          <w:rStyle w:val="FootnoteAnchor"/>
          <w:rtl w:val="true"/>
        </w:rPr>
        <w:footnoteReference w:id="1796"/>
      </w:r>
      <w:r>
        <w:rPr>
          <w:rFonts w:ascii="Amiri" w:hAnsi="Amiri" w:eastAsia="Amiri" w:cs="Amiri"/>
          <w:color w:val="111111"/>
          <w:sz w:val="28"/>
          <w:sz w:val="28"/>
          <w:szCs w:val="28"/>
          <w:rtl w:val="true"/>
          <w:lang w:bidi="ar-SA"/>
        </w:rPr>
        <w:t xml:space="preserve">مع أنّ المفروض منها باختلاف جنس أطراف الشبهة ، وقد عرفت أيضا عدم استقامته إلاّ أنّه ربّما يتراءى في جليل النظر من الفرق بين المختلفين اللذين يجمعهما </w:t>
      </w:r>
      <w:r>
        <w:rPr>
          <w:rStyle w:val="FootnoteAnchor"/>
          <w:rtl w:val="true"/>
        </w:rPr>
        <w:footnoteReference w:id="1797"/>
      </w:r>
      <w:r>
        <w:rPr>
          <w:rFonts w:ascii="Amiri" w:hAnsi="Amiri" w:eastAsia="Amiri" w:cs="Amiri"/>
          <w:color w:val="111111"/>
          <w:sz w:val="28"/>
          <w:sz w:val="28"/>
          <w:szCs w:val="28"/>
          <w:rtl w:val="true"/>
          <w:lang w:bidi="ar-SA"/>
        </w:rPr>
        <w:t xml:space="preserve">عنوان تفصيلي من عناوين الأدلّة الشرعية كالإناءين المشتبهين أو الأرض والإناء المردّد وقوع النجاسة في أحدهما ، فإنّه يجمعهما عنوان تفصيلي من عناوين الأدلّة الشرعية وهو لزوم الاجتناب عن النجس ، وبين المختلفين اللذين لا يجمعهما عنوان تفصيلي شرعي كما إذا علم إمّا بأنّ زوجته مرضعة له أو أنّ الإناء الفلاني نجس ، أو علم بأنّ إمّا داره غصب أو زوجته مرضعة ، فإنّ في الأدلّة الشرعية ليس ما يجمعهما فيقال بلزوم الاجتناب في الأوّل وعدمه في الثاني نظرا إلى لزوم المخالفة في الأوّل دون الثاني ؛ إذ المفروض عدم وجوب خطاب تفصيلي يجمعهما </w:t>
      </w:r>
      <w:r>
        <w:rPr>
          <w:rStyle w:val="FootnoteAnchor"/>
          <w:rtl w:val="true"/>
        </w:rPr>
        <w:footnoteReference w:id="1798"/>
      </w:r>
      <w:r>
        <w:rPr>
          <w:rFonts w:ascii="Amiri" w:hAnsi="Amiri" w:eastAsia="Amiri" w:cs="Amiri"/>
          <w:color w:val="111111"/>
          <w:sz w:val="28"/>
          <w:sz w:val="28"/>
          <w:szCs w:val="28"/>
          <w:rtl w:val="true"/>
          <w:lang w:bidi="ar-SA"/>
        </w:rPr>
        <w:t>حتّى يلزم من عدم الاجتناب مخالفته ولا يلزم مخالفة الخطابين المخصوصين لكلّ واحد منهما لكون كلّ واحد منهما مشكوكا تفصيلا ، وأحدهما أيضا ليس من العناوين الشرعية ، فارتكاب كلّ واحد من أطراف الشبهة ممّا لا غبار عليه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النظر الدقيق لا يفرق بين المقامين لاستقلال العقل بحرمة المخالفة وصدق </w:t>
      </w:r>
      <w:bookmarkStart w:id="202" w:name="pg16273_211854"/>
    </w:p>
    <w:p>
      <w:pPr>
        <w:pStyle w:val="BookText"/>
        <w:rPr/>
      </w:pPr>
      <w:bookmarkEnd w:id="202"/>
      <w:r>
        <w:rPr>
          <w:rFonts w:ascii="Amiri" w:hAnsi="Amiri" w:eastAsia="Amiri" w:cs="Amiri"/>
          <w:color w:val="111111"/>
          <w:sz w:val="28"/>
          <w:sz w:val="28"/>
          <w:szCs w:val="28"/>
          <w:rtl w:val="true"/>
          <w:lang w:bidi="ar-SA"/>
        </w:rPr>
        <w:t>المخالفة فيما لو ارتكب كلاّ من طرفي الشبهة بأن يشرب الإناء ويتصرّف في الدار على الوجه المذكور ممّا لا يدانيه ريبة فلا فرق في نظر العقل بين أن يكون أطراف الشبهة متجانسة كما زعمه المحدّث البحراني أو مجتمعة في عنوان تفصيلي كما قد يتراءى في جليل النظر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يبعد دعوى القول بالتفصيل في الصورة المفروضة بين ما يقع من المكلّف مقصودا وبين ما لا يقع مقصودا ، كذا أفاد سلّمه اللّه إلاّ أنّ ذلك أيضا ممّا لا يتمّ إلاّ بعد التقييد في دليل الواقع وبعد ذلك فلا فرق بين المقصود وغيره ، فليتأمّل في المقام</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4803598_1280447820"/>
      <w:bookmarkStart w:id="204" w:name="_Toc71"/>
      <w:bookmarkEnd w:id="203"/>
      <w:r>
        <w:rPr>
          <w:rtl w:val="true"/>
        </w:rPr>
        <w:t xml:space="preserve">السابع </w:t>
      </w:r>
      <w:r>
        <w:rPr>
          <w:rtl w:val="true"/>
        </w:rPr>
        <w:t>:</w:t>
      </w:r>
      <w:bookmarkEnd w:id="204"/>
    </w:p>
    <w:p>
      <w:pPr>
        <w:pStyle w:val="BookText"/>
        <w:rPr/>
      </w:pPr>
      <w:r>
        <w:rPr>
          <w:rFonts w:ascii="Amiri" w:hAnsi="Amiri" w:eastAsia="Amiri" w:cs="Amiri"/>
          <w:color w:val="111111"/>
          <w:sz w:val="28"/>
          <w:sz w:val="28"/>
          <w:szCs w:val="28"/>
          <w:rtl w:val="true"/>
          <w:lang w:bidi="ar-SA"/>
        </w:rPr>
        <w:t>قد يتوهّم في المقام معاضدة استصحاب الحرمة فيما لو كانت الحالة السابقة هي الحرمة للقول بحرمة الارتكاب بل قد يجعل دليلا له بإتمام المطلوب بدعوى الإجماع المركّب ، وقد يعارض باستصحاب الحلّ فيما كانت الحالة السابقة هو الحلّ بدعوى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عبرة بشيء منهما فإنّ التحقيق عدم اعتبار الحالة السابقة في موارد </w:t>
      </w:r>
      <w:r>
        <w:rPr>
          <w:rStyle w:val="FootnoteAnchor"/>
          <w:rtl w:val="true"/>
        </w:rPr>
        <w:footnoteReference w:id="1799"/>
      </w:r>
      <w:r>
        <w:rPr>
          <w:rFonts w:ascii="Amiri" w:hAnsi="Amiri" w:eastAsia="Amiri" w:cs="Amiri"/>
          <w:color w:val="111111"/>
          <w:sz w:val="28"/>
          <w:sz w:val="28"/>
          <w:szCs w:val="28"/>
          <w:rtl w:val="true"/>
          <w:lang w:bidi="ar-SA"/>
        </w:rPr>
        <w:t>الشبهة المحصورة سواء كانت الحرمة أو الحلّ لانقطاع الحالة السابقة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الحرمة المعلومة في السابق غير الحرمة </w:t>
      </w:r>
      <w:r>
        <w:rPr>
          <w:rStyle w:val="FootnoteAnchor"/>
          <w:rtl w:val="true"/>
        </w:rPr>
        <w:footnoteReference w:id="1800"/>
      </w:r>
      <w:r>
        <w:rPr>
          <w:rFonts w:ascii="Amiri" w:hAnsi="Amiri" w:eastAsia="Amiri" w:cs="Amiri"/>
          <w:color w:val="111111"/>
          <w:sz w:val="28"/>
          <w:sz w:val="28"/>
          <w:szCs w:val="28"/>
          <w:rtl w:val="true"/>
          <w:lang w:bidi="ar-SA"/>
        </w:rPr>
        <w:t>التي يدّعي القائل بالتحريم ثبوتها لأنّ الحرمة هذه مقدّمية عقلية ، والحرمة السابقة نفسية شرعية وهي قد انقطعت ولا يجدي في إثبات الحرمة المقدّمية كما لا يخفى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ففي موارد الشبهة إمّا أن نعلم بالحالة السابقة في كلا الطرفين ، وإمّا أن لا نعلم بها فيهما ، أو نعلم بأحدهما دون الآخر موافقا أو مخالفا ، ولا عبرة بشيء منهما إذ المفروض علمنا بطهارة الإناءين في المثال المشهور ونجاسة الآخر ، ولا فرق في ذلك </w:t>
      </w:r>
      <w:bookmarkStart w:id="205" w:name="pg16273_211855"/>
    </w:p>
    <w:p>
      <w:pPr>
        <w:pStyle w:val="BookText"/>
        <w:rPr/>
      </w:pPr>
      <w:bookmarkEnd w:id="205"/>
      <w:r>
        <w:rPr>
          <w:rFonts w:ascii="Amiri" w:hAnsi="Amiri" w:eastAsia="Amiri" w:cs="Amiri"/>
          <w:color w:val="111111"/>
          <w:sz w:val="28"/>
          <w:sz w:val="28"/>
          <w:szCs w:val="28"/>
          <w:rtl w:val="true"/>
          <w:lang w:bidi="ar-SA"/>
        </w:rPr>
        <w:t xml:space="preserve">بين أن نعلم بنجاستهما أو بطهارتهما ، أو لا نعلم بشيء منهما </w:t>
      </w:r>
      <w:r>
        <w:rPr>
          <w:rStyle w:val="FootnoteAnchor"/>
          <w:rtl w:val="true"/>
        </w:rPr>
        <w:footnoteReference w:id="1801"/>
      </w:r>
      <w:r>
        <w:rPr>
          <w:rFonts w:ascii="Amiri" w:hAnsi="Amiri" w:eastAsia="Amiri" w:cs="Amiri"/>
          <w:color w:val="111111"/>
          <w:sz w:val="28"/>
          <w:sz w:val="28"/>
          <w:szCs w:val="28"/>
          <w:rtl w:val="true"/>
          <w:lang w:bidi="ar-SA"/>
        </w:rPr>
        <w:t>، أو بطهارة الأوّل دون الثاني كما لا يخفى</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4803600_1280447820"/>
      <w:bookmarkStart w:id="207" w:name="_Toc72"/>
      <w:bookmarkEnd w:id="206"/>
      <w:r>
        <w:rPr>
          <w:rtl w:val="true"/>
        </w:rPr>
        <w:t xml:space="preserve">الثامن </w:t>
      </w:r>
      <w:r>
        <w:rPr>
          <w:rtl w:val="true"/>
        </w:rPr>
        <w:t>:</w:t>
      </w:r>
      <w:bookmarkEnd w:id="207"/>
    </w:p>
    <w:p>
      <w:pPr>
        <w:pStyle w:val="BookText"/>
        <w:rPr/>
      </w:pPr>
      <w:r>
        <w:rPr>
          <w:rFonts w:ascii="Amiri" w:hAnsi="Amiri" w:eastAsia="Amiri" w:cs="Amiri"/>
          <w:color w:val="111111"/>
          <w:sz w:val="28"/>
          <w:sz w:val="28"/>
          <w:szCs w:val="28"/>
          <w:rtl w:val="true"/>
          <w:lang w:bidi="ar-SA"/>
        </w:rPr>
        <w:t>إذا اشتبه أحد الأطراف بسلسلة أخرى ، ثمّ منها إلى غيرها ، فعلى ما اخترناه يجب الاجتناب عنها أيضا للعلم بوجوب الاجتناب عن أحد الأطراف في جميع السلاسل ولو كانت متصاعدة إجمالا لكن ينبغي أن يستثنى من ذلك ما لو انتهت إلى الشبهة الغير المحصورة في كلّ السلاسل ، أو في مجموعها ، فتدبّر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4803602_1280447820"/>
      <w:bookmarkStart w:id="209" w:name="_Toc73"/>
      <w:bookmarkEnd w:id="208"/>
      <w:r>
        <w:rPr>
          <w:rtl w:val="true"/>
        </w:rPr>
        <w:t xml:space="preserve">التاسع </w:t>
      </w:r>
      <w:r>
        <w:rPr>
          <w:rtl w:val="true"/>
        </w:rPr>
        <w:t>:</w:t>
      </w:r>
      <w:bookmarkEnd w:id="209"/>
    </w:p>
    <w:p>
      <w:pPr>
        <w:pStyle w:val="BookText"/>
        <w:rPr/>
      </w:pPr>
      <w:r>
        <w:rPr>
          <w:rFonts w:ascii="Amiri" w:hAnsi="Amiri" w:eastAsia="Amiri" w:cs="Amiri"/>
          <w:color w:val="111111"/>
          <w:sz w:val="28"/>
          <w:sz w:val="28"/>
          <w:szCs w:val="28"/>
          <w:rtl w:val="true"/>
          <w:lang w:bidi="ar-SA"/>
        </w:rPr>
        <w:t xml:space="preserve">لو اضطرّ المكلّف إلى ارتكاب أحد الأطراف ، فهل يجب الاجتناب عن الباقي مطلقا ، أو لا </w:t>
      </w:r>
      <w:r>
        <w:rPr>
          <w:rStyle w:val="FootnoteAnchor"/>
          <w:rtl w:val="true"/>
        </w:rPr>
        <w:footnoteReference w:id="1802"/>
      </w:r>
      <w:r>
        <w:rPr>
          <w:rFonts w:ascii="Amiri" w:hAnsi="Amiri" w:eastAsia="Amiri" w:cs="Amiri"/>
          <w:color w:val="111111"/>
          <w:sz w:val="28"/>
          <w:sz w:val="28"/>
          <w:szCs w:val="28"/>
          <w:rtl w:val="true"/>
          <w:lang w:bidi="ar-SA"/>
        </w:rPr>
        <w:t>، أو يفصّل بين موارد الأدلّة ، أو بين حصول العلم الإجمالي بعد الاضطرار ، أو قبله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الدالّ على جواز الارتكاب قد يفيد حلّية المحرّم الواقعي في غير موضوع الاضطرار ، فلا يجب الاجتناب عن الباقي ، وقد يفيد جواز الارتكاب مع قطع النظر عن وروده على الأدلّة الواقعية بارتكاب تقييد فيها ، فيجب الاجتناب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فلرجوع الشبهة فيه إلى الشبهة البدوية إذ بعد احتمال حلّية المضطرّ عن أصله ينقلب الشكّ بدويا صرفا كما في صورة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قضية الجمع بين الدليلين هو القول ببدلية الباقي عن الواقع من غير تقييد في الأدلّة الواقعية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شكّ في إفادة الدليل هل هي على الوجه الأوّل ، أو على الأخير ، ففيه </w:t>
      </w:r>
      <w:bookmarkStart w:id="210" w:name="pg16273_211856"/>
    </w:p>
    <w:p>
      <w:pPr>
        <w:pStyle w:val="BookText"/>
        <w:rPr/>
      </w:pPr>
      <w:bookmarkEnd w:id="210"/>
      <w:r>
        <w:rPr>
          <w:rFonts w:ascii="Amiri" w:hAnsi="Amiri" w:eastAsia="Amiri" w:cs="Amiri"/>
          <w:color w:val="111111"/>
          <w:sz w:val="28"/>
          <w:sz w:val="28"/>
          <w:szCs w:val="28"/>
          <w:rtl w:val="true"/>
          <w:lang w:bidi="ar-SA"/>
        </w:rPr>
        <w:t xml:space="preserve">إشكال من أنّ الشكّ مرجعه إلى الشكّ في نفس بعد الشكّ في كون الدليل على وجه يجب معه الاجتناب ومن لزوم الاجتناب نظرا إلى عدم العلم بالبراءة إلاّ به </w:t>
      </w:r>
      <w:r>
        <w:rPr>
          <w:rStyle w:val="FootnoteAnchor"/>
          <w:rtl w:val="true"/>
        </w:rPr>
        <w:footnoteReference w:id="1803"/>
      </w:r>
      <w:r>
        <w:rPr>
          <w:rFonts w:ascii="Amiri" w:hAnsi="Amiri" w:eastAsia="Amiri" w:cs="Amiri"/>
          <w:color w:val="111111"/>
          <w:sz w:val="28"/>
          <w:sz w:val="28"/>
          <w:szCs w:val="28"/>
          <w:rtl w:val="true"/>
          <w:lang w:bidi="ar-SA"/>
        </w:rPr>
        <w:t>، ولعلّ الأوّل أقوى</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4803604_1280447820"/>
      <w:bookmarkStart w:id="212" w:name="_Toc74"/>
      <w:bookmarkEnd w:id="211"/>
      <w:r>
        <w:rPr>
          <w:rtl w:val="true"/>
        </w:rPr>
        <w:t xml:space="preserve">العاشر </w:t>
      </w:r>
      <w:r>
        <w:rPr>
          <w:rtl w:val="true"/>
        </w:rPr>
        <w:t>:</w:t>
      </w:r>
      <w:bookmarkEnd w:id="212"/>
    </w:p>
    <w:p>
      <w:pPr>
        <w:pStyle w:val="BookText"/>
        <w:rPr/>
      </w:pPr>
      <w:r>
        <w:rPr>
          <w:rFonts w:ascii="Amiri" w:hAnsi="Amiri" w:eastAsia="Amiri" w:cs="Amiri"/>
          <w:color w:val="111111"/>
          <w:sz w:val="28"/>
          <w:sz w:val="28"/>
          <w:szCs w:val="28"/>
          <w:rtl w:val="true"/>
          <w:lang w:bidi="ar-SA"/>
        </w:rPr>
        <w:t xml:space="preserve">لو حدث حادث في أحد الأطراف على وجه يطهر النجس الواقعي لو صادفه واقعا ، فهل يجب الاجتناب ، أو لا؟ قد يظهر في النظر القول بعدم وجوب الاجتناب لارتفاع العلم الإجمالي إلاّ أنّ التأمّل قد يقضي بلزوم الاجتناب استصحابا للنجاسة </w:t>
      </w:r>
      <w:r>
        <w:rPr>
          <w:rStyle w:val="FootnoteAnchor"/>
          <w:rtl w:val="true"/>
        </w:rPr>
        <w:footnoteReference w:id="1804"/>
      </w:r>
      <w:r>
        <w:rPr>
          <w:rFonts w:ascii="Amiri" w:hAnsi="Amiri" w:eastAsia="Amiri" w:cs="Amiri"/>
          <w:color w:val="111111"/>
          <w:sz w:val="28"/>
          <w:sz w:val="28"/>
          <w:szCs w:val="28"/>
          <w:rtl w:val="true"/>
          <w:lang w:bidi="ar-SA"/>
        </w:rPr>
        <w:t>اليقينية من غير معارض ، فتدبّر</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4803606_1280447820"/>
      <w:bookmarkStart w:id="214" w:name="_Toc75"/>
      <w:bookmarkEnd w:id="213"/>
      <w:r>
        <w:rPr>
          <w:rtl w:val="true"/>
        </w:rPr>
        <w:t xml:space="preserve">الحادي عشر </w:t>
      </w:r>
      <w:r>
        <w:rPr>
          <w:rtl w:val="true"/>
        </w:rPr>
        <w:t>:</w:t>
      </w:r>
      <w:bookmarkEnd w:id="21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 أوائل </w:t>
      </w:r>
      <w:r>
        <w:rPr>
          <w:rStyle w:val="FootnoteAnchor"/>
          <w:rtl w:val="true"/>
        </w:rPr>
        <w:footnoteReference w:id="1805"/>
      </w:r>
      <w:r>
        <w:rPr>
          <w:rFonts w:ascii="Amiri" w:hAnsi="Amiri" w:eastAsia="Amiri" w:cs="Amiri"/>
          <w:color w:val="111111"/>
          <w:sz w:val="28"/>
          <w:sz w:val="28"/>
          <w:szCs w:val="28"/>
          <w:rtl w:val="true"/>
          <w:lang w:bidi="ar-SA"/>
        </w:rPr>
        <w:t xml:space="preserve">الأصل ، هذا انقسام الشبهة التحريمية الموضوعية في الشكّ في المكلّف به عند دوران الأمر بين المتباينين إلى المحصورة وقد مضى </w:t>
      </w:r>
      <w:r>
        <w:rPr>
          <w:rStyle w:val="FootnoteAnchor"/>
          <w:rtl w:val="true"/>
        </w:rPr>
        <w:footnoteReference w:id="1806"/>
      </w:r>
      <w:r>
        <w:rPr>
          <w:rFonts w:ascii="Amiri" w:hAnsi="Amiri" w:eastAsia="Amiri" w:cs="Amiri"/>
          <w:color w:val="111111"/>
          <w:sz w:val="28"/>
          <w:sz w:val="28"/>
          <w:szCs w:val="28"/>
          <w:rtl w:val="true"/>
          <w:lang w:bidi="ar-SA"/>
        </w:rPr>
        <w:t xml:space="preserve">تحقيق القول فيها بما لا مزيد عليه ، وإلى غيرها ، وتوضيح الحال فيها في مقامات </w:t>
      </w:r>
      <w:r>
        <w:rPr>
          <w:rFonts w:eastAsia="Amiri" w:cs="Amiri" w:ascii="Amiri" w:hAnsi="Amiri"/>
          <w:color w:val="111111"/>
          <w:sz w:val="28"/>
          <w:szCs w:val="28"/>
          <w:rtl w:val="true"/>
          <w:lang w:bidi="ar-SA"/>
        </w:rPr>
        <w:t xml:space="preserve">: </w:t>
      </w:r>
      <w:bookmarkStart w:id="215" w:name="pg16273_211857"/>
    </w:p>
    <w:p>
      <w:pPr>
        <w:pStyle w:val="Heading4"/>
        <w:numPr>
          <w:ilvl w:val="3"/>
          <w:numId w:val="1"/>
        </w:numPr>
        <w:rPr/>
      </w:pPr>
      <w:bookmarkStart w:id="216" w:name="__RefHeading___Toc4803608_1280447820"/>
      <w:bookmarkStart w:id="217" w:name="_Toc76"/>
      <w:bookmarkEnd w:id="215"/>
      <w:bookmarkEnd w:id="216"/>
      <w:r>
        <w:rPr>
          <w:rtl w:val="true"/>
        </w:rPr>
        <w:t>المقام الأوّل</w:t>
      </w:r>
      <w:bookmarkEnd w:id="217"/>
    </w:p>
    <w:p>
      <w:pPr>
        <w:pStyle w:val="BookText"/>
        <w:rPr/>
      </w:pPr>
      <w:r>
        <w:rPr>
          <w:rFonts w:ascii="Amiri" w:hAnsi="Amiri" w:eastAsia="Amiri" w:cs="Amiri"/>
          <w:color w:val="111111"/>
          <w:sz w:val="28"/>
          <w:sz w:val="28"/>
          <w:szCs w:val="28"/>
          <w:rtl w:val="true"/>
          <w:lang w:bidi="ar-SA"/>
        </w:rPr>
        <w:t>في بيان موضوعها ، فقد وكلها جماعة ممّن حام حولها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لا يجدي </w:t>
      </w:r>
      <w:r>
        <w:rPr>
          <w:rStyle w:val="FootnoteAnchor"/>
          <w:rtl w:val="true"/>
        </w:rPr>
        <w:footnoteReference w:id="1807"/>
      </w:r>
      <w:r>
        <w:rPr>
          <w:rFonts w:ascii="Amiri" w:hAnsi="Amiri" w:eastAsia="Amiri" w:cs="Amiri"/>
          <w:color w:val="111111"/>
          <w:sz w:val="28"/>
          <w:sz w:val="28"/>
          <w:szCs w:val="28"/>
          <w:rtl w:val="true"/>
          <w:lang w:bidi="ar-SA"/>
        </w:rPr>
        <w:t>شيئا كما في غيرها ممّا يرجع إليه لاشتباه كثير من أهله في كثير من مواردها ؛ إذ المقصود بالتميز بيان حقيقتها على وجه يستعلم منه الأفراد المشكوكة فإنّ الأفراد الظاهرة لا حاجة فيها إلى التميز كما في عكسها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غير واحد منهم بأنّ غير المحصورة ما يوجب العسر في اجتنابها ؛ فإن أرادوا بيان مفهومها وكشف القناع عن حقيقتها ، فظاهر السقوط لعدم مدخلية العسر في ماهيّة الغير المحصورة ، وإن أرادوا التفسير باللازم كما هو الظاهر فلا يستقيم طردا وعكسا ؛ لانتقاضها </w:t>
      </w:r>
      <w:r>
        <w:rPr>
          <w:rStyle w:val="FootnoteAnchor"/>
          <w:rtl w:val="true"/>
        </w:rPr>
        <w:footnoteReference w:id="1808"/>
      </w:r>
      <w:r>
        <w:rPr>
          <w:rFonts w:ascii="Amiri" w:hAnsi="Amiri" w:eastAsia="Amiri" w:cs="Amiri"/>
          <w:color w:val="111111"/>
          <w:sz w:val="28"/>
          <w:sz w:val="28"/>
          <w:szCs w:val="28"/>
          <w:rtl w:val="true"/>
          <w:lang w:bidi="ar-SA"/>
        </w:rPr>
        <w:t>بالمحصورة فيما لو استلزم العسر ، وبغيرها فيما لم يستلزمه ولو لغالب أفراد النوع في غالب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وقرّرها ثاني المحقّقين والشهيدين وجماعة ممّن تأخّر عنهم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وإنّما يجب اجتناب المشتبهة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كالبيت والبيتين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غير المحصور عادة كالصحراء فإنّ حكم الاشتباه فيه ساقط لما في وجوب اجتناب الجميع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اعتبرنا في الحصر وعدمه المتعارف في العادة لعدم معهود له شرعا فيرجع فيه إلى العرف لتقدّمه على اللغة ، ولأنّ الأعداد الموجودة في الخارج منحصرة لغة وإن تضاعفت أضعافا كثيرة مع عدم وجوب اجتناب جميع ذلك إجماعا ، وهذا الحكم ، أعني وجوب اجتناب المحصور دون غيره ، آت في كثير من أبواب الفقه ، كالمياه والمكان واللباس ، والمحرم بالأجنبيّ في النظر والنكاح ، والمذكّى من الحيوان بغيره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كلّه إلى العرف ، وما حصل فيه الاشتباه بعد الاعتبار يرجع فيه إلى الأصل إلى أن يعلم</w:t>
      </w:r>
    </w:p>
    <w:p>
      <w:pPr>
        <w:pStyle w:val="BookText"/>
        <w:rPr/>
      </w:pPr>
      <w:r>
        <w:rPr>
          <w:rFonts w:ascii="IRNazanin" w:hAnsi="IRNazanin" w:eastAsia="IRNazanin"/>
          <w:color w:val="111111"/>
          <w:sz w:val="28"/>
          <w:sz w:val="28"/>
          <w:szCs w:val="28"/>
          <w:rtl w:val="true"/>
          <w:lang w:bidi="fa-IR"/>
        </w:rPr>
        <w:t>الناقل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الكركي في جامع المقاصد في شرح القواعد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ويجتنب كلّ موضع فيه اشتباه بالنجس إن كان محصورا كالبيت ، وإلاّ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المشتبه بالنجس قد امتنع التمسّك فيه بأصل الطهارة للقطع بحصول النجاسة في أحد المشتبهين الناقل عن حكم الأصل كان للمشتبه بالنجس حكم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محصورا في العادة كالبيت والبيتين ، أمّا ما لا يعدّ محصورا كالصحراء فإنّ حكم الاشتباه فيه ساقط ، والظاهر أنّه اتّفاقي لما في وجوب اجتناب الجميع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الكركي أيضا في حاشية شرائع الاسلام المطبوع في حياة الكركى وآثاره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النجاسة في موضع محصور كالبيت وشبهه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بالمحصور وغير المحصور ما كان كذلك في العادة ؛ لأنّ الحقيقة العرفية مقدّمة على اللغوية عند فقد الشرعية ، ولأنّه لو لا إرادة العرفية هنا ، لامتنع تحقّق الحكم ، فإنّ كلّ ما وجد من المعدودات فهو قابل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 والمراد به ما تعسّر حصره وعدّه عرفا باعتبار كثرة آحاده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ضبطه وضبط أمثاله أنّك إذا أخذت مرتبة من مراتب العدد عليا تقطع بأنّها ممّا لا يحصر ولا يعدّ عادة ؛ لعسر ذلك في الزمان القصير كالألف مثلا تجعلها طرفا ، ثمّ تأخذ مرتبة أخرى دنيا كالثلاثة ممّا تقطع بكونها محصورة ومعدودة ؛ لسهولة عدّها في الزمان القصير فتجعلها طرفا مقابلا للأوّل ، ثمّ تنظر فيما بينهما من الوسائط ، فكلّ ما جرى مجرى الطرف الأوّل تلحقه به ، وما جرى مجرى الطرف الثاني تلحقه به ، وما وقع فيه الشكّ يعرض على القوانين والنظائر ويراجع فيه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غلب على الظنّ إلحاقه بأحد الطرفين فذلك ، وإلاّ عمل فيه بالاستصحاب إلى أن يعلم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ضابط لما ليس بمحصور شرعا في أبواب الطهارة والنكاح غيرهما ، فمتى اشتبه المذكّى بغيره ، والطاهر بالنجس في الثياب والمكان والأواني والمياه وغير ذلك ، والمحرم بالأجنبيات وكان غير محصور لم يجب الاجتناب ، وإلاّ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الهندي في كشف اللثام عن قواعد الأحكام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فيه اشتباه بالنجس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يرشد إليه ما ورد في الماءين المشتبهين ، والحلال المشتبه بالحرام ، وإنّما 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للحرج والأداء إلى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الضابط أنّ ما يؤدّي اجتنابه إلى ترك الصلاة غالبا فهو غير محصور ، كما أنّ اجتناب شاة أو مرأة مشتبهة في صقع من الأرض يؤدّي إلى الترك غالبا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بأنّها ما يوجب العسر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عدّها من حيث كثرة أطراف الشبهة بمعنى أنّ القضايا المنتزعة عن أطراف الشبهة على سبيل منع الخلوّ تبلغ في الكثرة حدّا يوجب العسر لو أريد تحديدها من حيث تعيين المشتبه ، وأمّا لو تعلّق بالإعداد والتحديد غرض آخر غير تعيين المشتبه ، فقد لا يكون العدّ عسرا كما لا يخفى لاختلاف العسر واليسر باختلاف وقوع الفعل على الوجوه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يراد من الكثرة كثرة أطراف الشبهة لا كثرة المشتبهات ليدخل في المحصورة ويخرج عنها ما لو قلّت أطراف الشبهة وإن كثرت المشتبهات كما في شبهة الكثير في الكثير فإنّه لو اشتبهت ألف دراهم بعشرة آلاف دراهم ، فإنّ المشتبهات كثيرة يوجب إحصاؤها عسرا إلاّ أنّ أطراف الشبهة عشرة بعد إسقاط المكرّرات وعدم اعتبار الصور المتداخلة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بأطراف الشبهة أيضا ما يكون في العرف والعادة متعارفا جعلها أطراف الشبهة فإنّ الحبّة الواحدة من السمسم وما يشابهه في الصغر لا يكون من أطراف الشبهة </w:t>
      </w:r>
      <w:r>
        <w:rPr>
          <w:rStyle w:val="FootnoteAnchor"/>
          <w:rtl w:val="true"/>
        </w:rPr>
        <w:footnoteReference w:id="1810"/>
      </w:r>
      <w:r>
        <w:rPr>
          <w:rFonts w:ascii="Amiri" w:hAnsi="Amiri" w:eastAsia="Amiri" w:cs="Amiri"/>
          <w:color w:val="111111"/>
          <w:sz w:val="28"/>
          <w:sz w:val="28"/>
          <w:szCs w:val="28"/>
          <w:rtl w:val="true"/>
          <w:lang w:bidi="ar-SA"/>
        </w:rPr>
        <w:t xml:space="preserve">عندهم فيما لو اشتبه واحدة بمنّ منه بل أطراف </w:t>
      </w:r>
      <w:r>
        <w:rPr>
          <w:rStyle w:val="FootnoteAnchor"/>
          <w:rtl w:val="true"/>
        </w:rPr>
        <w:footnoteReference w:id="1811"/>
      </w:r>
      <w:r>
        <w:rPr>
          <w:rFonts w:ascii="Amiri" w:hAnsi="Amiri" w:eastAsia="Amiri" w:cs="Amiri"/>
          <w:color w:val="111111"/>
          <w:sz w:val="28"/>
          <w:sz w:val="28"/>
          <w:szCs w:val="28"/>
          <w:rtl w:val="true"/>
          <w:lang w:bidi="ar-SA"/>
        </w:rPr>
        <w:t xml:space="preserve">الشبهة في أمثاله ما هو المتعارف في استعمالاته من القبضات ونحوها كما لا يخفى ، ومع ذلك كلّه فلا يجدي شيئا كما يظهر من الضابطة التي قرّرها في المقام ، حيث جزم بكون الألف من غير المحصورة قطعا ، وأحال الأمر إلى ما يقتضيه الأدلّة عند الشكّ ، فإنّ المقصود على ما عرفت إقعاد قاعدة يتميّز بها صور الشكّ على ما هو ظاهر لا سترة عليه </w:t>
      </w:r>
      <w:r>
        <w:rPr>
          <w:rStyle w:val="FootnoteAnchor"/>
          <w:rtl w:val="true"/>
        </w:rPr>
        <w:footnoteReference w:id="1812"/>
      </w:r>
      <w:r>
        <w:rPr>
          <w:rFonts w:ascii="Amiri" w:hAnsi="Amiri" w:eastAsia="Amiri" w:cs="Amiri"/>
          <w:color w:val="111111"/>
          <w:sz w:val="28"/>
          <w:sz w:val="28"/>
          <w:szCs w:val="28"/>
          <w:rtl w:val="true"/>
          <w:lang w:bidi="ar-SA"/>
        </w:rPr>
        <w:t>، وبعد الرجوع إلى الأدلّة فلا جدوى في القاعدة</w:t>
      </w:r>
      <w:r>
        <w:rPr>
          <w:rFonts w:eastAsia="Amiri" w:cs="Amiri" w:ascii="Amiri" w:hAnsi="Amiri"/>
          <w:color w:val="111111"/>
          <w:sz w:val="28"/>
          <w:szCs w:val="28"/>
          <w:rtl w:val="true"/>
          <w:lang w:bidi="ar-SA"/>
        </w:rPr>
        <w:t xml:space="preserve">. </w:t>
      </w:r>
      <w:bookmarkStart w:id="218" w:name="pg16273_211860"/>
    </w:p>
    <w:p>
      <w:pPr>
        <w:pStyle w:val="BookText"/>
        <w:rPr/>
      </w:pPr>
      <w:bookmarkEnd w:id="218"/>
      <w:r>
        <w:rPr>
          <w:rFonts w:ascii="Amiri" w:hAnsi="Amiri" w:eastAsia="Amiri" w:cs="Amiri"/>
          <w:color w:val="111111"/>
          <w:sz w:val="28"/>
          <w:sz w:val="28"/>
          <w:szCs w:val="28"/>
          <w:rtl w:val="true"/>
          <w:lang w:bidi="ar-SA"/>
        </w:rPr>
        <w:t xml:space="preserve">وحيث إنّ بيان الموضوعات فيما لم يكن في عنوان الأدلّة الشرعية كما </w:t>
      </w:r>
      <w:r>
        <w:rPr>
          <w:rStyle w:val="FootnoteAnchor"/>
          <w:rtl w:val="true"/>
        </w:rPr>
        <w:footnoteReference w:id="1813"/>
      </w:r>
      <w:r>
        <w:rPr>
          <w:rFonts w:ascii="Amiri" w:hAnsi="Amiri" w:eastAsia="Amiri" w:cs="Amiri"/>
          <w:color w:val="111111"/>
          <w:sz w:val="28"/>
          <w:sz w:val="28"/>
          <w:szCs w:val="28"/>
          <w:rtl w:val="true"/>
          <w:lang w:bidi="ar-SA"/>
        </w:rPr>
        <w:t xml:space="preserve">في ألفاظ الكتاب والسنّة أو موردا لنقل الإجماع أو معقدا للإجماع ممّا لا يترتّب عليه كثير فائدة ، فلا وجه للإطناب في المقام بإيراد النقوض والإبرام ؛ لعدم ورود هذا اللفظ في عنوان دليل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الثاني بعد ما فسّرها بما مرّ ادّعى الإجماع على عدم وجوب الاجتناب عنه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بالنسبة إلى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ظاهر جماعة من الأصحاب المؤذن بعدم الاتّفاق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مردود بأنّه لم يوجد المخالف في هذه المسألة بكلّ من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المحصور وغير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ومن في طبقته ومن تأخّر عنه ، ولهذا أنّه في المدارك كما قدّمنا في عبارته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إشارة إلى المحصور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مورد نقله الإجماع هو ما فسّرها ، وهو كما ترى</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4803610_1280447820"/>
      <w:bookmarkStart w:id="220" w:name="_Toc77"/>
      <w:bookmarkEnd w:id="219"/>
      <w:r>
        <w:rPr>
          <w:rtl w:val="true"/>
        </w:rPr>
        <w:t>المقام الثاني</w:t>
      </w:r>
      <w:bookmarkEnd w:id="220"/>
    </w:p>
    <w:p>
      <w:pPr>
        <w:pStyle w:val="BookText"/>
        <w:rPr/>
      </w:pPr>
      <w:r>
        <w:rPr>
          <w:rFonts w:ascii="Amiri" w:hAnsi="Amiri" w:eastAsia="Amiri" w:cs="Amiri"/>
          <w:color w:val="111111"/>
          <w:sz w:val="28"/>
          <w:sz w:val="28"/>
          <w:szCs w:val="28"/>
          <w:rtl w:val="true"/>
          <w:lang w:bidi="ar-SA"/>
        </w:rPr>
        <w:t>في أنّه هل يجب الموافقة القطعية فيها ، أو لا؟ الحقّ عدم الوجوب ؛ للأدلّة الأربعة كتابا وسنّة وإجماعا وعقلا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فالآيات الدالّة على عدم جعل الحرج في الدين ، والتقريب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الاجتناب عن الشبهة الغير المحصورة يلازم العسر في الأغلب للعلم الحاصل لأغلب أفراد النوع بأنّ أغلب الأجناس الموجودة عندهم والمستعملة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المأكولات والمشروبات والملبوسات وغيرها ممّا يشتمل على فرد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ينفكّ في أغلب الأحوال الاحتراز عنها عن العسر والحرج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ترك الأفراد المباحة الكثيرة والإلزام به مقدّمة لترك الحرام المشتبه بينها عسرا لا ينكره إلاّ المكابر ، ولهذا قد قلنا بأنّ الحرام المشتبه لو كان ممّا يعتدّ بشأنه عندنا ويهتمّ به كما لو كان النبيّ أو المعصوم مشتبها في جماعة غير محصورة يجوز قتلهم يجب الموافقة القطعية فإنّ الفعل يختلف عسرا ويسرا بحسب اختلاف وجوهه ووقوعه على عدّة وجوه كما لا يخفى هذا ، إلاّ أنّ التقريب الأوّل يتوقّف على مقدّمتين يتطرّق إليهما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العسر على الأغلب في أغلب الشبهات الغير المحصورة في أغلب الأحوال </w:t>
      </w:r>
      <w:r>
        <w:rPr>
          <w:rStyle w:val="FootnoteAnchor"/>
          <w:rtl w:val="true"/>
        </w:rPr>
        <w:footnoteReference w:id="1815"/>
      </w:r>
      <w:r>
        <w:rPr>
          <w:rFonts w:ascii="Amiri" w:hAnsi="Amiri" w:eastAsia="Amiri" w:cs="Amiri"/>
          <w:color w:val="111111"/>
          <w:sz w:val="28"/>
          <w:sz w:val="28"/>
          <w:szCs w:val="28"/>
          <w:rtl w:val="true"/>
          <w:lang w:bidi="ar-SA"/>
        </w:rPr>
        <w:t>كما هو المصرّح به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ارتفاع العسر والحرج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المقدّمتين في محلّ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 فالأدلّة الدالّة على ارتفاع العسر والحرج </w:t>
      </w:r>
      <w:r>
        <w:rPr>
          <w:rStyle w:val="FootnoteAnchor"/>
          <w:rtl w:val="true"/>
        </w:rPr>
        <w:footnoteReference w:id="1817"/>
      </w:r>
      <w:r>
        <w:rPr>
          <w:rFonts w:ascii="Amiri" w:hAnsi="Amiri" w:eastAsia="Amiri" w:cs="Amiri"/>
          <w:color w:val="111111"/>
          <w:sz w:val="28"/>
          <w:sz w:val="28"/>
          <w:szCs w:val="28"/>
          <w:rtl w:val="true"/>
          <w:lang w:bidi="ar-SA"/>
        </w:rPr>
        <w:t xml:space="preserve">عن هذه الأمّة المرحومة لا تخلو عن أقسام ثلاثة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ارتفاع العسر عن الكلّ في الكلّ على وجه يكون المناط هو العسر الشخصي على كلّ شخص كما هو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w:t>
      </w:r>
    </w:p>
    <w:p>
      <w:pPr>
        <w:pStyle w:val="BookText"/>
        <w:rPr/>
      </w:pPr>
      <w:r>
        <w:rPr>
          <w:rFonts w:ascii="Amiri" w:hAnsi="Amiri" w:eastAsia="Amiri" w:cs="Amiri"/>
          <w:color w:val="111111"/>
          <w:sz w:val="28"/>
          <w:sz w:val="28"/>
          <w:szCs w:val="28"/>
          <w:rtl w:val="true"/>
          <w:lang w:bidi="ar-SA"/>
        </w:rPr>
        <w:t xml:space="preserve">الدِّينِ مِنْ حَرَجٍ </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فإنّ الظاهر المتبادر منه عدم جعل حكم يشتمل </w:t>
      </w:r>
      <w:r>
        <w:rPr>
          <w:rStyle w:val="FootnoteAnchor"/>
          <w:rtl w:val="true"/>
        </w:rPr>
        <w:footnoteReference w:id="1820"/>
      </w:r>
      <w:r>
        <w:rPr>
          <w:rFonts w:ascii="Amiri" w:hAnsi="Amiri" w:eastAsia="Amiri" w:cs="Amiri"/>
          <w:color w:val="111111"/>
          <w:sz w:val="28"/>
          <w:sz w:val="28"/>
          <w:szCs w:val="28"/>
          <w:rtl w:val="true"/>
          <w:lang w:bidi="ar-SA"/>
        </w:rPr>
        <w:t>على عسر على كلّ أحد في الدين ، وهذا هو المتيقّن من رفعه كما هو المعمول عند الفقهاء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جعل الحكم المشتمل على العسر في الأغلب على الكلّ كما هو المستفاد عن بعض أخبار الباب ، فإنّ جملة منها ظاهرة في أنّ الحكمة في جعل الحكم الفلاني على الكلّ اشتماله على العسر في الأغلب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بعيد عن مظانّ كلماتهم ومطاوي استدلالاتهم ؛ فإنّ عملهم ليس على الحكم في الأحكام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اشتمال الدين على الأحكام العسرة بمعنى أنّ مبنى الأمر في الدين على اليسر دون العسر كما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 المجتهد الفلاني عسر ، ورأي الآخر فيه يسر ، ولا يراد به أنّ تمام أحكامه مشتمل على العسر ، ورأي غيره على اليسر ، بل المقصود أنّ مبنى أمر فتوى الأوّل على العسر ، والآخر على اليسر ، ولا ينافي أن يكون بعض أحكام الأوّل غير عسر ، وبعض الأحكام للثاني عسرا ، ولا ينافي ذلك يسره على البعض في الأوّل ، وعسره على البعض في الآخر كما هو مستفاد من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على الملّة السمحة السهلة </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فإنّ الظاهر منه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بعيدا عن مساق كلامهم إلاّ أنّه قريب عن مساق تلك الأدلّة في حدود ذواتها فإنّها لكونها واردة في مقام الامتنان تنافي التخصيص لكونه أضحوكة عندهم في مقام الامتنان ، ولا سيّما فيما إذا تكثّر كما في المقام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فالقدر المتيقّن من ارتفاع العسر والحرج إنّما هو على الوجه الأوّل على ما يساعد عليه كلمات الفقهاء أيضا ، واعتبار العسر النوعي إنّما يتوقّف على دليل </w:t>
      </w:r>
    </w:p>
    <w:p>
      <w:pPr>
        <w:pStyle w:val="BookText"/>
        <w:rPr/>
      </w:pPr>
      <w:r>
        <w:rPr>
          <w:rFonts w:ascii="Amiri" w:hAnsi="Amiri" w:eastAsia="Amiri" w:cs="Amiri"/>
          <w:color w:val="111111"/>
          <w:sz w:val="28"/>
          <w:sz w:val="28"/>
          <w:szCs w:val="28"/>
          <w:rtl w:val="true"/>
          <w:lang w:bidi="ar-SA"/>
        </w:rPr>
        <w:t>خاصّ خارج كما ثبت في بعض المقامات ، ولا يكفي في إثباته الاستناد إلى أدلّة العسر ، فاحفظ ما ذكرنا واضبطه ، فلعلّه ينفعك في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822"/>
      </w:r>
      <w:r>
        <w:rPr>
          <w:rFonts w:ascii="Amiri" w:hAnsi="Amiri" w:eastAsia="Amiri" w:cs="Amiri"/>
          <w:color w:val="111111"/>
          <w:sz w:val="28"/>
          <w:sz w:val="28"/>
          <w:szCs w:val="28"/>
          <w:rtl w:val="true"/>
          <w:lang w:bidi="ar-SA"/>
        </w:rPr>
        <w:t xml:space="preserve">أمّا الثاني ، فصنفان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بخصوصه يدلّ على جواز الارتكاب في الشبهة الغير المحصورة كما عرفت </w:t>
      </w:r>
      <w:r>
        <w:rPr>
          <w:rStyle w:val="FootnoteAnchor"/>
          <w:rtl w:val="true"/>
        </w:rPr>
        <w:footnoteReference w:id="1823"/>
      </w:r>
      <w:r>
        <w:rPr>
          <w:rFonts w:ascii="Amiri" w:hAnsi="Amiri" w:eastAsia="Amiri" w:cs="Amiri"/>
          <w:color w:val="111111"/>
          <w:sz w:val="28"/>
          <w:sz w:val="28"/>
          <w:szCs w:val="28"/>
          <w:rtl w:val="true"/>
          <w:lang w:bidi="ar-SA"/>
        </w:rPr>
        <w:t>في خبر أبي الجارود في حديث الجبنّ وهو يشعر بما ذكرنا في تقريب الاستدلال بالآيات في الوجه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بعمومه وإطلاقه يدلّ على الجواز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يكون فيه حلال وحرام </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أنّ الرواية المذكورة على ما مرّ غير مرّة محمولة على الشبهة البدوية وحيث إنّ الشبهات البدوية لا تنفكّ غالبا عن الشبهة الغير المحصورة ، فما </w:t>
      </w:r>
      <w:r>
        <w:rPr>
          <w:rStyle w:val="FootnoteAnchor"/>
          <w:rtl w:val="true"/>
        </w:rPr>
        <w:footnoteReference w:id="1825"/>
      </w:r>
      <w:r>
        <w:rPr>
          <w:rFonts w:ascii="Amiri" w:hAnsi="Amiri" w:eastAsia="Amiri" w:cs="Amiri"/>
          <w:color w:val="111111"/>
          <w:sz w:val="28"/>
          <w:sz w:val="28"/>
          <w:szCs w:val="28"/>
          <w:rtl w:val="true"/>
          <w:lang w:bidi="ar-SA"/>
        </w:rPr>
        <w:t>يدلّ على جواز الارتكاب فيها يدلّ على جواز الارتكاب فيها أيضا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لا دخل له في هذه الجهة وإنّما هو منساق لبيان حكم الشبهة البدوية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 في مباحث المطلق والمقيّد أنّ المطلق لو صادف في الأغلب شيئا آخر وحكم الإطلاق بحلّيته ، فلا بدّ من القول بتسرية الحكم إلى الآخر أيضا ، وإلاّ لانحصر مورد المطلق في النادر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ممّا قرّرنا يظهر الوجه في عدم الانتقاض بالشبهة المحصورة إذ </w:t>
      </w:r>
      <w:r>
        <w:rPr>
          <w:rStyle w:val="FootnoteAnchor"/>
          <w:rtl w:val="true"/>
        </w:rPr>
        <w:footnoteReference w:id="1826"/>
      </w:r>
      <w:r>
        <w:rPr>
          <w:rFonts w:ascii="Amiri" w:hAnsi="Amiri" w:eastAsia="Amiri" w:cs="Amiri"/>
          <w:color w:val="111111"/>
          <w:sz w:val="28"/>
          <w:sz w:val="28"/>
          <w:szCs w:val="28"/>
          <w:rtl w:val="true"/>
          <w:lang w:bidi="ar-SA"/>
        </w:rPr>
        <w:t>لا نقول بشمول الرواية بإطلاقها لغير المحصورة حتّى يتوجّه النقض بها كما لا يخفى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فقد نقل جملة من أعيان الفقه وأركان العلم الإجماع عليه ، مضافا إلى </w:t>
      </w:r>
    </w:p>
    <w:p>
      <w:pPr>
        <w:pStyle w:val="BookText"/>
        <w:rPr/>
      </w:pPr>
      <w:r>
        <w:rPr>
          <w:rFonts w:ascii="Amiri" w:hAnsi="Amiri" w:eastAsia="Amiri" w:cs="Amiri"/>
          <w:color w:val="111111"/>
          <w:sz w:val="28"/>
          <w:sz w:val="28"/>
          <w:szCs w:val="28"/>
          <w:rtl w:val="true"/>
          <w:lang w:bidi="ar-SA"/>
        </w:rPr>
        <w:t>تحقّق الإجماع في الجملة في بعض الأقسام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 فلأنّ المبنى في لزوم الاجتناب هو حكم العقل بلزوم دفع الضرر العقابي المحتمل في كلّ من الأطراف ، ونحن نشاهد عيانا ، ونعاين وجدانا عدم الاعتداد بهذا </w:t>
      </w:r>
      <w:r>
        <w:rPr>
          <w:rStyle w:val="FootnoteAnchor"/>
          <w:rtl w:val="true"/>
        </w:rPr>
        <w:footnoteReference w:id="1827"/>
      </w:r>
      <w:r>
        <w:rPr>
          <w:rFonts w:ascii="Amiri" w:hAnsi="Amiri" w:eastAsia="Amiri" w:cs="Amiri"/>
          <w:color w:val="111111"/>
          <w:sz w:val="28"/>
          <w:sz w:val="28"/>
          <w:szCs w:val="28"/>
          <w:rtl w:val="true"/>
          <w:lang w:bidi="ar-SA"/>
        </w:rPr>
        <w:t xml:space="preserve">الاحتمال في الشبهة الغير المحصورة على وجه يعدّ المجتنب عنها سفيها ، ومحلّ الاجتناب عنها ملحق بآراء أصحاب السوداء والجنون ، ومن العجب مساواة الاحتمال لكلّ واحد من الأطراف وإن لم يكن محصورا </w:t>
      </w:r>
      <w:r>
        <w:rPr>
          <w:rStyle w:val="FootnoteAnchor"/>
          <w:rtl w:val="true"/>
        </w:rPr>
        <w:footnoteReference w:id="1828"/>
      </w:r>
      <w:r>
        <w:rPr>
          <w:rFonts w:ascii="Amiri" w:hAnsi="Amiri" w:eastAsia="Amiri" w:cs="Amiri"/>
          <w:color w:val="111111"/>
          <w:sz w:val="28"/>
          <w:sz w:val="28"/>
          <w:szCs w:val="28"/>
          <w:rtl w:val="true"/>
          <w:lang w:bidi="ar-SA"/>
        </w:rPr>
        <w:t xml:space="preserve">ومع ذلك فلا يعتني </w:t>
      </w:r>
      <w:r>
        <w:rPr>
          <w:rStyle w:val="FootnoteAnchor"/>
          <w:rtl w:val="true"/>
        </w:rPr>
        <w:footnoteReference w:id="1829"/>
      </w:r>
      <w:r>
        <w:rPr>
          <w:rFonts w:ascii="Amiri" w:hAnsi="Amiri" w:eastAsia="Amiri" w:cs="Amiri"/>
          <w:color w:val="111111"/>
          <w:sz w:val="28"/>
          <w:sz w:val="28"/>
          <w:szCs w:val="28"/>
          <w:rtl w:val="true"/>
          <w:lang w:bidi="ar-SA"/>
        </w:rPr>
        <w:t>العقل بالاحتمال بمعنى أنّ العقل عند ملاحظة معارض آخر ولو في الجملة يحكم بتقديم معارضه عليه مع أنّ الضرر العقابي على ما عرفت في موضوع احتماله لا ينبغي أن يعارضه شيء ، فكيف بالتقديم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العقل لا يبالي من عدم الاجتناب فيما إذا تكثّرت أطراف الشبهة مع تساوي الاحتمال في الواقع بالنظر إلى كلّ واحد منها إلاّ أنّ النفس ربما </w:t>
      </w:r>
      <w:r>
        <w:rPr>
          <w:rStyle w:val="FootnoteAnchor"/>
          <w:rtl w:val="true"/>
        </w:rPr>
        <w:footnoteReference w:id="1830"/>
      </w:r>
      <w:r>
        <w:rPr>
          <w:rFonts w:ascii="IRNazanin" w:hAnsi="IRNazanin" w:eastAsia="IRNazanin"/>
          <w:color w:val="111111"/>
          <w:sz w:val="28"/>
          <w:sz w:val="28"/>
          <w:szCs w:val="28"/>
          <w:rtl w:val="true"/>
          <w:lang w:bidi="fa-IR"/>
        </w:rPr>
        <w:t xml:space="preserve">تحتال </w:t>
      </w:r>
      <w:r>
        <w:rPr>
          <w:rStyle w:val="FootnoteAnchor"/>
          <w:rtl w:val="true"/>
        </w:rPr>
        <w:footnoteReference w:id="1831"/>
      </w:r>
      <w:r>
        <w:rPr>
          <w:rFonts w:ascii="Amiri" w:hAnsi="Amiri" w:eastAsia="Amiri" w:cs="Amiri"/>
          <w:color w:val="111111"/>
          <w:sz w:val="28"/>
          <w:sz w:val="28"/>
          <w:szCs w:val="28"/>
          <w:rtl w:val="true"/>
          <w:lang w:bidi="ar-SA"/>
        </w:rPr>
        <w:t>في تحصيل الظنّ بالبعض ، ومنه يعلم وجه إلحاق المشكوك في الغلبة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هنا يمكن استنباط مناط المقام وتحصيل معيار يعلم به المحصورة عن غيره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الغير المحصورة ما لا ينافي العقل بارتكابه بعد العلم بوقوع المحرّم فيها كما لا يخفى ، كذا أفاد سلّمه اللّه إلاّ أنّه كغيره أيضا ممّا لا يجدي فائدة ؛ لعدم العلم في تمام الموارد ، فتدبّر</w:t>
      </w:r>
      <w:r>
        <w:rPr>
          <w:rFonts w:eastAsia="Amiri" w:cs="Amiri" w:ascii="Amiri" w:hAnsi="Amiri"/>
          <w:color w:val="111111"/>
          <w:sz w:val="28"/>
          <w:szCs w:val="28"/>
          <w:rtl w:val="true"/>
          <w:lang w:bidi="ar-SA"/>
        </w:rPr>
        <w:t xml:space="preserve">. </w:t>
      </w:r>
      <w:bookmarkStart w:id="221" w:name="pg16273_211865"/>
    </w:p>
    <w:p>
      <w:pPr>
        <w:pStyle w:val="Heading4"/>
        <w:numPr>
          <w:ilvl w:val="3"/>
          <w:numId w:val="1"/>
        </w:numPr>
        <w:rPr/>
      </w:pPr>
      <w:bookmarkStart w:id="222" w:name="__RefHeading___Toc4803612_1280447820"/>
      <w:bookmarkStart w:id="223" w:name="_Toc78"/>
      <w:bookmarkEnd w:id="221"/>
      <w:bookmarkEnd w:id="222"/>
      <w:r>
        <w:rPr>
          <w:rtl w:val="true"/>
        </w:rPr>
        <w:t>المقام الثالث</w:t>
      </w:r>
      <w:bookmarkEnd w:id="223"/>
    </w:p>
    <w:p>
      <w:pPr>
        <w:pStyle w:val="BookText"/>
        <w:rPr/>
      </w:pPr>
      <w:r>
        <w:rPr>
          <w:rFonts w:ascii="Amiri" w:hAnsi="Amiri" w:eastAsia="Amiri" w:cs="Amiri"/>
          <w:color w:val="111111"/>
          <w:sz w:val="28"/>
          <w:sz w:val="28"/>
          <w:szCs w:val="28"/>
          <w:rtl w:val="true"/>
          <w:lang w:bidi="ar-SA"/>
        </w:rPr>
        <w:t xml:space="preserve">في أنّه هل يجوز المخالفة القطعية ، أو 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الأدلّة القائلة بعدم وجوب الموافقة القطعية لا تزيد على مدلولها المذكور سيّما فيما لو كان مقصودا ابتداء فإنّ منها الأدلّة النافية للعسر ، وظاهر عدم انتهاضها على ارتكاب جميع أطراف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 فالعامّة منها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يكون فيه حلال </w:t>
      </w:r>
      <w:r>
        <w:rPr>
          <w:rFonts w:eastAsia="Amiri" w:cs="Amiri" w:ascii="Amiri" w:hAnsi="Amiri"/>
          <w:color w:val="111111"/>
          <w:sz w:val="28"/>
          <w:szCs w:val="28"/>
          <w:rtl w:val="true"/>
          <w:lang w:bidi="ar-SA"/>
        </w:rPr>
        <w:t xml:space="preserve">» </w:t>
      </w:r>
      <w:r>
        <w:rPr>
          <w:rStyle w:val="FootnoteAnchor"/>
          <w:rtl w:val="true"/>
        </w:rPr>
        <w:footnoteReference w:id="1832"/>
      </w:r>
      <w:r>
        <w:rPr>
          <w:rFonts w:ascii="Amiri" w:hAnsi="Amiri" w:eastAsia="Amiri" w:cs="Amiri"/>
          <w:color w:val="111111"/>
          <w:sz w:val="28"/>
          <w:sz w:val="28"/>
          <w:szCs w:val="28"/>
          <w:rtl w:val="true"/>
          <w:lang w:bidi="ar-SA"/>
        </w:rPr>
        <w:t xml:space="preserve">لا دلالة فيها على جواز المخالفة كما عرفت في الشبهة المحصورة لعدم مقاومتها لأدلّة </w:t>
      </w:r>
      <w:r>
        <w:rPr>
          <w:rStyle w:val="FootnoteAnchor"/>
          <w:rtl w:val="true"/>
        </w:rPr>
        <w:footnoteReference w:id="1833"/>
      </w:r>
      <w:r>
        <w:rPr>
          <w:rFonts w:ascii="Amiri" w:hAnsi="Amiri" w:eastAsia="Amiri" w:cs="Amiri"/>
          <w:color w:val="111111"/>
          <w:sz w:val="28"/>
          <w:sz w:val="28"/>
          <w:szCs w:val="28"/>
          <w:rtl w:val="true"/>
          <w:lang w:bidi="ar-SA"/>
        </w:rPr>
        <w:t>الواقع ، فإنّ العمدة في المقام كما عرفت في بعض الأمور المتقدّمة هو عدم وقوع تمام أطراف الشبهة في محلّ الابتلاء ، ولذلك يصير الدليل الدالّ على الحرمة مقيّدا لئلاّ يلزم الاستنكار العرفي ، وأمّا في محلّ الابتلاء ينجّز التكليف بالواقع ولا يجوز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الخاصّة كخبر أبي الجارود </w:t>
      </w:r>
      <w:r>
        <w:rPr>
          <w:rStyle w:val="FootnoteAnchor"/>
          <w:rtl w:val="true"/>
        </w:rPr>
        <w:footnoteReference w:id="1834"/>
      </w:r>
      <w:r>
        <w:rPr>
          <w:rFonts w:ascii="Amiri" w:hAnsi="Amiri" w:eastAsia="Amiri" w:cs="Amiri"/>
          <w:color w:val="111111"/>
          <w:sz w:val="28"/>
          <w:sz w:val="28"/>
          <w:szCs w:val="28"/>
          <w:rtl w:val="true"/>
          <w:lang w:bidi="ar-SA"/>
        </w:rPr>
        <w:t>، فالظاهر أنّ دلالتها على جواز المخالفة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 فالحقّ عدم دلالته بوجه على جواز المخالفة فإنّ المجمعين على ما يظهر من مساق كلامهم في مقام بيان عدم وجوب الاجتناب كما في الشبهة المحصورة ، وأمّا جواز المخالفة فغير ظاهر كلامهم فيه ، ويرشدك إلى هذا عدم تعرّضهم لبيان الأحكام الوضعية المترتّبة على جواز المخالفة عند دعوى الإجماع على عدم لزوم الاجتناب من لزوم التطهير فيما إذا اشتمل على نجس ونحوه ، مع أنّ من المناسب ذكره في مثل المقام كما لا يخفى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العقل ، فهو يفصّل بين أن يكون بانيا على ارتكاب الجميع ابتداء فيحكم بعدم الجواز ، وبين ما يلزم منه المخالفة من غير قصد إلى ارتكاب الكلّ ، فلا يبالي بالمخالفة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أفاد سلّمه اللّه إلاّ أنّ قضية تنجّز التكليف بالواقع عدم جواز المخالفة مطلقا كما في الشبهة المحصورة ، والتفصيل المذكور لو تمّ ، فهو جار فيها أيضا إلاّ أن يقال بالفرق بينهما كما عرفت في بيان دلالة العقل على عدم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الشبهة الغير المحصورة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الشبهة الغير المحصورة الوجوبية ، فيحتمل أن يقال بلزوم الإتيان بقدر المشتبهات من الأطراف الغير المحصورة على وجه لا يحصل له العلم بالمخالفة على حسب اختلاف كثرة المشتبهات وقلّتها ، فلو كانت خمسة مثلا ، يجب الإتيان بها ، أو العشرة يجب الإتيان بها ، ويحتمل أن يقال بلزوم الإتيان على قدر وسعه وطاقته بحيث لا ينجرّ إلى العسر والحرج بدعوى استقرار بناء العقلاء على ذلك ، فنهض </w:t>
      </w:r>
      <w:r>
        <w:rPr>
          <w:rStyle w:val="FootnoteAnchor"/>
          <w:rtl w:val="true"/>
        </w:rPr>
        <w:footnoteReference w:id="1835"/>
      </w:r>
      <w:r>
        <w:rPr>
          <w:rFonts w:ascii="Amiri" w:hAnsi="Amiri" w:eastAsia="Amiri" w:cs="Amiri"/>
          <w:color w:val="111111"/>
          <w:sz w:val="28"/>
          <w:sz w:val="28"/>
          <w:szCs w:val="28"/>
          <w:rtl w:val="true"/>
          <w:lang w:bidi="ar-SA"/>
        </w:rPr>
        <w:t>فارقا بين المقام وبين الشبهة التحريمية في الغير المحصورة حيث قد عرفت بعدم لزوم الاجتناب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أفاد سلّمه اللّه ، وللمنع فيه مجال واسع ، لعدم الفرق بين المقامين في جليل النظر ، اللّهمّ إلاّ أن يقال إنّ الشبهة التحريمية لا تنفكّ </w:t>
      </w:r>
      <w:r>
        <w:rPr>
          <w:rStyle w:val="FootnoteAnchor"/>
          <w:rtl w:val="true"/>
        </w:rPr>
        <w:footnoteReference w:id="1836"/>
      </w:r>
      <w:r>
        <w:rPr>
          <w:rFonts w:ascii="Amiri" w:hAnsi="Amiri" w:eastAsia="Amiri" w:cs="Amiri"/>
          <w:color w:val="111111"/>
          <w:sz w:val="28"/>
          <w:sz w:val="28"/>
          <w:szCs w:val="28"/>
          <w:rtl w:val="true"/>
          <w:lang w:bidi="ar-SA"/>
        </w:rPr>
        <w:t xml:space="preserve">دائما عن احتمال الامتثال إلاّ عند استيعاب تمام الأطراف بالارتكاب بخلاف الشبهة الوجوبية حيث إنّ ترك الكلّ ممكن ، فيلزم المخالفة القطعية ، وقد مرّ أنّ </w:t>
      </w:r>
      <w:r>
        <w:rPr>
          <w:rStyle w:val="FootnoteAnchor"/>
          <w:rtl w:val="true"/>
        </w:rPr>
        <w:footnoteReference w:id="1837"/>
      </w:r>
      <w:r>
        <w:rPr>
          <w:rFonts w:ascii="Amiri" w:hAnsi="Amiri" w:eastAsia="Amiri" w:cs="Amiri"/>
          <w:color w:val="111111"/>
          <w:sz w:val="28"/>
          <w:sz w:val="28"/>
          <w:szCs w:val="28"/>
          <w:rtl w:val="true"/>
          <w:lang w:bidi="ar-SA"/>
        </w:rPr>
        <w:t>المخالفة القطعية في التحريمية أيضا إثبات جوازها ممّا دونها خرط القتاد ، فتأمّل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عرفت فيما تقدّم في المقام الأوّل أنّ مقام الشكّ في انحصار الشبهة وعدم انحصارها لا بدّ من الرجوع إلى الاحتياط وقد يتوهّم الرجوع إلى البراءة عند الشكّ إلاّ أنّ عدم التخصيص في الأدلّة الواقعية يقضي </w:t>
      </w:r>
      <w:r>
        <w:rPr>
          <w:rStyle w:val="FootnoteAnchor"/>
          <w:rtl w:val="true"/>
        </w:rPr>
        <w:footnoteReference w:id="1838"/>
      </w:r>
      <w:r>
        <w:rPr>
          <w:rFonts w:ascii="Amiri" w:hAnsi="Amiri" w:eastAsia="Amiri" w:cs="Amiri"/>
          <w:color w:val="111111"/>
          <w:sz w:val="28"/>
          <w:sz w:val="28"/>
          <w:szCs w:val="28"/>
          <w:rtl w:val="true"/>
          <w:lang w:bidi="ar-SA"/>
        </w:rPr>
        <w:t>بلزوم الاحتياط كما تقدّم في كلام المحقّق الثاني</w:t>
      </w:r>
      <w:r>
        <w:rPr>
          <w:rFonts w:eastAsia="Amiri" w:cs="Amiri" w:ascii="Amiri" w:hAnsi="Amiri"/>
          <w:color w:val="111111"/>
          <w:sz w:val="28"/>
          <w:szCs w:val="28"/>
          <w:rtl w:val="true"/>
          <w:lang w:bidi="ar-SA"/>
        </w:rPr>
        <w:t xml:space="preserve">. </w:t>
      </w:r>
      <w:bookmarkStart w:id="224" w:name="pg16273_211867"/>
    </w:p>
    <w:p>
      <w:pPr>
        <w:pStyle w:val="Heading3"/>
        <w:numPr>
          <w:ilvl w:val="2"/>
          <w:numId w:val="1"/>
        </w:numPr>
        <w:rPr/>
      </w:pPr>
      <w:bookmarkStart w:id="225" w:name="__RefHeading___Toc4803614_1280447820"/>
      <w:bookmarkStart w:id="226" w:name="_Toc79"/>
      <w:bookmarkEnd w:id="224"/>
      <w:bookmarkEnd w:id="225"/>
      <w:r>
        <w:rPr>
          <w:rtl w:val="true"/>
        </w:rPr>
        <w:t xml:space="preserve">أصل </w:t>
      </w:r>
      <w:r>
        <w:rPr>
          <w:rtl w:val="true"/>
        </w:rPr>
        <w:t xml:space="preserve">[ </w:t>
      </w:r>
      <w:r>
        <w:rPr>
          <w:rtl w:val="true"/>
        </w:rPr>
        <w:t xml:space="preserve">في دوران الأمر بين الواجب والحرام من الشكّ في المكلّف به </w:t>
      </w:r>
      <w:r>
        <w:rPr>
          <w:rtl w:val="true"/>
        </w:rPr>
        <w:t>]</w:t>
      </w:r>
      <w:bookmarkEnd w:id="226"/>
    </w:p>
    <w:p>
      <w:pPr>
        <w:pStyle w:val="BookText"/>
        <w:rPr/>
      </w:pPr>
      <w:r>
        <w:rPr>
          <w:rFonts w:ascii="Amiri" w:hAnsi="Amiri" w:eastAsia="Amiri" w:cs="Amiri"/>
          <w:color w:val="111111"/>
          <w:sz w:val="28"/>
          <w:sz w:val="28"/>
          <w:szCs w:val="28"/>
          <w:rtl w:val="true"/>
          <w:lang w:bidi="ar-SA"/>
        </w:rPr>
        <w:t xml:space="preserve">في الشبهة الموضوعية عند الشكّ في المكلّف به فيما دار الأمر بين الواجب والحرام ، وملخّص القول في المقام هو لزوم فعل أحدهما دائما وترك الآخر كذلك فإنّه أسلم الوجوه المتصوّرة في المقام ؛ لاستلزام فعل الكلّ وتركهما موافقة قطعية مصاحبا مع مخالفته كذلك ، وترك أحدهما في البعض وفعل الآخر كذلك يوجب العلم بمخالفة واقعية في البعض بخلاف اختيار أحدهما دائما وترك الآخر كذلك ، لاحتمال الموافقة دائما مع عدم العلم بالمخالفة ولو في بعض الأوقات ، و </w:t>
      </w:r>
      <w:r>
        <w:rPr>
          <w:rStyle w:val="FootnoteAnchor"/>
          <w:rtl w:val="true"/>
        </w:rPr>
        <w:footnoteReference w:id="1839"/>
      </w:r>
      <w:r>
        <w:rPr>
          <w:rFonts w:ascii="Amiri" w:hAnsi="Amiri" w:eastAsia="Amiri" w:cs="Amiri"/>
          <w:color w:val="111111"/>
          <w:sz w:val="28"/>
          <w:sz w:val="28"/>
          <w:szCs w:val="28"/>
          <w:rtl w:val="true"/>
          <w:lang w:bidi="ar-SA"/>
        </w:rPr>
        <w:t>لا ريب في ترجيح العقل له على غيره من القسمين الآخرين عند الدوران بينهما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لا يدانيه ريبة إلاّ أنّه لا بدّ من أن يعلم أنّ الحكم على الوجه المزبور إنّما يتمّ فيما إذا لم يكن هناك أصل موضوعي يشخّص الحلال من الحرام والواجب من غيره ، وأمّا عند إمكان التعيين بالأصل ، فلا ريب في الأخذ بمقتضاه كما أنّه لا ريب في أنّ ما ذكر إنّما يتمّ فيما لو لاحظنا مجرّد الوجوب والحرمة من غير ملاحظة أمر خارج عنهما كما إذا كان أحدهما متعدّدا فيما لم يكن الآخر بمكان من الأهمّية فإنّه يجب الأخذ بالمتعدّد حينئذ لأنّ تحصيل الامتثالين أولى بخلاف ما إذا كان الآخر أهمّ ، فيجب مراعاته وإن كان متّحدا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ذكرنا إنّما يتمّ فيما إذا كان المتعدّد معلوما من بين المشتبهات كأن يعلم إمّا بحرمة شرب هذين الإناءين أو وجوب شرب الإناء الآخر أو </w:t>
      </w:r>
      <w:r>
        <w:rPr>
          <w:rStyle w:val="FootnoteAnchor"/>
          <w:rtl w:val="true"/>
        </w:rPr>
        <w:footnoteReference w:id="1840"/>
      </w:r>
      <w:r>
        <w:rPr>
          <w:rFonts w:ascii="Amiri" w:hAnsi="Amiri" w:eastAsia="Amiri" w:cs="Amiri"/>
          <w:color w:val="111111"/>
          <w:sz w:val="28"/>
          <w:sz w:val="28"/>
          <w:szCs w:val="28"/>
          <w:rtl w:val="true"/>
          <w:lang w:bidi="ar-SA"/>
        </w:rPr>
        <w:t>بالعكس ، وأمّا إذا لم يعلم بالمتعدّد ، فلا فرق في ذلك أيضا كما لا يخفى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فلا بدّ للفقيه من ملاحظة الموارد ، فربّ واجب يقدّم على الحرام وإن قلنا بأولوية دفع المضرّة عن جلب المنفعة ، وربّما ينعكس المطلوب ولو مع قطع النظر عن القاعدة المذكورة ، فلتكن </w:t>
      </w:r>
      <w:r>
        <w:rPr>
          <w:rStyle w:val="FootnoteAnchor"/>
          <w:rtl w:val="true"/>
        </w:rPr>
        <w:footnoteReference w:id="1841"/>
      </w:r>
      <w:r>
        <w:rPr>
          <w:rFonts w:ascii="IRNazanin" w:hAnsi="IRNazanin" w:eastAsia="IRNazanin"/>
          <w:color w:val="111111"/>
          <w:sz w:val="28"/>
          <w:sz w:val="28"/>
          <w:szCs w:val="28"/>
          <w:rtl w:val="true"/>
          <w:lang w:bidi="fa-IR"/>
        </w:rPr>
        <w:t>على خبر منه</w:t>
      </w:r>
      <w:r>
        <w:rPr>
          <w:rFonts w:eastAsia="IRNazanin" w:cs="IRNazanin"/>
          <w:color w:val="111111"/>
          <w:sz w:val="28"/>
          <w:szCs w:val="28"/>
          <w:rtl w:val="true"/>
          <w:lang w:bidi="fa-IR"/>
        </w:rPr>
        <w:t xml:space="preserve">. </w:t>
      </w:r>
      <w:bookmarkStart w:id="227" w:name="pg16273_211869"/>
    </w:p>
    <w:p>
      <w:pPr>
        <w:pStyle w:val="Heading3"/>
        <w:numPr>
          <w:ilvl w:val="2"/>
          <w:numId w:val="1"/>
        </w:numPr>
        <w:rPr/>
      </w:pPr>
      <w:bookmarkStart w:id="228" w:name="__RefHeading___Toc4803616_1280447820"/>
      <w:bookmarkStart w:id="229" w:name="_Toc80"/>
      <w:bookmarkEnd w:id="227"/>
      <w:bookmarkEnd w:id="228"/>
      <w:r>
        <w:rPr>
          <w:rtl w:val="true"/>
        </w:rPr>
        <w:t xml:space="preserve">أصل </w:t>
      </w:r>
      <w:r>
        <w:rPr>
          <w:rtl w:val="true"/>
        </w:rPr>
        <w:t xml:space="preserve">[ </w:t>
      </w:r>
      <w:r>
        <w:rPr>
          <w:rtl w:val="true"/>
        </w:rPr>
        <w:t xml:space="preserve">في الشبهة الوجوبية الحكمية من الشكّ في المكلّف به فيما دار الأمر بين المتباينين </w:t>
      </w:r>
      <w:r>
        <w:rPr>
          <w:rtl w:val="true"/>
        </w:rPr>
        <w:t>]</w:t>
      </w:r>
      <w:bookmarkEnd w:id="229"/>
    </w:p>
    <w:p>
      <w:pPr>
        <w:pStyle w:val="Heading4"/>
        <w:numPr>
          <w:ilvl w:val="3"/>
          <w:numId w:val="1"/>
        </w:numPr>
        <w:rPr/>
      </w:pPr>
      <w:bookmarkStart w:id="230" w:name="__RefHeading___Toc4803618_1280447820"/>
      <w:bookmarkStart w:id="231" w:name="_Toc81"/>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قد عرفت في أوّل البحث انقسام الشبهة إلى الشكّ في </w:t>
      </w:r>
      <w:r>
        <w:rPr>
          <w:rStyle w:val="FootnoteAnchor"/>
          <w:rtl w:val="true"/>
        </w:rPr>
        <w:footnoteReference w:id="1842"/>
      </w:r>
      <w:r>
        <w:rPr>
          <w:rFonts w:ascii="Amiri" w:hAnsi="Amiri" w:eastAsia="Amiri" w:cs="Amiri"/>
          <w:color w:val="111111"/>
          <w:sz w:val="28"/>
          <w:sz w:val="28"/>
          <w:szCs w:val="28"/>
          <w:rtl w:val="true"/>
          <w:lang w:bidi="ar-SA"/>
        </w:rPr>
        <w:t xml:space="preserve">التكليف ، والشكّ في المكلّف به ، وأنّ كلّ واحد منهما إمّا موضوعية ، وإمّا حكمية ، وقد فرغنا عن بيان أحكام الشبهات التكليفية موضوعية وحكمية ، وعن الشبهة </w:t>
      </w:r>
      <w:r>
        <w:rPr>
          <w:rStyle w:val="FootnoteAnchor"/>
          <w:rtl w:val="true"/>
        </w:rPr>
        <w:footnoteReference w:id="1843"/>
      </w:r>
      <w:r>
        <w:rPr>
          <w:rFonts w:ascii="Amiri" w:hAnsi="Amiri" w:eastAsia="Amiri" w:cs="Amiri"/>
          <w:color w:val="111111"/>
          <w:sz w:val="28"/>
          <w:sz w:val="28"/>
          <w:szCs w:val="28"/>
          <w:rtl w:val="true"/>
          <w:lang w:bidi="ar-SA"/>
        </w:rPr>
        <w:t xml:space="preserve">في المكلّف به في الشبهات الموضوعية على حسب اختلاف أقسامها ؛ من المتباينين وجوبية وتحريمية ، ودوران الأمر بين المحذورين ، وما </w:t>
      </w:r>
      <w:r>
        <w:rPr>
          <w:rStyle w:val="FootnoteAnchor"/>
          <w:rtl w:val="true"/>
        </w:rPr>
        <w:footnoteReference w:id="1844"/>
      </w:r>
      <w:r>
        <w:rPr>
          <w:rFonts w:ascii="Amiri" w:hAnsi="Amiri" w:eastAsia="Amiri" w:cs="Amiri"/>
          <w:color w:val="111111"/>
          <w:sz w:val="28"/>
          <w:sz w:val="28"/>
          <w:szCs w:val="28"/>
          <w:rtl w:val="true"/>
          <w:lang w:bidi="ar-SA"/>
        </w:rPr>
        <w:t>دار الأمر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الشبهة الحكمية عند الشكّ في المكلّف به ، فتارة يقع الكلام في المتباينين ، وأخرى في الأقلّ والأكثر ، وعلى الأوّل فتارة في الشبهة الوجوبية ، وأخرى في التحريمية ، ومرّة في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هذا معقود لبيان الشبهة الوجوبية منها ، فتارة فيما إذا تعارض النصّان ، فتفصيل الكلام فيه في الخاتمة إن شاء اللّه ، وأخرى لفقد النصّ أو إجماله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عند التعارض ، فمحصّله التخيير على ما سيجيء ، وأمّا عند فقد النصّ أو إجماله كما إذا علمنا بوجوب الظهر ، أو الجمعة إجمالا ولم نحقّق الواجب بالخصوص </w:t>
      </w:r>
    </w:p>
    <w:p>
      <w:pPr>
        <w:pStyle w:val="BookText"/>
        <w:rPr/>
      </w:pPr>
      <w:r>
        <w:rPr>
          <w:rFonts w:ascii="Amiri" w:hAnsi="Amiri" w:eastAsia="Amiri" w:cs="Amiri"/>
          <w:color w:val="111111"/>
          <w:sz w:val="28"/>
          <w:sz w:val="28"/>
          <w:szCs w:val="28"/>
          <w:rtl w:val="true"/>
          <w:lang w:bidi="ar-SA"/>
        </w:rPr>
        <w:t xml:space="preserve">لعدم النصّ عليه ، أو لإجمال </w:t>
      </w:r>
      <w:r>
        <w:rPr>
          <w:rStyle w:val="FootnoteAnchor"/>
          <w:rtl w:val="true"/>
        </w:rPr>
        <w:footnoteReference w:id="1845"/>
      </w:r>
      <w:r>
        <w:rPr>
          <w:rFonts w:ascii="Amiri" w:hAnsi="Amiri" w:eastAsia="Amiri" w:cs="Amiri"/>
          <w:color w:val="111111"/>
          <w:sz w:val="28"/>
          <w:sz w:val="28"/>
          <w:szCs w:val="28"/>
          <w:rtl w:val="true"/>
          <w:lang w:bidi="ar-SA"/>
        </w:rPr>
        <w:t xml:space="preserve">فيه </w:t>
      </w:r>
      <w:r>
        <w:rPr>
          <w:rStyle w:val="FootnoteAnchor"/>
          <w:rtl w:val="true"/>
        </w:rPr>
        <w:footnoteReference w:id="1846"/>
      </w:r>
      <w:r>
        <w:rPr>
          <w:rFonts w:ascii="Amiri" w:hAnsi="Amiri" w:eastAsia="Amiri" w:cs="Amiri"/>
          <w:color w:val="111111"/>
          <w:sz w:val="28"/>
          <w:sz w:val="28"/>
          <w:szCs w:val="28"/>
          <w:rtl w:val="true"/>
          <w:lang w:bidi="ar-SA"/>
        </w:rPr>
        <w:t xml:space="preserve">، فيقع الكلام فيه في مقامين </w:t>
      </w:r>
      <w:r>
        <w:rPr>
          <w:rStyle w:val="FootnoteAnchor"/>
          <w:rtl w:val="true"/>
        </w:rPr>
        <w:footnoteReference w:id="1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في جواز المخالفة القطعية وعدمه ، وأخرى في وجوب الموافقة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فيها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في جواز المخالفة القطعية وعدمه أمّا الكلام في المقام الأوّل ، فقد يظهر من المحقّق القمّي تبعا للمحقّق العلاّمة الخوانساري </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المخالفة ، والحقّ عدمه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إحالة الأمر في المقام إلى ما تقدّم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على ما ينبغي للفرق الظاهر بين المقامين للعلم بوجوب الاجتناب عن النجس في الواقع وإن كان مردّدا بين أشياء ، والقطع بتعلّق الطلب فعلا أو تركا على حسب اختلاف المقامات فيها بخلاف المقام </w:t>
      </w:r>
      <w:r>
        <w:rPr>
          <w:rStyle w:val="FootnoteAnchor"/>
          <w:rtl w:val="true"/>
        </w:rPr>
        <w:footnoteReference w:id="1849"/>
      </w:r>
      <w:r>
        <w:rPr>
          <w:rFonts w:ascii="Amiri" w:hAnsi="Amiri" w:eastAsia="Amiri" w:cs="Amiri"/>
          <w:color w:val="111111"/>
          <w:sz w:val="28"/>
          <w:sz w:val="28"/>
          <w:szCs w:val="28"/>
          <w:rtl w:val="true"/>
          <w:lang w:bidi="ar-SA"/>
        </w:rPr>
        <w:t xml:space="preserve">؛ فإنّ الخطاب غير معلوم المراد ، فما هو مقطوع لا يجدي ؛ لأنّه بمنزلة مجرّد الصوت ، وما هو مجد غير معلوم وهو المراد ، فربّما يسبق إلى الوهم القول بالبراءة في المقام دون الشبهة المحصورة فإنّ الوهم </w:t>
      </w:r>
      <w:r>
        <w:rPr>
          <w:rStyle w:val="FootnoteAnchor"/>
          <w:rtl w:val="true"/>
        </w:rPr>
        <w:footnoteReference w:id="1850"/>
      </w:r>
      <w:r>
        <w:rPr>
          <w:rFonts w:ascii="Amiri" w:hAnsi="Amiri" w:eastAsia="Amiri" w:cs="Amiri"/>
          <w:color w:val="111111"/>
          <w:sz w:val="28"/>
          <w:sz w:val="28"/>
          <w:szCs w:val="28"/>
          <w:rtl w:val="true"/>
          <w:lang w:bidi="ar-SA"/>
        </w:rPr>
        <w:t>فيها بمكان من البعد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أيضا قياس المقام بما مرّ في دوران الأمر بين الواجب والحرام في الشبهة الحكمية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وسقوطه ظاهر ؛ لاستلزامه المخالفة العملية في جميع صوره بخلافه كما عرفت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فاحتجّ القائل بأنّ التكليف في المقام إمّا بأحدهما معيّنا ، أو بأحدهما غير معيّن ، أو بالواقع المجهول عندنا </w:t>
      </w:r>
      <w:r>
        <w:rPr>
          <w:rStyle w:val="FootnoteAnchor"/>
          <w:rtl w:val="true"/>
        </w:rPr>
        <w:footnoteReference w:id="1851"/>
      </w:r>
      <w:r>
        <w:rPr>
          <w:rFonts w:ascii="Amiri" w:hAnsi="Amiri" w:eastAsia="Amiri" w:cs="Amiri"/>
          <w:color w:val="111111"/>
          <w:sz w:val="28"/>
          <w:sz w:val="28"/>
          <w:szCs w:val="28"/>
          <w:rtl w:val="true"/>
          <w:lang w:bidi="ar-SA"/>
        </w:rPr>
        <w:t>، والكلّ باطل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فلعدم الأمر به كما هو المفروض ، ويكشف عنه قبح العقاب عند العقول السليمة على ترك أحدهما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 فلعدم دلالة الأمر على أحدهما بهذا الوصف ؛ لكونه أمرا انتزاعيا لا يناط عليه الخطابات الشرعية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فلقبح العقاب عليه مع كونه مجهولا كما في الشكوك البدوية إن أريد إثبات الوجوب بالنسبة إليه بمجرّد الخطاب المجهول عندنا ؛ إذ المفروض عدم العلم به ، وإن أريد </w:t>
      </w:r>
      <w:r>
        <w:rPr>
          <w:rStyle w:val="FootnoteAnchor"/>
          <w:rtl w:val="true"/>
        </w:rPr>
        <w:footnoteReference w:id="1852"/>
      </w:r>
      <w:r>
        <w:rPr>
          <w:rFonts w:ascii="Amiri" w:hAnsi="Amiri" w:eastAsia="Amiri" w:cs="Amiri"/>
          <w:color w:val="111111"/>
          <w:sz w:val="28"/>
          <w:sz w:val="28"/>
          <w:szCs w:val="28"/>
          <w:rtl w:val="true"/>
          <w:lang w:bidi="ar-SA"/>
        </w:rPr>
        <w:t>إثبات التكليف بواسطة أدلّة أخرى من إجماع على لزوم الإتيان بشيء ، أو أخبار الاحتياط ، فعلى تقدير وجوده ممّا لا يضرّ بما نحن بصدده من اقتضاء القواعد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أنّ التكليف بالواقع المجهول عندنا ولا ضير فيه ؛ لأنّ الجهل بالخطاب غير مضرّ بعد العلم بنفس التكليف كما في صورة العلم التفصيلي فيما لو علمنا تفصيلا بأنّ المائع الفلاني إمّا هو خمر ، وإمّا ماء مغصوب فإنّ الخطاب مجهول ، وحيث إنّ العلم حاصل ، فلا ضير في جهل الخطاب ، ففي المقام نحن ندّعي أنّ العلم الإجمالي بمنزلة العلم التفصيلي ، فكما أنّ الجهل بالخطاب مع حصوله لا يضرّ في لزوم العمل على طبقه ، فكذا </w:t>
      </w:r>
      <w:r>
        <w:rPr>
          <w:rStyle w:val="FootnoteAnchor"/>
          <w:rtl w:val="true"/>
        </w:rPr>
        <w:footnoteReference w:id="1853"/>
      </w:r>
      <w:r>
        <w:rPr>
          <w:rFonts w:ascii="Amiri" w:hAnsi="Amiri" w:eastAsia="Amiri" w:cs="Amiri"/>
          <w:color w:val="111111"/>
          <w:sz w:val="28"/>
          <w:sz w:val="28"/>
          <w:szCs w:val="28"/>
          <w:rtl w:val="true"/>
          <w:lang w:bidi="ar-SA"/>
        </w:rPr>
        <w:t>في المقام ، فالعلم الإجمالي منجّز للتكليف كالعلم التفصيلي لعموم إطاعة أوامره ونواهيه تعالى عقلا ونقلا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عن ذلك تكليف الكفّار بالفروع مع عدم العلم التفصيلي </w:t>
      </w:r>
      <w:r>
        <w:rPr>
          <w:rStyle w:val="FootnoteAnchor"/>
          <w:rtl w:val="true"/>
        </w:rPr>
        <w:footnoteReference w:id="1854"/>
      </w:r>
      <w:r>
        <w:rPr>
          <w:rFonts w:ascii="Amiri" w:hAnsi="Amiri" w:eastAsia="Amiri" w:cs="Amiri"/>
          <w:color w:val="111111"/>
          <w:sz w:val="28"/>
          <w:sz w:val="28"/>
          <w:szCs w:val="28"/>
          <w:rtl w:val="true"/>
          <w:lang w:bidi="ar-SA"/>
        </w:rPr>
        <w:t xml:space="preserve">بخصوصيات الأحكام الفرعية إجماعا منّا ، وصحّة عقاب الجاهل المقصّر </w:t>
      </w:r>
      <w:r>
        <w:rPr>
          <w:rStyle w:val="FootnoteAnchor"/>
          <w:rtl w:val="true"/>
        </w:rPr>
        <w:footnoteReference w:id="1855"/>
      </w:r>
      <w:r>
        <w:rPr>
          <w:rFonts w:ascii="Amiri" w:hAnsi="Amiri" w:eastAsia="Amiri" w:cs="Amiri"/>
          <w:color w:val="111111"/>
          <w:sz w:val="28"/>
          <w:sz w:val="28"/>
          <w:szCs w:val="28"/>
          <w:rtl w:val="true"/>
          <w:lang w:bidi="ar-SA"/>
        </w:rPr>
        <w:t xml:space="preserve">كما حقّق في محلّه ، وقوله عليه‌السلام فيما سأله السائل عن سماع صوت الجواري في الخلأ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أسوأ حالك لو كنت تموت </w:t>
      </w:r>
    </w:p>
    <w:p>
      <w:pPr>
        <w:pStyle w:val="BookText"/>
        <w:rPr/>
      </w:pPr>
      <w:r>
        <w:rPr>
          <w:rFonts w:ascii="Amiri" w:hAnsi="Amiri" w:eastAsia="Amiri" w:cs="Amiri"/>
          <w:color w:val="111111"/>
          <w:sz w:val="28"/>
          <w:sz w:val="28"/>
          <w:szCs w:val="28"/>
          <w:rtl w:val="true"/>
          <w:lang w:bidi="ar-SA"/>
        </w:rPr>
        <w:t xml:space="preserve">بهذه الحالة </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وعليه استقرّ طريقة العقلاء في إطاعة مواليهم وتعذيب عبيدهم كما هو أوضح من الشمس ، وأبين من الأمس عند الرجوع إلى سجيّتهم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فالمانع إمّا أن يقول بأنّ مجرّد الجهل بالخطاب يقضي بعدم التكليف ولو جرّد النظر عن جميع ما عداه ، فكلامه منقوض بصورة التمكّن من تحصيل العلم التفصيلي ؛ إذ بمجرّد الجهل سقط التكليف ، ولا دليل على وجوب مقدّمة الواجب بعد سقوط ذيها ، فلا دليل على تحصيل العلم ؛ لأنّ مقدّمة الواجب المشروط ليس بواجب اتّفاقا ، ولهذا قد طعن على القائل بلزوم الفحص مع عدم القول بوجوب الواقع عند الجهل كالمقدّس الأردبيلي ومن تابعة كصاحب المدارك ونحوه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ولا يخفى أنّه يلزم على هذا أن لا يكون الكفّار مخاطبين بالأحكام ، وإنّما يكونون مخاطبين بمقدّمات الأحكام ، وهذا خلاف ما قرّره الأصحاب ، وتحقيق هذا المقام من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عنهم أيضا في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أيضا بحث القطع والظنّ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مطارح الأنظار ، بحث مقدّمة الواجب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المحقّقين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بأنّ وجوب المقدّمة مع عدم وجوب ذيها من أعجب العجائب</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بأنّ الفحص واجب نفسي لا مقدّمي كما يراه بعض الأجلّة </w:t>
      </w:r>
      <w:r>
        <w:rPr>
          <w:rStyle w:val="FootnoteAnchor"/>
          <w:rtl w:val="true"/>
        </w:rPr>
        <w:footnoteReference w:id="1858"/>
      </w:r>
      <w:r>
        <w:rPr>
          <w:rFonts w:ascii="IRNazanin" w:hAnsi="IRNazanin" w:eastAsia="IRNazanin"/>
          <w:color w:val="111111"/>
          <w:sz w:val="28"/>
          <w:sz w:val="28"/>
          <w:szCs w:val="28"/>
          <w:rtl w:val="true"/>
          <w:lang w:bidi="fa-IR"/>
        </w:rPr>
        <w:t xml:space="preserve">تبعا </w:t>
      </w:r>
    </w:p>
    <w:p>
      <w:pPr>
        <w:pStyle w:val="BookText"/>
        <w:rPr/>
      </w:pPr>
      <w:r>
        <w:rPr>
          <w:rFonts w:ascii="Amiri" w:hAnsi="Amiri" w:eastAsia="Amiri" w:cs="Amiri"/>
          <w:color w:val="111111"/>
          <w:sz w:val="28"/>
          <w:sz w:val="28"/>
          <w:szCs w:val="28"/>
          <w:rtl w:val="true"/>
          <w:lang w:bidi="ar-SA"/>
        </w:rPr>
        <w:t xml:space="preserve">لأخيه فخر الأعاظم </w:t>
      </w:r>
      <w:r>
        <w:rPr>
          <w:rStyle w:val="FootnoteAnchor"/>
          <w:rtl w:val="true"/>
        </w:rPr>
        <w:footnoteReference w:id="1859"/>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التعلّم تعلّق به أمر من الخارج ، فيندرج في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مرّ في محلّه سقوطه ؛ إذ الواجب النفسي أو الغيري ليس مجرّد الاصطلاح والتعبير بل المناط فيه هو المصلحة الواقعية ، فلو كان الفحص ذا مصلحة واقعية في حدّ ذاته وفي مرتبة هويّته ، فهو واجب نفسي ولو لم يكن كذلك بل مصلحة وجوبه في غيره ، فهو واجب غيري ، فليس الأمر بيدنا حتّى نفرض وجوبه النفسي قبل الفحص والوقت ، ووجوبه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الغيري بعده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يقول بأنّ الجهل بالتكليف مع عدم التمكّن يمنع من التكليف ولو عند العلم الإجمالي ، فالحاكم بيننا وبينه هي الأدلّة السابقة من عموم لزوم الإطاعة عقلا ، فكما أنّ العقل يحكم بلزوم الامتثال عند العلم التفصيلي ، فكذا يحكم به عند العلم الإجمالي وإن كان الخطاب مجهولا ؛ إذ لا تأثير فيه وعليه سيرة العقلاء في كلّ الأزمنة في جميع الأمكنة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النزاع عند التحقيق على ما قرّرت إلى أنّ شرط التكليف هل هو العلم التفصيلي ، أو لا؟ فالقائل بالبراءة يدّعي الاشتراط ، ومدّعي الاحتياط يقول </w:t>
      </w:r>
    </w:p>
    <w:p>
      <w:pPr>
        <w:pStyle w:val="BookText"/>
        <w:rPr/>
      </w:pPr>
      <w:r>
        <w:rPr>
          <w:rFonts w:ascii="Amiri" w:hAnsi="Amiri" w:eastAsia="Amiri" w:cs="Amiri"/>
          <w:color w:val="111111"/>
          <w:sz w:val="28"/>
          <w:sz w:val="28"/>
          <w:szCs w:val="28"/>
          <w:rtl w:val="true"/>
          <w:lang w:bidi="ar-SA"/>
        </w:rPr>
        <w:t xml:space="preserve">بالإطلاق ، فعلى الأوّل لا تكليف عند عدم العلم التفصيلي ؛ لانتفاء شرطه ، وعلى الثاني فلا بدّ من الامتثال ، والشبهة </w:t>
      </w:r>
      <w:r>
        <w:rPr>
          <w:rStyle w:val="FootnoteAnchor"/>
          <w:rtl w:val="true"/>
        </w:rPr>
        <w:footnoteReference w:id="1861"/>
      </w:r>
      <w:r>
        <w:rPr>
          <w:rFonts w:ascii="Amiri" w:hAnsi="Amiri" w:eastAsia="Amiri" w:cs="Amiri"/>
          <w:color w:val="111111"/>
          <w:sz w:val="28"/>
          <w:sz w:val="28"/>
          <w:szCs w:val="28"/>
          <w:rtl w:val="true"/>
          <w:lang w:bidi="ar-SA"/>
        </w:rPr>
        <w:t>في المقام ترجع إلى الشبهة البدوية التكليفية لما قد تقرّر في مقامه من أنّ الشكّ في اشتراط الواجب وإطلاقه راجع إليه ، والاشتراط موافق للأصل إذ قضية الاشتراط كما عرفت هو العدم ، عند العدم وبالجملة ففي المقام لا بدّ من إعمال البراءة لأنّه من جملة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دار الأمر بين الاشتراط والإطلاق الأصل الاشتراط ؛ لأنّ الأصل عدم التكليف ، ولا يجدي أصالة عدم الاشتراط ما لم يكن في البين إطلاق لفظي يؤخذ به ، ومرجعها إلى أصالة الحقيقة في المطلق ، وأمّا إذا لم يكن هناك إطلاق لفظي ، فمرجعها إلى إثبات التكليف في محلّ الشكّ وقد عرفت جريان البراءة فيه كما ستعرفه في بعض المباحث الآتية إلاّ أنّه لا بدّ أن يعلم أنّ المقام ممّا لا عبرة به ؛ لاختصاص مورد البراءة بما إذا لم يكن الشكّ في البراءة والاحتياط كما عند الشكّ في التكليف من غير أن يكون الشكّ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الشكّ في مورد البراءة والاحتياط كأن لم نعلم </w:t>
      </w:r>
      <w:r>
        <w:rPr>
          <w:rStyle w:val="FootnoteAnchor"/>
          <w:rtl w:val="true"/>
        </w:rPr>
        <w:footnoteReference w:id="1862"/>
      </w:r>
      <w:r>
        <w:rPr>
          <w:rFonts w:ascii="Amiri" w:hAnsi="Amiri" w:eastAsia="Amiri" w:cs="Amiri"/>
          <w:color w:val="111111"/>
          <w:sz w:val="28"/>
          <w:sz w:val="28"/>
          <w:szCs w:val="28"/>
          <w:rtl w:val="true"/>
          <w:lang w:bidi="ar-SA"/>
        </w:rPr>
        <w:t xml:space="preserve">بأنّ المورد الكذائي من موارد البراءة أو الاحتياط ، فلا يجري فيه البراءة بل </w:t>
      </w:r>
      <w:r>
        <w:rPr>
          <w:rStyle w:val="FootnoteAnchor"/>
          <w:rtl w:val="true"/>
        </w:rPr>
        <w:footnoteReference w:id="1863"/>
      </w:r>
      <w:r>
        <w:rPr>
          <w:rFonts w:ascii="Amiri" w:hAnsi="Amiri" w:eastAsia="Amiri" w:cs="Amiri"/>
          <w:color w:val="111111"/>
          <w:sz w:val="28"/>
          <w:sz w:val="28"/>
          <w:szCs w:val="28"/>
          <w:rtl w:val="true"/>
          <w:lang w:bidi="ar-SA"/>
        </w:rPr>
        <w:t>لا بدّ من الأخذ بالاحتياط</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أنّ مناط قاعدة البراءة هو حكم العقل بقبح العقاب عند الشكّ في التكليف ، فما لم يحكم العقل بذلك لم يؤمن من الضرر المحتمل ، فعند تردّد العقل في قبح العقاب وعدم قبحه يستقلّ بلزوم الاحتياط ؛ إذ لا رافع لاحتمال العقاب الحاكم بدفعه العقل المستقلّ ، فالشكّ في لزوم الاحتياط ، أو العمل بالبراءة عند الشكّ في البراءة إنّما هو شكّ بدوي يرتفع بملاحظة عدم ما يؤمننا من </w:t>
      </w:r>
      <w:r>
        <w:rPr>
          <w:rStyle w:val="FootnoteAnchor"/>
          <w:rtl w:val="true"/>
        </w:rPr>
        <w:footnoteReference w:id="1864"/>
      </w:r>
      <w:r>
        <w:rPr>
          <w:rFonts w:ascii="Amiri" w:hAnsi="Amiri" w:eastAsia="Amiri" w:cs="Amiri"/>
          <w:color w:val="111111"/>
          <w:sz w:val="28"/>
          <w:sz w:val="28"/>
          <w:szCs w:val="28"/>
          <w:rtl w:val="true"/>
          <w:lang w:bidi="ar-SA"/>
        </w:rPr>
        <w:t>الضرر كما هو المفروض كما في الشكّ في البراءة في مواردها على ما مرّ تفصيل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من جميع ما مرّ أنّه إذا شكّ في أنّ العلم الإجمالي أيضا منجّز للتكليف كالعلم التفصيلي ، أو ليس منجّزا كالجهل الساذج لا يصحّ التعويل بأصالة البراءة عن التكليف عند عدم العلم التفصيلي ولو مع وجود العلم الإجمالي ؛ إذ الأصل الأصيل في أمثال المقام هو الاحتياط ؛ لعدم ما يعارض وجوب دفع الضرر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العقل يحكم باستواء العلم الإجمالي والتفصيلي في تنجّز التكليف بهما كما يكشف عنه بناء العقلاء وإن كان التمسّك ببناء العقلاء في أمثال المقام لا يخلو عن شيء ؛ لاحتمال ارتكاز الاحتياط في أذهانهم حيث إنّ المقصود عندهم هو الوصول إلى المصالح الكامنة والمفاسد الموجودة في الأشياء من غير ملاحظة التعبّد بأمر المولى إلاّ أنّ الوجدان السليم لو لاحظ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الغضّ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وتمحّص في ملاحظة الإطاعة والمعصية اللازمتين للتعبّد ، يحكم بعدم الفرق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جميع ما مرّ يظهر وجه المختار من عدم جواز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وجوب الموافقة وعدمه المقام </w:t>
      </w:r>
      <w:r>
        <w:rPr>
          <w:rStyle w:val="FootnoteAnchor"/>
          <w:rtl w:val="true"/>
        </w:rPr>
        <w:footnoteReference w:id="1865"/>
      </w:r>
      <w:r>
        <w:rPr>
          <w:rFonts w:ascii="Amiri" w:hAnsi="Amiri" w:eastAsia="Amiri" w:cs="Amiri"/>
          <w:color w:val="111111"/>
          <w:sz w:val="28"/>
          <w:sz w:val="28"/>
          <w:szCs w:val="28"/>
          <w:rtl w:val="true"/>
          <w:lang w:bidi="ar-SA"/>
        </w:rPr>
        <w:t xml:space="preserve">الثاني في لزوم الموافقة </w:t>
      </w:r>
      <w:r>
        <w:rPr>
          <w:rStyle w:val="FootnoteAnchor"/>
          <w:rtl w:val="true"/>
        </w:rPr>
        <w:footnoteReference w:id="1866"/>
      </w:r>
      <w:r>
        <w:rPr>
          <w:rFonts w:ascii="Amiri" w:hAnsi="Amiri" w:eastAsia="Amiri" w:cs="Amiri"/>
          <w:color w:val="111111"/>
          <w:sz w:val="28"/>
          <w:sz w:val="28"/>
          <w:szCs w:val="28"/>
          <w:rtl w:val="true"/>
          <w:lang w:bidi="ar-SA"/>
        </w:rPr>
        <w:t>القطعية وقد مرّ في تزييف احتجاج القائل بجواز المخالفة ما يغني عن إطالة الكلام في توجيه المختار إلاّ أنّه لا بدّ من تعرّض بعض الوجوه التي قد يستند لوجوب الموافقة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التكليف ، وبيانه أنّه لو فرض حصول الاشتباه بعد العلم التفصيلي ، فقبل حصول الاشتباه لا بدّ من الامتثال وبعده يشكّ فقضيّة الاستصحاب بقاؤه ، ويتمّ في الباقي </w:t>
      </w:r>
      <w:r>
        <w:rPr>
          <w:rStyle w:val="FootnoteAnchor"/>
          <w:rtl w:val="true"/>
        </w:rPr>
        <w:footnoteReference w:id="1867"/>
      </w:r>
      <w:r>
        <w:rPr>
          <w:rFonts w:ascii="IRNazanin" w:hAnsi="IRNazanin" w:eastAsia="IRNazanin"/>
          <w:color w:val="111111"/>
          <w:sz w:val="28"/>
          <w:sz w:val="28"/>
          <w:szCs w:val="28"/>
          <w:rtl w:val="true"/>
          <w:lang w:bidi="fa-IR"/>
        </w:rPr>
        <w:t>بعدم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ارتباطه بالمقام ؛ إذ على تقدير الإغماض عمّا فيه يثبت حرمة المخالفة لا وجوب الموافقة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التكليف في الصورة المفروضة معارض باستصحاب البراءة </w:t>
      </w:r>
    </w:p>
    <w:p>
      <w:pPr>
        <w:pStyle w:val="BookText"/>
        <w:rPr/>
      </w:pPr>
      <w:r>
        <w:rPr>
          <w:rFonts w:ascii="Amiri" w:hAnsi="Amiri" w:eastAsia="Amiri" w:cs="Amiri"/>
          <w:color w:val="111111"/>
          <w:sz w:val="28"/>
          <w:sz w:val="28"/>
          <w:szCs w:val="28"/>
          <w:rtl w:val="true"/>
          <w:lang w:bidi="ar-SA"/>
        </w:rPr>
        <w:t>قبل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المراهق لا تكليف له قطعا ، فلو بلغ وعلم إجمالا بوجوب شيء غير معلوم المراد ، فاستصحاب البراءة السابقة يقضي بعدم التكليف ، ويتمّ في الباقي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w:t>
      </w:r>
      <w:r>
        <w:rPr>
          <w:rStyle w:val="FootnoteAnchor"/>
          <w:rtl w:val="true"/>
        </w:rPr>
        <w:footnoteReference w:id="1868"/>
      </w:r>
      <w:r>
        <w:rPr>
          <w:rFonts w:ascii="Amiri" w:hAnsi="Amiri" w:eastAsia="Amiri" w:cs="Amiri"/>
          <w:color w:val="111111"/>
          <w:sz w:val="28"/>
          <w:sz w:val="28"/>
          <w:szCs w:val="28"/>
          <w:rtl w:val="true"/>
          <w:lang w:bidi="ar-SA"/>
        </w:rPr>
        <w:t>أن يقال بتقديم استصحاب التكليف ؛ لأنّه أصل مثبت للتكليف ، وبه يرتفع الشكّ في التكليف كارتفاعه بدليل اجتهادي ؛ إذ مرجع استصحاب البراءة إلى نفس قاعدة البراءة ، وعند التعارض يقدّم الاستصحاب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اشتراك التكليف </w:t>
      </w:r>
      <w:r>
        <w:rPr>
          <w:rStyle w:val="FootnoteAnchor"/>
          <w:rtl w:val="true"/>
        </w:rPr>
        <w:footnoteReference w:id="1869"/>
      </w:r>
      <w:r>
        <w:rPr>
          <w:rFonts w:ascii="Amiri" w:hAnsi="Amiri" w:eastAsia="Amiri" w:cs="Amiri"/>
          <w:color w:val="111111"/>
          <w:sz w:val="28"/>
          <w:sz w:val="28"/>
          <w:szCs w:val="28"/>
          <w:rtl w:val="true"/>
          <w:lang w:bidi="ar-SA"/>
        </w:rPr>
        <w:t xml:space="preserve">، وبيانها أنّ الكلام في المجملات العرضية بعد تمام الحجّة على الكلّ بوجه متعارف في الإبلاغ ، وإنّما سنح الإجمال بعد خفاء الحجّة وحدوث الآراء الباطلة وكثرة القالة كما نطق بها جملة من الأخبار ، وبرهة من الآثار </w:t>
      </w:r>
      <w:r>
        <w:rPr>
          <w:rStyle w:val="FootnoteAnchor"/>
          <w:rtl w:val="true"/>
        </w:rPr>
        <w:footnoteReference w:id="1870"/>
      </w:r>
      <w:r>
        <w:rPr>
          <w:rFonts w:ascii="Amiri" w:hAnsi="Amiri" w:eastAsia="Amiri" w:cs="Amiri"/>
          <w:color w:val="111111"/>
          <w:sz w:val="28"/>
          <w:sz w:val="28"/>
          <w:szCs w:val="28"/>
          <w:rtl w:val="true"/>
          <w:lang w:bidi="ar-SA"/>
        </w:rPr>
        <w:t>، فكان الأمر المجمل معلوما عند المشافهين ، وقد انعقد الإجماع على اشتراك التكليف ، فيثبت في حقّنا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الإغضاء </w:t>
      </w:r>
      <w:r>
        <w:rPr>
          <w:rStyle w:val="FootnoteAnchor"/>
          <w:rtl w:val="true"/>
        </w:rPr>
        <w:footnoteReference w:id="1871"/>
      </w:r>
      <w:r>
        <w:rPr>
          <w:rFonts w:ascii="Amiri" w:hAnsi="Amiri" w:eastAsia="Amiri" w:cs="Amiri"/>
          <w:color w:val="111111"/>
          <w:sz w:val="28"/>
          <w:sz w:val="28"/>
          <w:szCs w:val="28"/>
          <w:rtl w:val="true"/>
          <w:lang w:bidi="ar-SA"/>
        </w:rPr>
        <w:t xml:space="preserve">عن معلومية الحكم للمشافهين أنّ المعلومية عندهم لا تقضي بثبوت </w:t>
      </w:r>
      <w:r>
        <w:rPr>
          <w:rStyle w:val="FootnoteAnchor"/>
          <w:rtl w:val="true"/>
        </w:rPr>
        <w:footnoteReference w:id="1872"/>
      </w:r>
      <w:r>
        <w:rPr>
          <w:rFonts w:ascii="Amiri" w:hAnsi="Amiri" w:eastAsia="Amiri" w:cs="Amiri"/>
          <w:color w:val="111111"/>
          <w:sz w:val="28"/>
          <w:sz w:val="28"/>
          <w:szCs w:val="28"/>
          <w:rtl w:val="true"/>
          <w:lang w:bidi="ar-SA"/>
        </w:rPr>
        <w:t xml:space="preserve">الحكم في حقّنا عند الجهل ، على أنّ ذلك لا يقضي </w:t>
      </w:r>
      <w:r>
        <w:rPr>
          <w:rStyle w:val="FootnoteAnchor"/>
          <w:rtl w:val="true"/>
        </w:rPr>
        <w:footnoteReference w:id="1873"/>
      </w:r>
      <w:r>
        <w:rPr>
          <w:rFonts w:ascii="Amiri" w:hAnsi="Amiri" w:eastAsia="Amiri" w:cs="Amiri"/>
          <w:color w:val="111111"/>
          <w:sz w:val="28"/>
          <w:sz w:val="28"/>
          <w:szCs w:val="28"/>
          <w:rtl w:val="true"/>
          <w:lang w:bidi="ar-SA"/>
        </w:rPr>
        <w:t>بوجوب الموافقة القطعية إلاّ بعد ضمّ قاعدة الاشتغال كما لا يخفى ، ولو فرض الجهل في حقّ المشافهين ، فلا نسلّم التكليف في حقّهم أيضا ، فلا فرق بيننا وبينهم إلاّ العلم والجهل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الاشتغال ، وبيانه أنّ بعد الإتيان بأحدهما نشكّ في رفع </w:t>
      </w:r>
    </w:p>
    <w:p>
      <w:pPr>
        <w:pStyle w:val="BookText"/>
        <w:rPr/>
      </w:pPr>
      <w:r>
        <w:rPr>
          <w:rFonts w:ascii="Amiri" w:hAnsi="Amiri" w:eastAsia="Amiri" w:cs="Amiri"/>
          <w:color w:val="111111"/>
          <w:sz w:val="28"/>
          <w:sz w:val="28"/>
          <w:szCs w:val="28"/>
          <w:rtl w:val="true"/>
          <w:lang w:bidi="ar-SA"/>
        </w:rPr>
        <w:t xml:space="preserve">الاشتغال وبقائه ، والأصل يقضي ببقائه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عن نوع مصادرة لو أريد استصحاب التكليف بنفس الواقع المجهول ، وغير مفيد لو أريد استصحاب غيره ؛ إذ المفروض إتيانه بأحد المحتملين ، فانقطع الاستصحاب ، وإن أريد استصحاب الأمر المردّد بين الواقع وغيره ، فهو من فروع المسألة وسيجيء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فيما تقدّم في أوائل المبحث عدم جواز التعويل على الاستصحاب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يحتاج إلى رسم مقدّمة وهي أنّه لا شكّ في أنّ مورد الاستصحاب لا بدّ له من أن يكون هناك يقين سابق </w:t>
      </w:r>
      <w:r>
        <w:rPr>
          <w:rStyle w:val="FootnoteAnchor"/>
          <w:rtl w:val="true"/>
        </w:rPr>
        <w:footnoteReference w:id="1875"/>
      </w:r>
      <w:r>
        <w:rPr>
          <w:rFonts w:ascii="Amiri" w:hAnsi="Amiri" w:eastAsia="Amiri" w:cs="Amiri"/>
          <w:color w:val="111111"/>
          <w:sz w:val="28"/>
          <w:sz w:val="28"/>
          <w:szCs w:val="28"/>
          <w:rtl w:val="true"/>
          <w:lang w:bidi="ar-SA"/>
        </w:rPr>
        <w:t xml:space="preserve">، ثمّ شكّ لاحق له ، فمن حيث ثبوت المتيقّن في السابق بعد الشكّ يحكم </w:t>
      </w:r>
      <w:r>
        <w:rPr>
          <w:rStyle w:val="FootnoteAnchor"/>
          <w:rtl w:val="true"/>
        </w:rPr>
        <w:footnoteReference w:id="1876"/>
      </w:r>
      <w:r>
        <w:rPr>
          <w:rFonts w:ascii="Amiri" w:hAnsi="Amiri" w:eastAsia="Amiri" w:cs="Amiri"/>
          <w:color w:val="111111"/>
          <w:sz w:val="28"/>
          <w:sz w:val="28"/>
          <w:szCs w:val="28"/>
          <w:rtl w:val="true"/>
          <w:lang w:bidi="ar-SA"/>
        </w:rPr>
        <w:t xml:space="preserve">ببقائه ليترتّب عليه أحكامه ، فعلى هذا لا معنى للاستصحاب إلاّ ترتيب آثار المتيقّن على المشكوك حال الشكّ من حيث ثبوته في الزمن السابق ، فلو فرض انتفاء الشكّ في اللاحق ، فلا مجرى للاستصحاب إلاّ على وجه تقديري على تقدير ، كما أنّه لو فرض عدم ترتّب الأحكام المطلوبة على المشكوك ، فلا جدوى للاستصحاب </w:t>
      </w:r>
      <w:r>
        <w:rPr>
          <w:rStyle w:val="FootnoteAnchor"/>
          <w:rtl w:val="true"/>
        </w:rPr>
        <w:footnoteReference w:id="1877"/>
      </w:r>
      <w:r>
        <w:rPr>
          <w:rFonts w:ascii="Amiri" w:hAnsi="Amiri" w:eastAsia="Amiri" w:cs="Amiri"/>
          <w:color w:val="111111"/>
          <w:sz w:val="28"/>
          <w:sz w:val="28"/>
          <w:szCs w:val="28"/>
          <w:rtl w:val="true"/>
          <w:lang w:bidi="ar-SA"/>
        </w:rPr>
        <w:t>بل لا يعقل له معنى ؛ إذ المتيقّن بحسب الواقع مشكوك ، فلا معنى للحكم ببقائه وعدم نقضه إلاّ الأخذ بأحكامه ، فعند عدم ترتّب الأحكام عليه يبقى الاستصحاب بلا محصّل كما لا يخفى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قد تقرّر هذه </w:t>
      </w:r>
      <w:r>
        <w:rPr>
          <w:rStyle w:val="FootnoteAnchor"/>
          <w:rtl w:val="true"/>
        </w:rPr>
        <w:footnoteReference w:id="1878"/>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w:t>
      </w:r>
      <w:r>
        <w:rPr>
          <w:rStyle w:val="FootnoteAnchor"/>
          <w:rtl w:val="true"/>
        </w:rPr>
        <w:footnoteReference w:id="1879"/>
      </w:r>
      <w:r>
        <w:rPr>
          <w:rFonts w:ascii="Amiri" w:hAnsi="Amiri" w:eastAsia="Amiri" w:cs="Amiri"/>
          <w:color w:val="111111"/>
          <w:sz w:val="28"/>
          <w:sz w:val="28"/>
          <w:szCs w:val="28"/>
          <w:rtl w:val="true"/>
          <w:lang w:bidi="ar-SA"/>
        </w:rPr>
        <w:t xml:space="preserve">بإتيان الفرد المحتمل هو العقل إذ بعد العلم بالتكليف ، فهو حامل على الامتثال وهو موجود في الأثناء ، فالمكلّف بملاحظة حكم </w:t>
      </w:r>
    </w:p>
    <w:p>
      <w:pPr>
        <w:pStyle w:val="BookText"/>
        <w:rPr/>
      </w:pPr>
      <w:r>
        <w:rPr>
          <w:rFonts w:ascii="Amiri" w:hAnsi="Amiri" w:eastAsia="Amiri" w:cs="Amiri"/>
          <w:color w:val="111111"/>
          <w:sz w:val="28"/>
          <w:sz w:val="28"/>
          <w:szCs w:val="28"/>
          <w:rtl w:val="true"/>
          <w:lang w:bidi="ar-SA"/>
        </w:rPr>
        <w:t>العقل كأنّه بمسمع من المولى وهو يأمره بإتيان الواقع والمفروض عدم حصول العلم بالامتثال ، مع أنّ المطلوب منه هو الامتثال ، فلا مناص من الاحتياط ؛ إذ مجرّد الشكّ في الامتثال يكفي في استقلال العقل في الحكم بالامتثال ، ولا حاجة إلى ملاحظة ثبوته في الزمن السابق ، ولو فرض عدم حكم العقل بلزوم الامتثال ، فلا جدوى في الاستصحاب بل لا معنى له كما عرفت ؛ إذ غاية الأمر عند الشكّ في البراءة يحكم ببقاء الاشتغال بالواقع ، وحيث إنّ المفروض عدم حكم العقل بلزوم الامتثال لا يترتّب على بقاء الاشتغال إتيان المحتمل الآخر إلاّ على تقدير أن يكون الأصل مثبتا لكون الباقي هو الواقع ، فيجب امتثاله كما عند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مجرّد كون الأصل مثبتا إنّما يجدي فيما إذا اتّحدت الجهة الباقية مثلا ، وإذا تعدّدت المحتملات ، فالأصل على تقدير الإثبات يقضي بأنّ الواقع بين الجهات الباقية ، ولا يجب الامتثال والاحتياط إلاّ على تقدير حكم العقل بلزوم الاحتياط ، والمفروض عدم استقلال </w:t>
      </w:r>
      <w:r>
        <w:rPr>
          <w:rStyle w:val="FootnoteAnchor"/>
          <w:rtl w:val="true"/>
        </w:rPr>
        <w:footnoteReference w:id="1880"/>
      </w:r>
      <w:r>
        <w:rPr>
          <w:rFonts w:ascii="Amiri" w:hAnsi="Amiri" w:eastAsia="Amiri" w:cs="Amiri"/>
          <w:color w:val="111111"/>
          <w:sz w:val="28"/>
          <w:sz w:val="28"/>
          <w:szCs w:val="28"/>
          <w:rtl w:val="true"/>
          <w:lang w:bidi="ar-SA"/>
        </w:rPr>
        <w:t>العقل به ، فلا يترتّب الإتيان بالمحتملات أيضا على الاستصحاب وإن كان المثبت منه أيضا معوّلا عليه كما يراه بعض من لا تحقيق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في المقام بأخبار الاحتياط عموما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w:t>
      </w:r>
      <w:r>
        <w:rPr>
          <w:rStyle w:val="FootnoteAnchor"/>
          <w:rtl w:val="true"/>
        </w:rPr>
        <w:footnoteReference w:id="1883"/>
      </w:r>
      <w:r>
        <w:rPr>
          <w:rFonts w:ascii="Amiri" w:hAnsi="Amiri" w:eastAsia="Amiri" w:cs="Amiri"/>
          <w:color w:val="111111"/>
          <w:sz w:val="28"/>
          <w:sz w:val="28"/>
          <w:szCs w:val="28"/>
          <w:rtl w:val="true"/>
          <w:lang w:bidi="ar-SA"/>
        </w:rPr>
        <w:t>فيما سبق في المقامات السابقة عدم صحّة الاستناد إليها ؛ لضعف سندها وعدم الاعتداد بدلالتها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يصحّ التأييد بها وخصوصا مثل ما رواه الشيخ عن عليّ بن سندي ، عن صفوان ،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رجلين أصابا صيدا وهما محرمان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بينهما ، أو على كلّ واحد منهما جزاء؟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عليهما </w:t>
      </w:r>
    </w:p>
    <w:p>
      <w:pPr>
        <w:pStyle w:val="BookText"/>
        <w:rPr/>
      </w:pPr>
      <w:r>
        <w:rPr>
          <w:rFonts w:ascii="Amiri" w:hAnsi="Amiri" w:eastAsia="Amiri" w:cs="Amiri"/>
          <w:color w:val="111111"/>
          <w:sz w:val="28"/>
          <w:sz w:val="28"/>
          <w:szCs w:val="28"/>
          <w:rtl w:val="true"/>
          <w:lang w:bidi="ar-SA"/>
        </w:rPr>
        <w:t xml:space="preserve">جميعا ويجزي كلّ واحد منهما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 فلم أدر ما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أصبتم مثل ذلك </w:t>
      </w:r>
      <w:r>
        <w:rPr>
          <w:rStyle w:val="FootnoteAnchor"/>
          <w:rtl w:val="true"/>
        </w:rPr>
        <w:footnoteReference w:id="1884"/>
      </w:r>
      <w:r>
        <w:rPr>
          <w:rFonts w:ascii="Amiri" w:hAnsi="Amiri" w:eastAsia="Amiri" w:cs="Amiri"/>
          <w:color w:val="111111"/>
          <w:sz w:val="28"/>
          <w:sz w:val="28"/>
          <w:szCs w:val="28"/>
          <w:rtl w:val="true"/>
          <w:lang w:bidi="ar-SA"/>
        </w:rPr>
        <w:t xml:space="preserve">فلم تدروا ، فعليكم بالاحتياط حتّى تسألوا وتعلموا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ظاهر بعد ظهور أنّ المقام من الشكّ في المكلّف به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بالاحتياط إنّما هو بواسطة إمكان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وتحصيل العلم ، فيدلّ على عدم جواز العمل بالأصل قبل الفحص ، ولا دلالة فيه على لزوم الاحتياط فيما لم يكن هناك رجاء حصول العلم كما في أمثال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الأمر بالاحتياط يحتمل رجوعه إلى الفتوى بغير علم كما لا يخفى ، فيكون مفاده مفاد سائر الأخبار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رواه في الصحيح عبد الرحمن بن الحجّاج ، عن أبي إبراهيم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يتزوّج المرأة في عدّتها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ممّن لا تحلّ له أبدا؟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أمّا إذا كان بجهالة ، فليتزوّجها بعد ما تنقضي عدّتها ، وقد يعذر الناس في الجهالة بما هو أعظم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الجهالتين أعذر </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بجهالته أن يعلم أنّ ذلك محرّم عليه ، أم بجهالته أنّها في عدّة؟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الجهالتين أهون من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بأنّ اللّه حرّم عليه ذلك ، وذلك لأنّه </w:t>
      </w:r>
      <w:r>
        <w:rPr>
          <w:rStyle w:val="FootnoteAnchor"/>
          <w:rtl w:val="true"/>
        </w:rPr>
        <w:footnoteReference w:id="1888"/>
      </w:r>
      <w:r>
        <w:rPr>
          <w:rFonts w:ascii="Amiri" w:hAnsi="Amiri" w:eastAsia="Amiri" w:cs="Amiri"/>
          <w:color w:val="111111"/>
          <w:sz w:val="28"/>
          <w:sz w:val="28"/>
          <w:szCs w:val="28"/>
          <w:rtl w:val="true"/>
          <w:lang w:bidi="ar-SA"/>
        </w:rPr>
        <w:t xml:space="preserve">لا يقدر على الاحتياط معها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الأخرى معذور؟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انقضت عدّتها ، فهو معذور في أن يتزوّجها </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32" w:name="pg16273_211880"/>
    </w:p>
    <w:p>
      <w:pPr>
        <w:pStyle w:val="BookText"/>
        <w:rPr/>
      </w:pPr>
      <w:bookmarkEnd w:id="232"/>
      <w:r>
        <w:rPr>
          <w:rFonts w:ascii="Amiri" w:hAnsi="Amiri" w:eastAsia="Amiri" w:cs="Amiri"/>
          <w:color w:val="111111"/>
          <w:sz w:val="28"/>
          <w:sz w:val="28"/>
          <w:szCs w:val="28"/>
          <w:rtl w:val="true"/>
          <w:lang w:bidi="ar-SA"/>
        </w:rPr>
        <w:t>والتقريب أنّ المفهوم من الرواية لزوم الاحتياط فيما يمكن الاحتياط كما في الجهل بأنّها في العدّة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ذيل الرواية دليل على عدم وجوب الاحتياط كما يشعر </w:t>
      </w:r>
      <w:r>
        <w:rPr>
          <w:rStyle w:val="FootnoteAnchor"/>
          <w:rtl w:val="true"/>
        </w:rPr>
        <w:footnoteReference w:id="1890"/>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وحسن الاحتياط ممّا لا يحتاج إلى بيّنة كما لا يخفى</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803620_1280447820"/>
      <w:bookmarkStart w:id="234" w:name="_Toc82"/>
      <w:bookmarkEnd w:id="233"/>
      <w:r>
        <w:rPr>
          <w:rtl w:val="true"/>
        </w:rPr>
        <w:t xml:space="preserve">تنبيه </w:t>
      </w:r>
      <w:r>
        <w:rPr>
          <w:rtl w:val="true"/>
        </w:rPr>
        <w:t>:</w:t>
      </w:r>
      <w:bookmarkEnd w:id="234"/>
    </w:p>
    <w:p>
      <w:pPr>
        <w:pStyle w:val="BookText"/>
        <w:rPr/>
      </w:pPr>
      <w:r>
        <w:rPr>
          <w:rFonts w:ascii="Amiri" w:hAnsi="Amiri" w:eastAsia="Amiri" w:cs="Amiri"/>
          <w:color w:val="111111"/>
          <w:sz w:val="28"/>
          <w:sz w:val="28"/>
          <w:szCs w:val="28"/>
          <w:rtl w:val="true"/>
          <w:lang w:bidi="ar-SA"/>
        </w:rPr>
        <w:t xml:space="preserve">العلم الإجمالي يتصوّر على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العلم الإجمالي في أمرين يجمعهما تكليف تفصيلي وعنوان غير انتزاعي كأن يكون الواجب شيئا </w:t>
      </w:r>
      <w:r>
        <w:rPr>
          <w:rStyle w:val="FootnoteAnchor"/>
          <w:rtl w:val="true"/>
        </w:rPr>
        <w:footnoteReference w:id="1891"/>
      </w:r>
      <w:r>
        <w:rPr>
          <w:rFonts w:ascii="Amiri" w:hAnsi="Amiri" w:eastAsia="Amiri" w:cs="Amiri"/>
          <w:color w:val="111111"/>
          <w:sz w:val="28"/>
          <w:sz w:val="28"/>
          <w:szCs w:val="28"/>
          <w:rtl w:val="true"/>
          <w:lang w:bidi="ar-SA"/>
        </w:rPr>
        <w:t xml:space="preserve">يمكن أن يتحلّى بأطوار </w:t>
      </w:r>
      <w:r>
        <w:rPr>
          <w:rStyle w:val="FootnoteAnchor"/>
          <w:rtl w:val="true"/>
        </w:rPr>
        <w:footnoteReference w:id="1892"/>
      </w:r>
      <w:r>
        <w:rPr>
          <w:rFonts w:ascii="Amiri" w:hAnsi="Amiri" w:eastAsia="Amiri" w:cs="Amiri"/>
          <w:color w:val="111111"/>
          <w:sz w:val="28"/>
          <w:sz w:val="28"/>
          <w:szCs w:val="28"/>
          <w:rtl w:val="true"/>
          <w:lang w:bidi="ar-SA"/>
        </w:rPr>
        <w:t xml:space="preserve">مختلفة على وجه يقع كلّ واحد منها بدلا عن الآخر كالجهر والإخفات والظهر والجمعة والقصر والإتمام ، فإنّ المكلّف بعد علمه تفصيلا بوجوب </w:t>
      </w:r>
      <w:r>
        <w:rPr>
          <w:rStyle w:val="FootnoteAnchor"/>
          <w:rtl w:val="true"/>
        </w:rPr>
        <w:footnoteReference w:id="1893"/>
      </w:r>
      <w:r>
        <w:rPr>
          <w:rFonts w:ascii="Amiri" w:hAnsi="Amiri" w:eastAsia="Amiri" w:cs="Amiri"/>
          <w:color w:val="111111"/>
          <w:sz w:val="28"/>
          <w:sz w:val="28"/>
          <w:szCs w:val="28"/>
          <w:rtl w:val="true"/>
          <w:lang w:bidi="ar-SA"/>
        </w:rPr>
        <w:t xml:space="preserve">الصلاة يشكّ كذلك في كلّ من الخصوصيتين </w:t>
      </w:r>
      <w:r>
        <w:rPr>
          <w:rStyle w:val="FootnoteAnchor"/>
          <w:rtl w:val="true"/>
        </w:rPr>
        <w:footnoteReference w:id="1894"/>
      </w:r>
      <w:r>
        <w:rPr>
          <w:rFonts w:ascii="Amiri" w:hAnsi="Amiri" w:eastAsia="Amiri" w:cs="Amiri"/>
          <w:color w:val="111111"/>
          <w:sz w:val="28"/>
          <w:sz w:val="28"/>
          <w:szCs w:val="28"/>
          <w:rtl w:val="true"/>
          <w:lang w:bidi="ar-SA"/>
        </w:rPr>
        <w:t xml:space="preserve">مع العلم الإجمالي باعتبار واحدة منهما </w:t>
      </w:r>
      <w:r>
        <w:rPr>
          <w:rStyle w:val="FootnoteAnchor"/>
          <w:rtl w:val="true"/>
        </w:rPr>
        <w:footnoteReference w:id="1895"/>
      </w:r>
      <w:r>
        <w:rPr>
          <w:rFonts w:ascii="Amiri" w:hAnsi="Amiri" w:eastAsia="Amiri" w:cs="Amiri"/>
          <w:color w:val="111111"/>
          <w:sz w:val="28"/>
          <w:sz w:val="28"/>
          <w:szCs w:val="28"/>
          <w:rtl w:val="true"/>
          <w:lang w:bidi="ar-SA"/>
        </w:rPr>
        <w:t xml:space="preserve">، فمصبّ العلم الإجمالي والشكّ نفس الخصوصيات ؛ إذ المكلّف شكّه في أنّ التكليف بالصلاة المعلومة تفصيلا هل يجب امتثاله في ضمن الظهر ، أو الجمعة ، فيشكّ في الأفراد مع العلم بأحدها إجمالا ، ونظير ذلك الأخبار المشتملة على القدر الجامع على وجه لو تكثّرت ، لتواترت </w:t>
      </w:r>
      <w:r>
        <w:rPr>
          <w:rStyle w:val="FootnoteAnchor"/>
          <w:rtl w:val="true"/>
        </w:rPr>
        <w:footnoteReference w:id="1896"/>
      </w:r>
      <w:r>
        <w:rPr>
          <w:rFonts w:ascii="Amiri" w:hAnsi="Amiri" w:eastAsia="Amiri" w:cs="Amiri"/>
          <w:color w:val="111111"/>
          <w:sz w:val="28"/>
          <w:sz w:val="28"/>
          <w:szCs w:val="28"/>
          <w:rtl w:val="true"/>
          <w:lang w:bidi="ar-SA"/>
        </w:rPr>
        <w:t xml:space="preserve">كما لا يخفى ؛ فإنّ من طرح الخصوصيتين </w:t>
      </w:r>
      <w:r>
        <w:rPr>
          <w:rStyle w:val="FootnoteAnchor"/>
          <w:rtl w:val="true"/>
        </w:rPr>
        <w:footnoteReference w:id="1897"/>
      </w:r>
      <w:r>
        <w:rPr>
          <w:rFonts w:ascii="Amiri" w:hAnsi="Amiri" w:eastAsia="Amiri" w:cs="Amiri"/>
          <w:color w:val="111111"/>
          <w:sz w:val="28"/>
          <w:sz w:val="28"/>
          <w:szCs w:val="28"/>
          <w:rtl w:val="true"/>
          <w:lang w:bidi="ar-SA"/>
        </w:rPr>
        <w:t xml:space="preserve">، يلزم طرح حكم شرعي تفصيلي غير انتزاعي وهو التكليف بالصلاة المعلوم </w:t>
      </w:r>
      <w:r>
        <w:rPr>
          <w:rStyle w:val="FootnoteAnchor"/>
          <w:rtl w:val="true"/>
        </w:rPr>
        <w:footnoteReference w:id="1898"/>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العلم الإجمالي بين أمرين كذلك بل يكون على وجه لو </w:t>
      </w:r>
    </w:p>
    <w:p>
      <w:pPr>
        <w:pStyle w:val="BookText"/>
        <w:rPr/>
      </w:pPr>
      <w:r>
        <w:rPr>
          <w:rFonts w:ascii="Amiri" w:hAnsi="Amiri" w:eastAsia="Amiri" w:cs="Amiri"/>
          <w:color w:val="111111"/>
          <w:sz w:val="28"/>
          <w:sz w:val="28"/>
          <w:szCs w:val="28"/>
          <w:rtl w:val="true"/>
          <w:lang w:bidi="ar-SA"/>
        </w:rPr>
        <w:t>طرحنا الخصوصيات ، لا يلزم منه طرح أمر معلوم شرعا تفصيلا ، غاية ما يلزم فيه طرح خطاب انتزاعي وهو الخطاب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إجمالا إمّا </w:t>
      </w:r>
      <w:r>
        <w:rPr>
          <w:rStyle w:val="FootnoteAnchor"/>
          <w:rtl w:val="true"/>
        </w:rPr>
        <w:footnoteReference w:id="1899"/>
      </w:r>
      <w:r>
        <w:rPr>
          <w:rFonts w:ascii="Amiri" w:hAnsi="Amiri" w:eastAsia="Amiri" w:cs="Amiri"/>
          <w:color w:val="111111"/>
          <w:sz w:val="28"/>
          <w:sz w:val="28"/>
          <w:szCs w:val="28"/>
          <w:rtl w:val="true"/>
          <w:lang w:bidi="ar-SA"/>
        </w:rPr>
        <w:t xml:space="preserve">بوجوب الدعاء عند رؤية الهلال ، أو بوجوب الجمرة </w:t>
      </w:r>
      <w:r>
        <w:rPr>
          <w:rStyle w:val="FootnoteAnchor"/>
          <w:rtl w:val="true"/>
        </w:rPr>
        <w:footnoteReference w:id="1900"/>
      </w:r>
      <w:r>
        <w:rPr>
          <w:rFonts w:ascii="Amiri" w:hAnsi="Amiri" w:eastAsia="Amiri" w:cs="Amiri"/>
          <w:color w:val="111111"/>
          <w:sz w:val="28"/>
          <w:sz w:val="28"/>
          <w:szCs w:val="28"/>
          <w:rtl w:val="true"/>
          <w:lang w:bidi="ar-SA"/>
        </w:rPr>
        <w:t xml:space="preserve">في الحجّ ، أو بوجوب المضاجعة مثلا ، فإنّ من طرح الخصوصيات ، لا يلزم طرح خطاب شرعي إلاّ ما ينزعه العقل من وجوب أحدها ، فمصبّ العلم الإجمالي هو تمام الخصوصية والطبيعة ، ونظيره الأخبار التي لا تجتمع </w:t>
      </w:r>
      <w:r>
        <w:rPr>
          <w:rStyle w:val="FootnoteAnchor"/>
          <w:rtl w:val="true"/>
        </w:rPr>
        <w:footnoteReference w:id="1901"/>
      </w:r>
      <w:r>
        <w:rPr>
          <w:rFonts w:ascii="Amiri" w:hAnsi="Amiri" w:eastAsia="Amiri" w:cs="Amiri"/>
          <w:color w:val="111111"/>
          <w:sz w:val="28"/>
          <w:sz w:val="28"/>
          <w:szCs w:val="28"/>
          <w:rtl w:val="true"/>
          <w:lang w:bidi="ar-SA"/>
        </w:rPr>
        <w:t>في مضمون على وجه لو تعدّدت لتواترت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الإجمالي حاصلا بين وجوب شيء وحرمة الآخر كما إذا علم إجمالا بوجوب غسل الجمعة ، أو حرمة الاستقبال عند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إمّا أن </w:t>
      </w:r>
      <w:r>
        <w:rPr>
          <w:rStyle w:val="FootnoteAnchor"/>
          <w:rtl w:val="true"/>
        </w:rPr>
        <w:footnoteReference w:id="1902"/>
      </w:r>
      <w:r>
        <w:rPr>
          <w:rFonts w:ascii="Amiri" w:hAnsi="Amiri" w:eastAsia="Amiri" w:cs="Amiri"/>
          <w:color w:val="111111"/>
          <w:sz w:val="28"/>
          <w:sz w:val="28"/>
          <w:szCs w:val="28"/>
          <w:rtl w:val="true"/>
          <w:lang w:bidi="ar-SA"/>
        </w:rPr>
        <w:t xml:space="preserve">يعلم جنس الخطاب ، أو لا يعلم ، فلا يدري أنّ تكليفه هل هو الأمر ، أو النهي؟ وعلى التقديرين ، فإمّا أن </w:t>
      </w:r>
      <w:r>
        <w:rPr>
          <w:rStyle w:val="FootnoteAnchor"/>
          <w:rtl w:val="true"/>
        </w:rPr>
        <w:footnoteReference w:id="1903"/>
      </w:r>
      <w:r>
        <w:rPr>
          <w:rFonts w:ascii="Amiri" w:hAnsi="Amiri" w:eastAsia="Amiri" w:cs="Amiri"/>
          <w:color w:val="111111"/>
          <w:sz w:val="28"/>
          <w:sz w:val="28"/>
          <w:szCs w:val="28"/>
          <w:rtl w:val="true"/>
          <w:lang w:bidi="ar-SA"/>
        </w:rPr>
        <w:t>يعلم بأمرين يجمعهما خطاب تفصيلي ، أو لا يعلم بهما بل علمه الإجمالي دائر بين أمرين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لزوم امتثاله في الصورة التي يجمعهما عنوان تفصيلي كما يحكم به العقل السليم الخالي عن شوائب الوهم </w:t>
      </w:r>
      <w:r>
        <w:rPr>
          <w:rStyle w:val="FootnoteAnchor"/>
          <w:rtl w:val="true"/>
        </w:rPr>
        <w:footnoteReference w:id="1904"/>
      </w:r>
      <w:r>
        <w:rPr>
          <w:rFonts w:ascii="Amiri" w:hAnsi="Amiri" w:eastAsia="Amiri" w:cs="Amiri"/>
          <w:color w:val="111111"/>
          <w:sz w:val="28"/>
          <w:sz w:val="28"/>
          <w:szCs w:val="28"/>
          <w:rtl w:val="true"/>
          <w:lang w:bidi="ar-SA"/>
        </w:rPr>
        <w:t>على ما عرفت فيما تقدّم بصدق العصيان الموجب إلى وصول النيران أعاذنا اللّه منها وجميع الإخوان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غيرها من الصور ، ففي جواز المخالفة القطعية مطلقا نظرا إلى أنّ المردّد بين الحجّ والمضاجعة مثلا ، أو بين الدعاء عند الرؤية والجمرة لم يقع في تلو الخطابات الشرعية ، فلا يلزم من مخالفة العلم الإجمالي في المقام مخالفة خطاب تفصيلي حتّى يلزم العقاب والمعصية فإنّ العلم الإجمالي حصل بينهما اتّفاقا ، فكلّ من الخصوصيتين مشكوك صرفا ، فيجري فيها البراءة ؛ أو عدم جوازه كذلك نظرا إلى عدم الفرق بين </w:t>
      </w:r>
    </w:p>
    <w:p>
      <w:pPr>
        <w:pStyle w:val="BookText"/>
        <w:rPr/>
      </w:pPr>
      <w:r>
        <w:rPr>
          <w:rFonts w:ascii="Amiri" w:hAnsi="Amiri" w:eastAsia="Amiri" w:cs="Amiri"/>
          <w:color w:val="111111"/>
          <w:sz w:val="28"/>
          <w:sz w:val="28"/>
          <w:szCs w:val="28"/>
          <w:rtl w:val="true"/>
          <w:lang w:bidi="ar-SA"/>
        </w:rPr>
        <w:t xml:space="preserve">الصورتين إلاّ فيما لا يجدي في صدق المخالفة والمعصية ؛ إذ من المعلوم إجمالا تعلّق التكليف بأحدهما جزما ، وكون العلم الإجمالي دائرا بين أمرين يجمعهما عنوان تفصيلي ، أو دائرا بين أمرين ليس كذلك ممّا لا دخل له في المقام أبدا ، حيث إنّ الكلام هو أنّ المكلّف لا يعلم أنّ الخطاب المتوجّه إليه في يوم الجمعة هل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فرض أنّهما فردان من كلّي الصلاة ، فقد يتخيّل أنّ القدر المشترك فيهما معلوم تفصيلا ، وإلاّ ففي الحقيقة قد يمكن منع تحقّق الفرق بينهما ، وعلى تقديره أيضا فقد عرفت أنّ العقل لا يفرق بينهما بعد صدق المخالفة ، أو يفصل بين ما كان جنس </w:t>
      </w:r>
      <w:r>
        <w:rPr>
          <w:rStyle w:val="FootnoteAnchor"/>
          <w:rtl w:val="true"/>
        </w:rPr>
        <w:footnoteReference w:id="1905"/>
      </w:r>
      <w:r>
        <w:rPr>
          <w:rFonts w:ascii="Amiri" w:hAnsi="Amiri" w:eastAsia="Amiri" w:cs="Amiri"/>
          <w:color w:val="111111"/>
          <w:sz w:val="28"/>
          <w:sz w:val="28"/>
          <w:szCs w:val="28"/>
          <w:rtl w:val="true"/>
          <w:lang w:bidi="ar-SA"/>
        </w:rPr>
        <w:t xml:space="preserve">التكليف معلوما فيحكم بعدم جواز المخالفة القطعية ، وبين ما لم يكن جنس </w:t>
      </w:r>
      <w:r>
        <w:rPr>
          <w:rStyle w:val="FootnoteAnchor"/>
          <w:rtl w:val="true"/>
        </w:rPr>
        <w:footnoteReference w:id="1906"/>
      </w:r>
      <w:r>
        <w:rPr>
          <w:rFonts w:ascii="Amiri" w:hAnsi="Amiri" w:eastAsia="Amiri" w:cs="Amiri"/>
          <w:color w:val="111111"/>
          <w:sz w:val="28"/>
          <w:sz w:val="28"/>
          <w:szCs w:val="28"/>
          <w:rtl w:val="true"/>
          <w:lang w:bidi="ar-SA"/>
        </w:rPr>
        <w:t xml:space="preserve">التكليف كما إذا علم إجمالا بوجوب شيء ، أو حرمة شيء آخر ، فيحكم بالجواز نظرا إلى عدم معلومية الخطاب جنسا وشخصا ، فيعمل بالبراءة مثلا ، أو يفصل بين ما إذا كان مريدا للمخالفة ابتداء وبين ما إذا اتّفق فعل أحدهما ، ثمّ بدا له فعل الآخر نظرا إلى عدم القصد </w:t>
      </w:r>
      <w:r>
        <w:rPr>
          <w:rStyle w:val="FootnoteAnchor"/>
          <w:rtl w:val="true"/>
        </w:rPr>
        <w:footnoteReference w:id="1907"/>
      </w:r>
      <w:r>
        <w:rPr>
          <w:rFonts w:ascii="Amiri" w:hAnsi="Amiri" w:eastAsia="Amiri" w:cs="Amiri"/>
          <w:color w:val="111111"/>
          <w:sz w:val="28"/>
          <w:sz w:val="28"/>
          <w:szCs w:val="28"/>
          <w:rtl w:val="true"/>
          <w:lang w:bidi="ar-SA"/>
        </w:rPr>
        <w:t xml:space="preserve">في الثاني بخلاف الأوّل؟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في فلك المعالي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لم نجد منه الحكم بعدم جواز المخالفة القطعية في المردّد بين أمرين لا يجمعهما الخطاب التفصيلي كما في الشبهة الغير المحصورة ، لا يحكم العقل بلزوم الاجتناب لبعد الأطراف عن نظر العقل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الأصل السابق في الشبهة المحصورة في مقام الردّ على المحدّث البحراني عدم تفاوت حكم العقل بين المجتمع في الجنس الواحد والمختلف فيه في مقام الموافقة القطعية ، فكيف بجواز </w:t>
      </w:r>
      <w:r>
        <w:rPr>
          <w:rStyle w:val="FootnoteAnchor"/>
          <w:rtl w:val="true"/>
        </w:rPr>
        <w:footnoteReference w:id="1908"/>
      </w:r>
      <w:r>
        <w:rPr>
          <w:rFonts w:ascii="Amiri" w:hAnsi="Amiri" w:eastAsia="Amiri" w:cs="Amiri"/>
          <w:color w:val="111111"/>
          <w:sz w:val="28"/>
          <w:sz w:val="28"/>
          <w:szCs w:val="28"/>
          <w:rtl w:val="true"/>
          <w:lang w:bidi="ar-SA"/>
        </w:rPr>
        <w:t>المخالفة القطعية ، فمناط حكم العقل هو العلم بالمحبوبية والمبغوضية وهو حاصل في المقامين من غير فرق في ذلك ، فالتوقّف في أحدهما يلازم التوقّف في الآخر ، فتدبّر تكن على بصيرة من الأمر</w:t>
      </w:r>
      <w:r>
        <w:rPr>
          <w:rFonts w:eastAsia="Amiri" w:cs="Amiri" w:ascii="Amiri" w:hAnsi="Amiri"/>
          <w:color w:val="111111"/>
          <w:sz w:val="28"/>
          <w:szCs w:val="28"/>
          <w:rtl w:val="true"/>
          <w:lang w:bidi="ar-SA"/>
        </w:rPr>
        <w:t xml:space="preserve">. </w:t>
      </w:r>
      <w:bookmarkStart w:id="235" w:name="pg16273_211883"/>
    </w:p>
    <w:p>
      <w:pPr>
        <w:pStyle w:val="Heading3"/>
        <w:numPr>
          <w:ilvl w:val="2"/>
          <w:numId w:val="1"/>
        </w:numPr>
        <w:rPr/>
      </w:pPr>
      <w:bookmarkStart w:id="236" w:name="__RefHeading___Toc4803622_1280447820"/>
      <w:bookmarkStart w:id="237" w:name="_Toc83"/>
      <w:bookmarkEnd w:id="235"/>
      <w:bookmarkEnd w:id="236"/>
      <w:r>
        <w:rPr>
          <w:rtl w:val="true"/>
        </w:rPr>
        <w:t>أصل</w:t>
      </w:r>
      <w:bookmarkEnd w:id="23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الشبهة التحريمية الحكمية فيما شكّ في المكلّف به فيما دار الأمر بين المتباينين كما إذا علمنا بحرمة الغناء في الشريعة وشككنا في أنّ المراد منه هل </w:t>
      </w:r>
      <w:r>
        <w:rPr>
          <w:rStyle w:val="FootnoteAnchor"/>
          <w:rtl w:val="true"/>
        </w:rPr>
        <w:footnoteReference w:id="1909"/>
      </w:r>
      <w:r>
        <w:rPr>
          <w:rFonts w:ascii="Amiri" w:hAnsi="Amiri" w:eastAsia="Amiri" w:cs="Amiri"/>
          <w:color w:val="111111"/>
          <w:sz w:val="28"/>
          <w:sz w:val="28"/>
          <w:szCs w:val="28"/>
          <w:rtl w:val="true"/>
          <w:lang w:bidi="ar-SA"/>
        </w:rPr>
        <w:t xml:space="preserve">هو الصوت المطرب أو الصوت مع الترجيع؟ فلا شكّ في حرمة القدر </w:t>
      </w:r>
      <w:r>
        <w:rPr>
          <w:rStyle w:val="FootnoteAnchor"/>
          <w:rtl w:val="true"/>
        </w:rPr>
        <w:footnoteReference w:id="1910"/>
      </w:r>
      <w:r>
        <w:rPr>
          <w:rFonts w:ascii="Amiri" w:hAnsi="Amiri" w:eastAsia="Amiri" w:cs="Amiri"/>
          <w:color w:val="111111"/>
          <w:sz w:val="28"/>
          <w:sz w:val="28"/>
          <w:szCs w:val="28"/>
          <w:rtl w:val="true"/>
          <w:lang w:bidi="ar-SA"/>
        </w:rPr>
        <w:t xml:space="preserve">الجامع بينهما من مورد الاجتماع ، وأمّا في مورد الافتراق من الطرفين ، فنعلم </w:t>
      </w:r>
      <w:r>
        <w:rPr>
          <w:rStyle w:val="FootnoteAnchor"/>
          <w:rtl w:val="true"/>
        </w:rPr>
        <w:footnoteReference w:id="1911"/>
      </w:r>
      <w:r>
        <w:rPr>
          <w:rFonts w:ascii="Amiri" w:hAnsi="Amiri" w:eastAsia="Amiri" w:cs="Amiri"/>
          <w:color w:val="111111"/>
          <w:sz w:val="28"/>
          <w:sz w:val="28"/>
          <w:szCs w:val="28"/>
          <w:rtl w:val="true"/>
          <w:lang w:bidi="ar-SA"/>
        </w:rPr>
        <w:t xml:space="preserve">إجمالا بحرمة أحدهما ، ولا نعلم </w:t>
      </w:r>
      <w:r>
        <w:rPr>
          <w:rStyle w:val="FootnoteAnchor"/>
          <w:rtl w:val="true"/>
        </w:rPr>
        <w:footnoteReference w:id="1912"/>
      </w:r>
      <w:r>
        <w:rPr>
          <w:rFonts w:ascii="Amiri" w:hAnsi="Amiri" w:eastAsia="Amiri" w:cs="Amiri"/>
          <w:color w:val="111111"/>
          <w:sz w:val="28"/>
          <w:sz w:val="28"/>
          <w:szCs w:val="28"/>
          <w:rtl w:val="true"/>
          <w:lang w:bidi="ar-SA"/>
        </w:rPr>
        <w:t xml:space="preserve">أنّ الحرام أيّهما تفصيلا ، ولا فرق في ذلك بين الاشتباه الناشئ من إجمال النصّ أو فقده ، و </w:t>
      </w:r>
      <w:r>
        <w:rPr>
          <w:rStyle w:val="FootnoteAnchor"/>
          <w:rtl w:val="true"/>
        </w:rPr>
        <w:footnoteReference w:id="1913"/>
      </w:r>
      <w:r>
        <w:rPr>
          <w:rFonts w:ascii="Amiri" w:hAnsi="Amiri" w:eastAsia="Amiri" w:cs="Amiri"/>
          <w:color w:val="111111"/>
          <w:sz w:val="28"/>
          <w:sz w:val="28"/>
          <w:szCs w:val="28"/>
          <w:rtl w:val="true"/>
          <w:lang w:bidi="ar-SA"/>
        </w:rPr>
        <w:t>أمّا التعارض فستعرف الحكم فيه فيما سيجيء ، وكيف ما كان فالتحقيق في المقام هو لزوم الاحتياط عن كليهما كالأصل السابق في جانب العكس</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6273_211885"/>
      <w:bookmarkStart w:id="239" w:name="pg16273_211885"/>
      <w:bookmarkEnd w:id="239"/>
    </w:p>
    <w:p>
      <w:pPr>
        <w:pStyle w:val="Heading3"/>
        <w:numPr>
          <w:ilvl w:val="2"/>
          <w:numId w:val="1"/>
        </w:numPr>
        <w:rPr/>
      </w:pPr>
      <w:bookmarkStart w:id="240" w:name="pg16273_211885"/>
      <w:bookmarkStart w:id="241" w:name="__RefHeading___Toc4803624_1280447820"/>
      <w:bookmarkStart w:id="242" w:name="_Toc84"/>
      <w:bookmarkEnd w:id="240"/>
      <w:bookmarkEnd w:id="241"/>
      <w:r>
        <w:rPr>
          <w:rtl w:val="true"/>
        </w:rPr>
        <w:t>أصل</w:t>
      </w:r>
      <w:bookmarkEnd w:id="24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الشبهة الحكمية عند الشكّ في المكلّف به فيما دار الأمر بين المحذورين في المتباينين كما إذا علمنا بصدور أمر ونهي ولم نعلم أنّ الأمر تعلّق بإكرام زيد مثلا والنهي تعلّق بإهانة عمرو ، أو تعلّق النهي بالإكرام والأمر بالإهانة ، فهل يجب الأخذ بأحدهما ولو تخييرا ، أو العمل بالأصل فيهما ، وعلى الأوّل فهو مخيّر بدوا ، أو استمرارا وعلى الأوّل ، فهل يفتى بالتخيير ، أو بالمختار؟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تفصيل الكلام في نظير المقام في الشبهة التكليفية ، والمختار المختار ، والدليل الدليل ، والنقض النقض ، والجواب الجواب ، فلا نطيل بالإعادة</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6273_211887"/>
      <w:bookmarkStart w:id="244" w:name="pg16273_211887"/>
      <w:bookmarkEnd w:id="244"/>
    </w:p>
    <w:p>
      <w:pPr>
        <w:pStyle w:val="Heading3"/>
        <w:numPr>
          <w:ilvl w:val="2"/>
          <w:numId w:val="1"/>
        </w:numPr>
        <w:rPr/>
      </w:pPr>
      <w:bookmarkStart w:id="245" w:name="pg16273_211887"/>
      <w:bookmarkStart w:id="246" w:name="__RefHeading___Toc4803626_1280447820"/>
      <w:bookmarkStart w:id="247" w:name="_Toc85"/>
      <w:bookmarkEnd w:id="245"/>
      <w:bookmarkEnd w:id="246"/>
      <w:r>
        <w:rPr>
          <w:rtl w:val="true"/>
        </w:rPr>
        <w:t>أصل</w:t>
      </w:r>
      <w:bookmarkEnd w:id="247"/>
    </w:p>
    <w:p>
      <w:pPr>
        <w:pStyle w:val="Heading4"/>
        <w:numPr>
          <w:ilvl w:val="3"/>
          <w:numId w:val="1"/>
        </w:numPr>
        <w:rPr/>
      </w:pPr>
      <w:bookmarkStart w:id="248" w:name="__RefHeading___Toc4803628_1280447820"/>
      <w:bookmarkStart w:id="249" w:name="_Toc8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في الشبهة الوجوبية الحكمية عند الشكّ في المكلّف به فيما دار الأمر بين الأقلّ والأكثر الارتباطيين ، المراد بالأقلّ والأكثر الارتباطيين والمراد بالأقلّ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الأقلّ مجزيا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بل المراد به هو ما كان الأمر دائرا بين واجبين نفسيين أحدهما الأقلّ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نزح الماء في منزوحات البئر ارتباطي مع أنّه يجزي الأقلّ بقدره بمعنى </w:t>
      </w:r>
      <w:r>
        <w:rPr>
          <w:rStyle w:val="FootnoteAnchor"/>
          <w:rtl w:val="true"/>
        </w:rPr>
        <w:footnoteReference w:id="1914"/>
      </w:r>
      <w:r>
        <w:rPr>
          <w:rFonts w:ascii="Amiri" w:hAnsi="Amiri" w:eastAsia="Amiri" w:cs="Amiri"/>
          <w:color w:val="111111"/>
          <w:sz w:val="28"/>
          <w:sz w:val="28"/>
          <w:szCs w:val="28"/>
          <w:rtl w:val="true"/>
          <w:lang w:bidi="ar-SA"/>
        </w:rPr>
        <w:t xml:space="preserve">أنّه عند الاحتياط لا يجب إعادة العمل رأسا مثال ذلك الصلاة فيما لو شكّ في أنّ الواجب النفسي منها هو الصلاة بلا سورة مثلا ، أو مع السورة فعلى تقدير الأقلّ فالصلاة واجبة نفسية أيضا ، وكيف ما كان فالمشهور في المقام بين الفقهاء العظام البراءة ، فمن المتقدّمين الصدوق </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عند الفتوى بجواز القنوت بالفارسية كما نبّهنا عليه </w:t>
      </w:r>
      <w:r>
        <w:rPr>
          <w:rStyle w:val="FootnoteAnchor"/>
          <w:rtl w:val="true"/>
        </w:rPr>
        <w:footnoteReference w:id="1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والعلاّمة </w:t>
      </w:r>
      <w:r>
        <w:rPr>
          <w:rStyle w:val="FootnoteAnchor"/>
          <w:rtl w:val="true"/>
        </w:rPr>
        <w:footnoteReference w:id="1917"/>
      </w:r>
      <w:r>
        <w:rPr>
          <w:rFonts w:ascii="Amiri" w:hAnsi="Amiri" w:eastAsia="Amiri" w:cs="Amiri"/>
          <w:color w:val="111111"/>
          <w:sz w:val="28"/>
          <w:sz w:val="28"/>
          <w:szCs w:val="28"/>
          <w:rtl w:val="true"/>
          <w:lang w:bidi="ar-SA"/>
        </w:rPr>
        <w:t xml:space="preserve">من المتأخّرين ، وقد اضطرب كلام الشهيد في الذكرى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ويمكن وجوب غسل اليد الزائدة مطلقا كما هو ظاهر الشرائع والمختلف للعموم ، وأن يغسل من الزائدة ما حاذى مرفق الأصلية إلى آخرها ، تنزيلا له منزلة ما خلق تحت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بتبعيته لأصله هو في غير محلّ الفرض</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الوضوء حيث أفتى بالبراءة فيما لو نبت لحم زائد تحت المرفق ،</w:t>
      </w:r>
    </w:p>
    <w:p>
      <w:pPr>
        <w:pStyle w:val="BookText"/>
        <w:rPr/>
      </w:pPr>
      <w:r>
        <w:rPr>
          <w:rFonts w:ascii="Amiri" w:hAnsi="Amiri" w:eastAsia="Amiri" w:cs="Amiri"/>
          <w:color w:val="111111"/>
          <w:sz w:val="28"/>
          <w:sz w:val="28"/>
          <w:szCs w:val="28"/>
          <w:rtl w:val="true"/>
          <w:lang w:bidi="ar-SA"/>
        </w:rPr>
        <w:t xml:space="preserve">وبالاحتياط فيما لو نبت فوق المرفق ، وذهب جماعة إلى لزوم الاحتياط كالسيّد علم الهدى </w:t>
      </w:r>
      <w:r>
        <w:rPr>
          <w:rStyle w:val="FootnoteAnchor"/>
          <w:rtl w:val="true"/>
        </w:rPr>
        <w:footnoteReference w:id="1919"/>
      </w:r>
      <w:r>
        <w:rPr>
          <w:rFonts w:ascii="Amiri" w:hAnsi="Amiri" w:eastAsia="Amiri" w:cs="Amiri"/>
          <w:color w:val="111111"/>
          <w:sz w:val="28"/>
          <w:sz w:val="28"/>
          <w:szCs w:val="28"/>
          <w:rtl w:val="true"/>
          <w:lang w:bidi="ar-SA"/>
        </w:rPr>
        <w:t xml:space="preserve">، وأوّل من نشر الاحتياط بين المتأخّرين من أصحابنا هو المحقّق السبزواري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يقال بالفرق والتفصيل بين الأجزاء والشرائط ، فبالاحتياط في الثاني ، وبالبراءة في الأوّل وإن لم نجد قائلا بهذا إلاّ أنّه للأصولي أن يحتمل ذلك لما ستعرف عند الخوض في الأدلّة نظرا إلى أنّ الشكّ في الجزء ربّما يصير مرجعه إلى المتباينين بخلاف الشرط</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التفصيل هذا ربما </w:t>
      </w:r>
      <w:r>
        <w:rPr>
          <w:rStyle w:val="FootnoteAnchor"/>
          <w:rtl w:val="true"/>
        </w:rPr>
        <w:footnoteReference w:id="1921"/>
      </w:r>
      <w:r>
        <w:rPr>
          <w:rFonts w:ascii="Amiri" w:hAnsi="Amiri" w:eastAsia="Amiri" w:cs="Amiri"/>
          <w:color w:val="111111"/>
          <w:sz w:val="28"/>
          <w:sz w:val="28"/>
          <w:szCs w:val="28"/>
          <w:rtl w:val="true"/>
          <w:lang w:bidi="ar-SA"/>
        </w:rPr>
        <w:t xml:space="preserve">يخالف التفصيل في الصحيح والأعمّ حيث إنّ الجزء أقرب إلى اعتباره في معنى اللفظ بخلاف الشرط ، ولا فرق في ذلك بين أن يكون الشبهة ناشئة من فقد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 الإجماع مثلا على وجوب شيء في الجملة ولم </w:t>
      </w:r>
    </w:p>
    <w:p>
      <w:pPr>
        <w:pStyle w:val="BookText"/>
        <w:rPr/>
      </w:pPr>
      <w:r>
        <w:rPr>
          <w:rFonts w:ascii="Amiri" w:hAnsi="Amiri" w:eastAsia="Amiri" w:cs="Amiri"/>
          <w:color w:val="111111"/>
          <w:sz w:val="28"/>
          <w:sz w:val="28"/>
          <w:szCs w:val="28"/>
          <w:rtl w:val="true"/>
          <w:lang w:bidi="ar-SA"/>
        </w:rPr>
        <w:t xml:space="preserve">نعلم باعتبار شيء آخر جزءا ، أو شرطا فيه لعدم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الشبهة ناشئة من إجمال النصّ كالصلاة بناء على مذهب الصحيح ، أو الأعمّ فيما لو قلنا بعدم وروده في مقام البيان كما قد يقال بذلك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وارد في مقام الوعظ مثلا و </w:t>
      </w:r>
      <w:r>
        <w:rPr>
          <w:rStyle w:val="FootnoteAnchor"/>
          <w:rtl w:val="true"/>
        </w:rPr>
        <w:footnoteReference w:id="1922"/>
      </w:r>
      <w:r>
        <w:rPr>
          <w:rFonts w:ascii="Amiri" w:hAnsi="Amiri" w:eastAsia="Amiri" w:cs="Amiri"/>
          <w:color w:val="111111"/>
          <w:sz w:val="28"/>
          <w:sz w:val="28"/>
          <w:szCs w:val="28"/>
          <w:rtl w:val="true"/>
          <w:lang w:bidi="ar-SA"/>
        </w:rPr>
        <w:t>قلنا بالإطلاق إلاّ أنّه غرضه الإجمال من جهة كثرة ورود التقييدات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هذا المقال وتوضيح هذا الإجمال يحتاج إلى تحقيق القول في تلك المسألة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يرى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موضوع لمعنى مركّب من أجزاء يصدق معها اسم الصلاة عرفا على وجه لو انضمّ إليها جزء آخر في خصوص مقام ، كان ذلك جزءا للفرد ، أو قيدا خارجا عن حقيقة تلك الماهية كما في السرير ؛ فإنّ الأجزاء المتبادلة يكفي في صدق اسم السرير ولو انضمّ إليه بعض الأجزاء في وقت كان ذلك قيدا لخصوص الفرد بعد صدق الماهية بدونه أيضا أو جزء له على اختلاف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للماهية المجتمعة لجميع الأجزاء والشرائط كما هي مطلوبة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فلفظ الصلاة كسائر المطلقات يكشف عن معناه المطلق بحيث لو شكّ في تقييده ، يدفع بأصالة عدم التقييد ، ويحكم بالإطلاق ، ويكشف عن ذلك بأنّ المطلوب أيضا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فلفظ الصلاة لا إطلاق فيه ففيما لو شكّ في تقييده بشيء لا مجال لدفعه بأصالة الإطلاق ، فهو من المجملات الذاتية لا بدّ من أن يبيّنها </w:t>
      </w:r>
      <w:r>
        <w:rPr>
          <w:rStyle w:val="FootnoteAnchor"/>
          <w:rtl w:val="true"/>
        </w:rPr>
        <w:footnoteReference w:id="1923"/>
      </w:r>
      <w:r>
        <w:rPr>
          <w:rFonts w:ascii="IRNazanin" w:hAnsi="IRNazanin" w:eastAsia="IRNazanin"/>
          <w:color w:val="111111"/>
          <w:sz w:val="28"/>
          <w:sz w:val="28"/>
          <w:szCs w:val="28"/>
          <w:rtl w:val="true"/>
          <w:lang w:bidi="fa-IR"/>
        </w:rPr>
        <w:t>الشارع عند طلبه لها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ضعف ما قد يتوهّم من أنّ الإطلاق ممّا لا يجدي على تقدير القول بالأعمّ أيضا ؛ للقطع بأنّ المطلوب هو الصحيح فإنّ المطلوب إنّما يظهر لنا باللفظ ، فعلى تقدير إطلاقه يكشف عن أنّ المطلوب هو هذا كما في سائر المطلقات ، فبإطلاق الرقبة </w:t>
      </w:r>
    </w:p>
    <w:p>
      <w:pPr>
        <w:pStyle w:val="BookText"/>
        <w:rPr/>
      </w:pPr>
      <w:r>
        <w:rPr>
          <w:rFonts w:ascii="Amiri" w:hAnsi="Amiri" w:eastAsia="Amiri" w:cs="Amiri"/>
          <w:color w:val="111111"/>
          <w:sz w:val="28"/>
          <w:sz w:val="28"/>
          <w:szCs w:val="28"/>
          <w:rtl w:val="true"/>
          <w:lang w:bidi="ar-SA"/>
        </w:rPr>
        <w:t xml:space="preserve">يستكشف </w:t>
      </w:r>
      <w:r>
        <w:rPr>
          <w:rStyle w:val="FootnoteAnchor"/>
          <w:rtl w:val="true"/>
        </w:rPr>
        <w:footnoteReference w:id="1924"/>
      </w:r>
      <w:r>
        <w:rPr>
          <w:rFonts w:ascii="IRNazanin" w:hAnsi="IRNazanin" w:eastAsia="IRNazanin"/>
          <w:color w:val="111111"/>
          <w:sz w:val="28"/>
          <w:sz w:val="28"/>
          <w:szCs w:val="28"/>
          <w:rtl w:val="true"/>
          <w:lang w:bidi="fa-IR"/>
        </w:rPr>
        <w:t xml:space="preserve">عن أنّ المراد بها هو مطلقها </w:t>
      </w:r>
      <w:r>
        <w:rPr>
          <w:rStyle w:val="FootnoteAnchor"/>
          <w:rtl w:val="true"/>
        </w:rPr>
        <w:footnoteReference w:id="1925"/>
      </w:r>
      <w:r>
        <w:rPr>
          <w:rFonts w:ascii="Amiri" w:hAnsi="Amiri" w:eastAsia="Amiri" w:cs="Amiri"/>
          <w:color w:val="111111"/>
          <w:sz w:val="28"/>
          <w:sz w:val="28"/>
          <w:szCs w:val="28"/>
          <w:rtl w:val="true"/>
          <w:lang w:bidi="ar-SA"/>
        </w:rPr>
        <w:t>سواء كانت مؤمنة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فلو قلنا بوضعه للأعمّ ، فإمّا أن نقول بأنّ الخطابات المشتملة على لفظ الصلاة كأقيموا الصلاة ونحوها إمّا أن تكون </w:t>
      </w:r>
      <w:r>
        <w:rPr>
          <w:rStyle w:val="FootnoteAnchor"/>
          <w:rtl w:val="true"/>
        </w:rPr>
        <w:footnoteReference w:id="1926"/>
      </w:r>
      <w:r>
        <w:rPr>
          <w:rFonts w:ascii="Amiri" w:hAnsi="Amiri" w:eastAsia="Amiri" w:cs="Amiri"/>
          <w:color w:val="111111"/>
          <w:sz w:val="28"/>
          <w:sz w:val="28"/>
          <w:szCs w:val="28"/>
          <w:rtl w:val="true"/>
          <w:lang w:bidi="ar-SA"/>
        </w:rPr>
        <w:t>واردة في مقام البيان ولو من هذه الجهة ، أو لا نقول به ، وعلى الأوّل فإمّا أن نقول بأنّ الإطلاق هذا ممّا عرضه الإجمال بواسطة كثرة التقييدات ، أو لا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بيان المراد وظهوره فيما لو قلنا بوروده في مقام البيان كما أنّه لا شكّ في إجماله على التقديرين الأخيرين ، فعلى هذين التقديرين يكون لفظ الصلاة من المجملات العرضية ، وعلى تقدير القول بوضعه للماهية الصحيحة يكون من المجملات الذاتية ، فلو شكّ في شرطية شيء ، أو جزئيته ، لا يصحّ دفعه بالإطلاق لإجمال الخطاب على هذه الوجوه كما إذا علمنا بالتقييد ولم نعلم المراد من المقيّد على وجه تردّد في جملة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ذلك أنّ الصلاة على تقدير القول بالصحيح مطلقا من أمثلة المسألة التي نحن بصدد بيانها ، وكذا على القول بالأعمّ على التقادير المذكورة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واندفع ما قد يتوهّم </w:t>
      </w:r>
      <w:r>
        <w:rPr>
          <w:rStyle w:val="FootnoteAnchor"/>
          <w:rtl w:val="true"/>
        </w:rPr>
        <w:footnoteReference w:id="1927"/>
      </w:r>
      <w:r>
        <w:rPr>
          <w:rFonts w:ascii="Amiri" w:hAnsi="Amiri" w:eastAsia="Amiri" w:cs="Amiri"/>
          <w:color w:val="111111"/>
          <w:sz w:val="28"/>
          <w:sz w:val="28"/>
          <w:szCs w:val="28"/>
          <w:rtl w:val="true"/>
          <w:lang w:bidi="ar-SA"/>
        </w:rPr>
        <w:t>في المقام أنّ لازم القول بالصحيح هو الأخذ بالاشتغال ، ولازم القول بالأعمّ هو الأخذ بالبراءة ؛ إذ ربّ قائل بالصحيح في تلك المسألة يقول بالبراءة في هذه المسألة ، وربّ قائل بالاحتياط يقول بالأعمّ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لا يثمر القول بالاحتياط على تقدير القول بالأعمّ ، وكان الإطلاق عنده واردا في مقام البيان ولم يقل بالإجمال من جهة كثرة التقييدات </w:t>
      </w:r>
      <w:r>
        <w:rPr>
          <w:rStyle w:val="FootnoteAnchor"/>
          <w:rtl w:val="true"/>
        </w:rPr>
        <w:footnoteReference w:id="1928"/>
      </w:r>
      <w:r>
        <w:rPr>
          <w:rFonts w:ascii="Amiri" w:hAnsi="Amiri" w:eastAsia="Amiri" w:cs="Amiri"/>
          <w:color w:val="111111"/>
          <w:sz w:val="28"/>
          <w:sz w:val="28"/>
          <w:szCs w:val="28"/>
          <w:rtl w:val="true"/>
          <w:lang w:bidi="ar-SA"/>
        </w:rPr>
        <w:t xml:space="preserve">نظرا إلى أنّ المقيّد الثابت ممّا لا يضرّ في الإطلاق ، وغير الثابت مدفوع بالأصل ، لأنّ القول بالاحتياط إنّما هو قول </w:t>
      </w:r>
      <w:r>
        <w:rPr>
          <w:rStyle w:val="FootnoteAnchor"/>
          <w:rtl w:val="true"/>
        </w:rPr>
        <w:footnoteReference w:id="1929"/>
      </w:r>
      <w:r>
        <w:rPr>
          <w:rFonts w:ascii="Amiri" w:hAnsi="Amiri" w:eastAsia="Amiri" w:cs="Amiri"/>
          <w:color w:val="111111"/>
          <w:sz w:val="28"/>
          <w:sz w:val="28"/>
          <w:szCs w:val="28"/>
          <w:rtl w:val="true"/>
          <w:lang w:bidi="ar-SA"/>
        </w:rPr>
        <w:t xml:space="preserve">به من جهة القواعد والأصول العملية ، ولا ينافيها ورود دليل اجتهادي على عدم لزوم الاحتياط وهو الأخذ بالإطلاق ، وكيف ما كان ، فعندنا مسألتان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لفظية يبحث فيها عن أنّ الألفاظ المستعملة عند المتشرّعة هل هي موضوعة للأعمّ من الماهية المجتمعة للأجزاء والشرائط على وجه تصدق </w:t>
      </w:r>
      <w:r>
        <w:rPr>
          <w:rStyle w:val="FootnoteAnchor"/>
          <w:rtl w:val="true"/>
        </w:rPr>
        <w:footnoteReference w:id="1931"/>
      </w:r>
      <w:r>
        <w:rPr>
          <w:rFonts w:ascii="Amiri" w:hAnsi="Amiri" w:eastAsia="Amiri" w:cs="Amiri"/>
          <w:color w:val="111111"/>
          <w:sz w:val="28"/>
          <w:sz w:val="28"/>
          <w:szCs w:val="28"/>
          <w:rtl w:val="true"/>
          <w:lang w:bidi="ar-SA"/>
        </w:rPr>
        <w:t xml:space="preserve">بدون بعضها عرفا كما في سائر المطلقات العرفية ، أو هي موضوعة لخصوص المجتمعة للأجزاء؟ و </w:t>
      </w:r>
      <w:r>
        <w:rPr>
          <w:rStyle w:val="FootnoteAnchor"/>
          <w:rtl w:val="true"/>
        </w:rPr>
        <w:footnoteReference w:id="1932"/>
      </w:r>
      <w:r>
        <w:rPr>
          <w:rFonts w:ascii="Amiri" w:hAnsi="Amiri" w:eastAsia="Amiri" w:cs="Amiri"/>
          <w:color w:val="111111"/>
          <w:sz w:val="28"/>
          <w:sz w:val="28"/>
          <w:szCs w:val="28"/>
          <w:rtl w:val="true"/>
          <w:lang w:bidi="ar-SA"/>
        </w:rPr>
        <w:t>حيث إنّا لا نعلم الموضوع لها من أجزائها وشرائطها ، فلا مناص من أن يكون تلك الألفاظ مجملة غير ظاهرة الدلالة على المراد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لم نعلم بجزئية شيء ، أو شرطيته هل القاعدة تقضي بأن يكون المشكوك جزءا أو لا؟ فالمحتاط على الأوّل ، وغيره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العلم تارة بواسطة فقد النصّ ، وأخرى بواسطة إجمال المراد كما في ألفاظ العبادات والمعاملات أيضا في وجه على القول الثاني في المسألة الأولى ، فتلك الألفاظ على مذهب الصحيح من موارد النزاع في هذه المسألة ولا ملازمة بين المسألتين ؛ لأنّ القائل بالأعمّ قد يقول بالبراءة إلاّ أنّه لا يجدي بالنسبة إليه بعد دلالة الإطلاق على عدم الجزئيّة ، وكذا لا يجدي لو قال بالاحتياط ؛ لورود الإطلاق على الأصل العملي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إنّما يجديه فيما كان الشكّ ناشئا من فقد النصّ فقط ؛ إذ لا إجمال عنده ، فلو كان </w:t>
      </w:r>
    </w:p>
    <w:p>
      <w:pPr>
        <w:pStyle w:val="BookText"/>
        <w:rPr/>
      </w:pPr>
      <w:r>
        <w:rPr>
          <w:rFonts w:ascii="Amiri" w:hAnsi="Amiri" w:eastAsia="Amiri" w:cs="Amiri"/>
          <w:color w:val="111111"/>
          <w:sz w:val="28"/>
          <w:sz w:val="28"/>
          <w:szCs w:val="28"/>
          <w:rtl w:val="true"/>
          <w:lang w:bidi="ar-SA"/>
        </w:rPr>
        <w:t xml:space="preserve">اللفظ مجملا فيجديه أيضا ، والقائل بالصحيح لو قال بالبراءة كما هو المشهور ، فيبني عليها ، ولو قال بالاحتياط ، فكذلك ، وبعد ما عرفت من التوضيح ظهر لك فساد الوهم ، ولعلّه سرى الوهم من أنّ بعض أفاضل متأخّري المتأخّرين </w:t>
      </w:r>
      <w:r>
        <w:rPr>
          <w:rStyle w:val="FootnoteAnchor"/>
          <w:rtl w:val="true"/>
        </w:rPr>
        <w:footnoteReference w:id="1935"/>
      </w:r>
      <w:r>
        <w:rPr>
          <w:rFonts w:ascii="Amiri" w:hAnsi="Amiri" w:eastAsia="Amiri" w:cs="Amiri"/>
          <w:color w:val="111111"/>
          <w:sz w:val="28"/>
          <w:sz w:val="28"/>
          <w:szCs w:val="28"/>
          <w:rtl w:val="true"/>
          <w:lang w:bidi="ar-SA"/>
        </w:rPr>
        <w:t xml:space="preserve">بعد ما عنون المسألة اختار القول بالصحيح ، وحيث كان مختاره في المسألة الثانية أيضا هو </w:t>
      </w:r>
      <w:r>
        <w:rPr>
          <w:rStyle w:val="FootnoteAnchor"/>
          <w:rtl w:val="true"/>
        </w:rPr>
        <w:footnoteReference w:id="1936"/>
      </w:r>
      <w:r>
        <w:rPr>
          <w:rFonts w:ascii="Amiri" w:hAnsi="Amiri" w:eastAsia="Amiri" w:cs="Amiri"/>
          <w:color w:val="111111"/>
          <w:sz w:val="28"/>
          <w:sz w:val="28"/>
          <w:szCs w:val="28"/>
          <w:rtl w:val="true"/>
          <w:lang w:bidi="ar-SA"/>
        </w:rPr>
        <w:t xml:space="preserve">الاحتياط ، أطلق القول بوجوب الاشتغال ، فتوهّم </w:t>
      </w:r>
      <w:r>
        <w:rPr>
          <w:rStyle w:val="FootnoteAnchor"/>
          <w:rtl w:val="true"/>
        </w:rPr>
        <w:footnoteReference w:id="1937"/>
      </w:r>
      <w:r>
        <w:rPr>
          <w:rFonts w:ascii="Amiri" w:hAnsi="Amiri" w:eastAsia="Amiri" w:cs="Amiri"/>
          <w:color w:val="111111"/>
          <w:sz w:val="28"/>
          <w:sz w:val="28"/>
          <w:szCs w:val="28"/>
          <w:rtl w:val="true"/>
          <w:lang w:bidi="ar-SA"/>
        </w:rPr>
        <w:t>منه بعض من لا تحقيق له أنّ القول بالاحتياط يلازم القول بالصحيح ، والقول بالأعمّ يلازم القول بالبراءة ، وظهر لك أنّ ثمرة النزاع في المسألة الأولى إنّما هو مجرّد الأخذ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يكون منشأ الشكّ هو تعارض النصّين ، وبيانه موكول إلى مسألة التعادل والتراجيح ، وحاصل القول فيه التخيير كما ستعرف</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أنّ الأصل في المسألة مع القول بالاحتياط لما عرفت في أوّل أصول </w:t>
      </w:r>
    </w:p>
    <w:p>
      <w:pPr>
        <w:pStyle w:val="BookText"/>
        <w:rPr/>
      </w:pPr>
      <w:r>
        <w:rPr>
          <w:rFonts w:ascii="Amiri" w:hAnsi="Amiri" w:eastAsia="Amiri" w:cs="Amiri"/>
          <w:color w:val="111111"/>
          <w:sz w:val="28"/>
          <w:sz w:val="28"/>
          <w:szCs w:val="28"/>
          <w:rtl w:val="true"/>
          <w:lang w:bidi="ar-SA"/>
        </w:rPr>
        <w:t xml:space="preserve">المسألة أنّ العقل ما لم يؤمن الضرر العقابي لا يحكم بالبراءة ، وحيث إنّ العقاب ليس من الممتنعات الذاتية ، فإثبات عدمه وامتناعه من الحكيم لا بدّ وأن يكون مستندا إلى قبحه ، فما لم يثبت قبحه لا تؤمن </w:t>
      </w:r>
      <w:r>
        <w:rPr>
          <w:rStyle w:val="FootnoteAnchor"/>
          <w:rtl w:val="true"/>
        </w:rPr>
        <w:footnoteReference w:id="1938"/>
      </w:r>
      <w:r>
        <w:rPr>
          <w:rFonts w:ascii="Amiri" w:hAnsi="Amiri" w:eastAsia="Amiri" w:cs="Amiri"/>
          <w:color w:val="111111"/>
          <w:sz w:val="28"/>
          <w:sz w:val="28"/>
          <w:szCs w:val="28"/>
          <w:rtl w:val="true"/>
          <w:lang w:bidi="ar-SA"/>
        </w:rPr>
        <w:t xml:space="preserve">النفس منه ، وفيما لو شكّ في أنّ المورد من موارد </w:t>
      </w:r>
      <w:r>
        <w:rPr>
          <w:rStyle w:val="FootnoteAnchor"/>
          <w:rtl w:val="true"/>
        </w:rPr>
        <w:footnoteReference w:id="1939"/>
      </w:r>
      <w:r>
        <w:rPr>
          <w:rFonts w:ascii="Amiri" w:hAnsi="Amiri" w:eastAsia="Amiri" w:cs="Amiri"/>
          <w:color w:val="111111"/>
          <w:sz w:val="28"/>
          <w:sz w:val="28"/>
          <w:szCs w:val="28"/>
          <w:rtl w:val="true"/>
          <w:lang w:bidi="ar-SA"/>
        </w:rPr>
        <w:t>البراءة ، أو الاحتياط لا شيء هناك يوجب الأمن من العقاب ، فلا بدّ من الاحتياط دفعا لاحتماله كما لا يخفى ، وقد نبّهنا عليه في الأصل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 الأصل في خصوص المقام بل ومطلق الشكّ في المكلّف به مع القول بالاحتياط ولو قطع النظر عن هذا الأصل السائر في تمام موارد البراءة والاحتياط</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بأنّ منشأ النزاع في أقسام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صريح كلّ المتخاصمين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القائل بالاحتياط يقول في أمثال الموارد أنّ التكليف إنّما هو على الواقع المجهول عندنا ، والعقل حاكم بأنّ التخلّص من العقاب الفعلي المردّد بين الأمرين واجب الدفع ، فيجب الاحتياط ، والقائل بالبراءة يزعم أنّ التكليف ليس على الواقع ، وإنّما المكلّف به هو مؤدّى ما ثبت من الدليل ، وهو إمّا أحد الأمرين ، أو الأقلّ ، فلو سلّم القائل بالبراءة أنّ هناك عقاب فعلي مردّد </w:t>
      </w:r>
      <w:r>
        <w:rPr>
          <w:rStyle w:val="FootnoteAnchor"/>
          <w:rtl w:val="true"/>
        </w:rPr>
        <w:footnoteReference w:id="1940"/>
      </w:r>
      <w:r>
        <w:rPr>
          <w:rFonts w:ascii="Amiri" w:hAnsi="Amiri" w:eastAsia="Amiri" w:cs="Amiri"/>
          <w:color w:val="111111"/>
          <w:sz w:val="28"/>
          <w:sz w:val="28"/>
          <w:szCs w:val="28"/>
          <w:rtl w:val="true"/>
          <w:lang w:bidi="ar-SA"/>
        </w:rPr>
        <w:t xml:space="preserve">بين الأمرين في الواقع مع قطع النظر </w:t>
      </w:r>
      <w:r>
        <w:rPr>
          <w:rStyle w:val="FootnoteAnchor"/>
          <w:rtl w:val="true"/>
        </w:rPr>
        <w:footnoteReference w:id="1941"/>
      </w:r>
      <w:r>
        <w:rPr>
          <w:rFonts w:ascii="Amiri" w:hAnsi="Amiri" w:eastAsia="Amiri" w:cs="Amiri"/>
          <w:color w:val="111111"/>
          <w:sz w:val="28"/>
          <w:sz w:val="28"/>
          <w:szCs w:val="28"/>
          <w:rtl w:val="true"/>
          <w:lang w:bidi="ar-SA"/>
        </w:rPr>
        <w:t xml:space="preserve">عمّا ثبت عنده من الدليل ، لكان القول بالاحتياط متّجها عنده ، 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بالبراءة يقول بأنّ العقاب الفعلي إنّما هو على الأقلّ ، أو على أحد الأمرين قطعا لما أدّاه إليه الدليل ، والقائل بالاحتياط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الفعلي إنّما هو على الواقع المجهول عندنا ، فالشاكّ في أحد الأمرين يقطع بأنّه في الواقع يعاقب عقابا فعليا إمّا على الواقع المجهول ، وإمّا على الثابت بالدليل </w:t>
      </w:r>
      <w:r>
        <w:rPr>
          <w:rStyle w:val="FootnoteAnchor"/>
          <w:rtl w:val="true"/>
        </w:rPr>
        <w:footnoteReference w:id="1942"/>
      </w:r>
      <w:r>
        <w:rPr>
          <w:rFonts w:ascii="Amiri" w:hAnsi="Amiri" w:eastAsia="Amiri" w:cs="Amiri"/>
          <w:color w:val="111111"/>
          <w:sz w:val="28"/>
          <w:sz w:val="28"/>
          <w:szCs w:val="28"/>
          <w:rtl w:val="true"/>
          <w:lang w:bidi="ar-SA"/>
        </w:rPr>
        <w:t xml:space="preserve">، فيصير من موارد الاحتياط اتّفاقا ؛ لأنّه يقطع بالعقاب الواقعي المردّد بين الأمرين ، والمفروض أنّ القائل بالبراءة لو وجد عنده </w:t>
      </w:r>
    </w:p>
    <w:p>
      <w:pPr>
        <w:pStyle w:val="BookText"/>
        <w:rPr/>
      </w:pPr>
      <w:r>
        <w:rPr>
          <w:rFonts w:ascii="Amiri" w:hAnsi="Amiri" w:eastAsia="Amiri" w:cs="Amiri"/>
          <w:color w:val="111111"/>
          <w:sz w:val="28"/>
          <w:sz w:val="28"/>
          <w:szCs w:val="28"/>
          <w:rtl w:val="true"/>
          <w:lang w:bidi="ar-SA"/>
        </w:rPr>
        <w:t>مثل هذا المورد ، لكان يقول بالاحتياط أيضا ، فيجب القول بالاحتياط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وأنت خبير بما فيه من الخلط والمغالطة ؛ فإنّ الكلام في جريان البراءة في مثل المقام فإنّه لا يزيد على محلّ النزاع في المسألة الفرعية بشيء فإنّ كلام القائل بالاشتغال في المسألة الفرعية هو هذا الكلام بعينه ، فلا يصلح الاستناد </w:t>
      </w:r>
      <w:r>
        <w:rPr>
          <w:rStyle w:val="FootnoteAnchor"/>
          <w:rtl w:val="true"/>
        </w:rPr>
        <w:footnoteReference w:id="1943"/>
      </w:r>
      <w:r>
        <w:rPr>
          <w:rFonts w:ascii="Amiri" w:hAnsi="Amiri" w:eastAsia="Amiri" w:cs="Amiri"/>
          <w:color w:val="111111"/>
          <w:sz w:val="28"/>
          <w:sz w:val="28"/>
          <w:szCs w:val="28"/>
          <w:rtl w:val="true"/>
          <w:lang w:bidi="ar-SA"/>
        </w:rPr>
        <w:t>إليه في مقام تأسيس أصل مسلّم بين القولين على وجه يكون هو المرجع عند عدم الدليل على أحدهما بالخصوص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تقرّر ما ذكر ، فالمنصور عندنا هو ما ذهب إليه المشهور ، وتحقيق المقام يقتضي رسم أمور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الداعي إلى امتثال أوامر المولى على وجه يكون مشتركا بين جميع من يجب عليه الامتثال ، ومن شأنه ذلك هو دفع خوف العقاب ، والتخلّص عن العذاب ، من غير أن يحتاج في ذلك إلى انضمام أمر آخر كتحصيل الثواب والفوز بأعلى درجات الجنّات وإن كان قد يصير مثل ذلك أيضا من الدواعي إليه كما أنّ لبعض من حاز الفضائل وجميع الفواضل داعيا آخر غير ما ذكر مشتملا عليه على وجه أتمّ وأكمل كاستحقاق المعبود للعبادة كما لا يخفى إلاّ أنّ ذلك بواسطة علوّ درجته وقصور مرتبة المكلّفين لا يكون مطّردا ، وإنّما الداعي إلى الامتثال عند الشكّ هو دفع العقاب لاستقلال العقل بلزوم دفعه ، وقد نبّهنا على ذلك فيما تقدّم أيضا ، فيجب الامتثال فيما لو احتمل العقاب ، فكيف بما إذا كان العقاب مقطوعا عند عدم الامتثال كما في الأجزاء المعلومة في الصلاة ، فإنّ ترك تكبيرة الإحرام أو الفاتحة ممّا يترتّب عليه العقاب قطعا ، ولا يجب الامتثال فيما إذا لم يكن العقاب محتملا كما إذا كان في المقام ما يؤمننا من العقاب من عقل أو 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الواجب النفسي والواجب الغيري في صلاحية نفي كلّ واحد منهما بأصل البراءة </w:t>
      </w:r>
      <w:r>
        <w:rPr>
          <w:rStyle w:val="FootnoteAnchor"/>
          <w:rtl w:val="true"/>
        </w:rPr>
        <w:footnoteReference w:id="1944"/>
      </w:r>
      <w:r>
        <w:rPr>
          <w:rFonts w:ascii="Amiri" w:hAnsi="Amiri" w:eastAsia="Amiri" w:cs="Amiri"/>
          <w:color w:val="111111"/>
          <w:sz w:val="28"/>
          <w:sz w:val="28"/>
          <w:szCs w:val="28"/>
          <w:rtl w:val="true"/>
          <w:lang w:bidi="ar-SA"/>
        </w:rPr>
        <w:t>، فكما أنّ أصل البراءة تنفي ما يشكّ في وجوبه النفسي ، فكذلك تنفي ما يشكّ في وجوبه الغيري من غير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أدلّة البراءة عقلا ونقلا مفادها نفي العقاب ، والبأس عمّا لا يعلم وجوبه ، أو حرمته وذلك بالنسبة إلى الواجب النفسي والغيري سواء لا لما قد يتوهّم من ترتّب العقاب على الواجب الغيري كالواجب النفسي بل من حيث إنّ تارك الواجب الغيري والمتلبّس بالترك لا يصير معاقبا ومتلبّسا بالعقاب ولو من حيث أدائه إلى ترك الواجب الغيري ، فإنّ تركه فيما نحن فيه عين ترك الواجب النفسي ؛ لأنّ ترك المركّب من جهة التركيب عين ترك جزء منه كما لا يخفى ، فأدلّة </w:t>
      </w:r>
      <w:r>
        <w:rPr>
          <w:rStyle w:val="FootnoteAnchor"/>
          <w:rtl w:val="true"/>
        </w:rPr>
        <w:footnoteReference w:id="1945"/>
      </w:r>
      <w:r>
        <w:rPr>
          <w:rFonts w:ascii="Amiri" w:hAnsi="Amiri" w:eastAsia="Amiri" w:cs="Amiri"/>
          <w:color w:val="111111"/>
          <w:sz w:val="28"/>
          <w:sz w:val="28"/>
          <w:szCs w:val="28"/>
          <w:rtl w:val="true"/>
          <w:lang w:bidi="ar-SA"/>
        </w:rPr>
        <w:t xml:space="preserve">البراءة تحكم بأنّ المشكوك وما لا يعلمون لا يصير منشأ وموجبا للعقاب سواء كان العقاب ممّا يترتّب عليه في حدّ ذاته ، أو ممّا يترتّب على شيء آخر بواسطته ، وليس فيها </w:t>
      </w:r>
      <w:r>
        <w:rPr>
          <w:rStyle w:val="FootnoteAnchor"/>
          <w:rtl w:val="true"/>
        </w:rPr>
        <w:footnoteReference w:id="1946"/>
      </w:r>
      <w:r>
        <w:rPr>
          <w:rFonts w:ascii="Amiri" w:hAnsi="Amiri" w:eastAsia="Amiri" w:cs="Amiri"/>
          <w:color w:val="111111"/>
          <w:sz w:val="28"/>
          <w:sz w:val="28"/>
          <w:szCs w:val="28"/>
          <w:rtl w:val="true"/>
          <w:lang w:bidi="ar-SA"/>
        </w:rPr>
        <w:t xml:space="preserve">ما يخصّص ذلك بالأوّل ، فلا بدّ من الأخذ بإطلاقها ، ودعوى انصراف الأمر والنهي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أمر أو نهي </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 xml:space="preserve">إلى النفسيين ممنوعة على مدّعيها ، كيف ولا نفرق شيئا في ذلك إذ غاية ما يسلّم من ذلك هو فيما لو كان هناك عنوان الوجوب ، أو </w:t>
      </w:r>
      <w:r>
        <w:rPr>
          <w:rStyle w:val="FootnoteAnchor"/>
          <w:rtl w:val="true"/>
        </w:rPr>
        <w:footnoteReference w:id="1948"/>
      </w:r>
      <w:r>
        <w:rPr>
          <w:rFonts w:ascii="Amiri" w:hAnsi="Amiri" w:eastAsia="Amiri" w:cs="Amiri"/>
          <w:color w:val="111111"/>
          <w:sz w:val="28"/>
          <w:sz w:val="28"/>
          <w:szCs w:val="28"/>
          <w:rtl w:val="true"/>
          <w:lang w:bidi="ar-SA"/>
        </w:rPr>
        <w:t>الواجب ، وأمّا في الأمر والنهي ، فالإنصاف عدم الفرق بين الأقسام ، فإنّ هذه أمور اصطلاحية جعلية لا مدخل لها في انصراف الألفاظ إليها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الأخبار النافية للمؤاخذة والعقاب وأمثاله خالية عن لفظ الأمر والنهي </w:t>
      </w:r>
    </w:p>
    <w:p>
      <w:pPr>
        <w:pStyle w:val="BookText"/>
        <w:rPr/>
      </w:pPr>
      <w:r>
        <w:rPr>
          <w:rFonts w:ascii="Amiri" w:hAnsi="Amiri" w:eastAsia="Amiri" w:cs="Amiri"/>
          <w:color w:val="111111"/>
          <w:sz w:val="28"/>
          <w:sz w:val="28"/>
          <w:szCs w:val="28"/>
          <w:rtl w:val="true"/>
          <w:lang w:bidi="ar-SA"/>
        </w:rPr>
        <w:t xml:space="preserve">وما يشبه ذلك كما هو ظاهر لا سترة عليه ، ويشهد لما </w:t>
      </w:r>
      <w:r>
        <w:rPr>
          <w:rStyle w:val="FootnoteAnchor"/>
          <w:rtl w:val="true"/>
        </w:rPr>
        <w:footnoteReference w:id="1949"/>
      </w:r>
      <w:r>
        <w:rPr>
          <w:rFonts w:ascii="Amiri" w:hAnsi="Amiri" w:eastAsia="Amiri" w:cs="Amiri"/>
          <w:color w:val="111111"/>
          <w:sz w:val="28"/>
          <w:sz w:val="28"/>
          <w:szCs w:val="28"/>
          <w:rtl w:val="true"/>
          <w:lang w:bidi="ar-SA"/>
        </w:rPr>
        <w:t xml:space="preserve">ذكرنا أنّ مساق أدلّة البراءة لا يختلف بالنسبة إلى رفع العقاب من الخطأ والنسيان وما لا يعلمون ، فكما أنّ نسيان السورة في الصلاة لا يصير منشأ للعقاب على ترك الواجب النفسي مع عدم ترتّب العقاب على ترك نفس السورة ، فكذا عدم العلم بالسورة وتركها لا يوجب العقاب على ترك الصلاة بترك السورة ، فكلّ ما يؤمننا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أو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عقابه عند تركه أو فعله سواء كان العقاب من آثاره بنفسه ، أو لأدائه إلى ما هو من آثاره كذلك يجوز لنا تركه أو فعله </w:t>
      </w:r>
      <w:r>
        <w:rPr>
          <w:rStyle w:val="FootnoteAnchor"/>
          <w:rtl w:val="true"/>
        </w:rPr>
        <w:footnoteReference w:id="1950"/>
      </w:r>
      <w:r>
        <w:rPr>
          <w:rFonts w:ascii="Amiri" w:hAnsi="Amiri" w:eastAsia="Amiri" w:cs="Amiri"/>
          <w:color w:val="111111"/>
          <w:sz w:val="28"/>
          <w:sz w:val="28"/>
          <w:szCs w:val="28"/>
          <w:rtl w:val="true"/>
          <w:lang w:bidi="ar-SA"/>
        </w:rPr>
        <w:t xml:space="preserve">، وكلّ ما لم يؤمننا دليل من عقابه عند تركه أو فعله يجب امتثاله تركا وفعلا من غير استفصال بين أنّ العقاب من آثار نفس الفعل أو الترك كما في الواجب والحرام النفسيين ، أو من آثار ما يوجبه ، أو </w:t>
      </w:r>
      <w:r>
        <w:rPr>
          <w:rStyle w:val="FootnoteAnchor"/>
          <w:rtl w:val="true"/>
        </w:rPr>
        <w:footnoteReference w:id="1951"/>
      </w:r>
      <w:r>
        <w:rPr>
          <w:rFonts w:ascii="Amiri" w:hAnsi="Amiri" w:eastAsia="Amiri" w:cs="Amiri"/>
          <w:color w:val="111111"/>
          <w:sz w:val="28"/>
          <w:sz w:val="28"/>
          <w:szCs w:val="28"/>
          <w:rtl w:val="true"/>
          <w:lang w:bidi="ar-SA"/>
        </w:rPr>
        <w:t xml:space="preserve">يؤدّي إليه كما في الواجب والحرام الغيري ، والاستفصال في ذلك ممّا لا يجدي شيئا كما لا يخفى ، وكفاك شاهدا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Style w:val="FootnoteAnchor"/>
          <w:rtl w:val="true"/>
        </w:rPr>
        <w:footnoteReference w:id="1952"/>
      </w:r>
      <w:r>
        <w:rPr>
          <w:rFonts w:ascii="Amiri" w:hAnsi="Amiri" w:eastAsia="Amiri" w:cs="Amiri"/>
          <w:color w:val="111111"/>
          <w:sz w:val="28"/>
          <w:sz w:val="28"/>
          <w:szCs w:val="28"/>
          <w:rtl w:val="true"/>
          <w:lang w:bidi="ar-SA"/>
        </w:rPr>
        <w:t xml:space="preserve">مقايسة حال عدم العلم بالواجب الغيري بما إذا اقتضت </w:t>
      </w:r>
      <w:r>
        <w:rPr>
          <w:rStyle w:val="FootnoteAnchor"/>
          <w:rtl w:val="true"/>
        </w:rPr>
        <w:footnoteReference w:id="1953"/>
      </w:r>
      <w:r>
        <w:rPr>
          <w:rFonts w:ascii="Amiri" w:hAnsi="Amiri" w:eastAsia="Amiri" w:cs="Amiri"/>
          <w:color w:val="111111"/>
          <w:sz w:val="28"/>
          <w:sz w:val="28"/>
          <w:szCs w:val="28"/>
          <w:rtl w:val="true"/>
          <w:lang w:bidi="ar-SA"/>
        </w:rPr>
        <w:t xml:space="preserve">التقيّة بتركه ، فعدم العلم والجهل بالشيء </w:t>
      </w:r>
      <w:r>
        <w:rPr>
          <w:rStyle w:val="FootnoteAnchor"/>
          <w:rtl w:val="true"/>
        </w:rPr>
        <w:footnoteReference w:id="1954"/>
      </w:r>
      <w:r>
        <w:rPr>
          <w:rFonts w:ascii="Amiri" w:hAnsi="Amiri" w:eastAsia="Amiri" w:cs="Amiri"/>
          <w:color w:val="111111"/>
          <w:sz w:val="28"/>
          <w:sz w:val="28"/>
          <w:szCs w:val="28"/>
          <w:rtl w:val="true"/>
          <w:lang w:bidi="ar-SA"/>
        </w:rPr>
        <w:t xml:space="preserve">كالتقيّة ولا فرق فيها بين أن يكون متعلّقها واجبا </w:t>
      </w:r>
      <w:r>
        <w:rPr>
          <w:rStyle w:val="FootnoteAnchor"/>
          <w:rtl w:val="true"/>
        </w:rPr>
        <w:footnoteReference w:id="1955"/>
      </w:r>
      <w:r>
        <w:rPr>
          <w:rFonts w:ascii="Amiri" w:hAnsi="Amiri" w:eastAsia="Amiri" w:cs="Amiri"/>
          <w:color w:val="111111"/>
          <w:sz w:val="28"/>
          <w:sz w:val="28"/>
          <w:szCs w:val="28"/>
          <w:rtl w:val="true"/>
          <w:lang w:bidi="ar-SA"/>
        </w:rPr>
        <w:t xml:space="preserve">نفسيا ، أو واجبا غيريا </w:t>
      </w:r>
      <w:r>
        <w:rPr>
          <w:rStyle w:val="FootnoteAnchor"/>
          <w:rtl w:val="true"/>
        </w:rPr>
        <w:footnoteReference w:id="1956"/>
      </w:r>
      <w:r>
        <w:rPr>
          <w:rFonts w:ascii="Amiri" w:hAnsi="Amiri" w:eastAsia="Amiri" w:cs="Amiri"/>
          <w:color w:val="111111"/>
          <w:sz w:val="28"/>
          <w:sz w:val="28"/>
          <w:szCs w:val="28"/>
          <w:rtl w:val="true"/>
          <w:lang w:bidi="ar-SA"/>
        </w:rPr>
        <w:t>وإن كان بينهما فرق آخر من جهة أخرى من حيث إنّ أحدهما حكم ظاهري ، والآخر واقعي إلاّ أنّ الكلام في المقام في ترتّب العقاب ، ولا فرق بينهما في هذه الجهة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على ما عرفت منجّز للتكليف ، وموجب للاحتياط والإتيان بالمقدّمات العلمية فيما لم يكن في أحد الأطراف ما يقضي </w:t>
      </w:r>
      <w:r>
        <w:rPr>
          <w:rStyle w:val="FootnoteAnchor"/>
          <w:rtl w:val="true"/>
        </w:rPr>
        <w:footnoteReference w:id="1957"/>
      </w:r>
      <w:r>
        <w:rPr>
          <w:rFonts w:ascii="Amiri" w:hAnsi="Amiri" w:eastAsia="Amiri" w:cs="Amiri"/>
          <w:color w:val="111111"/>
          <w:sz w:val="28"/>
          <w:sz w:val="28"/>
          <w:szCs w:val="28"/>
          <w:rtl w:val="true"/>
          <w:lang w:bidi="ar-SA"/>
        </w:rPr>
        <w:t xml:space="preserve">بارتفاع التكليف </w:t>
      </w:r>
    </w:p>
    <w:p>
      <w:pPr>
        <w:pStyle w:val="BookText"/>
        <w:rPr/>
      </w:pPr>
      <w:r>
        <w:rPr>
          <w:rFonts w:ascii="Amiri" w:hAnsi="Amiri" w:eastAsia="Amiri" w:cs="Amiri"/>
          <w:color w:val="111111"/>
          <w:sz w:val="28"/>
          <w:sz w:val="28"/>
          <w:szCs w:val="28"/>
          <w:rtl w:val="true"/>
          <w:lang w:bidi="ar-SA"/>
        </w:rPr>
        <w:t xml:space="preserve">الفعلي عنه بالخصوص من عقل أو نقل ، وأمّا إذا كان في </w:t>
      </w:r>
      <w:r>
        <w:rPr>
          <w:rStyle w:val="FootnoteAnchor"/>
          <w:rtl w:val="true"/>
        </w:rPr>
        <w:footnoteReference w:id="1958"/>
      </w:r>
      <w:r>
        <w:rPr>
          <w:rFonts w:ascii="Amiri" w:hAnsi="Amiri" w:eastAsia="Amiri" w:cs="Amiri"/>
          <w:color w:val="111111"/>
          <w:sz w:val="28"/>
          <w:sz w:val="28"/>
          <w:szCs w:val="28"/>
          <w:rtl w:val="true"/>
          <w:lang w:bidi="ar-SA"/>
        </w:rPr>
        <w:t>أحد الأطراف ما يقضي بذلك ، فلا مناص من القول بالبدلية إذ لا معنى لرفع الامتثال ؛ للزوم التناقض على تقدير العلم بالطلب والتكليف ، ولا معنى للحكم بعدم كون أحد الأطراف مقدّمة علمية ، لاستلزامه خلاف الفرض ، فإنّ المفروض أنّه من أطراف العلم الإجمالي ، فلم يبق إلاّ البدلية كما التزمنا بذلك فيما أسقط الشارع في المتباينين وجوب بعض الأطراف كما في جهات القبلة والصلاة الفائتة على ما مرّ ، وكما التزمنا به في الملاقي لأحد الإناءين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ما عرفت في أوّل الأمور من أنّ تحمّل العقل للتكليف والامتثال ليس إلاّ بواسطة دفع احتمال العقاب ، وبعد ما تطمئنّ </w:t>
      </w:r>
      <w:r>
        <w:rPr>
          <w:rStyle w:val="FootnoteAnchor"/>
          <w:rtl w:val="true"/>
        </w:rPr>
        <w:footnoteReference w:id="1959"/>
      </w:r>
      <w:r>
        <w:rPr>
          <w:rFonts w:ascii="Amiri" w:hAnsi="Amiri" w:eastAsia="Amiri" w:cs="Amiri"/>
          <w:color w:val="111111"/>
          <w:sz w:val="28"/>
          <w:sz w:val="28"/>
          <w:szCs w:val="28"/>
          <w:rtl w:val="true"/>
          <w:lang w:bidi="ar-SA"/>
        </w:rPr>
        <w:t>النفس من العقاب بواسطة أصل من الأصول العملية الغير المعارضة بمثله ، فالعلم الإجمالي ممّا لا يجدي شيئا ، ولا يقضي بوجوب الإتيان به مقدّمة لانتفاء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تقرّر هذه الأمور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العلم الإجمالي وإن كان هو الإتيان بالأكثر عند دوران الأمر بينه وبين الأقلّ لكونه مقدّمة علمية للامتثال بالمعلوم الإجمالي إلاّ أنّ أدلّة البراءة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عقلها ونقلها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على هذا الحكم العقلي الموجب للإتيان والامتثال كما في الشبهة البدوية ، فإنّ وجوب الجزء الزائد أمر مشكوك غير معلوم لنا ، وقد رفع العقاب والمؤاخذة عن هذه الأمّة المرحومة في كلّ ما لا يعلمون لعموم الموصولة ، فترك الجزء المشكوك رفع العقاب والمؤاخذة عنه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البراءة في الأجزاء</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الجريان إن كان دعوى اختصاص أدلّتها بالواجبات النفسية ، فقد عرفت عدم تسليمها ، وإن كان من حيث إنّ أدلّة البراءة مفادها نفي العقاب ولا عقاب على الواجبات الغيرية ، فقد عرفت أيضا أنّ مفادها عدم ترتّب العقاب على ترك </w:t>
      </w:r>
    </w:p>
    <w:p>
      <w:pPr>
        <w:pStyle w:val="BookText"/>
        <w:rPr/>
      </w:pPr>
      <w:r>
        <w:rPr>
          <w:rFonts w:ascii="Amiri" w:hAnsi="Amiri" w:eastAsia="Amiri" w:cs="Amiri"/>
          <w:color w:val="111111"/>
          <w:sz w:val="28"/>
          <w:sz w:val="28"/>
          <w:szCs w:val="28"/>
          <w:rtl w:val="true"/>
          <w:lang w:bidi="ar-SA"/>
        </w:rPr>
        <w:t>شيء غير معلوم الوجوب سواء كان العقاب من لوازمه ، أو آثاره ، وهذا يكفي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عن الأكثر أيضا ، فيتمّ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الأصل براءة الذمّة عن الأكثر ، فالأصل براءة الذمّة عن الأقلّ ؛ إذ المفروض دوران الأمر بين أن يكون الواجب النفسي هو الأكثر ، أو الأقلّ ، والأقلّ بهذا العنوان غير معلوم ، غاية الأمر معلومية الأقلّ لا بشرط </w:t>
      </w:r>
      <w:r>
        <w:rPr>
          <w:rStyle w:val="FootnoteAnchor"/>
          <w:rtl w:val="true"/>
        </w:rPr>
        <w:footnoteReference w:id="1960"/>
      </w:r>
      <w:r>
        <w:rPr>
          <w:rFonts w:ascii="Amiri" w:hAnsi="Amiri" w:eastAsia="Amiri" w:cs="Amiri"/>
          <w:color w:val="111111"/>
          <w:sz w:val="28"/>
          <w:sz w:val="28"/>
          <w:szCs w:val="28"/>
          <w:rtl w:val="true"/>
          <w:lang w:bidi="ar-SA"/>
        </w:rPr>
        <w:t xml:space="preserve">، والعلم الإجمالي إنّما هو بين الأكثر والأقلّ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بهذا العنوان يحتمل أن يكون واجبا نفسيا ، والأصل براءة الذمّة عنه ، فلا فرق بين المقام والمتباينين ، فكما أنّ في المتباينين لا يصحّ التعويل بالأصل في تشخيص أحد الأطراف ،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أوّل الأمور أنّ الداعي للامتثال ليس إلاّ دفع احتمال العقاب ، والعقاب معلوم في جانب الأقلّ ، للقطع بأنّ ترك الفاتحة ممّا يوجب ترك الكلّ والمأمور به ، وهكذا باقي الأجزاء المعلومة ، فلا بدّ من الإتيان بها ، غاية الأمر عدم العلم بوجوب الأقلّ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الأقلّ لا بشرط ، فوجوبه معلوم ، والعقاب على تركه قطعي ، فلا بدّ من الإتيان به وامتثاله ، وعدم العلم بكون العقاب ممّا يترتّب على نفس الأجزاء المعلومة ، أو باعتبار ترك الكلّ لا يجدي في المقام ، لما عرفت من أنّ الاستفصال في أنّ العقاب ممّا يترتّب على أيّ شيء غير معقول بعد ما علم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عن الأكثر ممّا لا تعويل عليها فيما لو أريد بها إثبات أنّ الأقلّ هو المأمور به لعدم اعتبار الأصول المثبتة ، وممّا لا جدوى فيها فيما لو أريد بها نفي الأكثر فقط من دون تعرّض بأنّ المطلوب هو الأقلّ ؛ إذ لا يصدق الامتثال بدون إتيان الماهية المطلوبة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إثبات الأقلّ إثبات مانعية الجزء الزائد ، فغير سديد ، وإن أريد </w:t>
      </w:r>
      <w:bookmarkStart w:id="250" w:name="pg16273_211899"/>
    </w:p>
    <w:p>
      <w:pPr>
        <w:pStyle w:val="BookText"/>
        <w:rPr/>
      </w:pPr>
      <w:bookmarkEnd w:id="250"/>
      <w:r>
        <w:rPr>
          <w:rFonts w:ascii="Amiri" w:hAnsi="Amiri" w:eastAsia="Amiri" w:cs="Amiri"/>
          <w:color w:val="111111"/>
          <w:sz w:val="28"/>
          <w:sz w:val="28"/>
          <w:szCs w:val="28"/>
          <w:rtl w:val="true"/>
          <w:lang w:bidi="ar-SA"/>
        </w:rPr>
        <w:t>إثبات أنّ الواجب هو الأقلّ المجرّد بمعنى عدم وجوب الأمر الزائد ، فإثبات الأصل غير مضرّ ؛ فإنّ الفصل عدمي وهو عين مفاد البراءة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 على وجه ينكشف الظلام ، عن وجه المرام ، هو أنّ المانع من القول بالبراءة عند الشكّ في جزئية شيء يحتمل أن يكون أحد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جريان البراءة في الأجزاء باختصاص دليلها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الأصل بمثله بعد القول بجريانه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الجدوى فيه على فرض الجريان وعدم المعارضة ، وحيث إنّ كلّ واحد منها قد خالف فيه بعض القائلين بالاحتياط ، فلا جرم نفصّل القول في كلّ واحد منها لتبيّن جليّة الحال ، وحقيقة المقال ، فهاهنا مقامات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803630_1280447820"/>
      <w:bookmarkStart w:id="252" w:name="_Toc87"/>
      <w:bookmarkEnd w:id="251"/>
      <w:r>
        <w:rPr>
          <w:rtl w:val="true"/>
        </w:rPr>
        <w:t xml:space="preserve">[ </w:t>
      </w:r>
      <w:r>
        <w:rPr>
          <w:rtl w:val="true"/>
        </w:rPr>
        <w:t xml:space="preserve">المقام </w:t>
      </w:r>
      <w:r>
        <w:rPr>
          <w:rtl w:val="true"/>
        </w:rPr>
        <w:t xml:space="preserve">] </w:t>
      </w:r>
      <w:r>
        <w:rPr>
          <w:rtl w:val="true"/>
        </w:rPr>
        <w:t>الأوّل</w:t>
      </w:r>
      <w:bookmarkEnd w:id="252"/>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961"/>
      </w:r>
      <w:r>
        <w:rPr>
          <w:rFonts w:ascii="Amiri" w:hAnsi="Amiri" w:eastAsia="Amiri" w:cs="Amiri"/>
          <w:color w:val="111111"/>
          <w:sz w:val="28"/>
          <w:sz w:val="28"/>
          <w:szCs w:val="28"/>
          <w:rtl w:val="true"/>
          <w:lang w:bidi="ar-SA"/>
        </w:rPr>
        <w:t xml:space="preserve">في ثاني الأمور المتقدّمة عدم الفرق بين أقسام الواجب في جريان البراءة وعموم أدلّتها فيها ، لإطباقها على نفي العقاب والضيق وإثبات الإطلاق والسعة عن كلّ ما فيه ضيق وتقييد وعقاب من غير أن يكون العقاب ممّا يترتّب على ذات الفعل في حدّ ذاته ، أو باعتبار أمر آخر كما مرّ مفصّلا إلاّ أنّ للخصم أن يقرّر مطلوبه بوجه آخر كأن يقول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القائل بالبراءة إن أراد نفي جزئية ما هو مشكوك الجزئية بالبراءة ، لإطلاق ما دلّ على وضع ما حجب علمه ، فظاهر السقوط ؛ لأنّ من المقرّر في مقامه أنّ الجزئية ليست من الأحكام الجعلية الموضوعية حتّى تكون </w:t>
      </w:r>
      <w:r>
        <w:rPr>
          <w:rStyle w:val="FootnoteAnchor"/>
          <w:rtl w:val="true"/>
        </w:rPr>
        <w:footnoteReference w:id="1962"/>
      </w:r>
      <w:r>
        <w:rPr>
          <w:rFonts w:ascii="Amiri" w:hAnsi="Amiri" w:eastAsia="Amiri" w:cs="Amiri"/>
          <w:color w:val="111111"/>
          <w:sz w:val="28"/>
          <w:sz w:val="28"/>
          <w:szCs w:val="28"/>
          <w:rtl w:val="true"/>
          <w:lang w:bidi="ar-SA"/>
        </w:rPr>
        <w:t xml:space="preserve">مرفوعة عند عدم العلم بها ، فإنّها كالكلّية منتزعة من خطاب الشارع بوجوب الإتيان بالفاتحة مثلا ، فكما أنّ الكلّية ليست إلاّ ما ينتزعها العقل من لزوم الإتيان بعدّة أمور مرتبطة بعضها بآخر في </w:t>
      </w:r>
    </w:p>
    <w:p>
      <w:pPr>
        <w:pStyle w:val="BookText"/>
        <w:rPr/>
      </w:pPr>
      <w:r>
        <w:rPr>
          <w:rFonts w:ascii="Amiri" w:hAnsi="Amiri" w:eastAsia="Amiri" w:cs="Amiri"/>
          <w:color w:val="111111"/>
          <w:sz w:val="28"/>
          <w:sz w:val="28"/>
          <w:szCs w:val="28"/>
          <w:rtl w:val="true"/>
          <w:lang w:bidi="ar-SA"/>
        </w:rPr>
        <w:t xml:space="preserve">ترتيب آثارها عليها ، فكذا الجزئية ليست إلاّ ما يعتبرها العقل بعد اعتبار الشارع شيئا في أمر ، أو بعد الأمر بإتيان أمر مركّب ، ويظهر ذلك عند الرجوع إلى حالات الموالي في طلبهم الأمور المركّبة كالمعاجين ونحوها ، فإنّ المنشأ للمولى ليس إلاّ طلب تلك الماهيّة المركّبة ، وأمّا كونها مركّبة ، أو كون الأمر الفلاني جزءا ، فليس إلاّ من اعتبارات العقل واختراعاته كما لا يخفى على الفطن ، وكيف ما كان إنّ الجزئية ليست من الأمور الجعلية الموضوعية </w:t>
      </w:r>
      <w:r>
        <w:rPr>
          <w:rStyle w:val="FootnoteAnchor"/>
          <w:rtl w:val="true"/>
        </w:rPr>
        <w:footnoteReference w:id="1963"/>
      </w:r>
      <w:r>
        <w:rPr>
          <w:rFonts w:ascii="Amiri" w:hAnsi="Amiri" w:eastAsia="Amiri" w:cs="Amiri"/>
          <w:color w:val="111111"/>
          <w:sz w:val="28"/>
          <w:sz w:val="28"/>
          <w:szCs w:val="28"/>
          <w:rtl w:val="true"/>
          <w:lang w:bidi="ar-SA"/>
        </w:rPr>
        <w:t xml:space="preserve">وما لا وضع لها لا رفع فيها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إنّما بعمومها شاملة للجزء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نفي الحكم التكليفي بجريان البراءة في وجوب الجزء ، فهو أيضا ممّا لا شكّ في فساده ؛ إذ لا معنى لنفي وجوب الجزء </w:t>
      </w:r>
      <w:r>
        <w:rPr>
          <w:rStyle w:val="FootnoteAnchor"/>
          <w:rtl w:val="true"/>
        </w:rPr>
        <w:footnoteReference w:id="1967"/>
      </w:r>
      <w:r>
        <w:rPr>
          <w:rFonts w:ascii="Amiri" w:hAnsi="Amiri" w:eastAsia="Amiri" w:cs="Amiri"/>
          <w:color w:val="111111"/>
          <w:sz w:val="28"/>
          <w:sz w:val="28"/>
          <w:szCs w:val="28"/>
          <w:rtl w:val="true"/>
          <w:lang w:bidi="ar-SA"/>
        </w:rPr>
        <w:t>إلاّ نفي وجوب الكلّ ، فإنّ ترك الجزء عين ترك الكلّ ، فإنّه عبارة عن مجموع الأجزاء ، فترك البعض عين ترك المجموع ، وهذا ظاهر سيّما بعد ملاحظة ما قرّر في محلّه من أنّ وجوب المقدّمة لا يغاير وجوب ذيها حيث إنّها ليست مطلوبة في نفسها وفي حدّ ذاتها ، وإنّما مطلوبيّتها للغير وللإيصال إليه ولما أنّ من المقرّر في مقامه أنّ لحوق حكم بشيء باعتبار إنّما هو لحوقه بذلك الاعتبار ، فالإيصال هو المطلوب ، والمطلوب منه هو الوصول إلى ذيها ، والمطلوب منه هو نفس الواجب ، فالوجوب الواحد منسوب إلى ذيها ، وبهذا الاعتبار نفسي ، وقد ينسب إلى مقدّمته ، وبهذا الاعتبار تبعي كالدلالة الواحدة القائمة باللفظ عند انتسابها إلى تمام المعنى الموضوع له وإلى جزئه ، أو لازمه كما لا يخفى ، ومن هنا يعلم وجه عدم الفرق بين قلّة المقدّمات وكثرتها في إنشاء الأوامر العرفية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فلا معنى لوجوب الجزء إلاّ وجوب الكلّ ، ويلزمه </w:t>
      </w:r>
      <w:r>
        <w:rPr>
          <w:rStyle w:val="FootnoteAnchor"/>
          <w:rtl w:val="true"/>
        </w:rPr>
        <w:footnoteReference w:id="1968"/>
      </w:r>
      <w:r>
        <w:rPr>
          <w:rFonts w:ascii="Amiri" w:hAnsi="Amiri" w:eastAsia="Amiri" w:cs="Amiri"/>
          <w:color w:val="111111"/>
          <w:sz w:val="28"/>
          <w:sz w:val="28"/>
          <w:szCs w:val="28"/>
          <w:rtl w:val="true"/>
          <w:lang w:bidi="ar-SA"/>
        </w:rPr>
        <w:t xml:space="preserve">نفي وجوب الكلّ </w:t>
      </w:r>
      <w:bookmarkStart w:id="253" w:name="pg16273_211901"/>
    </w:p>
    <w:p>
      <w:pPr>
        <w:pStyle w:val="BookText"/>
        <w:rPr/>
      </w:pPr>
      <w:bookmarkEnd w:id="253"/>
      <w:r>
        <w:rPr>
          <w:rFonts w:ascii="Amiri" w:hAnsi="Amiri" w:eastAsia="Amiri" w:cs="Amiri"/>
          <w:color w:val="111111"/>
          <w:sz w:val="28"/>
          <w:sz w:val="28"/>
          <w:szCs w:val="28"/>
          <w:rtl w:val="true"/>
          <w:lang w:bidi="ar-SA"/>
        </w:rPr>
        <w:t xml:space="preserve">عند نفي وجوبه على ما هو ظاهر ، فلا مجال في جريان البراءة في الأجزاء إلاّ بالنسبة إلى الأحكام الوضعية ، ولا بالنسبة إلى الأحكام التكليفية كما عرفت ، وستعرف تحقيق القول في المقام الثاني ، فتدبّر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4803632_1280447820"/>
      <w:bookmarkStart w:id="255" w:name="_Toc88"/>
      <w:bookmarkEnd w:id="254"/>
      <w:r>
        <w:rPr>
          <w:rtl w:val="true"/>
        </w:rPr>
        <w:t>المقام الثاني</w:t>
      </w:r>
      <w:bookmarkEnd w:id="255"/>
    </w:p>
    <w:p>
      <w:pPr>
        <w:pStyle w:val="BookText"/>
        <w:rPr/>
      </w:pPr>
      <w:r>
        <w:rPr>
          <w:rFonts w:ascii="Amiri" w:hAnsi="Amiri" w:eastAsia="Amiri" w:cs="Amiri"/>
          <w:color w:val="111111"/>
          <w:sz w:val="28"/>
          <w:sz w:val="28"/>
          <w:szCs w:val="28"/>
          <w:rtl w:val="true"/>
          <w:lang w:bidi="ar-SA"/>
        </w:rPr>
        <w:t xml:space="preserve">إنّ مناط القول بالاحتياط في جميع الأصول المتقدّمة هو وجود العلم الإجمالي بين شيئين أو أشياء على وجه لم يكن هناك طريق محصّل للامتثال في أحد الأطراف إمّا لفقده رأسا كالبيّنة ونحوها من الأمارات الشرعية في الموضوعات وأدلّتها في الأحكام ، أو لتعارضه كالبراءة في الشبهة المحصورة والشبهة الحكمية المرادية كما مرّ ، وهذا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الاشتغال واردة على البراءة بخلاف ما إذا كان في أحد الأطراف طريق سلوكه يحصّل الامتثال كما إذا كان الأصل جاريا فيه من غير معارضة بجريانه في الطرف الآخر كما هو مفاد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البراءة واردة على الاشتغال ، فإنّه على ما قرّرنا في ثالث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الجمع بين مفاد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الحكم بالبدلية الجعلية على وجه لا يترتّب عليه العقاب المترتّب على الواقع فيما لو كان الواقع في ضمن الطرف المعمول فيه أصل البراءة ، أو مطلق ذلك الطريق ، وعلى هذا فنقول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القائل بالبراءة إن أراد جريان البراءة في الجزء ، فقد عرفت في المقام الأوّل فساده ، وإن أراد إجراء البراءة في الكلّ وهو الأكثر ، فهو وإن كان جاريا إلاّ أنّه معارض بأصالة البراءة من الأقلّ ، فالعلم الإجمالي موجود بين الأقلّ والأكثر مع عدم طريق محصّل للامتثال ، فلا بدّ من الاحتياط والإتيان بالأكثر دفعا للعقاب المقطوع المردّد بين الأقلّ والأكثر ؛ إذ العمل بالبراءة فيهما يلازم المخالفة القطعية ، وفي أحدهما </w:t>
      </w:r>
    </w:p>
    <w:p>
      <w:pPr>
        <w:pStyle w:val="BookText"/>
        <w:rPr/>
      </w:pPr>
      <w:r>
        <w:rPr>
          <w:rFonts w:ascii="Amiri" w:hAnsi="Amiri" w:eastAsia="Amiri" w:cs="Amiri"/>
          <w:color w:val="111111"/>
          <w:sz w:val="28"/>
          <w:sz w:val="28"/>
          <w:szCs w:val="28"/>
          <w:rtl w:val="true"/>
          <w:lang w:bidi="ar-SA"/>
        </w:rPr>
        <w:t xml:space="preserve">دون الآخر ترجيح بلا مرجّح فيما لو كان معيّنا ، ولا جدوى فيه فيما لو كان غير معيّن من غير فرق بين المقام والمتباينين إلاّ أنّ </w:t>
      </w:r>
      <w:r>
        <w:rPr>
          <w:rStyle w:val="FootnoteAnchor"/>
          <w:rtl w:val="true"/>
        </w:rPr>
        <w:footnoteReference w:id="1970"/>
      </w:r>
      <w:r>
        <w:rPr>
          <w:rFonts w:ascii="Amiri" w:hAnsi="Amiri" w:eastAsia="Amiri" w:cs="Amiri"/>
          <w:color w:val="111111"/>
          <w:sz w:val="28"/>
          <w:sz w:val="28"/>
          <w:szCs w:val="28"/>
          <w:rtl w:val="true"/>
          <w:lang w:bidi="ar-SA"/>
        </w:rPr>
        <w:t>الاحتياط في المقام في فعل الأكثر فقط من غير حاجة إلى فعل الأقلّ مرّة ثانية بخلاف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باختيار </w:t>
      </w:r>
      <w:r>
        <w:rPr>
          <w:rStyle w:val="FootnoteAnchor"/>
          <w:rtl w:val="true"/>
        </w:rPr>
        <w:footnoteReference w:id="1971"/>
      </w:r>
      <w:r>
        <w:rPr>
          <w:rFonts w:ascii="Amiri" w:hAnsi="Amiri" w:eastAsia="Amiri" w:cs="Amiri"/>
          <w:color w:val="111111"/>
          <w:sz w:val="28"/>
          <w:sz w:val="28"/>
          <w:szCs w:val="28"/>
          <w:rtl w:val="true"/>
          <w:lang w:bidi="ar-SA"/>
        </w:rPr>
        <w:t>كلّ من الشقّين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جريان البراءة في الجزء ،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جريان البراءة في الجزء من حيث الحكم الوضعي مسلّم ، لعدم مجعوليته عندنا ، وأمّا عدم إمكان جريانها من حيث الحكم التكليفي ، فغير مسلّم ؛ إذ لا معنى لأدلّة البراءة إلاّ رفع الضيق وإثبات السعة ، ولا شكّ في أنّ في فعل الجزء ضيقا ، فعند عدم العلم به ، فهو مرفوع كما لا يخفى ، ولا يثمر في ذلك رجوعه إلى نفي الكلّ ، فإنّ هذا هو بعينه معنى وجوبه الغيري ، ولا يدّعي أحد أنّ الجزء واجب </w:t>
      </w:r>
      <w:r>
        <w:rPr>
          <w:rStyle w:val="FootnoteAnchor"/>
          <w:rtl w:val="true"/>
        </w:rPr>
        <w:footnoteReference w:id="1973"/>
      </w:r>
      <w:r>
        <w:rPr>
          <w:rFonts w:ascii="Amiri" w:hAnsi="Amiri" w:eastAsia="Amiri" w:cs="Amiri"/>
          <w:color w:val="111111"/>
          <w:sz w:val="28"/>
          <w:sz w:val="28"/>
          <w:szCs w:val="28"/>
          <w:rtl w:val="true"/>
          <w:lang w:bidi="ar-SA"/>
        </w:rPr>
        <w:t xml:space="preserve">نفسي ، وقد عرفت أيضا تساوي نسبة أدلّة البراءة إليهما </w:t>
      </w:r>
      <w:r>
        <w:rPr>
          <w:rStyle w:val="FootnoteAnchor"/>
          <w:rtl w:val="true"/>
        </w:rPr>
        <w:footnoteReference w:id="1974"/>
      </w:r>
      <w:r>
        <w:rPr>
          <w:rFonts w:ascii="Amiri" w:hAnsi="Amiri" w:eastAsia="Amiri" w:cs="Amiri"/>
          <w:color w:val="111111"/>
          <w:sz w:val="28"/>
          <w:sz w:val="28"/>
          <w:szCs w:val="28"/>
          <w:rtl w:val="true"/>
          <w:lang w:bidi="ar-SA"/>
        </w:rPr>
        <w:t xml:space="preserve">كما مرّ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جريان البراءة في الكلّ والأكثر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معارض بأصالة البراءة عن الأقلّ سقطة </w:t>
      </w:r>
      <w:r>
        <w:rPr>
          <w:rStyle w:val="FootnoteAnchor"/>
          <w:rtl w:val="true"/>
        </w:rPr>
        <w:footnoteReference w:id="1976"/>
      </w:r>
      <w:r>
        <w:rPr>
          <w:rFonts w:ascii="Amiri" w:hAnsi="Amiri" w:eastAsia="Amiri" w:cs="Amiri"/>
          <w:color w:val="111111"/>
          <w:sz w:val="28"/>
          <w:sz w:val="28"/>
          <w:szCs w:val="28"/>
          <w:rtl w:val="true"/>
          <w:lang w:bidi="ar-SA"/>
        </w:rPr>
        <w:t xml:space="preserve">واشتباه ، بيان ذلك أنّه قد مرّ في بعض الشبهات في الشبهة المحصورة عدم اعتبار العلم الإجمالي الواقع بين شيئين فيما إذا كان المعلوم </w:t>
      </w:r>
      <w:r>
        <w:rPr>
          <w:rStyle w:val="FootnoteAnchor"/>
          <w:rtl w:val="true"/>
        </w:rPr>
        <w:footnoteReference w:id="1977"/>
      </w:r>
      <w:r>
        <w:rPr>
          <w:rFonts w:ascii="Amiri" w:hAnsi="Amiri" w:eastAsia="Amiri" w:cs="Amiri"/>
          <w:color w:val="111111"/>
          <w:sz w:val="28"/>
          <w:sz w:val="28"/>
          <w:szCs w:val="28"/>
          <w:rtl w:val="true"/>
          <w:lang w:bidi="ar-SA"/>
        </w:rPr>
        <w:t xml:space="preserve">الإجمالي معلوما تفصيليا </w:t>
      </w:r>
      <w:r>
        <w:rPr>
          <w:rStyle w:val="FootnoteAnchor"/>
          <w:rtl w:val="true"/>
        </w:rPr>
        <w:footnoteReference w:id="1978"/>
      </w:r>
      <w:r>
        <w:rPr>
          <w:rFonts w:ascii="Amiri" w:hAnsi="Amiri" w:eastAsia="Amiri" w:cs="Amiri"/>
          <w:color w:val="111111"/>
          <w:sz w:val="28"/>
          <w:sz w:val="28"/>
          <w:szCs w:val="28"/>
          <w:rtl w:val="true"/>
          <w:lang w:bidi="ar-SA"/>
        </w:rPr>
        <w:t>في أحد الطرفين من جهة أخرى ؛ لرجوع الشكّ فيه إلى الشبهة البدوية كما إذا علمنا بنجاسة إناء مخصوص كأن علمنا بأنّه بول ، ثمّ علمنا بعد ذلك إجمالا بوقوع نجاسة أخرى في أحد الإناءين على وجه لا يختلف حكمها حكم البول في كيفية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ظاهر ، وما نحن فيه من هذا القبيل إذ وجوب الأقلّ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من حيث كونه واجبا غيريا مرادا في ضمن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وقد علمنا بترتّب العقاب على تركه وإن لم نعلم أنّ العقاب المستند إلى ترك الأقلّ إنّما هو ممّا يترتّب على تركه بنفسه ، أو بواسطة انجراره إلى ترك الأكثر ، فإنّه على ما عرفت في الأمور المتقدّمة ممّا لا يعقل هذا الاستفصال بعد ما علم أيضا من أنّ المقصود الأصلي والداعي الواقعي لعامّة المكلّفين هو الفرار عن العقاب ، والعلم الإجمالي المردّد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الأقلّ والأكثر بعد معلومية وجوب الأقلّ من هذه الجهة غير مجد ؛ إذ من المعلوم أنّ العقاب المترتّب على الأقلّ فيما لو كان الأقلّ واجبا نفسيا لا يخالف عقابه فيما لو كان واجبا غيريا والعقل نظره مقصور على دفع العقاب المعلوم ، فيبقى عقاب الأكثر مشكوكا صرفا من غير معارضة لعقاب الأقلّ ، فإنّ من المعلوم عدم اعتبار الحيثية النفسية المجهولة في الأقلّ بعد القطع بترتّب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للأقلّ حالتان واعتباران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لا </w:t>
      </w:r>
      <w:r>
        <w:rPr>
          <w:rStyle w:val="FootnoteAnchor"/>
          <w:rtl w:val="true"/>
        </w:rPr>
        <w:footnoteReference w:id="1979"/>
      </w:r>
      <w:r>
        <w:rPr>
          <w:rFonts w:ascii="Amiri" w:hAnsi="Amiri" w:eastAsia="Amiri" w:cs="Amiri"/>
          <w:color w:val="111111"/>
          <w:sz w:val="28"/>
          <w:sz w:val="28"/>
          <w:szCs w:val="28"/>
          <w:rtl w:val="true"/>
          <w:lang w:bidi="ar-SA"/>
        </w:rPr>
        <w:t xml:space="preserve">بشرط شيء ، وهو بهذا الاعتبار واجب غيري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بشرط عدم اعتبار شيء فيه ، وهو بهذا الاعتبار واجب نفسي ، وقد علمنا بترتّب العقاب على ذات الأقلّ عند المخالفة وعدم الامتثال بالنسبة إليه ، ولا بدّ من دفعه ، ولا يزيد عقابه فيما لو كان واجبا نفسيا على عقابه فيما لو كان واجبا غيريا ، والحيثية المجهولة في الأقلّ ممّا لا يترتّب عليها شيء ، والأصل براءة الذمّة عن الأكثر ، وحيث إنّ البراءة طريق شرعي جعلي محصّل للامتثال ، فلا بدّ من الأخذ بها كما هو مورد ورود البراءة على الاحتياط ، فإنّه على ما قرّر فيما إذا كان أحد الأطراف موردا للبراءة دون غيرها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البراءة لا يرد على الاشتغال ، فقد عرفت أيضا أنّ مورده فيما إذا لم يكن اختصاص البراءة بأحد الأطراف لئلاّ يلزم ارتفاع الامتثال مطلقا كما لا يخفى ، فعند التأمّل مرجع الأمر إلى وجوب أجزاء معلومة ، والشكّ في جزء غير معلوم كما في </w:t>
      </w:r>
      <w:bookmarkStart w:id="256" w:name="pg16273_211904"/>
    </w:p>
    <w:p>
      <w:pPr>
        <w:pStyle w:val="BookText"/>
        <w:rPr/>
      </w:pPr>
      <w:bookmarkEnd w:id="256"/>
      <w:r>
        <w:rPr>
          <w:rFonts w:ascii="Amiri" w:hAnsi="Amiri" w:eastAsia="Amiri" w:cs="Amiri"/>
          <w:color w:val="111111"/>
          <w:sz w:val="28"/>
          <w:sz w:val="28"/>
          <w:szCs w:val="28"/>
          <w:rtl w:val="true"/>
          <w:lang w:bidi="ar-SA"/>
        </w:rPr>
        <w:t>الأقلّ والأكثر الاستقلاليين ؛ إذ لا أثر للعلم الإجمالي الدائر بين الأقلّ والأكثر عدى ما يترتّب على الأقلّ في الجملة كما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أنّ العلم الإجمالي أحد أطرافه هو الأقلّ بشرط لا ، وهذه الجهة وإن كانت مجهولة إلاّ أنّها على تقدير معلوميتها ممّا لا يترتّب عليها عقاب زائد حاصل من ترك كلّ من الأجزاء المستلزم لترك المركّب ، فالعقاب الذي هو المحذور في أمثال المقام متعيّن معلوم في جانب الأقلّ ، والعقاب في جانب الأكثر يبقى مشكوكا صرفا فيجري فيه البراءة ، فمرجعه في الحقيقة بالنسبة إلى العقاب إلى علم تفصيلي في جانب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شكّ تفصيلي في جانب الأكثر وإن كان الأقلّ بوصف أنّه بشرط لا من جملة أطراف العلم الإجمالي في مقابل الأكثر كما لا يخفى ، فتدبّر في المقام كي لا تشتبه </w:t>
      </w:r>
      <w:r>
        <w:rPr>
          <w:rStyle w:val="FootnoteAnchor"/>
          <w:rtl w:val="true"/>
        </w:rPr>
        <w:footnoteReference w:id="1980"/>
      </w:r>
      <w:r>
        <w:rPr>
          <w:rFonts w:ascii="Amiri" w:hAnsi="Amiri" w:eastAsia="Amiri" w:cs="Amiri"/>
          <w:color w:val="111111"/>
          <w:sz w:val="28"/>
          <w:sz w:val="28"/>
          <w:szCs w:val="28"/>
          <w:rtl w:val="true"/>
          <w:lang w:bidi="ar-SA"/>
        </w:rPr>
        <w:t>عليك حقيقة الحال ، فإنّ العلم الإجمالي في المقام ممّا لا يترتّب عليه شيء بخلاف المتباينين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803634_1280447820"/>
      <w:bookmarkStart w:id="258" w:name="_Toc89"/>
      <w:bookmarkEnd w:id="257"/>
      <w:r>
        <w:rPr>
          <w:rtl w:val="true"/>
        </w:rPr>
        <w:t>المقام الثالث</w:t>
      </w:r>
      <w:bookmarkEnd w:id="25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بعد تسليم الجريان وعدم المعارضة بمثله ، فلا جدوى فيه ، إذ العلم الإجمالي المردّد بين الأقلّ والأكثر مقتضاه إحراز عنوان المأمور به في الخارج على وجه يصدق على العمل في الخارج عنوان الذي تعلّق الأمر به إمّا تفصيلا فيما لو علم كذلك ، وإمّا إجمالا بإتيان ما يحتمل أن يكون هو العنوان المأمور به فيما لو كان معلوما إجمالا ، وغاية ما يترتّب على الأصل في المقام هو نفي الأكثر فإن أريد مع ذلك إثبات أنّ الأقلّ هو المأمور به على وجه يصدق عليه عنوانه ، فغير سديد ؛ لأنّ الأصول المثبتة مطلقا ممّا لا تعويل عليها لا في الاستصحاب ولا في غيرها ، فنفي الأكثر لا يثبت أنّ المأمور به هو الأقلّ ، وإن أريد مجرّد نفي الأكثر من غير إرادة إثبات أنّ الباقي هو </w:t>
      </w:r>
    </w:p>
    <w:p>
      <w:pPr>
        <w:pStyle w:val="BookText"/>
        <w:rPr/>
      </w:pPr>
      <w:r>
        <w:rPr>
          <w:rFonts w:ascii="Amiri" w:hAnsi="Amiri" w:eastAsia="Amiri" w:cs="Amiri"/>
          <w:color w:val="111111"/>
          <w:sz w:val="28"/>
          <w:sz w:val="28"/>
          <w:szCs w:val="28"/>
          <w:rtl w:val="true"/>
          <w:lang w:bidi="ar-SA"/>
        </w:rPr>
        <w:t xml:space="preserve">المأمور به ، فلا جدوى فيه ألا ترى أنّ ما ذكر في المقامين الأوّلين من جريان الأصل وعدم معارضته </w:t>
      </w:r>
      <w:r>
        <w:rPr>
          <w:rStyle w:val="FootnoteAnchor"/>
          <w:rtl w:val="true"/>
        </w:rPr>
        <w:footnoteReference w:id="1981"/>
      </w:r>
      <w:r>
        <w:rPr>
          <w:rFonts w:ascii="Amiri" w:hAnsi="Amiri" w:eastAsia="Amiri" w:cs="Amiri"/>
          <w:color w:val="111111"/>
          <w:sz w:val="28"/>
          <w:sz w:val="28"/>
          <w:szCs w:val="28"/>
          <w:rtl w:val="true"/>
          <w:lang w:bidi="ar-SA"/>
        </w:rPr>
        <w:t xml:space="preserve">بمثله إنّما هو موجود في الشبهة المصداقية فيما إذا دار الأمر بين الأقلّ والأكثر الارتباطيين كما إذا نذر صوم رجب وشكّ في يوم أنّه من أيّامه ، أو لا ، ومع ذلك فقد </w:t>
      </w:r>
      <w:r>
        <w:rPr>
          <w:rStyle w:val="FootnoteAnchor"/>
          <w:rtl w:val="true"/>
        </w:rPr>
        <w:footnoteReference w:id="1982"/>
      </w:r>
      <w:r>
        <w:rPr>
          <w:rFonts w:ascii="Amiri" w:hAnsi="Amiri" w:eastAsia="Amiri" w:cs="Amiri"/>
          <w:color w:val="111111"/>
          <w:sz w:val="28"/>
          <w:sz w:val="28"/>
          <w:szCs w:val="28"/>
          <w:rtl w:val="true"/>
          <w:lang w:bidi="ar-SA"/>
        </w:rPr>
        <w:t xml:space="preserve">عرفت أنّ المتّجه فيها هو الأخذ بالاحتياط ؛ لأنّ البراءة عن الزائد لا توجب </w:t>
      </w:r>
      <w:r>
        <w:rPr>
          <w:rStyle w:val="FootnoteAnchor"/>
          <w:rtl w:val="true"/>
        </w:rPr>
        <w:footnoteReference w:id="1983"/>
      </w:r>
      <w:r>
        <w:rPr>
          <w:rFonts w:ascii="Amiri" w:hAnsi="Amiri" w:eastAsia="Amiri" w:cs="Amiri"/>
          <w:color w:val="111111"/>
          <w:sz w:val="28"/>
          <w:sz w:val="28"/>
          <w:szCs w:val="28"/>
          <w:rtl w:val="true"/>
          <w:lang w:bidi="ar-SA"/>
        </w:rPr>
        <w:t>صدق عنوان المأمور به على العمل في الخارج على ما هو المعتبر في صدق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بدّ من إيجاد عنوان المأمور به في الخارج ليتحقّق الإطاعة وصدق الامتثال ، ولا شكّ أنّ الأكثر ممّا يصدق معه الامتثال بدون الأقلّ ، وذلك مشاهد </w:t>
      </w:r>
      <w:r>
        <w:rPr>
          <w:rStyle w:val="FootnoteAnchor"/>
          <w:rtl w:val="true"/>
        </w:rPr>
        <w:footnoteReference w:id="1984"/>
      </w:r>
      <w:r>
        <w:rPr>
          <w:rFonts w:ascii="Amiri" w:hAnsi="Amiri" w:eastAsia="Amiri" w:cs="Amiri"/>
          <w:color w:val="111111"/>
          <w:sz w:val="28"/>
          <w:sz w:val="28"/>
          <w:szCs w:val="28"/>
          <w:rtl w:val="true"/>
          <w:lang w:bidi="ar-SA"/>
        </w:rPr>
        <w:t>في الأوامر العرفية كما فيما لو أمر المولى بعبده إتيان معجون كذائي مبرّد مسهّل للصفراء ، وعلم العبد بجملة من أجزائه ، وشكّ في جزء آخر منه ، فإنّ عنوان المعجون المبرّد لا يصدق في الخارج إلاّ بعد الاحتياط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فبالنقض فإنّ القائل بالاحتياط أيضا يرد عليه مثل ما ذكر ، فإنّ الاحتياط لا يثبت أنّ الأكثر هو المأمور به وإن كان يحصل معه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أنّ في المقام أمور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بشرط عدم وجود جزء آخر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بشرط عدم وجوب جزء آخر معه على وجه لا يمنع عن صحّة الأجزاء الأخر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بشرط وجوب جزء آخر وهو الأكثر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أنّ الأصل لا يثبت أنّ الأقلّ بشرط عدم وجود الجزء الآخر هو المأمور به ، فهو كذلك إلاّ أنّ المدّعى غيره وإن أراد أنّ الأصل لا يثبت أنّ المأمور به هو الأقلّ </w:t>
      </w:r>
    </w:p>
    <w:p>
      <w:pPr>
        <w:pStyle w:val="BookText"/>
        <w:rPr/>
      </w:pPr>
      <w:r>
        <w:rPr>
          <w:rFonts w:ascii="Amiri" w:hAnsi="Amiri" w:eastAsia="Amiri" w:cs="Amiri"/>
          <w:color w:val="111111"/>
          <w:sz w:val="28"/>
          <w:sz w:val="28"/>
          <w:szCs w:val="28"/>
          <w:rtl w:val="true"/>
          <w:lang w:bidi="ar-SA"/>
        </w:rPr>
        <w:t xml:space="preserve">بشرط عدم وجوب الجزء المشكوك ، ففساده ظاهر ؛ إذ المفروض ثبوت وجوب الأقلّ ، وأمّا نفي المشكوك ، فهو عين مفاد الأصل ومحلّ جريانه ، وليس من لوازم الحكم المنفيّ بالبراءة حتّى يكون مثبتا ، فالأصل المثبت ممّا لا تعويل عليه كما ستعرف </w:t>
      </w:r>
      <w:r>
        <w:rPr>
          <w:rStyle w:val="FootnoteAnchor"/>
          <w:rtl w:val="true"/>
        </w:rPr>
        <w:footnoteReference w:id="1985"/>
      </w:r>
      <w:r>
        <w:rPr>
          <w:rFonts w:ascii="Amiri" w:hAnsi="Amiri" w:eastAsia="Amiri" w:cs="Amiri"/>
          <w:color w:val="111111"/>
          <w:sz w:val="28"/>
          <w:sz w:val="28"/>
          <w:szCs w:val="28"/>
          <w:rtl w:val="true"/>
          <w:lang w:bidi="ar-SA"/>
        </w:rPr>
        <w:t>إلاّ أنّ المقام ليس من الأصول المثبتة ؛ إذ ليس المقصود من إجراء الأصل إثبات أنّ الأجزاء المعلومة هي المأمور بها فقط على وجه يكون الإتيان بالأجزاء المشكوكة مانعا عن صحّة الصلاة بل المقصود إثبات أنّ الأجزاء الواجبة هي هذه فقط على وجه لا يكون الغير واجبا ، وقد عرفت أنّ نفي الوجوب إنّما هو عين مفاد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فرق بين القائل بالبراءة والقائل بالاحتياط في عدم إتيان كلّ منهما بعنوان المأمور به إلاّ أنّ المحتاط يأتي بما يوجد معه المأمور به واقعا ، والقائل بالبراءة بما يحصل معه الامتثال شرعا ؛ لما عرفت من أنّ الأصل فيما هو المقصود ليس مثبتا كما زعمه بعض الأجلّة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 فبالحلّ ، وتحقيقه يحتاج إلى تمهيد مقدّمة وهي أنّ ذوات الموجودات الخارجية قد تصير معنونة بعنوانات مختلفة ومحكيا عنها بحكايات </w:t>
      </w:r>
      <w:r>
        <w:rPr>
          <w:rStyle w:val="FootnoteAnchor"/>
          <w:rtl w:val="true"/>
        </w:rPr>
        <w:footnoteReference w:id="1987"/>
      </w:r>
      <w:r>
        <w:rPr>
          <w:rFonts w:ascii="Amiri" w:hAnsi="Amiri" w:eastAsia="Amiri" w:cs="Amiri"/>
          <w:color w:val="111111"/>
          <w:sz w:val="28"/>
          <w:sz w:val="28"/>
          <w:szCs w:val="28"/>
          <w:rtl w:val="true"/>
          <w:lang w:bidi="ar-SA"/>
        </w:rPr>
        <w:t xml:space="preserve">متعدّدة ومصدوقة لمفاهيم متكثّرة ، فكلّما كانت ذات منها متعلّقة للطلب </w:t>
      </w:r>
      <w:r>
        <w:rPr>
          <w:rStyle w:val="FootnoteAnchor"/>
          <w:rtl w:val="true"/>
        </w:rPr>
        <w:footnoteReference w:id="1988"/>
      </w:r>
      <w:r>
        <w:rPr>
          <w:rFonts w:ascii="Amiri" w:hAnsi="Amiri" w:eastAsia="Amiri" w:cs="Amiri"/>
          <w:color w:val="111111"/>
          <w:sz w:val="28"/>
          <w:sz w:val="28"/>
          <w:szCs w:val="28"/>
          <w:rtl w:val="true"/>
          <w:lang w:bidi="ar-SA"/>
        </w:rPr>
        <w:t xml:space="preserve">بعنوان منها ، فيجب إيجادها معنونة بذلك العنوان وليس كلّ ما يعبّر عنه بشيء حكاية لذلك الشيء ؛ إذ ليس المراد بها مجرّد اللفظ والتعبير ، فإنّ اللفظ إنّما هو </w:t>
      </w:r>
      <w:r>
        <w:rPr>
          <w:rStyle w:val="FootnoteAnchor"/>
          <w:rtl w:val="true"/>
        </w:rPr>
        <w:footnoteReference w:id="1989"/>
      </w:r>
      <w:r>
        <w:rPr>
          <w:rFonts w:ascii="Amiri" w:hAnsi="Amiri" w:eastAsia="Amiri" w:cs="Amiri"/>
          <w:color w:val="111111"/>
          <w:sz w:val="28"/>
          <w:sz w:val="28"/>
          <w:szCs w:val="28"/>
          <w:rtl w:val="true"/>
          <w:lang w:bidi="ar-SA"/>
        </w:rPr>
        <w:t xml:space="preserve">معبّر عن مفهوم هو عنوان لذات الفعل الخارجي الصادر من زيد مثلا ، فقد يكون </w:t>
      </w:r>
      <w:r>
        <w:rPr>
          <w:rStyle w:val="FootnoteAnchor"/>
          <w:rtl w:val="true"/>
        </w:rPr>
        <w:footnoteReference w:id="1990"/>
      </w:r>
      <w:r>
        <w:rPr>
          <w:rFonts w:ascii="Amiri" w:hAnsi="Amiri" w:eastAsia="Amiri" w:cs="Amiri"/>
          <w:color w:val="111111"/>
          <w:sz w:val="28"/>
          <w:sz w:val="28"/>
          <w:szCs w:val="28"/>
          <w:rtl w:val="true"/>
          <w:lang w:bidi="ar-SA"/>
        </w:rPr>
        <w:t xml:space="preserve">بعض الألفاظ ممّا لا يعقل له معنى حتّى يكون عنوانا لذات الفعل الخارجي كما إذا كان اللفظ مجملا فإذا تعلّق الطلب بإيجاد ذات من الذوات ، فإن كانت تلك الذات </w:t>
      </w:r>
      <w:r>
        <w:rPr>
          <w:rStyle w:val="FootnoteAnchor"/>
          <w:rtl w:val="true"/>
        </w:rPr>
        <w:footnoteReference w:id="1991"/>
      </w:r>
      <w:r>
        <w:rPr>
          <w:rFonts w:ascii="Amiri" w:hAnsi="Amiri" w:eastAsia="Amiri" w:cs="Amiri"/>
          <w:color w:val="111111"/>
          <w:sz w:val="28"/>
          <w:sz w:val="28"/>
          <w:szCs w:val="28"/>
          <w:rtl w:val="true"/>
          <w:lang w:bidi="ar-SA"/>
        </w:rPr>
        <w:t xml:space="preserve">معنونة بعنوان خاصّ ، فلا بدّ </w:t>
      </w:r>
    </w:p>
    <w:p>
      <w:pPr>
        <w:pStyle w:val="BookText"/>
        <w:rPr/>
      </w:pPr>
      <w:r>
        <w:rPr>
          <w:rFonts w:ascii="Amiri" w:hAnsi="Amiri" w:eastAsia="Amiri" w:cs="Amiri"/>
          <w:color w:val="111111"/>
          <w:sz w:val="28"/>
          <w:sz w:val="28"/>
          <w:szCs w:val="28"/>
          <w:rtl w:val="true"/>
          <w:lang w:bidi="ar-SA"/>
        </w:rPr>
        <w:t xml:space="preserve">من الامتثال وإيجاد تلك الذات على وجه يصدق معه ذلك العنوان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فلانا ، فإنّه لا بدّ من إيجاد ذات الإكرام على وجه يصدق معه الإكرام في الخارج ، وإن لم يكن تلك الذات معنونة بعنوان كما إذا دلّ على وجوبها دليل لبّي كالإجماع ، فالواجب هو إيجاد نفس الذات وإن لم يصدق معه عنوان ، ومثل ذلك الألفاظ المجملة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بعين ، ولم يعلم المراد منه هو الذهب ، أو الفضّة ، فإنّ وجوب إحدى الذاتين معلوم بهذا اللفظ المجمل إلاّ أنّه لا يجب إيجاد تلك الذات المعلومة بأحد هذين العنوانين وما ينتزع منه من المفاهيم المختلفة </w:t>
      </w:r>
      <w:r>
        <w:rPr>
          <w:rStyle w:val="FootnoteAnchor"/>
          <w:rtl w:val="true"/>
        </w:rPr>
        <w:footnoteReference w:id="1992"/>
      </w:r>
      <w:r>
        <w:rPr>
          <w:rFonts w:ascii="Amiri" w:hAnsi="Amiri" w:eastAsia="Amiri" w:cs="Amiri"/>
          <w:color w:val="111111"/>
          <w:sz w:val="28"/>
          <w:sz w:val="28"/>
          <w:szCs w:val="28"/>
          <w:rtl w:val="true"/>
          <w:lang w:bidi="ar-SA"/>
        </w:rPr>
        <w:t>والعناوين المتعدّدة ، فليست ممّا يجب تحصيلها وإيجادها ؛ لعدم اعتبارها في الطلب والأمر كالمراد والمأمور به وغير ذلك من وجوه الفعل المتّحدة معه بحسب اختلاف الاعتبارات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 قد تقرّر هذه </w:t>
      </w:r>
      <w:r>
        <w:rPr>
          <w:rStyle w:val="FootnoteAnchor"/>
          <w:rtl w:val="true"/>
        </w:rPr>
        <w:footnoteReference w:id="1993"/>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في المقام فيما إذا قلنا بأنّ الصلاة مجملة ، وليست من المبيّنات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ليس إلاّ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بعين ، فكما أنّ الإلهام ، أو الإجماع لو دلّنا على وجوب شيء ولا يجب إحراز عنوان بعد إيجاد ذات الفعل ، فكذا فيما لو كان اللفظ مجملا ، لما عرفت من أنّ مجرّد </w:t>
      </w:r>
      <w:r>
        <w:rPr>
          <w:rStyle w:val="FootnoteAnchor"/>
          <w:rtl w:val="true"/>
        </w:rPr>
        <w:footnoteReference w:id="1995"/>
      </w:r>
      <w:r>
        <w:rPr>
          <w:rFonts w:ascii="Amiri" w:hAnsi="Amiri" w:eastAsia="Amiri" w:cs="Amiri"/>
          <w:color w:val="111111"/>
          <w:sz w:val="28"/>
          <w:sz w:val="28"/>
          <w:szCs w:val="28"/>
          <w:rtl w:val="true"/>
          <w:lang w:bidi="ar-SA"/>
        </w:rPr>
        <w:t xml:space="preserve">التعبير باللفظ لا يصيّر الذات ذات </w:t>
      </w:r>
      <w:r>
        <w:rPr>
          <w:rStyle w:val="FootnoteAnchor"/>
          <w:rtl w:val="true"/>
        </w:rPr>
        <w:footnoteReference w:id="1996"/>
      </w:r>
      <w:r>
        <w:rPr>
          <w:rFonts w:ascii="Amiri" w:hAnsi="Amiri" w:eastAsia="Amiri" w:cs="Amiri"/>
          <w:color w:val="111111"/>
          <w:sz w:val="28"/>
          <w:sz w:val="28"/>
          <w:szCs w:val="28"/>
          <w:rtl w:val="true"/>
          <w:lang w:bidi="ar-SA"/>
        </w:rPr>
        <w:t xml:space="preserve">عنوان ، واللفظ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يعقل منه معنى ومفهوما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كاشفا عن عنوان حتّى يجب إحرازه تفصيلا كما إذا علم كذلك أو إجمالا كما في المتباينين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انقدح الفرق بين ما نحن بصدده من الأقلّ والأكثر في الشبهة الحكمية وبينه في الشبهة الموضوعية ، فإنّ صوم رجب مفهوم معيّن معلوم وعنوان تفصيلي لذات المأمور به ويجب إحرازه تفصيلا ، ولا يتمّ تحصيل </w:t>
      </w:r>
      <w:r>
        <w:rPr>
          <w:rStyle w:val="FootnoteAnchor"/>
          <w:rtl w:val="true"/>
        </w:rPr>
        <w:footnoteReference w:id="1997"/>
      </w:r>
      <w:r>
        <w:rPr>
          <w:rFonts w:ascii="IRNazanin" w:hAnsi="IRNazanin" w:eastAsia="IRNazanin"/>
          <w:color w:val="111111"/>
          <w:sz w:val="28"/>
          <w:sz w:val="28"/>
          <w:szCs w:val="28"/>
          <w:rtl w:val="true"/>
          <w:lang w:bidi="fa-IR"/>
        </w:rPr>
        <w:t xml:space="preserve">العلم بوجوده وامتثاله إلاّ </w:t>
      </w:r>
    </w:p>
    <w:p>
      <w:pPr>
        <w:pStyle w:val="BookText"/>
        <w:rPr/>
      </w:pPr>
      <w:r>
        <w:rPr>
          <w:rFonts w:ascii="Amiri" w:hAnsi="Amiri" w:eastAsia="Amiri" w:cs="Amiri"/>
          <w:color w:val="111111"/>
          <w:sz w:val="28"/>
          <w:sz w:val="28"/>
          <w:szCs w:val="28"/>
          <w:rtl w:val="true"/>
          <w:lang w:bidi="ar-SA"/>
        </w:rPr>
        <w:t xml:space="preserve">بعد الإتيان بالمأمور به فيما شكّ أنّه منه بخلاف ما نحن فيه ، إذ </w:t>
      </w:r>
      <w:r>
        <w:rPr>
          <w:rStyle w:val="FootnoteAnchor"/>
          <w:rtl w:val="true"/>
        </w:rPr>
        <w:footnoteReference w:id="1998"/>
      </w:r>
      <w:r>
        <w:rPr>
          <w:rFonts w:ascii="Amiri" w:hAnsi="Amiri" w:eastAsia="Amiri" w:cs="Amiri"/>
          <w:color w:val="111111"/>
          <w:sz w:val="28"/>
          <w:sz w:val="28"/>
          <w:szCs w:val="28"/>
          <w:rtl w:val="true"/>
          <w:lang w:bidi="ar-SA"/>
        </w:rPr>
        <w:t xml:space="preserve">ليس هاهنا </w:t>
      </w:r>
      <w:r>
        <w:rPr>
          <w:rStyle w:val="FootnoteAnchor"/>
          <w:rtl w:val="true"/>
        </w:rPr>
        <w:footnoteReference w:id="1999"/>
      </w:r>
      <w:r>
        <w:rPr>
          <w:rFonts w:ascii="Amiri" w:hAnsi="Amiri" w:eastAsia="Amiri" w:cs="Amiri"/>
          <w:color w:val="111111"/>
          <w:sz w:val="28"/>
          <w:sz w:val="28"/>
          <w:szCs w:val="28"/>
          <w:rtl w:val="true"/>
          <w:lang w:bidi="ar-SA"/>
        </w:rPr>
        <w:t xml:space="preserve">إلاّ لفظ الصلاة و </w:t>
      </w:r>
      <w:r>
        <w:rPr>
          <w:rStyle w:val="FootnoteAnchor"/>
          <w:rtl w:val="true"/>
        </w:rPr>
        <w:footnoteReference w:id="2000"/>
      </w:r>
      <w:r>
        <w:rPr>
          <w:rFonts w:ascii="Amiri" w:hAnsi="Amiri" w:eastAsia="Amiri" w:cs="Amiri"/>
          <w:color w:val="111111"/>
          <w:sz w:val="28"/>
          <w:sz w:val="28"/>
          <w:szCs w:val="28"/>
          <w:rtl w:val="true"/>
          <w:lang w:bidi="ar-SA"/>
        </w:rPr>
        <w:t>المفروض إجماله ، فليس على المكلّف إلاّ إتيان ذوات الأجزاء المعلومة ، والأصل يجري في المشكوك من غير معارضة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 الشارع أراد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قطعا ، فلا بدّ من تحصيل مراده ، ولا يحصل إلاّ بالإتيان بالمشكوك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ما علم وجوبه هو نفس ذوات الأجزاء من التكبير والفاتحة والركوع ونحوها ، وإرادة الشارع من لفظ الصلاة شيئا لا يوجب تحصيل المشكوك بعد عدم توقّف صدق عنوان عليه ، وأمّا عنوان المراد به كالمأمور به ونحوه ، فهي ممّا ينتزعه العقل ، وليست </w:t>
      </w:r>
      <w:r>
        <w:rPr>
          <w:rStyle w:val="FootnoteAnchor"/>
          <w:rtl w:val="true"/>
        </w:rPr>
        <w:footnoteReference w:id="2001"/>
      </w:r>
      <w:r>
        <w:rPr>
          <w:rFonts w:ascii="Amiri" w:hAnsi="Amiri" w:eastAsia="Amiri" w:cs="Amiri"/>
          <w:color w:val="111111"/>
          <w:sz w:val="28"/>
          <w:sz w:val="28"/>
          <w:szCs w:val="28"/>
          <w:rtl w:val="true"/>
          <w:lang w:bidi="ar-SA"/>
        </w:rPr>
        <w:t>ممّا اعتبره الشارع في أمره وطلبه كما مرّ ، فاللفظ في المقام كالإجماع والإلهام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الكلام في المقام ما قدّمناه في بعض مباحث الخاصّ والعامّ من أنّه لو خصّ العامّ بمفهوم كلا تكرم الفسّاق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فسق زيد العالم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بدّ من إحراز المخصّص ، ولا يجوز تحكيم العامّ بخلاف ما إذا كان المخصّص ذات </w:t>
      </w:r>
      <w:r>
        <w:rPr>
          <w:rStyle w:val="FootnoteAnchor"/>
          <w:rtl w:val="true"/>
        </w:rPr>
        <w:footnoteReference w:id="2002"/>
      </w:r>
      <w:r>
        <w:rPr>
          <w:rFonts w:ascii="Amiri" w:hAnsi="Amiri" w:eastAsia="Amiri" w:cs="Amiri"/>
          <w:color w:val="111111"/>
          <w:sz w:val="28"/>
          <w:sz w:val="28"/>
          <w:szCs w:val="28"/>
          <w:rtl w:val="true"/>
          <w:lang w:bidi="ar-SA"/>
        </w:rPr>
        <w:t xml:space="preserve">معلومة ، وشكّ في خروج شخص آخر </w:t>
      </w:r>
      <w:r>
        <w:rPr>
          <w:rStyle w:val="FootnoteAnchor"/>
          <w:rtl w:val="true"/>
        </w:rPr>
        <w:footnoteReference w:id="2003"/>
      </w:r>
      <w:r>
        <w:rPr>
          <w:rFonts w:ascii="Amiri" w:hAnsi="Amiri" w:eastAsia="Amiri" w:cs="Amiri"/>
          <w:color w:val="111111"/>
          <w:sz w:val="28"/>
          <w:sz w:val="28"/>
          <w:szCs w:val="28"/>
          <w:rtl w:val="true"/>
          <w:lang w:bidi="ar-SA"/>
        </w:rPr>
        <w:t>من العامّ فإنّه لا مناص من العمل بالعامّ وتحكيمه كما لا يخفى ، فتدبّر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جريان الأصل بالنسبة إلى الأجزاء ، وقد يؤيّد ذلك ببناء العقلاء ، وكان ذلك هو حكم العقل بقبح العقاب عند الشكّ في التكليف كما قلنا أوّلا بحكومة أدلّة البراءة عقلا ونقلا على قاعدة الاشتغال ، وكيف كان فقد قرّر بأنّ العبد لو شكّ في جزء من الماهيّة المطلوبة منه للمولى ، واستفرغ وسعه ، وبذل جهده في </w:t>
      </w:r>
    </w:p>
    <w:p>
      <w:pPr>
        <w:pStyle w:val="BookText"/>
        <w:rPr/>
      </w:pPr>
      <w:r>
        <w:rPr>
          <w:rFonts w:ascii="Amiri" w:hAnsi="Amiri" w:eastAsia="Amiri" w:cs="Amiri"/>
          <w:color w:val="111111"/>
          <w:sz w:val="28"/>
          <w:sz w:val="28"/>
          <w:szCs w:val="28"/>
          <w:rtl w:val="true"/>
          <w:lang w:bidi="ar-SA"/>
        </w:rPr>
        <w:t xml:space="preserve">تحصيل </w:t>
      </w:r>
      <w:r>
        <w:rPr>
          <w:rStyle w:val="FootnoteAnchor"/>
          <w:rtl w:val="true"/>
        </w:rPr>
        <w:footnoteReference w:id="2004"/>
      </w:r>
      <w:r>
        <w:rPr>
          <w:rFonts w:ascii="Amiri" w:hAnsi="Amiri" w:eastAsia="Amiri" w:cs="Amiri"/>
          <w:color w:val="111111"/>
          <w:sz w:val="28"/>
          <w:sz w:val="28"/>
          <w:szCs w:val="28"/>
          <w:rtl w:val="true"/>
          <w:lang w:bidi="ar-SA"/>
        </w:rPr>
        <w:t>أجزائها ، وعلم بعدّة منها ، واقتصر على الإتيان بمعلومه ، لا يعدّ عاصيا ، ولو بدا للمولى عقابه ، ذمّ عليه ، لقبح تكليف الجاهل وتعذيبه من غير فرق بين العقاب على أصل الماهيّة عند الجهل بها ، أو على جزئها عند عدم العلم به ، وذلك ظاهر فيما لو جرّد النظر عمّا عدى لزوم الإطاعة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w:t>
      </w:r>
      <w:r>
        <w:rPr>
          <w:rStyle w:val="FootnoteAnchor"/>
          <w:rtl w:val="true"/>
        </w:rPr>
        <w:footnoteReference w:id="2005"/>
      </w:r>
      <w:r>
        <w:rPr>
          <w:rFonts w:ascii="Amiri" w:hAnsi="Amiri" w:eastAsia="Amiri" w:cs="Amiri"/>
          <w:color w:val="111111"/>
          <w:sz w:val="28"/>
          <w:sz w:val="28"/>
          <w:szCs w:val="28"/>
          <w:rtl w:val="true"/>
          <w:lang w:bidi="ar-SA"/>
        </w:rPr>
        <w:t xml:space="preserve">القائل بالاشتغال بذلك أيضا بتقريب أنّ المولى لو أمر عبده بإتيان الإيارج </w:t>
      </w:r>
      <w:r>
        <w:rPr>
          <w:rStyle w:val="FootnoteAnchor"/>
          <w:rtl w:val="true"/>
        </w:rPr>
        <w:footnoteReference w:id="2006"/>
      </w:r>
      <w:r>
        <w:rPr>
          <w:rFonts w:ascii="Amiri" w:hAnsi="Amiri" w:eastAsia="Amiri" w:cs="Amiri"/>
          <w:color w:val="111111"/>
          <w:sz w:val="28"/>
          <w:sz w:val="28"/>
          <w:szCs w:val="28"/>
          <w:rtl w:val="true"/>
          <w:lang w:bidi="ar-SA"/>
        </w:rPr>
        <w:t>مثلا وشكّ عبده في شيء ، هل هو من أجزائه ، أو لا؟ مع علمه بأنّه إمّا من الأجزاء ، أو من المكمّلات فنجد العقلاء طرّا بانين على الإتيان بالمشكوك ، ولو عاقب المولى عبده في تركه المشكوك مع كونه حقيقة من أجزائه ، لم يمنعه العقلاء من ذلك كما لا يخفى</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مرارا من أنّ المدار في الإطاعة والعصيان عند عامّة العقلاء ليس إلاّ على دفع العقاب مع قطع النظر عن تحصيل المصالح الكامنة في ذوات الأشياء و </w:t>
      </w:r>
      <w:r>
        <w:rPr>
          <w:rStyle w:val="FootnoteAnchor"/>
          <w:rtl w:val="true"/>
        </w:rPr>
        <w:footnoteReference w:id="2007"/>
      </w:r>
      <w:r>
        <w:rPr>
          <w:rFonts w:ascii="Amiri" w:hAnsi="Amiri" w:eastAsia="Amiri" w:cs="Amiri"/>
          <w:color w:val="111111"/>
          <w:sz w:val="28"/>
          <w:sz w:val="28"/>
          <w:szCs w:val="28"/>
          <w:rtl w:val="true"/>
          <w:lang w:bidi="ar-SA"/>
        </w:rPr>
        <w:t xml:space="preserve">مفاسدها ، وقد عرفت أيضا أنّ المدار في حكم العقل بأصالة البراءة أيضا إنّما هو على قبح العقاب عند الجهل بالتكليف ، فإن أراد المستدلّ أنّ بناء العقلاء في مقام تحصيل الإطاعة دفعا لخوف العقاب إنّما هو على الاحتياط ، فكلاّ ، ثمّ كلاّ حيث إنّ العقاب قبيح قطعا ؛ إذ لا تكليف إلاّ بعد البيان ولا عقاب إلاّ بعد البرهان ، وإن أراد أنّ بناءهم في مقام تحصيل المصالح والمفاسد كما يظهر من تمثيله بالإيارج على الاحتياط ، فهو كذلك إلاّ أنّ هذه سيرتهم عند الشكّ في نفس التكليف أيضا ، وحيث إنّ الغالب في أوامرهم أنّها ليست </w:t>
      </w:r>
      <w:r>
        <w:rPr>
          <w:rStyle w:val="FootnoteAnchor"/>
          <w:rtl w:val="true"/>
        </w:rPr>
        <w:footnoteReference w:id="2008"/>
      </w:r>
      <w:r>
        <w:rPr>
          <w:rFonts w:ascii="Amiri" w:hAnsi="Amiri" w:eastAsia="Amiri" w:cs="Amiri"/>
          <w:color w:val="111111"/>
          <w:sz w:val="28"/>
          <w:sz w:val="28"/>
          <w:szCs w:val="28"/>
          <w:rtl w:val="true"/>
          <w:lang w:bidi="ar-SA"/>
        </w:rPr>
        <w:t xml:space="preserve">مبنيّة على التعبّد بل يحتمل قصر نظرهم في أوامرهم على </w:t>
      </w:r>
    </w:p>
    <w:p>
      <w:pPr>
        <w:pStyle w:val="BookText"/>
        <w:rPr/>
      </w:pPr>
      <w:r>
        <w:rPr>
          <w:rFonts w:ascii="Amiri" w:hAnsi="Amiri" w:eastAsia="Amiri" w:cs="Amiri"/>
          <w:color w:val="111111"/>
          <w:sz w:val="28"/>
          <w:sz w:val="28"/>
          <w:szCs w:val="28"/>
          <w:rtl w:val="true"/>
          <w:lang w:bidi="ar-SA"/>
        </w:rPr>
        <w:t xml:space="preserve">المصالح المرتّبة على الأفعال الراجعة إلى الموالي ، أو إلى العبيد كما في مجرّد أوامر الطبيب أو الموالي ، فلا محالة بناؤهم على الاحتياط كيف؟ ولو كان الأمر على إحراز المصالح ودفع المفاسد مع قطع النظر عن جهة التعبّد ، لكان بناء السفهاء أيضا على الاحتياط فضلا عن العقلاء إلاّ أنّ الكلام في موارد البراءة والاشتغال إنّما هو </w:t>
      </w:r>
      <w:r>
        <w:rPr>
          <w:rStyle w:val="FootnoteAnchor"/>
          <w:rtl w:val="true"/>
        </w:rPr>
        <w:footnoteReference w:id="2009"/>
      </w:r>
      <w:r>
        <w:rPr>
          <w:rFonts w:ascii="Amiri" w:hAnsi="Amiri" w:eastAsia="Amiri" w:cs="Amiri"/>
          <w:color w:val="111111"/>
          <w:sz w:val="28"/>
          <w:sz w:val="28"/>
          <w:szCs w:val="28"/>
          <w:rtl w:val="true"/>
          <w:lang w:bidi="ar-SA"/>
        </w:rPr>
        <w:t>في مجرّد العقاب وعدمه مع قطع النظر عن المصالح فإنّ من الواضح عدم صلاحية البراءة لإحراز المصالح كما لا يخفى ، ولذلك لو فرضنا أنّ المولى أراد امتحان عبده ، وأمره بمعجون كذائي ، وسعى في تحصيل العلم بأجزائه غايته ، ورقى في كشف حقيقته نهايته ، ولم يأل جهدا في الفحص عنه من غير شوب تحصيل فائدة منه ، لم يصحّ من المولى عندهم العقاب عليه قطعا كما هو واضح بالتأمّل ولو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بالأقلّ لا يوجب البراءة عن التكليف لعدم العلم بكونه مأمورا به ، فلا يمكن قصد التقرّب ؛ إذ لا بدّ فيه من تعيين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الأصل يعيّن أنّ الأقلّ هو المأمور به ؛ إذ الأقلّ هو الأجزاء بشرط عدم وجوب الغير وهو ثابت ، أمّا وجوب العشرة المعلومة مثلا ، فبالفرض ، وأمّا نفي وجوب المشكوك ، فبالأصل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w:t>
      </w:r>
      <w:r>
        <w:rPr>
          <w:rStyle w:val="FootnoteAnchor"/>
          <w:rtl w:val="true"/>
        </w:rPr>
        <w:footnoteReference w:id="2010"/>
      </w:r>
      <w:r>
        <w:rPr>
          <w:rFonts w:ascii="Amiri" w:hAnsi="Amiri" w:eastAsia="Amiri" w:cs="Amiri"/>
          <w:color w:val="111111"/>
          <w:sz w:val="28"/>
          <w:sz w:val="28"/>
          <w:szCs w:val="28"/>
          <w:rtl w:val="true"/>
          <w:lang w:bidi="ar-SA"/>
        </w:rPr>
        <w:t>المأمور به في المقام إنّما هو من حيث عدم العلم بأنّ تلك الأجزاء واجبة نفسية ، أو غيرية فقط ؛ إذ المفروض جهل المكلّف إنّما هو بهذه الحيثية ، ولا دليل على وجوب تعيين هذه الجهة لصدق الامتثال مع الجهل والإتيان وهو المدار في أمثال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القائل بالاشتغال بوجوه</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w:t>
      </w:r>
      <w:r>
        <w:rPr>
          <w:rStyle w:val="FootnoteAnchor"/>
          <w:rtl w:val="true"/>
        </w:rPr>
        <w:footnoteReference w:id="2011"/>
      </w:r>
      <w:r>
        <w:rPr>
          <w:rFonts w:ascii="IRNazanin" w:hAnsi="IRNazanin" w:eastAsia="IRNazanin"/>
          <w:color w:val="111111"/>
          <w:sz w:val="28"/>
          <w:sz w:val="28"/>
          <w:szCs w:val="28"/>
          <w:rtl w:val="true"/>
          <w:lang w:bidi="fa-IR"/>
        </w:rPr>
        <w:t>من بناء العقلاء مع جوابه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كما في جزاء الصيد والعدّة وعمومات الاحتياط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الاشتغال وقد مرّ </w:t>
      </w:r>
      <w:r>
        <w:rPr>
          <w:rStyle w:val="FootnoteAnchor"/>
          <w:rtl w:val="true"/>
        </w:rPr>
        <w:footnoteReference w:id="2013"/>
      </w:r>
      <w:r>
        <w:rPr>
          <w:rFonts w:ascii="Amiri" w:hAnsi="Amiri" w:eastAsia="Amiri" w:cs="Amiri"/>
          <w:color w:val="111111"/>
          <w:sz w:val="28"/>
          <w:sz w:val="28"/>
          <w:szCs w:val="28"/>
          <w:rtl w:val="true"/>
          <w:lang w:bidi="ar-SA"/>
        </w:rPr>
        <w:t>التقريب في جميع ذلك في المقامات السابقة والأصول المتقدّمة ،</w:t>
      </w:r>
    </w:p>
    <w:p>
      <w:pPr>
        <w:pStyle w:val="BookText"/>
        <w:rPr/>
      </w:pPr>
      <w:r>
        <w:rPr>
          <w:rFonts w:ascii="Amiri" w:hAnsi="Amiri" w:eastAsia="Amiri" w:cs="Amiri"/>
          <w:color w:val="111111"/>
          <w:sz w:val="28"/>
          <w:sz w:val="28"/>
          <w:szCs w:val="28"/>
          <w:rtl w:val="true"/>
          <w:lang w:bidi="ar-SA"/>
        </w:rPr>
        <w:t>فلا نسهب الكلام بإعادة ما لا يوجب فائدة ، وقد عرفت عدم نهوضها على المقصود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للقائل بالاشتغال في كلّ مقام على ما بنينا عليه في موارد الاحتياط مقدّمتان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العلم بالامتثال دفعا للضرر المحتمل ونظرا إلى وجوب مقدّمة الواجب وغير ذلك من الوجوه الآتية بعضها إلى آخر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الأولى في المقام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الثانية قد عرفت عدم الاعتداد بها فيما كان في المقام أصلا أو طريقا آخر يعيّن أحد الأطراف من غير تعارض ، وقد مرّ وجود الأصل وعدم معارضته </w:t>
      </w:r>
      <w:r>
        <w:rPr>
          <w:rStyle w:val="FootnoteAnchor"/>
          <w:rtl w:val="true"/>
        </w:rPr>
        <w:footnoteReference w:id="2015"/>
      </w:r>
      <w:r>
        <w:rPr>
          <w:rFonts w:ascii="Amiri" w:hAnsi="Amiri" w:eastAsia="Amiri" w:cs="Amiri"/>
          <w:color w:val="111111"/>
          <w:sz w:val="28"/>
          <w:sz w:val="28"/>
          <w:szCs w:val="28"/>
          <w:rtl w:val="true"/>
          <w:lang w:bidi="ar-SA"/>
        </w:rPr>
        <w:t>بشيء وجدواه أيضا في المقامات الثلاثة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الشرائط ، فقد يشكل القول بجريان البراءة فيها </w:t>
      </w:r>
      <w:r>
        <w:rPr>
          <w:rStyle w:val="FootnoteAnchor"/>
          <w:rtl w:val="true"/>
        </w:rPr>
        <w:footnoteReference w:id="2016"/>
      </w:r>
      <w:r>
        <w:rPr>
          <w:rFonts w:ascii="Amiri" w:hAnsi="Amiri" w:eastAsia="Amiri" w:cs="Amiri"/>
          <w:color w:val="111111"/>
          <w:sz w:val="28"/>
          <w:sz w:val="28"/>
          <w:szCs w:val="28"/>
          <w:rtl w:val="true"/>
          <w:lang w:bidi="ar-SA"/>
        </w:rPr>
        <w:t xml:space="preserve">؛ فإنّها ليست بهذه المثابة من الظهور </w:t>
      </w:r>
      <w:r>
        <w:rPr>
          <w:rStyle w:val="FootnoteAnchor"/>
          <w:rtl w:val="true"/>
        </w:rPr>
        <w:footnoteReference w:id="2017"/>
      </w:r>
      <w:r>
        <w:rPr>
          <w:rFonts w:ascii="Amiri" w:hAnsi="Amiri" w:eastAsia="Amiri" w:cs="Amiri"/>
          <w:color w:val="111111"/>
          <w:sz w:val="28"/>
          <w:sz w:val="28"/>
          <w:szCs w:val="28"/>
          <w:rtl w:val="true"/>
          <w:lang w:bidi="ar-SA"/>
        </w:rPr>
        <w:t xml:space="preserve">كما في الأجزاء ، ويظهر وجهه بعد تفسير معنى الشرط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له معاني كثيرة على ما صرّح به </w:t>
      </w:r>
      <w:r>
        <w:rPr>
          <w:rStyle w:val="FootnoteAnchor"/>
          <w:rtl w:val="true"/>
        </w:rPr>
        <w:footnoteReference w:id="2018"/>
      </w:r>
      <w:r>
        <w:rPr>
          <w:rFonts w:ascii="Amiri" w:hAnsi="Amiri" w:eastAsia="Amiri" w:cs="Amiri"/>
          <w:color w:val="111111"/>
          <w:sz w:val="28"/>
          <w:sz w:val="28"/>
          <w:szCs w:val="28"/>
          <w:rtl w:val="true"/>
          <w:lang w:bidi="ar-SA"/>
        </w:rPr>
        <w:t xml:space="preserve">جمال المحقّقين في بعض تعليقاته على الروضة </w:t>
      </w:r>
      <w:r>
        <w:rPr>
          <w:rStyle w:val="FootnoteAnchor"/>
          <w:rtl w:val="true"/>
        </w:rPr>
        <w:footnoteReference w:id="2019"/>
      </w:r>
      <w:r>
        <w:rPr>
          <w:rFonts w:ascii="Amiri" w:hAnsi="Amiri" w:eastAsia="Amiri" w:cs="Amiri"/>
          <w:color w:val="111111"/>
          <w:sz w:val="28"/>
          <w:sz w:val="28"/>
          <w:szCs w:val="28"/>
          <w:rtl w:val="true"/>
          <w:lang w:bidi="ar-SA"/>
        </w:rPr>
        <w:t xml:space="preserve">عند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والتروك بالشرط أشبه ، إلاّ أنّ الأقرب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إسقاط ما يزيّف بعضا منها ويؤيّد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عبارة عن أمر خارج مقارن للمشروط على وجه </w:t>
      </w:r>
    </w:p>
    <w:p>
      <w:pPr>
        <w:pStyle w:val="BookText"/>
        <w:rPr/>
      </w:pPr>
      <w:r>
        <w:rPr>
          <w:rFonts w:ascii="Amiri" w:hAnsi="Amiri" w:eastAsia="Amiri" w:cs="Amiri"/>
          <w:color w:val="111111"/>
          <w:sz w:val="28"/>
          <w:sz w:val="28"/>
          <w:szCs w:val="28"/>
          <w:rtl w:val="true"/>
          <w:lang w:bidi="ar-SA"/>
        </w:rPr>
        <w:t xml:space="preserve">لو لم يوجد الشرط ، لم يوجد المشروط كالاستقبال للصلاة ، فإنّ الصلاة ليس من أجزائها الاستقبال إلاّ أنّ تلك الماهيّة تحقّقها صحيحة في الواقع </w:t>
      </w:r>
      <w:r>
        <w:rPr>
          <w:rStyle w:val="FootnoteAnchor"/>
          <w:rtl w:val="true"/>
        </w:rPr>
        <w:footnoteReference w:id="2020"/>
      </w:r>
      <w:r>
        <w:rPr>
          <w:rFonts w:ascii="Amiri" w:hAnsi="Amiri" w:eastAsia="Amiri" w:cs="Amiri"/>
          <w:color w:val="111111"/>
          <w:sz w:val="28"/>
          <w:sz w:val="28"/>
          <w:szCs w:val="28"/>
          <w:rtl w:val="true"/>
          <w:lang w:bidi="ar-SA"/>
        </w:rPr>
        <w:t xml:space="preserve">موقوف عليه ، وكالحالة الحاصلة من الوضوء لا نفس الأفعال ، فعلى هذا ما اشتهر عند الطلبة من أنّ الوضوء بمعنى الأفعال الخارجية شرط </w:t>
      </w:r>
      <w:r>
        <w:rPr>
          <w:rStyle w:val="FootnoteAnchor"/>
          <w:rtl w:val="true"/>
        </w:rPr>
        <w:footnoteReference w:id="2021"/>
      </w:r>
      <w:r>
        <w:rPr>
          <w:rFonts w:ascii="Amiri" w:hAnsi="Amiri" w:eastAsia="Amiri" w:cs="Amiri"/>
          <w:color w:val="111111"/>
          <w:sz w:val="28"/>
          <w:sz w:val="28"/>
          <w:szCs w:val="28"/>
          <w:rtl w:val="true"/>
          <w:lang w:bidi="ar-SA"/>
        </w:rPr>
        <w:t xml:space="preserve">للصلاة ممّا لا يعقل له معنى ، فإنّه حينئذ بالمعدّ أشبه من الشرط ، وإلاّ لكان اشتراط الصلاة بعدم تلك الأفعال الخارجية أولى من اشتراطها بوجودها ؛ إذ تلك الأفعال معدومة </w:t>
      </w:r>
      <w:r>
        <w:rPr>
          <w:rStyle w:val="FootnoteAnchor"/>
          <w:rtl w:val="true"/>
        </w:rPr>
        <w:footnoteReference w:id="2022"/>
      </w:r>
      <w:r>
        <w:rPr>
          <w:rFonts w:ascii="Amiri" w:hAnsi="Amiri" w:eastAsia="Amiri" w:cs="Amiri"/>
          <w:color w:val="111111"/>
          <w:sz w:val="28"/>
          <w:sz w:val="28"/>
          <w:szCs w:val="28"/>
          <w:rtl w:val="true"/>
          <w:lang w:bidi="ar-SA"/>
        </w:rPr>
        <w:t xml:space="preserve">حين الصلاة قطعا ، وعدمها مقارن للصلاة ، فهو أولى بالشرطية ، ولذا </w:t>
      </w:r>
      <w:r>
        <w:rPr>
          <w:rStyle w:val="FootnoteAnchor"/>
          <w:rtl w:val="true"/>
        </w:rPr>
        <w:footnoteReference w:id="2023"/>
      </w:r>
      <w:r>
        <w:rPr>
          <w:rFonts w:ascii="Amiri" w:hAnsi="Amiri" w:eastAsia="Amiri" w:cs="Amiri"/>
          <w:color w:val="111111"/>
          <w:sz w:val="28"/>
          <w:sz w:val="28"/>
          <w:szCs w:val="28"/>
          <w:rtl w:val="true"/>
          <w:lang w:bidi="ar-SA"/>
        </w:rPr>
        <w:t>لا يجب تكرارها عند كلّ صلاة ويكتفى بالوضوء الحاصل في الزمان السابق لصلاة الحاضرة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يشعر ما اشتهر عند الأصوليين من أنّ الشرط ما يلزم من عدمه العدم ، ولا يلزم من وجوده الوجود ؛ فإنّ انعدام تلك الأفعال عند الصلاة ظاهر ، فلا بدّ من انعدام المشروط أيضا ، فالفرق </w:t>
      </w:r>
      <w:r>
        <w:rPr>
          <w:rStyle w:val="FootnoteAnchor"/>
          <w:rtl w:val="true"/>
        </w:rPr>
        <w:footnoteReference w:id="2024"/>
      </w:r>
      <w:r>
        <w:rPr>
          <w:rFonts w:ascii="Amiri" w:hAnsi="Amiri" w:eastAsia="Amiri" w:cs="Amiri"/>
          <w:color w:val="111111"/>
          <w:sz w:val="28"/>
          <w:sz w:val="28"/>
          <w:szCs w:val="28"/>
          <w:rtl w:val="true"/>
          <w:lang w:bidi="ar-SA"/>
        </w:rPr>
        <w:t xml:space="preserve">بين الجزء والشرط في أمثال تلك المهيات المركّبة الخارجية هو أنّ الجزء عبارة عن نفس تلك الأفعال الخارجية التي بها يحصل المركّب بخلاف الشرط ، فإنّه عبارة عن الحالة الحاصلة عن الأفعال الخارجية فيما يرى أنّها الشرط المقارنة </w:t>
      </w:r>
      <w:r>
        <w:rPr>
          <w:rStyle w:val="FootnoteAnchor"/>
          <w:rtl w:val="true"/>
        </w:rPr>
        <w:footnoteReference w:id="2025"/>
      </w:r>
      <w:r>
        <w:rPr>
          <w:rFonts w:ascii="Amiri" w:hAnsi="Amiri" w:eastAsia="Amiri" w:cs="Amiri"/>
          <w:color w:val="111111"/>
          <w:sz w:val="28"/>
          <w:sz w:val="28"/>
          <w:szCs w:val="28"/>
          <w:rtl w:val="true"/>
          <w:lang w:bidi="ar-SA"/>
        </w:rPr>
        <w:t>للمركّب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ما ذكرنا يشير بعض أجلّة المشايخ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عكس ذلك كما صرّح بذلك في فرائد الأصول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الغطاء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الحجري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حكم الشكّ في الشروط بالنسبة إلى الفراغ عن المشروط بل الدخول فيه بل الكون على هيئة الداخل حكم الأجزاء في عدم الالتفات ، فلا اعتبار بالشكّ في الوقت والقبلة واللباس والطهارة بأقسامها والاستقرار ونحوها بعد الدخول في الغاية ولا فرق بين الوضوء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ما بينه وبين ما ذكره بعض الأصحاب كصاحب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اعتبار الشكّ في الشرط حتّى بعد الفراغ عن المشروط ، فأوجب إعادة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فرائد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عند الاشتغال بالصلاة لو</w:t>
      </w:r>
    </w:p>
    <w:p>
      <w:pPr>
        <w:pStyle w:val="BookText"/>
        <w:rPr/>
      </w:pPr>
      <w:r>
        <w:rPr>
          <w:rFonts w:ascii="Amiri" w:hAnsi="Amiri" w:eastAsia="Amiri" w:cs="Amiri"/>
          <w:color w:val="111111"/>
          <w:sz w:val="28"/>
          <w:sz w:val="28"/>
          <w:szCs w:val="28"/>
          <w:rtl w:val="true"/>
          <w:lang w:bidi="ar-SA"/>
        </w:rPr>
        <w:t xml:space="preserve">شكّ في الوضوء ، لم يكن من الشكّ بعد الفراغ في شيء ؛ لبقاء محلّه فإنّه لو كان الشرط هو نفس تلك الأفعال ، فلا ينبغي الارتياب في مضيّ محلّه ، وإنّما يصحّ ذلك فيما لو قلنا بأنّ تلك الأفعال سبب للشرط ، وللحالة </w:t>
      </w:r>
      <w:r>
        <w:rPr>
          <w:rStyle w:val="FootnoteAnchor"/>
          <w:rtl w:val="true"/>
        </w:rPr>
        <w:footnoteReference w:id="2027"/>
      </w:r>
      <w:r>
        <w:rPr>
          <w:rFonts w:ascii="Amiri" w:hAnsi="Amiri" w:eastAsia="Amiri" w:cs="Amiri"/>
          <w:color w:val="111111"/>
          <w:sz w:val="28"/>
          <w:sz w:val="28"/>
          <w:szCs w:val="28"/>
          <w:rtl w:val="true"/>
          <w:lang w:bidi="ar-SA"/>
        </w:rPr>
        <w:t xml:space="preserve">المقارنة للمشروط لحصولها بها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 السبب يكفي في سبق المسبّب ، فبعد مضيّ زمان السبب وإن لم يمض زمان المسبّب إلاّ أنّه يعدّ في العرف من الشكّ بعد مضيّ زمانه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الفرق بين الأجزاء والشرائط ، فيحتمل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حيث كان ممّا يحتاج إلى عمل خارج عن سائر الأجزاء ، فلو شكّ فيه ، كان أصل البراءة محكّما بخلاف الشرط ؛ فإنّ الشرط ليس عملا حتّى يجري فيه البراءة إلاّ أنّ هذا الاحتمال في غاية السخافة ؛ فإنّ الشرط وإن لم يكن بنفسه عملا بل هو عبارة عن الحالة المقارنة إلاّ أنّ سببه عمل </w:t>
      </w:r>
      <w:r>
        <w:rPr>
          <w:rStyle w:val="FootnoteAnchor"/>
          <w:rtl w:val="true"/>
        </w:rPr>
        <w:footnoteReference w:id="2028"/>
      </w:r>
      <w:r>
        <w:rPr>
          <w:rFonts w:ascii="Amiri" w:hAnsi="Amiri" w:eastAsia="Amiri" w:cs="Amiri"/>
          <w:color w:val="111111"/>
          <w:sz w:val="28"/>
          <w:sz w:val="28"/>
          <w:szCs w:val="28"/>
          <w:rtl w:val="true"/>
          <w:lang w:bidi="ar-SA"/>
        </w:rPr>
        <w:t>خارجي ، وأدلّة أصل البراءة ممّا لا تخصيص فيها ، فكلّ ما كان المكلّف لأجله في ضيق ، فتلك الأدلّة حاكمة بالسعة فيه ولو كان من أسباب الشروط ، ولا شكّ أنّ الأسباب التي تستند إليها الشروط إنّما هي أعمال خارجية كتحصيل الماء ونفس الأفعال والاستقبال ونحو ذلك ، فكما أنّ الأجزاء وجوبها مدفوع بالأصل ، فكذا الشرائط</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للخبير أن يستشكل في مثل القيود المنضمّة إلى المطلقات كالإيمان في الرقبة والبياض فيها ، فإنّها لا تحتاج </w:t>
      </w:r>
      <w:r>
        <w:rPr>
          <w:rStyle w:val="FootnoteAnchor"/>
          <w:rtl w:val="true"/>
        </w:rPr>
        <w:footnoteReference w:id="2029"/>
      </w:r>
      <w:r>
        <w:rPr>
          <w:rFonts w:ascii="Amiri" w:hAnsi="Amiri" w:eastAsia="Amiri" w:cs="Amiri"/>
          <w:color w:val="111111"/>
          <w:sz w:val="28"/>
          <w:sz w:val="28"/>
          <w:szCs w:val="28"/>
          <w:rtl w:val="true"/>
          <w:lang w:bidi="ar-SA"/>
        </w:rPr>
        <w:t xml:space="preserve">إلى زيادة عمل في الخارج بخلاف الشرائط ، فهل فيما </w:t>
      </w:r>
    </w:p>
    <w:p>
      <w:pPr>
        <w:pStyle w:val="BookText"/>
        <w:rPr/>
      </w:pPr>
      <w:r>
        <w:rPr>
          <w:rFonts w:ascii="Amiri" w:hAnsi="Amiri" w:eastAsia="Amiri" w:cs="Amiri"/>
          <w:color w:val="111111"/>
          <w:sz w:val="28"/>
          <w:sz w:val="28"/>
          <w:szCs w:val="28"/>
          <w:rtl w:val="true"/>
          <w:lang w:bidi="ar-SA"/>
        </w:rPr>
        <w:t>دار الأمر بين المطلق والمقيّد هل يحكم بالبراءة عن المقيّد ويؤخذ بالمطلق ولو في فرد آخر غير المقيّد نظرا إلى عموم أدلّة البراءة ، أو لا بدّ من الأخذ بالمقيّد ؛ لعدم جواز الاستناد إلى البراءة إذ لا كلفة في المقيّد لاتّحاد وجودي القيد والمقيّد في الخارج ، فلا يحتاج إلى مشقّة زائدة على نفس تحصيل المطلق ؛ إذ بتحصيله يحصل المقيّد أيضا؟ وجهان ، والأقوى جريان البراءة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أنّ أخبار البراءة بين مصرّح </w:t>
      </w:r>
      <w:r>
        <w:rPr>
          <w:rStyle w:val="FootnoteAnchor"/>
          <w:rtl w:val="true"/>
        </w:rPr>
        <w:footnoteReference w:id="2030"/>
      </w:r>
      <w:r>
        <w:rPr>
          <w:rFonts w:ascii="Amiri" w:hAnsi="Amiri" w:eastAsia="Amiri" w:cs="Amiri"/>
          <w:color w:val="111111"/>
          <w:sz w:val="28"/>
          <w:sz w:val="28"/>
          <w:szCs w:val="28"/>
          <w:rtl w:val="true"/>
          <w:lang w:bidi="ar-SA"/>
        </w:rPr>
        <w:t xml:space="preserve">بأنّ الناس في سعة ، ومشعر </w:t>
      </w:r>
      <w:r>
        <w:rPr>
          <w:rStyle w:val="FootnoteAnchor"/>
          <w:rtl w:val="true"/>
        </w:rPr>
        <w:footnoteReference w:id="2031"/>
      </w:r>
      <w:r>
        <w:rPr>
          <w:rFonts w:ascii="Amiri" w:hAnsi="Amiri" w:eastAsia="Amiri" w:cs="Amiri"/>
          <w:color w:val="111111"/>
          <w:sz w:val="28"/>
          <w:sz w:val="28"/>
          <w:szCs w:val="28"/>
          <w:rtl w:val="true"/>
          <w:lang w:bidi="ar-SA"/>
        </w:rPr>
        <w:t>بذلك كما يظهر بالتأمّل في مساقها ، ولا شكّ أنّ الالتزام بالإتيان بالمقيّد ضيق على المكلّف وغير معلوم والناس في سعة ما لم يعلموا ، ولا فرق في ذلك بين أن يكون محتاجا إلى مشقّة عملية أيضا كما عند الشكّ في الأجزاء والشرائط ، أو لم يكن ؛ فإنّ المناط رفع الضيق وإثبات السعة وهو في المقام أيضا موجود كما لا يخفى ، ومثل ذلك ما لو دار الأمر بين التعيين والتخيير ؛ فإنّ في طرف التعيين والالتزام به ضيقا لا ينكره إلاّ العسوف وإن كان القول بوجوب المعيّن ممّا لا يتوقّف على مشقّة زائدة على أصل التكليف الثابت في مقام الفعل والعمل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البراءة لها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انحصار موردها بالواجبات النفسية دون الواجبات الغيرية كما زعمه بعض الأجلّة </w:t>
      </w:r>
      <w:r>
        <w:rPr>
          <w:rStyle w:val="FootnoteAnchor"/>
          <w:rtl w:val="true"/>
        </w:rPr>
        <w:footnoteReference w:id="2032"/>
      </w:r>
      <w:r>
        <w:rPr>
          <w:rFonts w:ascii="IRNazanin" w:hAnsi="IRNazanin" w:eastAsia="IRNazanin"/>
          <w:color w:val="111111"/>
          <w:sz w:val="28"/>
          <w:sz w:val="28"/>
          <w:szCs w:val="28"/>
          <w:rtl w:val="true"/>
          <w:lang w:bidi="fa-IR"/>
        </w:rPr>
        <w:t xml:space="preserve">، وقد عرفت </w:t>
      </w:r>
      <w:r>
        <w:rPr>
          <w:rStyle w:val="FootnoteAnchor"/>
          <w:rtl w:val="true"/>
        </w:rPr>
        <w:footnoteReference w:id="2033"/>
      </w:r>
      <w:r>
        <w:rPr>
          <w:rFonts w:ascii="Amiri" w:hAnsi="Amiri" w:eastAsia="Amiri" w:cs="Amiri"/>
          <w:color w:val="111111"/>
          <w:sz w:val="28"/>
          <w:sz w:val="28"/>
          <w:szCs w:val="28"/>
          <w:rtl w:val="true"/>
          <w:lang w:bidi="ar-SA"/>
        </w:rPr>
        <w:t>فيما مرّ فساده ، ويزيدك توضيحا ملاحظة حال الواجبات الغيرية سواء كانت أجزاء ، أو غيرها من المقدّمات كالشرط والسبب وسبب الشرط ونحوها أن لو كان كلّ واحدة منها مطلوبة بطلب مغاير لطلب الآخر كأن يكون الأوامر متعدّدة كما لا يخفى ، وإطلاق الوجوب على الغيري غير عزيز في مطاوي كلماتهم كما في تقسيمهم النكاح إلى الواجب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الواجبات الغيرية أيضا مع تخصيصها بما فيه كلفة عملية ، فيشمل الأجزاء والشرائط دون القيود المعتبرة في المطلقات ، وقد عرفت أيضا عدم استقامة هذا التخصيص ؛ لعدم ما يوجبه مع وجود ما يقتضي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جميع أقسام الضيق والكلفة من غير تخصيص بواحد </w:t>
      </w:r>
      <w:r>
        <w:rPr>
          <w:rStyle w:val="FootnoteAnchor"/>
          <w:rtl w:val="true"/>
        </w:rPr>
        <w:footnoteReference w:id="2034"/>
      </w:r>
      <w:r>
        <w:rPr>
          <w:rFonts w:ascii="Amiri" w:hAnsi="Amiri" w:eastAsia="Amiri" w:cs="Amiri"/>
          <w:color w:val="111111"/>
          <w:sz w:val="28"/>
          <w:sz w:val="28"/>
          <w:szCs w:val="28"/>
          <w:rtl w:val="true"/>
          <w:lang w:bidi="ar-SA"/>
        </w:rPr>
        <w:t xml:space="preserve">دون آخر كما هو المختار ، فكلّ ما ينافي السعة فهو مدفوع بالأصل ، فيشمل ما فيه الضيق ولو بحسب النفس كما لا يخفى ، فيمكن القول بأنّ مفاد البراءة هو الأوّل فيجري البراءة في الواجبات النفسية فقط كما يراه بعض الأجلّة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بعمومها للغيرية فقط كما يظهر من المحقّق القمّي </w:t>
      </w:r>
      <w:r>
        <w:rPr>
          <w:rStyle w:val="FootnoteAnchor"/>
          <w:rtl w:val="true"/>
        </w:rPr>
        <w:footnoteReference w:id="2036"/>
      </w:r>
      <w:r>
        <w:rPr>
          <w:rFonts w:ascii="Amiri" w:hAnsi="Amiri" w:eastAsia="Amiri" w:cs="Amiri"/>
          <w:color w:val="111111"/>
          <w:sz w:val="28"/>
          <w:sz w:val="28"/>
          <w:szCs w:val="28"/>
          <w:rtl w:val="true"/>
          <w:lang w:bidi="ar-SA"/>
        </w:rPr>
        <w:t xml:space="preserve">فإنّه قد قال بالبراءة عند الشكّ في الشرطية والجزئية </w:t>
      </w:r>
      <w:r>
        <w:rPr>
          <w:rStyle w:val="FootnoteAnchor"/>
          <w:rtl w:val="true"/>
        </w:rPr>
        <w:footnoteReference w:id="2037"/>
      </w:r>
      <w:r>
        <w:rPr>
          <w:rFonts w:ascii="Amiri" w:hAnsi="Amiri" w:eastAsia="Amiri" w:cs="Amiri"/>
          <w:color w:val="111111"/>
          <w:sz w:val="28"/>
          <w:sz w:val="28"/>
          <w:szCs w:val="28"/>
          <w:rtl w:val="true"/>
          <w:lang w:bidi="ar-SA"/>
        </w:rPr>
        <w:t xml:space="preserve">، وحكم بالاشتغال في مباحث المطلق والمقيّد </w:t>
      </w:r>
      <w:r>
        <w:rPr>
          <w:rStyle w:val="FootnoteAnchor"/>
          <w:rtl w:val="true"/>
        </w:rPr>
        <w:footnoteReference w:id="2038"/>
      </w:r>
      <w:r>
        <w:rPr>
          <w:rFonts w:ascii="Amiri" w:hAnsi="Amiri" w:eastAsia="Amiri" w:cs="Amiri"/>
          <w:color w:val="111111"/>
          <w:sz w:val="28"/>
          <w:sz w:val="28"/>
          <w:szCs w:val="28"/>
          <w:rtl w:val="true"/>
          <w:lang w:bidi="ar-SA"/>
        </w:rPr>
        <w:t>ولا منافاة بين كلاميه وإن كان يرد عليه أنّ القول بجريان البراءة في المتباينين ليس بأولى من جريانها في المطلق والمقيّد كما لا يخفى</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اندفاع ما قد يتوهّم من التدافع بين ما ذهب إليه صاحب المدارك من القول بالبراءة عند الشكّ في الجزئية والشرطية </w:t>
      </w:r>
      <w:r>
        <w:rPr>
          <w:rStyle w:val="FootnoteAnchor"/>
          <w:rtl w:val="true"/>
        </w:rPr>
        <w:footnoteReference w:id="2039"/>
      </w:r>
      <w:r>
        <w:rPr>
          <w:rStyle w:val="FootnoteAnchor"/>
          <w:rtl w:val="true"/>
        </w:rPr>
        <w:footnoteReference w:id="2040"/>
      </w:r>
      <w:r>
        <w:rPr>
          <w:rFonts w:ascii="Amiri" w:hAnsi="Amiri" w:eastAsia="Amiri" w:cs="Amiri"/>
          <w:color w:val="111111"/>
          <w:sz w:val="28"/>
          <w:sz w:val="28"/>
          <w:szCs w:val="28"/>
          <w:rtl w:val="true"/>
          <w:lang w:bidi="ar-SA"/>
        </w:rPr>
        <w:t xml:space="preserve">، والقول بلزوم الاحتياط فيما إذا شكّ في كفاية الفارسية في التكبيرة والتقديم والتأخير </w:t>
      </w:r>
      <w:r>
        <w:rPr>
          <w:rStyle w:val="FootnoteAnchor"/>
          <w:rtl w:val="true"/>
        </w:rPr>
        <w:footnoteReference w:id="2041"/>
      </w:r>
      <w:r>
        <w:rPr>
          <w:rFonts w:ascii="Amiri" w:hAnsi="Amiri" w:eastAsia="Amiri" w:cs="Amiri"/>
          <w:color w:val="111111"/>
          <w:sz w:val="28"/>
          <w:sz w:val="28"/>
          <w:szCs w:val="28"/>
          <w:rtl w:val="true"/>
          <w:lang w:bidi="ar-SA"/>
        </w:rPr>
        <w:t>؛ إذ لعلّه يرجع إلى الإطلاق والتقييد ، فيحكم بالاشتغال فيه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حيث فرغنا من إبطال التخصيصين ، فجريان البراءة فيما دار الأمر بين المطلق والمقيّد ممّا لا كلام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فيما سبق أنّ وجود العلم الإجمالي مع فقد طريق يعيّن أحد الأطراف يوجب الاحتياط ، والأصل في المقام معارض بمثله ، فلا مجال للقول بالبراءة ؛ إذ المطلق بوصف الإطلاق يباين المقيّد ، فإنّه أحد أقسام الماهية المجرّدة كما هي مورد القسمة ، فكما أنّ الأصل براءة الذمّة عن المقيّد ، فالأصل براءة الذمّة عن المطلق ؛ إذ هو حينئذ في عرض المقيّد ، وليس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المطلق في الجملة معلوم ، وإنّما الشكّ في وجوبه النفسي ، أو الغيري إذ المطلق ليس مقدّمة للمقيّد بل هما في محلّهما طبيعتان متباينتان كما يظهر من ملاحظة انقسام الماهية التي ليست إلاّ هي إليهما كما لا يخفى ، فالأصل معارض بمثله ، فيجب الاحتياط كما يظهر من المحقّق القمّي </w:t>
      </w:r>
      <w:r>
        <w:rPr>
          <w:rStyle w:val="FootnoteAnchor"/>
          <w:rtl w:val="true"/>
        </w:rPr>
        <w:footnoteReference w:id="2042"/>
      </w:r>
      <w:r>
        <w:rPr>
          <w:rFonts w:ascii="Amiri" w:hAnsi="Amiri" w:eastAsia="Amiri" w:cs="Amiri"/>
          <w:color w:val="111111"/>
          <w:sz w:val="28"/>
          <w:sz w:val="28"/>
          <w:szCs w:val="28"/>
          <w:rtl w:val="true"/>
          <w:lang w:bidi="ar-SA"/>
        </w:rPr>
        <w:t>على ما وجّه به كلامه بعض تلامذته في بعض تعليقاته على ما نقله الأستاد دام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مرّ أنّ المناط في مسائل البراءة والاشتغال هو حكم العقل بلزوم دفع العقاب في جانب الاشتغال ، والأمن منه في طرف البراءة كيف ما اتّفق وفيما دار الأمر بين المطلق والمقيّد وإن كان رجوعه إلى المتباينين إلاّ أنّ العقاب في طرف المطلق معلوم ، ولا يجدي الاستفصال في أنّ الموجب للعقاب أيّ شيء بعد العلم بترتّبه في طرف ترك المطلق ، وبالجملة فالظاهر جريان البراءة بالنسبة إلى القيود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الموانع والقواطع لو شكّ فيهما ، فهل يدفعان بالأصل ، أو لا؟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والقاطع مرجعهما إلى اشتراط عدم أمر وجودي ، فبالحقيقة الشكّ في المانعية والقاطعية راجع إلى الشكّ في الشرطية ، وقد عرفت جريان البراءة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ما ذكرنا تمسّك الصدوق </w:t>
      </w:r>
      <w:r>
        <w:rPr>
          <w:rStyle w:val="FootnoteAnchor"/>
          <w:rtl w:val="true"/>
        </w:rPr>
        <w:footnoteReference w:id="2043"/>
      </w:r>
      <w:r>
        <w:rPr>
          <w:rFonts w:ascii="Amiri" w:hAnsi="Amiri" w:eastAsia="Amiri" w:cs="Amiri"/>
          <w:color w:val="111111"/>
          <w:sz w:val="28"/>
          <w:sz w:val="28"/>
          <w:szCs w:val="28"/>
          <w:rtl w:val="true"/>
          <w:lang w:bidi="ar-SA"/>
        </w:rPr>
        <w:t xml:space="preserve">بعدم مانعية القنوت بالفارسية في الصلاة بأخبار البراءة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بينهما ، فهو أنّ المانع إنّما يمنع عن فعلية اقتضاء </w:t>
      </w:r>
      <w:r>
        <w:rPr>
          <w:rStyle w:val="FootnoteAnchor"/>
          <w:rtl w:val="true"/>
        </w:rPr>
        <w:footnoteReference w:id="2045"/>
      </w:r>
      <w:r>
        <w:rPr>
          <w:rFonts w:ascii="Amiri" w:hAnsi="Amiri" w:eastAsia="Amiri" w:cs="Amiri"/>
          <w:color w:val="111111"/>
          <w:sz w:val="28"/>
          <w:sz w:val="28"/>
          <w:szCs w:val="28"/>
          <w:rtl w:val="true"/>
          <w:lang w:bidi="ar-SA"/>
        </w:rPr>
        <w:t>المقتضى مع وجود المقتضي ، والقاطع كأنّه يقطع المقتضي على ما يظهر من لفظهما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القاطع ما ينهدم به بنيان العمل ، وينتشر منه نظم المأمور به على وجه لا يرتبط بعض أجزائه بآخر ، والمانع ما يفسد منه نفس المأمور به ، أو جزؤه لاشتراطه بعدم وجود المانع ، فالقاطع كالحدث الواقع في الصلاة ، والمانع كالرياء في نفس العبادة ، أو في جزئها فإنّه مفسد للمأمور به ولو باعتبار فساد جزئه ، فلا يجزي إعادة الجزء المتراءى فيه ، والفرق هذا إنّما هو بحسب ما يساعد عليه اللفظان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بينهما أيضا بأنّ القاطع إنّما يكون منسوخه وحدوثه في أثناء العمل بخلاف المانع ؛ فإنّه ربّما يمنع عن الدخول في نفس العبادة ، أو جزئها كما لا يخفى ، فالقاطع يؤثّر أثره وإن لم يقارن عملا في الأثناء ، والمانع الأثنائي يمكن القول بعدم تأثيره فيما لم يقارن عملا كنسبة الخلاف في أثناء الصلاة ؛ فإنّها لو كانت قاطعة ينهدم الصلاة عن أصلها ، ولو كانت مانعة ، فإن قارنت فعلا من أفاعيل الصلاة ، فيحتمل القول ببطلانها بخلاف ما لم يقارن فعلا منها كما لا يخفى ، فالمعتبر في العبادة إمّا وجود شيء ، أو عدمه ، والأوّل إمّا جزء ، أو شرط ، والثاني إمّا مانع ، أو قاطع وقد عرفت جريان البراءة على التقادير الأربعة ، لعموم أدلّتها بل وحكم العقل كما استكشفناه عن بناء العقلاء</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للقول بعدم الاعتناء لاحتمال القاطعية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الصحّة ، وعلى تقدير استقامته ، فهو يجدي على القول بالاشتغال أيضا ، لورود </w:t>
      </w:r>
    </w:p>
    <w:p>
      <w:pPr>
        <w:pStyle w:val="BookText"/>
        <w:rPr/>
      </w:pPr>
      <w:r>
        <w:rPr>
          <w:rFonts w:ascii="Amiri" w:hAnsi="Amiri" w:eastAsia="Amiri" w:cs="Amiri"/>
          <w:color w:val="111111"/>
          <w:sz w:val="28"/>
          <w:sz w:val="28"/>
          <w:szCs w:val="28"/>
          <w:rtl w:val="true"/>
          <w:lang w:bidi="ar-SA"/>
        </w:rPr>
        <w:t>الاستصحاب عليه إلاّ أنّ الكلام فيه وإن وقع الاستدلال به في كلام أساطين العلماء ، وذلك لأنّ المراد بهذا الاستصحاب إمّا استصحاب صحّة الكلّ ، أو صحّة الأجزاء السابقة ، أو الأجزاء اللاحقة ، وعلى التقادير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 فلأنّ الكلّ لم يقع كما هو المفروض ، فلا معنى لاستصحاب صحّة شيء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فلامتناع الشكّ في ارتفاع صحّتها فإنّ ما يقع على صفة ، يمتنع </w:t>
      </w:r>
      <w:r>
        <w:rPr>
          <w:rStyle w:val="FootnoteAnchor"/>
          <w:rtl w:val="true"/>
        </w:rPr>
        <w:footnoteReference w:id="2046"/>
      </w:r>
      <w:r>
        <w:rPr>
          <w:rFonts w:ascii="Amiri" w:hAnsi="Amiri" w:eastAsia="Amiri" w:cs="Amiri"/>
          <w:color w:val="111111"/>
          <w:sz w:val="28"/>
          <w:sz w:val="28"/>
          <w:szCs w:val="28"/>
          <w:rtl w:val="true"/>
          <w:lang w:bidi="ar-SA"/>
        </w:rPr>
        <w:t xml:space="preserve">ارتفاعها منه في وقت ما وقع ، وإلاّ فلم يكن ممّا وقع عليها ، فلا يعقل ارتفاع صحّة الأجزاء ؛ إذ لا معنى لها إلاّ إسقاط القضاء بها ، أو </w:t>
      </w:r>
      <w:r>
        <w:rPr>
          <w:rStyle w:val="FootnoteAnchor"/>
          <w:rtl w:val="true"/>
        </w:rPr>
        <w:footnoteReference w:id="2047"/>
      </w:r>
      <w:r>
        <w:rPr>
          <w:rFonts w:ascii="Amiri" w:hAnsi="Amiri" w:eastAsia="Amiri" w:cs="Amiri"/>
          <w:color w:val="111111"/>
          <w:sz w:val="28"/>
          <w:sz w:val="28"/>
          <w:szCs w:val="28"/>
          <w:rtl w:val="true"/>
          <w:lang w:bidi="ar-SA"/>
        </w:rPr>
        <w:t xml:space="preserve">موافقتها للأمر ، أو ممّا يترتّب عليها أثرها المطلوب منها بعد انضمام سائر الأجزاء المعتبرة على جميع التقادير ، فهي كذلك قطعا </w:t>
      </w:r>
      <w:r>
        <w:rPr>
          <w:rStyle w:val="FootnoteAnchor"/>
          <w:rtl w:val="true"/>
        </w:rPr>
        <w:footnoteReference w:id="2048"/>
      </w:r>
      <w:r>
        <w:rPr>
          <w:rFonts w:ascii="Amiri" w:hAnsi="Amiri" w:eastAsia="Amiri" w:cs="Amiri"/>
          <w:color w:val="111111"/>
          <w:sz w:val="28"/>
          <w:sz w:val="28"/>
          <w:szCs w:val="28"/>
          <w:rtl w:val="true"/>
          <w:lang w:bidi="ar-SA"/>
        </w:rPr>
        <w:t xml:space="preserve">من غير ارتياب إلاّ على القول بالاحتياط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محبط للأعمال ، فلو شكّ في أنّ العجب أيضا محبط أو لا ، فيستصحب كونها على حالتها الأوّلية </w:t>
      </w:r>
      <w:r>
        <w:rPr>
          <w:rStyle w:val="FootnoteAnchor"/>
          <w:rtl w:val="true"/>
        </w:rPr>
        <w:footnoteReference w:id="2049"/>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الأجزاء السابقة صحّة مشروطة تأهّلية </w:t>
      </w:r>
      <w:r>
        <w:rPr>
          <w:rStyle w:val="FootnoteAnchor"/>
          <w:rtl w:val="true"/>
        </w:rPr>
        <w:footnoteReference w:id="2050"/>
      </w:r>
      <w:r>
        <w:rPr>
          <w:rFonts w:ascii="Amiri" w:hAnsi="Amiri" w:eastAsia="Amiri" w:cs="Amiri"/>
          <w:color w:val="111111"/>
          <w:sz w:val="28"/>
          <w:sz w:val="28"/>
          <w:szCs w:val="28"/>
          <w:rtl w:val="true"/>
          <w:lang w:bidi="ar-SA"/>
        </w:rPr>
        <w:t xml:space="preserve">، فهي بحيث ما لو انضمّت إليها الأجزاء الأخر على ما هي عليها ، تقع صحيحة مؤثّرة غير فاسدة بأيّ معنى من المعاني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الاصطلاحين ، فإنّ التحقيق عندنا رجوع الكلّ فيها إلى معنى واحد ، وصدق الشرطية موقوف على صدق التعليق </w:t>
      </w:r>
      <w:r>
        <w:rPr>
          <w:rStyle w:val="FootnoteAnchor"/>
          <w:rtl w:val="true"/>
        </w:rPr>
        <w:footnoteReference w:id="2051"/>
      </w:r>
      <w:r>
        <w:rPr>
          <w:rFonts w:ascii="Amiri" w:hAnsi="Amiri" w:eastAsia="Amiri" w:cs="Amiri"/>
          <w:color w:val="111111"/>
          <w:sz w:val="28"/>
          <w:sz w:val="28"/>
          <w:szCs w:val="28"/>
          <w:rtl w:val="true"/>
          <w:lang w:bidi="ar-SA"/>
        </w:rPr>
        <w:t xml:space="preserve">وإن كان التالي </w:t>
      </w:r>
      <w:r>
        <w:rPr>
          <w:rStyle w:val="FootnoteAnchor"/>
          <w:rtl w:val="true"/>
        </w:rPr>
        <w:footnoteReference w:id="2052"/>
      </w:r>
      <w:r>
        <w:rPr>
          <w:rFonts w:ascii="Amiri" w:hAnsi="Amiri" w:eastAsia="Amiri" w:cs="Amiri"/>
          <w:color w:val="111111"/>
          <w:sz w:val="28"/>
          <w:sz w:val="28"/>
          <w:szCs w:val="28"/>
          <w:rtl w:val="true"/>
          <w:lang w:bidi="ar-SA"/>
        </w:rPr>
        <w:t xml:space="preserve">كاذبا ، فصحّة الأجزاء السابقة لا ينافيها </w:t>
      </w:r>
      <w:r>
        <w:rPr>
          <w:rStyle w:val="FootnoteAnchor"/>
          <w:rtl w:val="true"/>
        </w:rPr>
        <w:footnoteReference w:id="2053"/>
      </w:r>
      <w:r>
        <w:rPr>
          <w:rFonts w:ascii="Amiri" w:hAnsi="Amiri" w:eastAsia="Amiri" w:cs="Amiri"/>
          <w:color w:val="111111"/>
          <w:sz w:val="28"/>
          <w:sz w:val="28"/>
          <w:szCs w:val="28"/>
          <w:rtl w:val="true"/>
          <w:lang w:bidi="ar-SA"/>
        </w:rPr>
        <w:t xml:space="preserve">القطع بفساد الأجزاء اللاحقة ، فكيف بالشكّ في القطع ، فالصحّة في تلك </w:t>
      </w:r>
      <w:r>
        <w:rPr>
          <w:rStyle w:val="FootnoteAnchor"/>
          <w:rtl w:val="true"/>
        </w:rPr>
        <w:footnoteReference w:id="2054"/>
      </w:r>
      <w:r>
        <w:rPr>
          <w:rFonts w:ascii="IRNazanin" w:hAnsi="IRNazanin" w:eastAsia="IRNazanin"/>
          <w:color w:val="111111"/>
          <w:sz w:val="28"/>
          <w:sz w:val="28"/>
          <w:szCs w:val="28"/>
          <w:rtl w:val="true"/>
          <w:lang w:bidi="fa-IR"/>
        </w:rPr>
        <w:t xml:space="preserve">الأجزاء على ما </w:t>
      </w:r>
    </w:p>
    <w:p>
      <w:pPr>
        <w:pStyle w:val="BookText"/>
        <w:rPr/>
      </w:pPr>
      <w:r>
        <w:rPr>
          <w:rFonts w:ascii="Amiri" w:hAnsi="Amiri" w:eastAsia="Amiri" w:cs="Amiri"/>
          <w:color w:val="111111"/>
          <w:sz w:val="28"/>
          <w:sz w:val="28"/>
          <w:szCs w:val="28"/>
          <w:rtl w:val="true"/>
          <w:lang w:bidi="ar-SA"/>
        </w:rPr>
        <w:t>هي المتنازع فيها مقطوعة معلومة ، فلا وجه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الثالث ، فلعين ما مرّ في الأوّل ؛ فإنّ </w:t>
      </w:r>
      <w:r>
        <w:rPr>
          <w:rStyle w:val="FootnoteAnchor"/>
          <w:rtl w:val="true"/>
        </w:rPr>
        <w:footnoteReference w:id="2055"/>
      </w:r>
      <w:r>
        <w:rPr>
          <w:rFonts w:ascii="Amiri" w:hAnsi="Amiri" w:eastAsia="Amiri" w:cs="Amiri"/>
          <w:color w:val="111111"/>
          <w:sz w:val="28"/>
          <w:sz w:val="28"/>
          <w:szCs w:val="28"/>
          <w:rtl w:val="true"/>
          <w:lang w:bidi="ar-SA"/>
        </w:rPr>
        <w:t>الأجزاء اللاحقة على ما هو المفروض لم تقع ، فلا معنى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صحّة الأجزاء السابقة والشكّ في بقاء صحّتها على أيّ معنى من المعاني معقول ؛ إذ لعلّ الشرط فيها على أيّ وجه عدم حدوث القاطع ، فالشكّ فيه يستلزم الشكّ في الصحّة ،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يقين بالصحّة في السابق ، فلا يعقل الاستصحاب ؛ إذ مع احتمال عروض القاطع لا قطع بالصحّة في الأوّل ، ولو فرض القطع بذلك ، ثمّ طرأ له الشكّ في الأثناء فيسري شكّه إلى زمن قطعه وهو كالشكّ ابتداء ، فلا يجري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هذا أنّ القاطع لا يخلو عن أحد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الأجزاء السابقة 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في الصلاة ، فهو بنفسه من شرائط الصحّة ، وأخرى يكون عدمه معتبرا في صحّة الأجزاء السابقة ، ومرّة في صحّة الأجزاء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فلا شكّ في صحّة الأجزاء السابقة كما عرفت ؛ إذ لا تناط صحّتها بشيء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فالشكّ في عروض القاطع لا يجامع العلم بوقوع الأجزاء السابقة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 فعدم جريان استصحاب الصحّة أظهر ؛ لعدم الارتباط كما عرفت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بعض هذه الأجزاء مرتبط بالآخر بحيث يعدّ هذا الارتباط والالتيام أيضا من أجزاء الصلاة ، وقبل الشكّ في </w:t>
      </w:r>
      <w:r>
        <w:rPr>
          <w:rStyle w:val="FootnoteAnchor"/>
          <w:rtl w:val="true"/>
        </w:rPr>
        <w:footnoteReference w:id="2056"/>
      </w:r>
      <w:r>
        <w:rPr>
          <w:rFonts w:ascii="Amiri" w:hAnsi="Amiri" w:eastAsia="Amiri" w:cs="Amiri"/>
          <w:color w:val="111111"/>
          <w:sz w:val="28"/>
          <w:sz w:val="28"/>
          <w:szCs w:val="28"/>
          <w:rtl w:val="true"/>
          <w:lang w:bidi="ar-SA"/>
        </w:rPr>
        <w:t xml:space="preserve">قاطعية شيء كان الارتباط بحاله ، وبعد الشكّ وحصول ما يحتمل القاطعية يشكّ في بقائه على حالته الأوّلية ، فالأصل </w:t>
      </w:r>
    </w:p>
    <w:p>
      <w:pPr>
        <w:pStyle w:val="BookText"/>
        <w:rPr/>
      </w:pPr>
      <w:r>
        <w:rPr>
          <w:rFonts w:ascii="IRNazanin" w:hAnsi="IRNazanin" w:eastAsia="IRNazanin"/>
          <w:color w:val="111111"/>
          <w:sz w:val="28"/>
          <w:sz w:val="28"/>
          <w:szCs w:val="28"/>
          <w:rtl w:val="true"/>
          <w:lang w:bidi="fa-IR"/>
        </w:rPr>
        <w:t>بقاؤه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للمكلّف إلحاق بعض الأجزاء ببعض آخر ، وأن ينضمّ بعضها إلى بعض حتّى يحصل المأمور به ، وبعد حصول المشكوك فيه كالعجب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بقائه ، والاستصحاب يقضي بوجوده ، و </w:t>
      </w:r>
      <w:r>
        <w:rPr>
          <w:rStyle w:val="FootnoteAnchor"/>
          <w:rtl w:val="true"/>
        </w:rPr>
        <w:footnoteReference w:id="2057"/>
      </w:r>
      <w:r>
        <w:rPr>
          <w:rFonts w:ascii="Amiri" w:hAnsi="Amiri" w:eastAsia="Amiri" w:cs="Amiri"/>
          <w:color w:val="111111"/>
          <w:sz w:val="28"/>
          <w:sz w:val="28"/>
          <w:szCs w:val="28"/>
          <w:rtl w:val="true"/>
          <w:lang w:bidi="ar-SA"/>
        </w:rPr>
        <w:t>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قطع بالصحّة في السابق ، وتفصيل الكلام في المقام ممّا ستعرفه في بحث الاستصحاب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من يدّعي الفضل في هذا الفنّ ، ويزعم أنّه ممّن صبغ يده في هذه الصناعة قد أورد على المحقّق القمّي </w:t>
      </w:r>
      <w:r>
        <w:rPr>
          <w:rStyle w:val="FootnoteAnchor"/>
          <w:rtl w:val="true"/>
        </w:rPr>
        <w:footnoteReference w:id="2058"/>
      </w:r>
      <w:r>
        <w:rPr>
          <w:rFonts w:ascii="Amiri" w:hAnsi="Amiri" w:eastAsia="Amiri" w:cs="Amiri"/>
          <w:color w:val="111111"/>
          <w:sz w:val="28"/>
          <w:sz w:val="28"/>
          <w:szCs w:val="28"/>
          <w:rtl w:val="true"/>
          <w:lang w:bidi="ar-SA"/>
        </w:rPr>
        <w:t xml:space="preserve">بما لا محصّل له أبدا ، فزعم أنّ بين القول بالبراءة وصحّة الصلاة والعبادة عند الشكّ في الجزئية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w:t>
      </w:r>
      <w:r>
        <w:rPr>
          <w:rStyle w:val="FootnoteAnchor"/>
          <w:rtl w:val="true"/>
        </w:rPr>
        <w:footnoteReference w:id="2059"/>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الأصل في العبادات هو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في مبحث النهي عن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بمكان من الضعف والوهن حيث </w:t>
      </w:r>
      <w:r>
        <w:rPr>
          <w:rStyle w:val="FootnoteAnchor"/>
          <w:rtl w:val="true"/>
        </w:rPr>
        <w:footnoteReference w:id="2060"/>
      </w:r>
      <w:r>
        <w:rPr>
          <w:rFonts w:ascii="Amiri" w:hAnsi="Amiri" w:eastAsia="Amiri" w:cs="Amiri"/>
          <w:color w:val="111111"/>
          <w:sz w:val="28"/>
          <w:sz w:val="28"/>
          <w:szCs w:val="28"/>
          <w:rtl w:val="true"/>
          <w:lang w:bidi="ar-SA"/>
        </w:rPr>
        <w:t xml:space="preserve">إنّ القول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بمشروعيّة أصل العبادة والشكّ في اعتبار شيء فيها جزءا ، أو شرطا </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القول بالفساد نظرا </w:t>
      </w:r>
      <w:r>
        <w:rPr>
          <w:rStyle w:val="FootnoteAnchor"/>
          <w:rtl w:val="true"/>
        </w:rPr>
        <w:footnoteReference w:id="2062"/>
      </w:r>
      <w:r>
        <w:rPr>
          <w:rFonts w:ascii="Amiri" w:hAnsi="Amiri" w:eastAsia="Amiri" w:cs="Amiri"/>
          <w:color w:val="111111"/>
          <w:sz w:val="28"/>
          <w:sz w:val="28"/>
          <w:szCs w:val="28"/>
          <w:rtl w:val="true"/>
          <w:lang w:bidi="ar-SA"/>
        </w:rPr>
        <w:t>إلى قاعدة التوقّف قبل دلالة دليل على مشروعية العبادة ، وإنّما الشبهة نشأت من الحكم بالصحّة على تقدير البراءة والقول بعدم الفساد كما يظهر من عنوانه البحث بأصالة الصحّة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عدم الاستقامة أيضا ما لا يخفى</w:t>
      </w:r>
      <w:r>
        <w:rPr>
          <w:rFonts w:eastAsia="Amiri" w:cs="Amiri" w:ascii="Amiri" w:hAnsi="Amiri"/>
          <w:color w:val="111111"/>
          <w:sz w:val="28"/>
          <w:szCs w:val="28"/>
          <w:rtl w:val="true"/>
          <w:lang w:bidi="ar-SA"/>
        </w:rPr>
        <w:t xml:space="preserve">. </w:t>
      </w:r>
      <w:bookmarkStart w:id="259" w:name="pg16273_211921"/>
    </w:p>
    <w:p>
      <w:pPr>
        <w:pStyle w:val="Heading4"/>
        <w:numPr>
          <w:ilvl w:val="3"/>
          <w:numId w:val="1"/>
        </w:numPr>
        <w:rPr/>
      </w:pPr>
      <w:bookmarkStart w:id="260" w:name="__RefHeading___Toc4803636_1280447820"/>
      <w:bookmarkStart w:id="261" w:name="_Toc90"/>
      <w:bookmarkEnd w:id="259"/>
      <w:bookmarkEnd w:id="260"/>
      <w:r>
        <w:rPr>
          <w:rtl w:val="true"/>
        </w:rPr>
        <w:t xml:space="preserve">وينبغي التنبيه على أمور </w:t>
      </w:r>
      <w:r>
        <w:rPr>
          <w:rtl w:val="true"/>
        </w:rPr>
        <w:t>:</w:t>
      </w:r>
      <w:bookmarkEnd w:id="261"/>
    </w:p>
    <w:p>
      <w:pPr>
        <w:pStyle w:val="Heading5"/>
        <w:numPr>
          <w:ilvl w:val="4"/>
          <w:numId w:val="1"/>
        </w:numPr>
        <w:rPr/>
      </w:pPr>
      <w:bookmarkStart w:id="262" w:name="__RefHeading___Toc4803638_1280447820"/>
      <w:bookmarkStart w:id="263" w:name="_Toc91"/>
      <w:bookmarkEnd w:id="262"/>
      <w:r>
        <w:rPr>
          <w:rtl w:val="true"/>
        </w:rPr>
        <w:t xml:space="preserve">الأوّل </w:t>
      </w:r>
      <w:r>
        <w:rPr>
          <w:rtl w:val="true"/>
        </w:rPr>
        <w:t>:</w:t>
      </w:r>
      <w:bookmarkEnd w:id="263"/>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علمنا باعتبار أمر في شيء مركّب وشككنا في أنّه هل هو من الأجزاء الركنية ، أو لا ، فهل الأصل الركنية ، أو لا؟</w:t>
      </w:r>
    </w:p>
    <w:p>
      <w:pPr>
        <w:pStyle w:val="BookText"/>
        <w:rPr/>
      </w:pPr>
      <w:r>
        <w:rPr>
          <w:rFonts w:ascii="Amiri" w:hAnsi="Amiri" w:eastAsia="Amiri" w:cs="Amiri"/>
          <w:color w:val="111111"/>
          <w:sz w:val="28"/>
          <w:sz w:val="28"/>
          <w:szCs w:val="28"/>
          <w:rtl w:val="true"/>
          <w:lang w:bidi="ar-SA"/>
        </w:rPr>
        <w:t xml:space="preserve">واعلم أوّلا </w:t>
      </w:r>
      <w:r>
        <w:rPr>
          <w:rStyle w:val="FootnoteAnchor"/>
          <w:rtl w:val="true"/>
        </w:rPr>
        <w:footnoteReference w:id="2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الركنية ليست عنوانا في الأدلّة الشرعية ، وإنّما عبّروا عن الأجزاء التي تنهدم الماهية عند انهدامها عمدا وسهوا بالركن ، ولذا اختلف في تحديده ، فزاد بعضهم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كلام الشهيد في روض الجنان فى شرح ارشاد الأذهان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الحجري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في في الصلاة عند أصحابنا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الصلاة لو أخلّ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بزيادته إلاّ ما يستثنى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الزيادة غير معتبرة في مفهوم الركن في كلام كثير منهم وإن اشتهر على لسان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مبنيّ على أنّ زيادة الركن موجبة للبطلان كنقصانه ، وهو على إطلاقه مشكل ، وأخبار هذه المسألة قد دلّت على البطلان بترك التكبير عمدا ، أو سهوا ، وأمّا بطلانها بزيادته ، فلم نقف له على نصّ ، وكون الركن تبطل الصلاة بزيادته ونقيصته عمدا وسهوا مطلقا وإن اشتهر ظاهرا بينهم إلاّ أنّه على إطلاقه مشكل ؛ لتخلّف جملة من الموارد عن الدخول تحت هذه الكلّية كما يأتي بيانه كلّه في محلّه ، ومن ثمّ قال 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هذا الحكم أعني البطلان بزيادة التكبير إن لم يكن إجماعيا فإنّ أقصى ما يستفاد من الروايات بطلان الصلاة بتركه عمدا وسهوا وهو لا يستلزم البطلان بزيادته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الزيادة في الحالتين أيضا إلاّ أنّ الأوّل أقوى حيث إنّ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w:t>
      </w:r>
    </w:p>
    <w:p>
      <w:pPr>
        <w:pStyle w:val="BookText"/>
        <w:rPr/>
      </w:pPr>
      <w:r>
        <w:rPr>
          <w:rFonts w:ascii="Amiri" w:hAnsi="Amiri" w:eastAsia="Amiri" w:cs="Amiri"/>
          <w:color w:val="111111"/>
          <w:sz w:val="28"/>
          <w:sz w:val="28"/>
          <w:szCs w:val="28"/>
          <w:rtl w:val="true"/>
          <w:lang w:bidi="ar-SA"/>
        </w:rPr>
        <w:t xml:space="preserve">بركنيّتها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زيادتها غير مضرّة سهوا بل وعمدا كما لا يخفى ، فالركن عبارة عن جزء تبطل الماهية عند انهدامه </w:t>
      </w:r>
      <w:r>
        <w:rPr>
          <w:rStyle w:val="FootnoteAnchor"/>
          <w:rtl w:val="true"/>
        </w:rPr>
        <w:footnoteReference w:id="2066"/>
      </w:r>
      <w:r>
        <w:rPr>
          <w:rFonts w:ascii="Amiri" w:hAnsi="Amiri" w:eastAsia="Amiri" w:cs="Amiri"/>
          <w:color w:val="111111"/>
          <w:sz w:val="28"/>
          <w:sz w:val="28"/>
          <w:szCs w:val="28"/>
          <w:rtl w:val="true"/>
          <w:lang w:bidi="ar-SA"/>
        </w:rPr>
        <w:t xml:space="preserve">عمدا ، أو سهوا ، وبعد ملاحظة ما زاد البعض من قيد الزيادة تحصل </w:t>
      </w:r>
      <w:r>
        <w:rPr>
          <w:rStyle w:val="FootnoteAnchor"/>
          <w:rtl w:val="true"/>
        </w:rPr>
        <w:footnoteReference w:id="2067"/>
      </w:r>
      <w:r>
        <w:rPr>
          <w:rFonts w:ascii="Amiri" w:hAnsi="Amiri" w:eastAsia="Amiri" w:cs="Amiri"/>
          <w:color w:val="111111"/>
          <w:sz w:val="28"/>
          <w:sz w:val="28"/>
          <w:szCs w:val="28"/>
          <w:rtl w:val="true"/>
          <w:lang w:bidi="ar-SA"/>
        </w:rPr>
        <w:t xml:space="preserve">في المقام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 المكلّف الجزء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زاد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زاد 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إنّ الصورة الأولى حكمها معلوم بعد كون الأمر المذكور جزءا ، أو لا أقلّ من انعدام الماهية عند انعدام الجزء عمدا ، وإلاّ لما كان جزءا كما هو ظاهر ، فلنذكر الصور </w:t>
      </w:r>
      <w:r>
        <w:rPr>
          <w:rStyle w:val="FootnoteAnchor"/>
          <w:rtl w:val="true"/>
        </w:rPr>
        <w:footnoteReference w:id="2068"/>
      </w:r>
      <w:r>
        <w:rPr>
          <w:rFonts w:ascii="Amiri" w:hAnsi="Amiri" w:eastAsia="Amiri" w:cs="Amiri"/>
          <w:color w:val="111111"/>
          <w:sz w:val="28"/>
          <w:sz w:val="28"/>
          <w:szCs w:val="28"/>
          <w:rtl w:val="true"/>
          <w:lang w:bidi="ar-SA"/>
        </w:rPr>
        <w:t xml:space="preserve">الثلاثة الأخيرة ليتّضح الحال ، فنقول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فيما إذا ترك الجزء سهوا ، فهل يحكم بالفساد ، أو 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الفساد ؛ لعدم صدق امتثال الواقع على الإتيان بالماهية الناقصة ، فإنّ الأمر متعلّق على الصلاة الواقعية ، والمفروض اعتبار السورة مثلا فيها ، فالإتيان بالصلاة الخالية عن السورة ليس امتثالا بما هو لازم الامتثال في الواقع ، فالأمر الدالّ </w:t>
      </w:r>
    </w:p>
    <w:p>
      <w:pPr>
        <w:pStyle w:val="BookText"/>
        <w:rPr/>
      </w:pPr>
      <w:r>
        <w:rPr>
          <w:rFonts w:ascii="Amiri" w:hAnsi="Amiri" w:eastAsia="Amiri" w:cs="Amiri"/>
          <w:color w:val="111111"/>
          <w:sz w:val="28"/>
          <w:sz w:val="28"/>
          <w:szCs w:val="28"/>
          <w:rtl w:val="true"/>
          <w:lang w:bidi="ar-SA"/>
        </w:rPr>
        <w:t>على وجوب الصلاة بإطلاقه موجود ، فلا بدّ من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ممّا دلّ على اعتبار السورة مثلا في الصلاة هو اعتبارها حال الذكر والعلم ، وأمّا عند النسيان والسهو فلا دليل على اعتبارها فيها ، فلا نسلّم أنّ الامتثال الواقعي في الصلاة يتوقّف على الإتيان بالصلاة مع السورة ؛ لرجوع الكلام في المقام إلى جزئية السورة في حقّ الناسي </w:t>
      </w:r>
      <w:r>
        <w:rPr>
          <w:rStyle w:val="FootnoteAnchor"/>
          <w:rtl w:val="true"/>
        </w:rPr>
        <w:footnoteReference w:id="2069"/>
      </w:r>
      <w:r>
        <w:rPr>
          <w:rFonts w:ascii="Amiri" w:hAnsi="Amiri" w:eastAsia="Amiri" w:cs="Amiri"/>
          <w:color w:val="111111"/>
          <w:sz w:val="28"/>
          <w:sz w:val="28"/>
          <w:szCs w:val="28"/>
          <w:rtl w:val="true"/>
          <w:lang w:bidi="ar-SA"/>
        </w:rPr>
        <w:t>وهو بعينه الكلام فيما إذا شكّ في جزئية شيء ، وقد عرفت أنّ التحقيق هو القول بالبراءة ، هذا إذا قلنا باختلاف أحكام الناسي والذاكر قطعا ، ولا أقلّ من الشكّ فيه ، ومعه يتمّ المطلوب أيضا ؛ إذ الشكّ في الجزئية مع هذا أيضا باق ، والأصل البراءة لا يختلف في ذلك اختلاف أسباب 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يتوقّف على أن يكون الناسي والذاكر موضوعين مستقلّين كأن يكون أحدهما في عرض الآخر كالحاضر والمسافر ، وليس كذلك ؛ فإنّ المستفاد من أدلّة النسيان غايته معذورية الناسي كما في صورة الجهل ، فإطلاق الأمر الدالّ على وجوب الجزء حال النسيان أيضا بحاله ، فيجب الإعادة بعد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النسيان وإن خالف الجهل في بعض الوجوه إلاّ أنّ الذكر هو عين العلم ، وقد مرّ أنّ العلم لا يكون مناطا </w:t>
      </w:r>
      <w:r>
        <w:rPr>
          <w:rStyle w:val="FootnoteAnchor"/>
          <w:rtl w:val="true"/>
        </w:rPr>
        <w:footnoteReference w:id="2070"/>
      </w:r>
      <w:r>
        <w:rPr>
          <w:rFonts w:ascii="Amiri" w:hAnsi="Amiri" w:eastAsia="Amiri" w:cs="Amiri"/>
          <w:color w:val="111111"/>
          <w:sz w:val="28"/>
          <w:sz w:val="28"/>
          <w:szCs w:val="28"/>
          <w:rtl w:val="true"/>
          <w:lang w:bidi="ar-SA"/>
        </w:rPr>
        <w:t>لاختلاف الأحكام كما في بعض الصفات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تبتني </w:t>
      </w:r>
      <w:r>
        <w:rPr>
          <w:rStyle w:val="FootnoteAnchor"/>
          <w:rtl w:val="true"/>
        </w:rPr>
        <w:footnoteReference w:id="2071"/>
      </w:r>
      <w:r>
        <w:rPr>
          <w:rFonts w:ascii="Amiri" w:hAnsi="Amiri" w:eastAsia="Amiri" w:cs="Amiri"/>
          <w:color w:val="111111"/>
          <w:sz w:val="28"/>
          <w:sz w:val="28"/>
          <w:szCs w:val="28"/>
          <w:rtl w:val="true"/>
          <w:lang w:bidi="ar-SA"/>
        </w:rPr>
        <w:t xml:space="preserve">على أنّ الأمر العقلي الظاهري هل يفيد الإجزاء </w:t>
      </w:r>
      <w:r>
        <w:rPr>
          <w:rStyle w:val="FootnoteAnchor"/>
          <w:rtl w:val="true"/>
        </w:rPr>
        <w:footnoteReference w:id="2072"/>
      </w:r>
      <w:r>
        <w:rPr>
          <w:rFonts w:ascii="Amiri" w:hAnsi="Amiri" w:eastAsia="Amiri" w:cs="Amiri"/>
          <w:color w:val="111111"/>
          <w:sz w:val="28"/>
          <w:sz w:val="28"/>
          <w:szCs w:val="28"/>
          <w:rtl w:val="true"/>
          <w:lang w:bidi="ar-SA"/>
        </w:rPr>
        <w:t xml:space="preserve">، أو لا؟ فعلى الأوّل يقال بعدم الركنية ؛ لأنّ الأمر بالإتيان في حال النسيان مجز ، فلا يجب الإعادة ، وعلى القول بعدم الإجزاء فالأصل الركنية ، وحيث إنّ القائل ممّن يرى الإجزاء في الأمر الظاهري العقلي </w:t>
      </w:r>
      <w:r>
        <w:rPr>
          <w:rStyle w:val="FootnoteAnchor"/>
          <w:rtl w:val="true"/>
        </w:rPr>
        <w:footnoteReference w:id="2073"/>
      </w:r>
      <w:r>
        <w:rPr>
          <w:rFonts w:ascii="IRNazanin" w:hAnsi="IRNazanin" w:eastAsia="IRNazanin"/>
          <w:color w:val="111111"/>
          <w:sz w:val="28"/>
          <w:sz w:val="28"/>
          <w:szCs w:val="28"/>
          <w:rtl w:val="true"/>
          <w:lang w:bidi="fa-IR"/>
        </w:rPr>
        <w:t>، فجزم بالأوّل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البناء حيث إنّ في مثل النسيان لا يكون أمرا ظاهريا من العقل بل </w:t>
      </w:r>
      <w:r>
        <w:rPr>
          <w:rStyle w:val="FootnoteAnchor"/>
          <w:rtl w:val="true"/>
        </w:rPr>
        <w:footnoteReference w:id="2074"/>
      </w:r>
      <w:r>
        <w:rPr>
          <w:rFonts w:ascii="Amiri" w:hAnsi="Amiri" w:eastAsia="Amiri" w:cs="Amiri"/>
          <w:color w:val="111111"/>
          <w:sz w:val="28"/>
          <w:sz w:val="28"/>
          <w:szCs w:val="28"/>
          <w:rtl w:val="true"/>
          <w:lang w:bidi="ar-SA"/>
        </w:rPr>
        <w:t xml:space="preserve">وهو تخيّل الأمر كما في صورة الجهل المركّب فإنّ المكلّف بعد الاعتقاد بوجوب </w:t>
      </w:r>
      <w:r>
        <w:rPr>
          <w:rStyle w:val="FootnoteAnchor"/>
          <w:rtl w:val="true"/>
        </w:rPr>
        <w:footnoteReference w:id="2075"/>
      </w:r>
      <w:r>
        <w:rPr>
          <w:rFonts w:ascii="Amiri" w:hAnsi="Amiri" w:eastAsia="Amiri" w:cs="Amiri"/>
          <w:color w:val="111111"/>
          <w:sz w:val="28"/>
          <w:sz w:val="28"/>
          <w:szCs w:val="28"/>
          <w:rtl w:val="true"/>
          <w:lang w:bidi="ar-SA"/>
        </w:rPr>
        <w:t>شرب الخمر ليس مكلّفا بشربه لا واقعا 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الأمر الظاهري العقلي على تقدير إمكانه فهو إنّما فيما لو كان حكم العقل في عنوان اعتبره العقل لأن يحكم عليه من حيث هذا العنوان كما في حكم العقل بحجّية الظنّ بعد الانسداد ، و </w:t>
      </w:r>
      <w:r>
        <w:rPr>
          <w:rStyle w:val="FootnoteAnchor"/>
          <w:rtl w:val="true"/>
        </w:rPr>
        <w:footnoteReference w:id="2076"/>
      </w:r>
      <w:r>
        <w:rPr>
          <w:rFonts w:ascii="Amiri" w:hAnsi="Amiri" w:eastAsia="Amiri" w:cs="Amiri"/>
          <w:color w:val="111111"/>
          <w:sz w:val="28"/>
          <w:sz w:val="28"/>
          <w:szCs w:val="28"/>
          <w:rtl w:val="true"/>
          <w:lang w:bidi="ar-SA"/>
        </w:rPr>
        <w:t>حكم العقل بالإباحة قبل الشرع على القول بظاهرية حكم العقل ، فإنّ الحكم بالحجّية إنّما هو باعتبار الانسداد ، فما لم يلاحظ العقل عنوان الانسداد لا يحكم بالحجّية ، وفيما نحن فيه ليس كذلك ؛ فإنّ الجاهل مع اعتقاد علمه يعمل لا من حيث إنّه جاهل ومعتقد بل علمه يستند إلى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الناسي والجاهل المركّب لو كان مناط حكم العقل ، لوجب أن يكون عمل الناسي والجاهل المركّب من حيث نسيانه وجهله بالواقع ، مع ما ترى من فساده ؛ حيث إنّ الناسي يفترق غيره في عقد سلبي وهو عدم وجوب الجزء المنسيّ عليه حين نسيانه بمعنى عدم عقابه بواسطة النسيان ولا يلتفت إلى نسيانه ، كيف وهو تارك للفعل نسيانا ، وكذا الجاهل المركّب فإنّ أعماله إنّما تستند </w:t>
      </w:r>
      <w:r>
        <w:rPr>
          <w:rStyle w:val="FootnoteAnchor"/>
          <w:rtl w:val="true"/>
        </w:rPr>
        <w:footnoteReference w:id="2077"/>
      </w:r>
      <w:r>
        <w:rPr>
          <w:rFonts w:ascii="Amiri" w:hAnsi="Amiri" w:eastAsia="Amiri" w:cs="Amiri"/>
          <w:color w:val="111111"/>
          <w:sz w:val="28"/>
          <w:sz w:val="28"/>
          <w:szCs w:val="28"/>
          <w:rtl w:val="true"/>
          <w:lang w:bidi="ar-SA"/>
        </w:rPr>
        <w:t>إلى علمه باعتقاده لا إلى أنّه جاهل مركّب وحكم الجاهل كذا كما في الحكم بالظنّ ، فإنّ حكم العقل بحجّية الظنّ بعد الانسداد إنّما هو من حيث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فعند نسيان الجزء لا يكون للمكلّف أمر ظاهري من العقل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المبنى إذ لو كان في النسيان وما يشبهه أمر ظاهري عقلي ، فنحن قد بيّنّا في محلّه عدم إفادته </w:t>
      </w:r>
      <w:r>
        <w:rPr>
          <w:rStyle w:val="FootnoteAnchor"/>
          <w:rtl w:val="true"/>
        </w:rPr>
        <w:footnoteReference w:id="2078"/>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تمام الكلام في مقتضى الأصل الأوّلي ، وهل في المقام أصل ثانوي يفيد صحّة العبادة عند النقيصة السهوية ، أو لا؟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لاستصحاب الصحّة على ما استند إليه جملة من الأصحاب إلاّ أنّك قد عرفت </w:t>
      </w:r>
      <w:r>
        <w:rPr>
          <w:rStyle w:val="FootnoteAnchor"/>
          <w:rtl w:val="true"/>
        </w:rPr>
        <w:footnoteReference w:id="2079"/>
      </w:r>
      <w:r>
        <w:rPr>
          <w:rFonts w:ascii="Amiri" w:hAnsi="Amiri" w:eastAsia="Amiri" w:cs="Amiri"/>
          <w:color w:val="111111"/>
          <w:sz w:val="28"/>
          <w:sz w:val="28"/>
          <w:szCs w:val="28"/>
          <w:rtl w:val="true"/>
          <w:lang w:bidi="ar-SA"/>
        </w:rPr>
        <w:t xml:space="preserve">عدم اتّجاهه سابقا ، وسيجيء </w:t>
      </w:r>
      <w:r>
        <w:rPr>
          <w:rStyle w:val="FootnoteAnchor"/>
          <w:rtl w:val="true"/>
        </w:rPr>
        <w:footnoteReference w:id="2080"/>
      </w:r>
      <w:r>
        <w:rPr>
          <w:rFonts w:ascii="Amiri" w:hAnsi="Amiri" w:eastAsia="Amiri" w:cs="Amiri"/>
          <w:color w:val="111111"/>
          <w:sz w:val="28"/>
          <w:sz w:val="28"/>
          <w:szCs w:val="28"/>
          <w:rtl w:val="true"/>
          <w:lang w:bidi="ar-SA"/>
        </w:rPr>
        <w:t xml:space="preserve">تفصيله بما لا مزيد عليه في مقامه لا حقا إن شاء اللّه ، ولقوله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وعدّ منها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 ذلك يحتاج إلى تمهيد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وجود نفس النسيان وذاته في الأمّة ، فرفع النسيان لا بدّ وأن يحمل على رفع أحكامه فإنّ رفع الذات عن مجموع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مخالفونا </w:t>
      </w:r>
      <w:r>
        <w:rPr>
          <w:rStyle w:val="FootnoteAnchor"/>
          <w:rtl w:val="true"/>
        </w:rPr>
        <w:footnoteReference w:id="2082"/>
      </w:r>
      <w:r>
        <w:rPr>
          <w:rFonts w:ascii="Amiri" w:hAnsi="Amiri" w:eastAsia="Amiri" w:cs="Amiri"/>
          <w:color w:val="111111"/>
          <w:sz w:val="28"/>
          <w:sz w:val="28"/>
          <w:szCs w:val="28"/>
          <w:rtl w:val="true"/>
          <w:lang w:bidi="ar-SA"/>
        </w:rPr>
        <w:t xml:space="preserve">عند الاحتجاج بمثله للإجماع على أن يكون المجموع معصوما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كما يظهر من رفع الاستكراه وما لا يطيقون ، كما هو كذلك فيما لو حمل على نفي الذات باعتبار اشتمال الأمّة في كلّ زمان على معصوم كما هو الحقّ عندنا معاشر الإمامية ، وحمل الإكراه حينئذ على معنى آخر بعيد عن مساق الرواية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الامتنان </w:t>
      </w:r>
      <w:r>
        <w:rPr>
          <w:rStyle w:val="FootnoteAnchor"/>
          <w:rtl w:val="true"/>
        </w:rPr>
        <w:footnoteReference w:id="2083"/>
      </w:r>
      <w:r>
        <w:rPr>
          <w:rFonts w:ascii="Amiri" w:hAnsi="Amiri" w:eastAsia="Amiri" w:cs="Amiri"/>
          <w:color w:val="111111"/>
          <w:sz w:val="28"/>
          <w:sz w:val="28"/>
          <w:szCs w:val="28"/>
          <w:rtl w:val="true"/>
          <w:lang w:bidi="ar-SA"/>
        </w:rPr>
        <w:t xml:space="preserve">حينئذ غير معقول لوجود المعصوم في جميع الأمم في كلّ الأعصار كما هو المحقّق عند أهل التحقيق ، فيجب الحمل على رفع الأحكام ، وحينئذ فإمّا أن يراد به تمام الأحكام والآثار المترتّبة على ذات الفعل مع قطع النظر عن الخطأ ، أو بعضها ، لا سبيل إلى الثاني ؛ لعدم مخصّص له ، ودعوى ظهور المؤاخذة ممنوعة ولا سيّما بحيث يمنع عن إرادة الباقي ، فتعيّن الأوّل إمّا لأنّ الظاهر عند عدم ظهور واحد من الأحكام هو الجميع كما يساعده العرف ، أو لأنّ رفع جميع الأحكام أقرب إلى نفي الماهية ، وحيث تعذّرت الحقيقة فأقرب المجازات متعيّن </w:t>
      </w:r>
      <w:r>
        <w:rPr>
          <w:rStyle w:val="FootnoteAnchor"/>
          <w:rtl w:val="true"/>
        </w:rPr>
        <w:footnoteReference w:id="2084"/>
      </w:r>
      <w:r>
        <w:rPr>
          <w:rFonts w:ascii="Amiri" w:hAnsi="Amiri" w:eastAsia="Amiri" w:cs="Amiri"/>
          <w:color w:val="111111"/>
          <w:sz w:val="28"/>
          <w:sz w:val="28"/>
          <w:szCs w:val="28"/>
          <w:rtl w:val="true"/>
          <w:lang w:bidi="ar-SA"/>
        </w:rPr>
        <w:t xml:space="preserve">، أو لأنّ التخصيص بواحد </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دون آخر تحكّم ، والحمل على بعض غير معيّن يلغي الكلام مع ظهوره في مقام البيان كما يوافقه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رواية صحيحة واردة في المقام تدلّ على أنّ المراد رفع جميع الأحكام وضعية كانت أو غيرها حيث إنّ الراوي سأل عن الحلف بالطلاق والعتاق مكرها ، فأجابه عليه‌السلام بعدم الوقوع مستندا في ذلك إلى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مذكورة في طلاق المكره من كتاب الوسائل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المراد بالأحكام المرفوعة الأحكام </w:t>
      </w:r>
      <w:r>
        <w:rPr>
          <w:rStyle w:val="FootnoteAnchor"/>
          <w:rtl w:val="true"/>
        </w:rPr>
        <w:footnoteReference w:id="2087"/>
      </w:r>
      <w:r>
        <w:rPr>
          <w:rFonts w:ascii="Amiri" w:hAnsi="Amiri" w:eastAsia="Amiri" w:cs="Amiri"/>
          <w:color w:val="111111"/>
          <w:sz w:val="28"/>
          <w:sz w:val="28"/>
          <w:szCs w:val="28"/>
          <w:rtl w:val="true"/>
          <w:lang w:bidi="ar-SA"/>
        </w:rPr>
        <w:t xml:space="preserve">المترتّبة على ذات الفعل مع قطع النظر عن الخطأ والذكر ، فالمعنى أنّ ما يترتّب على فعل ، أو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مؤاخذة ، أو ضمان ، أو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مرفوع عن هذه الأمّة المرحومة عند النسيان والخطأ و </w:t>
      </w:r>
      <w:r>
        <w:rPr>
          <w:rStyle w:val="FootnoteAnchor"/>
          <w:rtl w:val="true"/>
        </w:rPr>
        <w:footnoteReference w:id="2088"/>
      </w:r>
      <w:r>
        <w:rPr>
          <w:rFonts w:ascii="Amiri" w:hAnsi="Amiri" w:eastAsia="Amiri" w:cs="Amiri"/>
          <w:color w:val="111111"/>
          <w:sz w:val="28"/>
          <w:sz w:val="28"/>
          <w:szCs w:val="28"/>
          <w:rtl w:val="true"/>
          <w:lang w:bidi="ar-SA"/>
        </w:rPr>
        <w:t>الإكراه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الرفع عدم الجعل ، وحيث إنّ ظاهر الأوامر والأدلّة استواء الناسي والذاكر في الأحكام ، فالدفع في المقام بمنزلة الرفع ، أو لأنّ المانع من الجعل ليس إلاّ الامتنان </w:t>
      </w:r>
      <w:r>
        <w:rPr>
          <w:rStyle w:val="FootnoteAnchor"/>
          <w:rtl w:val="true"/>
        </w:rPr>
        <w:footnoteReference w:id="2089"/>
      </w:r>
      <w:r>
        <w:rPr>
          <w:rFonts w:ascii="Amiri" w:hAnsi="Amiri" w:eastAsia="Amiri" w:cs="Amiri"/>
          <w:color w:val="111111"/>
          <w:sz w:val="28"/>
          <w:sz w:val="28"/>
          <w:szCs w:val="28"/>
          <w:rtl w:val="true"/>
          <w:lang w:bidi="ar-SA"/>
        </w:rPr>
        <w:t>، وإلاّ فالمصلحة الداعية للجعل موجودة ، فعلى ما عرفت من معنى الرفع والمراد بالأحكام المرفوعة لا يرد ما قد يتوهّم من أنّ المقام لا رفع فيه ، ومن أنّ الأحكام المترتّبة على الخطأ كثيرة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 فلأنّ أحكام الخطأ ممّا يترتّب على نفس الخطأ ، ولا دخل لها للفعل ، فكما أنّ عند عدم العلم أحكام المعلوم مرفوع لا أحكام الشكّ لكون عدم العلم موضوعا لها ، فكذا حال الخطأ والنسيان أحكام الفعل المخطئ </w:t>
      </w:r>
      <w:r>
        <w:rPr>
          <w:rStyle w:val="FootnoteAnchor"/>
          <w:rtl w:val="true"/>
        </w:rPr>
        <w:footnoteReference w:id="2090"/>
      </w:r>
      <w:r>
        <w:rPr>
          <w:rFonts w:ascii="Amiri" w:hAnsi="Amiri" w:eastAsia="Amiri" w:cs="Amiri"/>
          <w:color w:val="111111"/>
          <w:sz w:val="28"/>
          <w:sz w:val="28"/>
          <w:szCs w:val="28"/>
          <w:rtl w:val="true"/>
          <w:lang w:bidi="ar-SA"/>
        </w:rPr>
        <w:t>فيه والمنسيّ مرفوع ، وأمّا الأحكام التي موضوعها الخطأ والنسيان ، فلا يرتبط بالمقام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في المقام هو القول بعدم وجوب الإعادة على الناسي عند التذكّر كما عرفت سابقا ، وإلاّ فالعقاب عنه مرفوع قطعا ، ولزوم الإعادة إنّما يترتّب على بقاء الأمر الأوّل ، فإنّها من آثاره ولوازمه فإنّها تنبعث </w:t>
      </w:r>
      <w:r>
        <w:rPr>
          <w:rStyle w:val="FootnoteAnchor"/>
          <w:rtl w:val="true"/>
        </w:rPr>
        <w:footnoteReference w:id="2091"/>
      </w:r>
      <w:r>
        <w:rPr>
          <w:rFonts w:ascii="Amiri" w:hAnsi="Amiri" w:eastAsia="Amiri" w:cs="Amiri"/>
          <w:color w:val="111111"/>
          <w:sz w:val="28"/>
          <w:sz w:val="28"/>
          <w:szCs w:val="28"/>
          <w:rtl w:val="true"/>
          <w:lang w:bidi="ar-SA"/>
        </w:rPr>
        <w:t xml:space="preserve">من عدم انطباق المأتيّ به لما قد أمر به على وجهه ، ولا شكّ أنّ هذه صفة ينتزعها العقل ، ويعبّر عنها بفساد المأمور به ، فهذه الصفة ليست من الأمور المجعولة للشارع حتّى يقال بدلالة الحديث على رفعها ، فإنّ ما للشارع أن يضعه ، له أن يرفعه ، فلو حكم الشارع برفعه ، لزم التناقض بين الحكمين ، ولذلك </w:t>
      </w:r>
      <w:r>
        <w:rPr>
          <w:rStyle w:val="FootnoteAnchor"/>
          <w:rtl w:val="true"/>
        </w:rPr>
        <w:footnoteReference w:id="2092"/>
      </w:r>
      <w:r>
        <w:rPr>
          <w:rFonts w:ascii="Amiri" w:hAnsi="Amiri" w:eastAsia="Amiri" w:cs="Amiri"/>
          <w:color w:val="111111"/>
          <w:sz w:val="28"/>
          <w:sz w:val="28"/>
          <w:szCs w:val="28"/>
          <w:rtl w:val="true"/>
          <w:lang w:bidi="ar-SA"/>
        </w:rPr>
        <w:t xml:space="preserve">ترى الشهيد الثاني </w:t>
      </w:r>
      <w:r>
        <w:rPr>
          <w:rStyle w:val="FootnoteAnchor"/>
          <w:rtl w:val="true"/>
        </w:rPr>
        <w:footnoteReference w:id="2093"/>
      </w:r>
      <w:r>
        <w:rPr>
          <w:rFonts w:ascii="Amiri" w:hAnsi="Amiri" w:eastAsia="Amiri" w:cs="Amiri"/>
          <w:color w:val="111111"/>
          <w:sz w:val="28"/>
          <w:sz w:val="28"/>
          <w:szCs w:val="28"/>
          <w:rtl w:val="true"/>
          <w:lang w:bidi="ar-SA"/>
        </w:rPr>
        <w:t>يعترض على المستدلّ بالرواية في مثل المقام بأنّ الإعادة إنّما هو من آثار بقاء الأمر ، فلا يصحّ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المرفوع في المقام هو جعل الجزء المشكوك جزءا ، فلا يجب الإعادة ؛ إذ لو لم يكن المشكوك جزءا حال السهو لم يكن الإعادة واجبة ، وذلك ظاهر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المقام شيئا يجب التنبيه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في رفع الأمور الوضعية ونحوها بالرواية إنّما يستقيم فيما لو كانت تلك الأحكام من الحقوق المتعلّقة باللّه جلّ جلاله ؛ حيث إنّ الاستظهار المذكور من الرواية لا يتمّ إلاّ بعد اعتبار ورودها في مقام </w:t>
      </w:r>
    </w:p>
    <w:p>
      <w:pPr>
        <w:pStyle w:val="BookText"/>
        <w:rPr/>
      </w:pPr>
      <w:r>
        <w:rPr>
          <w:rFonts w:ascii="Amiri" w:hAnsi="Amiri" w:eastAsia="Amiri" w:cs="Amiri"/>
          <w:color w:val="111111"/>
          <w:sz w:val="28"/>
          <w:sz w:val="28"/>
          <w:szCs w:val="28"/>
          <w:rtl w:val="true"/>
          <w:lang w:bidi="ar-SA"/>
        </w:rPr>
        <w:t xml:space="preserve">الامتنان على ما نبّهنا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فيما لم يكن من حقوق الآدميين ممّا يتعلّق بأموالهم وأنفسهم وإن كان الجاعل لتلك الحقوق هو اللّه سبحانه ؛ لاستلزامه رفع التفضّل بالنسبة إليهم </w:t>
      </w:r>
      <w:r>
        <w:rPr>
          <w:rStyle w:val="FootnoteAnchor"/>
          <w:rtl w:val="true"/>
        </w:rPr>
        <w:footnoteReference w:id="2094"/>
      </w:r>
      <w:r>
        <w:rPr>
          <w:rFonts w:ascii="Amiri" w:hAnsi="Amiri" w:eastAsia="Amiri" w:cs="Amiri"/>
          <w:color w:val="111111"/>
          <w:sz w:val="28"/>
          <w:sz w:val="28"/>
          <w:szCs w:val="28"/>
          <w:rtl w:val="true"/>
          <w:lang w:bidi="ar-SA"/>
        </w:rPr>
        <w:t xml:space="preserve">في خصوص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والقبلة والطهور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2095"/>
      </w:r>
      <w:r>
        <w:rPr>
          <w:rFonts w:ascii="Amiri" w:hAnsi="Amiri" w:eastAsia="Amiri" w:cs="Amiri"/>
          <w:color w:val="111111"/>
          <w:sz w:val="28"/>
          <w:sz w:val="28"/>
          <w:szCs w:val="28"/>
          <w:rtl w:val="true"/>
          <w:lang w:bidi="ar-SA"/>
        </w:rPr>
        <w:t>وجه الدلالة أنّ الرواية تدلّ على عدم وجوب الإعادة فيما سوى الخمسة المذكورة ، وحيث إنّ المستثنى في الرواية بعضها من الأجزاء كالركوع والسجود ، والآخر من الشرائط كالقبلة والطهور ، فيكشف عن عموم المستثنى منه ، فيتمّ التقريب في عدم وجوب الإعادة في كلتا السلسلتين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للزوم الإعادة في الأجزاء والشرائط بأسرها </w:t>
      </w:r>
      <w:r>
        <w:rPr>
          <w:rStyle w:val="FootnoteAnchor"/>
          <w:rtl w:val="true"/>
        </w:rPr>
        <w:footnoteReference w:id="2096"/>
      </w:r>
      <w:r>
        <w:rPr>
          <w:rFonts w:ascii="Amiri" w:hAnsi="Amiri" w:eastAsia="Amiri" w:cs="Amiri"/>
          <w:color w:val="111111"/>
          <w:sz w:val="28"/>
          <w:sz w:val="28"/>
          <w:szCs w:val="28"/>
          <w:rtl w:val="true"/>
          <w:lang w:bidi="ar-SA"/>
        </w:rPr>
        <w:t>فيما لو أخلّ بأحدها عمدا ، فلا بدّ من تخصيصه بحالة السهو ، فيكون تخصيصا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 التخصيص في شيء بل هو تقييد لإطلاق الخبر ، ولا ضير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التقييد بحالة السهو من عدم لزوم الإعادة ، فلا يتمّ أيضا ؛ للزوم الإعادة في النيّة والتكبيرة والقيام الركني المتّصل بالركوع</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 فلا يصدق الصلاة بدونهما ، فإنّهما الفاتحة ، والمقصود لزوم إعادة الصلاة ، وأمّا الأخير ، فيلازم الركوع كما لا يخفى ، ثمّ المراد من نفي لزوم الإعادة من سوى الخمسة إنّما هو بالنسبة إلى الأشياء التي من شأنها إعادة الصلاة لأجلها ، وأمّا </w:t>
      </w:r>
    </w:p>
    <w:p>
      <w:pPr>
        <w:pStyle w:val="BookText"/>
        <w:rPr/>
      </w:pPr>
      <w:r>
        <w:rPr>
          <w:rFonts w:ascii="Amiri" w:hAnsi="Amiri" w:eastAsia="Amiri" w:cs="Amiri"/>
          <w:color w:val="111111"/>
          <w:sz w:val="28"/>
          <w:sz w:val="28"/>
          <w:szCs w:val="28"/>
          <w:rtl w:val="true"/>
          <w:lang w:bidi="ar-SA"/>
        </w:rPr>
        <w:t>الأشياء التي لا دخل لها في الصلاة بحسب الاحتمال عند العلماء والفقهاء ممّا دلّ على اعتباره دليل مشكوك الدلالة أو الاعتبار ، فلا يرتبط بالمقام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Style w:val="FootnoteAnchor"/>
          <w:rtl w:val="true"/>
        </w:rPr>
        <w:footnoteReference w:id="2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عمدا ، والكلام فيه تارة يقع في حكمها ، وأخرى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فظاهر بعد ما أصّلنا من التمسّك بأصالة البراءة عند الشكّ في الموانع لرجوع الشكّ عند الزيادة إلى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فيتصوّر </w:t>
      </w:r>
      <w:r>
        <w:rPr>
          <w:rStyle w:val="FootnoteAnchor"/>
          <w:rtl w:val="true"/>
        </w:rPr>
        <w:footnoteReference w:id="2098"/>
      </w:r>
      <w:r>
        <w:rPr>
          <w:rFonts w:ascii="IRNazanin" w:hAnsi="IRNazanin" w:eastAsia="IRNazanin"/>
          <w:color w:val="111111"/>
          <w:sz w:val="28"/>
          <w:sz w:val="28"/>
          <w:szCs w:val="28"/>
          <w:rtl w:val="true"/>
          <w:lang w:bidi="fa-IR"/>
        </w:rPr>
        <w:t xml:space="preserve">على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على الماهية المركّبة بما هو يباين أجزاءها جنسا ، وهذا يحتمل أن يكون مفسدا لخروج الماهية بالزيادة عمّا كانت عليها كالنقيصة ، ويحتمل أن لا يكون مفسدا لأنّ المفروض فيما إذا لم يكن تلك الزيادة موجبة لنقصان جزء من أجزاء المركّب ، وعلى هذا فلا دليل على فساد المركّب ، وقصد الجزئية لا يجعل الشيء جزءا حقيقة وإن حرم الاستناد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عليها بما لا يباين الأجزاء الماهية ، وحينئذ فلا بدّ من ملاحظة الدليل ، فتارة يدلّ على اعتبار ماهية الجزء من غير تقييده </w:t>
      </w:r>
      <w:r>
        <w:rPr>
          <w:rStyle w:val="FootnoteAnchor"/>
          <w:rtl w:val="true"/>
        </w:rPr>
        <w:footnoteReference w:id="2099"/>
      </w:r>
      <w:r>
        <w:rPr>
          <w:rFonts w:ascii="Amiri" w:hAnsi="Amiri" w:eastAsia="Amiri" w:cs="Amiri"/>
          <w:color w:val="111111"/>
          <w:sz w:val="28"/>
          <w:sz w:val="28"/>
          <w:szCs w:val="28"/>
          <w:rtl w:val="true"/>
          <w:lang w:bidi="ar-SA"/>
        </w:rPr>
        <w:t>بفرد ، أو فردين كما في الذكر ، وأخرى يدلّ على اعتباره مقيّدا بعدد كسورة واحدة أو سجدتين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فلا ريب في صحّة المركّب ؛ لأنّ الزيادة امتثال للأمر بالماهية لعدم تفاوت الماهية بالزيادة والنقصان ويعدّ في العرف الزيادة هذه من الامتثال أيضا ، وليس هذا من الامتثال عقيب الامتثال المختلف فيه عندهم كما لا يخفى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 فإمّا أن يكون التقييد بالعدد الخاصّ على وجه ينافي الزيادة كما في </w:t>
      </w:r>
    </w:p>
    <w:p>
      <w:pPr>
        <w:pStyle w:val="BookText"/>
        <w:rPr/>
      </w:pPr>
      <w:r>
        <w:rPr>
          <w:rFonts w:ascii="Amiri" w:hAnsi="Amiri" w:eastAsia="Amiri" w:cs="Amiri"/>
          <w:color w:val="111111"/>
          <w:sz w:val="28"/>
          <w:sz w:val="28"/>
          <w:szCs w:val="28"/>
          <w:rtl w:val="true"/>
          <w:lang w:bidi="ar-SA"/>
        </w:rPr>
        <w:t>الوحدة المعتبرة في مدلول الألفاظ على ما يراه بعضهم ، أو لا يكون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فلا شكّ في فساد المركّب ؛ لانحلال المطلوب إلى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الجزء ، واعتبار عدم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فقد يشكل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سورة منوّنة بتنوين التنكير الدالّة على الوحدة ، فقرأ سورتين مع عدم قصد الزيادة كأن يقصد البدلية مع احتمال اللحن في الأوّل من حيث إنّ ظاهر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الوحدة ، ومن حيث الأصل ، فيشكّ في المانعية وقد قرّر جريان البراءة فيها ، وأمّا إذا قصد الجزئية ، فمرجع المسألة إلى التشريع ، والخلاف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الزيادة سهوا ، واعلم أنّ المقام عكس المقام السابق حيث إنّ الحكم فيه مشكل دون التصوير </w:t>
      </w:r>
      <w:r>
        <w:rPr>
          <w:rStyle w:val="FootnoteAnchor"/>
          <w:rtl w:val="true"/>
        </w:rPr>
        <w:footnoteReference w:id="2101"/>
      </w:r>
      <w:r>
        <w:rPr>
          <w:rFonts w:ascii="Amiri" w:hAnsi="Amiri" w:eastAsia="Amiri" w:cs="Amiri"/>
          <w:color w:val="111111"/>
          <w:sz w:val="28"/>
          <w:sz w:val="28"/>
          <w:szCs w:val="28"/>
          <w:rtl w:val="true"/>
          <w:lang w:bidi="ar-SA"/>
        </w:rPr>
        <w:t xml:space="preserve">؛ إذ الزيادة السهوية معلومة جدّا ، وأمّا الحكم ، فإن قلنا بعدم بطلان الزيادة العمدية كما عرفت ، فالحكم في الزيادة </w:t>
      </w:r>
      <w:r>
        <w:rPr>
          <w:rStyle w:val="FootnoteAnchor"/>
          <w:rtl w:val="true"/>
        </w:rPr>
        <w:footnoteReference w:id="2102"/>
      </w:r>
      <w:r>
        <w:rPr>
          <w:rFonts w:ascii="Amiri" w:hAnsi="Amiri" w:eastAsia="Amiri" w:cs="Amiri"/>
          <w:color w:val="111111"/>
          <w:sz w:val="28"/>
          <w:sz w:val="28"/>
          <w:szCs w:val="28"/>
          <w:rtl w:val="true"/>
          <w:lang w:bidi="ar-SA"/>
        </w:rPr>
        <w:t xml:space="preserve">السهوية بطريق أولى ، فإنّ ما لا يفسد عمده لا يفسد سهوه </w:t>
      </w:r>
      <w:r>
        <w:rPr>
          <w:rStyle w:val="FootnoteAnchor"/>
          <w:rtl w:val="true"/>
        </w:rPr>
        <w:footnoteReference w:id="2103"/>
      </w:r>
      <w:r>
        <w:rPr>
          <w:rFonts w:ascii="Amiri" w:hAnsi="Amiri" w:eastAsia="Amiri" w:cs="Amiri"/>
          <w:color w:val="111111"/>
          <w:sz w:val="28"/>
          <w:sz w:val="28"/>
          <w:szCs w:val="28"/>
          <w:rtl w:val="true"/>
          <w:lang w:bidi="ar-SA"/>
        </w:rPr>
        <w:t xml:space="preserve">قطعا ، وإن قلنا بالاشتغال في المقام الأوّل ، فيمكن القول بالصحّة أيضا في المقام لشموله لخبر الرفع وعدم العود إلاّ من خمسة كما عرفت إلاّ أنّ في المقام روايتين تدلاّن بظاهرهما على الفساد ، فلا بدّ من ذكرهما وتنقيحهما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زرارة ، عن أحدهما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في المكتوبة بشيء من العزائم فإنّ السجود زيادة في المكتوبة </w:t>
      </w:r>
      <w:r>
        <w:rPr>
          <w:rFonts w:eastAsia="Amiri" w:cs="Amiri" w:ascii="Amiri" w:hAnsi="Amiri"/>
          <w:color w:val="111111"/>
          <w:sz w:val="28"/>
          <w:szCs w:val="28"/>
          <w:rtl w:val="true"/>
          <w:lang w:bidi="ar-SA"/>
        </w:rPr>
        <w:t xml:space="preserve">» </w:t>
      </w:r>
      <w:r>
        <w:rPr>
          <w:rStyle w:val="FootnoteAnchor"/>
          <w:rtl w:val="true"/>
        </w:rPr>
        <w:footnoteReference w:id="2104"/>
      </w:r>
      <w:r>
        <w:rPr>
          <w:rFonts w:ascii="Amiri" w:hAnsi="Amiri" w:eastAsia="Amiri" w:cs="Amiri"/>
          <w:color w:val="111111"/>
          <w:sz w:val="28"/>
          <w:sz w:val="28"/>
          <w:szCs w:val="28"/>
          <w:rtl w:val="true"/>
          <w:lang w:bidi="ar-SA"/>
        </w:rPr>
        <w:t xml:space="preserve">فإنّ ظاهر التعليل إفساد </w:t>
      </w:r>
      <w:r>
        <w:rPr>
          <w:rStyle w:val="FootnoteAnchor"/>
          <w:rtl w:val="true"/>
        </w:rPr>
        <w:footnoteReference w:id="2105"/>
      </w:r>
      <w:r>
        <w:rPr>
          <w:rFonts w:ascii="Amiri" w:hAnsi="Amiri" w:eastAsia="Amiri" w:cs="Amiri"/>
          <w:color w:val="111111"/>
          <w:sz w:val="28"/>
          <w:sz w:val="28"/>
          <w:szCs w:val="28"/>
          <w:rtl w:val="true"/>
          <w:lang w:bidi="ar-SA"/>
        </w:rPr>
        <w:t xml:space="preserve">الزيادة مطلقا ولو كان من غير قصد الجزئية للصلاة كما في سجدة العزائم بل ولو كان الزيادة عن سهو </w:t>
      </w:r>
      <w:bookmarkStart w:id="264" w:name="pg16273_211931"/>
    </w:p>
    <w:p>
      <w:pPr>
        <w:pStyle w:val="BookText"/>
        <w:rPr/>
      </w:pPr>
      <w:bookmarkEnd w:id="264"/>
      <w:r>
        <w:rPr>
          <w:rFonts w:ascii="Amiri" w:hAnsi="Amiri" w:eastAsia="Amiri" w:cs="Amiri"/>
          <w:color w:val="111111"/>
          <w:sz w:val="28"/>
          <w:sz w:val="28"/>
          <w:szCs w:val="28"/>
          <w:rtl w:val="true"/>
          <w:lang w:bidi="ar-SA"/>
        </w:rPr>
        <w:t>كما هو 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صلواته شيئا ، فعليه الإعادة </w:t>
      </w:r>
      <w:r>
        <w:rPr>
          <w:rFonts w:eastAsia="Amiri" w:cs="Amiri" w:ascii="Amiri" w:hAnsi="Amiri"/>
          <w:color w:val="111111"/>
          <w:sz w:val="28"/>
          <w:szCs w:val="28"/>
          <w:rtl w:val="true"/>
          <w:lang w:bidi="ar-SA"/>
        </w:rPr>
        <w:t xml:space="preserve">» </w:t>
      </w:r>
      <w:r>
        <w:rPr>
          <w:rStyle w:val="FootnoteAnchor"/>
          <w:rtl w:val="true"/>
        </w:rPr>
        <w:footnoteReference w:id="2107"/>
      </w:r>
      <w:r>
        <w:rPr>
          <w:rFonts w:ascii="Amiri" w:hAnsi="Amiri" w:eastAsia="Amiri" w:cs="Amiri"/>
          <w:color w:val="111111"/>
          <w:sz w:val="28"/>
          <w:sz w:val="28"/>
          <w:szCs w:val="28"/>
          <w:rtl w:val="true"/>
          <w:lang w:bidi="ar-SA"/>
        </w:rPr>
        <w:t xml:space="preserve">فالخبران يعارضان ما ذكر من خبر الرفع وعدم الإعادة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4803640_1280447820"/>
      <w:bookmarkStart w:id="266" w:name="_Toc92"/>
      <w:bookmarkEnd w:id="265"/>
      <w:r>
        <w:rPr>
          <w:rtl w:val="true"/>
        </w:rPr>
        <w:t xml:space="preserve">الأمر الثاني </w:t>
      </w:r>
      <w:r>
        <w:rPr>
          <w:rtl w:val="true"/>
        </w:rPr>
        <w:t>:</w:t>
      </w:r>
      <w:bookmarkEnd w:id="266"/>
    </w:p>
    <w:p>
      <w:pPr>
        <w:pStyle w:val="BookText"/>
        <w:rPr/>
      </w:pPr>
      <w:r>
        <w:rPr>
          <w:rFonts w:ascii="Amiri" w:hAnsi="Amiri" w:eastAsia="Amiri" w:cs="Amiri"/>
          <w:color w:val="111111"/>
          <w:sz w:val="28"/>
          <w:sz w:val="28"/>
          <w:szCs w:val="28"/>
          <w:rtl w:val="true"/>
          <w:lang w:bidi="ar-SA"/>
        </w:rPr>
        <w:t xml:space="preserve">الأمر الثاني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ثبت اعتبار شيء في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أو شطرا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كأن علمنا بذلك في حالة الاختيار ، فهل يحكم بذلك مطلقا حتّى عند الاضطرار إلى ترك ذلك الشيء ، فيجب الإتيان بالباقي ، أو لا يجب لانتفاء الكلّ ، أو المشروط عند انتفاء الجزء والشرط ، وتحقيقه في مقامين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فهل الأصل الأوّلي بمعنى أحد الأصول العملية براءة واشتغالا واستصحابا وتخييرا يقضي بالأوّل ، أو بالثاني؟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ليس في المقام أصل كلّي يرجع إليه عند الشكّ ، بل المقامات في ذلك متفاوتة ، فربّ مقام يؤخذ فيه بالبراءة قطعا ، وفي آخر بالاشتغال ، أو البراءة على الاختلاف ، والأمر الكلّي في المقام هو القول بوجوب ملاحظة حال الكلّ بعد ترك الجزء والمشروط بعد انتفاء الشرط وإعمال الأصول فيه </w:t>
      </w:r>
      <w:r>
        <w:rPr>
          <w:rStyle w:val="FootnoteAnchor"/>
          <w:rtl w:val="true"/>
        </w:rPr>
        <w:footnoteReference w:id="2110"/>
      </w:r>
      <w:r>
        <w:rPr>
          <w:rFonts w:ascii="Amiri" w:hAnsi="Amiri" w:eastAsia="Amiri" w:cs="Amiri"/>
          <w:color w:val="111111"/>
          <w:sz w:val="28"/>
          <w:sz w:val="28"/>
          <w:szCs w:val="28"/>
          <w:rtl w:val="true"/>
          <w:lang w:bidi="ar-SA"/>
        </w:rPr>
        <w:t xml:space="preserve">، ففي ما لو اضطرّ إلى ترك ما هو معتبر في الواجب النفسي كالوضوء للصلاة ، أو القراءة فيها ، أو غير ذلك ، فالأصل البراءة ؛ لأنّ مرجع الشكّ إلى وجوب الصلاة مثلا بدون هذه الأشياء و </w:t>
      </w:r>
      <w:r>
        <w:rPr>
          <w:rStyle w:val="FootnoteAnchor"/>
          <w:rtl w:val="true"/>
        </w:rPr>
        <w:footnoteReference w:id="2111"/>
      </w:r>
      <w:r>
        <w:rPr>
          <w:rFonts w:ascii="Amiri" w:hAnsi="Amiri" w:eastAsia="Amiri" w:cs="Amiri"/>
          <w:color w:val="111111"/>
          <w:sz w:val="28"/>
          <w:sz w:val="28"/>
          <w:szCs w:val="28"/>
          <w:rtl w:val="true"/>
          <w:lang w:bidi="ar-SA"/>
        </w:rPr>
        <w:t xml:space="preserve">هو شكّ في التكليف قطعا ، والأصل البراءة ، وفيما لو </w:t>
      </w:r>
    </w:p>
    <w:p>
      <w:pPr>
        <w:pStyle w:val="BookText"/>
        <w:rPr/>
      </w:pPr>
      <w:r>
        <w:rPr>
          <w:rFonts w:ascii="Amiri" w:hAnsi="Amiri" w:eastAsia="Amiri" w:cs="Amiri"/>
          <w:color w:val="111111"/>
          <w:sz w:val="28"/>
          <w:sz w:val="28"/>
          <w:szCs w:val="28"/>
          <w:rtl w:val="true"/>
          <w:lang w:bidi="ar-SA"/>
        </w:rPr>
        <w:t xml:space="preserve">اضطرّ إلى ترك ما هو معتبر في الواجب الغيري كشرائط الوضوء بناء على غيريتها ، أو أجزائه ، فإن سرى الشكّ إلى وجوب الواجب النفسي الذي ترك ما هو معتبر في مقدّمته ، فلا كلام أيضا في أنّ الأصل البراءة ؛ لعدم الفرق في ذلك بين الاضطرار إلى الجزء ، أو جزئه ، أو الشرط ، أو شرطه ، أو جزء شرطه ، أو شرط جزئه كما لا يخفى ، وإلاّ فيبنى على مسألة جريان البراءة في الواجبات الغيرية كما هو التحقيق ، واختصاصها بالنفسيات كما يراه بعضهم </w:t>
      </w:r>
      <w:r>
        <w:rPr>
          <w:rStyle w:val="FootnoteAnchor"/>
          <w:rtl w:val="true"/>
        </w:rPr>
        <w:footnoteReference w:id="2112"/>
      </w:r>
      <w:r>
        <w:rPr>
          <w:rFonts w:ascii="Amiri" w:hAnsi="Amiri" w:eastAsia="Amiri" w:cs="Amiri"/>
          <w:color w:val="111111"/>
          <w:sz w:val="28"/>
          <w:sz w:val="28"/>
          <w:szCs w:val="28"/>
          <w:rtl w:val="true"/>
          <w:lang w:bidi="ar-SA"/>
        </w:rPr>
        <w:t>، وذلك كما إذا علمنا بوجوب الصلاة ولو عند ترك غسل اليد وعدم سقوطه بواسطة فقد جزء الشرط على 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أكثر ورود هذا إنّما هو في العبادات ، وأمّا في المعاملات ، فقد يتّفق أيضا كما في السلف لو تعذّر ذكر تمام الأوصاف ، وفي صيغ العقود عند عدم التمكّن من إحراز بعض الشرائط المعتبرة كالعربية ونحوها ، وحيث ما وقع فالأصل يقضي بالفساد كما في جميع الأحكام الوضعية عند الشكّ في تحقّق أسبابها ، وأمّا ما ذكره بعضهم في صحّة السلف والسلم من عزّة الوجود لو كان المعتبر ذكر تمام الأوصاف ، فهو مبنيّ على الأصل الثانوي كما ستعرفه ، ونظيره ما أفاده ثاني المحقّقين </w:t>
      </w:r>
      <w:r>
        <w:rPr>
          <w:rStyle w:val="FootnoteAnchor"/>
          <w:rtl w:val="true"/>
        </w:rPr>
        <w:footnoteReference w:id="2113"/>
      </w:r>
      <w:r>
        <w:rPr>
          <w:rFonts w:ascii="Amiri" w:hAnsi="Amiri" w:eastAsia="Amiri" w:cs="Amiri"/>
          <w:color w:val="111111"/>
          <w:sz w:val="28"/>
          <w:sz w:val="28"/>
          <w:szCs w:val="28"/>
          <w:rtl w:val="true"/>
          <w:lang w:bidi="ar-SA"/>
        </w:rPr>
        <w:t>في بعض إفاداته عند الشكّ في اعتبار العربية حالة العجز عنها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في المقام بلزوم الإتيان بالباقي بعد الاضطرار شرعا ، أو عقلا نظرا إلى الاستصحاب ، وبيانه أنّ قبل العجز كان الباقي واجبا ، وبعده نشكّ فيه ، والأصل بقاؤه ، ويتمّ الكلام فيما لو بلغ المكلّف معذورا ؛ لعدم </w:t>
      </w:r>
      <w:r>
        <w:rPr>
          <w:rStyle w:val="FootnoteAnchor"/>
          <w:rtl w:val="true"/>
        </w:rPr>
        <w:footnoteReference w:id="2114"/>
      </w:r>
      <w:r>
        <w:rPr>
          <w:rFonts w:ascii="Amiri" w:hAnsi="Amiri" w:eastAsia="Amiri" w:cs="Amiri"/>
          <w:color w:val="111111"/>
          <w:sz w:val="28"/>
          <w:sz w:val="28"/>
          <w:szCs w:val="28"/>
          <w:rtl w:val="true"/>
          <w:lang w:bidi="ar-SA"/>
        </w:rPr>
        <w:t>القول بالفصل ، ولا يمكن القول بالبراءة فيما لو بلغ معذورا ، والاستناد إلى عدم القول بالفصل في الباقي لقوّة الاستصحاب ووروده على ضميمة الآخر إلاّ أنّ وهن هذه الكلمات ممّا لا يكاد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 فلأنّ الاستصحاب ممّا لا مجرى له في هذه المقامات على ما نبّه عليه المحقّق الخوانساري </w:t>
      </w:r>
      <w:r>
        <w:rPr>
          <w:rStyle w:val="FootnoteAnchor"/>
          <w:rtl w:val="true"/>
        </w:rPr>
        <w:footnoteReference w:id="2115"/>
      </w:r>
      <w:r>
        <w:rPr>
          <w:rFonts w:ascii="Amiri" w:hAnsi="Amiri" w:eastAsia="Amiri" w:cs="Amiri"/>
          <w:color w:val="111111"/>
          <w:sz w:val="28"/>
          <w:sz w:val="28"/>
          <w:szCs w:val="28"/>
          <w:rtl w:val="true"/>
          <w:lang w:bidi="ar-SA"/>
        </w:rPr>
        <w:t>حيث إنّ وجوب الكلّ المعلوم قد انتفى قطعا ، ووجوب الباقي المشكوك الآن لم يكن معلوما ؛ لاحتمال مدخلية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فلأنّ دعوى الإجماع المركّب في المقام في غاية الصعوبة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 فهل في المقام ما يقضي من الأدلّة العامّة والقواعد الكلّية المشتركة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21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 فأتوا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2118"/>
      </w:r>
      <w:r>
        <w:rPr>
          <w:rFonts w:ascii="IRNazanin" w:hAnsi="IRNazanin" w:eastAsia="IRNazanin"/>
          <w:color w:val="111111"/>
          <w:sz w:val="28"/>
          <w:sz w:val="28"/>
          <w:szCs w:val="28"/>
          <w:rtl w:val="true"/>
          <w:lang w:bidi="fa-IR"/>
        </w:rPr>
        <w:t xml:space="preserve">بانقلاب هذا الأصل مطلقا ، أو لا </w:t>
      </w:r>
    </w:p>
    <w:p>
      <w:pPr>
        <w:pStyle w:val="BookText"/>
        <w:rPr/>
      </w:pPr>
      <w:r>
        <w:rPr>
          <w:rFonts w:ascii="Amiri" w:hAnsi="Amiri" w:eastAsia="Amiri" w:cs="Amiri"/>
          <w:color w:val="111111"/>
          <w:sz w:val="28"/>
          <w:sz w:val="28"/>
          <w:szCs w:val="28"/>
          <w:rtl w:val="true"/>
          <w:lang w:bidi="ar-SA"/>
        </w:rPr>
        <w:t xml:space="preserve">كذلك ، أو يفصّل بين الأجزاء والشرائط؟ وجوه ، بل لا يبعد القول بأنّها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يقال بعدمه مطلقا نظرا إلى قصور مستند هذه الروايات عن إثبات مثل هذا الأصل المخالف للقواعد بل ودلالتها أيضا ؛ لظهورها في الواجبات المتعدّدة المستقلّة كما في أفراد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بالانقلاب نظرا إلى هذه الأخبار فإنّ ضعف السند فيها منجبر بعمل الأصحاب لهذه الروايات في موارد جمّة كما يظهر بالتتبّع في كلماتهم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وما لا يدرك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والأخبار الثلاثة يذكرها الفقهاء في كتبهم الاستدلالية على وجه القبول وعدم الطعن في السند أصلا ، ونقلت في الغوالى عنهم عليهم‌السلام ، ومشهورة في ألسن جميع المسلمين يذكرونها ويتمسّكون بها في محاوراتهم ومعاملاتهم من غير نكير مع جريان الاستصحاب في كثير منها بل جلّها لو لم نقل كلّها ووصفها تلميذه صاحب الرياض كثيرا بالمعتبرة قال عنها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الحجري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المعتبرة وضعفها بعمل الأصحاب طرّا مجبور ، وأوّل من ناقش في سنده صاحب الحدائق والنراقي وسيأتي نصوص كلماتهم ، إلاّ أنّ فخر المحقّقين والشهيدين والشيخ البهائي ووالده والمحقّق الأردبيلي لم يعبّروا عنها بالحديث والرواية ولعلّها عندهم قاعدة اصطيادية ، وأتعجّب من صاحب المدارك كيف اعتمد عليها مع سلوكه طريقة صعبة في تلقّي الأحاديث بالقبول وينبغي أن أنبّه أنّ المستدلّين بالميسور لم يستدلّوا مستقلاّ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وغالبا استدلّوا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تلو الاستدلال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ونذكر مواردها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الفوائد لفخر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للشهيد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للمحقّق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استدلّ بحديث إذا أمرتكم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الكركى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واستدلّ الشهيد أيضا بحديث إذا أمرتكم مستقلاّ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الحجري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استدلّ مستقلاّ بحديث إذا أمرتكم في الروض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 إذا أمرتكم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الحسينى لوالد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الفائدة والبرهان للمحقّق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 إذا أمرتكم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للسيّد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حبل المتين للشيخ البهائي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المعاد للسبزواري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ناقش في صحّة سندها وفي دلالتها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وقال بعد تسليم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يشتمل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ضعف الرواية منجبر بالشهرة وعدم المعارض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لقائل أن يقول بعد تسليم صحّة الرواية والإغماض عن الإجمال الذي فيها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واستدلّ أيضا بحديث إذا أمرتكم مستقلاّ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للفاضل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 إذا أمرتكم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مجمع الفائدة والبرهان للوحيد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ما لا يدرك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للسيّد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وضعفها بعمل الأصحاب طرّا مجبور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ما لا يدرك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وضعفها بعمل الأصحاب طرّا مجبور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يسقط عنه القيام عندنا للنصوص بأنّ الميسور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 في المعتبر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ما لا يدرك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 وأيضا ح ما لا يدرك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غنائم الأيّام للمحقّق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والميسور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ما لا يدرك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 إذا أمرتكم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إذا أمرتكم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وأيضا ح إذا أمرتكم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القوانين للمحقّق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البحراني في الحدائق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روض الجنان وكذا حديث إذا أمرتكم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غير منصوصة وبناء الأحكام على هذه التعليلات العليلة سيّما مع تعارضها</w:t>
      </w:r>
    </w:p>
    <w:p>
      <w:pPr>
        <w:pStyle w:val="BookText"/>
        <w:rPr/>
      </w:pPr>
      <w:r>
        <w:rPr>
          <w:rFonts w:ascii="Amiri" w:hAnsi="Amiri" w:eastAsia="Amiri" w:cs="Amiri"/>
          <w:color w:val="111111"/>
          <w:sz w:val="28"/>
          <w:sz w:val="28"/>
          <w:szCs w:val="28"/>
          <w:rtl w:val="true"/>
          <w:lang w:bidi="ar-SA"/>
        </w:rPr>
        <w:t>وتصادمها لا يخلو من المجازفة في أحكامه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في الحدائق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الميسور وإذا أمرتكم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هذين الخبرين وإن تناقلهما الأصحاب في كتب الاستدلال إلاّ أنّي لم أقف عليهما في شيء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الحدائق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من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الخبر الذي ذكره فإنّا لم نقف عليه مسندا في كتب الأخبار وإنّما يتناقله الفقهاء في كتب الفروع مع ما فيه من الإجمال المانع من الاستناد إليه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النراقي في عوائد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عائدة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الحجري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يستدلّ به بعض الفقهاء في مقام إثبات الحكم للجزء بعد تعسّر الكلّ أو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مرويّ عن النبيّ صلى‌اللّه‌عليه‌وآله والثانيان عن عليّ عليه‌السلام ، نقل الثلاثة في عوالى اللآلى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إمّا في حجّيتها أو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عدم اعتبار تلك الأخبار من حيث السند ، ولا من حيث وجودها في أصل معتبر ، ولكن تصدّى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الوحيد البهبهاني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حجّيتها ببيان اشتهارها وانجبارها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ذكرها الفقهاء في كتبهم الاستدلالية على وجه القبول وعدم الطعن في السند أصلا ومع ذلك مشهورة في ألسنة جميع المسلمين يذكرونها ويتمسّكون بها في محاوراتهم ومعاملاتهم من غير نكير فهي بالعمل مجبورة وبالشهرة معتضدة فتكون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أنّه إن أريد بانجبارها بالشهرة المتنية ، فهي ليست مشهورة إلاّ في ألسنة المتأخّرين وهي غير كافية بل اشتهارها عندهم أيضا ليس إلاّ بنقل بعضهم عن بعض في مقام الاحتجاج وردّه ، وهذا ليس من الشهرة الجابرة فإنّه لو ذكر واحد حديثا ضعيفا ثمّ ذكره الجميع ناقلا عنه ورادّا للاستدلال به لا يحصل له الشهرة المتنية الجابرة وحال تلك الثلاثة من ذلك القبيل ، كما ترى أنّه استدلّ نادرا بالأوّل في مقام إثبات كون الأمر للندب ، وذكره الباقون نقلا منه فردّوا عليه ، وكذلك الثانيان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الشهرة المولوية ، فهي ممنوعة وإن كان الفتوى في بعض جزئيات مدلولها مشهورة ، وهي غير اشتهار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عدم حجّية تلك الأخبار وعدم صلاحيتها لإثبات الأحكام المخالفة للأصل إلاّ أن يكتفى في انجبار الخبر الضعيف بالشهرة المحكيّة أيضا ، كما هو المحتمل بل الأظهر فإنّه يمكن القول بحجّية تلك الأخبار حيث إنّه نسب بعضهم القول بوجوب الإتيان بما يتمكّن منه من الأجزاء إلى الأكثر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ذلك</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حكمهم بعدم سقوط القيام بالمرّة عند عدم التمكّن من الانتصاب وغيره من أنحاء القيام وكيفيات الأذكار والقراءة ونحوها بل يظهر من الشيخ الأجلّ فيلسوف القوم في مقدّمات كشف الغطاء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ويقوى أنّه مع العجز عن الإتيان بالجميع يجب الإتيان بالبعض في الجميع إلاّ ما دلّ الدليل على خلافه للخبر المشهور من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الميسور بالمعسور ، ولما اشتهر من مضامين الأخبار نقله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كلّه لا يترك كلّه ، وإذا أمرتكم بأمر فأتوا منه ما استطعتم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أيضا كشف الغطاء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وفي ط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٥٨٣</w:t>
      </w:r>
      <w:r>
        <w:rPr>
          <w:rFonts w:ascii="Amiri" w:hAnsi="Amiri" w:eastAsia="Amiri" w:cs="Amiri"/>
          <w:color w:val="111111"/>
          <w:sz w:val="28"/>
          <w:sz w:val="28"/>
          <w:szCs w:val="28"/>
          <w:rtl w:val="true"/>
          <w:lang w:bidi="ar-SA"/>
        </w:rPr>
        <w:t xml:space="preserve"> وفي ط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الاعتماد عليها في نقص الأجزاء والشرائط وغيرها في جميع المستحبّات من الزيارات والأذكار والأدعية والصلوات إلاّ المنهيّ منها ، فقال بجواز الاقتصار على أيّ مرتبة من مراتبها عند اضطرار الإتيان بها على وجهها مريدا منها خصوص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فلظهور عموم اللفظ وشموله للواجبات المستقلّة كالصوم والصلاة ولغيرها أيضا كالمركّبات الواجبة كنفس الصلاة بل لا يبعد القول بدعوى ظهور البعض فيها ، فإنّ المراد بالميسور ظاهرا هو الميسور من شيء وجداني كالمعسور منه كما لا يخفى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التفصيل بين المركّبات الخارجية التي تجتمع </w:t>
      </w:r>
      <w:r>
        <w:rPr>
          <w:rStyle w:val="FootnoteAnchor"/>
          <w:rtl w:val="true"/>
        </w:rPr>
        <w:footnoteReference w:id="2121"/>
      </w:r>
      <w:r>
        <w:rPr>
          <w:rFonts w:ascii="Amiri" w:hAnsi="Amiri" w:eastAsia="Amiri" w:cs="Amiri"/>
          <w:color w:val="111111"/>
          <w:sz w:val="28"/>
          <w:sz w:val="28"/>
          <w:szCs w:val="28"/>
          <w:rtl w:val="true"/>
          <w:lang w:bidi="ar-SA"/>
        </w:rPr>
        <w:t xml:space="preserve">أجزاؤها في الوجود وينفرد بعضها من الآخر كما في الصلاة بالنسبة إلى ركعاتها ، وفي الفاتحة بالنسبة إلى أجزائها ، </w:t>
      </w:r>
    </w:p>
    <w:p>
      <w:pPr>
        <w:pStyle w:val="BookText"/>
        <w:rPr/>
      </w:pPr>
      <w:r>
        <w:rPr>
          <w:rFonts w:ascii="Amiri" w:hAnsi="Amiri" w:eastAsia="Amiri" w:cs="Amiri"/>
          <w:color w:val="111111"/>
          <w:sz w:val="28"/>
          <w:sz w:val="28"/>
          <w:szCs w:val="28"/>
          <w:rtl w:val="true"/>
          <w:lang w:bidi="ar-SA"/>
        </w:rPr>
        <w:t xml:space="preserve">وبين المركّبات الذهنية التي لا تمتاز أجزاؤها في الخارج على وجه لو انتفى البعض لم يكن الباقي هو الأوّل كما في الشرائط ، فإنّ تقييد الماهية بها ليس تقييدها بالأجزاء على وجه لو انتفى البعض لم يكن الباقي هو الأوّل كما في الشرائط ، فإنّ تقييد الماهية بها </w:t>
      </w:r>
      <w:r>
        <w:rPr>
          <w:rStyle w:val="FootnoteAnchor"/>
          <w:rtl w:val="true"/>
        </w:rPr>
        <w:footnoteReference w:id="2122"/>
      </w:r>
      <w:r>
        <w:rPr>
          <w:rFonts w:ascii="Amiri" w:hAnsi="Amiri" w:eastAsia="Amiri" w:cs="Amiri"/>
          <w:color w:val="111111"/>
          <w:sz w:val="28"/>
          <w:sz w:val="28"/>
          <w:szCs w:val="28"/>
          <w:rtl w:val="true"/>
          <w:lang w:bidi="ar-SA"/>
        </w:rPr>
        <w:t xml:space="preserve">ليس وجه تقييدها بالأجزاء كما لا يخفى ، فيقال في الأجزاء بالانقلاب نظرا إلى تلك الأخبار ، وفي الشرائط بعدمه حيث إنّه لا دلالة فيها على لزوم الإتيان بالباقي </w:t>
      </w:r>
      <w:r>
        <w:rPr>
          <w:rStyle w:val="FootnoteAnchor"/>
          <w:rtl w:val="true"/>
        </w:rPr>
        <w:footnoteReference w:id="2123"/>
      </w:r>
      <w:r>
        <w:rPr>
          <w:rFonts w:ascii="Amiri" w:hAnsi="Amiri" w:eastAsia="Amiri" w:cs="Amiri"/>
          <w:color w:val="111111"/>
          <w:sz w:val="28"/>
          <w:sz w:val="28"/>
          <w:szCs w:val="28"/>
          <w:rtl w:val="true"/>
          <w:lang w:bidi="ar-SA"/>
        </w:rPr>
        <w:t xml:space="preserve">فيما لو كان مباينا مع الأوّل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بالحيوان الناطق ، فتعذّر الامتثال بالقيد فإنّه لا يذهب وهم إلى </w:t>
      </w:r>
      <w:r>
        <w:rPr>
          <w:rStyle w:val="FootnoteAnchor"/>
          <w:rtl w:val="true"/>
        </w:rPr>
        <w:footnoteReference w:id="2124"/>
      </w:r>
      <w:r>
        <w:rPr>
          <w:rFonts w:ascii="Amiri" w:hAnsi="Amiri" w:eastAsia="Amiri" w:cs="Amiri"/>
          <w:color w:val="111111"/>
          <w:sz w:val="28"/>
          <w:sz w:val="28"/>
          <w:szCs w:val="28"/>
          <w:rtl w:val="true"/>
          <w:lang w:bidi="ar-SA"/>
        </w:rPr>
        <w:t xml:space="preserve">لزوم الإتيان بالحيوان الصاهل ، 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بماء الورد ، فتعذّر القيد ؛ إذ لا يمكن القول بوجوب الامتثال في الماء المطلق على ما هو ظاهر وهذا الوجه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فرقهم بين الأجزاء والشرائط الفاسدة في المبيع حيث قالوا بالصحّة في الأجزاء ، وبالفساد في الشرائط ، والتحقيق هو الأخذ بعموم هذه الروايات في الأجزاء والشرائط جميعا لكن حيث يساعد عليه العرف في الحكم بأنّ الباقي لا يباين الكلّ ، أو المشروط على وجه يصدق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 xml:space="preserve">لصدق الروايات في مثله من غير اعتبار للشرط ، أو للجزء فيه ، فربّ شرط بعد انتفائه ليس مشروطه معزولا عنه قبل انتفائه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بماء السدر ، فإنّ السدر فيه ولو أخذ شرطا إلاّ أنّه ليس على هذا الوجه ، وربّ جزء بعد انتفائه لا يعدّ الباقي غير مباين منه كما لا يخفى</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ضعف ما أورده السيّد في الرياض </w:t>
      </w:r>
      <w:r>
        <w:rPr>
          <w:rStyle w:val="FootnoteAnchor"/>
          <w:rtl w:val="true"/>
        </w:rPr>
        <w:footnoteReference w:id="2126"/>
      </w:r>
      <w:r>
        <w:rPr>
          <w:rFonts w:ascii="IRNazanin" w:hAnsi="IRNazanin" w:eastAsia="IRNazanin"/>
          <w:color w:val="111111"/>
          <w:sz w:val="28"/>
          <w:sz w:val="28"/>
          <w:szCs w:val="28"/>
          <w:rtl w:val="true"/>
          <w:lang w:bidi="fa-IR"/>
        </w:rPr>
        <w:t xml:space="preserve">من أنّه لو تعذّر السدر وجب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الغسل بماء القراح بدلا من ماء السدر استنادا إلى أنّ الرواية الدالّة على وجوب الغسل بماء السدر ليس التقييد فيه على وجه الشرطية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يحكم بوجوب الغسل بالقراح بدلا منه عند تعذّره بل إنّما لفظ الرواية ورد على غير جهة الإضافة المقتضية للاشتراط والتقييد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فيه شيء من السدر </w:t>
      </w:r>
      <w:r>
        <w:rPr>
          <w:rFonts w:eastAsia="Amiri" w:cs="Amiri" w:ascii="Amiri" w:hAnsi="Amiri"/>
          <w:color w:val="111111"/>
          <w:sz w:val="28"/>
          <w:szCs w:val="28"/>
          <w:rtl w:val="true"/>
          <w:lang w:bidi="ar-SA"/>
        </w:rPr>
        <w:t xml:space="preserve">» </w:t>
      </w:r>
      <w:r>
        <w:rPr>
          <w:rStyle w:val="FootnoteAnchor"/>
          <w:rtl w:val="true"/>
        </w:rPr>
        <w:footnoteReference w:id="2127"/>
      </w:r>
      <w:r>
        <w:rPr>
          <w:rFonts w:ascii="Amiri" w:hAnsi="Amiri" w:eastAsia="Amiri" w:cs="Amiri"/>
          <w:color w:val="111111"/>
          <w:sz w:val="28"/>
          <w:sz w:val="28"/>
          <w:szCs w:val="28"/>
          <w:rtl w:val="true"/>
          <w:lang w:bidi="ar-SA"/>
        </w:rPr>
        <w:t xml:space="preserve">ويستفاد منه الجزئية فيجري فيه القاعدة المذكورة ، وأنت بعد ما عرفت من التحقيق تعلم وجه الضعف فإنّ المعيار في الجزئية والشرطية ليس </w:t>
      </w:r>
      <w:r>
        <w:rPr>
          <w:rStyle w:val="FootnoteAnchor"/>
          <w:rtl w:val="true"/>
        </w:rPr>
        <w:footnoteReference w:id="2128"/>
      </w:r>
      <w:r>
        <w:rPr>
          <w:rFonts w:ascii="Amiri" w:hAnsi="Amiri" w:eastAsia="Amiri" w:cs="Amiri"/>
          <w:color w:val="111111"/>
          <w:sz w:val="28"/>
          <w:sz w:val="28"/>
          <w:szCs w:val="28"/>
          <w:rtl w:val="true"/>
          <w:lang w:bidi="ar-SA"/>
        </w:rPr>
        <w:t xml:space="preserve">بمجرّد التغيير والاختلاف في اللفظ بل المدار على كون المعنى من المعاني المتّحدة في الوجود للمشروط على وجه يعدّ من قيوده وأحواله كما ترى في الفصول بالنسبة إلى الأجناس ، ومثال ذلك يشاهد في ماء الرمّان وماء السدر إذا كان المراد به المأخوذ منه </w:t>
      </w:r>
    </w:p>
    <w:p>
      <w:pPr>
        <w:pStyle w:val="BookText"/>
        <w:rPr/>
      </w:pPr>
      <w:r>
        <w:rPr>
          <w:rFonts w:ascii="Amiri" w:hAnsi="Amiri" w:eastAsia="Amiri" w:cs="Amiri"/>
          <w:color w:val="111111"/>
          <w:sz w:val="28"/>
          <w:sz w:val="28"/>
          <w:szCs w:val="28"/>
          <w:rtl w:val="true"/>
          <w:lang w:bidi="ar-SA"/>
        </w:rPr>
        <w:t xml:space="preserve">لا المخلوط معه فإن كان المعتبر في ماهية من هذا القبيل ، فهو شرط ، وينتفي الباقي بعد انتفائه وإن لم يكن كذلك كما في أجزاء المركّبات الخارجية كما في ماء السدر على وجه الاختلاط ، فهو جزء ، ولا يفرق في ذلك بين ورود العبارة الدالّة على الاعتبار على وجه التقييد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وجه الجزئية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فيه شيء من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كون المعنى من الأحوال والقيود فيحمل المطلق على المقيّد على هذا التقدير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w:t>
      </w:r>
      <w:r>
        <w:rPr>
          <w:rStyle w:val="FootnoteAnchor"/>
          <w:rtl w:val="true"/>
        </w:rPr>
        <w:footnoteReference w:id="2129"/>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الإيمان من الأوصاف الراجعة إليها المتّحدة معها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جهل حقيقة الحال بحسب المعنى على وجه لا يتميّز المعنى المعتبر في الماهيّة أنّه هل من أيّ صنف من المعاني ، فلا بأس بالكشف عنه باللفظ الوارد في مقام اعتباره ، فإنّ الألفاظ طريق إلى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فالحقّ هو الأخذ بعموم هذه الأخبار فيما يساعد عليه العرف من حيث صدق الميسور منه ، ورجوع ضمير الكلّ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بالواجبات فقط ، ومن البعيد في الغاية اختصاص رواية في حكم الواجب دون المندوب كما هو ظاهر لمن مارس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عدم الأهلية للترك بمعنى أنّه لا ينبغي أن يترك ، فلا يجدي أيضا ؛ لأنّ المقصود لزوم الإتيان بالباقي في الواجبات ولا يستفاد من الرواية على هذا التقدير</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الاستبعاد بعد تسليم ظهور الرواية في الواجب غير مضرّ بعد فرض انجبار السند بالعمل ، وإمكان استفادة حكم المستحبّ من الفحوى ، أو باتّحاد المناط ، والعرف يساعد على توزيع الطلب المستفاد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اختلاف </w:t>
      </w:r>
    </w:p>
    <w:p>
      <w:pPr>
        <w:pStyle w:val="BookText"/>
        <w:rPr/>
      </w:pPr>
      <w:r>
        <w:rPr>
          <w:rFonts w:ascii="Amiri" w:hAnsi="Amiri" w:eastAsia="Amiri" w:cs="Amiri"/>
          <w:color w:val="111111"/>
          <w:sz w:val="28"/>
          <w:sz w:val="28"/>
          <w:szCs w:val="28"/>
          <w:rtl w:val="true"/>
          <w:lang w:bidi="ar-SA"/>
        </w:rPr>
        <w:t>أفراده ففي الواجب على سبيل الوجوب ، وفي المستحبّ كذلك ، وليس من استعمال اللفظ في المعنيين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رواية عبد الأعلى مولى آل سام في رجل عثر موضع ظفره ، وجعل عليه مرارة ، فما ذا يصنع في الوضوء؟ فأجاب عليه‌السلام </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من كتاب اللّه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 xml:space="preserve">فامسح عليها </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أنّ المعصوم عليه‌السلام قد أمر باستنباط حكم أشباه المسئول عنه من الكتاب وقرأ الآية النافية للحرج ، ومن المعلوم أنّ المستفاد منها ليس إلاّ عقد سلبي وقضيّة سالبة دالّة على نفي الحرج المستلزم لنفي وجوب المسح على الإصبع نفسه ، وأمّا جواز المسح على المرارة ، فلا يستفاد من الآية بمجرّدها ما لم يلاحظ فيها بأنّ زوال القيد لا يوجب زوال المقيّد في الحكم ، والميسور لا يسقط بالمعسور ، فالرواية يستفاد </w:t>
      </w:r>
      <w:r>
        <w:rPr>
          <w:rStyle w:val="FootnoteAnchor"/>
          <w:rtl w:val="true"/>
        </w:rPr>
        <w:footnoteReference w:id="2133"/>
      </w:r>
      <w:r>
        <w:rPr>
          <w:rFonts w:ascii="Amiri" w:hAnsi="Amiri" w:eastAsia="Amiri" w:cs="Amiri"/>
          <w:color w:val="111111"/>
          <w:sz w:val="28"/>
          <w:sz w:val="28"/>
          <w:szCs w:val="28"/>
          <w:rtl w:val="true"/>
          <w:lang w:bidi="ar-SA"/>
        </w:rPr>
        <w:t xml:space="preserve">منها الحكم بذلك استفادة لا تكاد تنكر ، ومن الظاهر مباينة المسح على الإصبع للمسح على المرارة مباينة حقيقية كما في الحيوان الناطق والحيوان الصاهل إلاّ أنّه لمّا كان العرف يساعد على ذلك ، فقد حكم الإمام عليه‌السلام </w:t>
      </w:r>
      <w:r>
        <w:rPr>
          <w:rStyle w:val="FootnoteAnchor"/>
          <w:rtl w:val="true"/>
        </w:rPr>
        <w:footnoteReference w:id="2134"/>
      </w:r>
      <w:r>
        <w:rPr>
          <w:rFonts w:ascii="Amiri" w:hAnsi="Amiri" w:eastAsia="Amiri" w:cs="Amiri"/>
          <w:color w:val="111111"/>
          <w:sz w:val="28"/>
          <w:sz w:val="28"/>
          <w:szCs w:val="28"/>
          <w:rtl w:val="true"/>
          <w:lang w:bidi="ar-SA"/>
        </w:rPr>
        <w:t xml:space="preserve">بمقتضى القاعدة بلزوم المسح على المرارة </w:t>
      </w:r>
      <w:r>
        <w:rPr>
          <w:rStyle w:val="FootnoteAnchor"/>
          <w:rtl w:val="true"/>
        </w:rPr>
        <w:footnoteReference w:id="2135"/>
      </w:r>
      <w:r>
        <w:rPr>
          <w:rFonts w:ascii="Amiri" w:hAnsi="Amiri" w:eastAsia="Amiri" w:cs="Amiri"/>
          <w:color w:val="111111"/>
          <w:sz w:val="28"/>
          <w:sz w:val="28"/>
          <w:szCs w:val="28"/>
          <w:rtl w:val="true"/>
          <w:lang w:bidi="ar-SA"/>
        </w:rPr>
        <w:t xml:space="preserve">، لعدم المباينة العرفية ، وصدق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فيه كما لا يخفى ، وهذا تمام الكلام في الأصل الثانوي ، ومن المعلوم أنّ مراعاة هذا الأصل إنّما هو بعد ملاحظة الدليل الخاصّ في نفس المسألة ، ولا بأس بأن نشير إلى طرف منها ، فنقول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الدليل الدالّ على اعتبار شيء في الماهيّة إمّا أن يكون لفظيا أو لبّيا كالإجماع والشهرة على القول بالعبرة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فيصحّ </w:t>
      </w:r>
      <w:r>
        <w:rPr>
          <w:rStyle w:val="FootnoteAnchor"/>
          <w:rtl w:val="true"/>
        </w:rPr>
        <w:footnoteReference w:id="2136"/>
      </w:r>
      <w:r>
        <w:rPr>
          <w:rFonts w:ascii="Amiri" w:hAnsi="Amiri" w:eastAsia="Amiri" w:cs="Amiri"/>
          <w:color w:val="111111"/>
          <w:sz w:val="28"/>
          <w:sz w:val="28"/>
          <w:szCs w:val="28"/>
          <w:rtl w:val="true"/>
          <w:lang w:bidi="ar-SA"/>
        </w:rPr>
        <w:t xml:space="preserve">الاستناد إلى إطلاق الدليل الدالّ على وجوب المشروط ؛ إذ المقيّد </w:t>
      </w:r>
      <w:r>
        <w:rPr>
          <w:rStyle w:val="FootnoteAnchor"/>
          <w:rtl w:val="true"/>
        </w:rPr>
        <w:footnoteReference w:id="2137"/>
      </w:r>
      <w:r>
        <w:rPr>
          <w:rFonts w:ascii="Amiri" w:hAnsi="Amiri" w:eastAsia="Amiri" w:cs="Amiri"/>
          <w:color w:val="111111"/>
          <w:sz w:val="28"/>
          <w:sz w:val="28"/>
          <w:szCs w:val="28"/>
          <w:rtl w:val="true"/>
          <w:lang w:bidi="ar-SA"/>
        </w:rPr>
        <w:t xml:space="preserve">لإطلاقه لا إطلاق فيه ، فيقتصر في الحكم بالتقييد على القدر الثابت تقييده وهو حال التمكّن من الإتيان بالشرط ، فبقي </w:t>
      </w:r>
      <w:r>
        <w:rPr>
          <w:rStyle w:val="FootnoteAnchor"/>
          <w:rtl w:val="true"/>
        </w:rPr>
        <w:footnoteReference w:id="2138"/>
      </w:r>
      <w:r>
        <w:rPr>
          <w:rFonts w:ascii="Amiri" w:hAnsi="Amiri" w:eastAsia="Amiri" w:cs="Amiri"/>
          <w:color w:val="111111"/>
          <w:sz w:val="28"/>
          <w:sz w:val="28"/>
          <w:szCs w:val="28"/>
          <w:rtl w:val="true"/>
          <w:lang w:bidi="ar-SA"/>
        </w:rPr>
        <w:t>عند عدم التمكّن من الشرط إطلاق الدليل الدالّ على وجوب المشروط بحاله ويلزم امتثاله ، ولا يكون الدليل الدالّ على وجوب المشروط لبّيا لعدم اختلافه بالإطلاق والتقييد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 فإمّا أن يكون المقيّد هو الأمر أو غير الأمر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جزء أو النيّة شرط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فلا شكّ في أنّ الجزئية والشرطية مطلقان وعند عدمهما يشكّ </w:t>
      </w:r>
      <w:r>
        <w:rPr>
          <w:rStyle w:val="FootnoteAnchor"/>
          <w:rtl w:val="true"/>
        </w:rPr>
        <w:footnoteReference w:id="2139"/>
      </w:r>
      <w:r>
        <w:rPr>
          <w:rFonts w:ascii="Amiri" w:hAnsi="Amiri" w:eastAsia="Amiri" w:cs="Amiri"/>
          <w:color w:val="111111"/>
          <w:sz w:val="28"/>
          <w:sz w:val="28"/>
          <w:szCs w:val="28"/>
          <w:rtl w:val="true"/>
          <w:lang w:bidi="ar-SA"/>
        </w:rPr>
        <w:t xml:space="preserve">في أصل الوجوب ، فبحسب الأصل الأوّلي لا بدّ من إجراء البراءة على المختار ، وبحسب الأصل الثانوي لا بدّ من الإتيان بحسب المختار لكلّ أحد </w:t>
      </w:r>
      <w:r>
        <w:rPr>
          <w:rStyle w:val="FootnoteAnchor"/>
          <w:rtl w:val="true"/>
        </w:rPr>
        <w:footnoteReference w:id="2140"/>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 فقد يقال بعدم الفرق بينه وبين ما إذا كان الدليل لبّيا بل المقام أدون ؛ لأنّ اللبّي لا يعلم تقييده وإطلاقه والأمر قطعي التقييد بحالة الاختيار ؛ إذ الطلب غير معقول عندنا من المضطرّ إلاّ أنّه في غاية السخافة والسقوط ؛ لأنّ الأوامر الواردة في الأجزاء والشرائط بجملتها إرشادية والأوامر الإرشادية وإن كانت غير خالية من الطلب إلاّ أنّ مساقها مساق الألفاظ الواردة في بيان الأحكام </w:t>
      </w:r>
      <w:r>
        <w:rPr>
          <w:rStyle w:val="FootnoteAnchor"/>
          <w:rtl w:val="true"/>
        </w:rPr>
        <w:footnoteReference w:id="2141"/>
      </w:r>
      <w:r>
        <w:rPr>
          <w:rFonts w:ascii="Amiri" w:hAnsi="Amiri" w:eastAsia="Amiri" w:cs="Amiri"/>
          <w:color w:val="111111"/>
          <w:sz w:val="28"/>
          <w:sz w:val="28"/>
          <w:szCs w:val="28"/>
          <w:rtl w:val="true"/>
          <w:lang w:bidi="ar-SA"/>
        </w:rPr>
        <w:t xml:space="preserve">الوضعيّة فيستفاد منها المطلوبية المطلقة </w:t>
      </w:r>
      <w:r>
        <w:rPr>
          <w:rStyle w:val="FootnoteAnchor"/>
          <w:rtl w:val="true"/>
        </w:rPr>
        <w:footnoteReference w:id="2142"/>
      </w:r>
      <w:r>
        <w:rPr>
          <w:rFonts w:ascii="Amiri" w:hAnsi="Amiri" w:eastAsia="Amiri" w:cs="Amiri"/>
          <w:color w:val="111111"/>
          <w:sz w:val="28"/>
          <w:sz w:val="28"/>
          <w:szCs w:val="28"/>
          <w:rtl w:val="true"/>
          <w:lang w:bidi="ar-SA"/>
        </w:rPr>
        <w:t xml:space="preserve">من غير اختصاص بحالة الاختيار ، فتقييد إطلاق الأدلّة الدالّة على المشروط مطلقا في الحالتين ، فلا بدّ من ملاحظة الأصلين المذكورين ، ويظهر ما قلنا </w:t>
      </w:r>
    </w:p>
    <w:p>
      <w:pPr>
        <w:pStyle w:val="BookText"/>
        <w:rPr/>
      </w:pPr>
      <w:r>
        <w:rPr>
          <w:rFonts w:ascii="Amiri" w:hAnsi="Amiri" w:eastAsia="Amiri" w:cs="Amiri"/>
          <w:color w:val="111111"/>
          <w:sz w:val="28"/>
          <w:sz w:val="28"/>
          <w:szCs w:val="28"/>
          <w:rtl w:val="true"/>
          <w:lang w:bidi="ar-SA"/>
        </w:rPr>
        <w:t xml:space="preserve">من ملاحظة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صلى‌اللّه‌عليه‌وآله عن الغرر ، أو عن بيعه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وعن عيون أخبار الرضا عليه‌السلام في وسائل الشيعة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 باب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من أبواب آداب التجارة ، ح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دعائم الإسلام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 عن أبيه ، عن آبائه أنّ رسول اللّه صلى‌اللّه‌عليه‌وآله نهى عن بيع الغرر ؛ عوالى اللآلى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الصحيحة أنّه صلى‌اللّه‌عليه‌وآله نهى عن بيع الغرر ، واستدلّ به الفقهاء في الكتب الفقهية وورد مسندا في كثير من كتب العامّة كمسند أحمد ومصنّف عبد الرزاق وابن أبى شيبة وسنن أبى داود وابن ماجة والترمذى والنسائى والدارقطنى وسنن الكبرى للبيهقى والنسائى ومعجم الأوسط والكبير ومسند الشاميين ومنتخب مسند عبد بن حميد وصحيح مسلم وابن حبّان وفي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صلى‌اللّه‌عليه‌وآله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النهي حقيقة في الطلب إلاّ أنّه لمّا كان في مقام الإرشاد وبيان المصالح والمفاسد لا يلاحظ فيه أحكام الطلب من جوازه حالة الاضطرار ، فتلك الأوامر كما عرفت مرارا عدم دلالتها على المطلوبية حال عدم التمكّن ، والاضطرار إنّما هو بواسطة قصور في الطلب ، وأمّا المقصود منها أعمّ كما يدلّك ملاحظة إطلاق المادّة مضافا إلى فهم العرف ذلك منها في المقام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استفاد وجوب الجزء ، أو الشرط من أمر تعبّدي ، فلا يبعد القول بذلك كما هو ظاهر إلاّ أنّ الكلام فيه</w:t>
      </w:r>
      <w:r>
        <w:rPr>
          <w:rFonts w:eastAsia="Amiri" w:cs="Amiri" w:ascii="Amiri" w:hAnsi="Amiri"/>
          <w:color w:val="111111"/>
          <w:sz w:val="28"/>
          <w:szCs w:val="28"/>
          <w:rtl w:val="true"/>
          <w:lang w:bidi="ar-SA"/>
        </w:rPr>
        <w:t xml:space="preserve">. </w:t>
      </w:r>
      <w:bookmarkStart w:id="267" w:name="pg16273_211945"/>
    </w:p>
    <w:p>
      <w:pPr>
        <w:pStyle w:val="Heading4"/>
        <w:numPr>
          <w:ilvl w:val="3"/>
          <w:numId w:val="1"/>
        </w:numPr>
        <w:rPr/>
      </w:pPr>
      <w:bookmarkStart w:id="268" w:name="__RefHeading___Toc4803642_1280447820"/>
      <w:bookmarkStart w:id="269" w:name="_Toc93"/>
      <w:bookmarkEnd w:id="267"/>
      <w:bookmarkEnd w:id="268"/>
      <w:r>
        <w:rPr>
          <w:rtl w:val="true"/>
        </w:rPr>
        <w:t>تذنيب</w:t>
      </w:r>
      <w:bookmarkEnd w:id="269"/>
    </w:p>
    <w:p>
      <w:pPr>
        <w:pStyle w:val="BookText"/>
        <w:rPr/>
      </w:pPr>
      <w:r>
        <w:rPr>
          <w:rFonts w:ascii="Amiri" w:hAnsi="Amiri" w:eastAsia="Amiri" w:cs="Amiri"/>
          <w:color w:val="111111"/>
          <w:sz w:val="28"/>
          <w:sz w:val="28"/>
          <w:szCs w:val="28"/>
          <w:rtl w:val="true"/>
          <w:lang w:bidi="ar-SA"/>
        </w:rPr>
        <w:t xml:space="preserve">إذا دار الأمر بين ترك جزء مع الإتيان بتمام شرائط الماهيّة أو ترك الشرط مع الإتيان بأجزائها ، فهل في المقام شيء يرجّح أحد الطرفين ، أو لا بدّ من الاحتياط بمعنى الإتيان بالماهية تارة بلا جزء ، وأخرى بلا شرط ، أو لا ترجيح ، فالحكم التخيير؟ وجوه أوسطها أوسطها عملا ، وأقواها ترجيح جانب الجزء قولا كما أفاد الشهيد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كما إذا دار الأمر في كفن الميّت بين القطن النجس والحرير الطاهر فذكر الشهيد رحمه‌اللّه أنّه يقدّم الأوّل على الثاني ، لأنّ إلغاء الوصف أولى من إلغاء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قال الشهيد في الذكرى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وفي ط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ما عدا المغصوب فيه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لإطلاق النهي ، والجواز لئلاّ يدفن عاريا مع وجوب ستره ولو بالحجر ، ووجوب ستر العورة لا غير حالة الصلاة ثمّ ينزع بعده وحينئذ فالجلد مقدّم لعدم صريح النهي فيه ، ثمّ النجس لعروض المانع ، ثمّ الحرير لجواز صلاة النساء فيه ، ثمّ وبر غير المأكول ، وفي هذا الترتيب للنظر مجال إذ يمكن أولوية الحرير على النجس لجواز صلاتهنّ فيه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وفي ط بنياد فرهنگى امام مهدي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التكفين في الحرير ، ولا في الجلد على الظاهر ، ولو تعذّر غيرهما جاز الجلد الذي تصحّ فيه الصلاة ، وفيما يمتنع فيه من الجلود والأوبار ، والنجس الذي لا يمكن تطهيره والحرير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المغصوب فلا يجوز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لو دار الأمر بين ترك الصفة ، أو الموصوف ، ولعلّ الوجه فيه أنّ الجاعل في مقام الجعل أوّلا يلاحظ الأجزاء والموصوف فإنّها بمنزلة الذات ، وملاحظتها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تامّة وناقصة ، والمعالجة فيها مقدّمة على ملاحظة الأوصاف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والشرائط وتماميتها ونقصها وعلاجها فكأنّ الجاعل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بالماهية المركّبة من الأجزاء ، فإن نقصت ، فبالباقي المتّصفة بكذا وكذا ، فإن نقص ، فبالباقي كذا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يسمن ولا يغني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اعتبار شيء في الماهية ، وعلمنا بعدم كونه ركنا ، ودار الأمر بين كونه جزء أو شرطا ، فهل الأصل الأوّل أو الثاني؟ قيل </w:t>
      </w:r>
      <w:r>
        <w:rPr>
          <w:rStyle w:val="FootnoteAnchor"/>
          <w:rtl w:val="true"/>
        </w:rPr>
        <w:footnoteReference w:id="2145"/>
      </w:r>
      <w:r>
        <w:rPr>
          <w:rFonts w:ascii="Amiri" w:hAnsi="Amiri" w:eastAsia="Amiri" w:cs="Amiri"/>
          <w:color w:val="111111"/>
          <w:sz w:val="28"/>
          <w:sz w:val="28"/>
          <w:szCs w:val="28"/>
          <w:rtl w:val="true"/>
          <w:lang w:bidi="ar-SA"/>
        </w:rPr>
        <w:t>بالثاني ؛ لأصالة عدم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وفساده ممّا لا حاجة إلى بيانه ؛ لأصالة عدم الشرطية أيضا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أصل في البين يشخّص أحدهما بل لا بدّ من الرجوع إلى الأصول في ثمراتهما كما في كلّ ما كان شكّا في الحادث ، فالنيّة في الصلاة شكّ في كونها شرطا ، أو جزءا ، أو لا أصل في أحدهما إلاّ أنّه إذا شكّ في وجوب الطهارة فيها ، يدفع بالأصل وغير ذلك كما لا يخفى على المتأمّل في أمثال المقام ، فتأمّل</w:t>
      </w:r>
      <w:r>
        <w:rPr>
          <w:rFonts w:eastAsia="Amiri" w:cs="Amiri" w:ascii="Amiri" w:hAnsi="Amiri"/>
          <w:color w:val="111111"/>
          <w:sz w:val="28"/>
          <w:szCs w:val="28"/>
          <w:rtl w:val="true"/>
          <w:lang w:bidi="ar-SA"/>
        </w:rPr>
        <w:t xml:space="preserve">. </w:t>
      </w:r>
      <w:bookmarkStart w:id="270" w:name="pg16273_211947"/>
    </w:p>
    <w:p>
      <w:pPr>
        <w:pStyle w:val="Heading3"/>
        <w:numPr>
          <w:ilvl w:val="2"/>
          <w:numId w:val="1"/>
        </w:numPr>
        <w:rPr/>
      </w:pPr>
      <w:bookmarkStart w:id="271" w:name="__RefHeading___Toc4803644_1280447820"/>
      <w:bookmarkStart w:id="272" w:name="_Toc94"/>
      <w:bookmarkEnd w:id="270"/>
      <w:bookmarkEnd w:id="271"/>
      <w:r>
        <w:rPr>
          <w:rtl w:val="true"/>
        </w:rPr>
        <w:t>خاتمة</w:t>
      </w:r>
      <w:bookmarkEnd w:id="272"/>
    </w:p>
    <w:p>
      <w:pPr>
        <w:pStyle w:val="Heading4"/>
        <w:numPr>
          <w:ilvl w:val="3"/>
          <w:numId w:val="1"/>
        </w:numPr>
        <w:rPr/>
      </w:pPr>
      <w:bookmarkStart w:id="273" w:name="__RefHeading___Toc4803646_1280447820"/>
      <w:bookmarkStart w:id="274" w:name="_Toc95"/>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في بيان شرط العمل بالأصول المذكورة في طيّ الأصول المتقدّمة من البراءة والاشتغال والتخيير والاستصحاب ، ولمّا كان مرجع التخيير إلى البراءة والاستصحاب دائما موافق لأحد الأصلين الآخرين ، فالبحث فيهما يغني عنهما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بعضهم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الثالث أن لا يكون ذلك الأمر جزء عبادة مركّبة بل المثبت لتلك الأجزاء هو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القوانين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والمناهج للنراقي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وناقشا في تلك الشروط وذهبا إلى أنّ الشرط اللازم هو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أيضا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للعمل بالبراءة شروطا ، وحيث إنّه لا محصّل لها عندنا سوى الفحص عن الدليل ، فلنقتصر بإيراده ، ثمّ لمّا كان ذلك يختلف في البراءة والاشتغال ، فلا بدّ من إيراده في مقامين </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803648_1280447820"/>
      <w:bookmarkStart w:id="276" w:name="_Toc96"/>
      <w:bookmarkEnd w:id="275"/>
      <w:r>
        <w:rPr>
          <w:rtl w:val="true"/>
        </w:rPr>
        <w:t>المقام الأوّل</w:t>
      </w:r>
      <w:bookmarkEnd w:id="276"/>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هل يجب الفحص عن وجود الدليل المفضي إلى الواقع ، أو ما يجري مجراه في محلّ الاحتياط مطلقا ، أو لا يجب كذلك ، أو يفصّل في العبادات التي تحتاج </w:t>
      </w:r>
      <w:r>
        <w:rPr>
          <w:rStyle w:val="FootnoteAnchor"/>
          <w:rtl w:val="true"/>
        </w:rPr>
        <w:footnoteReference w:id="2147"/>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النيّة </w:t>
      </w:r>
      <w:r>
        <w:rPr>
          <w:rStyle w:val="FootnoteAnchor"/>
          <w:rtl w:val="true"/>
        </w:rPr>
        <w:footnoteReference w:id="2148"/>
      </w:r>
      <w:r>
        <w:rPr>
          <w:rFonts w:ascii="Amiri" w:hAnsi="Amiri" w:eastAsia="Amiri" w:cs="Amiri"/>
          <w:color w:val="111111"/>
          <w:sz w:val="28"/>
          <w:sz w:val="28"/>
          <w:szCs w:val="28"/>
          <w:rtl w:val="true"/>
          <w:lang w:bidi="ar-SA"/>
        </w:rPr>
        <w:t xml:space="preserve">مطلقا ، فيجب ، وفي المعاملات ، فلا يجب ، أو في العبادات المتكرّرة عند إعمال الاحتياط ، فيجب ، وفي غيرها ، فلا يجب ، أو فيما إذا أمكن تحصيل العلم فيجب ، وفي غيره ، فلا يجب ، أو فيما إذا أمكن تحصيل الظنّ الخاصّ أيضا ، فيجب وفيما </w:t>
      </w:r>
      <w:r>
        <w:rPr>
          <w:rStyle w:val="FootnoteAnchor"/>
          <w:rtl w:val="true"/>
        </w:rPr>
        <w:footnoteReference w:id="2149"/>
      </w:r>
      <w:r>
        <w:rPr>
          <w:rFonts w:ascii="Amiri" w:hAnsi="Amiri" w:eastAsia="Amiri" w:cs="Amiri"/>
          <w:color w:val="111111"/>
          <w:sz w:val="28"/>
          <w:sz w:val="28"/>
          <w:szCs w:val="28"/>
          <w:rtl w:val="true"/>
          <w:lang w:bidi="ar-SA"/>
        </w:rPr>
        <w:t xml:space="preserve">إذا كان الدليل ظنّا من الظنون المطلقة ، فلا يجب؟ وجوه واحتمالات بل وجملة منها أقوال أقواها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الإجماع على اشتراط الفحص في بعض الأقسام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مطلقا عبادة ومعاملة أمكن تحصيل العلم ، أو الظنّ الخاصّ ، أو المطلق أم </w:t>
      </w:r>
      <w:r>
        <w:rPr>
          <w:rStyle w:val="FootnoteAnchor"/>
          <w:rtl w:val="true"/>
        </w:rPr>
        <w:footnoteReference w:id="2150"/>
      </w:r>
      <w:r>
        <w:rPr>
          <w:rFonts w:ascii="Amiri" w:hAnsi="Amiri" w:eastAsia="Amiri" w:cs="Amiri"/>
          <w:color w:val="111111"/>
          <w:sz w:val="28"/>
          <w:sz w:val="28"/>
          <w:szCs w:val="28"/>
          <w:rtl w:val="true"/>
          <w:lang w:bidi="ar-SA"/>
        </w:rPr>
        <w:t xml:space="preserve">لا ؛ لصدق الامتثال في الجميع ولو في صورة التكرار في العبادات وحصول الأسباب وتأثيرها في المعاملات ، ولا دليل على اعتبار شيء زائد على </w:t>
      </w:r>
      <w:r>
        <w:rPr>
          <w:rStyle w:val="FootnoteAnchor"/>
          <w:rtl w:val="true"/>
        </w:rPr>
        <w:footnoteReference w:id="2151"/>
      </w:r>
      <w:r>
        <w:rPr>
          <w:rFonts w:ascii="Amiri" w:hAnsi="Amiri" w:eastAsia="Amiri" w:cs="Amiri"/>
          <w:color w:val="111111"/>
          <w:sz w:val="28"/>
          <w:sz w:val="28"/>
          <w:szCs w:val="28"/>
          <w:rtl w:val="true"/>
          <w:lang w:bidi="ar-SA"/>
        </w:rPr>
        <w:t xml:space="preserve">ذلك في شيء منها في مقام تحصيل الامتثال وحصول الأسباب كما لا يخفى إلاّ أنّ الإجماع على ما نقله بعضهم منهم العلاّمة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قال في مسألة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العلم يجتهد بالأدلّة التي وضعها الشارع علامة ، فإن غلب على ظنّه الجهة للأمارة بنى عليه بإجماع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هو ببالي على عدم جواز الاحتياط قبل الفحص في العبادات فيما إذا تكرّر العمل كما في ما إذا شكّ في أنّ الواجب هو الظهر ، أو الجمعة مع إمكان الاستعلام من الأدلّة في المجتهد والرجوع إليه في غيره كما إذا شكّ في القبلة مع إمكان تشخيصها بالأبصار وإعمال العلائم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توافقه لسيرة العلماء الأعلام بل يمكن دعوى بناء العقلاء في أمثال ذلك أيضا على الاستعلام في امتثالات العبيد لأوامر مواليهم كما لا يخفى كما أنّه لا يبعد </w:t>
      </w:r>
    </w:p>
    <w:p>
      <w:pPr>
        <w:pStyle w:val="BookText"/>
        <w:rPr/>
      </w:pPr>
      <w:r>
        <w:rPr>
          <w:rFonts w:ascii="Amiri" w:hAnsi="Amiri" w:eastAsia="Amiri" w:cs="Amiri"/>
          <w:color w:val="111111"/>
          <w:sz w:val="28"/>
          <w:sz w:val="28"/>
          <w:szCs w:val="28"/>
          <w:rtl w:val="true"/>
          <w:lang w:bidi="ar-SA"/>
        </w:rPr>
        <w:t>دعوى الإجماع على جواز الأخذ بالاحتياط موافقا للقاعدة المزبورة في المعاملات كما في صيغ البيع وشروطه والنكاح وغير ذلك ، وعليه بناء جملة من الصلحاء في آدابهم ومعاشرتهم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العبادات الغير المتكرّرة كما إذا شكّ في جزئية السورة للصلاة </w:t>
      </w:r>
      <w:r>
        <w:rPr>
          <w:rStyle w:val="FootnoteAnchor"/>
          <w:rtl w:val="true"/>
        </w:rPr>
        <w:footnoteReference w:id="2153"/>
      </w:r>
      <w:r>
        <w:rPr>
          <w:rFonts w:ascii="Amiri" w:hAnsi="Amiri" w:eastAsia="Amiri" w:cs="Amiri"/>
          <w:color w:val="111111"/>
          <w:sz w:val="28"/>
          <w:sz w:val="28"/>
          <w:szCs w:val="28"/>
          <w:rtl w:val="true"/>
          <w:lang w:bidi="ar-SA"/>
        </w:rPr>
        <w:t xml:space="preserve">أو الإمساك عن الغبار الغليظ للصوم ، فالمشهور على ما حكاه </w:t>
      </w:r>
      <w:r>
        <w:rPr>
          <w:rStyle w:val="FootnoteAnchor"/>
          <w:rtl w:val="true"/>
        </w:rPr>
        <w:footnoteReference w:id="2154"/>
      </w:r>
      <w:r>
        <w:rPr>
          <w:rFonts w:ascii="Amiri" w:hAnsi="Amiri" w:eastAsia="Amiri" w:cs="Amiri"/>
          <w:color w:val="111111"/>
          <w:sz w:val="28"/>
          <w:sz w:val="28"/>
          <w:szCs w:val="28"/>
          <w:rtl w:val="true"/>
          <w:lang w:bidi="ar-SA"/>
        </w:rPr>
        <w:t>الاستاذ على وجوب الفحص فيما لو يمكن من تحصيل العلم بالمعنى الأعمّ بل والظنّ المطلق أيضا على القول به ، ومبناهم في ذلك لزوم قصد الوجه المفقود عند الاحتياط ، وحيث قد عرفت ما قدّمنا لك من التحقيق في مقامه من عدم وجوب قصد الوجه ، فلا مجال للقول المذكور بعد صدق الامتثال عند العقلاء في الامتثال الإجمالي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في المقام انتصارا للمشهور بعد ما هو التحقيق عندنا من أنّ الإطاعة ليست من قيود المأمور به ووجوهه ؛ لاستلزامه الدور بل هي </w:t>
      </w:r>
      <w:r>
        <w:rPr>
          <w:rStyle w:val="FootnoteAnchor"/>
          <w:rtl w:val="true"/>
        </w:rPr>
        <w:footnoteReference w:id="2155"/>
      </w:r>
      <w:r>
        <w:rPr>
          <w:rFonts w:ascii="Amiri" w:hAnsi="Amiri" w:eastAsia="Amiri" w:cs="Amiri"/>
          <w:color w:val="111111"/>
          <w:sz w:val="28"/>
          <w:sz w:val="28"/>
          <w:szCs w:val="28"/>
          <w:rtl w:val="true"/>
          <w:lang w:bidi="ar-SA"/>
        </w:rPr>
        <w:t xml:space="preserve">من دواعي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محصّل الكلام في المقام يرجع إلى كفاية الامتثال الإجمالي في العبادات وعدمها ، فعلى الأوّل يحكم بفساد عبادة تارك الطريقين كما زعمه جماعة </w:t>
      </w:r>
      <w:r>
        <w:rPr>
          <w:rStyle w:val="FootnoteAnchor"/>
          <w:rtl w:val="true"/>
        </w:rPr>
        <w:footnoteReference w:id="2156"/>
      </w:r>
      <w:r>
        <w:rPr>
          <w:rFonts w:ascii="Amiri" w:hAnsi="Amiri" w:eastAsia="Amiri" w:cs="Amiri"/>
          <w:color w:val="111111"/>
          <w:sz w:val="28"/>
          <w:sz w:val="28"/>
          <w:szCs w:val="28"/>
          <w:rtl w:val="true"/>
          <w:lang w:bidi="ar-SA"/>
        </w:rPr>
        <w:t xml:space="preserve">، وعلى الثاني يحكم بصحّتها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يقضي </w:t>
      </w:r>
      <w:r>
        <w:rPr>
          <w:rStyle w:val="FootnoteAnchor"/>
          <w:rtl w:val="true"/>
        </w:rPr>
        <w:footnoteReference w:id="2157"/>
      </w:r>
      <w:r>
        <w:rPr>
          <w:rFonts w:ascii="Amiri" w:hAnsi="Amiri" w:eastAsia="Amiri" w:cs="Amiri"/>
          <w:color w:val="111111"/>
          <w:sz w:val="28"/>
          <w:sz w:val="28"/>
          <w:szCs w:val="28"/>
          <w:rtl w:val="true"/>
          <w:lang w:bidi="ar-SA"/>
        </w:rPr>
        <w:t xml:space="preserve">بالأوّل ، لأنّ المقام من الشكّ في المكلّف به حيث إنّا لا نعلم بسقوط التكليف إلاّ عند الامتثال التفصيلي ، ولمّا أنّ </w:t>
      </w:r>
      <w:r>
        <w:rPr>
          <w:rStyle w:val="FootnoteAnchor"/>
          <w:rtl w:val="true"/>
        </w:rPr>
        <w:footnoteReference w:id="2158"/>
      </w:r>
      <w:r>
        <w:rPr>
          <w:rFonts w:ascii="Amiri" w:hAnsi="Amiri" w:eastAsia="Amiri" w:cs="Amiri"/>
          <w:color w:val="111111"/>
          <w:sz w:val="28"/>
          <w:sz w:val="28"/>
          <w:szCs w:val="28"/>
          <w:rtl w:val="true"/>
          <w:lang w:bidi="ar-SA"/>
        </w:rPr>
        <w:t xml:space="preserve">الإطاعة ليست من القيود ، فلا يمكن دفعها بأصالة البراءة ، فالأصل بقاء غرض الأمر وعدم </w:t>
      </w:r>
    </w:p>
    <w:p>
      <w:pPr>
        <w:pStyle w:val="BookText"/>
        <w:rPr/>
      </w:pPr>
      <w:r>
        <w:rPr>
          <w:rFonts w:ascii="Amiri" w:hAnsi="Amiri" w:eastAsia="Amiri" w:cs="Amiri"/>
          <w:color w:val="111111"/>
          <w:sz w:val="28"/>
          <w:sz w:val="28"/>
          <w:szCs w:val="28"/>
          <w:rtl w:val="true"/>
          <w:lang w:bidi="ar-SA"/>
        </w:rPr>
        <w:t>سقوطه ما لم يعلم المكلّف به بخصوصيته كما في صورة دوران الأمر بين المتباينين مع ثبوت الاشتغال ، فعلى هذا الاتّكال بالاحتياط في العبادات مع إمكان تحصيل العلم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ترك الاحتياط عند التمكّن من تحصيل الظنّ الخاصّ كالخبر الموثوق بصدوره بناء على تحقّق </w:t>
      </w:r>
      <w:r>
        <w:rPr>
          <w:rStyle w:val="FootnoteAnchor"/>
          <w:rtl w:val="true"/>
        </w:rPr>
        <w:footnoteReference w:id="2159"/>
      </w:r>
      <w:r>
        <w:rPr>
          <w:rFonts w:ascii="Amiri" w:hAnsi="Amiri" w:eastAsia="Amiri" w:cs="Amiri"/>
          <w:color w:val="111111"/>
          <w:sz w:val="28"/>
          <w:sz w:val="28"/>
          <w:szCs w:val="28"/>
          <w:rtl w:val="true"/>
          <w:lang w:bidi="ar-SA"/>
        </w:rPr>
        <w:t>الإجماع عليه بخصوصه ، فيرجّح على فعله لو قلنا بتحقّق الإجماع على عدم وجوب الاحتياط الكلّي في أبواب الفقه كما ادّعاه جملة منهم ؛ إذ غاية ما يحتمل حينئذ جوازه ، ويبقى احتمال وجوب الأخذ بالظنّ الخاصّ بحاله تحصيلا للامتثال التفصيلي وإن كان ظنّيا ، فالاحتياط فيه ، وهكذا نقول في الظنّ المطلق عند دوران الأمر بينه وبين الاحتياط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وجه فتوى المشهور بفساد عبادة الجاهل المقصّر وإن طابق الواقع هذا بناء على ما هو المختار عندنا من أنّ الإطاعة من دواعي الأمر لا من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يراه البعض من أنّها معتبرة في موضوع الطلب على وجه يصير جزء للمطلوب كما في سائر الأجزاء والشرائط ، فالدليل الدالّ على تقييد الأمر بالإطاعة إن كان لبّيا ، فيكتفى </w:t>
      </w:r>
      <w:r>
        <w:rPr>
          <w:rStyle w:val="FootnoteAnchor"/>
          <w:rtl w:val="true"/>
        </w:rPr>
        <w:footnoteReference w:id="2160"/>
      </w:r>
      <w:r>
        <w:rPr>
          <w:rFonts w:ascii="Amiri" w:hAnsi="Amiri" w:eastAsia="Amiri" w:cs="Amiri"/>
          <w:color w:val="111111"/>
          <w:sz w:val="28"/>
          <w:sz w:val="28"/>
          <w:szCs w:val="28"/>
          <w:rtl w:val="true"/>
          <w:lang w:bidi="ar-SA"/>
        </w:rPr>
        <w:t xml:space="preserve">بالامتثال الإجمالي ؛ لأنّه المتيقّن من التقييد ، ويؤخذ في المشكوك إمّا بالبراءة ، أو الاشتغال على الخلاف ، وإن كان لفظيا فإطلاق </w:t>
      </w:r>
      <w:r>
        <w:rPr>
          <w:rStyle w:val="FootnoteAnchor"/>
          <w:rtl w:val="true"/>
        </w:rPr>
        <w:footnoteReference w:id="2161"/>
      </w:r>
      <w:r>
        <w:rPr>
          <w:rFonts w:ascii="Amiri" w:hAnsi="Amiri" w:eastAsia="Amiri" w:cs="Amiri"/>
          <w:color w:val="111111"/>
          <w:sz w:val="28"/>
          <w:sz w:val="28"/>
          <w:szCs w:val="28"/>
          <w:rtl w:val="true"/>
          <w:lang w:bidi="ar-SA"/>
        </w:rPr>
        <w:t>المقيّد يحكم بالاكتفاء أيضا كما لا يخفى</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الانتصار لهم إلاّ أنّ الحقّ هو الحكم بالصحّة بناء على المختار من أنّ الإطاعة ليست قيدا لحكم العقل بحصول الامتثال سيّما بعد الحكم بعدم وجوب نيّة الوجه ، وبناء العقلاء مستقرّ على ذلك ، وذهاب المشهور بعد العلم بمستندهم وفساده ممّا لا يجدي شيئا فيما نحن فيه </w:t>
      </w:r>
      <w:r>
        <w:rPr>
          <w:rStyle w:val="FootnoteAnchor"/>
          <w:rtl w:val="true"/>
        </w:rPr>
        <w:footnoteReference w:id="2162"/>
      </w:r>
      <w:r>
        <w:rPr>
          <w:rFonts w:ascii="Amiri" w:hAnsi="Amiri" w:eastAsia="Amiri" w:cs="Amiri"/>
          <w:color w:val="111111"/>
          <w:sz w:val="28"/>
          <w:sz w:val="28"/>
          <w:szCs w:val="28"/>
          <w:rtl w:val="true"/>
          <w:lang w:bidi="ar-SA"/>
        </w:rPr>
        <w:t>على تقدير جواز الاتّكال على الشهرة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أنّ الوجه المذكور في الانتصار إنّما ينهض دفعا للاحتياط المستلزم للتكرار في العبادة ، وقد عرفت نقل الإجماع على عدم جواز الاحتياط فيه حيث يتمكّن من تحصيل العلم ، أو ما يجري مجراه ضرورة جوازه عند عدم التمكّن كما وقع نظير ذلك في الموضوعات عند اشتباه القبلة ومخالفته لسيرة </w:t>
      </w:r>
      <w:r>
        <w:rPr>
          <w:rStyle w:val="FootnoteAnchor"/>
          <w:rtl w:val="true"/>
        </w:rPr>
        <w:footnoteReference w:id="2163"/>
      </w:r>
      <w:r>
        <w:rPr>
          <w:rFonts w:ascii="Amiri" w:hAnsi="Amiri" w:eastAsia="Amiri" w:cs="Amiri"/>
          <w:color w:val="111111"/>
          <w:sz w:val="28"/>
          <w:sz w:val="28"/>
          <w:szCs w:val="28"/>
          <w:rtl w:val="true"/>
          <w:lang w:bidi="ar-SA"/>
        </w:rPr>
        <w:t xml:space="preserve">العلماء وهو الحجّة وإلاّ فعلى ما هو التحقيق من القول بالبراءة لا فرق بين أن يكون </w:t>
      </w:r>
      <w:r>
        <w:rPr>
          <w:rStyle w:val="FootnoteAnchor"/>
          <w:rtl w:val="true"/>
        </w:rPr>
        <w:footnoteReference w:id="2164"/>
      </w:r>
      <w:r>
        <w:rPr>
          <w:rFonts w:ascii="Amiri" w:hAnsi="Amiri" w:eastAsia="Amiri" w:cs="Amiri"/>
          <w:color w:val="111111"/>
          <w:sz w:val="28"/>
          <w:sz w:val="28"/>
          <w:szCs w:val="28"/>
          <w:rtl w:val="true"/>
          <w:lang w:bidi="ar-SA"/>
        </w:rPr>
        <w:t>الإطاعة من قيود المأمور به أو من دواعي الأمر لعموم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الوجه فيما أفاده صاحب المدارك بعد ما حكى عن العلاّمة </w:t>
      </w:r>
      <w:r>
        <w:rPr>
          <w:rStyle w:val="FootnoteAnchor"/>
          <w:rtl w:val="true"/>
        </w:rPr>
        <w:footnoteReference w:id="2165"/>
      </w:r>
      <w:r>
        <w:rPr>
          <w:rFonts w:ascii="Amiri" w:hAnsi="Amiri" w:eastAsia="Amiri" w:cs="Amiri"/>
          <w:color w:val="111111"/>
          <w:sz w:val="28"/>
          <w:sz w:val="28"/>
          <w:szCs w:val="28"/>
          <w:rtl w:val="true"/>
          <w:lang w:bidi="ar-SA"/>
        </w:rPr>
        <w:t xml:space="preserve">عدم جواز الصلاة في الثياب المشتبهة مع التمكّن منها في ثوب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وإن كان حسنا إلاّ أنّ وجهه لا يبلغ حدّ الوجوب </w:t>
      </w:r>
      <w:r>
        <w:rPr>
          <w:rStyle w:val="FootnoteAnchor"/>
          <w:rtl w:val="true"/>
        </w:rPr>
        <w:footnoteReference w:id="2166"/>
      </w:r>
      <w:r>
        <w:rPr>
          <w:rFonts w:ascii="Amiri" w:hAnsi="Amiri" w:eastAsia="Amiri" w:cs="Amiri"/>
          <w:color w:val="111111"/>
          <w:sz w:val="28"/>
          <w:sz w:val="28"/>
          <w:szCs w:val="28"/>
          <w:rtl w:val="true"/>
          <w:lang w:bidi="ar-SA"/>
        </w:rPr>
        <w:t xml:space="preserve">، وأمّا فيما لم يستلزم التكرار ، فالامتثال التفصيلي حاصل بمعنى العلم بالمطلوب وتميّزه عن غيره ، فلا اشتباه في المطلوب إلاّ أنّ وجه الطلب وخصوصيته غير معلوم ، فلا مانع من الاحتياط سوى القول بوجوب نيّة الوجه ، ونحن قد فرغنا عن إبطال هذه الشبهة في محلّه وقلنا باستقرار طريقة العقلاء في الحكم بامتثال من لم يراع في فعله وجه الفعل كما لا يخفى ، وهذا هو الحاسم لهذه الشبهة ، فلا وجه للقول بلزوم الفحص في العبادات الغير المتكرّرة عند إعمال الاحتياط ، ولا مأخذ للقول </w:t>
      </w:r>
      <w:r>
        <w:rPr>
          <w:rStyle w:val="FootnoteAnchor"/>
          <w:rtl w:val="true"/>
        </w:rPr>
        <w:footnoteReference w:id="2167"/>
      </w:r>
      <w:r>
        <w:rPr>
          <w:rFonts w:ascii="IRNazanin" w:hAnsi="IRNazanin" w:eastAsia="IRNazanin"/>
          <w:color w:val="111111"/>
          <w:sz w:val="28"/>
          <w:sz w:val="28"/>
          <w:szCs w:val="28"/>
          <w:rtl w:val="true"/>
          <w:lang w:bidi="fa-IR"/>
        </w:rPr>
        <w:t xml:space="preserve">بأنّ الناس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ومقلّد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السيّد الرضي دعوى الإجماع على فساد عبادة الجاهل ، وتقرير أخيه المرتضى علم الهدى له </w:t>
      </w:r>
      <w:r>
        <w:rPr>
          <w:rStyle w:val="FootnoteAnchor"/>
          <w:rtl w:val="true"/>
        </w:rPr>
        <w:footnoteReference w:id="2168"/>
      </w:r>
      <w:r>
        <w:rPr>
          <w:rFonts w:ascii="Amiri" w:hAnsi="Amiri" w:eastAsia="Amiri" w:cs="Amiri"/>
          <w:color w:val="111111"/>
          <w:sz w:val="28"/>
          <w:sz w:val="28"/>
          <w:szCs w:val="28"/>
          <w:rtl w:val="true"/>
          <w:lang w:bidi="ar-SA"/>
        </w:rPr>
        <w:t xml:space="preserve">، فلا يجدي شيئا </w:t>
      </w:r>
      <w:r>
        <w:rPr>
          <w:rStyle w:val="FootnoteAnchor"/>
          <w:rtl w:val="true"/>
        </w:rPr>
        <w:footnoteReference w:id="2169"/>
      </w:r>
      <w:r>
        <w:rPr>
          <w:rFonts w:ascii="Amiri" w:hAnsi="Amiri" w:eastAsia="Amiri" w:cs="Amiri"/>
          <w:color w:val="111111"/>
          <w:sz w:val="28"/>
          <w:sz w:val="28"/>
          <w:szCs w:val="28"/>
          <w:rtl w:val="true"/>
          <w:lang w:bidi="ar-SA"/>
        </w:rPr>
        <w:t xml:space="preserve">فإنّه محمول على عبادة من لم يعرف </w:t>
      </w:r>
      <w:bookmarkStart w:id="277" w:name="pg16273_211952"/>
    </w:p>
    <w:p>
      <w:pPr>
        <w:pStyle w:val="BookText"/>
        <w:rPr/>
      </w:pPr>
      <w:bookmarkEnd w:id="277"/>
      <w:r>
        <w:rPr>
          <w:rFonts w:ascii="Amiri" w:hAnsi="Amiri" w:eastAsia="Amiri" w:cs="Amiri"/>
          <w:color w:val="111111"/>
          <w:sz w:val="28"/>
          <w:sz w:val="28"/>
          <w:szCs w:val="28"/>
          <w:rtl w:val="true"/>
          <w:lang w:bidi="ar-SA"/>
        </w:rPr>
        <w:t>شيئا عدا ما عرفه من طريقة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المحتاط ، فليس منهم لانتهاء عمله إلى الاجتهاد فإنّا لا نضايق من القول بلزوم الفحص إمّا في المسألة الأصوليّة ، أو المسائل الفرعيّة ، فيحصل من جميع ما ذكرنا أنّ جريان الاشتغال والأخذ بالاحتياط مشروط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العبادات ، أو المعاملات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الفحص </w:t>
      </w:r>
      <w:r>
        <w:rPr>
          <w:rStyle w:val="FootnoteAnchor"/>
          <w:rtl w:val="true"/>
        </w:rPr>
        <w:footnoteReference w:id="2170"/>
      </w:r>
      <w:r>
        <w:rPr>
          <w:rFonts w:ascii="Amiri" w:hAnsi="Amiri" w:eastAsia="Amiri" w:cs="Amiri"/>
          <w:color w:val="111111"/>
          <w:sz w:val="28"/>
          <w:sz w:val="28"/>
          <w:szCs w:val="28"/>
          <w:rtl w:val="true"/>
          <w:lang w:bidi="ar-SA"/>
        </w:rPr>
        <w:t>في خصوص جزئيات المسائل الواردة على المكلّف في مقام العمل كما يراه المشهور في العبادات ، وإمّا الفحص في هذه المسألة الكلّية المبحوث عنها عن لزوم الفحص ، وتحصيل الاعتقاد اجتهادا بكفاية الاحتياط وعدم كفايته ، أو تقليدا كذلك ، فيحكم بفساد عبادة من لم يتفحّص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يكن المكلّف ملتفتا بشيء منهما ، لا يبعد القول بصحّة عباداته بعد مطابقة الواقع ، فالقائل بلزوم الفحص إن أراد منه ما ذكرنا من أحد الأمرين ، فمرحبا بالوفاق ، وإن أراد خصوص الفحص في الأحكام الفرعيّة كما هو الظاهر من كلمات القائلين بفساد عبادة الجاهل ، فلا نعرف له وجها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803650_1280447820"/>
      <w:bookmarkStart w:id="279" w:name="_Toc97"/>
      <w:bookmarkEnd w:id="278"/>
      <w:r>
        <w:rPr>
          <w:rtl w:val="true"/>
        </w:rPr>
        <w:t>وأمّا المقام الثاني</w:t>
      </w:r>
      <w:bookmarkEnd w:id="279"/>
    </w:p>
    <w:p>
      <w:pPr>
        <w:pStyle w:val="BookText"/>
        <w:rPr/>
      </w:pPr>
      <w:r>
        <w:rPr>
          <w:rFonts w:ascii="Amiri" w:hAnsi="Amiri" w:eastAsia="Amiri" w:cs="Amiri"/>
          <w:color w:val="111111"/>
          <w:sz w:val="28"/>
          <w:sz w:val="28"/>
          <w:szCs w:val="28"/>
          <w:rtl w:val="true"/>
          <w:lang w:bidi="ar-SA"/>
        </w:rPr>
        <w:t xml:space="preserve">في وجوب الفحص عن الدليل عند إعمال البراءة ، وتحقيق الكلام فيه يقع في موردين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تارك الفحص والعامل بالبراءة عند ذلك هل هو معاقب ، أو 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يظهر من التصفّح في كلمات الأعيان أقوال في المقام ، فقيل بكونه معاقبا مطلقا بواسطة ترك التعلّم ومخالفة مجرّد الفحص وإن طابق الواقع ، وهذا هو المنسوب إلى المقدّس الأردبيلي وتلميذيه ، والفاضل السبزواري </w:t>
      </w:r>
      <w:r>
        <w:rPr>
          <w:rStyle w:val="FootnoteAnchor"/>
          <w:rtl w:val="true"/>
        </w:rPr>
        <w:footnoteReference w:id="2171"/>
      </w:r>
      <w:r>
        <w:rPr>
          <w:rFonts w:ascii="Amiri" w:hAnsi="Amiri" w:eastAsia="Amiri" w:cs="Amiri"/>
          <w:color w:val="111111"/>
          <w:sz w:val="28"/>
          <w:sz w:val="28"/>
          <w:szCs w:val="28"/>
          <w:rtl w:val="true"/>
          <w:lang w:bidi="ar-SA"/>
        </w:rPr>
        <w:t xml:space="preserve">وجماعة ممّن تبعهم ، وقيل </w:t>
      </w:r>
    </w:p>
    <w:p>
      <w:pPr>
        <w:pStyle w:val="BookText"/>
        <w:rPr/>
      </w:pPr>
      <w:r>
        <w:rPr>
          <w:rFonts w:ascii="Amiri" w:hAnsi="Amiri" w:eastAsia="Amiri" w:cs="Amiri"/>
          <w:color w:val="111111"/>
          <w:sz w:val="28"/>
          <w:sz w:val="28"/>
          <w:szCs w:val="28"/>
          <w:rtl w:val="true"/>
          <w:lang w:bidi="ar-SA"/>
        </w:rPr>
        <w:t xml:space="preserve">بكونه معاقبا مطلقا على نفس العمل طابق الواقع ، أو خالف ، ولا عقاب على ترك الفحص ، وقيل بالتفصيل بين ما إذا طابق الواقع ، فلا عقاب وبين ما إذا خالف فيعاقب على المخالفة ، ويترتّب على فعله ما يترتّب على نفس الفعل حال المخالفة العملية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ومبنى الأوّل يمكن أن يكون القول بوجوب تحصيل العلم والتعلّم وجوبا نفسيّا كما يظهر عن بعض الأعاظم </w:t>
      </w:r>
      <w:r>
        <w:rPr>
          <w:rStyle w:val="FootnoteAnchor"/>
          <w:rtl w:val="true"/>
        </w:rPr>
        <w:footnoteReference w:id="2173"/>
      </w:r>
      <w:r>
        <w:rPr>
          <w:rFonts w:ascii="Amiri" w:hAnsi="Amiri" w:eastAsia="Amiri" w:cs="Amiri"/>
          <w:color w:val="111111"/>
          <w:sz w:val="28"/>
          <w:sz w:val="28"/>
          <w:szCs w:val="28"/>
          <w:rtl w:val="true"/>
          <w:lang w:bidi="ar-SA"/>
        </w:rPr>
        <w:t xml:space="preserve">، فلا يرد ما أفاد محقّق الجمال </w:t>
      </w:r>
      <w:r>
        <w:rPr>
          <w:rStyle w:val="FootnoteAnchor"/>
          <w:rtl w:val="true"/>
        </w:rPr>
        <w:footnoteReference w:id="2174"/>
      </w:r>
      <w:r>
        <w:rPr>
          <w:rFonts w:ascii="Amiri" w:hAnsi="Amiri" w:eastAsia="Amiri" w:cs="Amiri"/>
          <w:color w:val="111111"/>
          <w:sz w:val="28"/>
          <w:sz w:val="28"/>
          <w:szCs w:val="28"/>
          <w:rtl w:val="true"/>
          <w:lang w:bidi="ar-SA"/>
        </w:rPr>
        <w:t>من أنّ هذا قول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العقاب على نفس الفعل ولو في صورة المخالفة ، فلقبح العقاب على الجاهل كما يظهر عن صاحب المدارك في بعض فروع المسألة ، ويمكن أن يكون مبناه ما نسب إلى السبزواري من العقاب على المقدّمة ؛ لأدائه إلى ترك ذيها ، و </w:t>
      </w:r>
      <w:r>
        <w:rPr>
          <w:rStyle w:val="FootnoteAnchor"/>
          <w:rtl w:val="true"/>
        </w:rPr>
        <w:footnoteReference w:id="2175"/>
      </w:r>
      <w:r>
        <w:rPr>
          <w:rFonts w:ascii="Amiri" w:hAnsi="Amiri" w:eastAsia="Amiri" w:cs="Amiri"/>
          <w:color w:val="111111"/>
          <w:sz w:val="28"/>
          <w:sz w:val="28"/>
          <w:szCs w:val="28"/>
          <w:rtl w:val="true"/>
          <w:lang w:bidi="ar-SA"/>
        </w:rPr>
        <w:t>لا يخفى أنّه لا يقضي بالعقاب عند المطابقة كما هو ظاهر ، فلا يصحّ أن يكون مبنى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هو حرمة التجرّي ، فإنّ في هذا الفعل مع قطع النظر عن </w:t>
      </w:r>
      <w:r>
        <w:rPr>
          <w:rStyle w:val="FootnoteAnchor"/>
          <w:rtl w:val="true"/>
        </w:rPr>
        <w:footnoteReference w:id="2176"/>
      </w:r>
      <w:r>
        <w:rPr>
          <w:rFonts w:ascii="Amiri" w:hAnsi="Amiri" w:eastAsia="Amiri" w:cs="Amiri"/>
          <w:color w:val="111111"/>
          <w:sz w:val="28"/>
          <w:sz w:val="28"/>
          <w:szCs w:val="28"/>
          <w:rtl w:val="true"/>
          <w:lang w:bidi="ar-SA"/>
        </w:rPr>
        <w:t>حرمة الفعل في الواقع تجرّيا فيعاقب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العقاب على الفعل ، فللجهل ، ويحتمل القول بالتداخل كما عليه بعض الأجلّة </w:t>
      </w:r>
      <w:r>
        <w:rPr>
          <w:rStyle w:val="FootnoteAnchor"/>
          <w:rtl w:val="true"/>
        </w:rPr>
        <w:footnoteReference w:id="2177"/>
      </w:r>
      <w:r>
        <w:rPr>
          <w:rFonts w:ascii="Amiri" w:hAnsi="Amiri" w:eastAsia="Amiri" w:cs="Amiri"/>
          <w:color w:val="111111"/>
          <w:sz w:val="28"/>
          <w:sz w:val="28"/>
          <w:szCs w:val="28"/>
          <w:rtl w:val="true"/>
          <w:lang w:bidi="ar-SA"/>
        </w:rPr>
        <w:t xml:space="preserve">، والتحقيق هو الثالث ، ويتوقّف إثباته على إثبات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العقاب عند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عند المخالفة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 فالعقاب إمّا على ترك الفحص والتعلّم ، أو على التجرّي ، فلا وجه لكلّ </w:t>
      </w:r>
    </w:p>
    <w:p>
      <w:pPr>
        <w:pStyle w:val="BookText"/>
        <w:rPr/>
      </w:pPr>
      <w:r>
        <w:rPr>
          <w:rFonts w:ascii="Amiri" w:hAnsi="Amiri" w:eastAsia="Amiri" w:cs="Amiri"/>
          <w:color w:val="111111"/>
          <w:sz w:val="28"/>
          <w:sz w:val="28"/>
          <w:szCs w:val="28"/>
          <w:rtl w:val="true"/>
          <w:lang w:bidi="ar-SA"/>
        </w:rPr>
        <w:t xml:space="preserve">واحد منهما ، أمّا الأوّل ، فلأنّ الفحص والتعلّم ليس من الواجبات النفسيّة حتّى يقال بالعقاب على تركه بل الظاهر أنّه واجب غيري مقدّمي كما يظهر من لفظ السؤال ، فإنّ المستفاد منه هو مطلوبية العمل بجوابه كما لا يخفى ، وسياق أدلّة السؤال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 xml:space="preserve">) </w:t>
      </w:r>
      <w:r>
        <w:rPr>
          <w:rStyle w:val="FootnoteAnchor"/>
          <w:rtl w:val="true"/>
        </w:rPr>
        <w:footnoteReference w:id="2179"/>
      </w:r>
      <w:r>
        <w:rPr>
          <w:rFonts w:ascii="Amiri" w:hAnsi="Amiri" w:eastAsia="Amiri" w:cs="Amiri"/>
          <w:color w:val="111111"/>
          <w:sz w:val="28"/>
          <w:sz w:val="28"/>
          <w:szCs w:val="28"/>
          <w:rtl w:val="true"/>
          <w:lang w:bidi="ar-SA"/>
        </w:rPr>
        <w:t xml:space="preserve">وغير ذلك شاهد صدق على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العمليات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مطلوبا بنفسه ، وإنّما المقصود منه تحصيله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المفيد الثاني </w:t>
      </w:r>
      <w:r>
        <w:rPr>
          <w:rStyle w:val="FootnoteAnchor"/>
          <w:rtl w:val="true"/>
        </w:rPr>
        <w:footnoteReference w:id="2180"/>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 xml:space="preserve">من أنّه تعالى يحتجّ على العباد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عملت؟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تعلّمت فعملت؟ </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وجه الدلالة ظاهر فإنّ التوبيخ على ترك العمل بعد العلم ، وعلى عدمه بعد عدمه على تقدير تحصيله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ذلك غاية الاتّضاح عند 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2183"/>
      </w:r>
      <w:r>
        <w:rPr>
          <w:rFonts w:ascii="Amiri" w:hAnsi="Amiri" w:eastAsia="Amiri" w:cs="Amiri"/>
          <w:color w:val="111111"/>
          <w:sz w:val="28"/>
          <w:sz w:val="28"/>
          <w:szCs w:val="28"/>
          <w:rtl w:val="true"/>
          <w:lang w:bidi="ar-SA"/>
        </w:rPr>
        <w:t xml:space="preserve">فإنّه تعالى جعل الحذر غاية للإنذار وهو واجب نفسي ، وغاية الحذر في العمل </w:t>
      </w:r>
      <w:r>
        <w:rPr>
          <w:rStyle w:val="FootnoteAnchor"/>
          <w:rtl w:val="true"/>
        </w:rPr>
        <w:footnoteReference w:id="2184"/>
      </w:r>
      <w:r>
        <w:rPr>
          <w:rFonts w:ascii="Amiri" w:hAnsi="Amiri" w:eastAsia="Amiri" w:cs="Amiri"/>
          <w:color w:val="111111"/>
          <w:sz w:val="28"/>
          <w:sz w:val="28"/>
          <w:szCs w:val="28"/>
          <w:rtl w:val="true"/>
          <w:lang w:bidi="ar-SA"/>
        </w:rPr>
        <w:t xml:space="preserve">بفعل الواجبات وترك المحرّمات ، ولو لا أنّ المقصود هو العمل ، لكان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الإنذار هو الإبلاغ والإرشاد كما لا يخفى</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فبالمنع صغرى وكبرى إذ التارك للفحص والعامل بالبراءة قد يكون غافلا عن الفحص ، فلا تجرّي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مستند إلى اختياره بعد علمه الإجمالي بالواجبات والمحرّمات في الشريعة ، فغفلته بعد تقصيره غير مجدية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سلّمنا كونه تجرّيا ، فلا دليل على حرمة التجرّي مطلقا ؛ إذ له مراتب أعلاها الإتيان بالفعل رجاء المخالفة ، ولا يبعد كونه كفرا ، وأدونها الإتيان بالفعل رجاء عدم المخالفة عند احتماله ، ولا دليل على حرمة هذا الفرد منه كما حرّر ذلك في مقامه ، وتقدّم </w:t>
      </w:r>
      <w:r>
        <w:rPr>
          <w:rStyle w:val="FootnoteAnchor"/>
          <w:rtl w:val="true"/>
        </w:rPr>
        <w:footnoteReference w:id="2185"/>
      </w:r>
      <w:r>
        <w:rPr>
          <w:rFonts w:ascii="Amiri" w:hAnsi="Amiri" w:eastAsia="Amiri" w:cs="Amiri"/>
          <w:color w:val="111111"/>
          <w:sz w:val="28"/>
          <w:sz w:val="28"/>
          <w:szCs w:val="28"/>
          <w:rtl w:val="true"/>
          <w:lang w:bidi="ar-SA"/>
        </w:rPr>
        <w:t>جملة من الكلام فيه في الشبهة الغير المحصورة ، فتذكّر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186"/>
      </w:r>
      <w:r>
        <w:rPr>
          <w:rFonts w:ascii="Amiri" w:hAnsi="Amiri" w:eastAsia="Amiri" w:cs="Amiri"/>
          <w:color w:val="111111"/>
          <w:sz w:val="28"/>
          <w:sz w:val="28"/>
          <w:szCs w:val="28"/>
          <w:rtl w:val="true"/>
          <w:lang w:bidi="ar-SA"/>
        </w:rPr>
        <w:t xml:space="preserve">أمّا الثانية </w:t>
      </w:r>
      <w:r>
        <w:rPr>
          <w:rStyle w:val="FootnoteAnchor"/>
          <w:rtl w:val="true"/>
        </w:rPr>
        <w:footnoteReference w:id="2187"/>
      </w:r>
      <w:r>
        <w:rPr>
          <w:rFonts w:ascii="Amiri" w:hAnsi="Amiri" w:eastAsia="Amiri" w:cs="Amiri"/>
          <w:color w:val="111111"/>
          <w:sz w:val="28"/>
          <w:sz w:val="28"/>
          <w:szCs w:val="28"/>
          <w:rtl w:val="true"/>
          <w:lang w:bidi="ar-SA"/>
        </w:rPr>
        <w:t>، فلوجود المقتضي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2188"/>
      </w:r>
      <w:r>
        <w:rPr>
          <w:rFonts w:ascii="Amiri" w:hAnsi="Amiri" w:eastAsia="Amiri" w:cs="Amiri"/>
          <w:color w:val="111111"/>
          <w:sz w:val="28"/>
          <w:sz w:val="28"/>
          <w:szCs w:val="28"/>
          <w:rtl w:val="true"/>
          <w:lang w:bidi="ar-SA"/>
        </w:rPr>
        <w:t xml:space="preserve">، فالأدلّة الواقعية الآمرة بالواجبات والناهية عن المحرّمات الدالّة على استحقاق المخالف لها </w:t>
      </w:r>
      <w:r>
        <w:rPr>
          <w:rStyle w:val="FootnoteAnchor"/>
          <w:rtl w:val="true"/>
        </w:rPr>
        <w:footnoteReference w:id="2189"/>
      </w:r>
      <w:r>
        <w:rPr>
          <w:rFonts w:ascii="Amiri" w:hAnsi="Amiri" w:eastAsia="Amiri" w:cs="Amiri"/>
          <w:color w:val="111111"/>
          <w:sz w:val="28"/>
          <w:sz w:val="28"/>
          <w:szCs w:val="28"/>
          <w:rtl w:val="true"/>
          <w:lang w:bidi="ar-SA"/>
        </w:rPr>
        <w:t xml:space="preserve">للعقاب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فإنّ صدق المخالفة عند ترك الحجّ مع الاستطاعة ظاهر ، وهو محقّق </w:t>
      </w:r>
      <w:r>
        <w:rPr>
          <w:rStyle w:val="FootnoteAnchor"/>
          <w:rtl w:val="true"/>
        </w:rPr>
        <w:footnoteReference w:id="2191"/>
      </w:r>
      <w:r>
        <w:rPr>
          <w:rFonts w:ascii="Amiri" w:hAnsi="Amiri" w:eastAsia="Amiri" w:cs="Amiri"/>
          <w:color w:val="111111"/>
          <w:sz w:val="28"/>
          <w:sz w:val="28"/>
          <w:szCs w:val="28"/>
          <w:rtl w:val="true"/>
          <w:lang w:bidi="ar-SA"/>
        </w:rPr>
        <w:t>للحكم باستحقاق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2192"/>
      </w:r>
      <w:r>
        <w:rPr>
          <w:rFonts w:ascii="Amiri" w:hAnsi="Amiri" w:eastAsia="Amiri" w:cs="Amiri"/>
          <w:color w:val="111111"/>
          <w:sz w:val="28"/>
          <w:sz w:val="28"/>
          <w:szCs w:val="28"/>
          <w:rtl w:val="true"/>
          <w:lang w:bidi="ar-SA"/>
        </w:rPr>
        <w:t>، فلأنّ المانع إمّا أن يكون هو العقل ، أو الشرع ، والكلّ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2193"/>
      </w:r>
      <w:r>
        <w:rPr>
          <w:rFonts w:ascii="Amiri" w:hAnsi="Amiri" w:eastAsia="Amiri" w:cs="Amiri"/>
          <w:color w:val="111111"/>
          <w:sz w:val="28"/>
          <w:sz w:val="28"/>
          <w:szCs w:val="28"/>
          <w:rtl w:val="true"/>
          <w:lang w:bidi="ar-SA"/>
        </w:rPr>
        <w:t xml:space="preserve">، فليس إلاّ ما تخيّله الخصم من قبح عقاب الغافل وتعذيب الجاهل وهو ليس بشيء ؛ لأنّ العقل قاض بذلك فيما لم تكن </w:t>
      </w:r>
      <w:r>
        <w:rPr>
          <w:rStyle w:val="FootnoteAnchor"/>
          <w:rtl w:val="true"/>
        </w:rPr>
        <w:footnoteReference w:id="2194"/>
      </w:r>
      <w:r>
        <w:rPr>
          <w:rFonts w:ascii="Amiri" w:hAnsi="Amiri" w:eastAsia="Amiri" w:cs="Amiri"/>
          <w:color w:val="111111"/>
          <w:sz w:val="28"/>
          <w:sz w:val="28"/>
          <w:szCs w:val="28"/>
          <w:rtl w:val="true"/>
          <w:lang w:bidi="ar-SA"/>
        </w:rPr>
        <w:t>غفلته مستندة إلى تقصيره ، وأمّا إذا استند جهله إلى مقدّمات مقدورة متروكة باختياره بعد العلم الإجمالي بتحقّق واجبات كثيرة في الشريعة ومحرّمات كذلك ، فلا قبح في العقول في تعذيب المخالف كما هو ظاهر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 فلعدم ما يدلّ على ذلك في الأدلّة الشرعية بل وجملة منها يدلّ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صلى‌اللّه‌عليه‌وآله في مجدور جنب ، فغسّلوه ، فكزّ ، فمات ، فقال النبيّ صلى‌اللّه‌عليه‌وآله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قتلوه قاتلهم اللّه ألاّ سألوا ألاّ تيمّموه </w:t>
      </w:r>
      <w:r>
        <w:rPr>
          <w:rFonts w:eastAsia="Amiri" w:cs="Amiri" w:ascii="Amiri" w:hAnsi="Amiri"/>
          <w:color w:val="111111"/>
          <w:sz w:val="28"/>
          <w:szCs w:val="28"/>
          <w:rtl w:val="true"/>
          <w:lang w:bidi="ar-SA"/>
        </w:rPr>
        <w:t xml:space="preserve">» </w:t>
      </w:r>
      <w:r>
        <w:rPr>
          <w:rStyle w:val="FootnoteAnchor"/>
          <w:rtl w:val="true"/>
        </w:rPr>
        <w:footnoteReference w:id="2195"/>
      </w:r>
      <w:r>
        <w:rPr>
          <w:rFonts w:ascii="Amiri" w:hAnsi="Amiri" w:eastAsia="Amiri" w:cs="Amiri"/>
          <w:color w:val="111111"/>
          <w:sz w:val="28"/>
          <w:sz w:val="28"/>
          <w:szCs w:val="28"/>
          <w:rtl w:val="true"/>
          <w:lang w:bidi="ar-SA"/>
        </w:rPr>
        <w:t>وصراحته في المقصود ممّا لا ينكر ؛ فإنّ إسناد القتل إلى مباشر الغسل مع ضعفه مع التوبيخ في عدم السؤال وعدم التيمّم ممّا ينادي بأعلى صوته على ترتّب العقاب عند عدم العلم وعدم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التوبيخ على ترك التعلّم ، فيدلّ على وجوبه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التوبيخ على ترك التيمّم ينافيه </w:t>
      </w:r>
      <w:r>
        <w:rPr>
          <w:rStyle w:val="FootnoteAnchor"/>
          <w:rtl w:val="true"/>
        </w:rPr>
        <w:footnoteReference w:id="2196"/>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 غناء الجواري ، فإنّ في ذيلها ما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معذورية الجاهل المقصّر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أسوأ حالك لو كنت تموت على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تخيّل عدم حرمة السماع وهو جالس على الخلاء من غير أن يذهب برجله إلى الاستماع 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لم أسمع بها لا من عربي ، ولا من عجمي بعد ما قرأ له الإمام عليه‌السلام </w:t>
      </w:r>
      <w:r>
        <w:rPr>
          <w:rStyle w:val="FootnoteAnchor"/>
          <w:rtl w:val="true"/>
        </w:rPr>
        <w:footnoteReference w:id="21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في التيمّم حيث قال له رسول اللّه صلى‌اللّه‌عليه‌وآله وهو يهزؤه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تمعّكت كما تتمعّك الدابّة </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فإنّ في هذا التوبيخ والاستهزاء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أصحابنا على تكليف الكفّار بالفروع وعقابهم عليها ، فإنّ المسلمين ليسوا في العلم الإجمالي بالواجبات أدون من الكفّار ، فكما أنّ مصحّح العقاب على الكفّار هو العلم الإجمالي بالأحكام الفرعية مع الجهل بها تقصيرا ، فكذلك في المسلمين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فالجهل مع التقصير والمخالفة الجهلية يصير منشأ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إجماع الأصحاب على عقابهم لا يحرز الاشتراط عند الشكّ في اشتراط شيء ، لأنّ الإجماع هذا إنّما هو في قبال أبي حنيفة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قال النووي في المجموع فى شرح المهذّب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الكافر الأصلي فاتّفق أصحابنا في كتب الفروع على أنّه لا يجب عليه الصلاة والزكاة والصوم والحجّ وغيرها من فروع الإسلام ، وأمّا في كتب الأصول ، فقال جمهورهم هو مخاطب بالفروع كما هو مخاطب بأصل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يخاطب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بالمنهيّ عنه كتحريم الزنى والسرقة والخمر وأشباهها دون المأمور به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الأوّل وليس هو مخالفا لقولهم في الفروع ؛ لأنّ المراد هنا غير المراد هناك ، فمرادهم في كتب الفروع أنّهم لا يطالبون بها في الدنيا مع كفرهم ، وإذا أسلم أحدهم ، لم يلزمه قضاء الماضي ، ولم يتعرّضوا لعقوبة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في كتب الأصول أنّهم يعذّبون عليها في الآخرة زيادة على عذاب الكفر فيعذّبون عليها وعلى الكفر جميعا لا على الكفر وحده ولم يتعرّضوا للمطالبة في الدنيا ، فذكروا في الأصول حكم أحد الطرفين والفروع حكم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في المجموع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الأخباريين من أصحابنا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القائلين بعدم عقاب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عالما تفصيليا ، فإجماعهم في بيان مطلب آخر لا يمكن استعلام حال الشرائط منه ؛ إذ غاية ما يستفاد منه الحكم بمساواة الكافر للمسلم ، وأمّا لو شكّ في اشتراط أصل التكليف بشيء وعدمه ، فلا بدّ من ملاحظة ذلك لمساواة الكافر للمسلم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إلاّ أن يدّعى الإجماع على استحقاق الكافر للعقاب فيما لو استجمع الشرائط المعتبرة في التكليف من الأمور المتّفق عليها غير العلم</w:t>
      </w:r>
    </w:p>
    <w:p>
      <w:pPr>
        <w:pStyle w:val="BookText"/>
        <w:rPr/>
      </w:pPr>
      <w:r>
        <w:rPr>
          <w:rFonts w:ascii="Amiri" w:hAnsi="Amiri" w:eastAsia="Amiri" w:cs="Amiri"/>
          <w:color w:val="111111"/>
          <w:sz w:val="28"/>
          <w:sz w:val="28"/>
          <w:szCs w:val="28"/>
          <w:rtl w:val="true"/>
          <w:lang w:bidi="ar-SA"/>
        </w:rPr>
        <w:t>التفصيلي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دليل وجوب الفحص أيضا إذ يحتمل في كلّ مورد ترتّب العقاب ويجب دفعه بحكم العقل القاطع كما ظهر أنّ الفحص واجب شرطي يجب عند عدم الاحتياط إذ لا ضير في الاحتياط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ينقدح أنّ الفحص ليس من شرائط اعتبار البراءة على ما يظهر من بعضهم </w:t>
      </w:r>
      <w:r>
        <w:rPr>
          <w:rStyle w:val="FootnoteAnchor"/>
          <w:rtl w:val="true"/>
        </w:rPr>
        <w:footnoteReference w:id="2201"/>
      </w:r>
      <w:r>
        <w:rPr>
          <w:rFonts w:ascii="Amiri" w:hAnsi="Amiri" w:eastAsia="Amiri" w:cs="Amiri"/>
          <w:color w:val="111111"/>
          <w:sz w:val="28"/>
          <w:sz w:val="28"/>
          <w:szCs w:val="28"/>
          <w:rtl w:val="true"/>
          <w:lang w:bidi="ar-SA"/>
        </w:rPr>
        <w:t>بل التحقيق أن لا مجرى للبراءة بدونه ؛ إذ دليل البراءة ليس إلاّ قبح العقاب بدون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 فجملة منها </w:t>
      </w:r>
      <w:r>
        <w:rPr>
          <w:rStyle w:val="FootnoteAnchor"/>
          <w:rtl w:val="true"/>
        </w:rPr>
        <w:footnoteReference w:id="2202"/>
      </w:r>
      <w:r>
        <w:rPr>
          <w:rFonts w:ascii="IRNazanin" w:hAnsi="IRNazanin" w:eastAsia="IRNazanin"/>
          <w:color w:val="111111"/>
          <w:sz w:val="28"/>
          <w:sz w:val="28"/>
          <w:szCs w:val="28"/>
          <w:rtl w:val="true"/>
          <w:lang w:bidi="fa-IR"/>
        </w:rPr>
        <w:t xml:space="preserve">مفادها مثل مفاد العقل ، وبعض </w:t>
      </w:r>
      <w:r>
        <w:rPr>
          <w:rStyle w:val="FootnoteAnchor"/>
          <w:rtl w:val="true"/>
        </w:rPr>
        <w:footnoteReference w:id="2203"/>
      </w:r>
      <w:r>
        <w:rPr>
          <w:rFonts w:ascii="Amiri" w:hAnsi="Amiri" w:eastAsia="Amiri" w:cs="Amiri"/>
          <w:color w:val="111111"/>
          <w:sz w:val="28"/>
          <w:sz w:val="28"/>
          <w:szCs w:val="28"/>
          <w:rtl w:val="true"/>
          <w:lang w:bidi="ar-SA"/>
        </w:rPr>
        <w:t xml:space="preserve">الآخر منزّلة عليه كما مرّ ، والعقل لا يقبّح تعذيب تارك الفحص والعامل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مناط حكمه بالقبح هو معذورية المكلّف ، ولا عذر عند عدم الفحص ، ولا فرق في ذلك بين ما كان في موارد العمل بالبراءة علم إجمالي كما في أمثال زماننا ، أو لم يكن ، ألا ترى أنّ الفحص في معجزة النبيّ واجب ، ولا يجوز الاتّكال على البراءة مع احتمال صدقه وإن لم يكن علم إجمالي إذ لا عذر لمن ترك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فالبراءة لا مجرى لها عند عدم الفحص ، وذلك بخلاف الاستصحاب إذ أدلّتها عقلا ونقلا جارية عند عدم الفحص ؛ لصدق الشكّ واليقين المقوّمين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البراءة أيضا بعضها لا يعتبر فيها إلاّ الشكّ وعدم العلم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فى سعة ما لا يعلمون </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وغير ذلك ، فلا فرق بينها وبين الاستصحاب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المستفاد من مجموعها عدم العقاب على المعذور ، ولا عذر لغير المتفحّص ، وهذا هو العمدة في وجوب الفحص عند العمل بالبراءة ، ويؤيّده وجوه </w:t>
      </w:r>
      <w:bookmarkStart w:id="280" w:name="pg16273_211959"/>
    </w:p>
    <w:p>
      <w:pPr>
        <w:pStyle w:val="BookText"/>
        <w:rPr/>
      </w:pPr>
      <w:bookmarkEnd w:id="280"/>
      <w:r>
        <w:rPr>
          <w:rFonts w:ascii="Amiri" w:hAnsi="Amiri" w:eastAsia="Amiri" w:cs="Amiri"/>
          <w:color w:val="111111"/>
          <w:sz w:val="28"/>
          <w:sz w:val="28"/>
          <w:szCs w:val="28"/>
          <w:rtl w:val="true"/>
          <w:lang w:bidi="ar-SA"/>
        </w:rPr>
        <w:t xml:space="preserve">أخر أيضا كالإجماع من القائلين بها بحسب اختلاف مواردها أخباريا وأصوليا إلاّ في موارد ستعرف تحقيق القول فيه ، واستقرار عمل العقلاء على الفحص في مواردها ، ولزوم الهرج والمرج لو لاه ، والخرج من الدين على وجه لا يعدّ من المتديّنين بهذا الدين كما برهنّا </w:t>
      </w:r>
      <w:r>
        <w:rPr>
          <w:rStyle w:val="FootnoteAnchor"/>
          <w:rtl w:val="true"/>
        </w:rPr>
        <w:footnoteReference w:id="2205"/>
      </w:r>
      <w:r>
        <w:rPr>
          <w:rFonts w:ascii="Amiri" w:hAnsi="Amiri" w:eastAsia="Amiri" w:cs="Amiri"/>
          <w:color w:val="111111"/>
          <w:sz w:val="28"/>
          <w:sz w:val="28"/>
          <w:szCs w:val="28"/>
          <w:rtl w:val="true"/>
          <w:lang w:bidi="ar-SA"/>
        </w:rPr>
        <w:t>عليه في مقدّمات دليل الانسداد عند إبطال العمل بالبراءة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803652_1280447820"/>
      <w:bookmarkStart w:id="282" w:name="_Toc98"/>
      <w:bookmarkEnd w:id="281"/>
      <w:r>
        <w:rPr>
          <w:rtl w:val="true"/>
        </w:rPr>
        <w:t>فرع</w:t>
      </w:r>
      <w:bookmarkEnd w:id="282"/>
    </w:p>
    <w:p>
      <w:pPr>
        <w:pStyle w:val="BookText"/>
        <w:rPr/>
      </w:pPr>
      <w:r>
        <w:rPr>
          <w:rFonts w:ascii="Amiri" w:hAnsi="Amiri" w:eastAsia="Amiri" w:cs="Amiri"/>
          <w:color w:val="111111"/>
          <w:sz w:val="28"/>
          <w:sz w:val="28"/>
          <w:szCs w:val="28"/>
          <w:rtl w:val="true"/>
          <w:lang w:bidi="ar-SA"/>
        </w:rPr>
        <w:t>هل المدار في الواقع الذي جعلنا العقاب دائرا مداره ما ذا؟ فهل هو الواقع في نفس الأمر ، أو ما يصل إلى أنظار المجتهدين بعد الفحص المعتبر ، أو ما يصل إلى نظر المقلّد؟</w:t>
      </w:r>
    </w:p>
    <w:p>
      <w:pPr>
        <w:pStyle w:val="BookText"/>
        <w:rPr/>
      </w:pPr>
      <w:r>
        <w:rPr>
          <w:rFonts w:ascii="Amiri" w:hAnsi="Amiri" w:eastAsia="Amiri" w:cs="Amiri"/>
          <w:color w:val="111111"/>
          <w:sz w:val="28"/>
          <w:sz w:val="28"/>
          <w:szCs w:val="28"/>
          <w:rtl w:val="true"/>
          <w:lang w:bidi="ar-SA"/>
        </w:rPr>
        <w:t xml:space="preserve">وتظهر الثمرة فيما إذا </w:t>
      </w:r>
      <w:r>
        <w:rPr>
          <w:rStyle w:val="FootnoteAnchor"/>
          <w:rtl w:val="true"/>
        </w:rPr>
        <w:footnoteReference w:id="2206"/>
      </w:r>
      <w:r>
        <w:rPr>
          <w:rFonts w:ascii="Amiri" w:hAnsi="Amiri" w:eastAsia="Amiri" w:cs="Amiri"/>
          <w:color w:val="111111"/>
          <w:sz w:val="28"/>
          <w:sz w:val="28"/>
          <w:szCs w:val="28"/>
          <w:rtl w:val="true"/>
          <w:lang w:bidi="ar-SA"/>
        </w:rPr>
        <w:t xml:space="preserve">انكشف اختلاف الواقع </w:t>
      </w:r>
      <w:r>
        <w:rPr>
          <w:rStyle w:val="FootnoteAnchor"/>
          <w:rtl w:val="true"/>
        </w:rPr>
        <w:footnoteReference w:id="2207"/>
      </w:r>
      <w:r>
        <w:rPr>
          <w:rFonts w:ascii="Amiri" w:hAnsi="Amiri" w:eastAsia="Amiri" w:cs="Amiri"/>
          <w:color w:val="111111"/>
          <w:sz w:val="28"/>
          <w:sz w:val="28"/>
          <w:szCs w:val="28"/>
          <w:rtl w:val="true"/>
          <w:lang w:bidi="ar-SA"/>
        </w:rPr>
        <w:t>مع ما وصل إلى الأنظار المسمّى بالحكم الظاهري عند بعض ، وبالواصلي عند الأخباري مثلا فيما لو كان شرب التتن في الواقع مباحا وارتكبه المكلّف ، ثمّ انكشف أنّ الحكم الظاهري بحسب ما أدّى إليه اجتهاد المجتهد كان حراما ، أو العكس ، فعلى تقدير كون المدار على الواقع الواقعي ، يعاقب عند المخالفة وإن وافق الحكم الظاهري ، وعلى تقدير كون المدار على الواقع الثانوي ، لا يعاقب على تقدير الموافقة وإن خالف الحكم الواقعي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صورتي الموافقة لكلّ واحد من الحكمين ، أو المخالفة لهما لا ثمرة إلاّ نادرا كأن يكون من لوازم الواقع أو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فوجه الأوّل أنّ الحكم الظاهري إنّما هو مجرّد طريق إلى الواقع ولا عبرة به في شيء سوى مجرّد الطريقية ، وبعد موافقة الواقع لا ضير في مخالفة الطريق ؛ إذ لا مصلحة في الطريق سوى الوصول إلى ما هو طريق إليه والمفروض حصوله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الثاني فلأنّ الواقع لمكان الجهل به وعدم التمكّن من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w:t>
      </w:r>
      <w:bookmarkStart w:id="283" w:name="pg16273_211960"/>
    </w:p>
    <w:p>
      <w:pPr>
        <w:pStyle w:val="BookText"/>
        <w:rPr/>
      </w:pPr>
      <w:bookmarkEnd w:id="283"/>
      <w:r>
        <w:rPr>
          <w:rFonts w:ascii="Amiri" w:hAnsi="Amiri" w:eastAsia="Amiri" w:cs="Amiri"/>
          <w:color w:val="111111"/>
          <w:sz w:val="28"/>
          <w:sz w:val="28"/>
          <w:szCs w:val="28"/>
          <w:rtl w:val="true"/>
          <w:lang w:bidi="ar-SA"/>
        </w:rPr>
        <w:t xml:space="preserve">مخالفة ما هو طريق إليه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عن المكلّف ، ولا يجوز العقاب عليه ،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عدم التكليف ، فإن كان الواقع حراما ، ومؤدّى الاجتهاد أو التقليد إباحة ، فالمحكّم هو الأخذ بالطريق وعدم الحكم بكونه معاقبا ، وإن كان الواقع على الإباحة دون مؤدّى الطريق ، فالمدار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الواقع على الإباحة ، فالوجه فيه ظاهر بعد ما عرفت من عدم ترتّب شيء على الطريق سوى ما يترتّب على الواقع ، وأمّا إذا كان الواقع على الحرمة دون مؤدّى الطريق ، فلأنّ شرط الحرمة الواقعية تنجّز التكليف والمفروض عدم العلم وعدم تمكّنه أيضا ، لأنّ الطريق إليه على تقدير الفحص عن الواقع مخالف له ، فلا يمكن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الإيراد عليه بأنّ الأخذ بالطريق الظاهري في مرتبة أحد أفراد الواجب المخيّر ، وبعد تعذّر أحد أفرادي الواجبين فالباقي هو المعيّن ، ويلازمه العقاب عند التخلّف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بكون الأمارات المعمولة عند المجتهد طريقا إلى الواقع سواء قلنا باعتبار الظنّ المطلق ، أو لا ، فلا يعرف في ترتّب العقاب على الطريق بعد فرض المطابقة وجها عدى ما يتوهّم من عنوان التجرّي ، وقد عرفت تحقيق القول في حرمة التجرّي بما لا مزيد عليه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803654_1280447820"/>
      <w:bookmarkStart w:id="285" w:name="_Toc99"/>
      <w:bookmarkEnd w:id="284"/>
      <w:r>
        <w:rPr>
          <w:rtl w:val="true"/>
        </w:rPr>
        <w:t xml:space="preserve">[ </w:t>
      </w:r>
      <w:r>
        <w:rPr>
          <w:rtl w:val="true"/>
        </w:rPr>
        <w:t xml:space="preserve">عدم لزوم الفحص في الشبهات الموضوعية </w:t>
      </w:r>
      <w:r>
        <w:rPr>
          <w:rtl w:val="true"/>
        </w:rPr>
        <w:t>]</w:t>
      </w:r>
      <w:bookmarkEnd w:id="285"/>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الحكم التكليفي في الشبهات الحكمية عند عدم الفحص وإعمال البراءة ، وأمّا بالنسبة إلى الشبهات الموضوعية فلا ريب في جريان البراءة في مواردها من دون لزوم الفحص فيها ، فلو شكّ في كون إناء خمرا ، أو خلاّ ، فيعمل بالبراءة من غير ملاحظة أنّه الخمر ، أو الخلّ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في ذلك هو الإجماع القطعي فإنّ بناء العلماء </w:t>
      </w:r>
      <w:r>
        <w:rPr>
          <w:rStyle w:val="FootnoteAnchor"/>
          <w:rtl w:val="true"/>
        </w:rPr>
        <w:footnoteReference w:id="2208"/>
      </w:r>
      <w:r>
        <w:rPr>
          <w:rFonts w:ascii="Amiri" w:hAnsi="Amiri" w:eastAsia="Amiri" w:cs="Amiri"/>
          <w:color w:val="111111"/>
          <w:sz w:val="28"/>
          <w:sz w:val="28"/>
          <w:szCs w:val="28"/>
          <w:rtl w:val="true"/>
          <w:lang w:bidi="ar-SA"/>
        </w:rPr>
        <w:t>سلفا عن خلف على الأخذ بالبراءة في الشبهات الموضوعية من غير توقّف على الفحص بل ولو فيما يعلم باستكشاف الواقع عند الفحص ، ولا اختصاص لهذا الحكم بالبراءة بل يجري في جميع الأصول العملية الدائرة في الموضوعات من الاستصحاب وقاعدة اليد وأصالة الطهارة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الكافى عن عبد اللّه بن سليمان ، عن أبي عبد اللّه عليه‌السلام في الجبنّ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يجيئك شاهدان يشهدان عندك أنّ فيه ميتة </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عن عبد اللّه بن سنان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يكون فيه حلال وحرام فهو حلال لك أبدا حتّى تعرف الحرام منه بعينه </w:t>
      </w:r>
      <w:r>
        <w:rPr>
          <w:rStyle w:val="FootnoteAnchor"/>
          <w:rtl w:val="true"/>
        </w:rPr>
        <w:footnoteReference w:id="2210"/>
      </w:r>
      <w:r>
        <w:rPr>
          <w:rFonts w:ascii="IRNazanin" w:hAnsi="IRNazanin" w:eastAsia="IRNazanin"/>
          <w:color w:val="111111"/>
          <w:sz w:val="28"/>
          <w:sz w:val="28"/>
          <w:szCs w:val="28"/>
          <w:rtl w:val="true"/>
          <w:lang w:bidi="fa-IR"/>
        </w:rPr>
        <w:t xml:space="preserve">فتدعه </w:t>
      </w:r>
      <w:r>
        <w:rPr>
          <w:rFonts w:eastAsia="IRNazanin" w:cs="IRNazanin"/>
          <w:color w:val="111111"/>
          <w:sz w:val="28"/>
          <w:szCs w:val="28"/>
          <w:rtl w:val="true"/>
          <w:lang w:bidi="fa-IR"/>
        </w:rPr>
        <w:t xml:space="preserve">»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أيضا عن محمّد بن يحيى ، عن أحمد بن محمد بن عيسى ، عن ابن محبوب ، عن عبد اللّه بن سنان ، عن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الجبنّ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سألت </w:t>
      </w:r>
      <w:r>
        <w:rPr>
          <w:rStyle w:val="FootnoteAnchor"/>
          <w:rtl w:val="true"/>
        </w:rPr>
        <w:footnoteReference w:id="2212"/>
      </w:r>
      <w:r>
        <w:rPr>
          <w:rFonts w:ascii="Amiri" w:hAnsi="Amiri" w:eastAsia="Amiri" w:cs="Amiri"/>
          <w:color w:val="111111"/>
          <w:sz w:val="28"/>
          <w:sz w:val="28"/>
          <w:szCs w:val="28"/>
          <w:rtl w:val="true"/>
          <w:lang w:bidi="ar-SA"/>
        </w:rPr>
        <w:t xml:space="preserve">عن طعام يعجبني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أعطى الغلام درهما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 ابتع لنا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ودعى بالغداء فتغدّينا </w:t>
      </w:r>
      <w:r>
        <w:rPr>
          <w:rStyle w:val="FootnoteAnchor"/>
          <w:rtl w:val="true"/>
        </w:rPr>
        <w:footnoteReference w:id="2213"/>
      </w:r>
      <w:r>
        <w:rPr>
          <w:rFonts w:ascii="Amiri" w:hAnsi="Amiri" w:eastAsia="Amiri" w:cs="Amiri"/>
          <w:color w:val="111111"/>
          <w:sz w:val="28"/>
          <w:sz w:val="28"/>
          <w:szCs w:val="28"/>
          <w:rtl w:val="true"/>
          <w:lang w:bidi="ar-SA"/>
        </w:rPr>
        <w:t xml:space="preserve">معه وأتى بالجبن فأكل وأكلنا ، فلمّا فرغنا عن الغداء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الجبنّ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ترني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ولكنّي أحبّ أن أسمعه منك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أخبرك </w:t>
      </w:r>
      <w:r>
        <w:rPr>
          <w:rStyle w:val="FootnoteAnchor"/>
          <w:rtl w:val="true"/>
        </w:rPr>
        <w:footnoteReference w:id="2214"/>
      </w:r>
      <w:r>
        <w:rPr>
          <w:rFonts w:ascii="Amiri" w:hAnsi="Amiri" w:eastAsia="Amiri" w:cs="Amiri"/>
          <w:color w:val="111111"/>
          <w:sz w:val="28"/>
          <w:sz w:val="28"/>
          <w:szCs w:val="28"/>
          <w:rtl w:val="true"/>
          <w:lang w:bidi="ar-SA"/>
        </w:rPr>
        <w:t xml:space="preserve">عن الجبنّ وغيره ، كلّ ما فيه حلال وحرام فهو لك حلال </w:t>
      </w:r>
    </w:p>
    <w:p>
      <w:pPr>
        <w:pStyle w:val="BookText"/>
        <w:rPr/>
      </w:pPr>
      <w:r>
        <w:rPr>
          <w:rFonts w:ascii="Amiri" w:hAnsi="Amiri" w:eastAsia="Amiri" w:cs="Amiri"/>
          <w:color w:val="111111"/>
          <w:sz w:val="28"/>
          <w:sz w:val="28"/>
          <w:szCs w:val="28"/>
          <w:rtl w:val="true"/>
          <w:lang w:bidi="ar-SA"/>
        </w:rPr>
        <w:t xml:space="preserve">حتّى تعرف منه بعينه فتدعه </w:t>
      </w:r>
      <w:r>
        <w:rPr>
          <w:rFonts w:eastAsia="Amiri" w:cs="Amiri" w:ascii="Amiri" w:hAnsi="Amiri"/>
          <w:color w:val="111111"/>
          <w:sz w:val="28"/>
          <w:szCs w:val="28"/>
          <w:rtl w:val="true"/>
          <w:lang w:bidi="ar-SA"/>
        </w:rPr>
        <w:t xml:space="preserve">» </w:t>
      </w:r>
      <w:r>
        <w:rPr>
          <w:rStyle w:val="FootnoteAnchor"/>
          <w:rtl w:val="true"/>
        </w:rPr>
        <w:footnoteReference w:id="221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بناء العقلاء على عدم الفحص أيضا </w:t>
      </w:r>
      <w:r>
        <w:rPr>
          <w:rStyle w:val="FootnoteAnchor"/>
          <w:rtl w:val="true"/>
        </w:rPr>
        <w:footnoteReference w:id="2216"/>
      </w:r>
      <w:r>
        <w:rPr>
          <w:rFonts w:ascii="Amiri" w:hAnsi="Amiri" w:eastAsia="Amiri" w:cs="Amiri"/>
          <w:color w:val="111111"/>
          <w:sz w:val="28"/>
          <w:sz w:val="28"/>
          <w:szCs w:val="28"/>
          <w:rtl w:val="true"/>
          <w:lang w:bidi="ar-SA"/>
        </w:rPr>
        <w:t xml:space="preserve">، كذا أفاد إلاّ أنّه ربّما ينافي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بناءهم على الاحتياط في أمور معاشهم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والفروع المترتّبة على عدم وجوب الفحص في الموضوعات عند إعمال الأصول ممّا لا يحصى كالبناء من المرأة على عدم الحيض قبل الفحص ، والبناء على عدم الاستطاعة فيما لو شكّ في وجود مال به يستطيع ، وكالبناء على جواز الأكل قبل الفحص في ليالي رمضان ، وكالبناء على الطهارة فيما لو شكّ في حمرة أنّها الدم أو البقّم </w:t>
      </w:r>
      <w:r>
        <w:rPr>
          <w:rStyle w:val="FootnoteAnchor"/>
          <w:rtl w:val="true"/>
        </w:rPr>
        <w:footnoteReference w:id="2217"/>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لبعض الأصحاب في بعض موارد الشبهة الوجوبية كلام يشعر بحكمه بوجوب الفحص في تلك الموارد دون الشبهة التحريمية مثل ما حكم به بعضهم </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الفحص عن الهلال وعدم الحكم لعدم دخول الشهر الآتي ، ومثل ما حكم جملة منهم </w:t>
      </w:r>
      <w:r>
        <w:rPr>
          <w:rStyle w:val="FootnoteAnchor"/>
          <w:rtl w:val="true"/>
        </w:rPr>
        <w:footnoteReference w:id="2219"/>
      </w:r>
      <w:r>
        <w:rPr>
          <w:rFonts w:ascii="Amiri" w:hAnsi="Amiri" w:eastAsia="Amiri" w:cs="Amiri"/>
          <w:color w:val="111111"/>
          <w:sz w:val="28"/>
          <w:sz w:val="28"/>
          <w:szCs w:val="28"/>
          <w:rtl w:val="true"/>
          <w:lang w:bidi="ar-SA"/>
        </w:rPr>
        <w:t xml:space="preserve">بلزوم الفحص عن قدر المال فيما لو شكّ في حصول الاستطاعة بالقدر الموجود دون ما </w:t>
      </w:r>
    </w:p>
    <w:p>
      <w:pPr>
        <w:pStyle w:val="BookText"/>
        <w:rPr/>
      </w:pPr>
      <w:r>
        <w:rPr>
          <w:rFonts w:ascii="Amiri" w:hAnsi="Amiri" w:eastAsia="Amiri" w:cs="Amiri"/>
          <w:color w:val="111111"/>
          <w:sz w:val="28"/>
          <w:sz w:val="28"/>
          <w:szCs w:val="28"/>
          <w:rtl w:val="true"/>
          <w:lang w:bidi="ar-SA"/>
        </w:rPr>
        <w:t>إذا شكّ في أصل وجود المال ، فإنّ البناء فيه على العدم كما عرفت ، فلا بدّ من توجيه لهذه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الخطاب الوارد من الشارع قد يكون معلّقا على أفراد غير محصورين كما إذا أوجب علينا إكرام العلماء وقد يكون معلّقا على أفراد محصورين ، كما إذا أوجب علينا إكرام علماء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فقد عرفت أنّ المشكوك كونه من العلماء ملحق في الحكم بعدم الوجوب بغير العلماء ؛ لما عرفت من أنّ الحكم بالوجوب ليس بأولى من الحكم بالوجوب </w:t>
      </w:r>
      <w:r>
        <w:rPr>
          <w:rStyle w:val="FootnoteAnchor"/>
          <w:rtl w:val="true"/>
        </w:rPr>
        <w:footnoteReference w:id="2220"/>
      </w:r>
      <w:r>
        <w:rPr>
          <w:rFonts w:ascii="Amiri" w:hAnsi="Amiri" w:eastAsia="Amiri" w:cs="Amiri"/>
          <w:color w:val="111111"/>
          <w:sz w:val="28"/>
          <w:sz w:val="28"/>
          <w:szCs w:val="28"/>
          <w:rtl w:val="true"/>
          <w:lang w:bidi="ar-SA"/>
        </w:rPr>
        <w:t>، لاستواء المشكوك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 فقد يمكن دعوى القول بأنّ العقلاء في أمثال هذه الخطابات ليس بناؤهم على الأخذ بالبراءة بل إنّما يأخذون بها بعد الفحص ، ولعلّه إليه ينظر كلام صاحب المعالم عند دعوى عدم جواز العمل بخبر المجهول من أنّ وجوب التثبّت في الآية متعلّق بوصف الفسق ، ويحتمل كون هذا الرجل فاسقا في الواقع ، ومقتضى ذلك وجوب الفحص عن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كلّ بالغ رشيد من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يقتضي السؤال والفحص عمّن جمع هذين الوصفين لا الاقتصار على من سبق العلم باجتماعهما فيه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يدور مدار الاهتمام بوقوع المأمور به وعدمه ، والمرجع فيهما </w:t>
      </w:r>
      <w:r>
        <w:rPr>
          <w:rStyle w:val="FootnoteAnchor"/>
          <w:rtl w:val="true"/>
        </w:rPr>
        <w:footnoteReference w:id="2222"/>
      </w:r>
      <w:r>
        <w:rPr>
          <w:rFonts w:ascii="Amiri" w:hAnsi="Amiri" w:eastAsia="Amiri" w:cs="Amiri"/>
          <w:color w:val="111111"/>
          <w:sz w:val="28"/>
          <w:sz w:val="28"/>
          <w:szCs w:val="28"/>
          <w:rtl w:val="true"/>
          <w:lang w:bidi="ar-SA"/>
        </w:rPr>
        <w:t xml:space="preserve">عرض الخطاب على العرف ، فإن حكموا بمجرّد الخطاب على الفحص ، فهو ، وإلاّ فالإجماع على عدم وجوب الفحص في محلّه ، ثمّ </w:t>
      </w:r>
      <w:r>
        <w:rPr>
          <w:rStyle w:val="FootnoteAnchor"/>
          <w:rtl w:val="true"/>
        </w:rPr>
        <w:footnoteReference w:id="2223"/>
      </w:r>
      <w:r>
        <w:rPr>
          <w:rFonts w:ascii="Amiri" w:hAnsi="Amiri" w:eastAsia="Amiri" w:cs="Amiri"/>
          <w:color w:val="111111"/>
          <w:sz w:val="28"/>
          <w:sz w:val="28"/>
          <w:szCs w:val="28"/>
          <w:rtl w:val="true"/>
          <w:lang w:bidi="ar-SA"/>
        </w:rPr>
        <w:t>إن طابق ما ذكرنا للموارد المفتى بها بلزوم الفحص ، فهو ، وإلاّ فالمفتي بذلك مطالب بالدليل</w:t>
      </w:r>
      <w:r>
        <w:rPr>
          <w:rFonts w:eastAsia="Amiri" w:cs="Amiri" w:ascii="Amiri" w:hAnsi="Amiri"/>
          <w:color w:val="111111"/>
          <w:sz w:val="28"/>
          <w:szCs w:val="28"/>
          <w:rtl w:val="true"/>
          <w:lang w:bidi="ar-SA"/>
        </w:rPr>
        <w:t xml:space="preserve">. </w:t>
      </w:r>
      <w:bookmarkStart w:id="286" w:name="pg16273_211964"/>
    </w:p>
    <w:p>
      <w:pPr>
        <w:pStyle w:val="Heading4"/>
        <w:numPr>
          <w:ilvl w:val="3"/>
          <w:numId w:val="1"/>
        </w:numPr>
        <w:rPr/>
      </w:pPr>
      <w:bookmarkStart w:id="287" w:name="__RefHeading___Toc4803656_1280447820"/>
      <w:bookmarkStart w:id="288" w:name="_Toc100"/>
      <w:bookmarkEnd w:id="286"/>
      <w:bookmarkEnd w:id="287"/>
      <w:r>
        <w:rPr>
          <w:rtl w:val="true"/>
        </w:rPr>
        <w:t>المقام الثاني</w:t>
      </w:r>
      <w:bookmarkEnd w:id="288"/>
    </w:p>
    <w:p>
      <w:pPr>
        <w:pStyle w:val="Heading5"/>
        <w:numPr>
          <w:ilvl w:val="4"/>
          <w:numId w:val="1"/>
        </w:numPr>
        <w:rPr/>
      </w:pPr>
      <w:bookmarkStart w:id="289" w:name="__RefHeading___Toc4803658_1280447820"/>
      <w:bookmarkStart w:id="290" w:name="_Toc101"/>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المقام الثاني </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في بيان الحكم الوضعي عند عدم الفحص والأخذ بالبراءة ، وتحقيق الكلام في ضمن مطلبين </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803660_1280447820"/>
      <w:bookmarkStart w:id="292" w:name="_Toc102"/>
      <w:bookmarkEnd w:id="291"/>
      <w:r>
        <w:rPr>
          <w:rtl w:val="true"/>
        </w:rPr>
        <w:t>المطلب الأوّل</w:t>
      </w:r>
      <w:bookmarkEnd w:id="292"/>
    </w:p>
    <w:p>
      <w:pPr>
        <w:pStyle w:val="BookText"/>
        <w:rPr/>
      </w:pPr>
      <w:r>
        <w:rPr>
          <w:rFonts w:ascii="Amiri" w:hAnsi="Amiri" w:eastAsia="Amiri" w:cs="Amiri"/>
          <w:color w:val="111111"/>
          <w:sz w:val="28"/>
          <w:sz w:val="28"/>
          <w:szCs w:val="28"/>
          <w:rtl w:val="true"/>
          <w:lang w:bidi="ar-SA"/>
        </w:rPr>
        <w:t>في المعاملات المعمولة فيها أصالة العدم قبل الفحص كما إذا شكّ في اشتراط شيء في العقد ، فأخذ بعدمه نظرا إلى أصالة العدم ، واعلم أنّ المراد بالمعاملات في المقام ما لا يجب في تحقّقه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مدار الأحكام الوضعية في المعاملات عند الأخذ بالأصول المعمولة فيها هو الواقع ، ولا يؤثّر الفحص فيها صحّة ولا فسادا ، فلو فرضنا أنّ أحدا قد اتّكل على نقل شيء بالمعاطاة تعويلا على أصالة عدم لزوم العقد في النقل والانتقال ، فلو كان الواقع على عدم الاعتبار ، فالنقل حاصل ، وإلاّ فلا أثر للفحص عن الاعتبار وعدمه فيما هو ثابت في الواقع ، ولا فرق في ذلك بين أن يكون حين صدور الفعل المعاملي منه شاكّا في التأثير ، أو ظانّا ، أو قاطعا بالفساد ما لم يضرّ ذلك في تحقّق إنشاء النقل والانتقال منه إذا كان الفعل المعاملي من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من ملاحظة حال اللاعب بالشطرنج والنرد فإنّه مع علمه بالفساد شرعا قاصد للنقل ، وذلك ظاهر في الطهارة والنجاسة ، ولم نر في ذلك مخالفا إلاّ بعض المتأخّرين</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هو الأخذ بعمومات أدلّة الأحكام الواقعية فإنّ ما دلّ على سببية البيع للنقل غير مقيّد بكون ذلك بعد الفحص ، فالمعاملات التي تقع بلا اجتهاد وتقليد صحّتها وفسادها وترتيب الآثار المطلوبة </w:t>
      </w:r>
      <w:r>
        <w:rPr>
          <w:rStyle w:val="FootnoteAnchor"/>
          <w:rtl w:val="true"/>
        </w:rPr>
        <w:footnoteReference w:id="2225"/>
      </w:r>
      <w:r>
        <w:rPr>
          <w:rFonts w:ascii="Amiri" w:hAnsi="Amiri" w:eastAsia="Amiri" w:cs="Amiri"/>
          <w:color w:val="111111"/>
          <w:sz w:val="28"/>
          <w:sz w:val="28"/>
          <w:szCs w:val="28"/>
          <w:rtl w:val="true"/>
          <w:lang w:bidi="ar-SA"/>
        </w:rPr>
        <w:t xml:space="preserve">منها من نقل ملك ، أو منفعة ، أو رفع </w:t>
      </w:r>
      <w:bookmarkStart w:id="293" w:name="pg16273_211965"/>
    </w:p>
    <w:p>
      <w:pPr>
        <w:pStyle w:val="BookText"/>
        <w:rPr/>
      </w:pPr>
      <w:bookmarkEnd w:id="293"/>
      <w:r>
        <w:rPr>
          <w:rFonts w:ascii="Amiri" w:hAnsi="Amiri" w:eastAsia="Amiri" w:cs="Amiri"/>
          <w:color w:val="111111"/>
          <w:sz w:val="28"/>
          <w:sz w:val="28"/>
          <w:szCs w:val="28"/>
          <w:rtl w:val="true"/>
          <w:lang w:bidi="ar-SA"/>
        </w:rPr>
        <w:t xml:space="preserve">خصومة معوّضا ، أو بلا عوض وجواز الدخول معه في الصلاة وعدمه تابع لحصول حقائقها الواقعية التي تترتّب عليها تلك الآثار الواقعية وعدم حصولها ، وذلك ظاهر جدّا ؛ فإنّ تأثير الأسباب الواقعية في مسبّباتها لا يتوقّف على العلم والجهل ، بل وكيف يعقل انقلاب وصف الشيء الذي وقع عليه إلى ما يضادّه؟ ولا وجه للقول بخلاف ذلك عدا </w:t>
      </w:r>
      <w:r>
        <w:rPr>
          <w:rStyle w:val="FootnoteAnchor"/>
          <w:rtl w:val="true"/>
        </w:rPr>
        <w:footnoteReference w:id="2226"/>
      </w:r>
      <w:r>
        <w:rPr>
          <w:rFonts w:ascii="Amiri" w:hAnsi="Amiri" w:eastAsia="Amiri" w:cs="Amiri"/>
          <w:color w:val="111111"/>
          <w:sz w:val="28"/>
          <w:sz w:val="28"/>
          <w:szCs w:val="28"/>
          <w:rtl w:val="true"/>
          <w:lang w:bidi="ar-SA"/>
        </w:rPr>
        <w:t xml:space="preserve">ما أورده بعض أفاضل متأخّري المتأخّرين في مناهجه </w:t>
      </w:r>
      <w:r>
        <w:rPr>
          <w:rStyle w:val="FootnoteAnchor"/>
          <w:rtl w:val="true"/>
        </w:rPr>
        <w:footnoteReference w:id="2227"/>
      </w:r>
      <w:r>
        <w:rPr>
          <w:rFonts w:ascii="IRNazanin" w:hAnsi="IRNazanin" w:eastAsia="IRNazanin"/>
          <w:color w:val="111111"/>
          <w:sz w:val="28"/>
          <w:sz w:val="28"/>
          <w:szCs w:val="28"/>
          <w:rtl w:val="true"/>
          <w:lang w:bidi="fa-IR"/>
        </w:rPr>
        <w:t>، وهو ممّا لا وجه له ، فلاحظه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ذكرنا إنّما هو في صحّة المعاملة فيما لو وقعت بلا اجتهاد وتقليد ، و </w:t>
      </w:r>
      <w:r>
        <w:rPr>
          <w:rStyle w:val="FootnoteAnchor"/>
          <w:rtl w:val="true"/>
        </w:rPr>
        <w:footnoteReference w:id="2228"/>
      </w:r>
      <w:r>
        <w:rPr>
          <w:rFonts w:ascii="Amiri" w:hAnsi="Amiri" w:eastAsia="Amiri" w:cs="Amiri"/>
          <w:color w:val="111111"/>
          <w:sz w:val="28"/>
          <w:sz w:val="28"/>
          <w:szCs w:val="28"/>
          <w:rtl w:val="true"/>
          <w:lang w:bidi="ar-SA"/>
        </w:rPr>
        <w:t>أمّا لو وقعت على اجتهاد ، أو تقليد ، ثمّ انكشف خلاف ما ظنّه المجتهد ، فهل يحكم فيه بالصحّة ، أو بالفساد ، أو يفصّل بالنسبة إلى الآثار السابقة واللاحقة ، أو غير ذلك؟</w:t>
      </w:r>
    </w:p>
    <w:p>
      <w:pPr>
        <w:pStyle w:val="BookText"/>
        <w:rPr/>
      </w:pPr>
      <w:r>
        <w:rPr>
          <w:rFonts w:ascii="Amiri" w:hAnsi="Amiri" w:eastAsia="Amiri" w:cs="Amiri"/>
          <w:color w:val="111111"/>
          <w:sz w:val="28"/>
          <w:sz w:val="28"/>
          <w:szCs w:val="28"/>
          <w:rtl w:val="true"/>
          <w:lang w:bidi="ar-SA"/>
        </w:rPr>
        <w:t>وجوه وأقوال ستطّلع عليها ، وعلى تحقيق القول فيها في مسائل الاجتهاد والتقليد ، وليس المقام محلّه ، فانتظره إن شاء اللّه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4803662_1280447820"/>
      <w:bookmarkStart w:id="295" w:name="_Toc103"/>
      <w:bookmarkEnd w:id="294"/>
      <w:r>
        <w:rPr>
          <w:rtl w:val="true"/>
        </w:rPr>
        <w:t>المطلب الثاني</w:t>
      </w:r>
      <w:bookmarkEnd w:id="295"/>
    </w:p>
    <w:p>
      <w:pPr>
        <w:pStyle w:val="BookText"/>
        <w:rPr/>
      </w:pPr>
      <w:r>
        <w:rPr>
          <w:rFonts w:ascii="Amiri" w:hAnsi="Amiri" w:eastAsia="Amiri" w:cs="Amiri"/>
          <w:color w:val="111111"/>
          <w:sz w:val="28"/>
          <w:sz w:val="28"/>
          <w:szCs w:val="28"/>
          <w:rtl w:val="true"/>
          <w:lang w:bidi="ar-SA"/>
        </w:rPr>
        <w:t>في العبادات التي يتمسّك فيها بأصالة البراءة ، والمراد منها ما يقابل المعاملات ممّا يحتاج في تحقّقه إلى قصد القربة ، والكلام فيه تارة يقع في صحّة العبادة المعمولة فيها أصالة البراءة من غير فحص من اجتهاد ، أو تقليد ، وأخرى في أنّ العمل المعمول فيه بتلك الأصالة بعد ما انكشف الخلاف ، هل هو صحيح ، أو فاسد؟ والمتكفّل لبيان الثاني هو مسائل الاجتهاد والتقليد</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المقام الأوّل ، فقد يتراءى في بادئ الأنظار فساد تلك العبادات نظرا إلى امتناع تحقّق قصد القربة من الشاكّ في نفس العمل بل والظانّ أيضا فيما لم يكن ظنّه معلوم الاعتبار ، فإنّ الظنّ المشكوك الاعتبار مرجعه إلى الشكّ في العمل الواقع على </w:t>
      </w:r>
    </w:p>
    <w:p>
      <w:pPr>
        <w:pStyle w:val="BookText"/>
        <w:rPr/>
      </w:pPr>
      <w:r>
        <w:rPr>
          <w:rFonts w:ascii="Amiri" w:hAnsi="Amiri" w:eastAsia="Amiri" w:cs="Amiri"/>
          <w:color w:val="111111"/>
          <w:sz w:val="28"/>
          <w:sz w:val="28"/>
          <w:szCs w:val="28"/>
          <w:rtl w:val="true"/>
          <w:lang w:bidi="ar-SA"/>
        </w:rPr>
        <w:t xml:space="preserve">حسب ذلك الظنّ ، ولكن لنا أن نقول بصحّة تلك العبادات وإن كان تارك التقليد والاجتهاد والاحتياط معاقبا نظرا إلى تركه الطرق الظاهرية التي يجب الأخذ بها على القول بذلك ، فتصحّ العبادة المطابقة للواقع سواء كانت بطريق الاجتهاد ، أو التقليد المعتبر ، أو الاحتياط ، أو تقليد الآباء والأمّهات أو بغير </w:t>
      </w:r>
      <w:r>
        <w:rPr>
          <w:rStyle w:val="FootnoteAnchor"/>
          <w:rtl w:val="true"/>
        </w:rPr>
        <w:footnoteReference w:id="2229"/>
      </w:r>
      <w:r>
        <w:rPr>
          <w:rFonts w:ascii="Amiri" w:hAnsi="Amiri" w:eastAsia="Amiri" w:cs="Amiri"/>
          <w:color w:val="111111"/>
          <w:sz w:val="28"/>
          <w:sz w:val="28"/>
          <w:szCs w:val="28"/>
          <w:rtl w:val="true"/>
          <w:lang w:bidi="ar-SA"/>
        </w:rPr>
        <w:t xml:space="preserve">ذلك ، وتبطل العبادة الغير المطابقة للواقع إلاّ أنّ للإجزاء بالفاسدة وعدم الإجزاء بها مقاما آخر ، فالمدار على الواقع صحّة وفسادا ، فلو ترك السورة في الصلاة ثمّ اجتهد ، فاعتقد وجوبها ، فلا بدّ من القضاء في خارج الوقت ، والإعادة فيه ، ولو يرى </w:t>
      </w:r>
      <w:r>
        <w:rPr>
          <w:rStyle w:val="FootnoteAnchor"/>
          <w:rtl w:val="true"/>
        </w:rPr>
        <w:footnoteReference w:id="2230"/>
      </w:r>
      <w:r>
        <w:rPr>
          <w:rFonts w:ascii="Amiri" w:hAnsi="Amiri" w:eastAsia="Amiri" w:cs="Amiri"/>
          <w:color w:val="111111"/>
          <w:sz w:val="28"/>
          <w:sz w:val="28"/>
          <w:szCs w:val="28"/>
          <w:rtl w:val="true"/>
          <w:lang w:bidi="ar-SA"/>
        </w:rPr>
        <w:t>عدم وجوبها ليس عليه شيء من القضاء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قصد القربة ، فمجرّد الشكّ في الواقع في اعتبار شيء في الصلاة مثلا لا ينافي تحقّقه ؛ إذ ليس الفاعل ملتفتا إلى ذلك بل إنّما يأخذ بأصالة البراءة وعدم الوجوب من غير رويّة ونظر تقليدا لما سلف من آبائه ، وتبعا لما وجّه من طريقة كبرائه بل ولو شئنا قلنا بذلك في المقصّر أيضا حين صدور الفعل منه فيما لو كان غافلا عن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فيما لم يتحقّق الفعل بدون العلم ، فذلك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جريان هذا الكلام فيما إذا كان الشكّ في صحّة العمل وفساده بعد وقوعه كما إذا شكّ في الشرطية والجزئية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واجب نفسي على وجه لا يؤتى بنفس العمل على تقدير البراءة فيه كالشكّ في وجوب قراءة الدعاء عند رؤية الهلال ، فلا يجري فيه الكلام المذكور ؛ لعدم تعقّل الصحّة والفساد في العمل الذي لم يقع في الخارج كما هو ظاهر لا سترة عليه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فالمدار في ترتّب الآثار على الأفعال والأعمال الواقعة عن آحاد </w:t>
      </w:r>
    </w:p>
    <w:p>
      <w:pPr>
        <w:pStyle w:val="BookText"/>
        <w:rPr/>
      </w:pPr>
      <w:r>
        <w:rPr>
          <w:rFonts w:ascii="Amiri" w:hAnsi="Amiri" w:eastAsia="Amiri" w:cs="Amiri"/>
          <w:color w:val="111111"/>
          <w:sz w:val="28"/>
          <w:sz w:val="28"/>
          <w:szCs w:val="28"/>
          <w:rtl w:val="true"/>
          <w:lang w:bidi="ar-SA"/>
        </w:rPr>
        <w:t xml:space="preserve">المكلّفين في مواردها ومواقعها وعدمه على وقوعها تامّة الأجزاء والشرائط على ما هي </w:t>
      </w:r>
      <w:r>
        <w:rPr>
          <w:rStyle w:val="FootnoteAnchor"/>
          <w:rtl w:val="true"/>
        </w:rPr>
        <w:footnoteReference w:id="2231"/>
      </w:r>
      <w:r>
        <w:rPr>
          <w:rFonts w:ascii="Amiri" w:hAnsi="Amiri" w:eastAsia="Amiri" w:cs="Amiri"/>
          <w:color w:val="111111"/>
          <w:sz w:val="28"/>
          <w:sz w:val="28"/>
          <w:szCs w:val="28"/>
          <w:rtl w:val="true"/>
          <w:lang w:bidi="ar-SA"/>
        </w:rPr>
        <w:t>عليها في نفس الأمر ، ولا مدخل للفحص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يستثنى من ذلك في المعاملات إن كان الجهل وعدم الفحص مؤدّيا إلى عدم تعقّل وقوع تلك الأسباب الواقعية ، وفي العبادات ما لو أخلّ الجهل بقصد القربة وإتيان العمل بداعي الأمر وإيقاعه بعنوان الامتثال ؛ فإنّ مطابقة العمل للواقع لا يجدي في تحقّق عنوان الامتثال ، ولذلك قد حكمنا بصحّة عمل المحتاط لإحراز الواقع مع المطابقة لعنوان الامتثال أيضا ، فلو فرض تحقّق قصد القربة من العامل بالبراءة عند الشكّ مع المطابقة ، فلا مجال لإنكار صحّة العبادة بل لو استفتى من يرى عدم وجوب المشكوك من المجتهدين عن صحّة أعماله السابقة التي وقعت منه من دون اشتمالها على المشكوك اعتمادا منه في تركه على البراءة لا بدّ للمجتهد أن يفتيه بصحّة أعماله السابقة الغير المشتملة على المشكوك</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ذلك المفتي ممّن لا يرى صحّة عبادة تارك الطريقين وإن طابقت الأعمال الواقع ، فهو يفتيه بفسادها ، وقد عرفت أنّ الكلام معه في مبنى هذه</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6273_211969"/>
      <w:bookmarkStart w:id="297" w:name="pg16273_211969"/>
      <w:bookmarkEnd w:id="297"/>
    </w:p>
    <w:p>
      <w:pPr>
        <w:pStyle w:val="Heading2"/>
        <w:numPr>
          <w:ilvl w:val="1"/>
          <w:numId w:val="1"/>
        </w:numPr>
        <w:rPr/>
      </w:pPr>
      <w:bookmarkStart w:id="298" w:name="pg16273_211969"/>
      <w:bookmarkStart w:id="299" w:name="__RefHeading___Toc4803664_1280447820"/>
      <w:bookmarkStart w:id="300" w:name="_Toc104"/>
      <w:bookmarkEnd w:id="298"/>
      <w:bookmarkEnd w:id="299"/>
      <w:r>
        <w:rPr>
          <w:rtl w:val="true"/>
        </w:rPr>
        <w:t>فهرس المطالب</w:t>
      </w:r>
      <w:bookmarkEnd w:id="300"/>
    </w:p>
    <w:p>
      <w:pPr>
        <w:pStyle w:val="BookText"/>
        <w:rPr/>
      </w:pPr>
      <w:r>
        <w:rPr>
          <w:rFonts w:ascii="Amiri" w:hAnsi="Amiri" w:eastAsia="Amiri" w:cs="Amiri"/>
          <w:color w:val="111111"/>
          <w:sz w:val="28"/>
          <w:sz w:val="28"/>
          <w:szCs w:val="28"/>
          <w:rtl w:val="true"/>
          <w:lang w:bidi="ar-SA"/>
        </w:rPr>
        <w:t xml:space="preserve">تمهيد مقدّمة في تقسيم المكلّف الملتفت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الأوّل في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الثاني في القطع الحاصل من المقدّمات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الثالث في قطع القطّاع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الرابع في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الظنّ وفيه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 جواز التعبّد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المقام الثاني في وقوع التعبّد به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حجيّة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Amiri" w:hAnsi="Amiri" w:eastAsia="Amiri" w:cs="Amiri"/>
          <w:color w:val="111111"/>
          <w:sz w:val="28"/>
          <w:sz w:val="28"/>
          <w:szCs w:val="28"/>
          <w:rtl w:val="true"/>
          <w:lang w:bidi="ar-SA"/>
        </w:rPr>
        <w:t xml:space="preserve">الأولى في دفع توهّم عدم الثمرة في النزاع في حجيّة الظواهر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الثانية في عدم وقوع التحريف في القرآن وعلى فرضه لا يمنع من التمسّك بظواهره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في دفع توهّم أنّ القول بحجّية الظواهر القرآنية يلازم القول بعدم حجّيتها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فيما إذا اختلفت القراءات على وجه يختلف باختلافها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حجّية ظواهر الكتاب لغير المشافهين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القول في الإجماع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الأوّل في أنّه بناء على هذا المسلك لا فرق بين نقل الإجماع والشهرة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الثاني في التواتر المنقول بخبر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الثالث في جريان أحكام الخبر على الإجماع المنقول بناء على حجّيته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الرابع في أنّ الظاهر من القدماء لم يصطلحوا في الإجماع اصطلاحا جديدا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القول في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القول في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ذكر القائلين بعدم الحجّية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حجّة المانعين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الأوّل الاستدلال بالأخبار والآيات الناهيتين عن العمل بالظنّ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الثاني الإجماع المحكي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الثالث أصناف من الروايات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قد يستدلّ على المنع بآية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حجّة المجوّزين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الثالث من وجوه تقرير الإجماع طريقة العقلاء على العمل بخبر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الرابع من وجوه تقرير الإجماع هو إطباق أصحاب الأئمّة عليهم‌السلام على العمل بخبر الواحد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كلام الشيخ في الأدلّة المذكورة كتابا وسنّة وإجماعا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الكلام في 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الاستدلال بالعقل وفيه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 بيان الأدلّة التي تدلّ على حجيّة أخبار الآحاد بالخصوص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بصدور جملة كثيرة من الأخبار عن الأئمّة عليهم‌السلام وشدّة اهتمام الأصحاب بتنقيح الأخبار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إليها الفاضل التوني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هداية المسترشدين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المقام الثاني في بيان الوجوه التي تعمّ الخبر من الأدلّة الأربعة وهي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وجوب دفع الضرر المظنون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المناقشة فيه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ما أورده الحاجبي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الوجه الثاني ما ذكره صاحب الفصول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الوجه الثالث ما أفاده المحقّق في المعارج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عدم ترتّب النتيجة المطلوبة من اعتبار كلّ ظنّ ومطلق المظنّة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الثاني من الوجوه العقلية على التعميم قبح ترجيح المرجوح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جواب صاحب هداية المسترشدين عنه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التحقيق في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الثالث من الوجوه العقلية على التعميم ما ذكره صاحب الرياض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 الوجوه العقلية دليل الانسداد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مقدّمات دليل الانسداد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المقدّمة الأولى انسداد باب العلم بالمعنى الأعم في معظم الأحكام الشرعية 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المقدّمة الثانية أنّه تعالى لم يتركنا سدى وليس حالنا حال البهائم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المقدّمة الثالثة أنّ المرجع بعد الانسداد في معظم الأحكام ليس البراءة والدليل عليها وجوه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الأوّل الإجماع القطعي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الثاني لزوم المخالفة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الثالث لا دليل على اعتبار الأصل فيما لو خالف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المقدّمة الرابعة أنّ المرجع بعد الانسداد ليس الاحتياط ، والدليل عليها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الأوّل الإجماع القطعي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الثاني لزوم العسر والحرج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الثالث عدم لزوم تحصيل الموافقة القطعية بل يكفي عدم لزوم المخالفة القطعية وهو يحصل بالعمل بسلسلة المظنونات ، فلا وجه للاحتياط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الرابع قد لا يمكن الاحتياط كما إذا دار الأمر بين المتباينين سيّما في 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الخامس أنّ الاحتياط قد يؤدّي إلى ترك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بطلان المقدّمة الخامسة بأنّ المرجع بعد انسداد باب العلم ليس إلى الأصول الجزئية في الموارد الجزئية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أنّ نتيجة دليل الانسداد اعتبار الظنّ في نفس الأحكام الشرعية وفي الطرق إليها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ذكر ادلّة القائلين بأنّ النتيجة اعتبار الظنّ في الطرق إلى الأحكام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كلام صاحب 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ذكر كلام صاحب هداية المسترشدين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وجهان آخران أيضا لصاحب هداية المسترشدين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الوجه الأوّل منهما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الوجه الثاني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ذكر كلام المشهور القائلين باعتبار الظنّ في الفروع فقط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التنبيه الثاني هل نتيجة دليل الانسداد عامّة كلّية أو مطلقة مهملة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تقرير دليل الانسداد على وجه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كلّية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تقرير دليل الانسداد على وجه الكشف فالنتيجة مهملة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التحقيق في تقرير دليل الانسداد هو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أمور تدلّ على التعميم على الكشف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قاعدة بطلان الترجيح بلا مرجّح والمناقشة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كلام المحقّق النراقي في تقديم مظنون الاعتبار بين سلسلة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مسلك آخر في بيان عدم حجيّة مطلق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الثاني من المعمّمات الإجماع المركّب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الثالث منها قاعدة الاشتغال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منها قاعدة عدم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المناقشة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وجه آخر لبعض المتأخّرين في بيان عدم الكفاية والتعميم به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تمسّك بعض من لا دربة له في التعميم ببناء العقلاء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والذي ينبغي أن يقال في وجه التعميم على تقدير الإهمال في النتيجة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بناء على الحكومة هل العقل ابتداء يحكم بحجيّة الظنّ من غير ملاحظة مقدّمة أخرى أو يحتاج في الحكم بالتعميم إلى ملاحظة مقدّمة أخرى لبطلان الترجيح بلا مرجّح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الحقّ هو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التنبيه الثالث أنّ قضية الدليل على تقدير التعميم عدم الفرق بين خصوصيات الظن من جهة الأسباب مع أنّ هناك أمورا لا يجوز الاستناد إليها كالقياس وأضرابه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تمهيد مقدمة في عدم جواز تخصيص الدليل الحقيقي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الكلام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في كيفية خروج القياس وأضرابه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لا إشكال في خروج القياس على تقدير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توجّه الإشكال على تقدير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وجوه لدفع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ما أفاده المحقّق القمي من منع حصول الظنّ من القياس وأشباهه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الثاني ما التزم به المحقّق القمّي أيضا من جواز العمل بالقياس حال الانسداد فيما إذا أفاد الظنّ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ما استند إليه المحقّق القمّي أيضا من أنّ باب العلم في مورد القياس ليس </w:t>
      </w:r>
    </w:p>
    <w:p>
      <w:pPr>
        <w:pStyle w:val="BookText"/>
        <w:rPr/>
      </w:pPr>
      <w:r>
        <w:rPr>
          <w:rFonts w:ascii="Amiri" w:hAnsi="Amiri" w:eastAsia="Amiri" w:cs="Amiri"/>
          <w:color w:val="111111"/>
          <w:sz w:val="28"/>
          <w:sz w:val="28"/>
          <w:szCs w:val="28"/>
          <w:rtl w:val="true"/>
          <w:lang w:bidi="ar-SA"/>
        </w:rPr>
        <w:t xml:space="preserve">بمنسد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الرابع ما تكلّفه المحقّق القمي أيضا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الخامس ما أفاده صاحب هداية المسترشدين من أنّ حكم العقل بحجّية الظنّ ليس حكما أوّليّا واقعيا بل هو حكم ظاهري ثانوي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السادس ما أفاد أستاذنا المرتضى دام علاه من أنّ حكم العقل بوجوب الأخذ بالظنّ من حيث إنّ الظنّ أقرب إلى الواقع ، وأنّ مناط حكم العقل ليس موجودا في الظنون القياسية وأشباهها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مناقشة الشيخ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السابع ما أفاده الأستاد أيضا من أنّ حكم العقل بحجّية الظن إنّما هو بواسطة نيل المكلّف بالمصالح الكامنة وأنّ ذلك إنّما هو فيما لم يكن في سلوك سبيل الظن مفسدة فائقة على مصلحة الواقع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الجهة الثانية في تشخيص الخارج من الظنّين عند تدافعهما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التنبيه الرابع من أنّ الظنّ في الموضوعات حجّة بعد القول بحجيّة مطلق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التنبيه الخامس في عدم حجّية الظنّ في الموضوعات التي لا دخل للأحكام الشرعية فيها مطلقا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أمور خاصّة يجوز الرجوع فيها إلى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الأوّل أنّ الظنّ فيها يستلزم الظنّ في الحكم الكلّي الفرعي كالظنون الرجالية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الثاني في الموارد التي لو لم يعمل فيها بالظنّ يلزم إبطال الحقوق وتعطيل السوق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منها العدالة على القول بكونها ملكة راسخة نفسانية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الضرر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التنبيه السادس في حجيّة الظنّ في أصول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التنبيه السابع هل يعتبر الظنّ في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تحقيق المقام في طي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فيما لو تعذّر تحصيل العلم ابتداء هل يجب تحصيل الظنّ أو لا يجب؟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التحقيق عدم وجوب تحصيل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المقام الثاني فيما لو أمكن له تحصيل العلم بعد إفراغ الوسع هل يجوز الاكتفاء بالظنّ أو لا؟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التحقيق عدم الاكتفاء بالظنّ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أصالة حرمة العمل بما وراء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الثاني الأدلّة الدالّة على وجوب تحصيل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الثالث الأدلّة الآمرة بالشهادة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الكلام في حكمه الوضعي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التنبيه الثامن في أنّه على القول بعدم حجّية الظنّ فهل له آثار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تمهيد مقدّمة في المراد من الجبر والتعاضد والترجيح والوهن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تنقيح الكلام في طي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 أنّ الظنّ الذي لم يعلم اعتباره يمكن أن يكون جابرا للسند فيما إذا كان الكسر فيه أو للدلالة أم لا؟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ففيه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في الجبر في السند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الجهة الثانية في الجبر في 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في أنّ الظنّ على احتماليه يمكن أن يكون موهنا لدليل على وجه يخرجه عن الحجّية ، أو لا؟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الثالث في التعاضد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المقام الرابع في الترجيح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الترجيح بالظنون التي قام الدليل على عدم اعتباره كالقياس ، الحقّ عدم كونه مرجّحا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ترجيح الظنون المشكوكة كالشهرة وأمثالها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فهنا مقامان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الأوّل في ترجيح الدلالة بالظنّ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المقام الثاني في ترجيح السند بظنون غير معتبرة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مباحث الأصول العملية</w:t>
      </w:r>
    </w:p>
    <w:p>
      <w:pPr>
        <w:pStyle w:val="BookText"/>
        <w:rPr/>
      </w:pPr>
      <w:r>
        <w:rPr>
          <w:rFonts w:ascii="Amiri" w:hAnsi="Amiri" w:eastAsia="Amiri" w:cs="Amiri"/>
          <w:color w:val="111111"/>
          <w:sz w:val="28"/>
          <w:sz w:val="28"/>
          <w:szCs w:val="28"/>
          <w:rtl w:val="true"/>
          <w:lang w:bidi="ar-SA"/>
        </w:rPr>
        <w:t>البراءة والاشتغال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 الأصول العقلية</w:t>
      </w:r>
    </w:p>
    <w:p>
      <w:pPr>
        <w:pStyle w:val="BookText"/>
        <w:rPr/>
      </w:pPr>
      <w:r>
        <w:rPr>
          <w:rFonts w:ascii="Amiri" w:hAnsi="Amiri" w:eastAsia="Amiri" w:cs="Amiri"/>
          <w:color w:val="111111"/>
          <w:sz w:val="28"/>
          <w:sz w:val="28"/>
          <w:szCs w:val="28"/>
          <w:rtl w:val="true"/>
          <w:lang w:bidi="ar-SA"/>
        </w:rPr>
        <w:t xml:space="preserve">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قاعدة الاشتغال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أصالة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البراءة في الشبهة الحكمية الوجوبية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الشبهة الوجوبية من جهة فقد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الاستدلال بالعقل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يقرّر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الشبهة الوجوبية من جهة إجمال النصّ ، فهو مثلها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الشبهة الوجوبية من جهة تعارض النصّين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البراءة في الشبهة الحكمية التحريمية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الشبهة التحريمية من جهة فقد النصّ أو إجماله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الاستدلال بآية التعذيب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الاستدلال بالأخبار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فيه حرام وحلال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الاستدلال على البراءة بوجوه ضعيفة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استدلال الأخباري على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بالكتاب فصنفان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بالآيات الآمرة بالتقوى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بالآيات الآمرة بالوقوف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الاستدلال بالأخبار فصنفان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التوقف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بالعقل ويقرّر بالوجهين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احتمال الضرر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موارد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الجواب عن أدلّة الأخباريين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آيات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الجواب عن آيات الوقوف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الجواب عن أخبار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الجواب عن أخبار التوقّف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الجواب عن دليل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التقرير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الجواب عن التقرير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التفصيل المنسوب إلى المحقّق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الثاني في عدم جريان البراءة عند وجود الاستصحاب أو أصل آخر أخصّ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حكم الشهيد الثاني بطهارة الحيوان المتولّد من الحيوانين وحرمته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توجيه كلامه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توجيه آخر لكلامه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دوران الأمر بين المحذورين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الحكمية التكليفية بين المتباينين من جهة فقد النصّ أو إجماله الكلام فيه في مقامات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 اللاحرجية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المقام الثاني في التخيير أو الترجيح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المقام الثالث في كون التخيير بدويا أو استمراريا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المقام الرابع في كون التخيير أصوليا أو فقهيا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اتفاق الكلّ من الأصوليين والأخباريين على البراءة في الشبهة الوجوبية فيما دار الأمر بين المتباينين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الثاني الكلام في دوران الأمر بين المحذورين فيما إذا لم يكن أحدهما مسبّبا عن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الثالث يستفاد ممّا سبق حكم ما إذا دار الأمر بين الحرام والاستحباب أو الكراهة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الشبهة الموضوعية الوجوبية والتحريمية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اشتباه الواجب بالحرام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الشبهة الموضوعية الوجوبية من الشك في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لو أتى المكلّف بواحد من المحتملات وصادف الواقع فهل هو معاقب في تركه الاحتمالات الأخر أو لا؟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الثاني عدم لزوم قصد إتيان الجميع عند الإتيان بواحد من المحتملات فيما لو كان المردّد واجبا توصّليا ، ولزومه فيما لو كان تعبديا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الثالث هل اللازم عند اشتباه القبلة إتيان احتمالات الظهر بتمامها قبل احتمالات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لو امتنع الإتيان بتمام المحتملات فهل يجب الاحتياط في المحتملات المقدورة أو تنقلب الشبهة التكليفية ويؤخذ بالبراءة؟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الشبهة الموضوعية التحريمية من الشك في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الكلام في الشبهة المحصورة</w:t>
      </w:r>
    </w:p>
    <w:p>
      <w:pPr>
        <w:pStyle w:val="BookText"/>
        <w:rPr/>
      </w:pPr>
      <w:r>
        <w:rPr>
          <w:rFonts w:ascii="Amiri" w:hAnsi="Amiri" w:eastAsia="Amiri" w:cs="Amiri"/>
          <w:color w:val="111111"/>
          <w:sz w:val="28"/>
          <w:sz w:val="28"/>
          <w:szCs w:val="28"/>
          <w:rtl w:val="true"/>
          <w:lang w:bidi="ar-SA"/>
        </w:rPr>
        <w:t xml:space="preserve">تحقيق الكلام في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هل يجوز المخالفة القطعية بارتكاب الجميع ، أو لا يجوز؟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الحقّ هو الثاني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الثاني الأدلّة الدالّة على وجوب الموافقة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الثالث ما ذكره صاحب الفصول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يمكن الاستدلال للقائل بجواز المخالفة بوجهين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الأصل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الثاني الأخبار الدالّة على جواز الارتكاب في الشبهات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الجواب عن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الجواب عن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المورد الثاني في أنّه هل يجب الموافقة القطعية بعد ما عرفت من حرمة المخالفة القطعية ، أو لا؟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التمسّك بالأخبار لا وجه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تجشّم بعضهم في أنّ ارتكاب الباقي مقدّمة لتحصيل العلم في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اعتراض صاحب الفصول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الاستدلال على لزوم الموافقة القطعية ببناء العقلاء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دعوى الاستقراء من صاحب الحدائق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بالأخبار الواردة في موارد خاصّة ولو بعد تنقيح مناطها على حرمة الارتكاب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من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على يقين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اجتمع الحلال والحرام </w:t>
      </w:r>
      <w:r>
        <w:rPr>
          <w:rFonts w:eastAsia="IRNazanin" w:cs="IRNazanin"/>
          <w:color w:val="111111"/>
          <w:sz w:val="28"/>
          <w:szCs w:val="28"/>
          <w:rtl w:val="true"/>
          <w:lang w:bidi="fa-IR"/>
        </w:rPr>
        <w:t xml:space="preserve">... » ...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اتركوا ما لا بأس 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سماعة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يريقهما جميعا ويتيمّم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المحاسن عن أبي الجارود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الجواب عن الرواية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الجواب عن أخبار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الجواب عن أخبار أخر تدلّ بظاهرها على عدم وجوب الاجتناب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وجوب الإتيان بالمحتملات إنّما هو وجوب عقلي لا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الثاني الفرق بين الأوامر والنواهي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الثالث وجوب الاجتناب في الشبهة المحصورة إنّما هو فيما إذا صحّ التكليف بالأطراف منجزا وإلاّ فلا يجب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تفصيل صاحب الحدائق بين كون المشتبهين مندرجين تحت ماهيّة واحدة وغيره والمناقشة فيه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فروعات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الرابع الثابت في المشتبهين وجوب الاجتناب دون سائر الآثار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كلام المحدّث البحراني في نجاسة الملاقي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الخامس هل الحكم بوجوب الاجتناب يخصّ ما إذا اجتمعت أطراف الشبهة في الوجود أو يعمّها؟ </w:t>
      </w:r>
      <w:r>
        <w:rPr>
          <w:rFonts w:eastAsia="Amiri" w:cs="Amiri" w:ascii="Amiri" w:hAnsi="Amiri"/>
          <w:color w:val="111111"/>
          <w:sz w:val="28"/>
          <w:szCs w:val="28"/>
          <w:lang w:bidi="ar-SA"/>
        </w:rPr>
        <w:t>480</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لا فرق بين المشتبهين الذين يجمعهما عنوان تفصيلي من عناوين الأدلّة </w:t>
      </w:r>
    </w:p>
    <w:p>
      <w:pPr>
        <w:pStyle w:val="BookText"/>
        <w:rPr/>
      </w:pPr>
      <w:r>
        <w:rPr>
          <w:rFonts w:ascii="Amiri" w:hAnsi="Amiri" w:eastAsia="Amiri" w:cs="Amiri"/>
          <w:color w:val="111111"/>
          <w:sz w:val="28"/>
          <w:sz w:val="28"/>
          <w:szCs w:val="28"/>
          <w:rtl w:val="true"/>
          <w:lang w:bidi="ar-SA"/>
        </w:rPr>
        <w:t xml:space="preserve">الشرعية وبين المختلفين اللذين لا يجمعهما عنوان 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السابع التسوية بين كون الاستصحاب في كلّ واحد من المشتبهين هو الحلّ أو 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الثامن في اشتباه أحد الأطراف بسلسلة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التاسع لو اضطرّ المكلّف إلى ارتكاب أحد الأطراف فهل يجب الاجتناب عن الباقي أم لا ، أو التفصيل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العاشر لو حدث حادث في أحد الأطراف فهل يجب الاجتناب ،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الحادي عشر في الشبهة غير المحصورة في مقامات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المقام الأوّل في موضوعها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المقام الثاني في أنّه هل يجب الموافقة القطعية فيها ،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الحقّ عدم الوجوب للأدلّة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الدالّة على عدم جعل الحرج في الدين ، والتقريب بوجهين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الأوّل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الاستدلال بالأخبار فصنفان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ما بخصوصه يدلّ على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الثاني ما بعمومه وإطلاقه يدلّ على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الاستدلال بالعقل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المقام الثالث في أنّه هل يجوز المخالفة القطعية ،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دوران الأمر بين الواجب والحرام من الشك في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الشبهة الوجوبية الحكمية من الشك في المكلّف به فيما دار الأمر </w:t>
      </w:r>
    </w:p>
    <w:p>
      <w:pPr>
        <w:pStyle w:val="BookText"/>
        <w:rPr/>
      </w:pPr>
      <w:r>
        <w:rPr>
          <w:rFonts w:ascii="Amiri" w:hAnsi="Amiri" w:eastAsia="Amiri" w:cs="Amiri"/>
          <w:color w:val="111111"/>
          <w:sz w:val="28"/>
          <w:sz w:val="28"/>
          <w:szCs w:val="28"/>
          <w:rtl w:val="true"/>
          <w:lang w:bidi="ar-SA"/>
        </w:rPr>
        <w:t xml:space="preserve">بين المتباينين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الكلام فيها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 جواز المخالفة القطعية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المقام الثاني في وجوب الموافقة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بعض الوجوه التي قد يستند لوجوب الموافقة كما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التكليف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اشتراك التكليف والمناقشة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الاشتغال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قد يستدلّ في المقام بأخبار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تنبيه في تصوير العلم الإجمالي على ثلاث 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الشبهة التحريمية الحكمية فيما شكّ في المكلّف به فيما دار الأمر بين المتباينين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الشبهة الحكمية عند الشك في المكلّف به فيما دار الأمر بين المحذورين في المتباينين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الشبهة الوجوبية الحكمية عند الشكّ في المكلّف به فيما دار الأمر بين الأقلّ والأكثر الارتباطيين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المراد بالأقلّ والأكثر الارتباطيين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المشهور بين الفقهاء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اضطراب كلام الشهيد الأوّل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ذهاب جماعة إلى لزوم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احتمال الفرق بين الأجزاء والشرائط فبالاحتياط في الثاني ، وبالبراءة في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هذا ربّما يخالف التفصيل في 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على الاحتياط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المنصور عندنا مذهب المشهور وهو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تحقيق المقام يقتضي 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أنّ الداعي إلى امتثال أوامر المولى دفع خوف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الثاني في عدم الفرق بين الواجب النفسي والغيري في جريان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الثالث في أنّ العلم الإجمالي منجّز للتكليف فيما لو لم يكن في أحد الأطراف ما يقضي بارتفاع التكليف الفعلي عنه بالخصوص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الاستدلال على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المانع من القول بالبراءة عند الشك في جزئية شيء أن يكون أحد الأمور الثلاثة فها هنا مقامات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امتناع جريان البراءة في الأجزاء باختصاص دليلها بغيرها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المقام الثاني معارضة الأصل بمثله بعد القول بجريانه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الجواب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الجدوى فيه على فرض الجريان وعدم المعارضة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الجواب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تأييد البراءة ببناء 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تمسّك القائل بالاشتغال ببناء العقلاء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احتجّ القائل بالاشتغال بوجوه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الكلام في الشرائط وجريان البراءة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تفسير معنى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ذكر استدلال للاشتغال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دار الأمر بين المطلق والمقيّد هل يحكم بالبراءة عن المقيّد؟ الأقوى جريان </w:t>
      </w:r>
    </w:p>
    <w:p>
      <w:pPr>
        <w:pStyle w:val="BookText"/>
        <w:rPr/>
      </w:pP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الكلام في الموانع والقواطع وجريان البراءة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تفسير معنى المانع والقاطع والفرق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الاستدلال باستصحاب الصحّة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الشكّ في الركنية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تحديد الركن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في المقام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في ترك الجزء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الكلام في مقتضى الأصل الأوّلي وهو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مقتضى الأصل الثانوي هو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الاستدلال باستصحاب الصحّة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الاستدلال بحديث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الصورة الثانية في الزيادة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الصورة الثالثة في الزيادة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التنبيه الثاني إذا تعذّر الجزء أو الشرط هل يسقط التكليف بالكلّ؟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تحقيقه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هل الأصل الأوّلي بمعنى أحد الأصول العملية يقضي بالأوّل أو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المقام الثاني هل في المقام ما يقضي من الأدلّة العامّة والقواعد الكلّية؟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الاستدلال بالروايات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التحقيق هو الأخذ بعموم هذه الروايات في الأجزاء والشرائط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ترك الجزء أو ترك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الثالث إذا دار الأمر بين الجزئية والشرطية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خاتمة في بيان شرط العمل بالأصول وهو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إيراده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في عدم وجوب الفحص في محلّ الاحتياط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الإجماع على عدم جواز الاحتياط قبل الفحص في العبادات فيما إذا تكرّر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المشهور على وجوب الفحص في العبادات الغير المتكرّرة والتحقيق خلافه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ما يمكن أن يقال انتصارا للمشهور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المقام الثاني في وجوب الفحص عن الدليل عند إعمال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تحقيق الكلام فيه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أنّ تارك الفحص والعامل بالبراءة عند ذلك هل هو معاقب ،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هنا أقوال ثلاثة والتحقيق التفصيل بين ما إذا طابق الواقع فلا عقاب وبين ما إذا خالف فيعاقب على المخالفة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التحقيق أنّ الفحص ليس من شرائط اعتبار البراءة بل هو من مقوّماته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الواقع الذي جعلنا العقاب دائرا مداره؟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عدم لزوم الفحص في الشبهات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الثاني في بيان الحكم الوضعي عند عدم الفحص والأخذ بالبراءة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تحقيق الكلام في ضمن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المعاملات المعمولة فيها أصالة العدم قبل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في العبادات التي يتمسّك فيها بأصالة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وبه نستعين وبه نثق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 المترتّبة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بحسب الذات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 الأمري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واسطة في إثبات الحكم الظاهري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لا يتوقّف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بنجاسته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حيوان؟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بنجاسة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نفس الموضوع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جزء الموضوع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مجرّد عدم الماء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لطريقته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إليهما؟</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طريقا بين أفراد العلم والعالم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يشكّ في أنّه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بطلان الصلاة قبل تيقّن دخول الوقت وإن ظنّ دخوله من أبواب المواقيت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لا تجوز الشهادة إلاّ بعلم من كتاب الشهادات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العلاّمة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النهاية وعنه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مصلحة لوجود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مصلحة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 عليهما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هو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التالي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 مثنويات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داخل في باطل إثمان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 العمل به وإثم الرضى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الاحتياط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طلب الرئاسة مع عدم الوثوق بالعدل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نيّة الخير والعزم عليه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فظنّ أنّها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فظنّه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لظنّها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العدوان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المامقاني في بشرى الوصول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شيخنا الإمام المرتضى رضي‌اللّه‌عنه في مجلس البحث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وكلاهما تحكّم وتخرّص على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الحكم بفسق المتعاطي في الدنيا وكونه معاقبا على الكيفية التي ذكرها تحكّم على ما عرفته من تفسيره بذلك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عليه بأنّ كون الثاني تحكّما مسلّم لكن لا نسلّم كون الأوّل تحكّما ؛ لأنّه على القول بكون العدالة عبارة عن الملكة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 بل ربما يدّعى الاتّفاق عليه وأنّ الخلاف إنّما هو في كشفه عن الظاهر وظهور الإسلام وعدم ظهور الفسق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إمّا أن يتجرّى بما لا يوجب الفسق كالصغيرة ، أو يتجرّى بما يوجبه ، فعلى الأوّل وإن كان لا يلزم الفسق ؛ لعدم كون التجرّي أعظم من الأصل ، لكن على الثاني يلزم الفسق قطعا ؛ لكشفه عن انتفاء الملكة الرادعة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الإتيان بكلّ عمل مشروع روي له ثواب عنهم عليهم‌السلام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نيّة الخير والعزم عليه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نيّة الشرّ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 وفي 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عثمان المرادي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الاستغفار من الذنب والمبادرة به قبل سبع ساعات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دقيقة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جهة 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مراده من مادّة البرهان هو الوسط ؛ فإنّه هو المناط في إثبات الأكبر للأصغر على ما قدّمنا ، فإن كان محسوسا أو قريبا منه ، فلا يحتمل الخطأ بخلاف ما إذا لم يكن كذلك ، ولعلّ الوجه في عدم تكفّل المنطق لقاعدة بها تستعلم حال المادّة صحّة وفسادا هو أنّه قد تقدّم منّا أنّ دلالة شيء على شيء لا بدّ وأن تكون بواسطة ملازمة بينهما من علّية فيهما ، أو لاشتراكهما في علّة ثالثة ، فلو حاولنا إثبات محمول لموضوع في واقعة ، فلا بدّ أوّلا من ملاحظة ما يلازم أحد طرفي الحكم من الأكبر والأصغر ، فإن تنبّهنا لما هو لازم للأصغر ويستلزم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الغالب في الاستنتاج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الشكل الأوّل ، أو العكس فهو الرابس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لما هو لازم لهما ، فهو الثاني ، أو بعكس ذلك ، فهو الثالث ، وعلى تقدير عدمه فيشكل الاستدلال وإن كان القياس استثنائيا أيضا كما لا يخفى ، والعلم بلوازم الأشياء أو ملزوماتها بحسب المصاديق ممّا هو خارج عن مقدرة البشر لاستحالة إيفاد قاعدة بها تستعلم حال المادّة صحّة وفسادا ، وذلك ظاهر لا سترة عليه ، فتدبّر وتبصّر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الصورة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ولأنّهم عارفون بالقواعد المنطقية وهي عاصمة عن الخطأ من جهة الصورة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الماهية لا تتركّب من أمرين متساويين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نقيض المتساويين متساويان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فيصل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المنطقية إنّما هي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أقصى ما يستفاد من المنطق في باب موادّ الأقيسة تقسيم الموادّ على وجه كلّي إلى أقسام وليست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مخصوصة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لشخصه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الحسّ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شرح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بخطّ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المعقوفين منه ، وعنه في هداية المسترشدين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شيء أبعد من عقول الرجال عن تفسير القرآن وفي بعضها عن القرآن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المنيرة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ريب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 يعاقب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طاعة العقل ومخالفة الجهل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المشايخ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الجراحات والقتل ؛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صحيح أبان بن تغلب قال للصادق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رجل قطع إصبعا من أصابع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فيها؟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اثنين؟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ثلاثا؟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أربعا؟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 ثلاثا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 ويقطع أربعا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إنّ هذا كان يبلغنا ونحن بالعراق فنبرأ منه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جاء به الشيطان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مهلا يا أبان ، إنّ هذا حكم رسول اللّه صلى‌اللّه‌عليه‌وآله إنّ المرأة تعادل الرجل في ثلث الدية فإذا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 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رجعت المرأة ، ولم ترد المرأة في مصادر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النصف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أبان ، إنّك قد أخذتني بالقيار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إذا قيست محق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الأمر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تذييل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حجّيته؟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الأمر الرابع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بالمعنى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بحث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واستجوده صاحب الحدائق كما سيأتي أيضا في بحث 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الذكرى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عنه أيضا في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أكثر العوامّ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الشهيد الأوّل في 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المشهور من فقهائنا ، ونسب إلى المشهور أيضا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وشريف العلماء كما في تقريراته للفاضل الأردكاني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بحث 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 للنفي لا المنفي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تركه إليه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بموضوعات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طريق تفصيلي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المني 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للفيض الكاشاني كما عنه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حديثا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والأمر عكس ذلك ظاهرا فلاحظ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العويص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ناقش في الحكم ؛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 ايضاح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 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الإنشاء؟</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للوجوب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جميعهما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الموارد الآتية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للزوم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عنه وعن المدارك أيضا في البراءة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تخصيص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الكائنة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انتفاؤهما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ارتكب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مطلقا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للماهية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تقيّدها؟</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يتعلّق إلاّ بالاختياري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تقيّد؟</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المادّية؟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لا يخفى أنّ الأقوال المسطورة أقواها ما عرفت من التفصيل المختار ثمّ بعد ذلك فالأقوى القول بالمنع في الجميع وبعده التفصيل الأخير ، 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ريب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التخيّر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وتعدّد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نعتبره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علمناه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المكلّف به والتكليف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حكم منهما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يعلم إمّا أنّه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يحرم عليه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خطاب تفصيلي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الجهر ، وهو الصواب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الظنّ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الإشارات والتنبيهات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أسرار الآيات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وتحليل الحرام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مصادفته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حالة؟</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منتهى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المظنون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فلكلّ من العالم والجاهل حكم خاصّ به ، وليس هناك حكم يشتركان فيه على ما ورد به الأخبار والآثار كما هو عند المخطّئة كذلك لذلك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لمحرّره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 ، وكذا في المورد الآتي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إن أراد؟</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بظنّ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فالأكثر من علمائنا الباحثين في الأصول على أنّه ليس بحجّة كالسيّد المرتضى وابن زهرة وابن البرّاج وابن إدريس وهو الظاهر من ابن بابويه في كتاب الغيبة والظاهر من المحقّق بل الشيخ الطوسي أيضا بل نحن لم نجد قائلا صريحا بحجّية خبر الواحد ممّن تقدّم على العلاّمة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وبمطلق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بالإذن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الشرك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علم لعنته ملائكة السماء والأرض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في البين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الرسائل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الاجتهاد والأخبار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الأصل عدم حجيّة الظنّ وهو محلّ اتّفاق جميع ارباب المعقول والمنقول ؛ إذ كلّ من قال بحجّية ظنّ في موضع ، قال بدليل أتى به له ، كما لا يخفى على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السيّد المحقّق الكاظمي كما عنه في 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وسيذكره أيضا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إشكالات أخر عليه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بالظنّ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يستقلّ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مستلزم؟</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استند إليه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شريف العلماء كما في تقريراته للفاضل الأردكاني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مقتضى الأصل الأوّلي عدم كفاية الظنّ ، أي عدم كونه مبرئا للذمّة لأنّه لا شكّ فيه ولا شبهة تعتريه أنّا مكلّفون بعد ورود الشرع بشيء لا محالة ولكن لم ندر أنّ المكلّف به ما ذا؟ يحتمل أن يكون المكلّف به هو تحصيل الاعتقاد المطلق والعمل بمقتضاه ، ويحتمل أن يكون المكلّف به هو تحصيل الأحكام الواقعية ويكون تحصيل الاعتقاد العلمي أو تحصيل الاعتقاد في الجملة ولو ظنّا واجبا من باب المقدّمة ، وإن قلنا بالأوّل أو الثالث فكفاية الظنّ لا يخفى ، وإن قلنا بالثاني فلا بدّ من تحصيل العلم وأنت خبير بأنّ القطع بالبراءة مع كون المكلّف به مجملا ومحتملا بين هذه الاحتمالات لا يحصل إلاّ بعد تحصيل العلم بالحكم الواقعي لأنّ تحصيل العلم يقتضي البراءة على جميع الاحتمالات بخلاف ما لو اكتفى بتحصيل الاعتقاد بالحكم الواقعي ولو ظنّا ؛ لاحتمال أن يكون المكلّف به هو نفس تحصيل العلم بالحكم الواقعي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وحرمته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المتأخّرين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الاستناد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أصالة 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الظنّ الفعلي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بعدم الظنّ على خلافها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غالبا بالفرض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جواز العمل 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السيّد عبد اللّه شبّر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 بأمر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بالموضع؟</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واستدرك في هامشها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قبيل الخطاب المشافهة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العمل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لاحتمال؟</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مؤكّد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 المتواترات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بحث البراءة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وهي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يبتني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الفنّ الثالث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التقيّدات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قطعية ولو بضمّ أمور خارجية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فيبتني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إخفاء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أشباهه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لمصلحة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الإبقاء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سأنسخه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يعرفنا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أوصيائه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المصدر وفي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وهو تصحيف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 الاحتمال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يستثنا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مستفادة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عدا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فصاعدا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أحدثت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رفع مقامه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نقلنا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في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الثالثة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في كثير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البيع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البراهين للسيّد نعمة اللّه الجزائري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التضعيف على الاستحباب توفيقا بين القراءتين ، وهو أحد وجهي كلام العلاّمة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التضعيف على الطهر كما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في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الطهارة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البحث أيضا في العموم والخصوص من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يريد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من تأخّر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باشتراك التكليف بين الكلّ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بسائرها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الشرعي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التكاليف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كاختفاء بعض القرائن بسبب الفناء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مطابق أيضا لنقل المفاتيح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الخبر أرجح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المفاتيح من 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ظاهر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نقل كلام صاحب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سلطان المحقّقين رضاه بما قاله حيث إنّه أشار إليه ولم يجب عنه وكذلك يظهر ذلك من جدّي الصالح المازندراني في الحاشية ومن جمال الدين الخوانساري حيث إنّهما حقّقا ما ذكره مقتصرين عليه غير متعرّضين لردّه على ما ينبغي فقال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كلامهما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في الاشتراك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نحن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كونهم مكلّفين بظواهر القرآن في الجميع حتّى يعلم بضميمة الإجماع والظاهر كوننا أيضا مكلّفين بها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بالظاهر وقد علمنا ذلك في مواضع بالإجماع ونحوه وعلى هذا ففيما لم نجد قرينة أيضا لا علم لنا بكونهم مكلّفين فيه بالظاهر لاحتمال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خصوصه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على هذا يتمّ الجواب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 لهم الانتقال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مكلّفين بمقتضى الخبر ويكون أيضا مكلّفين بمقتضاه مثلهم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لظنّ مخصوص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الظواهر ولا الظنّ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المعاقيف منه ، ولم تذكر لآقا جمال الدين الخوانساري حاشية على المعالم وذكرت لوالده آقا حسين كما في 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أنّها وردت في بعض كتبه الأخر كحاشيته على شرح مختصر الأصول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توجيه كلام السيّد المرتضى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الأوّل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في شرح رسالة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ذلك عن الشهيد فقط دون العلاّمة وسيأتي نصّ كلامه في مخالفة ذلك في التعليقة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هامش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ويبدو أنّ المصنّف اعتمد في ذلك على ما نقله السيّد المجاهد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ذلك العلاّمة قال في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يجب أن يقرأ بالمتواترات من القراءات وهي السبعة ، ولا يجوز أن يقرأ بالشواذّ ، ولا بالعشرة ، وجوّز أحمد قراءة العشرة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أكلوني البراغيث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الحجّة فقريب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يقرّون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بالمفهوم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بتمامها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بتمامها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والتقريب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عن البعض في بحث التعادل والتراجيح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التركّب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تحرير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 في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الناهيات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ونقل البحار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اختلافه إذا نردّ إليك فقد اختلف فيه فكتب وقرأته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السرائر ونقل البحار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اختلافه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إليك فيما اختلف فيه فكتب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بكير عن رجل عن أبي جعفر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رسالة الراوندي التي ألّفها في أحوال أحاديث أصحابنا وإثبات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التسديدات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فآي منه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في دلالتها 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دلالة على أنّ خبر الواحد لا يوجب العلم ولا العمل ؛ لأنّ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من لا تؤمنون أن يكون خبره كذبا فتوقّفوا فيه ، وهذا التعليل موجود في خبر من يجوز كونه كاذبا في خبره ، قد استدلّ بعضهم بالآية على وجوب العمل بخبر الواحد إذا كان عدلا من حيث إنّ اللّه سبحانه أوجب التوقّف في خبر الفاسق فدلّ على أنّ خبر العدل لا يجب التوقّف فيه وهذا لا يصحّ لأنّ دليل الخطاب لا يعوّل عليه عندنا وعند أكثر المحقّقين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فيها ثمّ 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القبول لردّ الردّ فيما؟</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بنبإ؟</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للواصف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نصف صفحة 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 القائلون بحجّية أخبار الآحاد بوجوه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الآيات ، منها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فَتَبَيَّنُوا أَنْ تُصِيبُوا قَوْماً بِجَهالَةٍ فَتُصْبِحُوا عَلى ما فَعَلْتُمْ نادِمِينَ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 قد تمسّك بها جمع كثير في حجّية أخبار الآحاد التي رواها العدول ومن علمائنا من تمسّك بها لعدم حجّية</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أولاهم لأخراهم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المحقّق الحلّي في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أمر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اعتقد؟</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 الأخيار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بلزوم تحصيل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وذيلها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تحصيله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من كان مخطئا في بعض الأفعال أو فاسقا بأفعال الجوارح وكان ثقة في روايته متحرّزا فيها ، فإنّ ذلك لا يوجب ردّ خبره ، ويجوز العمل به ؛ لأنّ العدالة المطلوبة في الرواية حاصلة فيه ، وإنّما الفسق بأفعال الجوارح يمنع من قبول شهادته ، وليس بمانع من قبول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ذلك قبلت الطائفة أخبار جماعة هذه صفتهم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بالتخصيص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نهاية الوصول كما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لصحبته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مطابقته؟</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بها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الماهيات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بهذا الاحتياط هو الاحتياط في المسألة الفرعية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ربّما يحكم بالإجمال العرضي أيضا على هذا التقدير لأجل ورود المطلقات في مورد الحكم الآخر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لصنف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استدلّ على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علمناهما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تعيينهما؟</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تعيينهما؟</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الكاشفة؟</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غير؟</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العمل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استدركت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يجب في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العلاّمة في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كما سيأتي عنه والقمّي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كلّ من المرتضى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والحلّي في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 جماعة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بالعقاب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منتهى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المتن لابن الحاجب والشرح لعضد الدين عبد الرحمن الإيجي ، ويعبّر عنه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العضدي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انفحام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الكبرى على أنّها من الضروريات المبيّنة المبرهنة مثبتة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تعلّق بالمعاش</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القياس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وحيث</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وقع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مبنى 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بصدده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فيها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بالمظنون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بالمشكوك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يبالي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يلتزم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العلاّمة في النهاية وغيره كما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وهي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وهي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معهود؟</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حكام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أستاذه السيّد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وقاله صاحب الرياض في مجلس المذاكرة على ما في 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تفصيلها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العمل بالظنّ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آغا جمال الدين الخوانساري كما عنه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عنه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ميرزا محمّد الأخباري المقتول في المشهد الكاظمي القائل بتعدّد الأحكام المجعولة في كلّ واقعة بحسب تعدّد الأنفس والخلائق الذي سمّى مسمّى تلك الأحكام بالأحكام الواقعية المصرّح بذلك في رسالته المكتوبة في ردّ المجتهدين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فضرورية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يمكن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للمصدر وشطب عليها وكتب فوقها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وبما أنّه نقله بالمعنى نذكره حرفيا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حاشيته على شرح مختصر الأصول كما في هامش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منتهى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كلامه في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متنادية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امتناع رجوعه؟</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يمثل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تقليدا إلى العمل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بورود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أحكامه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فتوقّف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يشمل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استدركت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المحذور جاز لظنّ أيضا كما؟</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في المعاملات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 وشطب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تطابق القول بعد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غلب اللّه فاللّه أولى بالعذر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غلب اللّه عليه فليس على صاحبه شيء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فتنة لأنفسكم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العسر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وجه للاحتياط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الجماعة العاملي في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ظاهر التذكرة في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يقل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تسليم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بتعيّن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هنا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إتيان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فتعيّن الحكم بالاشتغال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بتعيّن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هنا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في هامشها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في هامشها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يعلم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إبطاله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علمي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جعلي؟</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وإمّا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نصّ كلام صاحب الفصول في الصفحة الآتية وحاصل كلام صاحب هداية المسترشدين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بخطّ آخر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ونقل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فعليا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بطريق معيّن يقطع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ريب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معتبر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بالتعيين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الظنّ الذي لا دليل على عدم حجّيته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المعاقيف منه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عندهم مقصور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زيادة الباء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تابعيه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استدرك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آخر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هشة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بخلافها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بخلاف ما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يكفي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الفصول ، تقدّم كلامه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فلازمة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طريق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لقطع التجازب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تميّز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النجاة المطبوع مع الأصول الأصيلة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الأسرار للسيّد نعمة اللّه الجزائري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اشتراط الحياة في المفتي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السيّد نعمة اللّه الجزائري كتابه منبع الحياة فى حجّية قول المجتهد من الأموات في ذلك</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بالجملة فكما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كلامه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كلامه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بتعليمهم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تسليم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الجوامع الروائية من الخاصّة والعامّة ، وحكم جماعة من العامّة بأنّه لا أصل له كما في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مرسلا في غيرها ، ومن كتب الخاصّة ورد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نبيّا من الأنبياء شكا إلى ربّه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وأضفهم إلى اسمي يحلفون به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 في بحث مقدّمة الواجب من المطارح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عنهم في بحث 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بحث هل يتصوّر وجوب المقدّمة قبل وجوب ذيها؟ وسيأتي نصّ عبارته في بحث البراءة تعليقة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بأوامره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الموضوعات المستنبطة لمفهوم الصعيد ونحوه والمسائل المشتبهة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عبّر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منها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كالصحيح الأعلائي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الآخر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بالتعيّن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يحتمله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لأحدهما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وهكذا إن استدلّ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قسيمه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بيقين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فننقل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يختار أنّ خصوصية هذا الظنّ من جهة الظنّ بالحجّية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الألذّية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بتعيين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للسلوك</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عائدة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بطلان حجّية مطلق الظنّ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حجّة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الترجّح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الآكل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وجود ذاتها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وإيجاده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مرفوعة زرارة الآتية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يقم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ليتوجّه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جهة عدم قيام دليل على حجّيتها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الاجتهاد والأخبار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عنه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استصحاب المزال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المعلوم؟</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العلّية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والاستصحاب؟</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فنلتزم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 الحقيقة فالمعمّم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الأوّل منها 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قاعدة بطلان الترجيح بلا مرجّح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بخصوصه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العمل بها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يناسب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الموثوق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ما؟</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بالموثوق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للاطمئنان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وبين إعماله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يتمّ إلاّ بمذاق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تسمية من رآه عليه‌السلام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عبد الحميد العطّار ، عن عمّه عبد السلام بن سالم ، عن رجل ، عن أبي عبد اللّه عليه‌السلام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في حلال وحرام تأخذه من صادق خير من الدنيا وما فيها من ذهب أو 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ألقى</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 وشطب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بعد نقل عبارة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النجاشي ، وظاهرها أنّ الموثّق الأب لا الابن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فالخبر ليس</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فننقل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لا يقضي من القضاء</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والاحتياط</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القضايا الكثيرة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يتمكن؟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وجه التعميم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يفضي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بالحجّية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أولي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يوافق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مرادا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بالصور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يجدي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المستقرّة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اختصّ علمه بهم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بوجهيهما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 به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دون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العنواني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استفسر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بوصف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يعلم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الجهة الأولى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عنه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مقدّرة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الكلّي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فقه المعالم وفي منتقى الجمان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ايضاح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الحسينى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المكاسب للشيخ الأنصاري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نضد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ايضاح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انظر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 في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بشيء الحكم بالظنّ الحكم الواقعي؟</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نسبته إليه في فصوله ولم أجده فيه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الأدلّة الدالّة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فاستبنت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وجود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لو</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العترة الطاهرة و</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المستضعف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المستضعف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بالمستضعف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الهجرة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وتحلّلت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الضلال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أصحاب الأعراف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الكفر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يهتدي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فانّهم ولم ترد في المصدر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المستضعف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يحصى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الدليل الآخر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بالصدور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الآخر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انكشفت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متلقاة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 الشهرة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هذا المبحث بمبحث الترجيح بالقياس في التعادل والترجيح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حاصل كلامه ، ثمّ 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كلامه بتمامه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المدلولة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كلاهما مفيد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الدلالات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كصاحب الرياض</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الخارجية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بتقديم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مقول قوله في النسختين وموضعه بياض ، استدركناه ما بين المعقوفين من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الأستاذ الأكبر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مقول قوله في النسختين وموضعه بياض ، استدركناه ما بين المعقوفين من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مقابلته مع نسخة الأصل بحمد اللّه تعالى ومنّه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 ثبوتها مبني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بالظاهرية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استعمالهم كقوله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الخوانساري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له إلى الأصوليين كما سيأتي في أوّل مبحث الاستصحاب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إثباتها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قوم الطوسي في 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المطبوع في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أقيم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فالعقل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بتحصيل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تفصيليا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المتّفق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بالتكليف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واقعية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عداد أدلّة المانعين ثمّ أجاب عنه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 هو البسط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تقسيم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مردّدا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وكذا في المورد الآتي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أو دائرا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الأحكام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كالطهارة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فلإجماع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مشتهرة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باب الاعتقاد في الحظر</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يطيقه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لوجوب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العقلاء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المتدبّر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لتفضّل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فيتّضح</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 أخبار الآحاد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تقضى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منتفيا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فبتحقيقه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جهة الفعل يحسن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يتخيّل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للتخيير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مرجعها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والرسائل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البراءة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والنراقي في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يقال بالحرمة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يقال إمّا بحرمة الواقعية والظاهر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بالحرمة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يحقّق</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في عنوان الأخبار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بعد سطرين والظاهر وقع فيها سقط وتقديم وتأخير وتكرار بعض الكلمات فلاحظ ما سيأتي في التعليقة الآتية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التوقيف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أخرى على لفظ الاحتياط وإلاّ فبحسب المعنى لا فرق بينهما فإنّ التوقّف معناه عدم ارتكاب المكلّف الشيء المأمور بالتوقّف</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من دون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ومواعظ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حجب اللّه عن العباد فموضوع عنهم حتّى يعرّفهموه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كالمشتمل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الحج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للعلّة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يسند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توهمهم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بعضها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عوالى اللآلى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تكفي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ينفى</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أكرهوا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ينطق وفي الوسائل كما في المتن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التسعة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وسيجيء في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ممّا لا يعلمونه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البعض كالسهو</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رَبَّنا لا تُؤاخِذْنا إِنْ نَسِينا أَوْ أَخْطَأْنا رَبَّنا وَلا تَحْمِلْ عَلَيْنا إِصْراً كَما حَمَلْتَهُ عَلَى الَّذِينَ مِنْ قَبْلِنا رَبَّنا وَلا تُحَمِّلْنا ما لا طاقَةَ لَنا بِهِ</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مصادر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يرد فيه 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أو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الدلالة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سنزيد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نصّ عبارته في التعليقة الآتية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وكذا في الموردين الآتيين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 وبما أنّ الكتاب بعد مخطوط نذكر نصّ عبارته تتميما للفائدة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بالذات للحكم الشرعي من الحلّ والحرمة هو بعض الأفعال الاختيارية التي ليس ممّا يضطرّ الإنسان إليه في بقائه ، وقد يوصف بعض الأعيان بالحلّ والحرمة والمراد حلّ الفعل المتعلّق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وصف بحال المتعلّق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وحرمته ، ولمّا كان هذا لبعض مشتملا على 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الفعل أو حرمته يقال له الحلال أو الحرام فالحيوان والنبات والجماد كلّها إذا كان متعلّقا لفعل الإنسان يكون من الأمور التي فيه الحلال والحرام ، وأمّا ما ليس متعلّقا لفعله ، فليس كذلك وقد يكون نفس بعض الفعل أو الترك متّصفا بالحكم الشرعي من غير مدخلية متعلّقه مثلا ، يقال للآكل على التخمة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حرام ولا يلاحظ فيه 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المأكول فربما كان حلالا ، وللآكل مع الرغبة وصحّة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حلال من غير ملاحظة حال المتعلّق ، وربما كان واجبا عند توقّف قيام البدن عليه مع حرمة المأكول كأكل الميتة للمضطرّ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الجهة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وتقدّمت رواية مسعدة بن صدقة في الصفحة السابقة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 اللّه بن سليمان التي أورد قطعة منها في السطر الآتي وهي في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بتمامه في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فيطبق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مدخل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المتارك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أنّه من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ويحتمل أن يحتجّ للأخباري بوجوه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ويحصى</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ووقت الإمساك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بتمامه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موارد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وجه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كلام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الأوّل فمن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متغايرة وفوقها كما في المتن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مناص</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هذا الكلام محلّ نظر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ثلاث روايات كما نصّ الشيخ 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 ما يريبك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قد تقدّمت وأورده الشهيد في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صلى‌اللّه‌عليه‌وآله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 الشهيد أيضا البحراني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روي عنهم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بناكب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بعض الإجازات من دون إسناد إلى الإمام انظر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اتّقى الشبهات استبرأ لدينه وعرضه ،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يقع موضع</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لعقد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رجل ركب أمرا بجهالة فلا شيء عليه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وتعليقتها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كان إثبات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وحكمه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 يكون الشيء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يحتمل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حاصرة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تأبى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فيتعيّن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للرواية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ملاحظته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فأدلّة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بإجماعها؟</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ثلاثة أسطر بياض</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للإباحة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تفصيل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ملازمة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فالملازمة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يثبت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العناوين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المتولّد من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الكلب والخنزير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وطاهر فإنّه يتبع في الحكم الاسم ولو لغيرهما ، فإن انتفى المماثل فالأقوى طهارته وإن حرم لحمه للأصل فيهما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المحقّق الثاني بمثل ما ذهب الشهيد الثاني قال في حاشية الشرائع المطبوعة في حياة المحقّق الكركى وآثاره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 المحقّق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نزا كلب على حيوان فأولده روعي في إلحاقه بأحكامه إطلاق الاسم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إنّما يكون إذا نزا الكلب على نحو الشاة ، فإنّه يراعى في نجاسته أغلبية أوصاف الكلب على الولد بحيث يقع عليه اسم الكلب ، فإن غلبت أوصاف الشاة عليه فهو طاهر حلال ، ولو انتفى عنه أمران فهو طاهر حرام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مخطوط ، نقل الشيخ 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عبارته ، فلاحظ</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حفيد الشهيد الثاني في حاشيته على الروضة كما في هامش الطبعة الحجرية من الروضة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 الشهيد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للأصل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أصالة الطهارة فلأنّ الأصل براءة الذمّة ، أمّا أصالة التحريم فلأنّ المحلّل محصور بشرط فما لم يتحقّق الشروط لم يحكم بحلّ لحمه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مخالفهما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والصيصة والصيصية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مخلب الديك الذي في ساقه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ارتكاب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فيتمّ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ستعلم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الإجماع المركّب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الإجمالي وتنجّز التكليف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لا يترك</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فيلخّص</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صادفها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ظنّية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الأوّل لا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قريبه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بسطنا الكلام في مصادره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يجري</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 الصفحة السابقة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نقيم تارة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الأحكام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أحكام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إجمالا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دواعي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الدعاوي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دعاويه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بتكليف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يقل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بمعنى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فمعنى</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ذيل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مرادهم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 وخ ل بهامشها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الحكم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الأصل</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فيجوز؟</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ممكنة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فبتقريره جاز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الرقيب والعتيد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ستعرف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إيجاد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حقيقة من إثبات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أفراد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بمتعلّقة؟</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المنهي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الفعل المنهي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المنهي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عليه 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البراءة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لسقوط</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بقضاء</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يمتنع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يحتمله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لشمول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واجبا لتعلّق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فيجري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اشتبه تعلّق</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تعويل</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تقضي</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الأصلية الذاتية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لا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 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اللآلى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فيها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رضاء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 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عائدة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أيضا المصادر الواردة في التعليقة السابقة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بسبق</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بأقسامها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أحكامها أي أحكام الأقسام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معلوم وإنّما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المجلسي في الأربعين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بالصلاة على القبلة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الإتيان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القبلة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المتّفق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المقتضى</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فمشخّص</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يجوز</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تجويز</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يمنع</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بتكرّر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تكرّرها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بطريقة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التجرّي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بما سيأتي في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فيما لو كان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تحصل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لاحتمال أنّه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المحتملات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مراتبا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لتحريك</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لأجله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المذبور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والترتيب التفصيلي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الاحتياط</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فيها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انقسام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فيها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فيها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فيها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لاختلاف وجوه مقدراته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يقرّر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تبعية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تقدير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عنه في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المتدبّر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للفظ</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يحتمل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لدليلته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بالواقع</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المتنجّز</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أينما كنتم فولّوا وجوهكم شطر المسجد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التنزيل العزيز أيضا في سورة البقرة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وَمِنْ حَيْثُ خَرَجْتَ فَوَلِّ وَجْهَكَ شَطْرَ الْمَسْجِدِ الْحَرامِ</w:t>
      </w:r>
      <w:r>
        <w:rPr>
          <w:rFonts w:eastAsia="IRNazanin" w:cs="IRNazanin"/>
          <w:b w:val="false"/>
          <w:bCs w:val="false"/>
          <w:i w:val="false"/>
          <w:iCs w:val="false"/>
          <w:color w:val="333333"/>
          <w:sz w:val="20"/>
          <w:szCs w:val="20"/>
          <w:rtl w:val="true"/>
        </w:rPr>
        <w:t>.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فيرجع</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الموافقة ، وهو غلط</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بطريق الاجتماع بقدر الإمكان وإن حرم عليها تمكين نفسها لغير واحد منهم مع تمكّنها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صادفوا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صاحب الفصول مع تصرّف وتلخيص</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اتصاله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عقلا أو عرفا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للتقيّد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الاشتباه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شامل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الظاهرية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الدليل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موضوعهما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تتعلّق</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يحرم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النهي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النهي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الأوّل هو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للتروك</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المورد الأوّل في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معلولا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تجديد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بتجديد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تعسّر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فكأنّه يسمع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ارتكاب الأطراف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فتأمّل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فلتأمّل</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عقليا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عليها وكتب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الاستدلال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والأصفهاني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الاشتغال به يتمّ الصورة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الاشتغال ربما يتمّ الصورة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بحث الاستصحاب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الثاني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رواية ضريس عن الباقر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السمن والجبن نجده في أرض المشركين بالروم نأكله؟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علمت أنّه قد خلطه الحرام فلا تأكل ، وأمّا ما لم تعلم فكله حتّى تعلم أنّه حرام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جملة كتب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غاية 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وعليه الجمهور ، وفي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الأكثر كأصحابنا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ذلك إلى المحقّق الأردبيلي في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يبلغ عبد أن يكون من المتقين حتّى يدع ما لا بأس به حذرا لما به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سمّي المتقون المتقين لتركهم عمّا لا بأس به ، حذرا مما به البأس</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السرائر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تعلم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لأعترض</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في جميع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 أنّه ميتة فلا تأكل ، وإن لم تعلم فاشتر وبع وكل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الثالث عليه‌السلام وفيه فيقرع بينهما فأيّهما وقع السهم بها ذبحت وأحرقت ونجا سائر الغنم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العملية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عائدة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شراء ما يأخذ الظالم من الغلاّت باسم المقاسمة ومن الأموال باسم الخراج ومن الأنعام باسم الزكاة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يوهم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 إلاّ لعقاب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بواحد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تفصيله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للمنهي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متنجّزا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يعلم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تتعلّق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مستنكرا شنيعا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الموجودة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شنيعا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المصدر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خارجها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البحراني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أجاب عنه أوّلا أنّ ما فرضه من الشبهة الغير المحصورة وثانيا أنّ القاعدة المذكورة إنّما تتعلّق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بعد 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عنه وعن المدارك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التنبيه السادس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بترك</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 وكذا في الموردين الآتيين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الحقيقي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اجتناب الاجتناب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البحراني كلام العلاّمة في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رسائل الكركى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الطهارة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يعارض</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يؤكّدها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يعارض بها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نحكم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جريانه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كانت 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المحدّث البحراني كما تقدّم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متعاضدة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محلّ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التعذّر لعلم؟</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 ما إذا تدرّجت</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 المرأة مبتدأة في الحيض ولم يمكنها تميز دم الحيض من غيره واستمرّ بها الدم فلترجع إلى عادة نسائها في أيّام الحيض وتعمل عليها فإن كنّ نساءها مختلفات العادة أو لا يكون لها نساء فلتترك الصلاة والصوم في كلّ شهر سبعة أيّام وتصلّي وتصوم ما بقي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التنبيه الثالث في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الاحتياط</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في الإناء</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يجتمعهما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يجمعها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موارد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به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استصحاب النجاسة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عرفت معنى</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يجدي</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لانتقاضهما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لاتنهاضهما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روض الجنان فى شرح ارشاد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نصّ عبارة المحقّق الكركي في التعليقة السابقة ، قال المحدّث البحراني في 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الشيخ حسن في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علمت الملاقاة على الوجه المؤثّر واشتبه محلّها فإن كان موضع الاشتباه غير محصور لم يظهر للنجاسة أثر وبقي كلّ واحد من الأجزاء التي وقع فيها الاشتباه على أصل الطهارة لا نعرف في ذلك خلافا ، وإن كان محصورا فظاهر جماعة من الأصحاب أنّه لا خلاف حينئذ في وجوب اجتناب ما حصل فيه الاشتباه كما مرّ في اشتباه الإناء من الماء الطاهر بالنجس ، ولم يذكروا على الحكم هنا حجّة وقد بيّنّا في مسألة الإناءين أنّ العمدة في الحكم بوجوب اجتنابهما على الإجماع المدّعى هناك ، وأنّ ما عداه من الوجوه التي احتجّوا بها ضعيفة مدخولة ، ولعلّ اعتمادهم في الحكم هنا أيضا على الإجماع لا على تلك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المصرّح به في أغلب الأحوال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بهذه المثابة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أحبّ دينكم إلى اللّه الحنيفية السمحة السهلة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بعثت بالحنيفية السمحة السهلة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وبهذا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محصورة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يفتي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للأدلّة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فينهض</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ينفكّ</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أنّ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فليكن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الشكّ في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إجماله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لإجماله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المقامين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 الأوّل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الموهم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الوجوب بالنسبة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لعموم إطاعة أوامره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إجماعا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المقصّر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أسوأ حالك لو متّ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كلام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الظاهر أنّ التكليف متعلّق بمقدّمات الفعل كالنظر والسعي والتعلّم ، وإلاّ لزم تكليف الغافل ، أو التكليف بما لا يطاق والعقاب يترتّب على ترك النظر لكن لا يبعد أن يكون متضمّنا لعقاب التارك مع العلم</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مقدّمة الواجب أنّه واجب غيري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يذهب عليك أنّ وجوب تحصيل العلم أو الظنّ في موارده غيريّ إذ الواجب في الحقيقة هو العمل المعلوم أو المظنون وجوبه دون نفس العلم أو الظنّ ، ولهذا لا يعاقب تارك الواجب على ترك تحصيل العلم أو الظنّ به أيضا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الفصول تبعا للشيخ المحشّي أخيه المحقّق</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هل يتصوّر وجوب المقدّمة قبل وجوب ذيها؟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ما ذكرناه إنّما هو بالنظر إلى دلالة الأمر الذي يتعلّق بذي المقدّمة ، وأمّا لو قام هناك أمر من الخارج على وجوب الإتيان بالمقدّمة قبل وجوب الفعل لأن يتمكّن من فعل المأمور به عند تعلّق الوجوب به ، فلا مانع منه أصلا كما قرّرناه ، ولا فرق حينئذ أيضا بين الصور المذكورة لكن في عدّ ذلك حينئذ من الوجوب الغيري تأمّل أشرنا إليه ، ولا يبعد إدراجه في الوجوب النفسي وإن كان الأمر به لإحراز مصلحة حاصلة بفعل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فالشبهة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يعلم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والمقام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الى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الاعتضاد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 ثبوت</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يقتضي وكذا في المورد الآتي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سابق</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نحكم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على وجه تقديري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استقلالها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تسألوا عنه فتعلموا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يشعر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بأطور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وجوب</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الخصوصتين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لتوارت</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الخصوصتين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الخصوصين؟</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المعلومة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العمرة؟</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 وهو تصحيف</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 وهو تصحيف</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التفصيل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قدر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عليه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غسل الكفّ والإصبع والذراع الزوائد تحت المرفق لتبعية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له يد زائدة غير متميّزة عن الأصلية ، وجب غسلهما من باب مقدّمة الواجب ، ولو تميّزت ، غسلت الأصلية خاصّة دون الزائدة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يحمل إطلاق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وجوب غسل الزائدة فوق المرفق إلاّ أن تكون تحت المرفق فتغسل أيضا للتبعية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 باقر اليزدي الطباطبائي في وسيلة الوسائل فى شرح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عليه جماعة من الأواخر كالمحقّق الشريف والمحقّقين صاحبي الهداية والفصول وغيرهم لكن ربما يظهر من كلام المحقّق في المعارج وجود القول بالاحتياط بين القدماء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 بوجوب الاحتياط وصار آخرون إلى عدمه وإجراء أصالة البراءة ، وفصّل ثالث بين ثبوت الشغل كما في مسألة الولوغ وبين غيره فقال بوجوبه في الأوّل دون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 أنّ نسبة الاحتياط في المقام إلى المشهور في غاية الغرابة وكأنّه اشتبه الأمر على صاحبها وتخيّل أنّهم اعتمدوا عليه على الإطلاق غايته أنّه وافق البراءة في بعض الموارد فهي لمجرّد التأييد ، ولا يخفى معارضته بمثله على ما ادّعاه المحقّق القمّي رحمه‌اللّه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يبيّنه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يبينهم ، وفوقها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نستكشف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المجاهد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مناهج الأحكام والأصول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محمّد تقي الأصفهاني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 الشيخ محمّد حسين الأصفهاني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جماعة والأردكاني كما في تقريرات درسه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أجابوا عنه وانظر أيضا اشارات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الأدلّة العقلية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كلام الآشتياني الآتي في التعليقة الآتية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التخصيصات ، وفي خ ل 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يصدق</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العملي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الآشتياني في 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والحاصل أنّا لم نجد في كلام الكلّ بل ولا الأكثرين تفريع الثمرة المذكورة وإنّما ذكره غير واحد ممّن تأخّر تبعا لما أفاده الفريد البهبهاني قدس‌سره في فوائده ، وردّه جماعة من المتأخّرين حتّى بعض تلامذته مثل المحقّق القمّي قدس‌سره في القوانين ومنعوا من لزوم الاحتياط على القول بالوضع للصحيح ، وقد وجّه شيخنا الأستاد العلاّمة ما أفاده الفريد البهبهاني قدس‌سره في المقام بأنّ غرضه ليس بيان الثمرة للمسألة وأنّ كلّ من قال بالوضع للصحيح يقول بالاشتغال أو يلزمه القول به بل بيان الثمرة على ما اختاره من الرجوع إلى الاحتياط في ماهيّات العبادات المردّدة بل ربما يتطرّق هذا التوجيه في كلام من تبعه في ذكر الثمرة المذكورة للمسألة كيف والمشهور مع قولهم بالوضع للصحيح قد ملئوا طواميرهم من إجراء أصالة البراءة عند الشكّ في الجزئية والشرطية ولا يظنّ اشتباه مثل هذا الأمر الواضح المبيّن على مثل هؤلاء الأعلام ، فغرضه أنّ القول بالصحيح ينفع الاشتغاليين لا أنّ كلّ من قال بالصحيح يلزمه القول بالاشتغال فضلا عن أن يقول به هذا ، ولكنّك خبير بأنّ هذا التوجيه وإن كان حسنا ينبغي إرادته إلاّ أنّ كلامهم يأبى عن إرادته سيّما بملاحظة ما ذكروه من أنّ لازم القول بالأعمّ عدم وجوب الاحتياط بل في كلام بعضهم أنّ لازمه الرجوع إلى البراءة فراجع إلى كلماتهم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فيتوهّم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المورد مورد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عقابا فعليا مردّدا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الدليل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للاستناد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بينهما في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إلى جريان أصل البراءة في الواجبات النفسية دون الواجبات الغيرية كما سيأتي في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إليه شريف العلماء كما صرّح به في 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عدم جريان القاعدة بالنسبة إلى الوجوب الغيري المشكوك من حيث إنّ العقاب على تقدير ثبوته على ترك الواجب النفسي لا الغيري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أدلّة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فعله أو تركه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قضت</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بالشكّ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وكذا في المورد الآتي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 وكذا في المورد الآتي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يطمئن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بشرطه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أنّ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فاختيار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الأولى في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نختار كلاّ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العثرة والزلّة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تفصيلا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يشتبه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بخطابات</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متعلّق لطلب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فيكون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الذوات</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المختلطة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الآية كثيرا في التنزيل العزيز</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يحصل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شخص آخر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بتحصيل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يتمسك</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الإيارجة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دواء معروف وهو معجون مسهّل للأخلاط ، جمع إيارج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إياره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يرج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تعيّن وكذا في المورد الآتي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 الصفحة السابقة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فإنّها ليست بهذه المثابة من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يشكل القول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 الشهيد في النيّة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التحقيق يقتضي كونها بالشرط أشبه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الواقع</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معدوم</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والفرق</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الأجلّ الأكمل كاشف الغطاء عن وجوه أبكار التدقيقات ، وأفكار التحقيقات الأستاد الأكبر جناب الشيخ جعفر نوّر اللّه ضريحه ، وروّح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وللحالة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عمله سبب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وتقدّم عنه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الشرطية والجزئية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كان النطق بالعربية واجبا وقوفا مع المنقول كان التعلّم لمن لا يعرف واجبا من باب المقدّمة ، فإن تعذّر وضاق الوقت أحرم بلغته مراعيا المعنى العربي فيقول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مذهب علمائنا وأكثر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 قول المصنّف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ضاق الوقت أحرم بترجمتها ، عدم جوازها مع السعة ، وهو إنّما يتّجه مع إمكان التعلّم لا مطلقا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عنه أيضا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إسناد الاقتضاء إلى المعلول</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الأولوية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بأهلية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تنافيها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وحيث</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شرطا وجزء</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ونظرا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الثاني منها في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دفع لما توهّمه صاحب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 الركن ليس في عنوان الأدلّة مع أنّ الأصحاب قد رتّبوا عليه أحكاما كثيرة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 باقر الطباطبائي اليزدي في وسيلة الوسائل فى شرح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الأوّل المحقّق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المنتهى والإرشاد والشهيد في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والسيّد في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عن جامع المقاصد والروض نسبته إلى أصحابنا ، ومن الثاني ابن فهد في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الثاني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نصّ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في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المشهور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المصنّف رحمه‌اللّه حكم زيادة الركن مع كون المشهور أنّ زيادته على حدّ نقيصته تنبيها على فساد الكلّية في طرف الزيادة لتخلّفه في مواضع كثيرة لا تبطل بزيادته سهوا ونسبه شيخ الجواهر إلى الشهرة في لسان جماعة من المتأخّرين بل نسبه في المهذّب البارع إلى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اليزدي في الوسيلة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انعدامه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مناط</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يبتني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تبنى</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الإحراز</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الفعلي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إفادة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في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في الصورة الثالثة في الزيادة سهوا ولم يكمل البحث</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مخالفينا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الحلف باليمين الكاذبة للتقيّة كدفع الظالم عن نفسه أو ماله أو نفس المؤمن أو ماله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 عن صفوان بن يحيى والبزنطي جميعا ، عن أبي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يستكره على اليمين فيحلف بالطلاق والعتاق وصدقة ما يملك أيلزمه ذلك؟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 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عن أمّتي ما أكرهوا عليه وما لم يطيقوا وما أخطئوا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في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اليمين لا تنعقد في غضب ولا جبر ولا إكراه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والأحكام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المخطئ</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بما ذهب إليه في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 كلمتين بياض</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وبأسرها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 وموضع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الصورة الأولى في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فتصوّر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تقييد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 وموضع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التصوّر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فالحكم لزيادة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صلواته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سطرين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نصف سطر بياض وكتب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يك صفحه باز گذاشته شده بود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الأمر الأوّل في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الفصول وشريف العلماء كما تقدّم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المحقّق الكركى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فى شرح الدروس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الشهيد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والأقطع يغسل ما بقي ولو استوعب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أيضا بالأصل والاستصحاب وأنّ غسل الجميع بتقدير وجوده واجب فإذا زال البعض ، لم يسقط الآخر ؛ لأنّ الميسور لا يسقط بالمعسور ، وفيه ضعف ؛ لأنّ الاستصحاب في مثل هذا الموضع ممّا لا يمكن إجراؤه لأنّ الحكم السابق إنّما هو الأمر بغسل المجموع من حيث هو مجموع أمرا واحدا ، وليس أوامر متعلّقة بكلّ جزء جزء منه ، ولمّا لم يبق متعلّقه هنا فسقط التكليف به ، فلا بدّ في غسل الجزء الباقي من تكليف على حدة وقس عليه أيضا حال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الميسور لا يسقط بالمعسور ، والحاصل أنّ هذه الدلائل ممّا يشكل إتمامها فالعمدة في التعويل الإجماع</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يترك الميسور بالمعسور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وعدّه من الأمثال ابن أبي الحديد في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العجلوني في كشف الخفاء ومزيل الإلباس عمّا اشتهر من الأحاديث على ألسنة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معنى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أمرتكم به فأتوا منه ما استطعتم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الترجمة قاعدة وليس بحديث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نحوه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مرسلا في رسائل السيّد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تَسْئَلُوا عَنْ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وورد مسندا في كتب العامّة كصحيح البخارى ومسلم وسنن النسائى وابن ماجة والبيهقى ومصنّف عبد الرزّاق ومسند ابن راهويه وأحمد وأبى يعلى وصحيح ابن خزيمة وابن حبّان ومعجم الأوسط للطبرانى والحديث عامي ولعلّ سرى الاستدلال به في كتب الفقهية من كتب العلاّمة كالمنتهى والتذكرة والنهاية ونقله العلاّمة حين ذكر استدلال العامّة من كتبهم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استدلّ بقاعدة الميسور فخر المحقّقين ثمّ من بعده الشهيد الأوّل ومن بعده المحقّق الثاني ثمّ الشهيد الثاني ثمّ متابعوهم وبالغ في ذلك 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الجديدة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ذكره حديث إذا أمرتكم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والميسور لا يسقط </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والعجز عن بعض الواجب إن كان عن جزئيات يصحّ فعلها من دون فعل الباقي وجب الإتيان بالمقدور ، وإن كان عن بعض مركّب يبطله الانفصال كالصلاة والوضوء في بعض الأحوال فعجز وانفصل بطل ، وإلاّ يكن كذلك كبعض أغسال الميّت أو بعض أعضائه وبعض أعضاء غسل الجنابة وغيرها من الأغسال صحّ بمعنى عدم لزوم إعادته لو تمكّن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تقييدها بالأجزاء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بالثاني</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استطعتم</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فى شرح مختصر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ويجعل في الماء شيء من السدر وشيء من كافور </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وليكن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عليه‌السلام وكذا في المورد الآتي</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منقولة بالمعنى وتقدّمت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تستفاد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بلزوم المسح على المرارة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يتّضح</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فينفى</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نشكّ</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أحكام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المطلقة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عن الحسين بن عليّ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أمير المؤمنين عليه‌السلام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على الناس زمان عضوض يعضّ المؤمن على ما في يده ولم يؤمن بذلك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تَنْسَوُا الْفَضْلَ بَيْنَكُمْ إِنَّ اللّهَ بِما تَعْمَلُونَ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زمان يقدّم فيه الأشرار ، وينسى فيه الأخيار ، ويبايع المضطر ، وقد نهى رسول اللّه صلى‌اللّه‌عليه‌وآله عن بيع المضطرّ وعن بيع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يا أيّها الناس وأصلحوا ذات بينكم واحفظوني في أهلي</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أيضا في وسيلة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للوسيلة </w:t>
      </w:r>
      <w:r>
        <w:rPr>
          <w:rFonts w:eastAsia="IRNazanin" w:cs="IRNazanin"/>
          <w:b w:val="false"/>
          <w:bCs w:val="false"/>
          <w:i w:val="false"/>
          <w:iCs w:val="false"/>
          <w:color w:val="333333"/>
          <w:sz w:val="20"/>
          <w:szCs w:val="20"/>
          <w:rtl w:val="true"/>
        </w:rPr>
        <w:t>-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قيل أيضا في وسيلة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هو الحمل على الشرطية لاستلزام الجزئية زيادة التفات من الشارع لاعتباره جزءا والأصل عدمها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لجواز التمسّك بأصالة براءة الذمّة ، وبأصالة العدم ، وبأصالة عدم تقدّم الحادث شروطا ثلاثة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إعمال الأصل مستلزما لثبوت حكم شرعي من جهة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 لا يتضرّر بسبب التمسّك به مسلم أو من في حكمه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النيّة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أمكن تحصيل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على معرفة القبلة لا يجوز له الاجتهاد عند علمائنا ، كما أنّ القادر على العمل بالنصّ في الأحكام لا يجوز له الاجتهاد لإمكان الخطأ في الثاني دون الأوّل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الصلاة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حكاها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الشهيد الأوّل في 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المشهور من فقهائنا ، ونسب إلى المشهور أيضا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وشريف العلماء كما في تقريراته للفاضل الأردكاني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فيكفي</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فلإطلاق</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مخالفة سيرة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صاحب المدارك عن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قاله في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بحث القطع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القائلين به في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جريان الاشتغال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إليه صاحب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 إلى صاحب المعالم وقد تقدّم عنهم في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بحث القطع والظنّ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العلمية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 الشهيد في كتاب الصوم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نسي صحّ والجاهل عامد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الحسن بن محمّد الطوسي ، ولد شيخ الطائفة الطوسي ، وقد ينسب أمالي والده إليه خطأ ؛ لأنّه كان راويه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منقول بالمعنى</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العمل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المقدّمة الثانية ، يعني العقاب عند المخالفة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 ، وهو غلط</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الثانية ، وهو غلط</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 ، وهو غلط</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الثاني ، وهو غلط</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قتلوه قتلهم اللّه ، إنّما كان دواء العيّ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ينافيه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الحديث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والأصفهاني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نبّهنا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الرأيان</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بعينه </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سألتني</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بالغذاء فتغذينا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سأخبرك</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قطعة منه في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البقّم صبغ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أوجبه على الكفاية العلاّمة في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حكمه باستحبابه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بوجوبه مطلقا ، قال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ويجب على المكلّف الاحتياط لفرض الصيام بأن يرقب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الحديقة الهلالية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أفتى به جملة من الأعلام بل الظاهر أنّه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كتاب القضاء للآشتياني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الصلاة ، تقريرات بحث النائيني للكاظمي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للسيّد الخوئي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المورد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المورد الأوّل في بيان الحكم التكليفي في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المطلوبية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غيرى؟</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هي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176402</Words>
  <Characters>689902</Characters>
  <CharactersWithSpaces>862701</CharactersWithSpaces>
  <Paragraphs>6399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2026-08-25T11:26:23Z</dcterms:created>
  <dc:creator>ghaemiyeh.com</dc:creator>
  <dc:description/>
  <dc:language>en-US</dc:language>
  <cp:lastModifiedBy/>
  <dcterms:modified xsi:type="dcterms:W3CDTF">2026-08-25T14:56:47Z</dcterms:modified>
  <cp:revision>1</cp:revision>
  <dc:subject/>
  <dc:title>مطارح الأنظار جلد 3</dc:title>
</cp:coreProperties>
</file>

<file path=docProps/custom.xml><?xml version="1.0" encoding="utf-8"?>
<Properties xmlns="http://schemas.openxmlformats.org/officeDocument/2006/custom-properties" xmlns:vt="http://schemas.openxmlformats.org/officeDocument/2006/docPropsVTypes"/>
</file>