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الزهرة البارقة لمعرفة أحوال المجاز والحقیقة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34270_1280447820">
            <w:r>
              <w:rPr>
                <w:webHidden/>
                <w:rStyle w:val="IndexLink"/>
                <w:rtl w:val="true"/>
              </w:rPr>
              <w:t>هویة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3734272_128044782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3734274_1280447820">
            <w:r>
              <w:rPr>
                <w:webHidden/>
                <w:rStyle w:val="IndexLink"/>
                <w:rtl w:val="true"/>
              </w:rPr>
              <w:t>الباب الرابع</w:t>
            </w:r>
            <w:r>
              <w:rPr>
                <w:rStyle w:val="IndexLink"/>
                <w:rtl w:val="true"/>
              </w:rPr>
              <w:t xml:space="preserve">: </w:t>
            </w:r>
            <w:r>
              <w:rPr>
                <w:rStyle w:val="IndexLink"/>
                <w:rtl w:val="true"/>
              </w:rPr>
              <w:t>في تقسيم الحقيقة والمجاز إلى الأقسام المعروفة وما يتعلّق بها من الأمور المهمّة</w:t>
            </w:r>
            <w:r>
              <w:rPr>
                <w:rStyle w:val="IndexLink"/>
                <w:rtl w:val="true"/>
              </w:rPr>
              <w:tab/>
            </w:r>
            <w:r>
              <w:rPr>
                <w:rStyle w:val="IndexLink"/>
              </w:rPr>
              <w:t>16</w:t>
            </w:r>
          </w:hyperlink>
        </w:p>
        <w:p>
          <w:pPr>
            <w:pStyle w:val="Contents3"/>
            <w:tabs>
              <w:tab w:val="clear" w:pos="8459"/>
              <w:tab w:val="right" w:pos="9026" w:leader="dot"/>
            </w:tabs>
            <w:rPr/>
          </w:pPr>
          <w:hyperlink w:anchor="__RefHeading___Toc3734276_128044782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3734278_1280447820">
            <w:r>
              <w:rPr>
                <w:webHidden/>
                <w:rStyle w:val="IndexLink"/>
                <w:rtl w:val="true"/>
              </w:rPr>
              <w:t>الفصل الأوّل</w:t>
            </w:r>
            <w:r>
              <w:rPr>
                <w:rStyle w:val="IndexLink"/>
                <w:rtl w:val="true"/>
              </w:rPr>
              <w:t xml:space="preserve">: </w:t>
            </w:r>
            <w:r>
              <w:rPr>
                <w:rStyle w:val="IndexLink"/>
                <w:rtl w:val="true"/>
              </w:rPr>
              <w:t>في الحقيقة الشرعيّة</w:t>
            </w:r>
            <w:r>
              <w:rPr>
                <w:rStyle w:val="IndexLink"/>
                <w:rtl w:val="true"/>
              </w:rPr>
              <w:tab/>
            </w:r>
            <w:r>
              <w:rPr>
                <w:rStyle w:val="IndexLink"/>
              </w:rPr>
              <w:t>18</w:t>
            </w:r>
          </w:hyperlink>
        </w:p>
        <w:p>
          <w:pPr>
            <w:pStyle w:val="Contents4"/>
            <w:tabs>
              <w:tab w:val="clear" w:pos="8176"/>
              <w:tab w:val="right" w:pos="9026" w:leader="dot"/>
            </w:tabs>
            <w:rPr/>
          </w:pPr>
          <w:hyperlink w:anchor="__RefHeading___Toc3734280_128044782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3734282_1280447820">
            <w:r>
              <w:rPr>
                <w:webHidden/>
                <w:rStyle w:val="IndexLink"/>
                <w:rtl w:val="true"/>
              </w:rPr>
              <w:t>المبحث الأوّل</w:t>
            </w:r>
            <w:r>
              <w:rPr>
                <w:rStyle w:val="IndexLink"/>
                <w:rtl w:val="true"/>
              </w:rPr>
              <w:t xml:space="preserve">: </w:t>
            </w:r>
            <w:r>
              <w:rPr>
                <w:rStyle w:val="IndexLink"/>
                <w:rtl w:val="true"/>
              </w:rPr>
              <w:t>في تعيين الشارع</w:t>
            </w:r>
            <w:r>
              <w:rPr>
                <w:rStyle w:val="IndexLink"/>
                <w:rtl w:val="true"/>
              </w:rPr>
              <w:tab/>
            </w:r>
            <w:r>
              <w:rPr>
                <w:rStyle w:val="IndexLink"/>
              </w:rPr>
              <w:t>18</w:t>
            </w:r>
          </w:hyperlink>
        </w:p>
        <w:p>
          <w:pPr>
            <w:pStyle w:val="Contents5"/>
            <w:tabs>
              <w:tab w:val="clear" w:pos="7892"/>
              <w:tab w:val="right" w:pos="9026" w:leader="dot"/>
            </w:tabs>
            <w:rPr/>
          </w:pPr>
          <w:hyperlink w:anchor="__RefHeading___Toc3734284_1280447820">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3734286_1280447820">
            <w:r>
              <w:rPr>
                <w:webHidden/>
                <w:rStyle w:val="IndexLink"/>
                <w:rtl w:val="true"/>
              </w:rPr>
              <w:t xml:space="preserve">في ثبوت التفويض في الأحكام إلى النبيّ </w:t>
            </w:r>
            <w:r>
              <w:rPr>
                <w:rStyle w:val="IndexLink"/>
                <w:rtl w:val="true"/>
              </w:rPr>
              <w:t>(</w:t>
            </w:r>
            <w:r>
              <w:rPr>
                <w:rStyle w:val="IndexLink"/>
                <w:rtl w:val="true"/>
              </w:rPr>
              <w:t>صلی الله علیه و آله</w:t>
            </w:r>
            <w:r>
              <w:rPr>
                <w:rStyle w:val="IndexLink"/>
                <w:rtl w:val="true"/>
              </w:rPr>
              <w:t>)</w:t>
              <w:tab/>
            </w:r>
            <w:r>
              <w:rPr>
                <w:rStyle w:val="IndexLink"/>
              </w:rPr>
              <w:t>21</w:t>
            </w:r>
          </w:hyperlink>
        </w:p>
        <w:p>
          <w:pPr>
            <w:pStyle w:val="Contents5"/>
            <w:tabs>
              <w:tab w:val="clear" w:pos="7892"/>
              <w:tab w:val="right" w:pos="9026" w:leader="dot"/>
            </w:tabs>
            <w:rPr/>
          </w:pPr>
          <w:hyperlink w:anchor="__RefHeading___Toc3734288_1280447820">
            <w:r>
              <w:rPr>
                <w:webHidden/>
                <w:rStyle w:val="IndexLink"/>
                <w:rtl w:val="true"/>
              </w:rPr>
              <w:t xml:space="preserve">في الإشكالات الواردة على تفويض الأحكام إليه </w:t>
            </w:r>
            <w:r>
              <w:rPr>
                <w:rStyle w:val="IndexLink"/>
                <w:rtl w:val="true"/>
              </w:rPr>
              <w:t>(</w:t>
            </w:r>
            <w:r>
              <w:rPr>
                <w:rStyle w:val="IndexLink"/>
                <w:rtl w:val="true"/>
              </w:rPr>
              <w:t>صلی الله علیه و آله</w:t>
            </w:r>
            <w:r>
              <w:rPr>
                <w:rStyle w:val="IndexLink"/>
                <w:rtl w:val="true"/>
              </w:rPr>
              <w:t>)</w:t>
              <w:tab/>
            </w:r>
            <w:r>
              <w:rPr>
                <w:rStyle w:val="IndexLink"/>
              </w:rPr>
              <w:t>25</w:t>
            </w:r>
          </w:hyperlink>
        </w:p>
        <w:p>
          <w:pPr>
            <w:pStyle w:val="Contents5"/>
            <w:tabs>
              <w:tab w:val="clear" w:pos="7892"/>
              <w:tab w:val="right" w:pos="9026" w:leader="dot"/>
            </w:tabs>
            <w:rPr/>
          </w:pPr>
          <w:hyperlink w:anchor="__RefHeading___Toc3734290_1280447820">
            <w:r>
              <w:rPr>
                <w:webHidden/>
                <w:rStyle w:val="IndexLink"/>
                <w:rtl w:val="true"/>
              </w:rPr>
              <w:t xml:space="preserve">الجواب عن الإشكالات الواردة على تفويض الأحكام إليه </w:t>
            </w:r>
            <w:r>
              <w:rPr>
                <w:rStyle w:val="IndexLink"/>
                <w:rtl w:val="true"/>
              </w:rPr>
              <w:t>(</w:t>
            </w:r>
            <w:r>
              <w:rPr>
                <w:rStyle w:val="IndexLink"/>
                <w:rtl w:val="true"/>
              </w:rPr>
              <w:t>صلی الله علیه و آله</w:t>
            </w:r>
            <w:r>
              <w:rPr>
                <w:rStyle w:val="IndexLink"/>
                <w:rtl w:val="true"/>
              </w:rPr>
              <w:t>)</w:t>
              <w:tab/>
            </w:r>
            <w:r>
              <w:rPr>
                <w:rStyle w:val="IndexLink"/>
              </w:rPr>
              <w:t>26</w:t>
            </w:r>
          </w:hyperlink>
        </w:p>
        <w:p>
          <w:pPr>
            <w:pStyle w:val="Contents5"/>
            <w:tabs>
              <w:tab w:val="clear" w:pos="7892"/>
              <w:tab w:val="right" w:pos="9026" w:leader="dot"/>
            </w:tabs>
            <w:rPr/>
          </w:pPr>
          <w:hyperlink w:anchor="__RefHeading___Toc3734292_1280447820">
            <w:r>
              <w:rPr>
                <w:webHidden/>
                <w:rStyle w:val="IndexLink"/>
                <w:rtl w:val="true"/>
              </w:rPr>
              <w:t>إشكال آخر أصعب ممّا ذكر</w:t>
            </w:r>
            <w:r>
              <w:rPr>
                <w:rStyle w:val="IndexLink"/>
                <w:rtl w:val="true"/>
              </w:rPr>
              <w:tab/>
            </w:r>
            <w:r>
              <w:rPr>
                <w:rStyle w:val="IndexLink"/>
              </w:rPr>
              <w:t>28</w:t>
            </w:r>
          </w:hyperlink>
        </w:p>
        <w:p>
          <w:pPr>
            <w:pStyle w:val="Contents5"/>
            <w:tabs>
              <w:tab w:val="clear" w:pos="7892"/>
              <w:tab w:val="right" w:pos="9026" w:leader="dot"/>
            </w:tabs>
            <w:rPr/>
          </w:pPr>
          <w:hyperlink w:anchor="__RefHeading___Toc3734294_1280447820">
            <w:r>
              <w:rPr>
                <w:webHidden/>
                <w:rStyle w:val="IndexLink"/>
                <w:rtl w:val="true"/>
              </w:rPr>
              <w:t>حاصل الإشكال</w:t>
            </w:r>
            <w:r>
              <w:rPr>
                <w:rStyle w:val="IndexLink"/>
                <w:rtl w:val="true"/>
              </w:rPr>
              <w:tab/>
            </w:r>
            <w:r>
              <w:rPr>
                <w:rStyle w:val="IndexLink"/>
              </w:rPr>
              <w:t>30</w:t>
            </w:r>
          </w:hyperlink>
        </w:p>
        <w:p>
          <w:pPr>
            <w:pStyle w:val="Contents5"/>
            <w:tabs>
              <w:tab w:val="clear" w:pos="7892"/>
              <w:tab w:val="right" w:pos="9026" w:leader="dot"/>
            </w:tabs>
            <w:rPr/>
          </w:pPr>
          <w:hyperlink w:anchor="__RefHeading___Toc3734296_1280447820">
            <w:r>
              <w:rPr>
                <w:webHidden/>
                <w:rStyle w:val="IndexLink"/>
                <w:rtl w:val="true"/>
              </w:rPr>
              <w:t>الجواب عن الإشكال</w:t>
            </w:r>
            <w:r>
              <w:rPr>
                <w:rStyle w:val="IndexLink"/>
                <w:rtl w:val="true"/>
              </w:rPr>
              <w:tab/>
            </w:r>
            <w:r>
              <w:rPr>
                <w:rStyle w:val="IndexLink"/>
              </w:rPr>
              <w:t>31</w:t>
            </w:r>
          </w:hyperlink>
        </w:p>
        <w:p>
          <w:pPr>
            <w:pStyle w:val="Contents5"/>
            <w:tabs>
              <w:tab w:val="clear" w:pos="7892"/>
              <w:tab w:val="right" w:pos="9026" w:leader="dot"/>
            </w:tabs>
            <w:rPr/>
          </w:pPr>
          <w:hyperlink w:anchor="__RefHeading___Toc3734298_1280447820">
            <w:r>
              <w:rPr>
                <w:webHidden/>
                <w:rStyle w:val="IndexLink"/>
                <w:rtl w:val="true"/>
              </w:rPr>
              <w:t>محصّل الكلام في هذا المقام</w:t>
            </w:r>
            <w:r>
              <w:rPr>
                <w:rStyle w:val="IndexLink"/>
                <w:rtl w:val="true"/>
              </w:rPr>
              <w:tab/>
            </w:r>
            <w:r>
              <w:rPr>
                <w:rStyle w:val="IndexLink"/>
              </w:rPr>
              <w:t>33</w:t>
            </w:r>
          </w:hyperlink>
        </w:p>
        <w:p>
          <w:pPr>
            <w:pStyle w:val="Contents5"/>
            <w:tabs>
              <w:tab w:val="clear" w:pos="7892"/>
              <w:tab w:val="right" w:pos="9026" w:leader="dot"/>
            </w:tabs>
            <w:rPr/>
          </w:pPr>
          <w:hyperlink w:anchor="__RefHeading___Toc3734300_1280447820">
            <w:r>
              <w:rPr>
                <w:webHidden/>
                <w:rStyle w:val="IndexLink"/>
                <w:rtl w:val="true"/>
              </w:rPr>
              <w:t xml:space="preserve">في عدم ثبوت التفويض في الأحكام إلى الأئمّة </w:t>
            </w:r>
            <w:r>
              <w:rPr>
                <w:rStyle w:val="IndexLink"/>
                <w:rtl w:val="true"/>
              </w:rPr>
              <w:t>(</w:t>
            </w:r>
            <w:r>
              <w:rPr>
                <w:rStyle w:val="IndexLink"/>
                <w:rtl w:val="true"/>
              </w:rPr>
              <w:t>علیه السلام</w:t>
            </w:r>
            <w:r>
              <w:rPr>
                <w:rStyle w:val="IndexLink"/>
                <w:rtl w:val="true"/>
              </w:rPr>
              <w:t>)</w:t>
              <w:tab/>
            </w:r>
            <w:r>
              <w:rPr>
                <w:rStyle w:val="IndexLink"/>
              </w:rPr>
              <w:t>34</w:t>
            </w:r>
          </w:hyperlink>
        </w:p>
        <w:p>
          <w:pPr>
            <w:pStyle w:val="Contents5"/>
            <w:tabs>
              <w:tab w:val="clear" w:pos="7892"/>
              <w:tab w:val="right" w:pos="9026" w:leader="dot"/>
            </w:tabs>
            <w:rPr/>
          </w:pPr>
          <w:hyperlink w:anchor="__RefHeading___Toc3734302_1280447820">
            <w:r>
              <w:rPr>
                <w:webHidden/>
                <w:rStyle w:val="IndexLink"/>
                <w:rtl w:val="true"/>
              </w:rPr>
              <w:t xml:space="preserve">الإشكال الوارد على تفويض الأحكام إلى الأئمّة </w:t>
            </w:r>
            <w:r>
              <w:rPr>
                <w:rStyle w:val="IndexLink"/>
                <w:rtl w:val="true"/>
              </w:rPr>
              <w:t>(</w:t>
            </w:r>
            <w:r>
              <w:rPr>
                <w:rStyle w:val="IndexLink"/>
                <w:rtl w:val="true"/>
              </w:rPr>
              <w:t>علیه السلام</w:t>
            </w:r>
            <w:r>
              <w:rPr>
                <w:rStyle w:val="IndexLink"/>
                <w:rtl w:val="true"/>
              </w:rPr>
              <w:t>)</w:t>
              <w:tab/>
            </w:r>
            <w:r>
              <w:rPr>
                <w:rStyle w:val="IndexLink"/>
              </w:rPr>
              <w:t>35</w:t>
            </w:r>
          </w:hyperlink>
        </w:p>
        <w:p>
          <w:pPr>
            <w:pStyle w:val="Contents5"/>
            <w:tabs>
              <w:tab w:val="clear" w:pos="7892"/>
              <w:tab w:val="right" w:pos="9026" w:leader="dot"/>
            </w:tabs>
            <w:rPr/>
          </w:pPr>
          <w:hyperlink w:anchor="__RefHeading___Toc3734304_1280447820">
            <w:r>
              <w:rPr>
                <w:webHidden/>
                <w:rStyle w:val="IndexLink"/>
                <w:rtl w:val="true"/>
              </w:rPr>
              <w:t xml:space="preserve">بعض النصوص الدالّة على ثبوت التفويض إلى الأئمّة </w:t>
            </w:r>
            <w:r>
              <w:rPr>
                <w:rStyle w:val="IndexLink"/>
                <w:rtl w:val="true"/>
              </w:rPr>
              <w:t>(</w:t>
            </w:r>
            <w:r>
              <w:rPr>
                <w:rStyle w:val="IndexLink"/>
                <w:rtl w:val="true"/>
              </w:rPr>
              <w:t>علیه السلام</w:t>
            </w:r>
            <w:r>
              <w:rPr>
                <w:rStyle w:val="IndexLink"/>
                <w:rtl w:val="true"/>
              </w:rPr>
              <w:t>)</w:t>
              <w:tab/>
            </w:r>
            <w:r>
              <w:rPr>
                <w:rStyle w:val="IndexLink"/>
              </w:rPr>
              <w:t>35</w:t>
            </w:r>
          </w:hyperlink>
        </w:p>
        <w:p>
          <w:pPr>
            <w:pStyle w:val="Contents5"/>
            <w:tabs>
              <w:tab w:val="clear" w:pos="7892"/>
              <w:tab w:val="right" w:pos="9026" w:leader="dot"/>
            </w:tabs>
            <w:rPr/>
          </w:pPr>
          <w:hyperlink w:anchor="__RefHeading___Toc3734306_1280447820">
            <w:r>
              <w:rPr>
                <w:webHidden/>
                <w:rStyle w:val="IndexLink"/>
                <w:rtl w:val="true"/>
              </w:rPr>
              <w:t xml:space="preserve">الجواب عن الإشكال الوارد على تفويض الأحكام إلى الأئمّة </w:t>
            </w:r>
            <w:r>
              <w:rPr>
                <w:rStyle w:val="IndexLink"/>
                <w:rtl w:val="true"/>
              </w:rPr>
              <w:t>(</w:t>
            </w:r>
            <w:r>
              <w:rPr>
                <w:rStyle w:val="IndexLink"/>
                <w:rtl w:val="true"/>
              </w:rPr>
              <w:t>علیه السلام</w:t>
            </w:r>
            <w:r>
              <w:rPr>
                <w:rStyle w:val="IndexLink"/>
                <w:rtl w:val="true"/>
              </w:rPr>
              <w:t>)</w:t>
              <w:tab/>
            </w:r>
            <w:r>
              <w:rPr>
                <w:rStyle w:val="IndexLink"/>
              </w:rPr>
              <w:t>36</w:t>
            </w:r>
          </w:hyperlink>
        </w:p>
        <w:p>
          <w:pPr>
            <w:pStyle w:val="Contents5"/>
            <w:tabs>
              <w:tab w:val="clear" w:pos="7892"/>
              <w:tab w:val="right" w:pos="9026" w:leader="dot"/>
            </w:tabs>
            <w:rPr/>
          </w:pPr>
          <w:hyperlink w:anchor="__RefHeading___Toc3734308_1280447820">
            <w:r>
              <w:rPr>
                <w:webHidden/>
                <w:rStyle w:val="IndexLink"/>
                <w:rtl w:val="true"/>
              </w:rPr>
              <w:t xml:space="preserve">إشكال آخر على تفويض الأحكام إلى الأئمّة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5"/>
            <w:tabs>
              <w:tab w:val="clear" w:pos="7892"/>
              <w:tab w:val="right" w:pos="9026" w:leader="dot"/>
            </w:tabs>
            <w:rPr/>
          </w:pPr>
          <w:hyperlink w:anchor="__RefHeading___Toc3734310_1280447820">
            <w:r>
              <w:rPr>
                <w:webHidden/>
                <w:rStyle w:val="IndexLink"/>
                <w:rtl w:val="true"/>
              </w:rPr>
              <w:t>الجواب عن الإشكال</w:t>
            </w:r>
            <w:r>
              <w:rPr>
                <w:rStyle w:val="IndexLink"/>
                <w:rtl w:val="true"/>
              </w:rPr>
              <w:tab/>
            </w:r>
            <w:r>
              <w:rPr>
                <w:rStyle w:val="IndexLink"/>
              </w:rPr>
              <w:t>40</w:t>
            </w:r>
          </w:hyperlink>
        </w:p>
        <w:p>
          <w:pPr>
            <w:pStyle w:val="Contents4"/>
            <w:tabs>
              <w:tab w:val="clear" w:pos="8176"/>
              <w:tab w:val="right" w:pos="9026" w:leader="dot"/>
            </w:tabs>
            <w:rPr/>
          </w:pPr>
          <w:hyperlink w:anchor="__RefHeading___Toc3734312_1280447820">
            <w:r>
              <w:rPr>
                <w:webHidden/>
                <w:rStyle w:val="IndexLink"/>
                <w:rtl w:val="true"/>
              </w:rPr>
              <w:t>المبحث الثاني</w:t>
            </w:r>
            <w:r>
              <w:rPr>
                <w:rStyle w:val="IndexLink"/>
                <w:rtl w:val="true"/>
              </w:rPr>
              <w:t xml:space="preserve">: </w:t>
            </w:r>
            <w:r>
              <w:rPr>
                <w:rStyle w:val="IndexLink"/>
                <w:rtl w:val="true"/>
              </w:rPr>
              <w:t>في ماهيّة الحقيقة الشرعيّة</w:t>
            </w:r>
            <w:r>
              <w:rPr>
                <w:rStyle w:val="IndexLink"/>
                <w:rtl w:val="true"/>
              </w:rPr>
              <w:tab/>
            </w:r>
            <w:r>
              <w:rPr>
                <w:rStyle w:val="IndexLink"/>
              </w:rPr>
              <w:t>42</w:t>
            </w:r>
          </w:hyperlink>
        </w:p>
        <w:p>
          <w:pPr>
            <w:pStyle w:val="Contents5"/>
            <w:tabs>
              <w:tab w:val="clear" w:pos="7892"/>
              <w:tab w:val="right" w:pos="9026" w:leader="dot"/>
            </w:tabs>
            <w:rPr/>
          </w:pPr>
          <w:hyperlink w:anchor="__RefHeading___Toc3734314_1280447820">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3734316_1280447820">
            <w:r>
              <w:rPr>
                <w:webHidden/>
                <w:rStyle w:val="IndexLink"/>
                <w:rtl w:val="true"/>
              </w:rPr>
              <w:t>الاحتمالات في وضع الحقيقة الشرعيّة ثلاثة</w:t>
            </w:r>
            <w:r>
              <w:rPr>
                <w:rStyle w:val="IndexLink"/>
                <w:rtl w:val="true"/>
              </w:rPr>
              <w:tab/>
            </w:r>
            <w:r>
              <w:rPr>
                <w:rStyle w:val="IndexLink"/>
              </w:rPr>
              <w:t>45</w:t>
            </w:r>
          </w:hyperlink>
        </w:p>
        <w:p>
          <w:pPr>
            <w:pStyle w:val="Contents6"/>
            <w:tabs>
              <w:tab w:val="clear" w:pos="7609"/>
              <w:tab w:val="right" w:pos="9026" w:leader="dot"/>
            </w:tabs>
            <w:rPr/>
          </w:pPr>
          <w:hyperlink w:anchor="__RefHeading___Toc3734318_1280447820">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3734320_1280447820">
            <w:r>
              <w:rPr>
                <w:webHidden/>
                <w:rStyle w:val="IndexLink"/>
                <w:rtl w:val="true"/>
              </w:rPr>
              <w:t>الاحتمال الأوّل</w:t>
            </w:r>
            <w:r>
              <w:rPr>
                <w:rStyle w:val="IndexLink"/>
                <w:rtl w:val="true"/>
              </w:rPr>
              <w:tab/>
            </w:r>
            <w:r>
              <w:rPr>
                <w:rStyle w:val="IndexLink"/>
              </w:rPr>
              <w:t>49</w:t>
            </w:r>
          </w:hyperlink>
        </w:p>
        <w:p>
          <w:pPr>
            <w:pStyle w:val="Contents6"/>
            <w:tabs>
              <w:tab w:val="clear" w:pos="7609"/>
              <w:tab w:val="right" w:pos="9026" w:leader="dot"/>
            </w:tabs>
            <w:rPr/>
          </w:pPr>
          <w:hyperlink w:anchor="__RefHeading___Toc3734322_1280447820">
            <w:r>
              <w:rPr>
                <w:webHidden/>
                <w:rStyle w:val="IndexLink"/>
                <w:rtl w:val="true"/>
              </w:rPr>
              <w:t>الاحتمال الثاني</w:t>
            </w:r>
            <w:r>
              <w:rPr>
                <w:rStyle w:val="IndexLink"/>
                <w:rtl w:val="true"/>
              </w:rPr>
              <w:tab/>
            </w:r>
            <w:r>
              <w:rPr>
                <w:rStyle w:val="IndexLink"/>
              </w:rPr>
              <w:t>50</w:t>
            </w:r>
          </w:hyperlink>
        </w:p>
        <w:p>
          <w:pPr>
            <w:pStyle w:val="Contents6"/>
            <w:tabs>
              <w:tab w:val="clear" w:pos="7609"/>
              <w:tab w:val="right" w:pos="9026" w:leader="dot"/>
            </w:tabs>
            <w:rPr/>
          </w:pPr>
          <w:hyperlink w:anchor="__RefHeading___Toc3734324_1280447820">
            <w:r>
              <w:rPr>
                <w:webHidden/>
                <w:rStyle w:val="IndexLink"/>
                <w:rtl w:val="true"/>
              </w:rPr>
              <w:t>الاحتمال الثالث</w:t>
            </w:r>
            <w:r>
              <w:rPr>
                <w:rStyle w:val="IndexLink"/>
                <w:rtl w:val="true"/>
              </w:rPr>
              <w:tab/>
            </w:r>
            <w:r>
              <w:rPr>
                <w:rStyle w:val="IndexLink"/>
              </w:rPr>
              <w:t>51</w:t>
            </w:r>
          </w:hyperlink>
        </w:p>
        <w:p>
          <w:pPr>
            <w:pStyle w:val="Contents6"/>
            <w:tabs>
              <w:tab w:val="clear" w:pos="7609"/>
              <w:tab w:val="right" w:pos="9026" w:leader="dot"/>
            </w:tabs>
            <w:rPr/>
          </w:pPr>
          <w:hyperlink w:anchor="__RefHeading___Toc3734326_1280447820">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3734328_1280447820">
            <w:r>
              <w:rPr>
                <w:webHidden/>
                <w:rStyle w:val="IndexLink"/>
                <w:rtl w:val="true"/>
              </w:rPr>
              <w:t>الإيراد على الاحتمالات الثلاثة مع الجواب عنه</w:t>
            </w:r>
            <w:r>
              <w:rPr>
                <w:rStyle w:val="IndexLink"/>
                <w:rtl w:val="true"/>
              </w:rPr>
              <w:tab/>
            </w:r>
            <w:r>
              <w:rPr>
                <w:rStyle w:val="IndexLink"/>
              </w:rPr>
              <w:t>52</w:t>
            </w:r>
          </w:hyperlink>
        </w:p>
        <w:p>
          <w:pPr>
            <w:pStyle w:val="Contents6"/>
            <w:tabs>
              <w:tab w:val="clear" w:pos="7609"/>
              <w:tab w:val="right" w:pos="9026" w:leader="dot"/>
            </w:tabs>
            <w:rPr/>
          </w:pPr>
          <w:hyperlink w:anchor="__RefHeading___Toc3734330_1280447820">
            <w:r>
              <w:rPr>
                <w:webHidden/>
                <w:rStyle w:val="IndexLink"/>
                <w:rtl w:val="true"/>
              </w:rPr>
              <w:t>الاحتمال الرابع</w:t>
            </w:r>
            <w:r>
              <w:rPr>
                <w:rStyle w:val="IndexLink"/>
                <w:rtl w:val="true"/>
              </w:rPr>
              <w:tab/>
            </w:r>
            <w:r>
              <w:rPr>
                <w:rStyle w:val="IndexLink"/>
              </w:rPr>
              <w:t>52</w:t>
            </w:r>
          </w:hyperlink>
        </w:p>
        <w:p>
          <w:pPr>
            <w:pStyle w:val="Contents6"/>
            <w:tabs>
              <w:tab w:val="clear" w:pos="7609"/>
              <w:tab w:val="right" w:pos="9026" w:leader="dot"/>
            </w:tabs>
            <w:rPr/>
          </w:pPr>
          <w:hyperlink w:anchor="__RefHeading___Toc3734332_1280447820">
            <w:r>
              <w:rPr>
                <w:webHidden/>
                <w:rStyle w:val="IndexLink"/>
                <w:rtl w:val="true"/>
              </w:rPr>
              <w:t>الاحتمال الخامس</w:t>
            </w:r>
            <w:r>
              <w:rPr>
                <w:rStyle w:val="IndexLink"/>
                <w:rtl w:val="true"/>
              </w:rPr>
              <w:tab/>
            </w:r>
            <w:r>
              <w:rPr>
                <w:rStyle w:val="IndexLink"/>
              </w:rPr>
              <w:t>53</w:t>
            </w:r>
          </w:hyperlink>
        </w:p>
        <w:p>
          <w:pPr>
            <w:pStyle w:val="Contents6"/>
            <w:tabs>
              <w:tab w:val="clear" w:pos="7609"/>
              <w:tab w:val="right" w:pos="9026" w:leader="dot"/>
            </w:tabs>
            <w:rPr/>
          </w:pPr>
          <w:hyperlink w:anchor="__RefHeading___Toc3734334_1280447820">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3734336_1280447820">
            <w:r>
              <w:rPr>
                <w:webHidden/>
                <w:rStyle w:val="IndexLink"/>
                <w:rtl w:val="true"/>
              </w:rPr>
              <w:t>طرق إثبات الوضع التعيّنيّ</w:t>
            </w:r>
            <w:r>
              <w:rPr>
                <w:rStyle w:val="IndexLink"/>
                <w:rtl w:val="true"/>
              </w:rPr>
              <w:tab/>
            </w:r>
            <w:r>
              <w:rPr>
                <w:rStyle w:val="IndexLink"/>
              </w:rPr>
              <w:t>54</w:t>
            </w:r>
          </w:hyperlink>
        </w:p>
        <w:p>
          <w:pPr>
            <w:pStyle w:val="Contents6"/>
            <w:tabs>
              <w:tab w:val="clear" w:pos="7609"/>
              <w:tab w:val="right" w:pos="9026" w:leader="dot"/>
            </w:tabs>
            <w:rPr/>
          </w:pPr>
          <w:hyperlink w:anchor="__RefHeading___Toc3734338_1280447820">
            <w:r>
              <w:rPr>
                <w:webHidden/>
                <w:rStyle w:val="IndexLink"/>
                <w:rtl w:val="true"/>
              </w:rPr>
              <w:t>الاحتمال السادس</w:t>
            </w:r>
            <w:r>
              <w:rPr>
                <w:rStyle w:val="IndexLink"/>
                <w:rtl w:val="true"/>
              </w:rPr>
              <w:tab/>
            </w:r>
            <w:r>
              <w:rPr>
                <w:rStyle w:val="IndexLink"/>
              </w:rPr>
              <w:t>55</w:t>
            </w:r>
          </w:hyperlink>
        </w:p>
        <w:p>
          <w:pPr>
            <w:pStyle w:val="Contents6"/>
            <w:tabs>
              <w:tab w:val="clear" w:pos="7609"/>
              <w:tab w:val="right" w:pos="9026" w:leader="dot"/>
            </w:tabs>
            <w:rPr/>
          </w:pPr>
          <w:hyperlink w:anchor="__RefHeading___Toc3734340_1280447820">
            <w:r>
              <w:rPr>
                <w:webHidden/>
                <w:rStyle w:val="IndexLink"/>
                <w:rtl w:val="true"/>
              </w:rPr>
              <w:t>الاحتمال السابع</w:t>
            </w:r>
            <w:r>
              <w:rPr>
                <w:rStyle w:val="IndexLink"/>
                <w:rtl w:val="true"/>
              </w:rPr>
              <w:tab/>
            </w:r>
            <w:r>
              <w:rPr>
                <w:rStyle w:val="IndexLink"/>
              </w:rPr>
              <w:t>55</w:t>
            </w:r>
          </w:hyperlink>
        </w:p>
        <w:p>
          <w:pPr>
            <w:pStyle w:val="Contents6"/>
            <w:tabs>
              <w:tab w:val="clear" w:pos="7609"/>
              <w:tab w:val="right" w:pos="9026" w:leader="dot"/>
            </w:tabs>
            <w:rPr/>
          </w:pPr>
          <w:hyperlink w:anchor="__RefHeading___Toc3734342_1280447820">
            <w:r>
              <w:rPr>
                <w:webHidden/>
                <w:rStyle w:val="IndexLink"/>
                <w:rtl w:val="true"/>
              </w:rPr>
              <w:t>الاحتمال الثامن</w:t>
            </w:r>
            <w:r>
              <w:rPr>
                <w:rStyle w:val="IndexLink"/>
                <w:rtl w:val="true"/>
              </w:rPr>
              <w:tab/>
            </w:r>
            <w:r>
              <w:rPr>
                <w:rStyle w:val="IndexLink"/>
              </w:rPr>
              <w:t>56</w:t>
            </w:r>
          </w:hyperlink>
        </w:p>
        <w:p>
          <w:pPr>
            <w:pStyle w:val="Contents6"/>
            <w:tabs>
              <w:tab w:val="clear" w:pos="7609"/>
              <w:tab w:val="right" w:pos="9026" w:leader="dot"/>
            </w:tabs>
            <w:rPr/>
          </w:pPr>
          <w:hyperlink w:anchor="__RefHeading___Toc3734344_1280447820">
            <w:r>
              <w:rPr>
                <w:webHidden/>
                <w:rStyle w:val="IndexLink"/>
                <w:rtl w:val="true"/>
              </w:rPr>
              <w:t>الاحتمال التاسع</w:t>
            </w:r>
            <w:r>
              <w:rPr>
                <w:rStyle w:val="IndexLink"/>
                <w:rtl w:val="true"/>
              </w:rPr>
              <w:tab/>
            </w:r>
            <w:r>
              <w:rPr>
                <w:rStyle w:val="IndexLink"/>
              </w:rPr>
              <w:t>56</w:t>
            </w:r>
          </w:hyperlink>
        </w:p>
        <w:p>
          <w:pPr>
            <w:pStyle w:val="Contents6"/>
            <w:tabs>
              <w:tab w:val="clear" w:pos="7609"/>
              <w:tab w:val="right" w:pos="9026" w:leader="dot"/>
            </w:tabs>
            <w:rPr/>
          </w:pPr>
          <w:hyperlink w:anchor="__RefHeading___Toc3734346_1280447820">
            <w:r>
              <w:rPr>
                <w:webHidden/>
                <w:rStyle w:val="IndexLink"/>
                <w:rtl w:val="true"/>
              </w:rPr>
              <w:t>احتمال آخر</w:t>
            </w:r>
            <w:r>
              <w:rPr>
                <w:rStyle w:val="IndexLink"/>
                <w:rtl w:val="true"/>
              </w:rPr>
              <w:tab/>
            </w:r>
            <w:r>
              <w:rPr>
                <w:rStyle w:val="IndexLink"/>
              </w:rPr>
              <w:t>57</w:t>
            </w:r>
          </w:hyperlink>
        </w:p>
        <w:p>
          <w:pPr>
            <w:pStyle w:val="Contents5"/>
            <w:tabs>
              <w:tab w:val="clear" w:pos="7892"/>
              <w:tab w:val="right" w:pos="9026" w:leader="dot"/>
            </w:tabs>
            <w:rPr/>
          </w:pPr>
          <w:hyperlink w:anchor="__RefHeading___Toc3734348_1280447820">
            <w:r>
              <w:rPr>
                <w:webHidden/>
                <w:rStyle w:val="IndexLink"/>
                <w:rtl w:val="true"/>
              </w:rPr>
              <w:t>حاصل الكلام في تعريف الحقيقة الشرعيّة</w:t>
            </w:r>
            <w:r>
              <w:rPr>
                <w:rStyle w:val="IndexLink"/>
                <w:rtl w:val="true"/>
              </w:rPr>
              <w:tab/>
            </w:r>
            <w:r>
              <w:rPr>
                <w:rStyle w:val="IndexLink"/>
              </w:rPr>
              <w:t>57</w:t>
            </w:r>
          </w:hyperlink>
        </w:p>
        <w:p>
          <w:pPr>
            <w:pStyle w:val="Contents5"/>
            <w:tabs>
              <w:tab w:val="clear" w:pos="7892"/>
              <w:tab w:val="right" w:pos="9026" w:leader="dot"/>
            </w:tabs>
            <w:rPr/>
          </w:pPr>
          <w:hyperlink w:anchor="__RefHeading___Toc3734350_1280447820">
            <w:r>
              <w:rPr>
                <w:webHidden/>
                <w:rStyle w:val="IndexLink"/>
                <w:rtl w:val="true"/>
              </w:rPr>
              <w:t>في بيان الحقيقة الدينيّة</w:t>
            </w:r>
            <w:r>
              <w:rPr>
                <w:rStyle w:val="IndexLink"/>
                <w:rtl w:val="true"/>
              </w:rPr>
              <w:tab/>
            </w:r>
            <w:r>
              <w:rPr>
                <w:rStyle w:val="IndexLink"/>
              </w:rPr>
              <w:t>59</w:t>
            </w:r>
          </w:hyperlink>
        </w:p>
        <w:p>
          <w:pPr>
            <w:pStyle w:val="Contents6"/>
            <w:tabs>
              <w:tab w:val="clear" w:pos="7609"/>
              <w:tab w:val="right" w:pos="9026" w:leader="dot"/>
            </w:tabs>
            <w:rPr/>
          </w:pPr>
          <w:hyperlink w:anchor="__RefHeading___Toc3734352_1280447820">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3734354_1280447820">
            <w:r>
              <w:rPr>
                <w:webHidden/>
                <w:rStyle w:val="IndexLink"/>
                <w:rtl w:val="true"/>
              </w:rPr>
              <w:t>الاحتمال الأوّل</w:t>
            </w:r>
            <w:r>
              <w:rPr>
                <w:rStyle w:val="IndexLink"/>
                <w:rtl w:val="true"/>
              </w:rPr>
              <w:tab/>
            </w:r>
            <w:r>
              <w:rPr>
                <w:rStyle w:val="IndexLink"/>
              </w:rPr>
              <w:t>60</w:t>
            </w:r>
          </w:hyperlink>
        </w:p>
        <w:p>
          <w:pPr>
            <w:pStyle w:val="Contents6"/>
            <w:tabs>
              <w:tab w:val="clear" w:pos="7609"/>
              <w:tab w:val="right" w:pos="9026" w:leader="dot"/>
            </w:tabs>
            <w:rPr/>
          </w:pPr>
          <w:hyperlink w:anchor="__RefHeading___Toc3734356_1280447820">
            <w:r>
              <w:rPr>
                <w:webHidden/>
                <w:rStyle w:val="IndexLink"/>
                <w:rtl w:val="true"/>
              </w:rPr>
              <w:t>الاحتمال الثاني</w:t>
            </w:r>
            <w:r>
              <w:rPr>
                <w:rStyle w:val="IndexLink"/>
                <w:rtl w:val="true"/>
              </w:rPr>
              <w:tab/>
            </w:r>
            <w:r>
              <w:rPr>
                <w:rStyle w:val="IndexLink"/>
              </w:rPr>
              <w:t>61</w:t>
            </w:r>
          </w:hyperlink>
        </w:p>
        <w:p>
          <w:pPr>
            <w:pStyle w:val="Contents5"/>
            <w:tabs>
              <w:tab w:val="clear" w:pos="7892"/>
              <w:tab w:val="right" w:pos="9026" w:leader="dot"/>
            </w:tabs>
            <w:rPr/>
          </w:pPr>
          <w:hyperlink w:anchor="__RefHeading___Toc3734358_1280447820">
            <w:r>
              <w:rPr>
                <w:webHidden/>
                <w:rStyle w:val="IndexLink"/>
                <w:rtl w:val="true"/>
              </w:rPr>
              <w:t>الكلام على تقدير أخصّيّة الدينيّة من الشرعيّة</w:t>
            </w:r>
            <w:r>
              <w:rPr>
                <w:rStyle w:val="IndexLink"/>
                <w:rtl w:val="true"/>
              </w:rPr>
              <w:tab/>
            </w:r>
            <w:r>
              <w:rPr>
                <w:rStyle w:val="IndexLink"/>
              </w:rPr>
              <w:t>63</w:t>
            </w:r>
          </w:hyperlink>
        </w:p>
        <w:p>
          <w:pPr>
            <w:pStyle w:val="Contents5"/>
            <w:tabs>
              <w:tab w:val="clear" w:pos="7892"/>
              <w:tab w:val="right" w:pos="9026" w:leader="dot"/>
            </w:tabs>
            <w:rPr/>
          </w:pPr>
          <w:hyperlink w:anchor="__RefHeading___Toc3734360_1280447820">
            <w:r>
              <w:rPr>
                <w:webHidden/>
                <w:rStyle w:val="IndexLink"/>
                <w:rtl w:val="true"/>
              </w:rPr>
              <w:t>الكلام على ما ذكروا في تفسير الدينيّة</w:t>
            </w:r>
            <w:r>
              <w:rPr>
                <w:rStyle w:val="IndexLink"/>
                <w:rtl w:val="true"/>
              </w:rPr>
              <w:tab/>
            </w:r>
            <w:r>
              <w:rPr>
                <w:rStyle w:val="IndexLink"/>
              </w:rPr>
              <w:t>67</w:t>
            </w:r>
          </w:hyperlink>
        </w:p>
        <w:p>
          <w:pPr>
            <w:pStyle w:val="Contents5"/>
            <w:tabs>
              <w:tab w:val="clear" w:pos="7892"/>
              <w:tab w:val="right" w:pos="9026" w:leader="dot"/>
            </w:tabs>
            <w:rPr/>
          </w:pPr>
          <w:hyperlink w:anchor="__RefHeading___Toc3734362_1280447820">
            <w:r>
              <w:rPr>
                <w:webHidden/>
                <w:rStyle w:val="IndexLink"/>
                <w:rtl w:val="true"/>
              </w:rPr>
              <w:t>متمسّك النافين للحقيقة الشرعيّة</w:t>
            </w:r>
            <w:r>
              <w:rPr>
                <w:rStyle w:val="IndexLink"/>
                <w:rtl w:val="true"/>
              </w:rPr>
              <w:tab/>
            </w:r>
            <w:r>
              <w:rPr>
                <w:rStyle w:val="IndexLink"/>
              </w:rPr>
              <w:t>71</w:t>
            </w:r>
          </w:hyperlink>
        </w:p>
        <w:p>
          <w:pPr>
            <w:pStyle w:val="Contents6"/>
            <w:tabs>
              <w:tab w:val="clear" w:pos="7609"/>
              <w:tab w:val="right" w:pos="9026" w:leader="dot"/>
            </w:tabs>
            <w:rPr/>
          </w:pPr>
          <w:hyperlink w:anchor="__RefHeading___Toc3734364_1280447820">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3734366_1280447820">
            <w:r>
              <w:rPr>
                <w:webHidden/>
                <w:rStyle w:val="IndexLink"/>
                <w:rtl w:val="true"/>
              </w:rPr>
              <w:t>الدليل الأوّل</w:t>
            </w:r>
            <w:r>
              <w:rPr>
                <w:rStyle w:val="IndexLink"/>
                <w:rtl w:val="true"/>
              </w:rPr>
              <w:tab/>
            </w:r>
            <w:r>
              <w:rPr>
                <w:rStyle w:val="IndexLink"/>
              </w:rPr>
              <w:t>71</w:t>
            </w:r>
          </w:hyperlink>
        </w:p>
        <w:p>
          <w:pPr>
            <w:pStyle w:val="Contents6"/>
            <w:tabs>
              <w:tab w:val="clear" w:pos="7609"/>
              <w:tab w:val="right" w:pos="9026" w:leader="dot"/>
            </w:tabs>
            <w:rPr/>
          </w:pPr>
          <w:hyperlink w:anchor="__RefHeading___Toc3734368_1280447820">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3734370_1280447820">
            <w:r>
              <w:rPr>
                <w:webHidden/>
                <w:rStyle w:val="IndexLink"/>
                <w:rtl w:val="true"/>
              </w:rPr>
              <w:t>الجواب عن الدليل الأوّل</w:t>
            </w:r>
            <w:r>
              <w:rPr>
                <w:rStyle w:val="IndexLink"/>
                <w:rtl w:val="true"/>
              </w:rPr>
              <w:tab/>
            </w:r>
            <w:r>
              <w:rPr>
                <w:rStyle w:val="IndexLink"/>
              </w:rPr>
              <w:t>71</w:t>
            </w:r>
          </w:hyperlink>
        </w:p>
        <w:p>
          <w:pPr>
            <w:pStyle w:val="Contents6"/>
            <w:tabs>
              <w:tab w:val="clear" w:pos="7609"/>
              <w:tab w:val="right" w:pos="9026" w:leader="dot"/>
            </w:tabs>
            <w:rPr/>
          </w:pPr>
          <w:hyperlink w:anchor="__RefHeading___Toc3734372_1280447820">
            <w:r>
              <w:rPr>
                <w:webHidden/>
                <w:rStyle w:val="IndexLink"/>
                <w:rtl w:val="true"/>
              </w:rPr>
              <w:t>الاحتمالات في الحكم بكون الحقائق الشرعيّة مجازات لغويّة</w:t>
            </w:r>
            <w:r>
              <w:rPr>
                <w:rStyle w:val="IndexLink"/>
                <w:rtl w:val="true"/>
              </w:rPr>
              <w:tab/>
            </w:r>
            <w:r>
              <w:rPr>
                <w:rStyle w:val="IndexLink"/>
              </w:rPr>
              <w:t>73</w:t>
            </w:r>
          </w:hyperlink>
        </w:p>
        <w:p>
          <w:pPr>
            <w:pStyle w:val="Contents6"/>
            <w:tabs>
              <w:tab w:val="clear" w:pos="7609"/>
              <w:tab w:val="right" w:pos="9026" w:leader="dot"/>
            </w:tabs>
            <w:rPr/>
          </w:pPr>
          <w:hyperlink w:anchor="__RefHeading___Toc3734374_1280447820">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3734376_1280447820">
            <w:r>
              <w:rPr>
                <w:webHidden/>
                <w:rStyle w:val="IndexLink"/>
                <w:rtl w:val="true"/>
              </w:rPr>
              <w:t>الاحتمال الأوّل</w:t>
            </w:r>
            <w:r>
              <w:rPr>
                <w:rStyle w:val="IndexLink"/>
                <w:rtl w:val="true"/>
              </w:rPr>
              <w:tab/>
            </w:r>
            <w:r>
              <w:rPr>
                <w:rStyle w:val="IndexLink"/>
              </w:rPr>
              <w:t>74</w:t>
            </w:r>
          </w:hyperlink>
        </w:p>
        <w:p>
          <w:pPr>
            <w:pStyle w:val="Contents6"/>
            <w:tabs>
              <w:tab w:val="clear" w:pos="7609"/>
              <w:tab w:val="right" w:pos="9026" w:leader="dot"/>
            </w:tabs>
            <w:rPr/>
          </w:pPr>
          <w:hyperlink w:anchor="__RefHeading___Toc3734378_1280447820">
            <w:r>
              <w:rPr>
                <w:webHidden/>
                <w:rStyle w:val="IndexLink"/>
                <w:rtl w:val="true"/>
              </w:rPr>
              <w:t>الاحتمال الثاني</w:t>
            </w:r>
            <w:r>
              <w:rPr>
                <w:rStyle w:val="IndexLink"/>
                <w:rtl w:val="true"/>
              </w:rPr>
              <w:tab/>
            </w:r>
            <w:r>
              <w:rPr>
                <w:rStyle w:val="IndexLink"/>
              </w:rPr>
              <w:t>74</w:t>
            </w:r>
          </w:hyperlink>
        </w:p>
        <w:p>
          <w:pPr>
            <w:pStyle w:val="Contents6"/>
            <w:tabs>
              <w:tab w:val="clear" w:pos="7609"/>
              <w:tab w:val="right" w:pos="9026" w:leader="dot"/>
            </w:tabs>
            <w:rPr/>
          </w:pPr>
          <w:hyperlink w:anchor="__RefHeading___Toc3734380_1280447820">
            <w:r>
              <w:rPr>
                <w:webHidden/>
                <w:rStyle w:val="IndexLink"/>
                <w:rtl w:val="true"/>
              </w:rPr>
              <w:t>الاحتمال الثالث</w:t>
            </w:r>
            <w:r>
              <w:rPr>
                <w:rStyle w:val="IndexLink"/>
                <w:rtl w:val="true"/>
              </w:rPr>
              <w:tab/>
            </w:r>
            <w:r>
              <w:rPr>
                <w:rStyle w:val="IndexLink"/>
              </w:rPr>
              <w:t>75</w:t>
            </w:r>
          </w:hyperlink>
        </w:p>
        <w:p>
          <w:pPr>
            <w:pStyle w:val="Contents6"/>
            <w:tabs>
              <w:tab w:val="clear" w:pos="7609"/>
              <w:tab w:val="right" w:pos="9026" w:leader="dot"/>
            </w:tabs>
            <w:rPr/>
          </w:pPr>
          <w:hyperlink w:anchor="__RefHeading___Toc3734382_1280447820">
            <w:r>
              <w:rPr>
                <w:webHidden/>
                <w:rStyle w:val="IndexLink"/>
                <w:rtl w:val="true"/>
              </w:rPr>
              <w:t>الاحتمال الرابع</w:t>
            </w:r>
            <w:r>
              <w:rPr>
                <w:rStyle w:val="IndexLink"/>
                <w:rtl w:val="true"/>
              </w:rPr>
              <w:tab/>
            </w:r>
            <w:r>
              <w:rPr>
                <w:rStyle w:val="IndexLink"/>
              </w:rPr>
              <w:t>75</w:t>
            </w:r>
          </w:hyperlink>
        </w:p>
        <w:p>
          <w:pPr>
            <w:pStyle w:val="Contents6"/>
            <w:tabs>
              <w:tab w:val="clear" w:pos="7609"/>
              <w:tab w:val="right" w:pos="9026" w:leader="dot"/>
            </w:tabs>
            <w:rPr/>
          </w:pPr>
          <w:hyperlink w:anchor="__RefHeading___Toc3734384_1280447820">
            <w:r>
              <w:rPr>
                <w:webHidden/>
                <w:rStyle w:val="IndexLink"/>
                <w:rtl w:val="true"/>
              </w:rPr>
              <w:t>الدليل الثاني للّنافين للحقيقة الشرعيّة</w:t>
            </w:r>
            <w:r>
              <w:rPr>
                <w:rStyle w:val="IndexLink"/>
                <w:rtl w:val="true"/>
              </w:rPr>
              <w:tab/>
            </w:r>
            <w:r>
              <w:rPr>
                <w:rStyle w:val="IndexLink"/>
              </w:rPr>
              <w:t>81</w:t>
            </w:r>
          </w:hyperlink>
        </w:p>
        <w:p>
          <w:pPr>
            <w:pStyle w:val="Contents6"/>
            <w:tabs>
              <w:tab w:val="clear" w:pos="7609"/>
              <w:tab w:val="right" w:pos="9026" w:leader="dot"/>
            </w:tabs>
            <w:rPr/>
          </w:pPr>
          <w:hyperlink w:anchor="__RefHeading___Toc3734386_1280447820">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3734388_1280447820">
            <w:r>
              <w:rPr>
                <w:webHidden/>
                <w:rStyle w:val="IndexLink"/>
                <w:rtl w:val="true"/>
              </w:rPr>
              <w:t>الجواب عن الدليل الثاني</w:t>
            </w:r>
            <w:r>
              <w:rPr>
                <w:rStyle w:val="IndexLink"/>
                <w:rtl w:val="true"/>
              </w:rPr>
              <w:tab/>
            </w:r>
            <w:r>
              <w:rPr>
                <w:rStyle w:val="IndexLink"/>
              </w:rPr>
              <w:t>82</w:t>
            </w:r>
          </w:hyperlink>
        </w:p>
        <w:p>
          <w:pPr>
            <w:pStyle w:val="Contents6"/>
            <w:tabs>
              <w:tab w:val="clear" w:pos="7609"/>
              <w:tab w:val="right" w:pos="9026" w:leader="dot"/>
            </w:tabs>
            <w:rPr/>
          </w:pPr>
          <w:hyperlink w:anchor="__RefHeading___Toc3734390_1280447820">
            <w:r>
              <w:rPr>
                <w:webHidden/>
                <w:rStyle w:val="IndexLink"/>
                <w:rtl w:val="true"/>
              </w:rPr>
              <w:t>الدليل الثالث للّنافين للحقيقة الشرعيّة</w:t>
            </w:r>
            <w:r>
              <w:rPr>
                <w:rStyle w:val="IndexLink"/>
                <w:rtl w:val="true"/>
              </w:rPr>
              <w:tab/>
            </w:r>
            <w:r>
              <w:rPr>
                <w:rStyle w:val="IndexLink"/>
              </w:rPr>
              <w:t>85</w:t>
            </w:r>
          </w:hyperlink>
        </w:p>
        <w:p>
          <w:pPr>
            <w:pStyle w:val="Contents6"/>
            <w:tabs>
              <w:tab w:val="clear" w:pos="7609"/>
              <w:tab w:val="right" w:pos="9026" w:leader="dot"/>
            </w:tabs>
            <w:rPr/>
          </w:pPr>
          <w:hyperlink w:anchor="__RefHeading___Toc3734392_1280447820">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3734394_1280447820">
            <w:r>
              <w:rPr>
                <w:webHidden/>
                <w:rStyle w:val="IndexLink"/>
                <w:rtl w:val="true"/>
              </w:rPr>
              <w:t>الجواب عن الدليل الثالث</w:t>
            </w:r>
            <w:r>
              <w:rPr>
                <w:rStyle w:val="IndexLink"/>
                <w:rtl w:val="true"/>
              </w:rPr>
              <w:tab/>
            </w:r>
            <w:r>
              <w:rPr>
                <w:rStyle w:val="IndexLink"/>
              </w:rPr>
              <w:t>85</w:t>
            </w:r>
          </w:hyperlink>
        </w:p>
        <w:p>
          <w:pPr>
            <w:pStyle w:val="Contents4"/>
            <w:tabs>
              <w:tab w:val="clear" w:pos="8176"/>
              <w:tab w:val="right" w:pos="9026" w:leader="dot"/>
            </w:tabs>
            <w:rPr/>
          </w:pPr>
          <w:hyperlink w:anchor="__RefHeading___Toc3734396_1280447820">
            <w:r>
              <w:rPr>
                <w:webHidden/>
                <w:rStyle w:val="IndexLink"/>
                <w:rtl w:val="true"/>
              </w:rPr>
              <w:t>البحث الثالث</w:t>
            </w:r>
            <w:r>
              <w:rPr>
                <w:rStyle w:val="IndexLink"/>
                <w:rtl w:val="true"/>
              </w:rPr>
              <w:t xml:space="preserve">: </w:t>
            </w:r>
            <w:r>
              <w:rPr>
                <w:rStyle w:val="IndexLink"/>
                <w:rtl w:val="true"/>
              </w:rPr>
              <w:t>في ثبوت الحقيقة الشرعيّة</w:t>
            </w:r>
            <w:r>
              <w:rPr>
                <w:rStyle w:val="IndexLink"/>
                <w:rtl w:val="true"/>
              </w:rPr>
              <w:tab/>
            </w:r>
            <w:r>
              <w:rPr>
                <w:rStyle w:val="IndexLink"/>
              </w:rPr>
              <w:t>86</w:t>
            </w:r>
          </w:hyperlink>
        </w:p>
        <w:p>
          <w:pPr>
            <w:pStyle w:val="Contents5"/>
            <w:tabs>
              <w:tab w:val="clear" w:pos="7892"/>
              <w:tab w:val="right" w:pos="9026" w:leader="dot"/>
            </w:tabs>
            <w:rPr/>
          </w:pPr>
          <w:hyperlink w:anchor="__RefHeading___Toc3734398_1280447820">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3734400_1280447820">
            <w:r>
              <w:rPr>
                <w:webHidden/>
                <w:rStyle w:val="IndexLink"/>
                <w:rtl w:val="true"/>
              </w:rPr>
              <w:t>تنبيهٌ نبيه</w:t>
            </w:r>
            <w:r>
              <w:rPr>
                <w:rStyle w:val="IndexLink"/>
                <w:rtl w:val="true"/>
              </w:rPr>
              <w:tab/>
            </w:r>
            <w:r>
              <w:rPr>
                <w:rStyle w:val="IndexLink"/>
              </w:rPr>
              <w:t>87</w:t>
            </w:r>
          </w:hyperlink>
        </w:p>
        <w:p>
          <w:pPr>
            <w:pStyle w:val="Contents5"/>
            <w:tabs>
              <w:tab w:val="clear" w:pos="7892"/>
              <w:tab w:val="right" w:pos="9026" w:leader="dot"/>
            </w:tabs>
            <w:rPr/>
          </w:pPr>
          <w:hyperlink w:anchor="__RefHeading___Toc3734402_1280447820">
            <w:r>
              <w:rPr>
                <w:webHidden/>
                <w:rStyle w:val="IndexLink"/>
                <w:rtl w:val="true"/>
              </w:rPr>
              <w:t>تفصيل جمعٍ من متأخّري الأصحاب في المسألة</w:t>
            </w:r>
            <w:r>
              <w:rPr>
                <w:rStyle w:val="IndexLink"/>
                <w:rtl w:val="true"/>
              </w:rPr>
              <w:tab/>
            </w:r>
            <w:r>
              <w:rPr>
                <w:rStyle w:val="IndexLink"/>
              </w:rPr>
              <w:t>89</w:t>
            </w:r>
          </w:hyperlink>
        </w:p>
        <w:p>
          <w:pPr>
            <w:pStyle w:val="Contents5"/>
            <w:tabs>
              <w:tab w:val="clear" w:pos="7892"/>
              <w:tab w:val="right" w:pos="9026" w:leader="dot"/>
            </w:tabs>
            <w:rPr/>
          </w:pPr>
          <w:hyperlink w:anchor="__RefHeading___Toc3734404_1280447820">
            <w:r>
              <w:rPr>
                <w:webHidden/>
                <w:rStyle w:val="IndexLink"/>
                <w:rtl w:val="true"/>
              </w:rPr>
              <w:t>وجوه النظر في القول بالتفصيل</w:t>
            </w:r>
            <w:r>
              <w:rPr>
                <w:rStyle w:val="IndexLink"/>
                <w:rtl w:val="true"/>
              </w:rPr>
              <w:tab/>
            </w:r>
            <w:r>
              <w:rPr>
                <w:rStyle w:val="IndexLink"/>
              </w:rPr>
              <w:t>90</w:t>
            </w:r>
          </w:hyperlink>
        </w:p>
        <w:p>
          <w:pPr>
            <w:pStyle w:val="Contents6"/>
            <w:tabs>
              <w:tab w:val="clear" w:pos="7609"/>
              <w:tab w:val="right" w:pos="9026" w:leader="dot"/>
            </w:tabs>
            <w:rPr/>
          </w:pPr>
          <w:hyperlink w:anchor="__RefHeading___Toc3734406_1280447820">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3734408_1280447820">
            <w:r>
              <w:rPr>
                <w:webHidden/>
                <w:rStyle w:val="IndexLink"/>
                <w:rtl w:val="true"/>
              </w:rPr>
              <w:t>الوجه الأوّل</w:t>
            </w:r>
            <w:r>
              <w:rPr>
                <w:rStyle w:val="IndexLink"/>
                <w:rtl w:val="true"/>
              </w:rPr>
              <w:tab/>
            </w:r>
            <w:r>
              <w:rPr>
                <w:rStyle w:val="IndexLink"/>
              </w:rPr>
              <w:t>90</w:t>
            </w:r>
          </w:hyperlink>
        </w:p>
        <w:p>
          <w:pPr>
            <w:pStyle w:val="Contents6"/>
            <w:tabs>
              <w:tab w:val="clear" w:pos="7609"/>
              <w:tab w:val="right" w:pos="9026" w:leader="dot"/>
            </w:tabs>
            <w:rPr/>
          </w:pPr>
          <w:hyperlink w:anchor="__RefHeading___Toc3734410_1280447820">
            <w:r>
              <w:rPr>
                <w:webHidden/>
                <w:rStyle w:val="IndexLink"/>
                <w:rtl w:val="true"/>
              </w:rPr>
              <w:t>الوجه الثاني</w:t>
            </w:r>
            <w:r>
              <w:rPr>
                <w:rStyle w:val="IndexLink"/>
                <w:rtl w:val="true"/>
              </w:rPr>
              <w:tab/>
            </w:r>
            <w:r>
              <w:rPr>
                <w:rStyle w:val="IndexLink"/>
              </w:rPr>
              <w:t>91</w:t>
            </w:r>
          </w:hyperlink>
        </w:p>
        <w:p>
          <w:pPr>
            <w:pStyle w:val="Contents6"/>
            <w:tabs>
              <w:tab w:val="clear" w:pos="7609"/>
              <w:tab w:val="right" w:pos="9026" w:leader="dot"/>
            </w:tabs>
            <w:rPr/>
          </w:pPr>
          <w:hyperlink w:anchor="__RefHeading___Toc3734412_1280447820">
            <w:r>
              <w:rPr>
                <w:webHidden/>
                <w:rStyle w:val="IndexLink"/>
                <w:rtl w:val="true"/>
              </w:rPr>
              <w:t>الوجه الثالث</w:t>
            </w:r>
            <w:r>
              <w:rPr>
                <w:rStyle w:val="IndexLink"/>
                <w:rtl w:val="true"/>
              </w:rPr>
              <w:tab/>
            </w:r>
            <w:r>
              <w:rPr>
                <w:rStyle w:val="IndexLink"/>
              </w:rPr>
              <w:t>92</w:t>
            </w:r>
          </w:hyperlink>
        </w:p>
        <w:p>
          <w:pPr>
            <w:pStyle w:val="Contents5"/>
            <w:tabs>
              <w:tab w:val="clear" w:pos="7892"/>
              <w:tab w:val="right" w:pos="9026" w:leader="dot"/>
            </w:tabs>
            <w:rPr/>
          </w:pPr>
          <w:hyperlink w:anchor="__RefHeading___Toc3734414_1280447820">
            <w:r>
              <w:rPr>
                <w:webHidden/>
                <w:rStyle w:val="IndexLink"/>
                <w:rtl w:val="true"/>
              </w:rPr>
              <w:t>رأي المصنّف في المسألة</w:t>
            </w:r>
            <w:r>
              <w:rPr>
                <w:rStyle w:val="IndexLink"/>
                <w:rtl w:val="true"/>
              </w:rPr>
              <w:tab/>
            </w:r>
            <w:r>
              <w:rPr>
                <w:rStyle w:val="IndexLink"/>
              </w:rPr>
              <w:t>93</w:t>
            </w:r>
          </w:hyperlink>
        </w:p>
        <w:p>
          <w:pPr>
            <w:pStyle w:val="Contents5"/>
            <w:tabs>
              <w:tab w:val="clear" w:pos="7892"/>
              <w:tab w:val="right" w:pos="9026" w:leader="dot"/>
            </w:tabs>
            <w:rPr/>
          </w:pPr>
          <w:hyperlink w:anchor="__RefHeading___Toc3734416_1280447820">
            <w:r>
              <w:rPr>
                <w:webHidden/>
                <w:rStyle w:val="IndexLink"/>
                <w:rtl w:val="true"/>
              </w:rPr>
              <w:t>متمسّك المثبتين للحقيقة الشرعيّة</w:t>
            </w:r>
            <w:r>
              <w:rPr>
                <w:rStyle w:val="IndexLink"/>
                <w:rtl w:val="true"/>
              </w:rPr>
              <w:tab/>
            </w:r>
            <w:r>
              <w:rPr>
                <w:rStyle w:val="IndexLink"/>
              </w:rPr>
              <w:t>94</w:t>
            </w:r>
          </w:hyperlink>
        </w:p>
        <w:p>
          <w:pPr>
            <w:pStyle w:val="Contents6"/>
            <w:tabs>
              <w:tab w:val="clear" w:pos="7609"/>
              <w:tab w:val="right" w:pos="9026" w:leader="dot"/>
            </w:tabs>
            <w:rPr/>
          </w:pPr>
          <w:hyperlink w:anchor="__RefHeading___Toc3734418_1280447820">
            <w:r>
              <w:rPr>
                <w:webHidden/>
                <w:rStyle w:val="IndexLink"/>
                <w:rtl w:val="true"/>
              </w:rPr>
              <w:t>الدليل الأوّل</w:t>
            </w:r>
            <w:r>
              <w:rPr>
                <w:rStyle w:val="IndexLink"/>
                <w:rtl w:val="true"/>
              </w:rPr>
              <w:tab/>
            </w:r>
            <w:r>
              <w:rPr>
                <w:rStyle w:val="IndexLink"/>
              </w:rPr>
              <w:t>94</w:t>
            </w:r>
          </w:hyperlink>
        </w:p>
        <w:p>
          <w:pPr>
            <w:pStyle w:val="Contents6"/>
            <w:tabs>
              <w:tab w:val="clear" w:pos="7609"/>
              <w:tab w:val="right" w:pos="9026" w:leader="dot"/>
            </w:tabs>
            <w:rPr/>
          </w:pPr>
          <w:hyperlink w:anchor="__RefHeading___Toc3734420_1280447820">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3734422_1280447820">
            <w:r>
              <w:rPr>
                <w:webHidden/>
                <w:rStyle w:val="IndexLink"/>
                <w:rtl w:val="true"/>
              </w:rPr>
              <w:t>وجوه النظر في استدلال المثبتين</w:t>
            </w:r>
            <w:r>
              <w:rPr>
                <w:rStyle w:val="IndexLink"/>
                <w:rtl w:val="true"/>
              </w:rPr>
              <w:tab/>
            </w:r>
            <w:r>
              <w:rPr>
                <w:rStyle w:val="IndexLink"/>
              </w:rPr>
              <w:t>94</w:t>
            </w:r>
          </w:hyperlink>
        </w:p>
        <w:p>
          <w:pPr>
            <w:pStyle w:val="Contents6"/>
            <w:tabs>
              <w:tab w:val="clear" w:pos="7609"/>
              <w:tab w:val="right" w:pos="9026" w:leader="dot"/>
            </w:tabs>
            <w:rPr/>
          </w:pPr>
          <w:hyperlink w:anchor="__RefHeading___Toc3734424_1280447820">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3734426_1280447820">
            <w:r>
              <w:rPr>
                <w:webHidden/>
                <w:rStyle w:val="IndexLink"/>
                <w:rtl w:val="true"/>
              </w:rPr>
              <w:t>الوجه الأوّل</w:t>
            </w:r>
            <w:r>
              <w:rPr>
                <w:rStyle w:val="IndexLink"/>
                <w:rtl w:val="true"/>
              </w:rPr>
              <w:tab/>
            </w:r>
            <w:r>
              <w:rPr>
                <w:rStyle w:val="IndexLink"/>
              </w:rPr>
              <w:t>94</w:t>
            </w:r>
          </w:hyperlink>
        </w:p>
        <w:p>
          <w:pPr>
            <w:pStyle w:val="Contents6"/>
            <w:tabs>
              <w:tab w:val="clear" w:pos="7609"/>
              <w:tab w:val="right" w:pos="9026" w:leader="dot"/>
            </w:tabs>
            <w:rPr/>
          </w:pPr>
          <w:hyperlink w:anchor="__RefHeading___Toc3734428_1280447820">
            <w:r>
              <w:rPr>
                <w:webHidden/>
                <w:rStyle w:val="IndexLink"/>
                <w:rtl w:val="true"/>
              </w:rPr>
              <w:t>الوجه الثاني</w:t>
            </w:r>
            <w:r>
              <w:rPr>
                <w:rStyle w:val="IndexLink"/>
                <w:rtl w:val="true"/>
              </w:rPr>
              <w:tab/>
            </w:r>
            <w:r>
              <w:rPr>
                <w:rStyle w:val="IndexLink"/>
              </w:rPr>
              <w:t>94</w:t>
            </w:r>
          </w:hyperlink>
        </w:p>
        <w:p>
          <w:pPr>
            <w:pStyle w:val="Contents6"/>
            <w:tabs>
              <w:tab w:val="clear" w:pos="7609"/>
              <w:tab w:val="right" w:pos="9026" w:leader="dot"/>
            </w:tabs>
            <w:rPr/>
          </w:pPr>
          <w:hyperlink w:anchor="__RefHeading___Toc3734430_1280447820">
            <w:r>
              <w:rPr>
                <w:webHidden/>
                <w:rStyle w:val="IndexLink"/>
                <w:rtl w:val="true"/>
              </w:rPr>
              <w:t>الجواب عن الوجهين</w:t>
            </w:r>
            <w:r>
              <w:rPr>
                <w:rStyle w:val="IndexLink"/>
                <w:rtl w:val="true"/>
              </w:rPr>
              <w:tab/>
            </w:r>
            <w:r>
              <w:rPr>
                <w:rStyle w:val="IndexLink"/>
              </w:rPr>
              <w:t>95</w:t>
            </w:r>
          </w:hyperlink>
        </w:p>
        <w:p>
          <w:pPr>
            <w:pStyle w:val="Contents6"/>
            <w:tabs>
              <w:tab w:val="clear" w:pos="7609"/>
              <w:tab w:val="right" w:pos="9026" w:leader="dot"/>
            </w:tabs>
            <w:rPr/>
          </w:pPr>
          <w:hyperlink w:anchor="__RefHeading___Toc3734432_1280447820">
            <w:r>
              <w:rPr>
                <w:webHidden/>
                <w:rStyle w:val="IndexLink"/>
                <w:rtl w:val="true"/>
              </w:rPr>
              <w:t>الوجه الثالث مع الجواب عنه</w:t>
            </w:r>
            <w:r>
              <w:rPr>
                <w:rStyle w:val="IndexLink"/>
                <w:rtl w:val="true"/>
              </w:rPr>
              <w:tab/>
            </w:r>
            <w:r>
              <w:rPr>
                <w:rStyle w:val="IndexLink"/>
              </w:rPr>
              <w:t>95</w:t>
            </w:r>
          </w:hyperlink>
        </w:p>
        <w:p>
          <w:pPr>
            <w:pStyle w:val="Contents6"/>
            <w:tabs>
              <w:tab w:val="clear" w:pos="7609"/>
              <w:tab w:val="right" w:pos="9026" w:leader="dot"/>
            </w:tabs>
            <w:rPr/>
          </w:pPr>
          <w:hyperlink w:anchor="__RefHeading___Toc3734434_1280447820">
            <w:r>
              <w:rPr>
                <w:webHidden/>
                <w:rStyle w:val="IndexLink"/>
                <w:rtl w:val="true"/>
              </w:rPr>
              <w:t>الوجه الرابع مع الجواب عنه</w:t>
            </w:r>
            <w:r>
              <w:rPr>
                <w:rStyle w:val="IndexLink"/>
                <w:rtl w:val="true"/>
              </w:rPr>
              <w:tab/>
            </w:r>
            <w:r>
              <w:rPr>
                <w:rStyle w:val="IndexLink"/>
              </w:rPr>
              <w:t>97</w:t>
            </w:r>
          </w:hyperlink>
        </w:p>
        <w:p>
          <w:pPr>
            <w:pStyle w:val="Contents6"/>
            <w:tabs>
              <w:tab w:val="clear" w:pos="7609"/>
              <w:tab w:val="right" w:pos="9026" w:leader="dot"/>
            </w:tabs>
            <w:rPr/>
          </w:pPr>
          <w:hyperlink w:anchor="__RefHeading___Toc3734436_1280447820">
            <w:r>
              <w:rPr>
                <w:webHidden/>
                <w:rStyle w:val="IndexLink"/>
                <w:rtl w:val="true"/>
              </w:rPr>
              <w:t>الوجه الخامس</w:t>
            </w:r>
            <w:r>
              <w:rPr>
                <w:rStyle w:val="IndexLink"/>
                <w:rtl w:val="true"/>
              </w:rPr>
              <w:tab/>
            </w:r>
            <w:r>
              <w:rPr>
                <w:rStyle w:val="IndexLink"/>
              </w:rPr>
              <w:t>101</w:t>
            </w:r>
          </w:hyperlink>
        </w:p>
        <w:p>
          <w:pPr>
            <w:pStyle w:val="Contents6"/>
            <w:tabs>
              <w:tab w:val="clear" w:pos="7609"/>
              <w:tab w:val="right" w:pos="9026" w:leader="dot"/>
            </w:tabs>
            <w:rPr/>
          </w:pPr>
          <w:hyperlink w:anchor="__RefHeading___Toc3734438_1280447820">
            <w:r>
              <w:rPr>
                <w:webHidden/>
                <w:rStyle w:val="IndexLink"/>
                <w:rtl w:val="true"/>
              </w:rPr>
              <w:t>الدليل الثاني لإثبات الحقيقة الشرعيّة</w:t>
            </w:r>
            <w:r>
              <w:rPr>
                <w:rStyle w:val="IndexLink"/>
                <w:rtl w:val="true"/>
              </w:rPr>
              <w:tab/>
            </w:r>
            <w:r>
              <w:rPr>
                <w:rStyle w:val="IndexLink"/>
              </w:rPr>
              <w:t>104</w:t>
            </w:r>
          </w:hyperlink>
        </w:p>
        <w:p>
          <w:pPr>
            <w:pStyle w:val="Contents6"/>
            <w:tabs>
              <w:tab w:val="clear" w:pos="7609"/>
              <w:tab w:val="right" w:pos="9026" w:leader="dot"/>
            </w:tabs>
            <w:rPr/>
          </w:pPr>
          <w:hyperlink w:anchor="__RefHeading___Toc3734440_1280447820">
            <w:r>
              <w:rPr>
                <w:webHidden/>
                <w:rStyle w:val="IndexLink"/>
                <w:rtl w:val="true"/>
              </w:rPr>
              <w:t>الدليل الثالث لإثبات الحقيقة الشرعيّة</w:t>
            </w:r>
            <w:r>
              <w:rPr>
                <w:rStyle w:val="IndexLink"/>
                <w:rtl w:val="true"/>
              </w:rPr>
              <w:tab/>
            </w:r>
            <w:r>
              <w:rPr>
                <w:rStyle w:val="IndexLink"/>
              </w:rPr>
              <w:t>104</w:t>
            </w:r>
          </w:hyperlink>
        </w:p>
        <w:p>
          <w:pPr>
            <w:pStyle w:val="Contents4"/>
            <w:tabs>
              <w:tab w:val="clear" w:pos="8176"/>
              <w:tab w:val="right" w:pos="9026" w:leader="dot"/>
            </w:tabs>
            <w:rPr/>
          </w:pPr>
          <w:hyperlink w:anchor="__RefHeading___Toc3734442_1280447820">
            <w:r>
              <w:rPr>
                <w:webHidden/>
                <w:rStyle w:val="IndexLink"/>
                <w:rtl w:val="true"/>
              </w:rPr>
              <w:t>والبحث الرابع</w:t>
            </w:r>
            <w:r>
              <w:rPr>
                <w:rStyle w:val="IndexLink"/>
                <w:rtl w:val="true"/>
              </w:rPr>
              <w:t xml:space="preserve">: </w:t>
            </w:r>
            <w:r>
              <w:rPr>
                <w:rStyle w:val="IndexLink"/>
                <w:rtl w:val="true"/>
              </w:rPr>
              <w:t>في الثمرة المترتّبة على ثبوت الحقيقة الشرعيّة وعدمه</w:t>
            </w:r>
            <w:r>
              <w:rPr>
                <w:rStyle w:val="IndexLink"/>
                <w:rtl w:val="true"/>
              </w:rPr>
              <w:tab/>
            </w:r>
            <w:r>
              <w:rPr>
                <w:rStyle w:val="IndexLink"/>
              </w:rPr>
              <w:t>105</w:t>
            </w:r>
          </w:hyperlink>
        </w:p>
        <w:p>
          <w:pPr>
            <w:pStyle w:val="Contents5"/>
            <w:tabs>
              <w:tab w:val="clear" w:pos="7892"/>
              <w:tab w:val="right" w:pos="9026" w:leader="dot"/>
            </w:tabs>
            <w:rPr/>
          </w:pPr>
          <w:hyperlink w:anchor="__RefHeading___Toc3734444_128044782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3734446_1280447820">
            <w:r>
              <w:rPr>
                <w:webHidden/>
                <w:rStyle w:val="IndexLink"/>
                <w:rtl w:val="true"/>
              </w:rPr>
              <w:t>أقسام الألفاظ الواردة في الكتاب والسنّة</w:t>
            </w:r>
            <w:r>
              <w:rPr>
                <w:rStyle w:val="IndexLink"/>
                <w:rtl w:val="true"/>
              </w:rPr>
              <w:tab/>
            </w:r>
            <w:r>
              <w:rPr>
                <w:rStyle w:val="IndexLink"/>
              </w:rPr>
              <w:t>106</w:t>
            </w:r>
          </w:hyperlink>
        </w:p>
        <w:p>
          <w:pPr>
            <w:pStyle w:val="Contents6"/>
            <w:tabs>
              <w:tab w:val="clear" w:pos="7609"/>
              <w:tab w:val="right" w:pos="9026" w:leader="dot"/>
            </w:tabs>
            <w:rPr/>
          </w:pPr>
          <w:hyperlink w:anchor="__RefHeading___Toc3734448_1280447820">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3734450_1280447820">
            <w:r>
              <w:rPr>
                <w:webHidden/>
                <w:rStyle w:val="IndexLink"/>
                <w:rtl w:val="true"/>
              </w:rPr>
              <w:t>القسم الأوّل</w:t>
            </w:r>
            <w:r>
              <w:rPr>
                <w:rStyle w:val="IndexLink"/>
                <w:rtl w:val="true"/>
              </w:rPr>
              <w:tab/>
            </w:r>
            <w:r>
              <w:rPr>
                <w:rStyle w:val="IndexLink"/>
              </w:rPr>
              <w:t>106</w:t>
            </w:r>
          </w:hyperlink>
        </w:p>
        <w:p>
          <w:pPr>
            <w:pStyle w:val="Contents6"/>
            <w:tabs>
              <w:tab w:val="clear" w:pos="7609"/>
              <w:tab w:val="right" w:pos="9026" w:leader="dot"/>
            </w:tabs>
            <w:rPr/>
          </w:pPr>
          <w:hyperlink w:anchor="__RefHeading___Toc3734452_1280447820">
            <w:r>
              <w:rPr>
                <w:webHidden/>
                <w:rStyle w:val="IndexLink"/>
                <w:rtl w:val="true"/>
              </w:rPr>
              <w:t>القسم الثاني</w:t>
            </w:r>
            <w:r>
              <w:rPr>
                <w:rStyle w:val="IndexLink"/>
                <w:rtl w:val="true"/>
              </w:rPr>
              <w:tab/>
            </w:r>
            <w:r>
              <w:rPr>
                <w:rStyle w:val="IndexLink"/>
              </w:rPr>
              <w:t>108</w:t>
            </w:r>
          </w:hyperlink>
        </w:p>
        <w:p>
          <w:pPr>
            <w:pStyle w:val="Contents6"/>
            <w:tabs>
              <w:tab w:val="clear" w:pos="7609"/>
              <w:tab w:val="right" w:pos="9026" w:leader="dot"/>
            </w:tabs>
            <w:rPr/>
          </w:pPr>
          <w:hyperlink w:anchor="__RefHeading___Toc3734454_1280447820">
            <w:r>
              <w:rPr>
                <w:webHidden/>
                <w:rStyle w:val="IndexLink"/>
                <w:rtl w:val="true"/>
              </w:rPr>
              <w:t>القسم الثالث</w:t>
            </w:r>
            <w:r>
              <w:rPr>
                <w:rStyle w:val="IndexLink"/>
                <w:rtl w:val="true"/>
              </w:rPr>
              <w:tab/>
            </w:r>
            <w:r>
              <w:rPr>
                <w:rStyle w:val="IndexLink"/>
              </w:rPr>
              <w:t>108</w:t>
            </w:r>
          </w:hyperlink>
        </w:p>
        <w:p>
          <w:pPr>
            <w:pStyle w:val="Contents6"/>
            <w:tabs>
              <w:tab w:val="clear" w:pos="7609"/>
              <w:tab w:val="right" w:pos="9026" w:leader="dot"/>
            </w:tabs>
            <w:rPr/>
          </w:pPr>
          <w:hyperlink w:anchor="__RefHeading___Toc3734456_1280447820">
            <w:r>
              <w:rPr>
                <w:webHidden/>
                <w:rStyle w:val="IndexLink"/>
                <w:rtl w:val="true"/>
              </w:rPr>
              <w:t>القسم الرابع</w:t>
            </w:r>
            <w:r>
              <w:rPr>
                <w:rStyle w:val="IndexLink"/>
                <w:rtl w:val="true"/>
              </w:rPr>
              <w:tab/>
            </w:r>
            <w:r>
              <w:rPr>
                <w:rStyle w:val="IndexLink"/>
              </w:rPr>
              <w:t>109</w:t>
            </w:r>
          </w:hyperlink>
        </w:p>
        <w:p>
          <w:pPr>
            <w:pStyle w:val="Contents5"/>
            <w:tabs>
              <w:tab w:val="clear" w:pos="7892"/>
              <w:tab w:val="right" w:pos="9026" w:leader="dot"/>
            </w:tabs>
            <w:rPr/>
          </w:pPr>
          <w:hyperlink w:anchor="__RefHeading___Toc3734458_1280447820">
            <w:r>
              <w:rPr>
                <w:webHidden/>
                <w:rStyle w:val="IndexLink"/>
                <w:rtl w:val="true"/>
              </w:rPr>
              <w:t>دفع إيراد لاستحكام مقام</w:t>
            </w:r>
            <w:r>
              <w:rPr>
                <w:rStyle w:val="IndexLink"/>
                <w:rtl w:val="true"/>
              </w:rPr>
              <w:tab/>
            </w:r>
            <w:r>
              <w:rPr>
                <w:rStyle w:val="IndexLink"/>
              </w:rPr>
              <w:t>109</w:t>
            </w:r>
          </w:hyperlink>
        </w:p>
        <w:p>
          <w:pPr>
            <w:pStyle w:val="Contents6"/>
            <w:tabs>
              <w:tab w:val="clear" w:pos="7609"/>
              <w:tab w:val="right" w:pos="9026" w:leader="dot"/>
            </w:tabs>
            <w:rPr/>
          </w:pPr>
          <w:hyperlink w:anchor="__RefHeading___Toc3734460_1280447820">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3734462_1280447820">
            <w:r>
              <w:rPr>
                <w:webHidden/>
                <w:rStyle w:val="IndexLink"/>
                <w:rtl w:val="true"/>
              </w:rPr>
              <w:t>الدليل الأوّل للمعتزلة لإثبات الحقيقة الدينيّة</w:t>
            </w:r>
            <w:r>
              <w:rPr>
                <w:rStyle w:val="IndexLink"/>
                <w:rtl w:val="true"/>
              </w:rPr>
              <w:tab/>
            </w:r>
            <w:r>
              <w:rPr>
                <w:rStyle w:val="IndexLink"/>
              </w:rPr>
              <w:t>112</w:t>
            </w:r>
          </w:hyperlink>
        </w:p>
        <w:p>
          <w:pPr>
            <w:pStyle w:val="Contents6"/>
            <w:tabs>
              <w:tab w:val="clear" w:pos="7609"/>
              <w:tab w:val="right" w:pos="9026" w:leader="dot"/>
            </w:tabs>
            <w:rPr/>
          </w:pPr>
          <w:hyperlink w:anchor="__RefHeading___Toc3734464_1280447820">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3734466_1280447820">
            <w:r>
              <w:rPr>
                <w:webHidden/>
                <w:rStyle w:val="IndexLink"/>
                <w:rtl w:val="true"/>
              </w:rPr>
              <w:t>الجواب عن الدليل الأوّل للمعتزلة</w:t>
            </w:r>
            <w:r>
              <w:rPr>
                <w:rStyle w:val="IndexLink"/>
                <w:rtl w:val="true"/>
              </w:rPr>
              <w:tab/>
            </w:r>
            <w:r>
              <w:rPr>
                <w:rStyle w:val="IndexLink"/>
              </w:rPr>
              <w:t>115</w:t>
            </w:r>
          </w:hyperlink>
        </w:p>
        <w:p>
          <w:pPr>
            <w:pStyle w:val="Contents6"/>
            <w:tabs>
              <w:tab w:val="clear" w:pos="7609"/>
              <w:tab w:val="right" w:pos="9026" w:leader="dot"/>
            </w:tabs>
            <w:rPr/>
          </w:pPr>
          <w:hyperlink w:anchor="__RefHeading___Toc3734468_1280447820">
            <w:r>
              <w:rPr>
                <w:webHidden/>
                <w:rStyle w:val="IndexLink"/>
                <w:rtl w:val="true"/>
              </w:rPr>
              <w:t>الدليل الثاني للمعتزلة لإثبات الحقيقة الدينيّة</w:t>
            </w:r>
            <w:r>
              <w:rPr>
                <w:rStyle w:val="IndexLink"/>
                <w:rtl w:val="true"/>
              </w:rPr>
              <w:tab/>
            </w:r>
            <w:r>
              <w:rPr>
                <w:rStyle w:val="IndexLink"/>
              </w:rPr>
              <w:t>117</w:t>
            </w:r>
          </w:hyperlink>
        </w:p>
        <w:p>
          <w:pPr>
            <w:pStyle w:val="Contents6"/>
            <w:tabs>
              <w:tab w:val="clear" w:pos="7609"/>
              <w:tab w:val="right" w:pos="9026" w:leader="dot"/>
            </w:tabs>
            <w:rPr/>
          </w:pPr>
          <w:hyperlink w:anchor="__RefHeading___Toc3734470_1280447820">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3734472_1280447820">
            <w:r>
              <w:rPr>
                <w:webHidden/>
                <w:rStyle w:val="IndexLink"/>
                <w:rtl w:val="true"/>
              </w:rPr>
              <w:t>الجواب عن الدليل الثاني للمعتزلة</w:t>
            </w:r>
            <w:r>
              <w:rPr>
                <w:rStyle w:val="IndexLink"/>
                <w:rtl w:val="true"/>
              </w:rPr>
              <w:tab/>
            </w:r>
            <w:r>
              <w:rPr>
                <w:rStyle w:val="IndexLink"/>
              </w:rPr>
              <w:t>118</w:t>
            </w:r>
          </w:hyperlink>
        </w:p>
        <w:p>
          <w:pPr>
            <w:pStyle w:val="Contents3"/>
            <w:tabs>
              <w:tab w:val="clear" w:pos="8459"/>
              <w:tab w:val="right" w:pos="9026" w:leader="dot"/>
            </w:tabs>
            <w:rPr/>
          </w:pPr>
          <w:hyperlink w:anchor="__RefHeading___Toc3734474_1280447820">
            <w:r>
              <w:rPr>
                <w:webHidden/>
                <w:rStyle w:val="IndexLink"/>
                <w:rtl w:val="true"/>
              </w:rPr>
              <w:t>الفصل الثاني</w:t>
            </w:r>
            <w:r>
              <w:rPr>
                <w:rStyle w:val="IndexLink"/>
                <w:rtl w:val="true"/>
              </w:rPr>
              <w:t xml:space="preserve">: </w:t>
            </w:r>
            <w:r>
              <w:rPr>
                <w:rStyle w:val="IndexLink"/>
                <w:rtl w:val="true"/>
              </w:rPr>
              <w:t>في الحقيقة اللغويّة</w:t>
            </w:r>
            <w:r>
              <w:rPr>
                <w:rStyle w:val="IndexLink"/>
                <w:rtl w:val="true"/>
              </w:rPr>
              <w:tab/>
            </w:r>
            <w:r>
              <w:rPr>
                <w:rStyle w:val="IndexLink"/>
              </w:rPr>
              <w:t>122</w:t>
            </w:r>
          </w:hyperlink>
        </w:p>
        <w:p>
          <w:pPr>
            <w:pStyle w:val="Contents4"/>
            <w:tabs>
              <w:tab w:val="clear" w:pos="8176"/>
              <w:tab w:val="right" w:pos="9026" w:leader="dot"/>
            </w:tabs>
            <w:rPr/>
          </w:pPr>
          <w:hyperlink w:anchor="__RefHeading___Toc3734476_1280447820">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3734478_1280447820">
            <w:r>
              <w:rPr>
                <w:webHidden/>
                <w:rStyle w:val="IndexLink"/>
                <w:rtl w:val="true"/>
              </w:rPr>
              <w:t>البحث الأوّل</w:t>
            </w:r>
            <w:r>
              <w:rPr>
                <w:rStyle w:val="IndexLink"/>
                <w:rtl w:val="true"/>
              </w:rPr>
              <w:t xml:space="preserve">: </w:t>
            </w:r>
            <w:r>
              <w:rPr>
                <w:rStyle w:val="IndexLink"/>
                <w:rtl w:val="true"/>
              </w:rPr>
              <w:t>في تعريف الحقيقة اللغويّة</w:t>
            </w:r>
            <w:r>
              <w:rPr>
                <w:rStyle w:val="IndexLink"/>
                <w:rtl w:val="true"/>
              </w:rPr>
              <w:tab/>
            </w:r>
            <w:r>
              <w:rPr>
                <w:rStyle w:val="IndexLink"/>
              </w:rPr>
              <w:t>122</w:t>
            </w:r>
          </w:hyperlink>
        </w:p>
        <w:p>
          <w:pPr>
            <w:pStyle w:val="Contents5"/>
            <w:tabs>
              <w:tab w:val="clear" w:pos="7892"/>
              <w:tab w:val="right" w:pos="9026" w:leader="dot"/>
            </w:tabs>
            <w:rPr/>
          </w:pPr>
          <w:hyperlink w:anchor="__RefHeading___Toc3734480_1280447820">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3734482_1280447820">
            <w:r>
              <w:rPr>
                <w:webHidden/>
                <w:rStyle w:val="IndexLink"/>
                <w:rtl w:val="true"/>
              </w:rPr>
              <w:t>الإيراد على تعريف الحقيقة اللغويّة</w:t>
            </w:r>
            <w:r>
              <w:rPr>
                <w:rStyle w:val="IndexLink"/>
                <w:rtl w:val="true"/>
              </w:rPr>
              <w:tab/>
            </w:r>
            <w:r>
              <w:rPr>
                <w:rStyle w:val="IndexLink"/>
              </w:rPr>
              <w:t>122</w:t>
            </w:r>
          </w:hyperlink>
        </w:p>
        <w:p>
          <w:pPr>
            <w:pStyle w:val="Contents5"/>
            <w:tabs>
              <w:tab w:val="clear" w:pos="7892"/>
              <w:tab w:val="right" w:pos="9026" w:leader="dot"/>
            </w:tabs>
            <w:rPr/>
          </w:pPr>
          <w:hyperlink w:anchor="__RefHeading___Toc3734484_1280447820">
            <w:r>
              <w:rPr>
                <w:webHidden/>
                <w:rStyle w:val="IndexLink"/>
                <w:rtl w:val="true"/>
              </w:rPr>
              <w:t>تعريف آخر للحقيقة اللغويّة</w:t>
            </w:r>
            <w:r>
              <w:rPr>
                <w:rStyle w:val="IndexLink"/>
                <w:rtl w:val="true"/>
              </w:rPr>
              <w:tab/>
            </w:r>
            <w:r>
              <w:rPr>
                <w:rStyle w:val="IndexLink"/>
              </w:rPr>
              <w:t>123</w:t>
            </w:r>
          </w:hyperlink>
        </w:p>
        <w:p>
          <w:pPr>
            <w:pStyle w:val="Contents5"/>
            <w:tabs>
              <w:tab w:val="clear" w:pos="7892"/>
              <w:tab w:val="right" w:pos="9026" w:leader="dot"/>
            </w:tabs>
            <w:rPr/>
          </w:pPr>
          <w:hyperlink w:anchor="__RefHeading___Toc3734486_1280447820">
            <w:r>
              <w:rPr>
                <w:webHidden/>
                <w:rStyle w:val="IndexLink"/>
                <w:rtl w:val="true"/>
              </w:rPr>
              <w:t>الإيراد على التعريف مع الجواب عنه</w:t>
            </w:r>
            <w:r>
              <w:rPr>
                <w:rStyle w:val="IndexLink"/>
                <w:rtl w:val="true"/>
              </w:rPr>
              <w:tab/>
            </w:r>
            <w:r>
              <w:rPr>
                <w:rStyle w:val="IndexLink"/>
              </w:rPr>
              <w:t>125</w:t>
            </w:r>
          </w:hyperlink>
        </w:p>
        <w:p>
          <w:pPr>
            <w:pStyle w:val="Contents4"/>
            <w:tabs>
              <w:tab w:val="clear" w:pos="8176"/>
              <w:tab w:val="right" w:pos="9026" w:leader="dot"/>
            </w:tabs>
            <w:rPr/>
          </w:pPr>
          <w:hyperlink w:anchor="__RefHeading___Toc3734488_1280447820">
            <w:r>
              <w:rPr>
                <w:webHidden/>
                <w:rStyle w:val="IndexLink"/>
                <w:rtl w:val="true"/>
              </w:rPr>
              <w:t>والبحث الثاني</w:t>
            </w:r>
            <w:r>
              <w:rPr>
                <w:rStyle w:val="IndexLink"/>
                <w:rtl w:val="true"/>
              </w:rPr>
              <w:t xml:space="preserve">: </w:t>
            </w:r>
            <w:r>
              <w:rPr>
                <w:rStyle w:val="IndexLink"/>
                <w:rtl w:val="true"/>
              </w:rPr>
              <w:t>في ثبوت الحقيقة اللغويّة</w:t>
            </w:r>
            <w:r>
              <w:rPr>
                <w:rStyle w:val="IndexLink"/>
                <w:rtl w:val="true"/>
              </w:rPr>
              <w:tab/>
            </w:r>
            <w:r>
              <w:rPr>
                <w:rStyle w:val="IndexLink"/>
              </w:rPr>
              <w:t>130</w:t>
            </w:r>
          </w:hyperlink>
        </w:p>
        <w:p>
          <w:pPr>
            <w:pStyle w:val="Contents5"/>
            <w:tabs>
              <w:tab w:val="clear" w:pos="7892"/>
              <w:tab w:val="right" w:pos="9026" w:leader="dot"/>
            </w:tabs>
            <w:rPr/>
          </w:pPr>
          <w:hyperlink w:anchor="__RefHeading___Toc3734490_1280447820">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3734492_1280447820">
            <w:r>
              <w:rPr>
                <w:webHidden/>
                <w:rStyle w:val="IndexLink"/>
                <w:rtl w:val="true"/>
              </w:rPr>
              <w:t>في الفرق بين المنقول والمجاز مع اشتراكهما في الاستعمال في المعنى المناسب</w:t>
            </w:r>
            <w:r>
              <w:rPr>
                <w:rStyle w:val="IndexLink"/>
                <w:rtl w:val="true"/>
              </w:rPr>
              <w:tab/>
            </w:r>
            <w:r>
              <w:rPr>
                <w:rStyle w:val="IndexLink"/>
              </w:rPr>
              <w:t>131</w:t>
            </w:r>
          </w:hyperlink>
        </w:p>
        <w:p>
          <w:pPr>
            <w:pStyle w:val="Contents5"/>
            <w:tabs>
              <w:tab w:val="clear" w:pos="7892"/>
              <w:tab w:val="right" w:pos="9026" w:leader="dot"/>
            </w:tabs>
            <w:rPr/>
          </w:pPr>
          <w:hyperlink w:anchor="__RefHeading___Toc3734494_1280447820">
            <w:r>
              <w:rPr>
                <w:webHidden/>
                <w:rStyle w:val="IndexLink"/>
                <w:rtl w:val="true"/>
              </w:rPr>
              <w:t>دليلٌ آخر لإثبات الحقيقة اللغويّة</w:t>
            </w:r>
            <w:r>
              <w:rPr>
                <w:rStyle w:val="IndexLink"/>
                <w:rtl w:val="true"/>
              </w:rPr>
              <w:tab/>
            </w:r>
            <w:r>
              <w:rPr>
                <w:rStyle w:val="IndexLink"/>
              </w:rPr>
              <w:t>133</w:t>
            </w:r>
          </w:hyperlink>
        </w:p>
        <w:p>
          <w:pPr>
            <w:pStyle w:val="Contents4"/>
            <w:tabs>
              <w:tab w:val="clear" w:pos="8176"/>
              <w:tab w:val="right" w:pos="9026" w:leader="dot"/>
            </w:tabs>
            <w:rPr/>
          </w:pPr>
          <w:hyperlink w:anchor="__RefHeading___Toc3734496_1280447820">
            <w:r>
              <w:rPr>
                <w:webHidden/>
                <w:rStyle w:val="IndexLink"/>
                <w:rtl w:val="true"/>
              </w:rPr>
              <w:t>المبحث الثالث</w:t>
            </w:r>
            <w:r>
              <w:rPr>
                <w:rStyle w:val="IndexLink"/>
                <w:rtl w:val="true"/>
              </w:rPr>
              <w:t xml:space="preserve">: </w:t>
            </w:r>
            <w:r>
              <w:rPr>
                <w:rStyle w:val="IndexLink"/>
                <w:rtl w:val="true"/>
              </w:rPr>
              <w:t>في واضع الحقيقة اللغويّة</w:t>
            </w:r>
            <w:r>
              <w:rPr>
                <w:rStyle w:val="IndexLink"/>
                <w:rtl w:val="true"/>
              </w:rPr>
              <w:tab/>
            </w:r>
            <w:r>
              <w:rPr>
                <w:rStyle w:val="IndexLink"/>
              </w:rPr>
              <w:t>135</w:t>
            </w:r>
          </w:hyperlink>
        </w:p>
        <w:p>
          <w:pPr>
            <w:pStyle w:val="Contents5"/>
            <w:tabs>
              <w:tab w:val="clear" w:pos="7892"/>
              <w:tab w:val="right" w:pos="9026" w:leader="dot"/>
            </w:tabs>
            <w:rPr/>
          </w:pPr>
          <w:hyperlink w:anchor="__RefHeading___Toc3734498_1280447820">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3734500_1280447820">
            <w:r>
              <w:rPr>
                <w:webHidden/>
                <w:rStyle w:val="IndexLink"/>
                <w:rtl w:val="true"/>
              </w:rPr>
              <w:t>المقام الأوّل</w:t>
            </w:r>
            <w:r>
              <w:rPr>
                <w:rStyle w:val="IndexLink"/>
                <w:rtl w:val="true"/>
              </w:rPr>
              <w:t xml:space="preserve">: </w:t>
            </w:r>
            <w:r>
              <w:rPr>
                <w:rStyle w:val="IndexLink"/>
                <w:rtl w:val="true"/>
              </w:rPr>
              <w:t>في أنّ دلالة الألفاظ وضعيّة</w:t>
            </w:r>
            <w:r>
              <w:rPr>
                <w:rStyle w:val="IndexLink"/>
                <w:rtl w:val="true"/>
              </w:rPr>
              <w:tab/>
            </w:r>
            <w:r>
              <w:rPr>
                <w:rStyle w:val="IndexLink"/>
              </w:rPr>
              <w:t>135</w:t>
            </w:r>
          </w:hyperlink>
        </w:p>
        <w:p>
          <w:pPr>
            <w:pStyle w:val="Contents6"/>
            <w:tabs>
              <w:tab w:val="clear" w:pos="7609"/>
              <w:tab w:val="right" w:pos="9026" w:leader="dot"/>
            </w:tabs>
            <w:rPr/>
          </w:pPr>
          <w:hyperlink w:anchor="__RefHeading___Toc3734502_1280447820">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3734504_1280447820">
            <w:r>
              <w:rPr>
                <w:webHidden/>
                <w:rStyle w:val="IndexLink"/>
                <w:rtl w:val="true"/>
              </w:rPr>
              <w:t>في احتجاج القائلين بأنّ دلالة الألفاظ ذاتيّة</w:t>
            </w:r>
            <w:r>
              <w:rPr>
                <w:rStyle w:val="IndexLink"/>
                <w:rtl w:val="true"/>
              </w:rPr>
              <w:tab/>
            </w:r>
            <w:r>
              <w:rPr>
                <w:rStyle w:val="IndexLink"/>
              </w:rPr>
              <w:t>136</w:t>
            </w:r>
          </w:hyperlink>
        </w:p>
        <w:p>
          <w:pPr>
            <w:pStyle w:val="Contents6"/>
            <w:tabs>
              <w:tab w:val="clear" w:pos="7609"/>
              <w:tab w:val="right" w:pos="9026" w:leader="dot"/>
            </w:tabs>
            <w:rPr/>
          </w:pPr>
          <w:hyperlink w:anchor="__RefHeading___Toc3734506_1280447820">
            <w:r>
              <w:rPr>
                <w:webHidden/>
                <w:rStyle w:val="IndexLink"/>
                <w:rtl w:val="true"/>
              </w:rPr>
              <w:t>القول المذكور مبنيّ على أمور</w:t>
            </w:r>
            <w:r>
              <w:rPr>
                <w:rStyle w:val="IndexLink"/>
                <w:rtl w:val="true"/>
              </w:rPr>
              <w:tab/>
            </w:r>
            <w:r>
              <w:rPr>
                <w:rStyle w:val="IndexLink"/>
              </w:rPr>
              <w:t>137</w:t>
            </w:r>
          </w:hyperlink>
        </w:p>
        <w:p>
          <w:pPr>
            <w:pStyle w:val="Contents6"/>
            <w:tabs>
              <w:tab w:val="clear" w:pos="7609"/>
              <w:tab w:val="right" w:pos="9026" w:leader="dot"/>
            </w:tabs>
            <w:rPr/>
          </w:pPr>
          <w:hyperlink w:anchor="__RefHeading___Toc3734508_1280447820">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3734510_1280447820">
            <w:r>
              <w:rPr>
                <w:webHidden/>
                <w:rStyle w:val="IndexLink"/>
                <w:rtl w:val="true"/>
              </w:rPr>
              <w:t>الأمر الأوّل</w:t>
            </w:r>
            <w:r>
              <w:rPr>
                <w:rStyle w:val="IndexLink"/>
                <w:rtl w:val="true"/>
              </w:rPr>
              <w:tab/>
            </w:r>
            <w:r>
              <w:rPr>
                <w:rStyle w:val="IndexLink"/>
              </w:rPr>
              <w:t>137</w:t>
            </w:r>
          </w:hyperlink>
        </w:p>
        <w:p>
          <w:pPr>
            <w:pStyle w:val="Contents6"/>
            <w:tabs>
              <w:tab w:val="clear" w:pos="7609"/>
              <w:tab w:val="right" w:pos="9026" w:leader="dot"/>
            </w:tabs>
            <w:rPr/>
          </w:pPr>
          <w:hyperlink w:anchor="__RefHeading___Toc3734512_1280447820">
            <w:r>
              <w:rPr>
                <w:webHidden/>
                <w:rStyle w:val="IndexLink"/>
                <w:rtl w:val="true"/>
              </w:rPr>
              <w:t>الأمر الثاني</w:t>
            </w:r>
            <w:r>
              <w:rPr>
                <w:rStyle w:val="IndexLink"/>
                <w:rtl w:val="true"/>
              </w:rPr>
              <w:tab/>
            </w:r>
            <w:r>
              <w:rPr>
                <w:rStyle w:val="IndexLink"/>
              </w:rPr>
              <w:t>139</w:t>
            </w:r>
          </w:hyperlink>
        </w:p>
        <w:p>
          <w:pPr>
            <w:pStyle w:val="Contents6"/>
            <w:tabs>
              <w:tab w:val="clear" w:pos="7609"/>
              <w:tab w:val="right" w:pos="9026" w:leader="dot"/>
            </w:tabs>
            <w:rPr/>
          </w:pPr>
          <w:hyperlink w:anchor="__RefHeading___Toc3734514_1280447820">
            <w:r>
              <w:rPr>
                <w:webHidden/>
                <w:rStyle w:val="IndexLink"/>
                <w:rtl w:val="true"/>
              </w:rPr>
              <w:t>الأمر الثالث</w:t>
            </w:r>
            <w:r>
              <w:rPr>
                <w:rStyle w:val="IndexLink"/>
                <w:rtl w:val="true"/>
              </w:rPr>
              <w:tab/>
            </w:r>
            <w:r>
              <w:rPr>
                <w:rStyle w:val="IndexLink"/>
              </w:rPr>
              <w:t>139</w:t>
            </w:r>
          </w:hyperlink>
        </w:p>
        <w:p>
          <w:pPr>
            <w:pStyle w:val="Contents6"/>
            <w:tabs>
              <w:tab w:val="clear" w:pos="7609"/>
              <w:tab w:val="right" w:pos="9026" w:leader="dot"/>
            </w:tabs>
            <w:rPr/>
          </w:pPr>
          <w:hyperlink w:anchor="__RefHeading___Toc3734516_1280447820">
            <w:r>
              <w:rPr>
                <w:webHidden/>
                <w:rStyle w:val="IndexLink"/>
                <w:rtl w:val="true"/>
              </w:rPr>
              <w:t>الأمر الرابع</w:t>
            </w:r>
            <w:r>
              <w:rPr>
                <w:rStyle w:val="IndexLink"/>
                <w:rtl w:val="true"/>
              </w:rPr>
              <w:tab/>
            </w:r>
            <w:r>
              <w:rPr>
                <w:rStyle w:val="IndexLink"/>
              </w:rPr>
              <w:t>141</w:t>
            </w:r>
          </w:hyperlink>
        </w:p>
        <w:p>
          <w:pPr>
            <w:pStyle w:val="Contents6"/>
            <w:tabs>
              <w:tab w:val="clear" w:pos="7609"/>
              <w:tab w:val="right" w:pos="9026" w:leader="dot"/>
            </w:tabs>
            <w:rPr/>
          </w:pPr>
          <w:hyperlink w:anchor="__RefHeading___Toc3734518_1280447820">
            <w:r>
              <w:rPr>
                <w:webHidden/>
                <w:rStyle w:val="IndexLink"/>
                <w:rtl w:val="true"/>
              </w:rPr>
              <w:t>في الجواب عن احتجاج القائلين بأنّ دلالة الألفاظ ذاتيّة</w:t>
            </w:r>
            <w:r>
              <w:rPr>
                <w:rStyle w:val="IndexLink"/>
                <w:rtl w:val="true"/>
              </w:rPr>
              <w:tab/>
            </w:r>
            <w:r>
              <w:rPr>
                <w:rStyle w:val="IndexLink"/>
              </w:rPr>
              <w:t>148</w:t>
            </w:r>
          </w:hyperlink>
        </w:p>
        <w:p>
          <w:pPr>
            <w:pStyle w:val="Contents6"/>
            <w:tabs>
              <w:tab w:val="clear" w:pos="7609"/>
              <w:tab w:val="right" w:pos="9026" w:leader="dot"/>
            </w:tabs>
            <w:rPr/>
          </w:pPr>
          <w:hyperlink w:anchor="__RefHeading___Toc3734520_1280447820">
            <w:r>
              <w:rPr>
                <w:webHidden/>
                <w:rStyle w:val="IndexLink"/>
                <w:rtl w:val="true"/>
              </w:rPr>
              <w:t>الجواب عنه بالمعارضة</w:t>
            </w:r>
            <w:r>
              <w:rPr>
                <w:rStyle w:val="IndexLink"/>
                <w:rtl w:val="true"/>
              </w:rPr>
              <w:tab/>
            </w:r>
            <w:r>
              <w:rPr>
                <w:rStyle w:val="IndexLink"/>
              </w:rPr>
              <w:t>148</w:t>
            </w:r>
          </w:hyperlink>
        </w:p>
        <w:p>
          <w:pPr>
            <w:pStyle w:val="Contents6"/>
            <w:tabs>
              <w:tab w:val="clear" w:pos="7609"/>
              <w:tab w:val="right" w:pos="9026" w:leader="dot"/>
            </w:tabs>
            <w:rPr/>
          </w:pPr>
          <w:hyperlink w:anchor="__RefHeading___Toc3734522_1280447820">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3734524_1280447820">
            <w:r>
              <w:rPr>
                <w:webHidden/>
                <w:rStyle w:val="IndexLink"/>
                <w:rtl w:val="true"/>
              </w:rPr>
              <w:t>الوجه الأوّل</w:t>
            </w:r>
            <w:r>
              <w:rPr>
                <w:rStyle w:val="IndexLink"/>
                <w:rtl w:val="true"/>
              </w:rPr>
              <w:tab/>
            </w:r>
            <w:r>
              <w:rPr>
                <w:rStyle w:val="IndexLink"/>
              </w:rPr>
              <w:t>149</w:t>
            </w:r>
          </w:hyperlink>
        </w:p>
        <w:p>
          <w:pPr>
            <w:pStyle w:val="Contents6"/>
            <w:tabs>
              <w:tab w:val="clear" w:pos="7609"/>
              <w:tab w:val="right" w:pos="9026" w:leader="dot"/>
            </w:tabs>
            <w:rPr/>
          </w:pPr>
          <w:hyperlink w:anchor="__RefHeading___Toc3734526_1280447820">
            <w:r>
              <w:rPr>
                <w:webHidden/>
                <w:rStyle w:val="IndexLink"/>
                <w:rtl w:val="true"/>
              </w:rPr>
              <w:t>الوجه الثاني</w:t>
            </w:r>
            <w:r>
              <w:rPr>
                <w:rStyle w:val="IndexLink"/>
                <w:rtl w:val="true"/>
              </w:rPr>
              <w:tab/>
            </w:r>
            <w:r>
              <w:rPr>
                <w:rStyle w:val="IndexLink"/>
              </w:rPr>
              <w:t>149</w:t>
            </w:r>
          </w:hyperlink>
        </w:p>
        <w:p>
          <w:pPr>
            <w:pStyle w:val="Contents6"/>
            <w:tabs>
              <w:tab w:val="clear" w:pos="7609"/>
              <w:tab w:val="right" w:pos="9026" w:leader="dot"/>
            </w:tabs>
            <w:rPr/>
          </w:pPr>
          <w:hyperlink w:anchor="__RefHeading___Toc3734528_1280447820">
            <w:r>
              <w:rPr>
                <w:webHidden/>
                <w:rStyle w:val="IndexLink"/>
                <w:rtl w:val="true"/>
              </w:rPr>
              <w:t>الوجه الثالث</w:t>
            </w:r>
            <w:r>
              <w:rPr>
                <w:rStyle w:val="IndexLink"/>
                <w:rtl w:val="true"/>
              </w:rPr>
              <w:tab/>
            </w:r>
            <w:r>
              <w:rPr>
                <w:rStyle w:val="IndexLink"/>
              </w:rPr>
              <w:t>151</w:t>
            </w:r>
          </w:hyperlink>
        </w:p>
        <w:p>
          <w:pPr>
            <w:pStyle w:val="Contents6"/>
            <w:tabs>
              <w:tab w:val="clear" w:pos="7609"/>
              <w:tab w:val="right" w:pos="9026" w:leader="dot"/>
            </w:tabs>
            <w:rPr/>
          </w:pPr>
          <w:hyperlink w:anchor="__RefHeading___Toc3734530_1280447820">
            <w:r>
              <w:rPr>
                <w:webHidden/>
                <w:rStyle w:val="IndexLink"/>
                <w:rtl w:val="true"/>
              </w:rPr>
              <w:t>الوجه الرابع</w:t>
            </w:r>
            <w:r>
              <w:rPr>
                <w:rStyle w:val="IndexLink"/>
                <w:rtl w:val="true"/>
              </w:rPr>
              <w:tab/>
            </w:r>
            <w:r>
              <w:rPr>
                <w:rStyle w:val="IndexLink"/>
              </w:rPr>
              <w:t>152</w:t>
            </w:r>
          </w:hyperlink>
        </w:p>
        <w:p>
          <w:pPr>
            <w:pStyle w:val="Contents6"/>
            <w:tabs>
              <w:tab w:val="clear" w:pos="7609"/>
              <w:tab w:val="right" w:pos="9026" w:leader="dot"/>
            </w:tabs>
            <w:rPr/>
          </w:pPr>
          <w:hyperlink w:anchor="__RefHeading___Toc3734532_1280447820">
            <w:r>
              <w:rPr>
                <w:webHidden/>
                <w:rStyle w:val="IndexLink"/>
                <w:rtl w:val="true"/>
              </w:rPr>
              <w:t>الوجه الخامس</w:t>
            </w:r>
            <w:r>
              <w:rPr>
                <w:rStyle w:val="IndexLink"/>
                <w:rtl w:val="true"/>
              </w:rPr>
              <w:tab/>
            </w:r>
            <w:r>
              <w:rPr>
                <w:rStyle w:val="IndexLink"/>
              </w:rPr>
              <w:t>154</w:t>
            </w:r>
          </w:hyperlink>
        </w:p>
        <w:p>
          <w:pPr>
            <w:pStyle w:val="Contents6"/>
            <w:tabs>
              <w:tab w:val="clear" w:pos="7609"/>
              <w:tab w:val="right" w:pos="9026" w:leader="dot"/>
            </w:tabs>
            <w:rPr/>
          </w:pPr>
          <w:hyperlink w:anchor="__RefHeading___Toc3734534_1280447820">
            <w:r>
              <w:rPr>
                <w:webHidden/>
                <w:rStyle w:val="IndexLink"/>
                <w:rtl w:val="true"/>
              </w:rPr>
              <w:t>الوجه السادس</w:t>
            </w:r>
            <w:r>
              <w:rPr>
                <w:rStyle w:val="IndexLink"/>
                <w:rtl w:val="true"/>
              </w:rPr>
              <w:tab/>
            </w:r>
            <w:r>
              <w:rPr>
                <w:rStyle w:val="IndexLink"/>
              </w:rPr>
              <w:t>158</w:t>
            </w:r>
          </w:hyperlink>
        </w:p>
        <w:p>
          <w:pPr>
            <w:pStyle w:val="Contents6"/>
            <w:tabs>
              <w:tab w:val="clear" w:pos="7609"/>
              <w:tab w:val="right" w:pos="9026" w:leader="dot"/>
            </w:tabs>
            <w:rPr/>
          </w:pPr>
          <w:hyperlink w:anchor="__RefHeading___Toc3734536_1280447820">
            <w:r>
              <w:rPr>
                <w:webHidden/>
                <w:rStyle w:val="IndexLink"/>
                <w:rtl w:val="true"/>
              </w:rPr>
              <w:t>الوجه السابع</w:t>
            </w:r>
            <w:r>
              <w:rPr>
                <w:rStyle w:val="IndexLink"/>
                <w:rtl w:val="true"/>
              </w:rPr>
              <w:tab/>
            </w:r>
            <w:r>
              <w:rPr>
                <w:rStyle w:val="IndexLink"/>
              </w:rPr>
              <w:t>161</w:t>
            </w:r>
          </w:hyperlink>
        </w:p>
        <w:p>
          <w:pPr>
            <w:pStyle w:val="Contents6"/>
            <w:tabs>
              <w:tab w:val="clear" w:pos="7609"/>
              <w:tab w:val="right" w:pos="9026" w:leader="dot"/>
            </w:tabs>
            <w:rPr/>
          </w:pPr>
          <w:hyperlink w:anchor="__RefHeading___Toc3734538_1280447820">
            <w:r>
              <w:rPr>
                <w:webHidden/>
                <w:rStyle w:val="IndexLink"/>
                <w:rtl w:val="true"/>
              </w:rPr>
              <w:t>الوجه الثامن</w:t>
            </w:r>
            <w:r>
              <w:rPr>
                <w:rStyle w:val="IndexLink"/>
                <w:rtl w:val="true"/>
              </w:rPr>
              <w:tab/>
            </w:r>
            <w:r>
              <w:rPr>
                <w:rStyle w:val="IndexLink"/>
              </w:rPr>
              <w:t>162</w:t>
            </w:r>
          </w:hyperlink>
        </w:p>
        <w:p>
          <w:pPr>
            <w:pStyle w:val="Contents6"/>
            <w:tabs>
              <w:tab w:val="clear" w:pos="7609"/>
              <w:tab w:val="right" w:pos="9026" w:leader="dot"/>
            </w:tabs>
            <w:rPr/>
          </w:pPr>
          <w:hyperlink w:anchor="__RefHeading___Toc3734540_1280447820">
            <w:r>
              <w:rPr>
                <w:webHidden/>
                <w:rStyle w:val="IndexLink"/>
                <w:rtl w:val="true"/>
              </w:rPr>
              <w:t>الجواب عن احتجاج القائلين بأنّ دلالة الألفاظ ذاتيّة بالمناقضة</w:t>
            </w:r>
            <w:r>
              <w:rPr>
                <w:rStyle w:val="IndexLink"/>
                <w:rtl w:val="true"/>
              </w:rPr>
              <w:tab/>
            </w:r>
            <w:r>
              <w:rPr>
                <w:rStyle w:val="IndexLink"/>
              </w:rPr>
              <w:t>162</w:t>
            </w:r>
          </w:hyperlink>
        </w:p>
        <w:p>
          <w:pPr>
            <w:pStyle w:val="Contents6"/>
            <w:tabs>
              <w:tab w:val="clear" w:pos="7609"/>
              <w:tab w:val="right" w:pos="9026" w:leader="dot"/>
            </w:tabs>
            <w:rPr/>
          </w:pPr>
          <w:hyperlink w:anchor="__RefHeading___Toc3734542_1280447820">
            <w:r>
              <w:rPr>
                <w:webHidden/>
                <w:rStyle w:val="IndexLink"/>
                <w:rtl w:val="true"/>
              </w:rPr>
              <w:t>الإرادة غير صالحة للترجيح</w:t>
            </w:r>
            <w:r>
              <w:rPr>
                <w:rStyle w:val="IndexLink"/>
                <w:rtl w:val="true"/>
              </w:rPr>
              <w:tab/>
            </w:r>
            <w:r>
              <w:rPr>
                <w:rStyle w:val="IndexLink"/>
              </w:rPr>
              <w:t>163</w:t>
            </w:r>
          </w:hyperlink>
        </w:p>
        <w:p>
          <w:pPr>
            <w:pStyle w:val="Contents6"/>
            <w:tabs>
              <w:tab w:val="clear" w:pos="7609"/>
              <w:tab w:val="right" w:pos="9026" w:leader="dot"/>
            </w:tabs>
            <w:rPr/>
          </w:pPr>
          <w:hyperlink w:anchor="__RefHeading___Toc3734544_1280447820">
            <w:r>
              <w:rPr>
                <w:webHidden/>
                <w:rStyle w:val="IndexLink"/>
                <w:rtl w:val="true"/>
              </w:rPr>
              <w:t>الخطور أيضًا غير صالح للترجيح</w:t>
            </w:r>
            <w:r>
              <w:rPr>
                <w:rStyle w:val="IndexLink"/>
                <w:rtl w:val="true"/>
              </w:rPr>
              <w:tab/>
            </w:r>
            <w:r>
              <w:rPr>
                <w:rStyle w:val="IndexLink"/>
              </w:rPr>
              <w:t>164</w:t>
            </w:r>
          </w:hyperlink>
        </w:p>
        <w:p>
          <w:pPr>
            <w:pStyle w:val="Contents6"/>
            <w:tabs>
              <w:tab w:val="clear" w:pos="7609"/>
              <w:tab w:val="right" w:pos="9026" w:leader="dot"/>
            </w:tabs>
            <w:rPr/>
          </w:pPr>
          <w:hyperlink w:anchor="__RefHeading___Toc3734546_1280447820">
            <w:r>
              <w:rPr>
                <w:webHidden/>
                <w:rStyle w:val="IndexLink"/>
                <w:rtl w:val="true"/>
              </w:rPr>
              <w:t>جواب آخر</w:t>
            </w:r>
            <w:r>
              <w:rPr>
                <w:rStyle w:val="IndexLink"/>
                <w:rtl w:val="true"/>
              </w:rPr>
              <w:tab/>
            </w:r>
            <w:r>
              <w:rPr>
                <w:rStyle w:val="IndexLink"/>
              </w:rPr>
              <w:t>164</w:t>
            </w:r>
          </w:hyperlink>
        </w:p>
        <w:p>
          <w:pPr>
            <w:pStyle w:val="Contents6"/>
            <w:tabs>
              <w:tab w:val="clear" w:pos="7609"/>
              <w:tab w:val="right" w:pos="9026" w:leader="dot"/>
            </w:tabs>
            <w:rPr/>
          </w:pPr>
          <w:hyperlink w:anchor="__RefHeading___Toc3734548_1280447820">
            <w:r>
              <w:rPr>
                <w:webHidden/>
                <w:rStyle w:val="IndexLink"/>
                <w:rtl w:val="true"/>
              </w:rPr>
              <w:t>الإشكال في الوجهين المذكورين لإثبات الترجيح</w:t>
            </w:r>
            <w:r>
              <w:rPr>
                <w:rStyle w:val="IndexLink"/>
                <w:rtl w:val="true"/>
              </w:rPr>
              <w:tab/>
            </w:r>
            <w:r>
              <w:rPr>
                <w:rStyle w:val="IndexLink"/>
              </w:rPr>
              <w:t>166</w:t>
            </w:r>
          </w:hyperlink>
        </w:p>
        <w:p>
          <w:pPr>
            <w:pStyle w:val="Contents5"/>
            <w:tabs>
              <w:tab w:val="clear" w:pos="7892"/>
              <w:tab w:val="right" w:pos="9026" w:leader="dot"/>
            </w:tabs>
            <w:rPr/>
          </w:pPr>
          <w:hyperlink w:anchor="__RefHeading___Toc3734550_1280447820">
            <w:r>
              <w:rPr>
                <w:webHidden/>
                <w:rStyle w:val="IndexLink"/>
                <w:rtl w:val="true"/>
              </w:rPr>
              <w:t>والمقام الثاني</w:t>
            </w:r>
            <w:r>
              <w:rPr>
                <w:rStyle w:val="IndexLink"/>
                <w:rtl w:val="true"/>
              </w:rPr>
              <w:t xml:space="preserve">: </w:t>
            </w:r>
            <w:r>
              <w:rPr>
                <w:rStyle w:val="IndexLink"/>
                <w:rtl w:val="true"/>
              </w:rPr>
              <w:t>في تفسير الوضع وما يترتّب عليه من الفوائد</w:t>
            </w:r>
            <w:r>
              <w:rPr>
                <w:rStyle w:val="IndexLink"/>
                <w:rtl w:val="true"/>
              </w:rPr>
              <w:tab/>
            </w:r>
            <w:r>
              <w:rPr>
                <w:rStyle w:val="IndexLink"/>
              </w:rPr>
              <w:t>168</w:t>
            </w:r>
          </w:hyperlink>
        </w:p>
        <w:p>
          <w:pPr>
            <w:pStyle w:val="Contents6"/>
            <w:tabs>
              <w:tab w:val="clear" w:pos="7609"/>
              <w:tab w:val="right" w:pos="9026" w:leader="dot"/>
            </w:tabs>
            <w:rPr/>
          </w:pPr>
          <w:hyperlink w:anchor="__RefHeading___Toc3734552_1280447820">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3734554_1280447820">
            <w:r>
              <w:rPr>
                <w:webHidden/>
                <w:rStyle w:val="IndexLink"/>
                <w:rtl w:val="true"/>
              </w:rPr>
              <w:t>الفائدة الأولى</w:t>
            </w:r>
            <w:r>
              <w:rPr>
                <w:rStyle w:val="IndexLink"/>
                <w:rtl w:val="true"/>
              </w:rPr>
              <w:t xml:space="preserve">: </w:t>
            </w:r>
            <w:r>
              <w:rPr>
                <w:rStyle w:val="IndexLink"/>
                <w:rtl w:val="true"/>
              </w:rPr>
              <w:t>في تفسير الدلالة وما يتوجّه إليه من المناقشة</w:t>
            </w:r>
            <w:r>
              <w:rPr>
                <w:rStyle w:val="IndexLink"/>
                <w:rtl w:val="true"/>
              </w:rPr>
              <w:tab/>
            </w:r>
            <w:r>
              <w:rPr>
                <w:rStyle w:val="IndexLink"/>
              </w:rPr>
              <w:t>168</w:t>
            </w:r>
          </w:hyperlink>
        </w:p>
        <w:p>
          <w:pPr>
            <w:pStyle w:val="Contents6"/>
            <w:tabs>
              <w:tab w:val="clear" w:pos="7609"/>
              <w:tab w:val="right" w:pos="9026" w:leader="dot"/>
            </w:tabs>
            <w:rPr/>
          </w:pPr>
          <w:hyperlink w:anchor="__RefHeading___Toc3734556_1280447820">
            <w:r>
              <w:rPr>
                <w:webHidden/>
                <w:rStyle w:val="IndexLink"/>
                <w:rtl w:val="true"/>
              </w:rPr>
              <w:t>الفائدة الثانية</w:t>
            </w:r>
            <w:r>
              <w:rPr>
                <w:rStyle w:val="IndexLink"/>
                <w:rtl w:val="true"/>
              </w:rPr>
              <w:t xml:space="preserve">: </w:t>
            </w:r>
            <w:r>
              <w:rPr>
                <w:rStyle w:val="IndexLink"/>
                <w:rtl w:val="true"/>
              </w:rPr>
              <w:t>في تقسيم الدلالة إلى الأقسام الثلاثة</w:t>
            </w:r>
            <w:r>
              <w:rPr>
                <w:rStyle w:val="IndexLink"/>
                <w:rtl w:val="true"/>
              </w:rPr>
              <w:tab/>
            </w:r>
            <w:r>
              <w:rPr>
                <w:rStyle w:val="IndexLink"/>
              </w:rPr>
              <w:t>173</w:t>
            </w:r>
          </w:hyperlink>
        </w:p>
        <w:p>
          <w:pPr>
            <w:pStyle w:val="Contents6"/>
            <w:tabs>
              <w:tab w:val="clear" w:pos="7609"/>
              <w:tab w:val="right" w:pos="9026" w:leader="dot"/>
            </w:tabs>
            <w:rPr/>
          </w:pPr>
          <w:hyperlink w:anchor="__RefHeading___Toc3734558_1280447820">
            <w:r>
              <w:rPr>
                <w:webHidden/>
                <w:rStyle w:val="IndexLink"/>
                <w:rtl w:val="true"/>
              </w:rPr>
              <w:t>الكلام هنا في أمور</w:t>
            </w:r>
            <w:r>
              <w:rPr>
                <w:rStyle w:val="IndexLink"/>
                <w:rtl w:val="true"/>
              </w:rPr>
              <w:tab/>
            </w:r>
            <w:r>
              <w:rPr>
                <w:rStyle w:val="IndexLink"/>
              </w:rPr>
              <w:t>174</w:t>
            </w:r>
          </w:hyperlink>
        </w:p>
        <w:p>
          <w:pPr>
            <w:pStyle w:val="Contents6"/>
            <w:tabs>
              <w:tab w:val="clear" w:pos="7609"/>
              <w:tab w:val="right" w:pos="9026" w:leader="dot"/>
            </w:tabs>
            <w:rPr/>
          </w:pPr>
          <w:hyperlink w:anchor="__RefHeading___Toc3734560_1280447820">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3734562_1280447820">
            <w:r>
              <w:rPr>
                <w:webHidden/>
                <w:rStyle w:val="IndexLink"/>
                <w:rtl w:val="true"/>
              </w:rPr>
              <w:t>الأمر الأوّل</w:t>
            </w:r>
            <w:r>
              <w:rPr>
                <w:rStyle w:val="IndexLink"/>
                <w:rtl w:val="true"/>
              </w:rPr>
              <w:t xml:space="preserve">: </w:t>
            </w:r>
            <w:r>
              <w:rPr>
                <w:rStyle w:val="IndexLink"/>
                <w:rtl w:val="true"/>
              </w:rPr>
              <w:t>في أنّ المطابقة والتضمّن والالتزام من الدلالات اللفظيّة، أو بعضها لفظيّ وبعضها عقلي</w:t>
            </w:r>
            <w:r>
              <w:rPr>
                <w:rStyle w:val="IndexLink"/>
                <w:rtl w:val="true"/>
              </w:rPr>
              <w:tab/>
            </w:r>
            <w:r>
              <w:rPr>
                <w:rStyle w:val="IndexLink"/>
              </w:rPr>
              <w:t>174</w:t>
            </w:r>
          </w:hyperlink>
        </w:p>
        <w:p>
          <w:pPr>
            <w:pStyle w:val="Contents6"/>
            <w:tabs>
              <w:tab w:val="clear" w:pos="7609"/>
              <w:tab w:val="right" w:pos="9026" w:leader="dot"/>
            </w:tabs>
            <w:rPr/>
          </w:pPr>
          <w:hyperlink w:anchor="__RefHeading___Toc3734564_1280447820">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3734566_1280447820">
            <w:r>
              <w:rPr>
                <w:webHidden/>
                <w:rStyle w:val="IndexLink"/>
                <w:rtl w:val="true"/>
              </w:rPr>
              <w:t>في وجه كون المطابقة والتضمّن من الدلالة اللفظيّة دون الالتزام</w:t>
            </w:r>
            <w:r>
              <w:rPr>
                <w:rStyle w:val="IndexLink"/>
                <w:rtl w:val="true"/>
              </w:rPr>
              <w:tab/>
            </w:r>
            <w:r>
              <w:rPr>
                <w:rStyle w:val="IndexLink"/>
              </w:rPr>
              <w:t>177</w:t>
            </w:r>
          </w:hyperlink>
        </w:p>
        <w:p>
          <w:pPr>
            <w:pStyle w:val="Contents6"/>
            <w:tabs>
              <w:tab w:val="clear" w:pos="7609"/>
              <w:tab w:val="right" w:pos="9026" w:leader="dot"/>
            </w:tabs>
            <w:rPr/>
          </w:pPr>
          <w:hyperlink w:anchor="__RefHeading___Toc3734568_1280447820">
            <w:r>
              <w:rPr>
                <w:webHidden/>
                <w:rStyle w:val="IndexLink"/>
                <w:rtl w:val="true"/>
              </w:rPr>
              <w:t>الإيرادات الواردة في هذا المقام</w:t>
            </w:r>
            <w:r>
              <w:rPr>
                <w:rStyle w:val="IndexLink"/>
                <w:rtl w:val="true"/>
              </w:rPr>
              <w:tab/>
            </w:r>
            <w:r>
              <w:rPr>
                <w:rStyle w:val="IndexLink"/>
              </w:rPr>
              <w:t>178</w:t>
            </w:r>
          </w:hyperlink>
        </w:p>
        <w:p>
          <w:pPr>
            <w:pStyle w:val="Contents6"/>
            <w:tabs>
              <w:tab w:val="clear" w:pos="7609"/>
              <w:tab w:val="right" w:pos="9026" w:leader="dot"/>
            </w:tabs>
            <w:rPr/>
          </w:pPr>
          <w:hyperlink w:anchor="__RefHeading___Toc3734570_1280447820">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3734572_1280447820">
            <w:r>
              <w:rPr>
                <w:webHidden/>
                <w:rStyle w:val="IndexLink"/>
                <w:rtl w:val="true"/>
              </w:rPr>
              <w:t>الإيراد الأوّل</w:t>
            </w:r>
            <w:r>
              <w:rPr>
                <w:rStyle w:val="IndexLink"/>
                <w:rtl w:val="true"/>
              </w:rPr>
              <w:tab/>
            </w:r>
            <w:r>
              <w:rPr>
                <w:rStyle w:val="IndexLink"/>
              </w:rPr>
              <w:t>178</w:t>
            </w:r>
          </w:hyperlink>
        </w:p>
        <w:p>
          <w:pPr>
            <w:pStyle w:val="Contents6"/>
            <w:tabs>
              <w:tab w:val="clear" w:pos="7609"/>
              <w:tab w:val="right" w:pos="9026" w:leader="dot"/>
            </w:tabs>
            <w:rPr/>
          </w:pPr>
          <w:hyperlink w:anchor="__RefHeading___Toc3734574_1280447820">
            <w:r>
              <w:rPr>
                <w:webHidden/>
                <w:rStyle w:val="IndexLink"/>
                <w:rtl w:val="true"/>
              </w:rPr>
              <w:t>الإيراد الثاني</w:t>
            </w:r>
            <w:r>
              <w:rPr>
                <w:rStyle w:val="IndexLink"/>
                <w:rtl w:val="true"/>
              </w:rPr>
              <w:tab/>
            </w:r>
            <w:r>
              <w:rPr>
                <w:rStyle w:val="IndexLink"/>
              </w:rPr>
              <w:t>180</w:t>
            </w:r>
          </w:hyperlink>
        </w:p>
        <w:p>
          <w:pPr>
            <w:pStyle w:val="Contents6"/>
            <w:tabs>
              <w:tab w:val="clear" w:pos="7609"/>
              <w:tab w:val="right" w:pos="9026" w:leader="dot"/>
            </w:tabs>
            <w:rPr/>
          </w:pPr>
          <w:hyperlink w:anchor="__RefHeading___Toc3734576_1280447820">
            <w:r>
              <w:rPr>
                <w:webHidden/>
                <w:rStyle w:val="IndexLink"/>
                <w:rtl w:val="true"/>
              </w:rPr>
              <w:t>الإيراد الثالث</w:t>
            </w:r>
            <w:r>
              <w:rPr>
                <w:rStyle w:val="IndexLink"/>
                <w:rtl w:val="true"/>
              </w:rPr>
              <w:tab/>
            </w:r>
            <w:r>
              <w:rPr>
                <w:rStyle w:val="IndexLink"/>
              </w:rPr>
              <w:t>180</w:t>
            </w:r>
          </w:hyperlink>
        </w:p>
        <w:p>
          <w:pPr>
            <w:pStyle w:val="Contents6"/>
            <w:tabs>
              <w:tab w:val="clear" w:pos="7609"/>
              <w:tab w:val="right" w:pos="9026" w:leader="dot"/>
            </w:tabs>
            <w:rPr/>
          </w:pPr>
          <w:hyperlink w:anchor="__RefHeading___Toc3734578_1280447820">
            <w:r>
              <w:rPr>
                <w:webHidden/>
                <w:rStyle w:val="IndexLink"/>
                <w:rtl w:val="true"/>
              </w:rPr>
              <w:t>الجواب عن الإيراد الثاني</w:t>
            </w:r>
            <w:r>
              <w:rPr>
                <w:rStyle w:val="IndexLink"/>
                <w:rtl w:val="true"/>
              </w:rPr>
              <w:tab/>
            </w:r>
            <w:r>
              <w:rPr>
                <w:rStyle w:val="IndexLink"/>
              </w:rPr>
              <w:t>181</w:t>
            </w:r>
          </w:hyperlink>
        </w:p>
        <w:p>
          <w:pPr>
            <w:pStyle w:val="Contents6"/>
            <w:tabs>
              <w:tab w:val="clear" w:pos="7609"/>
              <w:tab w:val="right" w:pos="9026" w:leader="dot"/>
            </w:tabs>
            <w:rPr/>
          </w:pPr>
          <w:hyperlink w:anchor="__RefHeading___Toc3734580_1280447820">
            <w:r>
              <w:rPr>
                <w:webHidden/>
                <w:rStyle w:val="IndexLink"/>
                <w:rtl w:val="true"/>
              </w:rPr>
              <w:t>الجواب عن الإيراد الثالث</w:t>
            </w:r>
            <w:r>
              <w:rPr>
                <w:rStyle w:val="IndexLink"/>
                <w:rtl w:val="true"/>
              </w:rPr>
              <w:tab/>
            </w:r>
            <w:r>
              <w:rPr>
                <w:rStyle w:val="IndexLink"/>
              </w:rPr>
              <w:t>181</w:t>
            </w:r>
          </w:hyperlink>
        </w:p>
        <w:p>
          <w:pPr>
            <w:pStyle w:val="Contents6"/>
            <w:tabs>
              <w:tab w:val="clear" w:pos="7609"/>
              <w:tab w:val="right" w:pos="9026" w:leader="dot"/>
            </w:tabs>
            <w:rPr/>
          </w:pPr>
          <w:hyperlink w:anchor="__RefHeading___Toc3734582_1280447820">
            <w:r>
              <w:rPr>
                <w:webHidden/>
                <w:rStyle w:val="IndexLink"/>
                <w:rtl w:val="true"/>
              </w:rPr>
              <w:t>الإيراد الأوّل وارد</w:t>
            </w:r>
            <w:r>
              <w:rPr>
                <w:rStyle w:val="IndexLink"/>
                <w:rtl w:val="true"/>
              </w:rPr>
              <w:tab/>
            </w:r>
            <w:r>
              <w:rPr>
                <w:rStyle w:val="IndexLink"/>
              </w:rPr>
              <w:t>183</w:t>
            </w:r>
          </w:hyperlink>
        </w:p>
        <w:p>
          <w:pPr>
            <w:pStyle w:val="Contents6"/>
            <w:tabs>
              <w:tab w:val="clear" w:pos="7609"/>
              <w:tab w:val="right" w:pos="9026" w:leader="dot"/>
            </w:tabs>
            <w:rPr/>
          </w:pPr>
          <w:hyperlink w:anchor="__RefHeading___Toc3734584_1280447820">
            <w:r>
              <w:rPr>
                <w:webHidden/>
                <w:rStyle w:val="IndexLink"/>
                <w:rtl w:val="true"/>
              </w:rPr>
              <w:t>الأمر الثاني</w:t>
            </w:r>
            <w:r>
              <w:rPr>
                <w:rStyle w:val="IndexLink"/>
                <w:rtl w:val="true"/>
              </w:rPr>
              <w:t xml:space="preserve">: </w:t>
            </w:r>
            <w:r>
              <w:rPr>
                <w:rStyle w:val="IndexLink"/>
                <w:rtl w:val="true"/>
              </w:rPr>
              <w:t>في أنّ حصر الدلالات في الأقسام الثلاثة غير صحيح</w:t>
            </w:r>
            <w:r>
              <w:rPr>
                <w:rStyle w:val="IndexLink"/>
                <w:rtl w:val="true"/>
              </w:rPr>
              <w:tab/>
            </w:r>
            <w:r>
              <w:rPr>
                <w:rStyle w:val="IndexLink"/>
              </w:rPr>
              <w:t>184</w:t>
            </w:r>
          </w:hyperlink>
        </w:p>
        <w:p>
          <w:pPr>
            <w:pStyle w:val="Contents6"/>
            <w:tabs>
              <w:tab w:val="clear" w:pos="7609"/>
              <w:tab w:val="right" w:pos="9026" w:leader="dot"/>
            </w:tabs>
            <w:rPr/>
          </w:pPr>
          <w:hyperlink w:anchor="__RefHeading___Toc3734586_1280447820">
            <w:r>
              <w:rPr>
                <w:webHidden/>
                <w:rStyle w:val="IndexLink"/>
                <w:rtl w:val="true"/>
              </w:rPr>
              <w:t>الأمر الثالث</w:t>
            </w:r>
            <w:r>
              <w:rPr>
                <w:rStyle w:val="IndexLink"/>
                <w:rtl w:val="true"/>
              </w:rPr>
              <w:t xml:space="preserve">: </w:t>
            </w:r>
            <w:r>
              <w:rPr>
                <w:rStyle w:val="IndexLink"/>
                <w:rtl w:val="true"/>
              </w:rPr>
              <w:t>في أنّ دلالة الألفاظ المجازيّة على المعاني المجازيّة مطابقة لا التزام</w:t>
            </w:r>
            <w:r>
              <w:rPr>
                <w:rStyle w:val="IndexLink"/>
                <w:rtl w:val="true"/>
              </w:rPr>
              <w:tab/>
            </w:r>
            <w:r>
              <w:rPr>
                <w:rStyle w:val="IndexLink"/>
              </w:rPr>
              <w:t>187</w:t>
            </w:r>
          </w:hyperlink>
        </w:p>
        <w:p>
          <w:pPr>
            <w:pStyle w:val="Contents6"/>
            <w:tabs>
              <w:tab w:val="clear" w:pos="7609"/>
              <w:tab w:val="right" w:pos="9026" w:leader="dot"/>
            </w:tabs>
            <w:rPr/>
          </w:pPr>
          <w:hyperlink w:anchor="__RefHeading___Toc3734588_1280447820">
            <w:r>
              <w:rPr>
                <w:webHidden/>
                <w:rStyle w:val="IndexLink"/>
                <w:rtl w:val="true"/>
              </w:rPr>
              <w:t>الإشكال في القول الثاني</w:t>
            </w:r>
            <w:r>
              <w:rPr>
                <w:rStyle w:val="IndexLink"/>
                <w:rtl w:val="true"/>
              </w:rPr>
              <w:tab/>
            </w:r>
            <w:r>
              <w:rPr>
                <w:rStyle w:val="IndexLink"/>
              </w:rPr>
              <w:t>188</w:t>
            </w:r>
          </w:hyperlink>
        </w:p>
        <w:p>
          <w:pPr>
            <w:pStyle w:val="Contents6"/>
            <w:tabs>
              <w:tab w:val="clear" w:pos="7609"/>
              <w:tab w:val="right" w:pos="9026" w:leader="dot"/>
            </w:tabs>
            <w:rPr/>
          </w:pPr>
          <w:hyperlink w:anchor="__RefHeading___Toc3734590_1280447820">
            <w:r>
              <w:rPr>
                <w:webHidden/>
                <w:rStyle w:val="IndexLink"/>
                <w:rtl w:val="true"/>
              </w:rPr>
              <w:t>الإشكال في القول الأوّل</w:t>
            </w:r>
            <w:r>
              <w:rPr>
                <w:rStyle w:val="IndexLink"/>
                <w:rtl w:val="true"/>
              </w:rPr>
              <w:tab/>
            </w:r>
            <w:r>
              <w:rPr>
                <w:rStyle w:val="IndexLink"/>
              </w:rPr>
              <w:t>188</w:t>
            </w:r>
          </w:hyperlink>
        </w:p>
        <w:p>
          <w:pPr>
            <w:pStyle w:val="Contents6"/>
            <w:tabs>
              <w:tab w:val="clear" w:pos="7609"/>
              <w:tab w:val="right" w:pos="9026" w:leader="dot"/>
            </w:tabs>
            <w:rPr/>
          </w:pPr>
          <w:hyperlink w:anchor="__RefHeading___Toc3734592_1280447820">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3734594_1280447820">
            <w:r>
              <w:rPr>
                <w:webHidden/>
                <w:rStyle w:val="IndexLink"/>
                <w:rtl w:val="true"/>
              </w:rPr>
              <w:t>الوجه الأوّل</w:t>
            </w:r>
            <w:r>
              <w:rPr>
                <w:rStyle w:val="IndexLink"/>
                <w:rtl w:val="true"/>
              </w:rPr>
              <w:tab/>
            </w:r>
            <w:r>
              <w:rPr>
                <w:rStyle w:val="IndexLink"/>
              </w:rPr>
              <w:t>188</w:t>
            </w:r>
          </w:hyperlink>
        </w:p>
        <w:p>
          <w:pPr>
            <w:pStyle w:val="Contents6"/>
            <w:tabs>
              <w:tab w:val="clear" w:pos="7609"/>
              <w:tab w:val="right" w:pos="9026" w:leader="dot"/>
            </w:tabs>
            <w:rPr/>
          </w:pPr>
          <w:hyperlink w:anchor="__RefHeading___Toc3734596_1280447820">
            <w:r>
              <w:rPr>
                <w:webHidden/>
                <w:rStyle w:val="IndexLink"/>
                <w:rtl w:val="true"/>
              </w:rPr>
              <w:t>الوجه الثاني</w:t>
            </w:r>
            <w:r>
              <w:rPr>
                <w:rStyle w:val="IndexLink"/>
                <w:rtl w:val="true"/>
              </w:rPr>
              <w:tab/>
            </w:r>
            <w:r>
              <w:rPr>
                <w:rStyle w:val="IndexLink"/>
              </w:rPr>
              <w:t>189</w:t>
            </w:r>
          </w:hyperlink>
        </w:p>
        <w:p>
          <w:pPr>
            <w:pStyle w:val="Contents6"/>
            <w:tabs>
              <w:tab w:val="clear" w:pos="7609"/>
              <w:tab w:val="right" w:pos="9026" w:leader="dot"/>
            </w:tabs>
            <w:rPr/>
          </w:pPr>
          <w:hyperlink w:anchor="__RefHeading___Toc3734598_1280447820">
            <w:r>
              <w:rPr>
                <w:webHidden/>
                <w:rStyle w:val="IndexLink"/>
                <w:rtl w:val="true"/>
              </w:rPr>
              <w:t>الوجه الثالث</w:t>
            </w:r>
            <w:r>
              <w:rPr>
                <w:rStyle w:val="IndexLink"/>
                <w:rtl w:val="true"/>
              </w:rPr>
              <w:tab/>
            </w:r>
            <w:r>
              <w:rPr>
                <w:rStyle w:val="IndexLink"/>
              </w:rPr>
              <w:t>190</w:t>
            </w:r>
          </w:hyperlink>
        </w:p>
        <w:p>
          <w:pPr>
            <w:pStyle w:val="Contents6"/>
            <w:tabs>
              <w:tab w:val="clear" w:pos="7609"/>
              <w:tab w:val="right" w:pos="9026" w:leader="dot"/>
            </w:tabs>
            <w:rPr/>
          </w:pPr>
          <w:hyperlink w:anchor="__RefHeading___Toc3734600_1280447820">
            <w:r>
              <w:rPr>
                <w:webHidden/>
                <w:rStyle w:val="IndexLink"/>
                <w:rtl w:val="true"/>
              </w:rPr>
              <w:t>إيراد وتخليص</w:t>
            </w:r>
            <w:r>
              <w:rPr>
                <w:rStyle w:val="IndexLink"/>
                <w:rtl w:val="true"/>
              </w:rPr>
              <w:tab/>
            </w:r>
            <w:r>
              <w:rPr>
                <w:rStyle w:val="IndexLink"/>
              </w:rPr>
              <w:t>192</w:t>
            </w:r>
          </w:hyperlink>
        </w:p>
        <w:p>
          <w:pPr>
            <w:pStyle w:val="Contents6"/>
            <w:tabs>
              <w:tab w:val="clear" w:pos="7609"/>
              <w:tab w:val="right" w:pos="9026" w:leader="dot"/>
            </w:tabs>
            <w:rPr/>
          </w:pPr>
          <w:hyperlink w:anchor="__RefHeading___Toc3734602_1280447820">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3734604_1280447820">
            <w:r>
              <w:rPr>
                <w:webHidden/>
                <w:rStyle w:val="IndexLink"/>
                <w:rtl w:val="true"/>
              </w:rPr>
              <w:t>الإشكال الأوّل</w:t>
            </w:r>
            <w:r>
              <w:rPr>
                <w:rStyle w:val="IndexLink"/>
                <w:rtl w:val="true"/>
              </w:rPr>
              <w:tab/>
            </w:r>
            <w:r>
              <w:rPr>
                <w:rStyle w:val="IndexLink"/>
              </w:rPr>
              <w:t>192</w:t>
            </w:r>
          </w:hyperlink>
        </w:p>
        <w:p>
          <w:pPr>
            <w:pStyle w:val="Contents6"/>
            <w:tabs>
              <w:tab w:val="clear" w:pos="7609"/>
              <w:tab w:val="right" w:pos="9026" w:leader="dot"/>
            </w:tabs>
            <w:rPr/>
          </w:pPr>
          <w:hyperlink w:anchor="__RefHeading___Toc3734606_1280447820">
            <w:r>
              <w:rPr>
                <w:webHidden/>
                <w:rStyle w:val="IndexLink"/>
                <w:rtl w:val="true"/>
              </w:rPr>
              <w:t>الإشكال الثاني</w:t>
            </w:r>
            <w:r>
              <w:rPr>
                <w:rStyle w:val="IndexLink"/>
                <w:rtl w:val="true"/>
              </w:rPr>
              <w:tab/>
            </w:r>
            <w:r>
              <w:rPr>
                <w:rStyle w:val="IndexLink"/>
              </w:rPr>
              <w:t>193</w:t>
            </w:r>
          </w:hyperlink>
        </w:p>
        <w:p>
          <w:pPr>
            <w:pStyle w:val="Contents6"/>
            <w:tabs>
              <w:tab w:val="clear" w:pos="7609"/>
              <w:tab w:val="right" w:pos="9026" w:leader="dot"/>
            </w:tabs>
            <w:rPr/>
          </w:pPr>
          <w:hyperlink w:anchor="__RefHeading___Toc3734608_1280447820">
            <w:r>
              <w:rPr>
                <w:webHidden/>
                <w:rStyle w:val="IndexLink"/>
                <w:rtl w:val="true"/>
              </w:rPr>
              <w:t>الجواب عن الإشكال الأوّل</w:t>
            </w:r>
            <w:r>
              <w:rPr>
                <w:rStyle w:val="IndexLink"/>
                <w:rtl w:val="true"/>
              </w:rPr>
              <w:tab/>
            </w:r>
            <w:r>
              <w:rPr>
                <w:rStyle w:val="IndexLink"/>
              </w:rPr>
              <w:t>193</w:t>
            </w:r>
          </w:hyperlink>
        </w:p>
        <w:p>
          <w:pPr>
            <w:pStyle w:val="Contents6"/>
            <w:tabs>
              <w:tab w:val="clear" w:pos="7609"/>
              <w:tab w:val="right" w:pos="9026" w:leader="dot"/>
            </w:tabs>
            <w:rPr/>
          </w:pPr>
          <w:hyperlink w:anchor="__RefHeading___Toc3734610_1280447820">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3734612_1280447820">
            <w:r>
              <w:rPr>
                <w:webHidden/>
                <w:rStyle w:val="IndexLink"/>
                <w:rtl w:val="true"/>
              </w:rPr>
              <w:t>الوجه الأوّل</w:t>
            </w:r>
            <w:r>
              <w:rPr>
                <w:rStyle w:val="IndexLink"/>
                <w:rtl w:val="true"/>
              </w:rPr>
              <w:t xml:space="preserve">: </w:t>
            </w:r>
            <w:r>
              <w:rPr>
                <w:rStyle w:val="IndexLink"/>
                <w:rtl w:val="true"/>
              </w:rPr>
              <w:t>في أنّ الدلالة على الخارج اللازم ليس التزامًا مطلقًا</w:t>
            </w:r>
            <w:r>
              <w:rPr>
                <w:rStyle w:val="IndexLink"/>
                <w:rtl w:val="true"/>
              </w:rPr>
              <w:tab/>
            </w:r>
            <w:r>
              <w:rPr>
                <w:rStyle w:val="IndexLink"/>
              </w:rPr>
              <w:t>193</w:t>
            </w:r>
          </w:hyperlink>
        </w:p>
        <w:p>
          <w:pPr>
            <w:pStyle w:val="Contents6"/>
            <w:tabs>
              <w:tab w:val="clear" w:pos="7609"/>
              <w:tab w:val="right" w:pos="9026" w:leader="dot"/>
            </w:tabs>
            <w:rPr/>
          </w:pPr>
          <w:hyperlink w:anchor="__RefHeading___Toc3734614_1280447820">
            <w:r>
              <w:rPr>
                <w:webHidden/>
                <w:rStyle w:val="IndexLink"/>
                <w:rtl w:val="true"/>
              </w:rPr>
              <w:t>الوجه الثاني</w:t>
            </w:r>
            <w:r>
              <w:rPr>
                <w:rStyle w:val="IndexLink"/>
                <w:rtl w:val="true"/>
              </w:rPr>
              <w:t xml:space="preserve">: </w:t>
            </w:r>
            <w:r>
              <w:rPr>
                <w:rStyle w:val="IndexLink"/>
                <w:rtl w:val="true"/>
              </w:rPr>
              <w:t>إرادة المعنى العامّ من الوضع في الالتزام يستلزم امتناع تحقّق الالتزام بالنسبة إلى الحقائق، مع الجواب عنه</w:t>
            </w:r>
            <w:r>
              <w:rPr>
                <w:rStyle w:val="IndexLink"/>
                <w:rtl w:val="true"/>
              </w:rPr>
              <w:tab/>
            </w:r>
            <w:r>
              <w:rPr>
                <w:rStyle w:val="IndexLink"/>
              </w:rPr>
              <w:t>194</w:t>
            </w:r>
          </w:hyperlink>
        </w:p>
        <w:p>
          <w:pPr>
            <w:pStyle w:val="Contents6"/>
            <w:tabs>
              <w:tab w:val="clear" w:pos="7609"/>
              <w:tab w:val="right" w:pos="9026" w:leader="dot"/>
            </w:tabs>
            <w:rPr/>
          </w:pPr>
          <w:hyperlink w:anchor="__RefHeading___Toc3734616_1280447820">
            <w:r>
              <w:rPr>
                <w:webHidden/>
                <w:rStyle w:val="IndexLink"/>
                <w:rtl w:val="true"/>
              </w:rPr>
              <w:t>الجواب عن الإشكال الثاني</w:t>
            </w:r>
            <w:r>
              <w:rPr>
                <w:rStyle w:val="IndexLink"/>
                <w:rtl w:val="true"/>
              </w:rPr>
              <w:tab/>
            </w:r>
            <w:r>
              <w:rPr>
                <w:rStyle w:val="IndexLink"/>
              </w:rPr>
              <w:t>197</w:t>
            </w:r>
          </w:hyperlink>
        </w:p>
        <w:p>
          <w:pPr>
            <w:pStyle w:val="Contents6"/>
            <w:tabs>
              <w:tab w:val="clear" w:pos="7609"/>
              <w:tab w:val="right" w:pos="9026" w:leader="dot"/>
            </w:tabs>
            <w:rPr/>
          </w:pPr>
          <w:hyperlink w:anchor="__RefHeading___Toc3734618_1280447820">
            <w:r>
              <w:rPr>
                <w:webHidden/>
                <w:rStyle w:val="IndexLink"/>
                <w:rtl w:val="true"/>
              </w:rPr>
              <w:t>إيراد آخر</w:t>
            </w:r>
            <w:r>
              <w:rPr>
                <w:rStyle w:val="IndexLink"/>
                <w:rtl w:val="true"/>
              </w:rPr>
              <w:tab/>
            </w:r>
            <w:r>
              <w:rPr>
                <w:rStyle w:val="IndexLink"/>
              </w:rPr>
              <w:t>198</w:t>
            </w:r>
          </w:hyperlink>
        </w:p>
        <w:p>
          <w:pPr>
            <w:pStyle w:val="Contents6"/>
            <w:tabs>
              <w:tab w:val="clear" w:pos="7609"/>
              <w:tab w:val="right" w:pos="9026" w:leader="dot"/>
            </w:tabs>
            <w:rPr/>
          </w:pPr>
          <w:hyperlink w:anchor="__RefHeading___Toc3734620_1280447820">
            <w:r>
              <w:rPr>
                <w:webHidden/>
                <w:rStyle w:val="IndexLink"/>
                <w:rtl w:val="true"/>
              </w:rPr>
              <w:t>إيراد كلام لتنبيه مرام</w:t>
            </w:r>
            <w:r>
              <w:rPr>
                <w:rStyle w:val="IndexLink"/>
                <w:rtl w:val="true"/>
              </w:rPr>
              <w:tab/>
            </w:r>
            <w:r>
              <w:rPr>
                <w:rStyle w:val="IndexLink"/>
              </w:rPr>
              <w:t>198</w:t>
            </w:r>
          </w:hyperlink>
        </w:p>
        <w:p>
          <w:pPr>
            <w:pStyle w:val="Contents6"/>
            <w:tabs>
              <w:tab w:val="clear" w:pos="7609"/>
              <w:tab w:val="right" w:pos="9026" w:leader="dot"/>
            </w:tabs>
            <w:rPr/>
          </w:pPr>
          <w:hyperlink w:anchor="__RefHeading___Toc3734622_1280447820">
            <w:r>
              <w:rPr>
                <w:webHidden/>
                <w:rStyle w:val="IndexLink"/>
                <w:rtl w:val="true"/>
              </w:rPr>
              <w:t>الجواب عن الإيراد</w:t>
            </w:r>
            <w:r>
              <w:rPr>
                <w:rStyle w:val="IndexLink"/>
                <w:rtl w:val="true"/>
              </w:rPr>
              <w:tab/>
            </w:r>
            <w:r>
              <w:rPr>
                <w:rStyle w:val="IndexLink"/>
              </w:rPr>
              <w:t>199</w:t>
            </w:r>
          </w:hyperlink>
        </w:p>
        <w:p>
          <w:pPr>
            <w:pStyle w:val="Contents5"/>
            <w:tabs>
              <w:tab w:val="clear" w:pos="7892"/>
              <w:tab w:val="right" w:pos="9026" w:leader="dot"/>
            </w:tabs>
            <w:rPr/>
          </w:pPr>
          <w:hyperlink w:anchor="__RefHeading___Toc3734624_1280447820">
            <w:r>
              <w:rPr>
                <w:webHidden/>
                <w:rStyle w:val="IndexLink"/>
                <w:rtl w:val="true"/>
              </w:rPr>
              <w:t>والمقام الثالث</w:t>
            </w:r>
            <w:r>
              <w:rPr>
                <w:rStyle w:val="IndexLink"/>
                <w:rtl w:val="true"/>
              </w:rPr>
              <w:t xml:space="preserve">: </w:t>
            </w:r>
            <w:r>
              <w:rPr>
                <w:rStyle w:val="IndexLink"/>
                <w:rtl w:val="true"/>
              </w:rPr>
              <w:t>في التكلّم إلى أصل المطلب والبحث عن تحقيق المقصد</w:t>
            </w:r>
            <w:r>
              <w:rPr>
                <w:rStyle w:val="IndexLink"/>
                <w:rtl w:val="true"/>
              </w:rPr>
              <w:tab/>
            </w:r>
            <w:r>
              <w:rPr>
                <w:rStyle w:val="IndexLink"/>
              </w:rPr>
              <w:t>200</w:t>
            </w:r>
          </w:hyperlink>
        </w:p>
        <w:p>
          <w:pPr>
            <w:pStyle w:val="Contents6"/>
            <w:tabs>
              <w:tab w:val="clear" w:pos="7609"/>
              <w:tab w:val="right" w:pos="9026" w:leader="dot"/>
            </w:tabs>
            <w:rPr/>
          </w:pPr>
          <w:hyperlink w:anchor="__RefHeading___Toc3734626_1280447820">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3734628_1280447820">
            <w:r>
              <w:rPr>
                <w:webHidden/>
                <w:rStyle w:val="IndexLink"/>
                <w:rtl w:val="true"/>
              </w:rPr>
              <w:t>الأقوال في واضع اللغات</w:t>
            </w:r>
            <w:r>
              <w:rPr>
                <w:rStyle w:val="IndexLink"/>
                <w:rtl w:val="true"/>
              </w:rPr>
              <w:tab/>
            </w:r>
            <w:r>
              <w:rPr>
                <w:rStyle w:val="IndexLink"/>
              </w:rPr>
              <w:t>201</w:t>
            </w:r>
          </w:hyperlink>
        </w:p>
        <w:p>
          <w:pPr>
            <w:pStyle w:val="Contents6"/>
            <w:tabs>
              <w:tab w:val="clear" w:pos="7609"/>
              <w:tab w:val="right" w:pos="9026" w:leader="dot"/>
            </w:tabs>
            <w:rPr/>
          </w:pPr>
          <w:hyperlink w:anchor="__RefHeading___Toc3734630_1280447820">
            <w:r>
              <w:rPr>
                <w:webHidden/>
                <w:rStyle w:val="IndexLink"/>
                <w:rtl w:val="true"/>
              </w:rPr>
              <w:t>القول الأوّل</w:t>
            </w:r>
            <w:r>
              <w:rPr>
                <w:rStyle w:val="IndexLink"/>
                <w:rtl w:val="true"/>
              </w:rPr>
              <w:tab/>
            </w:r>
            <w:r>
              <w:rPr>
                <w:rStyle w:val="IndexLink"/>
              </w:rPr>
              <w:t>201</w:t>
            </w:r>
          </w:hyperlink>
        </w:p>
        <w:p>
          <w:pPr>
            <w:pStyle w:val="Contents6"/>
            <w:tabs>
              <w:tab w:val="clear" w:pos="7609"/>
              <w:tab w:val="right" w:pos="9026" w:leader="dot"/>
            </w:tabs>
            <w:rPr/>
          </w:pPr>
          <w:hyperlink w:anchor="__RefHeading___Toc3734632_1280447820">
            <w:r>
              <w:rPr>
                <w:webHidden/>
                <w:rStyle w:val="IndexLink"/>
                <w:rtl w:val="true"/>
              </w:rPr>
              <w:t>القول الثاني</w:t>
            </w:r>
            <w:r>
              <w:rPr>
                <w:rStyle w:val="IndexLink"/>
                <w:rtl w:val="true"/>
              </w:rPr>
              <w:tab/>
            </w:r>
            <w:r>
              <w:rPr>
                <w:rStyle w:val="IndexLink"/>
              </w:rPr>
              <w:t>201</w:t>
            </w:r>
          </w:hyperlink>
        </w:p>
        <w:p>
          <w:pPr>
            <w:pStyle w:val="Contents6"/>
            <w:tabs>
              <w:tab w:val="clear" w:pos="7609"/>
              <w:tab w:val="right" w:pos="9026" w:leader="dot"/>
            </w:tabs>
            <w:rPr/>
          </w:pPr>
          <w:hyperlink w:anchor="__RefHeading___Toc3734634_1280447820">
            <w:r>
              <w:rPr>
                <w:webHidden/>
                <w:rStyle w:val="IndexLink"/>
                <w:rtl w:val="true"/>
              </w:rPr>
              <w:t>القول الثالث</w:t>
            </w:r>
            <w:r>
              <w:rPr>
                <w:rStyle w:val="IndexLink"/>
                <w:rtl w:val="true"/>
              </w:rPr>
              <w:tab/>
            </w:r>
            <w:r>
              <w:rPr>
                <w:rStyle w:val="IndexLink"/>
              </w:rPr>
              <w:t>202</w:t>
            </w:r>
          </w:hyperlink>
        </w:p>
        <w:p>
          <w:pPr>
            <w:pStyle w:val="Contents6"/>
            <w:tabs>
              <w:tab w:val="clear" w:pos="7609"/>
              <w:tab w:val="right" w:pos="9026" w:leader="dot"/>
            </w:tabs>
            <w:rPr/>
          </w:pPr>
          <w:hyperlink w:anchor="__RefHeading___Toc3734636_1280447820">
            <w:r>
              <w:rPr>
                <w:webHidden/>
                <w:rStyle w:val="IndexLink"/>
                <w:rtl w:val="true"/>
              </w:rPr>
              <w:t>القول الرابع</w:t>
            </w:r>
            <w:r>
              <w:rPr>
                <w:rStyle w:val="IndexLink"/>
                <w:rtl w:val="true"/>
              </w:rPr>
              <w:tab/>
            </w:r>
            <w:r>
              <w:rPr>
                <w:rStyle w:val="IndexLink"/>
              </w:rPr>
              <w:t>204</w:t>
            </w:r>
          </w:hyperlink>
        </w:p>
        <w:p>
          <w:pPr>
            <w:pStyle w:val="Contents6"/>
            <w:tabs>
              <w:tab w:val="clear" w:pos="7609"/>
              <w:tab w:val="right" w:pos="9026" w:leader="dot"/>
            </w:tabs>
            <w:rPr/>
          </w:pPr>
          <w:hyperlink w:anchor="__RefHeading___Toc3734638_1280447820">
            <w:r>
              <w:rPr>
                <w:webHidden/>
                <w:rStyle w:val="IndexLink"/>
                <w:rtl w:val="true"/>
              </w:rPr>
              <w:t>مختار المصنّف ومستنده</w:t>
            </w:r>
            <w:r>
              <w:rPr>
                <w:rStyle w:val="IndexLink"/>
                <w:rtl w:val="true"/>
              </w:rPr>
              <w:tab/>
            </w:r>
            <w:r>
              <w:rPr>
                <w:rStyle w:val="IndexLink"/>
              </w:rPr>
              <w:t>204</w:t>
            </w:r>
          </w:hyperlink>
        </w:p>
        <w:p>
          <w:pPr>
            <w:pStyle w:val="Contents6"/>
            <w:tabs>
              <w:tab w:val="clear" w:pos="7609"/>
              <w:tab w:val="right" w:pos="9026" w:leader="dot"/>
            </w:tabs>
            <w:rPr/>
          </w:pPr>
          <w:hyperlink w:anchor="__RefHeading___Toc3734640_1280447820">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3734642_1280447820">
            <w:r>
              <w:rPr>
                <w:webHidden/>
                <w:rStyle w:val="IndexLink"/>
                <w:rtl w:val="true"/>
              </w:rPr>
              <w:t>الدليل الأوّل</w:t>
            </w:r>
            <w:r>
              <w:rPr>
                <w:rStyle w:val="IndexLink"/>
                <w:rtl w:val="true"/>
              </w:rPr>
              <w:tab/>
            </w:r>
            <w:r>
              <w:rPr>
                <w:rStyle w:val="IndexLink"/>
              </w:rPr>
              <w:t>204</w:t>
            </w:r>
          </w:hyperlink>
        </w:p>
        <w:p>
          <w:pPr>
            <w:pStyle w:val="Contents6"/>
            <w:tabs>
              <w:tab w:val="clear" w:pos="7609"/>
              <w:tab w:val="right" w:pos="9026" w:leader="dot"/>
            </w:tabs>
            <w:rPr/>
          </w:pPr>
          <w:hyperlink w:anchor="__RefHeading___Toc3734644_1280447820">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3734646_1280447820">
            <w:r>
              <w:rPr>
                <w:webHidden/>
                <w:rStyle w:val="IndexLink"/>
                <w:rtl w:val="true"/>
              </w:rPr>
              <w:t>الاعتراض على القول بالتوقيف</w:t>
            </w:r>
            <w:r>
              <w:rPr>
                <w:rStyle w:val="IndexLink"/>
                <w:rtl w:val="true"/>
              </w:rPr>
              <w:tab/>
            </w:r>
            <w:r>
              <w:rPr>
                <w:rStyle w:val="IndexLink"/>
              </w:rPr>
              <w:t>205</w:t>
            </w:r>
          </w:hyperlink>
        </w:p>
        <w:p>
          <w:pPr>
            <w:pStyle w:val="Contents6"/>
            <w:tabs>
              <w:tab w:val="clear" w:pos="7609"/>
              <w:tab w:val="right" w:pos="9026" w:leader="dot"/>
            </w:tabs>
            <w:rPr/>
          </w:pPr>
          <w:hyperlink w:anchor="__RefHeading___Toc3734648_1280447820">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3734650_1280447820">
            <w:r>
              <w:rPr>
                <w:webHidden/>
                <w:rStyle w:val="IndexLink"/>
                <w:rtl w:val="true"/>
              </w:rPr>
              <w:t>الاعتراض الأوّل</w:t>
            </w:r>
            <w:r>
              <w:rPr>
                <w:rStyle w:val="IndexLink"/>
                <w:rtl w:val="true"/>
              </w:rPr>
              <w:tab/>
            </w:r>
            <w:r>
              <w:rPr>
                <w:rStyle w:val="IndexLink"/>
              </w:rPr>
              <w:t>205</w:t>
            </w:r>
          </w:hyperlink>
        </w:p>
        <w:p>
          <w:pPr>
            <w:pStyle w:val="Contents6"/>
            <w:tabs>
              <w:tab w:val="clear" w:pos="7609"/>
              <w:tab w:val="right" w:pos="9026" w:leader="dot"/>
            </w:tabs>
            <w:rPr/>
          </w:pPr>
          <w:hyperlink w:anchor="__RefHeading___Toc3734652_1280447820">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3734654_1280447820">
            <w:r>
              <w:rPr>
                <w:webHidden/>
                <w:rStyle w:val="IndexLink"/>
                <w:rtl w:val="true"/>
              </w:rPr>
              <w:t>الجواب عن الاعتراض الأوّل</w:t>
            </w:r>
            <w:r>
              <w:rPr>
                <w:rStyle w:val="IndexLink"/>
                <w:rtl w:val="true"/>
              </w:rPr>
              <w:tab/>
            </w:r>
            <w:r>
              <w:rPr>
                <w:rStyle w:val="IndexLink"/>
              </w:rPr>
              <w:t>208</w:t>
            </w:r>
          </w:hyperlink>
        </w:p>
        <w:p>
          <w:pPr>
            <w:pStyle w:val="Contents6"/>
            <w:tabs>
              <w:tab w:val="clear" w:pos="7609"/>
              <w:tab w:val="right" w:pos="9026" w:leader="dot"/>
            </w:tabs>
            <w:rPr/>
          </w:pPr>
          <w:hyperlink w:anchor="__RefHeading___Toc3734656_1280447820">
            <w:r>
              <w:rPr>
                <w:webHidden/>
                <w:rStyle w:val="IndexLink"/>
                <w:rtl w:val="true"/>
              </w:rPr>
              <w:t xml:space="preserve">ما اشتهر من حدوث لغة العرب في زمان إسماعيل </w:t>
            </w:r>
            <w:r>
              <w:rPr>
                <w:rStyle w:val="IndexLink"/>
                <w:rtl w:val="true"/>
              </w:rPr>
              <w:t>(</w:t>
            </w:r>
            <w:r>
              <w:rPr>
                <w:rStyle w:val="IndexLink"/>
                <w:rtl w:val="true"/>
              </w:rPr>
              <w:t>علیه السلام</w:t>
            </w:r>
            <w:r>
              <w:rPr>
                <w:rStyle w:val="IndexLink"/>
                <w:rtl w:val="true"/>
              </w:rPr>
              <w:t xml:space="preserve">) </w:t>
            </w:r>
            <w:r>
              <w:rPr>
                <w:rStyle w:val="IndexLink"/>
                <w:rtl w:val="true"/>
              </w:rPr>
              <w:t>غير صحيح</w:t>
            </w:r>
            <w:r>
              <w:rPr>
                <w:rStyle w:val="IndexLink"/>
                <w:rtl w:val="true"/>
              </w:rPr>
              <w:tab/>
            </w:r>
            <w:r>
              <w:rPr>
                <w:rStyle w:val="IndexLink"/>
              </w:rPr>
              <w:t>209</w:t>
            </w:r>
          </w:hyperlink>
        </w:p>
        <w:p>
          <w:pPr>
            <w:pStyle w:val="Contents6"/>
            <w:tabs>
              <w:tab w:val="clear" w:pos="7609"/>
              <w:tab w:val="right" w:pos="9026" w:leader="dot"/>
            </w:tabs>
            <w:rPr/>
          </w:pPr>
          <w:hyperlink w:anchor="__RefHeading___Toc3734658_1280447820">
            <w:r>
              <w:rPr>
                <w:webHidden/>
                <w:rStyle w:val="IndexLink"/>
                <w:rtl w:val="true"/>
              </w:rPr>
              <w:t>الاعتراض الثاني</w:t>
            </w:r>
            <w:r>
              <w:rPr>
                <w:rStyle w:val="IndexLink"/>
                <w:rtl w:val="true"/>
              </w:rPr>
              <w:tab/>
            </w:r>
            <w:r>
              <w:rPr>
                <w:rStyle w:val="IndexLink"/>
              </w:rPr>
              <w:t>211</w:t>
            </w:r>
          </w:hyperlink>
        </w:p>
        <w:p>
          <w:pPr>
            <w:pStyle w:val="Contents6"/>
            <w:tabs>
              <w:tab w:val="clear" w:pos="7609"/>
              <w:tab w:val="right" w:pos="9026" w:leader="dot"/>
            </w:tabs>
            <w:rPr/>
          </w:pPr>
          <w:hyperlink w:anchor="__RefHeading___Toc3734660_1280447820">
            <w:r>
              <w:rPr>
                <w:webHidden/>
                <w:rStyle w:val="IndexLink"/>
                <w:rtl w:val="true"/>
              </w:rPr>
              <w:t>الجواب عن الاعتراض الثاني</w:t>
            </w:r>
            <w:r>
              <w:rPr>
                <w:rStyle w:val="IndexLink"/>
                <w:rtl w:val="true"/>
              </w:rPr>
              <w:tab/>
            </w:r>
            <w:r>
              <w:rPr>
                <w:rStyle w:val="IndexLink"/>
              </w:rPr>
              <w:t>211</w:t>
            </w:r>
          </w:hyperlink>
        </w:p>
        <w:p>
          <w:pPr>
            <w:pStyle w:val="Contents6"/>
            <w:tabs>
              <w:tab w:val="clear" w:pos="7609"/>
              <w:tab w:val="right" w:pos="9026" w:leader="dot"/>
            </w:tabs>
            <w:rPr/>
          </w:pPr>
          <w:hyperlink w:anchor="__RefHeading___Toc3734662_1280447820">
            <w:r>
              <w:rPr>
                <w:webHidden/>
                <w:rStyle w:val="IndexLink"/>
                <w:rtl w:val="true"/>
              </w:rPr>
              <w:t>الإيراد في المقام من وجه آخر</w:t>
            </w:r>
            <w:r>
              <w:rPr>
                <w:rStyle w:val="IndexLink"/>
                <w:rtl w:val="true"/>
              </w:rPr>
              <w:tab/>
            </w:r>
            <w:r>
              <w:rPr>
                <w:rStyle w:val="IndexLink"/>
              </w:rPr>
              <w:t>215</w:t>
            </w:r>
          </w:hyperlink>
        </w:p>
        <w:p>
          <w:pPr>
            <w:pStyle w:val="Contents6"/>
            <w:tabs>
              <w:tab w:val="clear" w:pos="7609"/>
              <w:tab w:val="right" w:pos="9026" w:leader="dot"/>
            </w:tabs>
            <w:rPr/>
          </w:pPr>
          <w:hyperlink w:anchor="__RefHeading___Toc3734664_1280447820">
            <w:r>
              <w:rPr>
                <w:webHidden/>
                <w:rStyle w:val="IndexLink"/>
                <w:rtl w:val="true"/>
              </w:rPr>
              <w:t>الجواب عن أصل الإيراد</w:t>
            </w:r>
            <w:r>
              <w:rPr>
                <w:rStyle w:val="IndexLink"/>
                <w:rtl w:val="true"/>
              </w:rPr>
              <w:tab/>
            </w:r>
            <w:r>
              <w:rPr>
                <w:rStyle w:val="IndexLink"/>
              </w:rPr>
              <w:t>217</w:t>
            </w:r>
          </w:hyperlink>
        </w:p>
        <w:p>
          <w:pPr>
            <w:pStyle w:val="Contents6"/>
            <w:tabs>
              <w:tab w:val="clear" w:pos="7609"/>
              <w:tab w:val="right" w:pos="9026" w:leader="dot"/>
            </w:tabs>
            <w:rPr/>
          </w:pPr>
          <w:hyperlink w:anchor="__RefHeading___Toc3734666_1280447820">
            <w:r>
              <w:rPr>
                <w:webHidden/>
                <w:rStyle w:val="IndexLink"/>
                <w:rtl w:val="true"/>
              </w:rPr>
              <w:t>إيرادٌ آخر</w:t>
            </w:r>
            <w:r>
              <w:rPr>
                <w:rStyle w:val="IndexLink"/>
                <w:rtl w:val="true"/>
              </w:rPr>
              <w:tab/>
            </w:r>
            <w:r>
              <w:rPr>
                <w:rStyle w:val="IndexLink"/>
              </w:rPr>
              <w:t>219</w:t>
            </w:r>
          </w:hyperlink>
        </w:p>
        <w:p>
          <w:pPr>
            <w:pStyle w:val="Contents6"/>
            <w:tabs>
              <w:tab w:val="clear" w:pos="7609"/>
              <w:tab w:val="right" w:pos="9026" w:leader="dot"/>
            </w:tabs>
            <w:rPr/>
          </w:pPr>
          <w:hyperlink w:anchor="__RefHeading___Toc3734668_1280447820">
            <w:r>
              <w:rPr>
                <w:webHidden/>
                <w:rStyle w:val="IndexLink"/>
                <w:rtl w:val="true"/>
              </w:rPr>
              <w:t>وجه اختلاف اللغات في ذرّيّة آدم مع علمه بجميع اللغات</w:t>
            </w:r>
            <w:r>
              <w:rPr>
                <w:rStyle w:val="IndexLink"/>
                <w:rtl w:val="true"/>
              </w:rPr>
              <w:tab/>
            </w:r>
            <w:r>
              <w:rPr>
                <w:rStyle w:val="IndexLink"/>
              </w:rPr>
              <w:t>219</w:t>
            </w:r>
          </w:hyperlink>
        </w:p>
        <w:p>
          <w:pPr>
            <w:pStyle w:val="Contents6"/>
            <w:tabs>
              <w:tab w:val="clear" w:pos="7609"/>
              <w:tab w:val="right" w:pos="9026" w:leader="dot"/>
            </w:tabs>
            <w:rPr/>
          </w:pPr>
          <w:hyperlink w:anchor="__RefHeading___Toc3734670_1280447820">
            <w:r>
              <w:rPr>
                <w:webHidden/>
                <w:rStyle w:val="IndexLink"/>
                <w:rtl w:val="true"/>
              </w:rPr>
              <w:t>الجواب عن الإيراد</w:t>
            </w:r>
            <w:r>
              <w:rPr>
                <w:rStyle w:val="IndexLink"/>
                <w:rtl w:val="true"/>
              </w:rPr>
              <w:tab/>
            </w:r>
            <w:r>
              <w:rPr>
                <w:rStyle w:val="IndexLink"/>
              </w:rPr>
              <w:t>220</w:t>
            </w:r>
          </w:hyperlink>
        </w:p>
        <w:p>
          <w:pPr>
            <w:pStyle w:val="Contents6"/>
            <w:tabs>
              <w:tab w:val="clear" w:pos="7609"/>
              <w:tab w:val="right" w:pos="9026" w:leader="dot"/>
            </w:tabs>
            <w:rPr/>
          </w:pPr>
          <w:hyperlink w:anchor="__RefHeading___Toc3734672_1280447820">
            <w:r>
              <w:rPr>
                <w:webHidden/>
                <w:rStyle w:val="IndexLink"/>
                <w:rtl w:val="true"/>
              </w:rPr>
              <w:t>الدليل الثاني</w:t>
            </w:r>
            <w:r>
              <w:rPr>
                <w:rStyle w:val="IndexLink"/>
                <w:rtl w:val="true"/>
              </w:rPr>
              <w:tab/>
            </w:r>
            <w:r>
              <w:rPr>
                <w:rStyle w:val="IndexLink"/>
              </w:rPr>
              <w:t>221</w:t>
            </w:r>
          </w:hyperlink>
        </w:p>
        <w:p>
          <w:pPr>
            <w:pStyle w:val="Contents6"/>
            <w:tabs>
              <w:tab w:val="clear" w:pos="7609"/>
              <w:tab w:val="right" w:pos="9026" w:leader="dot"/>
            </w:tabs>
            <w:rPr/>
          </w:pPr>
          <w:hyperlink w:anchor="__RefHeading___Toc3734674_1280447820">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3734676_1280447820">
            <w:r>
              <w:rPr>
                <w:webHidden/>
                <w:rStyle w:val="IndexLink"/>
                <w:rtl w:val="true"/>
              </w:rPr>
              <w:t>الإيراد على الدليل الثاني</w:t>
            </w:r>
            <w:r>
              <w:rPr>
                <w:rStyle w:val="IndexLink"/>
                <w:rtl w:val="true"/>
              </w:rPr>
              <w:tab/>
            </w:r>
            <w:r>
              <w:rPr>
                <w:rStyle w:val="IndexLink"/>
              </w:rPr>
              <w:t>221</w:t>
            </w:r>
          </w:hyperlink>
        </w:p>
        <w:p>
          <w:pPr>
            <w:pStyle w:val="Contents6"/>
            <w:tabs>
              <w:tab w:val="clear" w:pos="7609"/>
              <w:tab w:val="right" w:pos="9026" w:leader="dot"/>
            </w:tabs>
            <w:rPr/>
          </w:pPr>
          <w:hyperlink w:anchor="__RefHeading___Toc3734678_1280447820">
            <w:r>
              <w:rPr>
                <w:webHidden/>
                <w:rStyle w:val="IndexLink"/>
                <w:rtl w:val="true"/>
              </w:rPr>
              <w:t>الجواب عن الإيراد</w:t>
            </w:r>
            <w:r>
              <w:rPr>
                <w:rStyle w:val="IndexLink"/>
                <w:rtl w:val="true"/>
              </w:rPr>
              <w:tab/>
            </w:r>
            <w:r>
              <w:rPr>
                <w:rStyle w:val="IndexLink"/>
              </w:rPr>
              <w:t>222</w:t>
            </w:r>
          </w:hyperlink>
        </w:p>
        <w:p>
          <w:pPr>
            <w:pStyle w:val="Contents6"/>
            <w:tabs>
              <w:tab w:val="clear" w:pos="7609"/>
              <w:tab w:val="right" w:pos="9026" w:leader="dot"/>
            </w:tabs>
            <w:rPr/>
          </w:pPr>
          <w:hyperlink w:anchor="__RefHeading___Toc3734680_1280447820">
            <w:r>
              <w:rPr>
                <w:webHidden/>
                <w:rStyle w:val="IndexLink"/>
                <w:rtl w:val="true"/>
              </w:rPr>
              <w:t>احتمال آخر للآية الشريفة</w:t>
            </w:r>
            <w:r>
              <w:rPr>
                <w:rStyle w:val="IndexLink"/>
                <w:rtl w:val="true"/>
              </w:rPr>
              <w:tab/>
            </w:r>
            <w:r>
              <w:rPr>
                <w:rStyle w:val="IndexLink"/>
              </w:rPr>
              <w:t>224</w:t>
            </w:r>
          </w:hyperlink>
        </w:p>
        <w:p>
          <w:pPr>
            <w:pStyle w:val="Contents6"/>
            <w:tabs>
              <w:tab w:val="clear" w:pos="7609"/>
              <w:tab w:val="right" w:pos="9026" w:leader="dot"/>
            </w:tabs>
            <w:rPr/>
          </w:pPr>
          <w:hyperlink w:anchor="__RefHeading___Toc3734682_1280447820">
            <w:r>
              <w:rPr>
                <w:webHidden/>
                <w:rStyle w:val="IndexLink"/>
                <w:rtl w:val="true"/>
              </w:rPr>
              <w:t>الاستدلالات الّتي ذكرها في النهاية عن أصحاب التوقيف والجواب عنها</w:t>
            </w:r>
            <w:r>
              <w:rPr>
                <w:rStyle w:val="IndexLink"/>
                <w:rtl w:val="true"/>
              </w:rPr>
              <w:tab/>
            </w:r>
            <w:r>
              <w:rPr>
                <w:rStyle w:val="IndexLink"/>
              </w:rPr>
              <w:t>225</w:t>
            </w:r>
          </w:hyperlink>
        </w:p>
        <w:p>
          <w:pPr>
            <w:pStyle w:val="Contents6"/>
            <w:tabs>
              <w:tab w:val="clear" w:pos="7609"/>
              <w:tab w:val="right" w:pos="9026" w:leader="dot"/>
            </w:tabs>
            <w:rPr/>
          </w:pPr>
          <w:hyperlink w:anchor="__RefHeading___Toc3734684_1280447820">
            <w:r>
              <w:rPr>
                <w:webHidden/>
                <w:rStyle w:val="IndexLink"/>
                <w:rtl w:val="true"/>
              </w:rPr>
              <w:t>استدلالٌ آخر للقول بالتوقيف</w:t>
            </w:r>
            <w:r>
              <w:rPr>
                <w:rStyle w:val="IndexLink"/>
                <w:rtl w:val="true"/>
              </w:rPr>
              <w:tab/>
            </w:r>
            <w:r>
              <w:rPr>
                <w:rStyle w:val="IndexLink"/>
              </w:rPr>
              <w:t>228</w:t>
            </w:r>
          </w:hyperlink>
        </w:p>
        <w:p>
          <w:pPr>
            <w:pStyle w:val="Contents6"/>
            <w:tabs>
              <w:tab w:val="clear" w:pos="7609"/>
              <w:tab w:val="right" w:pos="9026" w:leader="dot"/>
            </w:tabs>
            <w:rPr/>
          </w:pPr>
          <w:hyperlink w:anchor="__RefHeading___Toc3734686_1280447820">
            <w:r>
              <w:rPr>
                <w:webHidden/>
                <w:rStyle w:val="IndexLink"/>
                <w:rtl w:val="true"/>
              </w:rPr>
              <w:t>الجواب عنه</w:t>
            </w:r>
            <w:r>
              <w:rPr>
                <w:rStyle w:val="IndexLink"/>
                <w:rtl w:val="true"/>
              </w:rPr>
              <w:tab/>
            </w:r>
            <w:r>
              <w:rPr>
                <w:rStyle w:val="IndexLink"/>
              </w:rPr>
              <w:t>228</w:t>
            </w:r>
          </w:hyperlink>
        </w:p>
        <w:p>
          <w:pPr>
            <w:pStyle w:val="Contents6"/>
            <w:tabs>
              <w:tab w:val="clear" w:pos="7609"/>
              <w:tab w:val="right" w:pos="9026" w:leader="dot"/>
            </w:tabs>
            <w:rPr/>
          </w:pPr>
          <w:hyperlink w:anchor="__RefHeading___Toc3734688_1280447820">
            <w:r>
              <w:rPr>
                <w:webHidden/>
                <w:rStyle w:val="IndexLink"/>
                <w:rtl w:val="true"/>
              </w:rPr>
              <w:t>دليل القائلين باصطلاحيّة اللغات</w:t>
            </w:r>
            <w:r>
              <w:rPr>
                <w:rStyle w:val="IndexLink"/>
                <w:rtl w:val="true"/>
              </w:rPr>
              <w:tab/>
            </w:r>
            <w:r>
              <w:rPr>
                <w:rStyle w:val="IndexLink"/>
              </w:rPr>
              <w:t>229</w:t>
            </w:r>
          </w:hyperlink>
        </w:p>
        <w:p>
          <w:pPr>
            <w:pStyle w:val="Contents6"/>
            <w:tabs>
              <w:tab w:val="clear" w:pos="7609"/>
              <w:tab w:val="right" w:pos="9026" w:leader="dot"/>
            </w:tabs>
            <w:rPr/>
          </w:pPr>
          <w:hyperlink w:anchor="__RefHeading___Toc3734690_1280447820">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3734692_1280447820">
            <w:r>
              <w:rPr>
                <w:webHidden/>
                <w:rStyle w:val="IndexLink"/>
                <w:rtl w:val="true"/>
              </w:rPr>
              <w:t>الدليل الأوّل</w:t>
            </w:r>
            <w:r>
              <w:rPr>
                <w:rStyle w:val="IndexLink"/>
                <w:rtl w:val="true"/>
              </w:rPr>
              <w:tab/>
            </w:r>
            <w:r>
              <w:rPr>
                <w:rStyle w:val="IndexLink"/>
              </w:rPr>
              <w:t>229</w:t>
            </w:r>
          </w:hyperlink>
        </w:p>
        <w:p>
          <w:pPr>
            <w:pStyle w:val="Contents6"/>
            <w:tabs>
              <w:tab w:val="clear" w:pos="7609"/>
              <w:tab w:val="right" w:pos="9026" w:leader="dot"/>
            </w:tabs>
            <w:rPr/>
          </w:pPr>
          <w:hyperlink w:anchor="__RefHeading___Toc3734694_1280447820">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3734696_1280447820">
            <w:r>
              <w:rPr>
                <w:webHidden/>
                <w:rStyle w:val="IndexLink"/>
                <w:rtl w:val="true"/>
              </w:rPr>
              <w:t>الجواب عن الدليل الأوّل</w:t>
            </w:r>
            <w:r>
              <w:rPr>
                <w:rStyle w:val="IndexLink"/>
                <w:rtl w:val="true"/>
              </w:rPr>
              <w:tab/>
            </w:r>
            <w:r>
              <w:rPr>
                <w:rStyle w:val="IndexLink"/>
              </w:rPr>
              <w:t>229</w:t>
            </w:r>
          </w:hyperlink>
        </w:p>
        <w:p>
          <w:pPr>
            <w:pStyle w:val="Contents6"/>
            <w:tabs>
              <w:tab w:val="clear" w:pos="7609"/>
              <w:tab w:val="right" w:pos="9026" w:leader="dot"/>
            </w:tabs>
            <w:rPr/>
          </w:pPr>
          <w:hyperlink w:anchor="__RefHeading___Toc3734698_1280447820">
            <w:r>
              <w:rPr>
                <w:webHidden/>
                <w:rStyle w:val="IndexLink"/>
                <w:rtl w:val="true"/>
              </w:rPr>
              <w:t>الدليل الثاني</w:t>
            </w:r>
            <w:r>
              <w:rPr>
                <w:rStyle w:val="IndexLink"/>
                <w:rtl w:val="true"/>
              </w:rPr>
              <w:tab/>
            </w:r>
            <w:r>
              <w:rPr>
                <w:rStyle w:val="IndexLink"/>
              </w:rPr>
              <w:t>231</w:t>
            </w:r>
          </w:hyperlink>
        </w:p>
        <w:p>
          <w:pPr>
            <w:pStyle w:val="Contents6"/>
            <w:tabs>
              <w:tab w:val="clear" w:pos="7609"/>
              <w:tab w:val="right" w:pos="9026" w:leader="dot"/>
            </w:tabs>
            <w:rPr/>
          </w:pPr>
          <w:hyperlink w:anchor="__RefHeading___Toc3734700_1280447820">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3734702_1280447820">
            <w:r>
              <w:rPr>
                <w:webHidden/>
                <w:rStyle w:val="IndexLink"/>
                <w:rtl w:val="true"/>
              </w:rPr>
              <w:t>الجواب عن الدليل الثاني</w:t>
            </w:r>
            <w:r>
              <w:rPr>
                <w:rStyle w:val="IndexLink"/>
                <w:rtl w:val="true"/>
              </w:rPr>
              <w:tab/>
            </w:r>
            <w:r>
              <w:rPr>
                <w:rStyle w:val="IndexLink"/>
              </w:rPr>
              <w:t>232</w:t>
            </w:r>
          </w:hyperlink>
        </w:p>
        <w:p>
          <w:pPr>
            <w:pStyle w:val="Contents6"/>
            <w:tabs>
              <w:tab w:val="clear" w:pos="7609"/>
              <w:tab w:val="right" w:pos="9026" w:leader="dot"/>
            </w:tabs>
            <w:rPr/>
          </w:pPr>
          <w:hyperlink w:anchor="__RefHeading___Toc3734704_1280447820">
            <w:r>
              <w:rPr>
                <w:webHidden/>
                <w:rStyle w:val="IndexLink"/>
                <w:rtl w:val="true"/>
              </w:rPr>
              <w:t>مستند القائلين بالتفصيل</w:t>
            </w:r>
            <w:r>
              <w:rPr>
                <w:rStyle w:val="IndexLink"/>
                <w:rtl w:val="true"/>
              </w:rPr>
              <w:tab/>
            </w:r>
            <w:r>
              <w:rPr>
                <w:rStyle w:val="IndexLink"/>
              </w:rPr>
              <w:t>234</w:t>
            </w:r>
          </w:hyperlink>
        </w:p>
        <w:p>
          <w:pPr>
            <w:pStyle w:val="Contents6"/>
            <w:tabs>
              <w:tab w:val="clear" w:pos="7609"/>
              <w:tab w:val="right" w:pos="9026" w:leader="dot"/>
            </w:tabs>
            <w:rPr/>
          </w:pPr>
          <w:hyperlink w:anchor="__RefHeading___Toc3734706_1280447820">
            <w:r>
              <w:rPr>
                <w:webHidden/>
                <w:rStyle w:val="IndexLink"/>
                <w:rtl w:val="true"/>
              </w:rPr>
              <w:t>مستند القائلين بالتوقّف</w:t>
            </w:r>
            <w:r>
              <w:rPr>
                <w:rStyle w:val="IndexLink"/>
                <w:rtl w:val="true"/>
              </w:rPr>
              <w:tab/>
            </w:r>
            <w:r>
              <w:rPr>
                <w:rStyle w:val="IndexLink"/>
              </w:rPr>
              <w:t>235</w:t>
            </w:r>
          </w:hyperlink>
        </w:p>
        <w:p>
          <w:pPr>
            <w:pStyle w:val="Contents6"/>
            <w:tabs>
              <w:tab w:val="clear" w:pos="7609"/>
              <w:tab w:val="right" w:pos="9026" w:leader="dot"/>
            </w:tabs>
            <w:rPr/>
          </w:pPr>
          <w:hyperlink w:anchor="__RefHeading___Toc3734708_1280447820">
            <w:r>
              <w:rPr>
                <w:webHidden/>
                <w:rStyle w:val="IndexLink"/>
                <w:rtl w:val="true"/>
              </w:rPr>
              <w:t>في أنّ استناد الوضع إلى الله لا ينافي القول بعدم ثبوت الحقيقة الشرعيّة</w:t>
            </w:r>
            <w:r>
              <w:rPr>
                <w:rStyle w:val="IndexLink"/>
                <w:rtl w:val="true"/>
              </w:rPr>
              <w:tab/>
            </w:r>
            <w:r>
              <w:rPr>
                <w:rStyle w:val="IndexLink"/>
              </w:rPr>
              <w:t>236</w:t>
            </w:r>
          </w:hyperlink>
        </w:p>
        <w:p>
          <w:pPr>
            <w:pStyle w:val="Contents6"/>
            <w:tabs>
              <w:tab w:val="clear" w:pos="7609"/>
              <w:tab w:val="right" w:pos="9026" w:leader="dot"/>
            </w:tabs>
            <w:rPr/>
          </w:pPr>
          <w:hyperlink w:anchor="__RefHeading___Toc3734710_1280447820">
            <w:r>
              <w:rPr>
                <w:webHidden/>
                <w:rStyle w:val="IndexLink"/>
                <w:rtl w:val="true"/>
              </w:rPr>
              <w:t>ذكر كلام لإفضاح مقال</w:t>
            </w:r>
            <w:r>
              <w:rPr>
                <w:rStyle w:val="IndexLink"/>
                <w:rtl w:val="true"/>
              </w:rPr>
              <w:tab/>
            </w:r>
            <w:r>
              <w:rPr>
                <w:rStyle w:val="IndexLink"/>
              </w:rPr>
              <w:t>239</w:t>
            </w:r>
          </w:hyperlink>
        </w:p>
        <w:p>
          <w:pPr>
            <w:pStyle w:val="Contents6"/>
            <w:tabs>
              <w:tab w:val="clear" w:pos="7609"/>
              <w:tab w:val="right" w:pos="9026" w:leader="dot"/>
            </w:tabs>
            <w:rPr/>
          </w:pPr>
          <w:hyperlink w:anchor="__RefHeading___Toc3734712_1280447820">
            <w:r>
              <w:rPr>
                <w:webHidden/>
                <w:rStyle w:val="IndexLink"/>
                <w:rtl w:val="true"/>
              </w:rPr>
              <w:t>رأي المؤلّف في المسألة</w:t>
            </w:r>
            <w:r>
              <w:rPr>
                <w:rStyle w:val="IndexLink"/>
                <w:rtl w:val="true"/>
              </w:rPr>
              <w:tab/>
            </w:r>
            <w:r>
              <w:rPr>
                <w:rStyle w:val="IndexLink"/>
              </w:rPr>
              <w:t>240</w:t>
            </w:r>
          </w:hyperlink>
        </w:p>
        <w:p>
          <w:pPr>
            <w:pStyle w:val="Contents3"/>
            <w:tabs>
              <w:tab w:val="clear" w:pos="8459"/>
              <w:tab w:val="right" w:pos="9026" w:leader="dot"/>
            </w:tabs>
            <w:rPr/>
          </w:pPr>
          <w:hyperlink w:anchor="__RefHeading___Toc3734714_1280447820">
            <w:r>
              <w:rPr>
                <w:webHidden/>
                <w:rStyle w:val="IndexLink"/>
                <w:rtl w:val="true"/>
              </w:rPr>
              <w:t>الفصل الثالث</w:t>
            </w:r>
            <w:r>
              <w:rPr>
                <w:rStyle w:val="IndexLink"/>
                <w:rtl w:val="true"/>
              </w:rPr>
              <w:t xml:space="preserve">: </w:t>
            </w:r>
            <w:r>
              <w:rPr>
                <w:rStyle w:val="IndexLink"/>
                <w:rtl w:val="true"/>
              </w:rPr>
              <w:t>في الحقيقة العرفيّة</w:t>
            </w:r>
            <w:r>
              <w:rPr>
                <w:rStyle w:val="IndexLink"/>
                <w:rtl w:val="true"/>
              </w:rPr>
              <w:tab/>
            </w:r>
            <w:r>
              <w:rPr>
                <w:rStyle w:val="IndexLink"/>
              </w:rPr>
              <w:t>242</w:t>
            </w:r>
          </w:hyperlink>
        </w:p>
        <w:p>
          <w:pPr>
            <w:pStyle w:val="Contents4"/>
            <w:tabs>
              <w:tab w:val="clear" w:pos="8176"/>
              <w:tab w:val="right" w:pos="9026" w:leader="dot"/>
            </w:tabs>
            <w:rPr/>
          </w:pPr>
          <w:hyperlink w:anchor="__RefHeading___Toc3734716_1280447820">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3734718_1280447820">
            <w:r>
              <w:rPr>
                <w:webHidden/>
                <w:rStyle w:val="IndexLink"/>
                <w:rtl w:val="true"/>
              </w:rPr>
              <w:t>المبحث الأوّل</w:t>
            </w:r>
            <w:r>
              <w:rPr>
                <w:rStyle w:val="IndexLink"/>
                <w:rtl w:val="true"/>
              </w:rPr>
              <w:t xml:space="preserve">: </w:t>
            </w:r>
            <w:r>
              <w:rPr>
                <w:rStyle w:val="IndexLink"/>
                <w:rtl w:val="true"/>
              </w:rPr>
              <w:t>في تحديدها وتعريفها</w:t>
            </w:r>
            <w:r>
              <w:rPr>
                <w:rStyle w:val="IndexLink"/>
                <w:rtl w:val="true"/>
              </w:rPr>
              <w:tab/>
            </w:r>
            <w:r>
              <w:rPr>
                <w:rStyle w:val="IndexLink"/>
              </w:rPr>
              <w:t>242</w:t>
            </w:r>
          </w:hyperlink>
        </w:p>
        <w:p>
          <w:pPr>
            <w:pStyle w:val="Contents5"/>
            <w:tabs>
              <w:tab w:val="clear" w:pos="7892"/>
              <w:tab w:val="right" w:pos="9026" w:leader="dot"/>
            </w:tabs>
            <w:rPr/>
          </w:pPr>
          <w:hyperlink w:anchor="__RefHeading___Toc3734720_1280447820">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3734722_1280447820">
            <w:r>
              <w:rPr>
                <w:webHidden/>
                <w:rStyle w:val="IndexLink"/>
                <w:rtl w:val="true"/>
              </w:rPr>
              <w:t>مختار المصنّف في المسألة</w:t>
            </w:r>
            <w:r>
              <w:rPr>
                <w:rStyle w:val="IndexLink"/>
                <w:rtl w:val="true"/>
              </w:rPr>
              <w:tab/>
            </w:r>
            <w:r>
              <w:rPr>
                <w:rStyle w:val="IndexLink"/>
              </w:rPr>
              <w:t>244</w:t>
            </w:r>
          </w:hyperlink>
        </w:p>
        <w:p>
          <w:pPr>
            <w:pStyle w:val="Contents4"/>
            <w:tabs>
              <w:tab w:val="clear" w:pos="8176"/>
              <w:tab w:val="right" w:pos="9026" w:leader="dot"/>
            </w:tabs>
            <w:rPr/>
          </w:pPr>
          <w:hyperlink w:anchor="__RefHeading___Toc3734724_1280447820">
            <w:r>
              <w:rPr>
                <w:webHidden/>
                <w:rStyle w:val="IndexLink"/>
                <w:rtl w:val="true"/>
              </w:rPr>
              <w:t>والمبحث الثاني</w:t>
            </w:r>
            <w:r>
              <w:rPr>
                <w:rStyle w:val="IndexLink"/>
                <w:rtl w:val="true"/>
              </w:rPr>
              <w:t xml:space="preserve">: </w:t>
            </w:r>
            <w:r>
              <w:rPr>
                <w:rStyle w:val="IndexLink"/>
                <w:rtl w:val="true"/>
              </w:rPr>
              <w:t>في تقسيمها إلى العامّة والخاصّة</w:t>
            </w:r>
            <w:r>
              <w:rPr>
                <w:rStyle w:val="IndexLink"/>
                <w:rtl w:val="true"/>
              </w:rPr>
              <w:tab/>
            </w:r>
            <w:r>
              <w:rPr>
                <w:rStyle w:val="IndexLink"/>
              </w:rPr>
              <w:t>246</w:t>
            </w:r>
          </w:hyperlink>
        </w:p>
        <w:p>
          <w:pPr>
            <w:pStyle w:val="Contents5"/>
            <w:tabs>
              <w:tab w:val="clear" w:pos="7892"/>
              <w:tab w:val="right" w:pos="9026" w:leader="dot"/>
            </w:tabs>
            <w:rPr/>
          </w:pPr>
          <w:hyperlink w:anchor="__RefHeading___Toc3734726_1280447820">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3734728_1280447820">
            <w:r>
              <w:rPr>
                <w:webHidden/>
                <w:rStyle w:val="IndexLink"/>
                <w:rtl w:val="true"/>
              </w:rPr>
              <w:t>إيراد مقال لدفع إشكال</w:t>
            </w:r>
            <w:r>
              <w:rPr>
                <w:rStyle w:val="IndexLink"/>
                <w:rtl w:val="true"/>
              </w:rPr>
              <w:tab/>
            </w:r>
            <w:r>
              <w:rPr>
                <w:rStyle w:val="IndexLink"/>
              </w:rPr>
              <w:t>247</w:t>
            </w:r>
          </w:hyperlink>
        </w:p>
        <w:p>
          <w:pPr>
            <w:pStyle w:val="Contents4"/>
            <w:tabs>
              <w:tab w:val="clear" w:pos="8176"/>
              <w:tab w:val="right" w:pos="9026" w:leader="dot"/>
            </w:tabs>
            <w:rPr/>
          </w:pPr>
          <w:hyperlink w:anchor="__RefHeading___Toc3734730_1280447820">
            <w:r>
              <w:rPr>
                <w:webHidden/>
                <w:rStyle w:val="IndexLink"/>
                <w:rtl w:val="true"/>
              </w:rPr>
              <w:t>المبحث الثالث</w:t>
            </w:r>
            <w:r>
              <w:rPr>
                <w:rStyle w:val="IndexLink"/>
                <w:rtl w:val="true"/>
              </w:rPr>
              <w:t xml:space="preserve">: </w:t>
            </w:r>
            <w:r>
              <w:rPr>
                <w:rStyle w:val="IndexLink"/>
                <w:rtl w:val="true"/>
              </w:rPr>
              <w:t>في ثبوت الحقيقة العرفيّة وما يناسب تلك المقالة</w:t>
            </w:r>
            <w:r>
              <w:rPr>
                <w:rStyle w:val="IndexLink"/>
                <w:rtl w:val="true"/>
              </w:rPr>
              <w:tab/>
            </w:r>
            <w:r>
              <w:rPr>
                <w:rStyle w:val="IndexLink"/>
              </w:rPr>
              <w:t>249</w:t>
            </w:r>
          </w:hyperlink>
        </w:p>
        <w:p>
          <w:pPr>
            <w:pStyle w:val="Contents5"/>
            <w:tabs>
              <w:tab w:val="clear" w:pos="7892"/>
              <w:tab w:val="right" w:pos="9026" w:leader="dot"/>
            </w:tabs>
            <w:rPr/>
          </w:pPr>
          <w:hyperlink w:anchor="__RefHeading___Toc3734732_1280447820">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3734734_1280447820">
            <w:r>
              <w:rPr>
                <w:webHidden/>
                <w:rStyle w:val="IndexLink"/>
                <w:rtl w:val="true"/>
              </w:rPr>
              <w:t>في الداعي لتغيير اللغة وثبوت الحقيقة العرفيّة</w:t>
            </w:r>
            <w:r>
              <w:rPr>
                <w:rStyle w:val="IndexLink"/>
                <w:rtl w:val="true"/>
              </w:rPr>
              <w:tab/>
            </w:r>
            <w:r>
              <w:rPr>
                <w:rStyle w:val="IndexLink"/>
              </w:rPr>
              <w:t>250</w:t>
            </w:r>
          </w:hyperlink>
        </w:p>
        <w:p>
          <w:pPr>
            <w:pStyle w:val="Contents5"/>
            <w:tabs>
              <w:tab w:val="clear" w:pos="7892"/>
              <w:tab w:val="right" w:pos="9026" w:leader="dot"/>
            </w:tabs>
            <w:rPr/>
          </w:pPr>
          <w:hyperlink w:anchor="__RefHeading___Toc3734736_1280447820">
            <w:r>
              <w:rPr>
                <w:webHidden/>
                <w:rStyle w:val="IndexLink"/>
                <w:rtl w:val="true"/>
              </w:rPr>
              <w:t>استدلال القائل باستحالة الحقيقة العرفيّة</w:t>
            </w:r>
            <w:r>
              <w:rPr>
                <w:rStyle w:val="IndexLink"/>
                <w:rtl w:val="true"/>
              </w:rPr>
              <w:tab/>
            </w:r>
            <w:r>
              <w:rPr>
                <w:rStyle w:val="IndexLink"/>
              </w:rPr>
              <w:t>252</w:t>
            </w:r>
          </w:hyperlink>
        </w:p>
        <w:p>
          <w:pPr>
            <w:pStyle w:val="Contents5"/>
            <w:tabs>
              <w:tab w:val="clear" w:pos="7892"/>
              <w:tab w:val="right" w:pos="9026" w:leader="dot"/>
            </w:tabs>
            <w:rPr/>
          </w:pPr>
          <w:hyperlink w:anchor="__RefHeading___Toc3734738_1280447820">
            <w:r>
              <w:rPr>
                <w:webHidden/>
                <w:rStyle w:val="IndexLink"/>
                <w:rtl w:val="true"/>
              </w:rPr>
              <w:t>في أنّه هل يصحّ حصر الحقائق في الأقسام الثلاثة أم لا؟</w:t>
            </w:r>
            <w:r>
              <w:rPr>
                <w:rStyle w:val="IndexLink"/>
                <w:rtl w:val="true"/>
              </w:rPr>
              <w:tab/>
            </w:r>
            <w:r>
              <w:rPr>
                <w:rStyle w:val="IndexLink"/>
              </w:rPr>
              <w:t>253</w:t>
            </w:r>
          </w:hyperlink>
        </w:p>
        <w:p>
          <w:pPr>
            <w:pStyle w:val="Contents5"/>
            <w:tabs>
              <w:tab w:val="clear" w:pos="7892"/>
              <w:tab w:val="right" w:pos="9026" w:leader="dot"/>
            </w:tabs>
            <w:rPr/>
          </w:pPr>
          <w:hyperlink w:anchor="__RefHeading___Toc3734740_1280447820">
            <w:r>
              <w:rPr>
                <w:webHidden/>
                <w:rStyle w:val="IndexLink"/>
                <w:rtl w:val="true"/>
              </w:rPr>
              <w:t>ردّ على من زعم أنّ الأعلام ليست بحقيقة ولا مجازًا</w:t>
            </w:r>
            <w:r>
              <w:rPr>
                <w:rStyle w:val="IndexLink"/>
                <w:rtl w:val="true"/>
              </w:rPr>
              <w:tab/>
            </w:r>
            <w:r>
              <w:rPr>
                <w:rStyle w:val="IndexLink"/>
              </w:rPr>
              <w:t>253</w:t>
            </w:r>
          </w:hyperlink>
        </w:p>
        <w:p>
          <w:pPr>
            <w:pStyle w:val="Contents5"/>
            <w:tabs>
              <w:tab w:val="clear" w:pos="7892"/>
              <w:tab w:val="right" w:pos="9026" w:leader="dot"/>
            </w:tabs>
            <w:rPr/>
          </w:pPr>
          <w:hyperlink w:anchor="__RefHeading___Toc3734742_1280447820">
            <w:r>
              <w:rPr>
                <w:webHidden/>
                <w:rStyle w:val="IndexLink"/>
                <w:rtl w:val="true"/>
              </w:rPr>
              <w:t>الأعلام مندرجة تحت العرفيّة الخاصّة</w:t>
            </w:r>
            <w:r>
              <w:rPr>
                <w:rStyle w:val="IndexLink"/>
                <w:rtl w:val="true"/>
              </w:rPr>
              <w:tab/>
            </w:r>
            <w:r>
              <w:rPr>
                <w:rStyle w:val="IndexLink"/>
              </w:rPr>
              <w:t>256</w:t>
            </w:r>
          </w:hyperlink>
        </w:p>
        <w:p>
          <w:pPr>
            <w:pStyle w:val="Contents5"/>
            <w:tabs>
              <w:tab w:val="clear" w:pos="7892"/>
              <w:tab w:val="right" w:pos="9026" w:leader="dot"/>
            </w:tabs>
            <w:rPr/>
          </w:pPr>
          <w:hyperlink w:anchor="__RefHeading___Toc3734744_1280447820">
            <w:r>
              <w:rPr>
                <w:webHidden/>
                <w:rStyle w:val="IndexLink"/>
                <w:rtl w:val="true"/>
              </w:rPr>
              <w:t>استقصاء عقليّ</w:t>
            </w:r>
            <w:r>
              <w:rPr>
                <w:rStyle w:val="IndexLink"/>
                <w:rtl w:val="true"/>
              </w:rPr>
              <w:tab/>
            </w:r>
            <w:r>
              <w:rPr>
                <w:rStyle w:val="IndexLink"/>
              </w:rPr>
              <w:t>256</w:t>
            </w:r>
          </w:hyperlink>
        </w:p>
        <w:p>
          <w:pPr>
            <w:pStyle w:val="Contents3"/>
            <w:tabs>
              <w:tab w:val="clear" w:pos="8459"/>
              <w:tab w:val="right" w:pos="9026" w:leader="dot"/>
            </w:tabs>
            <w:rPr/>
          </w:pPr>
          <w:hyperlink w:anchor="__RefHeading___Toc3734746_1280447820">
            <w:r>
              <w:rPr>
                <w:webHidden/>
                <w:rStyle w:val="IndexLink"/>
                <w:rtl w:val="true"/>
              </w:rPr>
              <w:t>الفصل الرابع</w:t>
            </w:r>
            <w:r>
              <w:rPr>
                <w:rStyle w:val="IndexLink"/>
                <w:rtl w:val="true"/>
              </w:rPr>
              <w:t xml:space="preserve">: </w:t>
            </w:r>
            <w:r>
              <w:rPr>
                <w:rStyle w:val="IndexLink"/>
                <w:rtl w:val="true"/>
              </w:rPr>
              <w:t>في الأمور المتعلّقة بالأقسام المذكورة للحقائق</w:t>
            </w:r>
            <w:r>
              <w:rPr>
                <w:rStyle w:val="IndexLink"/>
                <w:rtl w:val="true"/>
              </w:rPr>
              <w:tab/>
            </w:r>
            <w:r>
              <w:rPr>
                <w:rStyle w:val="IndexLink"/>
              </w:rPr>
              <w:t>258</w:t>
            </w:r>
          </w:hyperlink>
        </w:p>
        <w:p>
          <w:pPr>
            <w:pStyle w:val="Contents4"/>
            <w:tabs>
              <w:tab w:val="clear" w:pos="8176"/>
              <w:tab w:val="right" w:pos="9026" w:leader="dot"/>
            </w:tabs>
            <w:rPr/>
          </w:pPr>
          <w:hyperlink w:anchor="__RefHeading___Toc3734748_1280447820">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3734750_1280447820">
            <w:r>
              <w:rPr>
                <w:webHidden/>
                <w:rStyle w:val="IndexLink"/>
                <w:rtl w:val="true"/>
              </w:rPr>
              <w:t>المبحث الأوّل</w:t>
            </w:r>
            <w:r>
              <w:rPr>
                <w:rStyle w:val="IndexLink"/>
                <w:rtl w:val="true"/>
              </w:rPr>
              <w:t xml:space="preserve">: </w:t>
            </w:r>
            <w:r>
              <w:rPr>
                <w:rStyle w:val="IndexLink"/>
                <w:rtl w:val="true"/>
              </w:rPr>
              <w:t>في تعيين الموضوع له</w:t>
            </w:r>
            <w:r>
              <w:rPr>
                <w:rStyle w:val="IndexLink"/>
                <w:rtl w:val="true"/>
              </w:rPr>
              <w:tab/>
            </w:r>
            <w:r>
              <w:rPr>
                <w:rStyle w:val="IndexLink"/>
              </w:rPr>
              <w:t>258</w:t>
            </w:r>
          </w:hyperlink>
        </w:p>
        <w:p>
          <w:pPr>
            <w:pStyle w:val="Contents5"/>
            <w:tabs>
              <w:tab w:val="clear" w:pos="7892"/>
              <w:tab w:val="right" w:pos="9026" w:leader="dot"/>
            </w:tabs>
            <w:rPr/>
          </w:pPr>
          <w:hyperlink w:anchor="__RefHeading___Toc3734752_1280447820">
            <w:r>
              <w:rPr>
                <w:webHidden/>
                <w:rStyle w:val="IndexLink"/>
                <w:rtl w:val="true"/>
              </w:rPr>
              <w:t>في أنّ الألفاظ موضوعة بإزاء المعاني الذهنيّة أو الخارجيّة</w:t>
            </w:r>
            <w:r>
              <w:rPr>
                <w:rStyle w:val="IndexLink"/>
                <w:rtl w:val="true"/>
              </w:rPr>
              <w:tab/>
            </w:r>
            <w:r>
              <w:rPr>
                <w:rStyle w:val="IndexLink"/>
              </w:rPr>
              <w:t>258</w:t>
            </w:r>
          </w:hyperlink>
        </w:p>
        <w:p>
          <w:pPr>
            <w:pStyle w:val="Contents6"/>
            <w:tabs>
              <w:tab w:val="clear" w:pos="7609"/>
              <w:tab w:val="right" w:pos="9026" w:leader="dot"/>
            </w:tabs>
            <w:rPr/>
          </w:pPr>
          <w:hyperlink w:anchor="__RefHeading___Toc3734754_1280447820">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3734756_1280447820">
            <w:r>
              <w:rPr>
                <w:webHidden/>
                <w:rStyle w:val="IndexLink"/>
                <w:rtl w:val="true"/>
              </w:rPr>
              <w:t>مستند القول الأوّل</w:t>
            </w:r>
            <w:r>
              <w:rPr>
                <w:rStyle w:val="IndexLink"/>
                <w:rtl w:val="true"/>
              </w:rPr>
              <w:t xml:space="preserve">: </w:t>
            </w:r>
            <w:r>
              <w:rPr>
                <w:rStyle w:val="IndexLink"/>
                <w:rtl w:val="true"/>
              </w:rPr>
              <w:t>مستند القول بكون الألفاظ موضوعة للمعاني الخارجيّة مع الجواب عنه</w:t>
            </w:r>
            <w:r>
              <w:rPr>
                <w:rStyle w:val="IndexLink"/>
                <w:rtl w:val="true"/>
              </w:rPr>
              <w:tab/>
            </w:r>
            <w:r>
              <w:rPr>
                <w:rStyle w:val="IndexLink"/>
              </w:rPr>
              <w:t>259</w:t>
            </w:r>
          </w:hyperlink>
        </w:p>
        <w:p>
          <w:pPr>
            <w:pStyle w:val="Contents6"/>
            <w:tabs>
              <w:tab w:val="clear" w:pos="7609"/>
              <w:tab w:val="right" w:pos="9026" w:leader="dot"/>
            </w:tabs>
            <w:rPr/>
          </w:pPr>
          <w:hyperlink w:anchor="__RefHeading___Toc3734758_1280447820">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3734760_1280447820">
            <w:r>
              <w:rPr>
                <w:webHidden/>
                <w:rStyle w:val="IndexLink"/>
                <w:rtl w:val="true"/>
              </w:rPr>
              <w:t>الجواب عن مستند القول الأوّل بالمعارضة</w:t>
            </w:r>
            <w:r>
              <w:rPr>
                <w:rStyle w:val="IndexLink"/>
                <w:rtl w:val="true"/>
              </w:rPr>
              <w:tab/>
            </w:r>
            <w:r>
              <w:rPr>
                <w:rStyle w:val="IndexLink"/>
              </w:rPr>
              <w:t>260</w:t>
            </w:r>
          </w:hyperlink>
        </w:p>
        <w:p>
          <w:pPr>
            <w:pStyle w:val="Contents6"/>
            <w:tabs>
              <w:tab w:val="clear" w:pos="7609"/>
              <w:tab w:val="right" w:pos="9026" w:leader="dot"/>
            </w:tabs>
            <w:rPr/>
          </w:pPr>
          <w:hyperlink w:anchor="__RefHeading___Toc3734762_1280447820">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3734764_1280447820">
            <w:r>
              <w:rPr>
                <w:webHidden/>
                <w:rStyle w:val="IndexLink"/>
                <w:rtl w:val="true"/>
              </w:rPr>
              <w:t>الوجه الأوّل</w:t>
            </w:r>
            <w:r>
              <w:rPr>
                <w:rStyle w:val="IndexLink"/>
                <w:rtl w:val="true"/>
              </w:rPr>
              <w:tab/>
            </w:r>
            <w:r>
              <w:rPr>
                <w:rStyle w:val="IndexLink"/>
              </w:rPr>
              <w:t>260</w:t>
            </w:r>
          </w:hyperlink>
        </w:p>
        <w:p>
          <w:pPr>
            <w:pStyle w:val="Contents6"/>
            <w:tabs>
              <w:tab w:val="clear" w:pos="7609"/>
              <w:tab w:val="right" w:pos="9026" w:leader="dot"/>
            </w:tabs>
            <w:rPr/>
          </w:pPr>
          <w:hyperlink w:anchor="__RefHeading___Toc3734766_1280447820">
            <w:r>
              <w:rPr>
                <w:webHidden/>
                <w:rStyle w:val="IndexLink"/>
                <w:rtl w:val="true"/>
              </w:rPr>
              <w:t>الوجه الثاني</w:t>
            </w:r>
            <w:r>
              <w:rPr>
                <w:rStyle w:val="IndexLink"/>
                <w:rtl w:val="true"/>
              </w:rPr>
              <w:tab/>
            </w:r>
            <w:r>
              <w:rPr>
                <w:rStyle w:val="IndexLink"/>
              </w:rPr>
              <w:t>260</w:t>
            </w:r>
          </w:hyperlink>
        </w:p>
        <w:p>
          <w:pPr>
            <w:pStyle w:val="Contents6"/>
            <w:tabs>
              <w:tab w:val="clear" w:pos="7609"/>
              <w:tab w:val="right" w:pos="9026" w:leader="dot"/>
            </w:tabs>
            <w:rPr/>
          </w:pPr>
          <w:hyperlink w:anchor="__RefHeading___Toc3734768_1280447820">
            <w:r>
              <w:rPr>
                <w:webHidden/>
                <w:rStyle w:val="IndexLink"/>
                <w:rtl w:val="true"/>
              </w:rPr>
              <w:t>الجواب عن الوجه الثاني</w:t>
            </w:r>
            <w:r>
              <w:rPr>
                <w:rStyle w:val="IndexLink"/>
                <w:rtl w:val="true"/>
              </w:rPr>
              <w:tab/>
            </w:r>
            <w:r>
              <w:rPr>
                <w:rStyle w:val="IndexLink"/>
              </w:rPr>
              <w:t>261</w:t>
            </w:r>
          </w:hyperlink>
        </w:p>
        <w:p>
          <w:pPr>
            <w:pStyle w:val="Contents6"/>
            <w:tabs>
              <w:tab w:val="clear" w:pos="7609"/>
              <w:tab w:val="right" w:pos="9026" w:leader="dot"/>
            </w:tabs>
            <w:rPr/>
          </w:pPr>
          <w:hyperlink w:anchor="__RefHeading___Toc3734770_1280447820">
            <w:r>
              <w:rPr>
                <w:webHidden/>
                <w:rStyle w:val="IndexLink"/>
                <w:rtl w:val="true"/>
              </w:rPr>
              <w:t>الجواب عن المعارضة بنحوٍ آخر</w:t>
            </w:r>
            <w:r>
              <w:rPr>
                <w:rStyle w:val="IndexLink"/>
                <w:rtl w:val="true"/>
              </w:rPr>
              <w:tab/>
            </w:r>
            <w:r>
              <w:rPr>
                <w:rStyle w:val="IndexLink"/>
              </w:rPr>
              <w:t>261</w:t>
            </w:r>
          </w:hyperlink>
        </w:p>
        <w:p>
          <w:pPr>
            <w:pStyle w:val="Contents6"/>
            <w:tabs>
              <w:tab w:val="clear" w:pos="7609"/>
              <w:tab w:val="right" w:pos="9026" w:leader="dot"/>
            </w:tabs>
            <w:rPr/>
          </w:pPr>
          <w:hyperlink w:anchor="__RefHeading___Toc3734772_1280447820">
            <w:r>
              <w:rPr>
                <w:webHidden/>
                <w:rStyle w:val="IndexLink"/>
                <w:rtl w:val="true"/>
              </w:rPr>
              <w:t>الوجه الثالث</w:t>
            </w:r>
            <w:r>
              <w:rPr>
                <w:rStyle w:val="IndexLink"/>
                <w:rtl w:val="true"/>
              </w:rPr>
              <w:tab/>
            </w:r>
            <w:r>
              <w:rPr>
                <w:rStyle w:val="IndexLink"/>
              </w:rPr>
              <w:t>262</w:t>
            </w:r>
          </w:hyperlink>
        </w:p>
        <w:p>
          <w:pPr>
            <w:pStyle w:val="Contents6"/>
            <w:tabs>
              <w:tab w:val="clear" w:pos="7609"/>
              <w:tab w:val="right" w:pos="9026" w:leader="dot"/>
            </w:tabs>
            <w:rPr/>
          </w:pPr>
          <w:hyperlink w:anchor="__RefHeading___Toc3734774_1280447820">
            <w:r>
              <w:rPr>
                <w:webHidden/>
                <w:rStyle w:val="IndexLink"/>
                <w:rtl w:val="true"/>
              </w:rPr>
              <w:t>الجواب عن الوجه الثالث</w:t>
            </w:r>
            <w:r>
              <w:rPr>
                <w:rStyle w:val="IndexLink"/>
                <w:rtl w:val="true"/>
              </w:rPr>
              <w:tab/>
            </w:r>
            <w:r>
              <w:rPr>
                <w:rStyle w:val="IndexLink"/>
              </w:rPr>
              <w:t>262</w:t>
            </w:r>
          </w:hyperlink>
        </w:p>
        <w:p>
          <w:pPr>
            <w:pStyle w:val="Contents6"/>
            <w:tabs>
              <w:tab w:val="clear" w:pos="7609"/>
              <w:tab w:val="right" w:pos="9026" w:leader="dot"/>
            </w:tabs>
            <w:rPr/>
          </w:pPr>
          <w:hyperlink w:anchor="__RefHeading___Toc3734776_1280447820">
            <w:r>
              <w:rPr>
                <w:webHidden/>
                <w:rStyle w:val="IndexLink"/>
                <w:rtl w:val="true"/>
              </w:rPr>
              <w:t>الجواب عن مستند القول الأوّل بالمناقضة</w:t>
            </w:r>
            <w:r>
              <w:rPr>
                <w:rStyle w:val="IndexLink"/>
                <w:rtl w:val="true"/>
              </w:rPr>
              <w:tab/>
            </w:r>
            <w:r>
              <w:rPr>
                <w:rStyle w:val="IndexLink"/>
              </w:rPr>
              <w:t>263</w:t>
            </w:r>
          </w:hyperlink>
        </w:p>
        <w:p>
          <w:pPr>
            <w:pStyle w:val="Contents6"/>
            <w:tabs>
              <w:tab w:val="clear" w:pos="7609"/>
              <w:tab w:val="right" w:pos="9026" w:leader="dot"/>
            </w:tabs>
            <w:rPr/>
          </w:pPr>
          <w:hyperlink w:anchor="__RefHeading___Toc3734778_1280447820">
            <w:r>
              <w:rPr>
                <w:webHidden/>
                <w:rStyle w:val="IndexLink"/>
                <w:rtl w:val="true"/>
              </w:rPr>
              <w:t>الجواب عن المناقضة</w:t>
            </w:r>
            <w:r>
              <w:rPr>
                <w:rStyle w:val="IndexLink"/>
                <w:rtl w:val="true"/>
              </w:rPr>
              <w:tab/>
            </w:r>
            <w:r>
              <w:rPr>
                <w:rStyle w:val="IndexLink"/>
              </w:rPr>
              <w:t>263</w:t>
            </w:r>
          </w:hyperlink>
        </w:p>
        <w:p>
          <w:pPr>
            <w:pStyle w:val="Contents6"/>
            <w:tabs>
              <w:tab w:val="clear" w:pos="7609"/>
              <w:tab w:val="right" w:pos="9026" w:leader="dot"/>
            </w:tabs>
            <w:rPr/>
          </w:pPr>
          <w:hyperlink w:anchor="__RefHeading___Toc3734780_1280447820">
            <w:r>
              <w:rPr>
                <w:webHidden/>
                <w:rStyle w:val="IndexLink"/>
                <w:rtl w:val="true"/>
              </w:rPr>
              <w:t>مستند القول الثاني</w:t>
            </w:r>
            <w:r>
              <w:rPr>
                <w:rStyle w:val="IndexLink"/>
                <w:rtl w:val="true"/>
              </w:rPr>
              <w:t xml:space="preserve">: </w:t>
            </w:r>
            <w:r>
              <w:rPr>
                <w:rStyle w:val="IndexLink"/>
                <w:rtl w:val="true"/>
              </w:rPr>
              <w:t>حجّة القول بأنّ الألفاظ موضوعة للمعاني الذهنيّة دون الخارجيّة</w:t>
            </w:r>
            <w:r>
              <w:rPr>
                <w:rStyle w:val="IndexLink"/>
                <w:rtl w:val="true"/>
              </w:rPr>
              <w:tab/>
            </w:r>
            <w:r>
              <w:rPr>
                <w:rStyle w:val="IndexLink"/>
              </w:rPr>
              <w:t>263</w:t>
            </w:r>
          </w:hyperlink>
        </w:p>
        <w:p>
          <w:pPr>
            <w:pStyle w:val="Contents6"/>
            <w:tabs>
              <w:tab w:val="clear" w:pos="7609"/>
              <w:tab w:val="right" w:pos="9026" w:leader="dot"/>
            </w:tabs>
            <w:rPr/>
          </w:pPr>
          <w:hyperlink w:anchor="__RefHeading___Toc3734782_1280447820">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3734784_1280447820">
            <w:r>
              <w:rPr>
                <w:webHidden/>
                <w:rStyle w:val="IndexLink"/>
                <w:rtl w:val="true"/>
              </w:rPr>
              <w:t>الجواب عن مستند القول الثاني بالمنع</w:t>
            </w:r>
            <w:r>
              <w:rPr>
                <w:rStyle w:val="IndexLink"/>
                <w:rtl w:val="true"/>
              </w:rPr>
              <w:tab/>
            </w:r>
            <w:r>
              <w:rPr>
                <w:rStyle w:val="IndexLink"/>
              </w:rPr>
              <w:t>266</w:t>
            </w:r>
          </w:hyperlink>
        </w:p>
        <w:p>
          <w:pPr>
            <w:pStyle w:val="Contents6"/>
            <w:tabs>
              <w:tab w:val="clear" w:pos="7609"/>
              <w:tab w:val="right" w:pos="9026" w:leader="dot"/>
            </w:tabs>
            <w:rPr/>
          </w:pPr>
          <w:hyperlink w:anchor="__RefHeading___Toc3734786_1280447820">
            <w:r>
              <w:rPr>
                <w:webHidden/>
                <w:rStyle w:val="IndexLink"/>
                <w:rtl w:val="true"/>
              </w:rPr>
              <w:t>الجواب عن مستند القول الثاني بالمعارضة</w:t>
            </w:r>
            <w:r>
              <w:rPr>
                <w:rStyle w:val="IndexLink"/>
                <w:rtl w:val="true"/>
              </w:rPr>
              <w:tab/>
            </w:r>
            <w:r>
              <w:rPr>
                <w:rStyle w:val="IndexLink"/>
              </w:rPr>
              <w:t>267</w:t>
            </w:r>
          </w:hyperlink>
        </w:p>
        <w:p>
          <w:pPr>
            <w:pStyle w:val="Contents6"/>
            <w:tabs>
              <w:tab w:val="clear" w:pos="7609"/>
              <w:tab w:val="right" w:pos="9026" w:leader="dot"/>
            </w:tabs>
            <w:rPr/>
          </w:pPr>
          <w:hyperlink w:anchor="__RefHeading___Toc3734788_1280447820">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3734790_1280447820">
            <w:r>
              <w:rPr>
                <w:webHidden/>
                <w:rStyle w:val="IndexLink"/>
                <w:rtl w:val="true"/>
              </w:rPr>
              <w:t>الوجه الأوّل</w:t>
            </w:r>
            <w:r>
              <w:rPr>
                <w:rStyle w:val="IndexLink"/>
                <w:rtl w:val="true"/>
              </w:rPr>
              <w:tab/>
            </w:r>
            <w:r>
              <w:rPr>
                <w:rStyle w:val="IndexLink"/>
              </w:rPr>
              <w:t>267</w:t>
            </w:r>
          </w:hyperlink>
        </w:p>
        <w:p>
          <w:pPr>
            <w:pStyle w:val="Contents6"/>
            <w:tabs>
              <w:tab w:val="clear" w:pos="7609"/>
              <w:tab w:val="right" w:pos="9026" w:leader="dot"/>
            </w:tabs>
            <w:rPr/>
          </w:pPr>
          <w:hyperlink w:anchor="__RefHeading___Toc3734792_1280447820">
            <w:r>
              <w:rPr>
                <w:webHidden/>
                <w:rStyle w:val="IndexLink"/>
                <w:rtl w:val="true"/>
              </w:rPr>
              <w:t>الوجه الثاني</w:t>
            </w:r>
            <w:r>
              <w:rPr>
                <w:rStyle w:val="IndexLink"/>
                <w:rtl w:val="true"/>
              </w:rPr>
              <w:tab/>
            </w:r>
            <w:r>
              <w:rPr>
                <w:rStyle w:val="IndexLink"/>
              </w:rPr>
              <w:t>268</w:t>
            </w:r>
          </w:hyperlink>
        </w:p>
        <w:p>
          <w:pPr>
            <w:pStyle w:val="Contents6"/>
            <w:tabs>
              <w:tab w:val="clear" w:pos="7609"/>
              <w:tab w:val="right" w:pos="9026" w:leader="dot"/>
            </w:tabs>
            <w:rPr/>
          </w:pPr>
          <w:hyperlink w:anchor="__RefHeading___Toc3734794_1280447820">
            <w:r>
              <w:rPr>
                <w:webHidden/>
                <w:rStyle w:val="IndexLink"/>
                <w:rtl w:val="true"/>
              </w:rPr>
              <w:t>الوجه الثالث</w:t>
            </w:r>
            <w:r>
              <w:rPr>
                <w:rStyle w:val="IndexLink"/>
                <w:rtl w:val="true"/>
              </w:rPr>
              <w:tab/>
            </w:r>
            <w:r>
              <w:rPr>
                <w:rStyle w:val="IndexLink"/>
              </w:rPr>
              <w:t>269</w:t>
            </w:r>
          </w:hyperlink>
        </w:p>
        <w:p>
          <w:pPr>
            <w:pStyle w:val="Contents6"/>
            <w:tabs>
              <w:tab w:val="clear" w:pos="7609"/>
              <w:tab w:val="right" w:pos="9026" w:leader="dot"/>
            </w:tabs>
            <w:rPr/>
          </w:pPr>
          <w:hyperlink w:anchor="__RefHeading___Toc3734796_1280447820">
            <w:r>
              <w:rPr>
                <w:webHidden/>
                <w:rStyle w:val="IndexLink"/>
                <w:rtl w:val="true"/>
              </w:rPr>
              <w:t>في أنّ النزاع في وضع الألفاظ مبنيٌّ على النزاع في مسألة المعلوم بالذات على ما ذكره بعضهم</w:t>
            </w:r>
            <w:r>
              <w:rPr>
                <w:rStyle w:val="IndexLink"/>
                <w:rtl w:val="true"/>
              </w:rPr>
              <w:tab/>
            </w:r>
            <w:r>
              <w:rPr>
                <w:rStyle w:val="IndexLink"/>
              </w:rPr>
              <w:t>270</w:t>
            </w:r>
          </w:hyperlink>
        </w:p>
        <w:p>
          <w:pPr>
            <w:pStyle w:val="Contents6"/>
            <w:tabs>
              <w:tab w:val="clear" w:pos="7609"/>
              <w:tab w:val="right" w:pos="9026" w:leader="dot"/>
            </w:tabs>
            <w:rPr/>
          </w:pPr>
          <w:hyperlink w:anchor="__RefHeading___Toc3734798_1280447820">
            <w:r>
              <w:rPr>
                <w:webHidden/>
                <w:rStyle w:val="IndexLink"/>
                <w:rtl w:val="true"/>
              </w:rPr>
              <w:t>القول الثالث ومستنده</w:t>
            </w:r>
            <w:r>
              <w:rPr>
                <w:rStyle w:val="IndexLink"/>
                <w:rtl w:val="true"/>
              </w:rPr>
              <w:t>:</w:t>
              <w:tab/>
            </w:r>
            <w:r>
              <w:rPr>
                <w:rStyle w:val="IndexLink"/>
              </w:rPr>
              <w:t>277</w:t>
            </w:r>
          </w:hyperlink>
        </w:p>
        <w:p>
          <w:pPr>
            <w:pStyle w:val="Contents6"/>
            <w:tabs>
              <w:tab w:val="clear" w:pos="7609"/>
              <w:tab w:val="right" w:pos="9026" w:leader="dot"/>
            </w:tabs>
            <w:rPr/>
          </w:pPr>
          <w:hyperlink w:anchor="__RefHeading___Toc3734800_1280447820">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3734802_1280447820">
            <w:r>
              <w:rPr>
                <w:webHidden/>
                <w:rStyle w:val="IndexLink"/>
                <w:rtl w:val="true"/>
              </w:rPr>
              <w:t>الجواب عن مستند القول الثالث</w:t>
            </w:r>
            <w:r>
              <w:rPr>
                <w:rStyle w:val="IndexLink"/>
                <w:rtl w:val="true"/>
              </w:rPr>
              <w:tab/>
            </w:r>
            <w:r>
              <w:rPr>
                <w:rStyle w:val="IndexLink"/>
              </w:rPr>
              <w:t>278</w:t>
            </w:r>
          </w:hyperlink>
        </w:p>
        <w:p>
          <w:pPr>
            <w:pStyle w:val="Contents6"/>
            <w:tabs>
              <w:tab w:val="clear" w:pos="7609"/>
              <w:tab w:val="right" w:pos="9026" w:leader="dot"/>
            </w:tabs>
            <w:rPr/>
          </w:pPr>
          <w:hyperlink w:anchor="__RefHeading___Toc3734804_1280447820">
            <w:r>
              <w:rPr>
                <w:webHidden/>
                <w:rStyle w:val="IndexLink"/>
                <w:rtl w:val="true"/>
              </w:rPr>
              <w:t>المختار من بين الأقوال</w:t>
            </w:r>
            <w:r>
              <w:rPr>
                <w:rStyle w:val="IndexLink"/>
                <w:rtl w:val="true"/>
              </w:rPr>
              <w:t xml:space="preserve">: </w:t>
            </w:r>
            <w:r>
              <w:rPr>
                <w:rStyle w:val="IndexLink"/>
                <w:rtl w:val="true"/>
              </w:rPr>
              <w:t>القول الرابع</w:t>
            </w:r>
            <w:r>
              <w:rPr>
                <w:rStyle w:val="IndexLink"/>
                <w:rtl w:val="true"/>
              </w:rPr>
              <w:tab/>
            </w:r>
            <w:r>
              <w:rPr>
                <w:rStyle w:val="IndexLink"/>
              </w:rPr>
              <w:t>281</w:t>
            </w:r>
          </w:hyperlink>
        </w:p>
        <w:p>
          <w:pPr>
            <w:pStyle w:val="Contents6"/>
            <w:tabs>
              <w:tab w:val="clear" w:pos="7609"/>
              <w:tab w:val="right" w:pos="9026" w:leader="dot"/>
            </w:tabs>
            <w:rPr/>
          </w:pPr>
          <w:hyperlink w:anchor="__RefHeading___Toc3734806_1280447820">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3734808_1280447820">
            <w:r>
              <w:rPr>
                <w:webHidden/>
                <w:rStyle w:val="IndexLink"/>
                <w:rtl w:val="true"/>
              </w:rPr>
              <w:t>تنقيح المقام</w:t>
            </w:r>
            <w:r>
              <w:rPr>
                <w:rStyle w:val="IndexLink"/>
                <w:rtl w:val="true"/>
              </w:rPr>
              <w:tab/>
            </w:r>
            <w:r>
              <w:rPr>
                <w:rStyle w:val="IndexLink"/>
              </w:rPr>
              <w:t>281</w:t>
            </w:r>
          </w:hyperlink>
        </w:p>
        <w:p>
          <w:pPr>
            <w:pStyle w:val="Contents6"/>
            <w:tabs>
              <w:tab w:val="clear" w:pos="7609"/>
              <w:tab w:val="right" w:pos="9026" w:leader="dot"/>
            </w:tabs>
            <w:rPr/>
          </w:pPr>
          <w:hyperlink w:anchor="__RefHeading___Toc3734810_1280447820">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3734812_1280447820">
            <w:r>
              <w:rPr>
                <w:webHidden/>
                <w:rStyle w:val="IndexLink"/>
                <w:rtl w:val="true"/>
              </w:rPr>
              <w:t>الأمر الأوّل</w:t>
            </w:r>
            <w:r>
              <w:rPr>
                <w:rStyle w:val="IndexLink"/>
                <w:rtl w:val="true"/>
              </w:rPr>
              <w:t xml:space="preserve">: </w:t>
            </w:r>
            <w:r>
              <w:rPr>
                <w:rStyle w:val="IndexLink"/>
                <w:rtl w:val="true"/>
              </w:rPr>
              <w:t>فيما يتوجّه على المختار من الإيراد ودفعه</w:t>
            </w:r>
            <w:r>
              <w:rPr>
                <w:rStyle w:val="IndexLink"/>
                <w:rtl w:val="true"/>
              </w:rPr>
              <w:tab/>
            </w:r>
            <w:r>
              <w:rPr>
                <w:rStyle w:val="IndexLink"/>
              </w:rPr>
              <w:t>281</w:t>
            </w:r>
          </w:hyperlink>
        </w:p>
        <w:p>
          <w:pPr>
            <w:pStyle w:val="Contents6"/>
            <w:tabs>
              <w:tab w:val="clear" w:pos="7609"/>
              <w:tab w:val="right" w:pos="9026" w:leader="dot"/>
            </w:tabs>
            <w:rPr/>
          </w:pPr>
          <w:hyperlink w:anchor="__RefHeading___Toc3734814_1280447820">
            <w:r>
              <w:rPr>
                <w:webHidden/>
                <w:rStyle w:val="IndexLink"/>
                <w:rtl w:val="true"/>
              </w:rPr>
              <w:t>الإيراد الأوّل</w:t>
            </w:r>
            <w:r>
              <w:rPr>
                <w:rStyle w:val="IndexLink"/>
                <w:rtl w:val="true"/>
              </w:rPr>
              <w:tab/>
            </w:r>
            <w:r>
              <w:rPr>
                <w:rStyle w:val="IndexLink"/>
              </w:rPr>
              <w:t>281</w:t>
            </w:r>
          </w:hyperlink>
        </w:p>
        <w:p>
          <w:pPr>
            <w:pStyle w:val="Contents6"/>
            <w:tabs>
              <w:tab w:val="clear" w:pos="7609"/>
              <w:tab w:val="right" w:pos="9026" w:leader="dot"/>
            </w:tabs>
            <w:rPr/>
          </w:pPr>
          <w:hyperlink w:anchor="__RefHeading___Toc3734816_1280447820">
            <w:r>
              <w:rPr>
                <w:webHidden/>
                <w:rStyle w:val="IndexLink"/>
                <w:rtl w:val="true"/>
              </w:rPr>
              <w:t>الإيراد الثاني</w:t>
            </w:r>
            <w:r>
              <w:rPr>
                <w:rStyle w:val="IndexLink"/>
                <w:rtl w:val="true"/>
              </w:rPr>
              <w:tab/>
            </w:r>
            <w:r>
              <w:rPr>
                <w:rStyle w:val="IndexLink"/>
              </w:rPr>
              <w:t>282</w:t>
            </w:r>
          </w:hyperlink>
        </w:p>
        <w:p>
          <w:pPr>
            <w:pStyle w:val="Contents6"/>
            <w:tabs>
              <w:tab w:val="clear" w:pos="7609"/>
              <w:tab w:val="right" w:pos="9026" w:leader="dot"/>
            </w:tabs>
            <w:rPr/>
          </w:pPr>
          <w:hyperlink w:anchor="__RefHeading___Toc3734818_1280447820">
            <w:r>
              <w:rPr>
                <w:webHidden/>
                <w:rStyle w:val="IndexLink"/>
                <w:rtl w:val="true"/>
              </w:rPr>
              <w:t>الدفع عن الإيراد الأوّل</w:t>
            </w:r>
            <w:r>
              <w:rPr>
                <w:rStyle w:val="IndexLink"/>
                <w:rtl w:val="true"/>
              </w:rPr>
              <w:tab/>
            </w:r>
            <w:r>
              <w:rPr>
                <w:rStyle w:val="IndexLink"/>
              </w:rPr>
              <w:t>283</w:t>
            </w:r>
          </w:hyperlink>
        </w:p>
        <w:p>
          <w:pPr>
            <w:pStyle w:val="Contents6"/>
            <w:tabs>
              <w:tab w:val="clear" w:pos="7609"/>
              <w:tab w:val="right" w:pos="9026" w:leader="dot"/>
            </w:tabs>
            <w:rPr/>
          </w:pPr>
          <w:hyperlink w:anchor="__RefHeading___Toc3734820_1280447820">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3734822_1280447820">
            <w:r>
              <w:rPr>
                <w:webHidden/>
                <w:rStyle w:val="IndexLink"/>
                <w:rtl w:val="true"/>
              </w:rPr>
              <w:t>الوجه الأوّل</w:t>
            </w:r>
            <w:r>
              <w:rPr>
                <w:rStyle w:val="IndexLink"/>
                <w:rtl w:val="true"/>
              </w:rPr>
              <w:tab/>
            </w:r>
            <w:r>
              <w:rPr>
                <w:rStyle w:val="IndexLink"/>
              </w:rPr>
              <w:t>283</w:t>
            </w:r>
          </w:hyperlink>
        </w:p>
        <w:p>
          <w:pPr>
            <w:pStyle w:val="Contents6"/>
            <w:tabs>
              <w:tab w:val="clear" w:pos="7609"/>
              <w:tab w:val="right" w:pos="9026" w:leader="dot"/>
            </w:tabs>
            <w:rPr/>
          </w:pPr>
          <w:hyperlink w:anchor="__RefHeading___Toc3734824_1280447820">
            <w:r>
              <w:rPr>
                <w:webHidden/>
                <w:rStyle w:val="IndexLink"/>
                <w:rtl w:val="true"/>
              </w:rPr>
              <w:t>الوجه الثاني</w:t>
            </w:r>
            <w:r>
              <w:rPr>
                <w:rStyle w:val="IndexLink"/>
                <w:rtl w:val="true"/>
              </w:rPr>
              <w:tab/>
            </w:r>
            <w:r>
              <w:rPr>
                <w:rStyle w:val="IndexLink"/>
              </w:rPr>
              <w:t>283</w:t>
            </w:r>
          </w:hyperlink>
        </w:p>
        <w:p>
          <w:pPr>
            <w:pStyle w:val="Contents6"/>
            <w:tabs>
              <w:tab w:val="clear" w:pos="7609"/>
              <w:tab w:val="right" w:pos="9026" w:leader="dot"/>
            </w:tabs>
            <w:rPr/>
          </w:pPr>
          <w:hyperlink w:anchor="__RefHeading___Toc3734826_1280447820">
            <w:r>
              <w:rPr>
                <w:webHidden/>
                <w:rStyle w:val="IndexLink"/>
                <w:rtl w:val="true"/>
              </w:rPr>
              <w:t>الدفع عن الإيراد الثاني</w:t>
            </w:r>
            <w:r>
              <w:rPr>
                <w:rStyle w:val="IndexLink"/>
                <w:rtl w:val="true"/>
              </w:rPr>
              <w:tab/>
            </w:r>
            <w:r>
              <w:rPr>
                <w:rStyle w:val="IndexLink"/>
              </w:rPr>
              <w:t>284</w:t>
            </w:r>
          </w:hyperlink>
        </w:p>
        <w:p>
          <w:pPr>
            <w:pStyle w:val="Contents6"/>
            <w:tabs>
              <w:tab w:val="clear" w:pos="7609"/>
              <w:tab w:val="right" w:pos="9026" w:leader="dot"/>
            </w:tabs>
            <w:rPr/>
          </w:pPr>
          <w:hyperlink w:anchor="__RefHeading___Toc3734828_1280447820">
            <w:r>
              <w:rPr>
                <w:webHidden/>
                <w:rStyle w:val="IndexLink"/>
                <w:rtl w:val="true"/>
              </w:rPr>
              <w:t>فيما يمكن أن يقال في دفع الإيراد</w:t>
            </w:r>
            <w:r>
              <w:rPr>
                <w:rStyle w:val="IndexLink"/>
                <w:rtl w:val="true"/>
              </w:rPr>
              <w:tab/>
            </w:r>
            <w:r>
              <w:rPr>
                <w:rStyle w:val="IndexLink"/>
              </w:rPr>
              <w:t>286</w:t>
            </w:r>
          </w:hyperlink>
        </w:p>
        <w:p>
          <w:pPr>
            <w:pStyle w:val="Contents6"/>
            <w:tabs>
              <w:tab w:val="clear" w:pos="7609"/>
              <w:tab w:val="right" w:pos="9026" w:leader="dot"/>
            </w:tabs>
            <w:rPr/>
          </w:pPr>
          <w:hyperlink w:anchor="__RefHeading___Toc3734830_1280447820">
            <w:r>
              <w:rPr>
                <w:webHidden/>
                <w:rStyle w:val="IndexLink"/>
                <w:rtl w:val="true"/>
              </w:rPr>
              <w:t>فيما يتوجّه عليه</w:t>
            </w:r>
            <w:r>
              <w:rPr>
                <w:rStyle w:val="IndexLink"/>
                <w:rtl w:val="true"/>
              </w:rPr>
              <w:tab/>
            </w:r>
            <w:r>
              <w:rPr>
                <w:rStyle w:val="IndexLink"/>
              </w:rPr>
              <w:t>286</w:t>
            </w:r>
          </w:hyperlink>
        </w:p>
        <w:p>
          <w:pPr>
            <w:pStyle w:val="Contents6"/>
            <w:tabs>
              <w:tab w:val="clear" w:pos="7609"/>
              <w:tab w:val="right" w:pos="9026" w:leader="dot"/>
            </w:tabs>
            <w:rPr/>
          </w:pPr>
          <w:hyperlink w:anchor="__RefHeading___Toc3734832_1280447820">
            <w:r>
              <w:rPr>
                <w:webHidden/>
                <w:rStyle w:val="IndexLink"/>
                <w:rtl w:val="true"/>
              </w:rPr>
              <w:t>الحقّ في الجواب عن الإيراد الأوّل</w:t>
            </w:r>
            <w:r>
              <w:rPr>
                <w:rStyle w:val="IndexLink"/>
                <w:rtl w:val="true"/>
              </w:rPr>
              <w:tab/>
            </w:r>
            <w:r>
              <w:rPr>
                <w:rStyle w:val="IndexLink"/>
              </w:rPr>
              <w:t>287</w:t>
            </w:r>
          </w:hyperlink>
        </w:p>
        <w:p>
          <w:pPr>
            <w:pStyle w:val="Contents6"/>
            <w:tabs>
              <w:tab w:val="clear" w:pos="7609"/>
              <w:tab w:val="right" w:pos="9026" w:leader="dot"/>
            </w:tabs>
            <w:rPr/>
          </w:pPr>
          <w:hyperlink w:anchor="__RefHeading___Toc3734834_1280447820">
            <w:r>
              <w:rPr>
                <w:webHidden/>
                <w:rStyle w:val="IndexLink"/>
                <w:rtl w:val="true"/>
              </w:rPr>
              <w:t>الحقّ في الجواب عن الإيراد الثاني</w:t>
            </w:r>
            <w:r>
              <w:rPr>
                <w:rStyle w:val="IndexLink"/>
                <w:rtl w:val="true"/>
              </w:rPr>
              <w:tab/>
            </w:r>
            <w:r>
              <w:rPr>
                <w:rStyle w:val="IndexLink"/>
              </w:rPr>
              <w:t>290</w:t>
            </w:r>
          </w:hyperlink>
        </w:p>
        <w:p>
          <w:pPr>
            <w:pStyle w:val="Contents6"/>
            <w:tabs>
              <w:tab w:val="clear" w:pos="7609"/>
              <w:tab w:val="right" w:pos="9026" w:leader="dot"/>
            </w:tabs>
            <w:rPr/>
          </w:pPr>
          <w:hyperlink w:anchor="__RefHeading___Toc3734836_1280447820">
            <w:r>
              <w:rPr>
                <w:webHidden/>
                <w:rStyle w:val="IndexLink"/>
                <w:rtl w:val="true"/>
              </w:rPr>
              <w:t>تنبيه</w:t>
            </w:r>
            <w:r>
              <w:rPr>
                <w:rStyle w:val="IndexLink"/>
                <w:rtl w:val="true"/>
              </w:rPr>
              <w:tab/>
            </w:r>
            <w:r>
              <w:rPr>
                <w:rStyle w:val="IndexLink"/>
              </w:rPr>
              <w:t>290</w:t>
            </w:r>
          </w:hyperlink>
        </w:p>
        <w:p>
          <w:pPr>
            <w:pStyle w:val="Contents6"/>
            <w:tabs>
              <w:tab w:val="clear" w:pos="7609"/>
              <w:tab w:val="right" w:pos="9026" w:leader="dot"/>
            </w:tabs>
            <w:rPr/>
          </w:pPr>
          <w:hyperlink w:anchor="__RefHeading___Toc3734838_1280447820">
            <w:r>
              <w:rPr>
                <w:webHidden/>
                <w:rStyle w:val="IndexLink"/>
                <w:rtl w:val="true"/>
              </w:rPr>
              <w:t>والأمر الثاني</w:t>
            </w:r>
            <w:r>
              <w:rPr>
                <w:rStyle w:val="IndexLink"/>
                <w:rtl w:val="true"/>
              </w:rPr>
              <w:t xml:space="preserve">: </w:t>
            </w:r>
            <w:r>
              <w:rPr>
                <w:rStyle w:val="IndexLink"/>
                <w:rtl w:val="true"/>
              </w:rPr>
              <w:t>هو أنّ وضع الألفاظ للمعاني ما كانت معانٍ باعتقاد المستعمل والمكلّف، أو في نفس الأمر والواقع</w:t>
            </w:r>
            <w:r>
              <w:rPr>
                <w:rStyle w:val="IndexLink"/>
                <w:rtl w:val="true"/>
              </w:rPr>
              <w:tab/>
            </w:r>
            <w:r>
              <w:rPr>
                <w:rStyle w:val="IndexLink"/>
              </w:rPr>
              <w:t>292</w:t>
            </w:r>
          </w:hyperlink>
        </w:p>
        <w:p>
          <w:pPr>
            <w:pStyle w:val="Contents6"/>
            <w:tabs>
              <w:tab w:val="clear" w:pos="7609"/>
              <w:tab w:val="right" w:pos="9026" w:leader="dot"/>
            </w:tabs>
            <w:rPr/>
          </w:pPr>
          <w:hyperlink w:anchor="__RefHeading___Toc3734840_1280447820">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3734842_1280447820">
            <w:r>
              <w:rPr>
                <w:webHidden/>
                <w:rStyle w:val="IndexLink"/>
                <w:rtl w:val="true"/>
              </w:rPr>
              <w:t>مختار المؤلّف</w:t>
            </w:r>
            <w:r>
              <w:rPr>
                <w:rStyle w:val="IndexLink"/>
                <w:rtl w:val="true"/>
              </w:rPr>
              <w:tab/>
            </w:r>
            <w:r>
              <w:rPr>
                <w:rStyle w:val="IndexLink"/>
              </w:rPr>
              <w:t>293</w:t>
            </w:r>
          </w:hyperlink>
        </w:p>
        <w:p>
          <w:pPr>
            <w:pStyle w:val="Contents4"/>
            <w:tabs>
              <w:tab w:val="clear" w:pos="8176"/>
              <w:tab w:val="right" w:pos="9026" w:leader="dot"/>
            </w:tabs>
            <w:rPr/>
          </w:pPr>
          <w:hyperlink w:anchor="__RefHeading___Toc3734844_1280447820">
            <w:r>
              <w:rPr>
                <w:webHidden/>
                <w:rStyle w:val="IndexLink"/>
                <w:rtl w:val="true"/>
              </w:rPr>
              <w:t>المبحث الثاني</w:t>
            </w:r>
            <w:r>
              <w:rPr>
                <w:rStyle w:val="IndexLink"/>
                <w:rtl w:val="true"/>
              </w:rPr>
              <w:t xml:space="preserve">: </w:t>
            </w:r>
            <w:r>
              <w:rPr>
                <w:rStyle w:val="IndexLink"/>
                <w:rtl w:val="true"/>
              </w:rPr>
              <w:t>في أنّ المناط في حمل الألفاظ الواردة في الكتاب والسنّة على ماذا؟</w:t>
            </w:r>
            <w:r>
              <w:rPr>
                <w:rStyle w:val="IndexLink"/>
                <w:rtl w:val="true"/>
              </w:rPr>
              <w:tab/>
            </w:r>
            <w:r>
              <w:rPr>
                <w:rStyle w:val="IndexLink"/>
              </w:rPr>
              <w:t>295</w:t>
            </w:r>
          </w:hyperlink>
        </w:p>
        <w:p>
          <w:pPr>
            <w:pStyle w:val="Contents5"/>
            <w:tabs>
              <w:tab w:val="clear" w:pos="7892"/>
              <w:tab w:val="right" w:pos="9026" w:leader="dot"/>
            </w:tabs>
            <w:rPr/>
          </w:pPr>
          <w:hyperlink w:anchor="__RefHeading___Toc3734846_1280447820">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3734848_1280447820">
            <w:r>
              <w:rPr>
                <w:webHidden/>
                <w:rStyle w:val="IndexLink"/>
                <w:rtl w:val="true"/>
              </w:rPr>
              <w:t>في أنّ الأحكام الشرعيّة بأسرها توقيفيّة</w:t>
            </w:r>
            <w:r>
              <w:rPr>
                <w:rStyle w:val="IndexLink"/>
                <w:rtl w:val="true"/>
              </w:rPr>
              <w:tab/>
            </w:r>
            <w:r>
              <w:rPr>
                <w:rStyle w:val="IndexLink"/>
              </w:rPr>
              <w:t>295</w:t>
            </w:r>
          </w:hyperlink>
        </w:p>
        <w:p>
          <w:pPr>
            <w:pStyle w:val="Contents5"/>
            <w:tabs>
              <w:tab w:val="clear" w:pos="7892"/>
              <w:tab w:val="right" w:pos="9026" w:leader="dot"/>
            </w:tabs>
            <w:rPr/>
          </w:pPr>
          <w:hyperlink w:anchor="__RefHeading___Toc3734850_1280447820">
            <w:r>
              <w:rPr>
                <w:webHidden/>
                <w:rStyle w:val="IndexLink"/>
                <w:rtl w:val="true"/>
              </w:rPr>
              <w:t>وجوه الإيراد في المقام</w:t>
            </w:r>
            <w:r>
              <w:rPr>
                <w:rStyle w:val="IndexLink"/>
                <w:rtl w:val="true"/>
              </w:rPr>
              <w:tab/>
            </w:r>
            <w:r>
              <w:rPr>
                <w:rStyle w:val="IndexLink"/>
              </w:rPr>
              <w:t>297</w:t>
            </w:r>
          </w:hyperlink>
        </w:p>
        <w:p>
          <w:pPr>
            <w:pStyle w:val="Contents6"/>
            <w:tabs>
              <w:tab w:val="clear" w:pos="7609"/>
              <w:tab w:val="right" w:pos="9026" w:leader="dot"/>
            </w:tabs>
            <w:rPr/>
          </w:pPr>
          <w:hyperlink w:anchor="__RefHeading___Toc3734852_1280447820">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3734854_1280447820">
            <w:r>
              <w:rPr>
                <w:webHidden/>
                <w:rStyle w:val="IndexLink"/>
                <w:rtl w:val="true"/>
              </w:rPr>
              <w:t>الإيراد الأوّل</w:t>
            </w:r>
            <w:r>
              <w:rPr>
                <w:rStyle w:val="IndexLink"/>
                <w:rtl w:val="true"/>
              </w:rPr>
              <w:tab/>
            </w:r>
            <w:r>
              <w:rPr>
                <w:rStyle w:val="IndexLink"/>
              </w:rPr>
              <w:t>297</w:t>
            </w:r>
          </w:hyperlink>
        </w:p>
        <w:p>
          <w:pPr>
            <w:pStyle w:val="Contents6"/>
            <w:tabs>
              <w:tab w:val="clear" w:pos="7609"/>
              <w:tab w:val="right" w:pos="9026" w:leader="dot"/>
            </w:tabs>
            <w:rPr/>
          </w:pPr>
          <w:hyperlink w:anchor="__RefHeading___Toc3734856_1280447820">
            <w:r>
              <w:rPr>
                <w:webHidden/>
                <w:rStyle w:val="IndexLink"/>
                <w:rtl w:val="true"/>
              </w:rPr>
              <w:t>الإيراد الثاني</w:t>
            </w:r>
            <w:r>
              <w:rPr>
                <w:rStyle w:val="IndexLink"/>
                <w:rtl w:val="true"/>
              </w:rPr>
              <w:tab/>
            </w:r>
            <w:r>
              <w:rPr>
                <w:rStyle w:val="IndexLink"/>
              </w:rPr>
              <w:t>298</w:t>
            </w:r>
          </w:hyperlink>
        </w:p>
        <w:p>
          <w:pPr>
            <w:pStyle w:val="Contents6"/>
            <w:tabs>
              <w:tab w:val="clear" w:pos="7609"/>
              <w:tab w:val="right" w:pos="9026" w:leader="dot"/>
            </w:tabs>
            <w:rPr/>
          </w:pPr>
          <w:hyperlink w:anchor="__RefHeading___Toc3734858_1280447820">
            <w:r>
              <w:rPr>
                <w:webHidden/>
                <w:rStyle w:val="IndexLink"/>
                <w:rtl w:val="true"/>
              </w:rPr>
              <w:t>الإيراد الثالث</w:t>
            </w:r>
            <w:r>
              <w:rPr>
                <w:rStyle w:val="IndexLink"/>
                <w:rtl w:val="true"/>
              </w:rPr>
              <w:tab/>
            </w:r>
            <w:r>
              <w:rPr>
                <w:rStyle w:val="IndexLink"/>
              </w:rPr>
              <w:t>298</w:t>
            </w:r>
          </w:hyperlink>
        </w:p>
        <w:p>
          <w:pPr>
            <w:pStyle w:val="Contents6"/>
            <w:tabs>
              <w:tab w:val="clear" w:pos="7609"/>
              <w:tab w:val="right" w:pos="9026" w:leader="dot"/>
            </w:tabs>
            <w:rPr/>
          </w:pPr>
          <w:hyperlink w:anchor="__RefHeading___Toc3734860_1280447820">
            <w:r>
              <w:rPr>
                <w:webHidden/>
                <w:rStyle w:val="IndexLink"/>
                <w:rtl w:val="true"/>
              </w:rPr>
              <w:t>الجواب عن الإيراد الأوّل</w:t>
            </w:r>
            <w:r>
              <w:rPr>
                <w:rStyle w:val="IndexLink"/>
                <w:rtl w:val="true"/>
              </w:rPr>
              <w:tab/>
            </w:r>
            <w:r>
              <w:rPr>
                <w:rStyle w:val="IndexLink"/>
              </w:rPr>
              <w:t>299</w:t>
            </w:r>
          </w:hyperlink>
        </w:p>
        <w:p>
          <w:pPr>
            <w:pStyle w:val="Contents6"/>
            <w:tabs>
              <w:tab w:val="clear" w:pos="7609"/>
              <w:tab w:val="right" w:pos="9026" w:leader="dot"/>
            </w:tabs>
            <w:rPr/>
          </w:pPr>
          <w:hyperlink w:anchor="__RefHeading___Toc3734862_1280447820">
            <w:r>
              <w:rPr>
                <w:webHidden/>
                <w:rStyle w:val="IndexLink"/>
                <w:rtl w:val="true"/>
              </w:rPr>
              <w:t>الجواب عن الإيراد الثاني</w:t>
            </w:r>
            <w:r>
              <w:rPr>
                <w:rStyle w:val="IndexLink"/>
                <w:rtl w:val="true"/>
              </w:rPr>
              <w:tab/>
            </w:r>
            <w:r>
              <w:rPr>
                <w:rStyle w:val="IndexLink"/>
              </w:rPr>
              <w:t>299</w:t>
            </w:r>
          </w:hyperlink>
        </w:p>
        <w:p>
          <w:pPr>
            <w:pStyle w:val="Contents6"/>
            <w:tabs>
              <w:tab w:val="clear" w:pos="7609"/>
              <w:tab w:val="right" w:pos="9026" w:leader="dot"/>
            </w:tabs>
            <w:rPr/>
          </w:pPr>
          <w:hyperlink w:anchor="__RefHeading___Toc3734864_1280447820">
            <w:r>
              <w:rPr>
                <w:webHidden/>
                <w:rStyle w:val="IndexLink"/>
                <w:rtl w:val="true"/>
              </w:rPr>
              <w:t>الجواب عن الإيراد الثالث</w:t>
            </w:r>
            <w:r>
              <w:rPr>
                <w:rStyle w:val="IndexLink"/>
                <w:rtl w:val="true"/>
              </w:rPr>
              <w:tab/>
            </w:r>
            <w:r>
              <w:rPr>
                <w:rStyle w:val="IndexLink"/>
              </w:rPr>
              <w:t>300</w:t>
            </w:r>
          </w:hyperlink>
        </w:p>
        <w:p>
          <w:pPr>
            <w:pStyle w:val="Contents5"/>
            <w:tabs>
              <w:tab w:val="clear" w:pos="7892"/>
              <w:tab w:val="right" w:pos="9026" w:leader="dot"/>
            </w:tabs>
            <w:rPr/>
          </w:pPr>
          <w:hyperlink w:anchor="__RefHeading___Toc3734866_1280447820">
            <w:r>
              <w:rPr>
                <w:webHidden/>
                <w:rStyle w:val="IndexLink"/>
                <w:rtl w:val="true"/>
              </w:rPr>
              <w:t>فيما يتوجّه على الوجهين</w:t>
            </w:r>
            <w:r>
              <w:rPr>
                <w:rStyle w:val="IndexLink"/>
                <w:rtl w:val="true"/>
              </w:rPr>
              <w:tab/>
            </w:r>
            <w:r>
              <w:rPr>
                <w:rStyle w:val="IndexLink"/>
              </w:rPr>
              <w:t>300</w:t>
            </w:r>
          </w:hyperlink>
        </w:p>
        <w:p>
          <w:pPr>
            <w:pStyle w:val="Contents5"/>
            <w:tabs>
              <w:tab w:val="clear" w:pos="7892"/>
              <w:tab w:val="right" w:pos="9026" w:leader="dot"/>
            </w:tabs>
            <w:rPr/>
          </w:pPr>
          <w:hyperlink w:anchor="__RefHeading___Toc3734868_1280447820">
            <w:r>
              <w:rPr>
                <w:webHidden/>
                <w:rStyle w:val="IndexLink"/>
                <w:rtl w:val="true"/>
              </w:rPr>
              <w:t>الجواب عمّا يتوجّه على الوجهين</w:t>
            </w:r>
            <w:r>
              <w:rPr>
                <w:rStyle w:val="IndexLink"/>
                <w:rtl w:val="true"/>
              </w:rPr>
              <w:tab/>
            </w:r>
            <w:r>
              <w:rPr>
                <w:rStyle w:val="IndexLink"/>
              </w:rPr>
              <w:t>301</w:t>
            </w:r>
          </w:hyperlink>
        </w:p>
        <w:p>
          <w:pPr>
            <w:pStyle w:val="Contents5"/>
            <w:tabs>
              <w:tab w:val="clear" w:pos="7892"/>
              <w:tab w:val="right" w:pos="9026" w:leader="dot"/>
            </w:tabs>
            <w:rPr/>
          </w:pPr>
          <w:hyperlink w:anchor="__RefHeading___Toc3734870_1280447820">
            <w:r>
              <w:rPr>
                <w:webHidden/>
                <w:rStyle w:val="IndexLink"/>
                <w:rtl w:val="true"/>
              </w:rPr>
              <w:t>التخلّص عن ذلك بوجوه</w:t>
            </w:r>
            <w:r>
              <w:rPr>
                <w:rStyle w:val="IndexLink"/>
                <w:rtl w:val="true"/>
              </w:rPr>
              <w:tab/>
            </w:r>
            <w:r>
              <w:rPr>
                <w:rStyle w:val="IndexLink"/>
              </w:rPr>
              <w:t>304</w:t>
            </w:r>
          </w:hyperlink>
        </w:p>
        <w:p>
          <w:pPr>
            <w:pStyle w:val="Contents6"/>
            <w:tabs>
              <w:tab w:val="clear" w:pos="7609"/>
              <w:tab w:val="right" w:pos="9026" w:leader="dot"/>
            </w:tabs>
            <w:rPr/>
          </w:pPr>
          <w:hyperlink w:anchor="__RefHeading___Toc3734872_1280447820">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3734874_1280447820">
            <w:r>
              <w:rPr>
                <w:webHidden/>
                <w:rStyle w:val="IndexLink"/>
                <w:rtl w:val="true"/>
              </w:rPr>
              <w:t>الوجه الأوّل</w:t>
            </w:r>
            <w:r>
              <w:rPr>
                <w:rStyle w:val="IndexLink"/>
                <w:rtl w:val="true"/>
              </w:rPr>
              <w:tab/>
            </w:r>
            <w:r>
              <w:rPr>
                <w:rStyle w:val="IndexLink"/>
              </w:rPr>
              <w:t>304</w:t>
            </w:r>
          </w:hyperlink>
        </w:p>
        <w:p>
          <w:pPr>
            <w:pStyle w:val="Contents6"/>
            <w:tabs>
              <w:tab w:val="clear" w:pos="7609"/>
              <w:tab w:val="right" w:pos="9026" w:leader="dot"/>
            </w:tabs>
            <w:rPr/>
          </w:pPr>
          <w:hyperlink w:anchor="__RefHeading___Toc3734876_1280447820">
            <w:r>
              <w:rPr>
                <w:webHidden/>
                <w:rStyle w:val="IndexLink"/>
                <w:rtl w:val="true"/>
              </w:rPr>
              <w:t>الوجه الثاني</w:t>
            </w:r>
            <w:r>
              <w:rPr>
                <w:rStyle w:val="IndexLink"/>
                <w:rtl w:val="true"/>
              </w:rPr>
              <w:tab/>
            </w:r>
            <w:r>
              <w:rPr>
                <w:rStyle w:val="IndexLink"/>
              </w:rPr>
              <w:t>305</w:t>
            </w:r>
          </w:hyperlink>
        </w:p>
        <w:p>
          <w:pPr>
            <w:pStyle w:val="Contents6"/>
            <w:tabs>
              <w:tab w:val="clear" w:pos="7609"/>
              <w:tab w:val="right" w:pos="9026" w:leader="dot"/>
            </w:tabs>
            <w:rPr/>
          </w:pPr>
          <w:hyperlink w:anchor="__RefHeading___Toc3734878_1280447820">
            <w:r>
              <w:rPr>
                <w:webHidden/>
                <w:rStyle w:val="IndexLink"/>
                <w:rtl w:val="true"/>
              </w:rPr>
              <w:t>الوجه الثالث</w:t>
            </w:r>
            <w:r>
              <w:rPr>
                <w:rStyle w:val="IndexLink"/>
                <w:rtl w:val="true"/>
              </w:rPr>
              <w:tab/>
            </w:r>
            <w:r>
              <w:rPr>
                <w:rStyle w:val="IndexLink"/>
              </w:rPr>
              <w:t>305</w:t>
            </w:r>
          </w:hyperlink>
        </w:p>
        <w:p>
          <w:pPr>
            <w:pStyle w:val="Contents5"/>
            <w:tabs>
              <w:tab w:val="clear" w:pos="7892"/>
              <w:tab w:val="right" w:pos="9026" w:leader="dot"/>
            </w:tabs>
            <w:rPr/>
          </w:pPr>
          <w:hyperlink w:anchor="__RefHeading___Toc3734880_1280447820">
            <w:r>
              <w:rPr>
                <w:webHidden/>
                <w:rStyle w:val="IndexLink"/>
                <w:rtl w:val="true"/>
              </w:rPr>
              <w:t>إيراد آخر في المقام</w:t>
            </w:r>
            <w:r>
              <w:rPr>
                <w:rStyle w:val="IndexLink"/>
                <w:rtl w:val="true"/>
              </w:rPr>
              <w:tab/>
            </w:r>
            <w:r>
              <w:rPr>
                <w:rStyle w:val="IndexLink"/>
              </w:rPr>
              <w:t>308</w:t>
            </w:r>
          </w:hyperlink>
        </w:p>
        <w:p>
          <w:pPr>
            <w:pStyle w:val="Contents5"/>
            <w:tabs>
              <w:tab w:val="clear" w:pos="7892"/>
              <w:tab w:val="right" w:pos="9026" w:leader="dot"/>
            </w:tabs>
            <w:rPr/>
          </w:pPr>
          <w:hyperlink w:anchor="__RefHeading___Toc3734882_1280447820">
            <w:r>
              <w:rPr>
                <w:webHidden/>
                <w:rStyle w:val="IndexLink"/>
                <w:rtl w:val="true"/>
              </w:rPr>
              <w:t>الجواب عن الإيراد</w:t>
            </w:r>
            <w:r>
              <w:rPr>
                <w:rStyle w:val="IndexLink"/>
                <w:rtl w:val="true"/>
              </w:rPr>
              <w:tab/>
            </w:r>
            <w:r>
              <w:rPr>
                <w:rStyle w:val="IndexLink"/>
              </w:rPr>
              <w:t>309</w:t>
            </w:r>
          </w:hyperlink>
        </w:p>
        <w:p>
          <w:pPr>
            <w:pStyle w:val="Contents5"/>
            <w:tabs>
              <w:tab w:val="clear" w:pos="7892"/>
              <w:tab w:val="right" w:pos="9026" w:leader="dot"/>
            </w:tabs>
            <w:rPr/>
          </w:pPr>
          <w:hyperlink w:anchor="__RefHeading___Toc3734884_1280447820">
            <w:r>
              <w:rPr>
                <w:webHidden/>
                <w:rStyle w:val="IndexLink"/>
                <w:rtl w:val="true"/>
              </w:rPr>
              <w:t>تذييل فيه تكميل</w:t>
            </w:r>
            <w:r>
              <w:rPr>
                <w:rStyle w:val="IndexLink"/>
                <w:rtl w:val="true"/>
              </w:rPr>
              <w:tab/>
            </w:r>
            <w:r>
              <w:rPr>
                <w:rStyle w:val="IndexLink"/>
              </w:rPr>
              <w:t>310</w:t>
            </w:r>
          </w:hyperlink>
        </w:p>
        <w:p>
          <w:pPr>
            <w:pStyle w:val="Contents6"/>
            <w:tabs>
              <w:tab w:val="clear" w:pos="7609"/>
              <w:tab w:val="right" w:pos="9026" w:leader="dot"/>
            </w:tabs>
            <w:rPr/>
          </w:pPr>
          <w:hyperlink w:anchor="__RefHeading___Toc3734886_1280447820">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3734888_1280447820">
            <w:r>
              <w:rPr>
                <w:webHidden/>
                <w:rStyle w:val="IndexLink"/>
                <w:rtl w:val="true"/>
              </w:rPr>
              <w:t>المطلب الأوّل</w:t>
            </w:r>
            <w:r>
              <w:rPr>
                <w:rStyle w:val="IndexLink"/>
                <w:rtl w:val="true"/>
              </w:rPr>
              <w:t xml:space="preserve">: </w:t>
            </w:r>
            <w:r>
              <w:rPr>
                <w:rStyle w:val="IndexLink"/>
                <w:rtl w:val="true"/>
              </w:rPr>
              <w:t>لكلّ من لفظ العبادات والمعاملات إطلاقان</w:t>
            </w:r>
            <w:r>
              <w:rPr>
                <w:rStyle w:val="IndexLink"/>
                <w:rtl w:val="true"/>
              </w:rPr>
              <w:tab/>
            </w:r>
            <w:r>
              <w:rPr>
                <w:rStyle w:val="IndexLink"/>
              </w:rPr>
              <w:t>310</w:t>
            </w:r>
          </w:hyperlink>
        </w:p>
        <w:p>
          <w:pPr>
            <w:pStyle w:val="Contents6"/>
            <w:tabs>
              <w:tab w:val="clear" w:pos="7609"/>
              <w:tab w:val="right" w:pos="9026" w:leader="dot"/>
            </w:tabs>
            <w:rPr/>
          </w:pPr>
          <w:hyperlink w:anchor="__RefHeading___Toc3734890_1280447820">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3734892_1280447820">
            <w:r>
              <w:rPr>
                <w:webHidden/>
                <w:rStyle w:val="IndexLink"/>
                <w:rtl w:val="true"/>
              </w:rPr>
              <w:t>في تفسير الصحّة والفساد</w:t>
            </w:r>
            <w:r>
              <w:rPr>
                <w:rStyle w:val="IndexLink"/>
                <w:rtl w:val="true"/>
              </w:rPr>
              <w:tab/>
            </w:r>
            <w:r>
              <w:rPr>
                <w:rStyle w:val="IndexLink"/>
              </w:rPr>
              <w:t>312</w:t>
            </w:r>
          </w:hyperlink>
        </w:p>
        <w:p>
          <w:pPr>
            <w:pStyle w:val="Contents6"/>
            <w:tabs>
              <w:tab w:val="clear" w:pos="7609"/>
              <w:tab w:val="right" w:pos="9026" w:leader="dot"/>
            </w:tabs>
            <w:rPr/>
          </w:pPr>
          <w:hyperlink w:anchor="__RefHeading___Toc3734894_1280447820">
            <w:r>
              <w:rPr>
                <w:webHidden/>
                <w:rStyle w:val="IndexLink"/>
                <w:rtl w:val="true"/>
              </w:rPr>
              <w:t>كلامٌ في عدّ الصحّة والفساد من الأحكام التوقيفيّة</w:t>
            </w:r>
            <w:r>
              <w:rPr>
                <w:rStyle w:val="IndexLink"/>
                <w:rtl w:val="true"/>
              </w:rPr>
              <w:tab/>
            </w:r>
            <w:r>
              <w:rPr>
                <w:rStyle w:val="IndexLink"/>
              </w:rPr>
              <w:t>316</w:t>
            </w:r>
          </w:hyperlink>
        </w:p>
        <w:p>
          <w:pPr>
            <w:pStyle w:val="Contents6"/>
            <w:tabs>
              <w:tab w:val="clear" w:pos="7609"/>
              <w:tab w:val="right" w:pos="9026" w:leader="dot"/>
            </w:tabs>
            <w:rPr/>
          </w:pPr>
          <w:hyperlink w:anchor="__RefHeading___Toc3734896_1280447820">
            <w:r>
              <w:rPr>
                <w:webHidden/>
                <w:rStyle w:val="IndexLink"/>
                <w:rtl w:val="true"/>
              </w:rPr>
              <w:t>تنبيه</w:t>
            </w:r>
            <w:r>
              <w:rPr>
                <w:rStyle w:val="IndexLink"/>
                <w:rtl w:val="true"/>
              </w:rPr>
              <w:tab/>
            </w:r>
            <w:r>
              <w:rPr>
                <w:rStyle w:val="IndexLink"/>
              </w:rPr>
              <w:t>316</w:t>
            </w:r>
          </w:hyperlink>
        </w:p>
        <w:p>
          <w:pPr>
            <w:pStyle w:val="Contents6"/>
            <w:tabs>
              <w:tab w:val="clear" w:pos="7609"/>
              <w:tab w:val="right" w:pos="9026" w:leader="dot"/>
            </w:tabs>
            <w:rPr/>
          </w:pPr>
          <w:hyperlink w:anchor="__RefHeading___Toc3734898_1280447820">
            <w:r>
              <w:rPr>
                <w:webHidden/>
                <w:rStyle w:val="IndexLink"/>
                <w:rtl w:val="true"/>
              </w:rPr>
              <w:t>والمطلب الثاني</w:t>
            </w:r>
            <w:r>
              <w:rPr>
                <w:rStyle w:val="IndexLink"/>
                <w:rtl w:val="true"/>
              </w:rPr>
              <w:tab/>
            </w:r>
            <w:r>
              <w:rPr>
                <w:rStyle w:val="IndexLink"/>
              </w:rPr>
              <w:t>316</w:t>
            </w:r>
          </w:hyperlink>
        </w:p>
        <w:p>
          <w:pPr>
            <w:pStyle w:val="Contents6"/>
            <w:tabs>
              <w:tab w:val="clear" w:pos="7609"/>
              <w:tab w:val="right" w:pos="9026" w:leader="dot"/>
            </w:tabs>
            <w:rPr/>
          </w:pPr>
          <w:hyperlink w:anchor="__RefHeading___Toc3734900_1280447820">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3734902_1280447820">
            <w:r>
              <w:rPr>
                <w:webHidden/>
                <w:rStyle w:val="IndexLink"/>
                <w:rtl w:val="true"/>
              </w:rPr>
              <w:t>في أنّ ألفاظ العبادات أسامٍ للصحيحة أو الأعمّ</w:t>
            </w:r>
            <w:r>
              <w:rPr>
                <w:rStyle w:val="IndexLink"/>
                <w:rtl w:val="true"/>
              </w:rPr>
              <w:tab/>
            </w:r>
            <w:r>
              <w:rPr>
                <w:rStyle w:val="IndexLink"/>
              </w:rPr>
              <w:t>318</w:t>
            </w:r>
          </w:hyperlink>
        </w:p>
        <w:p>
          <w:pPr>
            <w:pStyle w:val="Contents6"/>
            <w:tabs>
              <w:tab w:val="clear" w:pos="7609"/>
              <w:tab w:val="right" w:pos="9026" w:leader="dot"/>
            </w:tabs>
            <w:rPr/>
          </w:pPr>
          <w:hyperlink w:anchor="__RefHeading___Toc3734904_1280447820">
            <w:r>
              <w:rPr>
                <w:webHidden/>
                <w:rStyle w:val="IndexLink"/>
                <w:rtl w:val="true"/>
              </w:rPr>
              <w:t>في دفع الشروط المشكوكة بالأصل على القول بالأعمّ دون الصحيح</w:t>
            </w:r>
            <w:r>
              <w:rPr>
                <w:rStyle w:val="IndexLink"/>
                <w:rtl w:val="true"/>
              </w:rPr>
              <w:tab/>
            </w:r>
            <w:r>
              <w:rPr>
                <w:rStyle w:val="IndexLink"/>
              </w:rPr>
              <w:t>320</w:t>
            </w:r>
          </w:hyperlink>
        </w:p>
        <w:p>
          <w:pPr>
            <w:pStyle w:val="Contents6"/>
            <w:tabs>
              <w:tab w:val="clear" w:pos="7609"/>
              <w:tab w:val="right" w:pos="9026" w:leader="dot"/>
            </w:tabs>
            <w:rPr/>
          </w:pPr>
          <w:hyperlink w:anchor="__RefHeading___Toc3734906_1280447820">
            <w:r>
              <w:rPr>
                <w:webHidden/>
                <w:rStyle w:val="IndexLink"/>
                <w:rtl w:val="true"/>
              </w:rPr>
              <w:t>في دفع الأجزاء المشكوكة بالأصل على القول بالأعمّ وأنّ انتفاء أيّ جزء لا يوجب انتفاء الكلّ في العرف</w:t>
            </w:r>
            <w:r>
              <w:rPr>
                <w:rStyle w:val="IndexLink"/>
                <w:rtl w:val="true"/>
              </w:rPr>
              <w:tab/>
            </w:r>
            <w:r>
              <w:rPr>
                <w:rStyle w:val="IndexLink"/>
              </w:rPr>
              <w:t>322</w:t>
            </w:r>
          </w:hyperlink>
        </w:p>
        <w:p>
          <w:pPr>
            <w:pStyle w:val="Contents6"/>
            <w:tabs>
              <w:tab w:val="clear" w:pos="7609"/>
              <w:tab w:val="right" w:pos="9026" w:leader="dot"/>
            </w:tabs>
            <w:rPr/>
          </w:pPr>
          <w:hyperlink w:anchor="__RefHeading___Toc3734908_1280447820">
            <w:r>
              <w:rPr>
                <w:webHidden/>
                <w:rStyle w:val="IndexLink"/>
                <w:rtl w:val="true"/>
              </w:rPr>
              <w:t>ذكر مقال لدفع سؤال</w:t>
            </w:r>
            <w:r>
              <w:rPr>
                <w:rStyle w:val="IndexLink"/>
                <w:rtl w:val="true"/>
              </w:rPr>
              <w:tab/>
            </w:r>
            <w:r>
              <w:rPr>
                <w:rStyle w:val="IndexLink"/>
              </w:rPr>
              <w:t>324</w:t>
            </w:r>
          </w:hyperlink>
        </w:p>
        <w:p>
          <w:pPr>
            <w:pStyle w:val="Contents6"/>
            <w:tabs>
              <w:tab w:val="clear" w:pos="7609"/>
              <w:tab w:val="right" w:pos="9026" w:leader="dot"/>
            </w:tabs>
            <w:rPr/>
          </w:pPr>
          <w:hyperlink w:anchor="__RefHeading___Toc3734910_1280447820">
            <w:r>
              <w:rPr>
                <w:webHidden/>
                <w:rStyle w:val="IndexLink"/>
                <w:rtl w:val="true"/>
              </w:rPr>
              <w:t>في دفع الأمور المشكوكة بالأصل على القول بالصحيح أيضًا</w:t>
            </w:r>
            <w:r>
              <w:rPr>
                <w:rStyle w:val="IndexLink"/>
                <w:rtl w:val="true"/>
              </w:rPr>
              <w:tab/>
            </w:r>
            <w:r>
              <w:rPr>
                <w:rStyle w:val="IndexLink"/>
              </w:rPr>
              <w:t>325</w:t>
            </w:r>
          </w:hyperlink>
        </w:p>
        <w:p>
          <w:pPr>
            <w:pStyle w:val="Contents6"/>
            <w:tabs>
              <w:tab w:val="clear" w:pos="7609"/>
              <w:tab w:val="right" w:pos="9026" w:leader="dot"/>
            </w:tabs>
            <w:rPr/>
          </w:pPr>
          <w:hyperlink w:anchor="__RefHeading___Toc3734912_1280447820">
            <w:r>
              <w:rPr>
                <w:webHidden/>
                <w:rStyle w:val="IndexLink"/>
                <w:rtl w:val="true"/>
              </w:rPr>
              <w:t>في الثمرة بين القول بالصحيح والأعمّ</w:t>
            </w:r>
            <w:r>
              <w:rPr>
                <w:rStyle w:val="IndexLink"/>
                <w:rtl w:val="true"/>
              </w:rPr>
              <w:tab/>
            </w:r>
            <w:r>
              <w:rPr>
                <w:rStyle w:val="IndexLink"/>
              </w:rPr>
              <w:t>328</w:t>
            </w:r>
          </w:hyperlink>
        </w:p>
        <w:p>
          <w:pPr>
            <w:pStyle w:val="Contents6"/>
            <w:tabs>
              <w:tab w:val="clear" w:pos="7609"/>
              <w:tab w:val="right" w:pos="9026" w:leader="dot"/>
            </w:tabs>
            <w:rPr/>
          </w:pPr>
          <w:hyperlink w:anchor="__RefHeading___Toc3734914_1280447820">
            <w:r>
              <w:rPr>
                <w:webHidden/>
                <w:rStyle w:val="IndexLink"/>
                <w:rtl w:val="true"/>
              </w:rPr>
              <w:t>إيراد مقال لإبراز مختار</w:t>
            </w:r>
            <w:r>
              <w:rPr>
                <w:rStyle w:val="IndexLink"/>
                <w:rtl w:val="true"/>
              </w:rPr>
              <w:tab/>
            </w:r>
            <w:r>
              <w:rPr>
                <w:rStyle w:val="IndexLink"/>
              </w:rPr>
              <w:t>329</w:t>
            </w:r>
          </w:hyperlink>
        </w:p>
        <w:p>
          <w:pPr>
            <w:pStyle w:val="Contents5"/>
            <w:tabs>
              <w:tab w:val="clear" w:pos="7892"/>
              <w:tab w:val="right" w:pos="9026" w:leader="dot"/>
            </w:tabs>
            <w:rPr/>
          </w:pPr>
          <w:hyperlink w:anchor="__RefHeading___Toc3734916_1280447820">
            <w:r>
              <w:rPr>
                <w:webHidden/>
                <w:rStyle w:val="IndexLink"/>
                <w:rtl w:val="true"/>
              </w:rPr>
              <w:t>في أدلّة القول بالصحيح</w:t>
            </w:r>
            <w:r>
              <w:rPr>
                <w:rStyle w:val="IndexLink"/>
                <w:rtl w:val="true"/>
              </w:rPr>
              <w:tab/>
            </w:r>
            <w:r>
              <w:rPr>
                <w:rStyle w:val="IndexLink"/>
              </w:rPr>
              <w:t>329</w:t>
            </w:r>
          </w:hyperlink>
        </w:p>
        <w:p>
          <w:pPr>
            <w:pStyle w:val="Contents6"/>
            <w:tabs>
              <w:tab w:val="clear" w:pos="7609"/>
              <w:tab w:val="right" w:pos="9026" w:leader="dot"/>
            </w:tabs>
            <w:rPr/>
          </w:pPr>
          <w:hyperlink w:anchor="__RefHeading___Toc3734918_1280447820">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3734920_1280447820">
            <w:r>
              <w:rPr>
                <w:webHidden/>
                <w:rStyle w:val="IndexLink"/>
                <w:rtl w:val="true"/>
              </w:rPr>
              <w:t>الدليل الأوّل</w:t>
            </w:r>
            <w:r>
              <w:rPr>
                <w:rStyle w:val="IndexLink"/>
                <w:rtl w:val="true"/>
              </w:rPr>
              <w:tab/>
            </w:r>
            <w:r>
              <w:rPr>
                <w:rStyle w:val="IndexLink"/>
              </w:rPr>
              <w:t>329</w:t>
            </w:r>
          </w:hyperlink>
        </w:p>
        <w:p>
          <w:pPr>
            <w:pStyle w:val="Contents6"/>
            <w:tabs>
              <w:tab w:val="clear" w:pos="7609"/>
              <w:tab w:val="right" w:pos="9026" w:leader="dot"/>
            </w:tabs>
            <w:rPr/>
          </w:pPr>
          <w:hyperlink w:anchor="__RefHeading___Toc3734922_1280447820">
            <w:r>
              <w:rPr>
                <w:webHidden/>
                <w:rStyle w:val="IndexLink"/>
                <w:rtl w:val="true"/>
              </w:rPr>
              <w:t>الدليل الثاني</w:t>
            </w:r>
            <w:r>
              <w:rPr>
                <w:rStyle w:val="IndexLink"/>
                <w:rtl w:val="true"/>
              </w:rPr>
              <w:tab/>
            </w:r>
            <w:r>
              <w:rPr>
                <w:rStyle w:val="IndexLink"/>
              </w:rPr>
              <w:t>332</w:t>
            </w:r>
          </w:hyperlink>
        </w:p>
        <w:p>
          <w:pPr>
            <w:pStyle w:val="Contents6"/>
            <w:tabs>
              <w:tab w:val="clear" w:pos="7609"/>
              <w:tab w:val="right" w:pos="9026" w:leader="dot"/>
            </w:tabs>
            <w:rPr/>
          </w:pPr>
          <w:hyperlink w:anchor="__RefHeading___Toc3734924_1280447820">
            <w:r>
              <w:rPr>
                <w:webHidden/>
                <w:rStyle w:val="IndexLink"/>
                <w:rtl w:val="true"/>
              </w:rPr>
              <w:t>الدليل الثالث</w:t>
            </w:r>
            <w:r>
              <w:rPr>
                <w:rStyle w:val="IndexLink"/>
                <w:rtl w:val="true"/>
              </w:rPr>
              <w:tab/>
            </w:r>
            <w:r>
              <w:rPr>
                <w:rStyle w:val="IndexLink"/>
              </w:rPr>
              <w:t>336</w:t>
            </w:r>
          </w:hyperlink>
        </w:p>
        <w:p>
          <w:pPr>
            <w:pStyle w:val="Contents5"/>
            <w:tabs>
              <w:tab w:val="clear" w:pos="7892"/>
              <w:tab w:val="right" w:pos="9026" w:leader="dot"/>
            </w:tabs>
            <w:rPr/>
          </w:pPr>
          <w:hyperlink w:anchor="__RefHeading___Toc3734926_1280447820">
            <w:r>
              <w:rPr>
                <w:webHidden/>
                <w:rStyle w:val="IndexLink"/>
                <w:rtl w:val="true"/>
              </w:rPr>
              <w:t>في النصوص الدالّة على صحّة السلب عن العاري عن بعض الشرائط والأجزاء</w:t>
            </w:r>
            <w:r>
              <w:rPr>
                <w:rStyle w:val="IndexLink"/>
                <w:rtl w:val="true"/>
              </w:rPr>
              <w:tab/>
            </w:r>
            <w:r>
              <w:rPr>
                <w:rStyle w:val="IndexLink"/>
              </w:rPr>
              <w:t>336</w:t>
            </w:r>
          </w:hyperlink>
        </w:p>
        <w:p>
          <w:pPr>
            <w:pStyle w:val="Contents5"/>
            <w:tabs>
              <w:tab w:val="clear" w:pos="7892"/>
              <w:tab w:val="right" w:pos="9026" w:leader="dot"/>
            </w:tabs>
            <w:rPr/>
          </w:pPr>
          <w:hyperlink w:anchor="__RefHeading___Toc3734928_1280447820">
            <w:r>
              <w:rPr>
                <w:webHidden/>
                <w:rStyle w:val="IndexLink"/>
                <w:rtl w:val="true"/>
              </w:rPr>
              <w:t>إيرادات وتفصّيات</w:t>
            </w:r>
            <w:r>
              <w:rPr>
                <w:rStyle w:val="IndexLink"/>
                <w:rtl w:val="true"/>
              </w:rPr>
              <w:tab/>
            </w:r>
            <w:r>
              <w:rPr>
                <w:rStyle w:val="IndexLink"/>
              </w:rPr>
              <w:t>340</w:t>
            </w:r>
          </w:hyperlink>
        </w:p>
        <w:p>
          <w:pPr>
            <w:pStyle w:val="Contents6"/>
            <w:tabs>
              <w:tab w:val="clear" w:pos="7609"/>
              <w:tab w:val="right" w:pos="9026" w:leader="dot"/>
            </w:tabs>
            <w:rPr/>
          </w:pPr>
          <w:hyperlink w:anchor="__RefHeading___Toc3734930_1280447820">
            <w:r>
              <w:rPr>
                <w:webHidden/>
                <w:rStyle w:val="IndexLink"/>
                <w:rtl w:val="true"/>
              </w:rPr>
              <w:t>اشارة</w:t>
            </w:r>
            <w:r>
              <w:rPr>
                <w:rStyle w:val="IndexLink"/>
                <w:rtl w:val="true"/>
              </w:rPr>
              <w:tab/>
            </w:r>
            <w:r>
              <w:rPr>
                <w:rStyle w:val="IndexLink"/>
              </w:rPr>
              <w:t>340</w:t>
            </w:r>
          </w:hyperlink>
        </w:p>
        <w:p>
          <w:pPr>
            <w:pStyle w:val="Contents6"/>
            <w:tabs>
              <w:tab w:val="clear" w:pos="7609"/>
              <w:tab w:val="right" w:pos="9026" w:leader="dot"/>
            </w:tabs>
            <w:rPr/>
          </w:pPr>
          <w:hyperlink w:anchor="__RefHeading___Toc3734932_1280447820">
            <w:r>
              <w:rPr>
                <w:webHidden/>
                <w:rStyle w:val="IndexLink"/>
                <w:rtl w:val="true"/>
              </w:rPr>
              <w:t>الإيراد الأوّل</w:t>
            </w:r>
            <w:r>
              <w:rPr>
                <w:rStyle w:val="IndexLink"/>
                <w:rtl w:val="true"/>
              </w:rPr>
              <w:tab/>
            </w:r>
            <w:r>
              <w:rPr>
                <w:rStyle w:val="IndexLink"/>
              </w:rPr>
              <w:t>340</w:t>
            </w:r>
          </w:hyperlink>
        </w:p>
        <w:p>
          <w:pPr>
            <w:pStyle w:val="Contents6"/>
            <w:tabs>
              <w:tab w:val="clear" w:pos="7609"/>
              <w:tab w:val="right" w:pos="9026" w:leader="dot"/>
            </w:tabs>
            <w:rPr/>
          </w:pPr>
          <w:hyperlink w:anchor="__RefHeading___Toc3734934_1280447820">
            <w:r>
              <w:rPr>
                <w:webHidden/>
                <w:rStyle w:val="IndexLink"/>
                <w:rtl w:val="true"/>
              </w:rPr>
              <w:t>الإيراد الثاني</w:t>
            </w:r>
            <w:r>
              <w:rPr>
                <w:rStyle w:val="IndexLink"/>
                <w:rtl w:val="true"/>
              </w:rPr>
              <w:tab/>
            </w:r>
            <w:r>
              <w:rPr>
                <w:rStyle w:val="IndexLink"/>
              </w:rPr>
              <w:t>340</w:t>
            </w:r>
          </w:hyperlink>
        </w:p>
        <w:p>
          <w:pPr>
            <w:pStyle w:val="Contents6"/>
            <w:tabs>
              <w:tab w:val="clear" w:pos="7609"/>
              <w:tab w:val="right" w:pos="9026" w:leader="dot"/>
            </w:tabs>
            <w:rPr/>
          </w:pPr>
          <w:hyperlink w:anchor="__RefHeading___Toc3734936_1280447820">
            <w:r>
              <w:rPr>
                <w:webHidden/>
                <w:rStyle w:val="IndexLink"/>
                <w:rtl w:val="true"/>
              </w:rPr>
              <w:t>الإيراد الثالث</w:t>
            </w:r>
            <w:r>
              <w:rPr>
                <w:rStyle w:val="IndexLink"/>
                <w:rtl w:val="true"/>
              </w:rPr>
              <w:tab/>
            </w:r>
            <w:r>
              <w:rPr>
                <w:rStyle w:val="IndexLink"/>
              </w:rPr>
              <w:t>341</w:t>
            </w:r>
          </w:hyperlink>
        </w:p>
        <w:p>
          <w:pPr>
            <w:pStyle w:val="Contents6"/>
            <w:tabs>
              <w:tab w:val="clear" w:pos="7609"/>
              <w:tab w:val="right" w:pos="9026" w:leader="dot"/>
            </w:tabs>
            <w:rPr/>
          </w:pPr>
          <w:hyperlink w:anchor="__RefHeading___Toc3734938_1280447820">
            <w:r>
              <w:rPr>
                <w:webHidden/>
                <w:rStyle w:val="IndexLink"/>
                <w:rtl w:val="true"/>
              </w:rPr>
              <w:t>الإيراد الرابع</w:t>
            </w:r>
            <w:r>
              <w:rPr>
                <w:rStyle w:val="IndexLink"/>
                <w:rtl w:val="true"/>
              </w:rPr>
              <w:tab/>
            </w:r>
            <w:r>
              <w:rPr>
                <w:rStyle w:val="IndexLink"/>
              </w:rPr>
              <w:t>341</w:t>
            </w:r>
          </w:hyperlink>
        </w:p>
        <w:p>
          <w:pPr>
            <w:pStyle w:val="Contents6"/>
            <w:tabs>
              <w:tab w:val="clear" w:pos="7609"/>
              <w:tab w:val="right" w:pos="9026" w:leader="dot"/>
            </w:tabs>
            <w:rPr/>
          </w:pPr>
          <w:hyperlink w:anchor="__RefHeading___Toc3734940_1280447820">
            <w:r>
              <w:rPr>
                <w:webHidden/>
                <w:rStyle w:val="IndexLink"/>
                <w:rtl w:val="true"/>
              </w:rPr>
              <w:t>الجواب عن الإيراد الأوّل</w:t>
            </w:r>
            <w:r>
              <w:rPr>
                <w:rStyle w:val="IndexLink"/>
                <w:rtl w:val="true"/>
              </w:rPr>
              <w:tab/>
            </w:r>
            <w:r>
              <w:rPr>
                <w:rStyle w:val="IndexLink"/>
              </w:rPr>
              <w:t>342</w:t>
            </w:r>
          </w:hyperlink>
        </w:p>
        <w:p>
          <w:pPr>
            <w:pStyle w:val="Contents6"/>
            <w:tabs>
              <w:tab w:val="clear" w:pos="7609"/>
              <w:tab w:val="right" w:pos="9026" w:leader="dot"/>
            </w:tabs>
            <w:rPr/>
          </w:pPr>
          <w:hyperlink w:anchor="__RefHeading___Toc3734942_1280447820">
            <w:r>
              <w:rPr>
                <w:webHidden/>
                <w:rStyle w:val="IndexLink"/>
                <w:rtl w:val="true"/>
              </w:rPr>
              <w:t>الجواب عن الإيراد الثاني</w:t>
            </w:r>
            <w:r>
              <w:rPr>
                <w:rStyle w:val="IndexLink"/>
                <w:rtl w:val="true"/>
              </w:rPr>
              <w:tab/>
            </w:r>
            <w:r>
              <w:rPr>
                <w:rStyle w:val="IndexLink"/>
              </w:rPr>
              <w:t>343</w:t>
            </w:r>
          </w:hyperlink>
        </w:p>
        <w:p>
          <w:pPr>
            <w:pStyle w:val="Contents6"/>
            <w:tabs>
              <w:tab w:val="clear" w:pos="7609"/>
              <w:tab w:val="right" w:pos="9026" w:leader="dot"/>
            </w:tabs>
            <w:rPr/>
          </w:pPr>
          <w:hyperlink w:anchor="__RefHeading___Toc3734944_1280447820">
            <w:r>
              <w:rPr>
                <w:webHidden/>
                <w:rStyle w:val="IndexLink"/>
                <w:rtl w:val="true"/>
              </w:rPr>
              <w:t>الجواب عن الإيراد الثالث</w:t>
            </w:r>
            <w:r>
              <w:rPr>
                <w:rStyle w:val="IndexLink"/>
                <w:rtl w:val="true"/>
              </w:rPr>
              <w:tab/>
            </w:r>
            <w:r>
              <w:rPr>
                <w:rStyle w:val="IndexLink"/>
              </w:rPr>
              <w:t>343</w:t>
            </w:r>
          </w:hyperlink>
        </w:p>
        <w:p>
          <w:pPr>
            <w:pStyle w:val="Contents6"/>
            <w:tabs>
              <w:tab w:val="clear" w:pos="7609"/>
              <w:tab w:val="right" w:pos="9026" w:leader="dot"/>
            </w:tabs>
            <w:rPr/>
          </w:pPr>
          <w:hyperlink w:anchor="__RefHeading___Toc3734946_1280447820">
            <w:r>
              <w:rPr>
                <w:webHidden/>
                <w:rStyle w:val="IndexLink"/>
                <w:rtl w:val="true"/>
              </w:rPr>
              <w:t>الجواب عن الإيراد الرابع</w:t>
            </w:r>
            <w:r>
              <w:rPr>
                <w:rStyle w:val="IndexLink"/>
                <w:rtl w:val="true"/>
              </w:rPr>
              <w:tab/>
            </w:r>
            <w:r>
              <w:rPr>
                <w:rStyle w:val="IndexLink"/>
              </w:rPr>
              <w:t>343</w:t>
            </w:r>
          </w:hyperlink>
        </w:p>
        <w:p>
          <w:pPr>
            <w:pStyle w:val="Contents5"/>
            <w:tabs>
              <w:tab w:val="clear" w:pos="7892"/>
              <w:tab w:val="right" w:pos="9026" w:leader="dot"/>
            </w:tabs>
            <w:rPr/>
          </w:pPr>
          <w:hyperlink w:anchor="__RefHeading___Toc3734948_1280447820">
            <w:r>
              <w:rPr>
                <w:webHidden/>
                <w:rStyle w:val="IndexLink"/>
                <w:rtl w:val="true"/>
              </w:rPr>
              <w:t>نقل الكلمات الواصلة إلينا من علمائنا الدالّة على أنّ الألفاظ عندهم أسامٍ للصحيحة</w:t>
            </w:r>
            <w:r>
              <w:rPr>
                <w:rStyle w:val="IndexLink"/>
                <w:rtl w:val="true"/>
              </w:rPr>
              <w:tab/>
            </w:r>
            <w:r>
              <w:rPr>
                <w:rStyle w:val="IndexLink"/>
              </w:rPr>
              <w:t>344</w:t>
            </w:r>
          </w:hyperlink>
        </w:p>
        <w:p>
          <w:pPr>
            <w:pStyle w:val="Contents5"/>
            <w:tabs>
              <w:tab w:val="clear" w:pos="7892"/>
              <w:tab w:val="right" w:pos="9026" w:leader="dot"/>
            </w:tabs>
            <w:rPr/>
          </w:pPr>
          <w:hyperlink w:anchor="__RefHeading___Toc3734950_1280447820">
            <w:r>
              <w:rPr>
                <w:webHidden/>
                <w:rStyle w:val="IndexLink"/>
                <w:rtl w:val="true"/>
              </w:rPr>
              <w:t>المناقشة في بعض النصوص بوجه آخر</w:t>
            </w:r>
            <w:r>
              <w:rPr>
                <w:rStyle w:val="IndexLink"/>
                <w:rtl w:val="true"/>
              </w:rPr>
              <w:tab/>
            </w:r>
            <w:r>
              <w:rPr>
                <w:rStyle w:val="IndexLink"/>
              </w:rPr>
              <w:t>357</w:t>
            </w:r>
          </w:hyperlink>
        </w:p>
        <w:p>
          <w:pPr>
            <w:pStyle w:val="Contents5"/>
            <w:tabs>
              <w:tab w:val="clear" w:pos="7892"/>
              <w:tab w:val="right" w:pos="9026" w:leader="dot"/>
            </w:tabs>
            <w:rPr/>
          </w:pPr>
          <w:hyperlink w:anchor="__RefHeading___Toc3734952_1280447820">
            <w:r>
              <w:rPr>
                <w:webHidden/>
                <w:rStyle w:val="IndexLink"/>
                <w:rtl w:val="true"/>
              </w:rPr>
              <w:t>في أدلّة القول بالأعمّ</w:t>
            </w:r>
            <w:r>
              <w:rPr>
                <w:rStyle w:val="IndexLink"/>
                <w:rtl w:val="true"/>
              </w:rPr>
              <w:tab/>
            </w:r>
            <w:r>
              <w:rPr>
                <w:rStyle w:val="IndexLink"/>
              </w:rPr>
              <w:t>359</w:t>
            </w:r>
          </w:hyperlink>
        </w:p>
        <w:p>
          <w:pPr>
            <w:pStyle w:val="Contents6"/>
            <w:tabs>
              <w:tab w:val="clear" w:pos="7609"/>
              <w:tab w:val="right" w:pos="9026" w:leader="dot"/>
            </w:tabs>
            <w:rPr/>
          </w:pPr>
          <w:hyperlink w:anchor="__RefHeading___Toc3734954_1280447820">
            <w:r>
              <w:rPr>
                <w:webHidden/>
                <w:rStyle w:val="IndexLink"/>
                <w:rtl w:val="true"/>
              </w:rPr>
              <w:t>اشارة</w:t>
            </w:r>
            <w:r>
              <w:rPr>
                <w:rStyle w:val="IndexLink"/>
                <w:rtl w:val="true"/>
              </w:rPr>
              <w:tab/>
            </w:r>
            <w:r>
              <w:rPr>
                <w:rStyle w:val="IndexLink"/>
              </w:rPr>
              <w:t>359</w:t>
            </w:r>
          </w:hyperlink>
        </w:p>
        <w:p>
          <w:pPr>
            <w:pStyle w:val="Contents6"/>
            <w:tabs>
              <w:tab w:val="clear" w:pos="7609"/>
              <w:tab w:val="right" w:pos="9026" w:leader="dot"/>
            </w:tabs>
            <w:rPr/>
          </w:pPr>
          <w:hyperlink w:anchor="__RefHeading___Toc3734956_1280447820">
            <w:r>
              <w:rPr>
                <w:webHidden/>
                <w:rStyle w:val="IndexLink"/>
                <w:rtl w:val="true"/>
              </w:rPr>
              <w:t>الدليل الأوّل</w:t>
            </w:r>
            <w:r>
              <w:rPr>
                <w:rStyle w:val="IndexLink"/>
                <w:rtl w:val="true"/>
              </w:rPr>
              <w:tab/>
            </w:r>
            <w:r>
              <w:rPr>
                <w:rStyle w:val="IndexLink"/>
              </w:rPr>
              <w:t>359</w:t>
            </w:r>
          </w:hyperlink>
        </w:p>
        <w:p>
          <w:pPr>
            <w:pStyle w:val="Contents6"/>
            <w:tabs>
              <w:tab w:val="clear" w:pos="7609"/>
              <w:tab w:val="right" w:pos="9026" w:leader="dot"/>
            </w:tabs>
            <w:rPr/>
          </w:pPr>
          <w:hyperlink w:anchor="__RefHeading___Toc3734958_1280447820">
            <w:r>
              <w:rPr>
                <w:webHidden/>
                <w:rStyle w:val="IndexLink"/>
                <w:rtl w:val="true"/>
              </w:rPr>
              <w:t>اشارة</w:t>
            </w:r>
            <w:r>
              <w:rPr>
                <w:rStyle w:val="IndexLink"/>
                <w:rtl w:val="true"/>
              </w:rPr>
              <w:tab/>
            </w:r>
            <w:r>
              <w:rPr>
                <w:rStyle w:val="IndexLink"/>
              </w:rPr>
              <w:t>359</w:t>
            </w:r>
          </w:hyperlink>
        </w:p>
        <w:p>
          <w:pPr>
            <w:pStyle w:val="Contents6"/>
            <w:tabs>
              <w:tab w:val="clear" w:pos="7609"/>
              <w:tab w:val="right" w:pos="9026" w:leader="dot"/>
            </w:tabs>
            <w:rPr/>
          </w:pPr>
          <w:hyperlink w:anchor="__RefHeading___Toc3734960_1280447820">
            <w:r>
              <w:rPr>
                <w:webHidden/>
                <w:rStyle w:val="IndexLink"/>
                <w:rtl w:val="true"/>
              </w:rPr>
              <w:t>النوع الأوّل</w:t>
            </w:r>
            <w:r>
              <w:rPr>
                <w:rStyle w:val="IndexLink"/>
                <w:rtl w:val="true"/>
              </w:rPr>
              <w:tab/>
            </w:r>
            <w:r>
              <w:rPr>
                <w:rStyle w:val="IndexLink"/>
              </w:rPr>
              <w:t>359</w:t>
            </w:r>
          </w:hyperlink>
        </w:p>
        <w:p>
          <w:pPr>
            <w:pStyle w:val="Contents6"/>
            <w:tabs>
              <w:tab w:val="clear" w:pos="7609"/>
              <w:tab w:val="right" w:pos="9026" w:leader="dot"/>
            </w:tabs>
            <w:rPr/>
          </w:pPr>
          <w:hyperlink w:anchor="__RefHeading___Toc3734962_1280447820">
            <w:r>
              <w:rPr>
                <w:webHidden/>
                <w:rStyle w:val="IndexLink"/>
                <w:rtl w:val="true"/>
              </w:rPr>
              <w:t>النوع الثاني</w:t>
            </w:r>
            <w:r>
              <w:rPr>
                <w:rStyle w:val="IndexLink"/>
                <w:rtl w:val="true"/>
              </w:rPr>
              <w:tab/>
            </w:r>
            <w:r>
              <w:rPr>
                <w:rStyle w:val="IndexLink"/>
              </w:rPr>
              <w:t>359</w:t>
            </w:r>
          </w:hyperlink>
        </w:p>
        <w:p>
          <w:pPr>
            <w:pStyle w:val="Contents6"/>
            <w:tabs>
              <w:tab w:val="clear" w:pos="7609"/>
              <w:tab w:val="right" w:pos="9026" w:leader="dot"/>
            </w:tabs>
            <w:rPr/>
          </w:pPr>
          <w:hyperlink w:anchor="__RefHeading___Toc3734964_1280447820">
            <w:r>
              <w:rPr>
                <w:webHidden/>
                <w:rStyle w:val="IndexLink"/>
                <w:rtl w:val="true"/>
              </w:rPr>
              <w:t>النوع الثالث</w:t>
            </w:r>
            <w:r>
              <w:rPr>
                <w:rStyle w:val="IndexLink"/>
                <w:rtl w:val="true"/>
              </w:rPr>
              <w:tab/>
            </w:r>
            <w:r>
              <w:rPr>
                <w:rStyle w:val="IndexLink"/>
              </w:rPr>
              <w:t>361</w:t>
            </w:r>
          </w:hyperlink>
        </w:p>
        <w:p>
          <w:pPr>
            <w:pStyle w:val="Contents6"/>
            <w:tabs>
              <w:tab w:val="clear" w:pos="7609"/>
              <w:tab w:val="right" w:pos="9026" w:leader="dot"/>
            </w:tabs>
            <w:rPr/>
          </w:pPr>
          <w:hyperlink w:anchor="__RefHeading___Toc3734966_1280447820">
            <w:r>
              <w:rPr>
                <w:webHidden/>
                <w:rStyle w:val="IndexLink"/>
                <w:rtl w:val="true"/>
              </w:rPr>
              <w:t>وجه الاستدلال بالنسبة إلى النوع الأوّل</w:t>
            </w:r>
            <w:r>
              <w:rPr>
                <w:rStyle w:val="IndexLink"/>
                <w:rtl w:val="true"/>
              </w:rPr>
              <w:tab/>
            </w:r>
            <w:r>
              <w:rPr>
                <w:rStyle w:val="IndexLink"/>
              </w:rPr>
              <w:t>361</w:t>
            </w:r>
          </w:hyperlink>
        </w:p>
        <w:p>
          <w:pPr>
            <w:pStyle w:val="Contents6"/>
            <w:tabs>
              <w:tab w:val="clear" w:pos="7609"/>
              <w:tab w:val="right" w:pos="9026" w:leader="dot"/>
            </w:tabs>
            <w:rPr/>
          </w:pPr>
          <w:hyperlink w:anchor="__RefHeading___Toc3734968_1280447820">
            <w:r>
              <w:rPr>
                <w:webHidden/>
                <w:rStyle w:val="IndexLink"/>
                <w:rtl w:val="true"/>
              </w:rPr>
              <w:t>وجه الاستدلال بالنسبة إلى النوع الثاني</w:t>
            </w:r>
            <w:r>
              <w:rPr>
                <w:rStyle w:val="IndexLink"/>
                <w:rtl w:val="true"/>
              </w:rPr>
              <w:tab/>
            </w:r>
            <w:r>
              <w:rPr>
                <w:rStyle w:val="IndexLink"/>
              </w:rPr>
              <w:t>362</w:t>
            </w:r>
          </w:hyperlink>
        </w:p>
        <w:p>
          <w:pPr>
            <w:pStyle w:val="Contents6"/>
            <w:tabs>
              <w:tab w:val="clear" w:pos="7609"/>
              <w:tab w:val="right" w:pos="9026" w:leader="dot"/>
            </w:tabs>
            <w:rPr/>
          </w:pPr>
          <w:hyperlink w:anchor="__RefHeading___Toc3734970_1280447820">
            <w:r>
              <w:rPr>
                <w:webHidden/>
                <w:rStyle w:val="IndexLink"/>
                <w:rtl w:val="true"/>
              </w:rPr>
              <w:t>وجه الاستدلال بالنسبة إلى النوع الثالث</w:t>
            </w:r>
            <w:r>
              <w:rPr>
                <w:rStyle w:val="IndexLink"/>
                <w:rtl w:val="true"/>
              </w:rPr>
              <w:tab/>
            </w:r>
            <w:r>
              <w:rPr>
                <w:rStyle w:val="IndexLink"/>
              </w:rPr>
              <w:t>363</w:t>
            </w:r>
          </w:hyperlink>
        </w:p>
        <w:p>
          <w:pPr>
            <w:pStyle w:val="Contents6"/>
            <w:tabs>
              <w:tab w:val="clear" w:pos="7609"/>
              <w:tab w:val="right" w:pos="9026" w:leader="dot"/>
            </w:tabs>
            <w:rPr/>
          </w:pPr>
          <w:hyperlink w:anchor="__RefHeading___Toc3734972_1280447820">
            <w:r>
              <w:rPr>
                <w:webHidden/>
                <w:rStyle w:val="IndexLink"/>
                <w:rtl w:val="true"/>
              </w:rPr>
              <w:t>الجواب عن الاستدلال بالنسبة إلى النوع الأوّل</w:t>
            </w:r>
            <w:r>
              <w:rPr>
                <w:rStyle w:val="IndexLink"/>
                <w:rtl w:val="true"/>
              </w:rPr>
              <w:tab/>
            </w:r>
            <w:r>
              <w:rPr>
                <w:rStyle w:val="IndexLink"/>
              </w:rPr>
              <w:t>363</w:t>
            </w:r>
          </w:hyperlink>
        </w:p>
        <w:p>
          <w:pPr>
            <w:pStyle w:val="Contents6"/>
            <w:tabs>
              <w:tab w:val="clear" w:pos="7609"/>
              <w:tab w:val="right" w:pos="9026" w:leader="dot"/>
            </w:tabs>
            <w:rPr/>
          </w:pPr>
          <w:hyperlink w:anchor="__RefHeading___Toc3734974_1280447820">
            <w:r>
              <w:rPr>
                <w:webHidden/>
                <w:rStyle w:val="IndexLink"/>
                <w:rtl w:val="true"/>
              </w:rPr>
              <w:t>الجواب عن الاستدلال بالنسبة إلى النوع الثاني</w:t>
            </w:r>
            <w:r>
              <w:rPr>
                <w:rStyle w:val="IndexLink"/>
                <w:rtl w:val="true"/>
              </w:rPr>
              <w:tab/>
            </w:r>
            <w:r>
              <w:rPr>
                <w:rStyle w:val="IndexLink"/>
              </w:rPr>
              <w:t>364</w:t>
            </w:r>
          </w:hyperlink>
        </w:p>
        <w:p>
          <w:pPr>
            <w:pStyle w:val="Contents6"/>
            <w:tabs>
              <w:tab w:val="clear" w:pos="7609"/>
              <w:tab w:val="right" w:pos="9026" w:leader="dot"/>
            </w:tabs>
            <w:rPr/>
          </w:pPr>
          <w:hyperlink w:anchor="__RefHeading___Toc3734976_1280447820">
            <w:r>
              <w:rPr>
                <w:webHidden/>
                <w:rStyle w:val="IndexLink"/>
                <w:rtl w:val="true"/>
              </w:rPr>
              <w:t>الجواب عن الاستدلال بالنسبة إلى النوع الثالث</w:t>
            </w:r>
            <w:r>
              <w:rPr>
                <w:rStyle w:val="IndexLink"/>
                <w:rtl w:val="true"/>
              </w:rPr>
              <w:tab/>
            </w:r>
            <w:r>
              <w:rPr>
                <w:rStyle w:val="IndexLink"/>
              </w:rPr>
              <w:t>368</w:t>
            </w:r>
          </w:hyperlink>
        </w:p>
        <w:p>
          <w:pPr>
            <w:pStyle w:val="Contents6"/>
            <w:tabs>
              <w:tab w:val="clear" w:pos="7609"/>
              <w:tab w:val="right" w:pos="9026" w:leader="dot"/>
            </w:tabs>
            <w:rPr/>
          </w:pPr>
          <w:hyperlink w:anchor="__RefHeading___Toc3734978_1280447820">
            <w:r>
              <w:rPr>
                <w:webHidden/>
                <w:rStyle w:val="IndexLink"/>
                <w:rtl w:val="true"/>
              </w:rPr>
              <w:t>الدليل الثاني</w:t>
            </w:r>
            <w:r>
              <w:rPr>
                <w:rStyle w:val="IndexLink"/>
                <w:rtl w:val="true"/>
              </w:rPr>
              <w:tab/>
            </w:r>
            <w:r>
              <w:rPr>
                <w:rStyle w:val="IndexLink"/>
              </w:rPr>
              <w:t>369</w:t>
            </w:r>
          </w:hyperlink>
        </w:p>
        <w:p>
          <w:pPr>
            <w:pStyle w:val="Contents6"/>
            <w:tabs>
              <w:tab w:val="clear" w:pos="7609"/>
              <w:tab w:val="right" w:pos="9026" w:leader="dot"/>
            </w:tabs>
            <w:rPr/>
          </w:pPr>
          <w:hyperlink w:anchor="__RefHeading___Toc3734980_1280447820">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3734982_1280447820">
            <w:r>
              <w:rPr>
                <w:webHidden/>
                <w:rStyle w:val="IndexLink"/>
                <w:rtl w:val="true"/>
              </w:rPr>
              <w:t>الجواب عن الدليل الثاني</w:t>
            </w:r>
            <w:r>
              <w:rPr>
                <w:rStyle w:val="IndexLink"/>
                <w:rtl w:val="true"/>
              </w:rPr>
              <w:tab/>
            </w:r>
            <w:r>
              <w:rPr>
                <w:rStyle w:val="IndexLink"/>
              </w:rPr>
              <w:t>369</w:t>
            </w:r>
          </w:hyperlink>
        </w:p>
        <w:p>
          <w:pPr>
            <w:pStyle w:val="Contents6"/>
            <w:tabs>
              <w:tab w:val="clear" w:pos="7609"/>
              <w:tab w:val="right" w:pos="9026" w:leader="dot"/>
            </w:tabs>
            <w:rPr/>
          </w:pPr>
          <w:hyperlink w:anchor="__RefHeading___Toc3734984_1280447820">
            <w:r>
              <w:rPr>
                <w:webHidden/>
                <w:rStyle w:val="IndexLink"/>
                <w:rtl w:val="true"/>
              </w:rPr>
              <w:t>الدليل الثالث</w:t>
            </w:r>
            <w:r>
              <w:rPr>
                <w:rStyle w:val="IndexLink"/>
                <w:rtl w:val="true"/>
              </w:rPr>
              <w:tab/>
            </w:r>
            <w:r>
              <w:rPr>
                <w:rStyle w:val="IndexLink"/>
              </w:rPr>
              <w:t>370</w:t>
            </w:r>
          </w:hyperlink>
        </w:p>
        <w:p>
          <w:pPr>
            <w:pStyle w:val="Contents6"/>
            <w:tabs>
              <w:tab w:val="clear" w:pos="7609"/>
              <w:tab w:val="right" w:pos="9026" w:leader="dot"/>
            </w:tabs>
            <w:rPr/>
          </w:pPr>
          <w:hyperlink w:anchor="__RefHeading___Toc3734986_1280447820">
            <w:r>
              <w:rPr>
                <w:webHidden/>
                <w:rStyle w:val="IndexLink"/>
                <w:rtl w:val="true"/>
              </w:rPr>
              <w:t>اشارة</w:t>
            </w:r>
            <w:r>
              <w:rPr>
                <w:rStyle w:val="IndexLink"/>
                <w:rtl w:val="true"/>
              </w:rPr>
              <w:tab/>
            </w:r>
            <w:r>
              <w:rPr>
                <w:rStyle w:val="IndexLink"/>
              </w:rPr>
              <w:t>370</w:t>
            </w:r>
          </w:hyperlink>
        </w:p>
        <w:p>
          <w:pPr>
            <w:pStyle w:val="Contents6"/>
            <w:tabs>
              <w:tab w:val="clear" w:pos="7609"/>
              <w:tab w:val="right" w:pos="9026" w:leader="dot"/>
            </w:tabs>
            <w:rPr/>
          </w:pPr>
          <w:hyperlink w:anchor="__RefHeading___Toc3734988_1280447820">
            <w:r>
              <w:rPr>
                <w:webHidden/>
                <w:rStyle w:val="IndexLink"/>
                <w:rtl w:val="true"/>
              </w:rPr>
              <w:t>الجواب عن الدليل الثالث</w:t>
            </w:r>
            <w:r>
              <w:rPr>
                <w:rStyle w:val="IndexLink"/>
                <w:rtl w:val="true"/>
              </w:rPr>
              <w:tab/>
            </w:r>
            <w:r>
              <w:rPr>
                <w:rStyle w:val="IndexLink"/>
              </w:rPr>
              <w:t>371</w:t>
            </w:r>
          </w:hyperlink>
        </w:p>
        <w:p>
          <w:pPr>
            <w:pStyle w:val="Contents5"/>
            <w:tabs>
              <w:tab w:val="clear" w:pos="7892"/>
              <w:tab w:val="right" w:pos="9026" w:leader="dot"/>
            </w:tabs>
            <w:rPr/>
          </w:pPr>
          <w:hyperlink w:anchor="__RefHeading___Toc3734990_1280447820">
            <w:r>
              <w:rPr>
                <w:webHidden/>
                <w:rStyle w:val="IndexLink"/>
                <w:rtl w:val="true"/>
              </w:rPr>
              <w:t>في المؤيّدات الّتي ذكرت للقول بالأعمّ مع الجواب عنها</w:t>
            </w:r>
            <w:r>
              <w:rPr>
                <w:rStyle w:val="IndexLink"/>
                <w:rtl w:val="true"/>
              </w:rPr>
              <w:tab/>
            </w:r>
            <w:r>
              <w:rPr>
                <w:rStyle w:val="IndexLink"/>
              </w:rPr>
              <w:t>374</w:t>
            </w:r>
          </w:hyperlink>
        </w:p>
        <w:p>
          <w:pPr>
            <w:pStyle w:val="Contents5"/>
            <w:tabs>
              <w:tab w:val="clear" w:pos="7892"/>
              <w:tab w:val="right" w:pos="9026" w:leader="dot"/>
            </w:tabs>
            <w:rPr/>
          </w:pPr>
          <w:hyperlink w:anchor="__RefHeading___Toc3734992_1280447820">
            <w:r>
              <w:rPr>
                <w:webHidden/>
                <w:rStyle w:val="IndexLink"/>
                <w:rtl w:val="true"/>
              </w:rPr>
              <w:t>إيراد كلمات للتفصّي عن مؤيّدات</w:t>
            </w:r>
            <w:r>
              <w:rPr>
                <w:rStyle w:val="IndexLink"/>
                <w:rtl w:val="true"/>
              </w:rPr>
              <w:tab/>
            </w:r>
            <w:r>
              <w:rPr>
                <w:rStyle w:val="IndexLink"/>
              </w:rPr>
              <w:t>374</w:t>
            </w:r>
          </w:hyperlink>
        </w:p>
        <w:p>
          <w:pPr>
            <w:pStyle w:val="Contents6"/>
            <w:tabs>
              <w:tab w:val="clear" w:pos="7609"/>
              <w:tab w:val="right" w:pos="9026" w:leader="dot"/>
            </w:tabs>
            <w:rPr/>
          </w:pPr>
          <w:hyperlink w:anchor="__RefHeading___Toc3734994_1280447820">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3734996_1280447820">
            <w:r>
              <w:rPr>
                <w:webHidden/>
                <w:rStyle w:val="IndexLink"/>
                <w:rtl w:val="true"/>
              </w:rPr>
              <w:t>التأييد الأوّل</w:t>
            </w:r>
            <w:r>
              <w:rPr>
                <w:rStyle w:val="IndexLink"/>
                <w:rtl w:val="true"/>
              </w:rPr>
              <w:tab/>
            </w:r>
            <w:r>
              <w:rPr>
                <w:rStyle w:val="IndexLink"/>
              </w:rPr>
              <w:t>374</w:t>
            </w:r>
          </w:hyperlink>
        </w:p>
        <w:p>
          <w:pPr>
            <w:pStyle w:val="Contents6"/>
            <w:tabs>
              <w:tab w:val="clear" w:pos="7609"/>
              <w:tab w:val="right" w:pos="9026" w:leader="dot"/>
            </w:tabs>
            <w:rPr/>
          </w:pPr>
          <w:hyperlink w:anchor="__RefHeading___Toc3734998_1280447820">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3735000_1280447820">
            <w:r>
              <w:rPr>
                <w:webHidden/>
                <w:rStyle w:val="IndexLink"/>
                <w:rtl w:val="true"/>
              </w:rPr>
              <w:t>الجواب عن التأييد الأوّل</w:t>
            </w:r>
            <w:r>
              <w:rPr>
                <w:rStyle w:val="IndexLink"/>
                <w:rtl w:val="true"/>
              </w:rPr>
              <w:tab/>
            </w:r>
            <w:r>
              <w:rPr>
                <w:rStyle w:val="IndexLink"/>
              </w:rPr>
              <w:t>374</w:t>
            </w:r>
          </w:hyperlink>
        </w:p>
        <w:p>
          <w:pPr>
            <w:pStyle w:val="Contents6"/>
            <w:tabs>
              <w:tab w:val="clear" w:pos="7609"/>
              <w:tab w:val="right" w:pos="9026" w:leader="dot"/>
            </w:tabs>
            <w:rPr/>
          </w:pPr>
          <w:hyperlink w:anchor="__RefHeading___Toc3735002_1280447820">
            <w:r>
              <w:rPr>
                <w:webHidden/>
                <w:rStyle w:val="IndexLink"/>
                <w:rtl w:val="true"/>
              </w:rPr>
              <w:t>التأييد الثاني مع الجواب عنه</w:t>
            </w:r>
            <w:r>
              <w:rPr>
                <w:rStyle w:val="IndexLink"/>
                <w:rtl w:val="true"/>
              </w:rPr>
              <w:tab/>
            </w:r>
            <w:r>
              <w:rPr>
                <w:rStyle w:val="IndexLink"/>
              </w:rPr>
              <w:t>376</w:t>
            </w:r>
          </w:hyperlink>
        </w:p>
        <w:p>
          <w:pPr>
            <w:pStyle w:val="Contents6"/>
            <w:tabs>
              <w:tab w:val="clear" w:pos="7609"/>
              <w:tab w:val="right" w:pos="9026" w:leader="dot"/>
            </w:tabs>
            <w:rPr/>
          </w:pPr>
          <w:hyperlink w:anchor="__RefHeading___Toc3735004_1280447820">
            <w:r>
              <w:rPr>
                <w:webHidden/>
                <w:rStyle w:val="IndexLink"/>
                <w:rtl w:val="true"/>
              </w:rPr>
              <w:t>اشارة</w:t>
            </w:r>
            <w:r>
              <w:rPr>
                <w:rStyle w:val="IndexLink"/>
                <w:rtl w:val="true"/>
              </w:rPr>
              <w:tab/>
            </w:r>
            <w:r>
              <w:rPr>
                <w:rStyle w:val="IndexLink"/>
              </w:rPr>
              <w:t>376</w:t>
            </w:r>
          </w:hyperlink>
        </w:p>
        <w:p>
          <w:pPr>
            <w:pStyle w:val="Contents6"/>
            <w:tabs>
              <w:tab w:val="clear" w:pos="7609"/>
              <w:tab w:val="right" w:pos="9026" w:leader="dot"/>
            </w:tabs>
            <w:rPr/>
          </w:pPr>
          <w:hyperlink w:anchor="__RefHeading___Toc3735006_1280447820">
            <w:r>
              <w:rPr>
                <w:webHidden/>
                <w:rStyle w:val="IndexLink"/>
                <w:rtl w:val="true"/>
              </w:rPr>
              <w:t>الأمر الأوّل</w:t>
            </w:r>
            <w:r>
              <w:rPr>
                <w:rStyle w:val="IndexLink"/>
                <w:rtl w:val="true"/>
              </w:rPr>
              <w:tab/>
            </w:r>
            <w:r>
              <w:rPr>
                <w:rStyle w:val="IndexLink"/>
              </w:rPr>
              <w:t>377</w:t>
            </w:r>
          </w:hyperlink>
        </w:p>
        <w:p>
          <w:pPr>
            <w:pStyle w:val="Contents6"/>
            <w:tabs>
              <w:tab w:val="clear" w:pos="7609"/>
              <w:tab w:val="right" w:pos="9026" w:leader="dot"/>
            </w:tabs>
            <w:rPr/>
          </w:pPr>
          <w:hyperlink w:anchor="__RefHeading___Toc3735008_1280447820">
            <w:r>
              <w:rPr>
                <w:webHidden/>
                <w:rStyle w:val="IndexLink"/>
                <w:rtl w:val="true"/>
              </w:rPr>
              <w:t>الأمر الثاني</w:t>
            </w:r>
            <w:r>
              <w:rPr>
                <w:rStyle w:val="IndexLink"/>
                <w:rtl w:val="true"/>
              </w:rPr>
              <w:tab/>
            </w:r>
            <w:r>
              <w:rPr>
                <w:rStyle w:val="IndexLink"/>
              </w:rPr>
              <w:t>380</w:t>
            </w:r>
          </w:hyperlink>
        </w:p>
        <w:p>
          <w:pPr>
            <w:pStyle w:val="Contents6"/>
            <w:tabs>
              <w:tab w:val="clear" w:pos="7609"/>
              <w:tab w:val="right" w:pos="9026" w:leader="dot"/>
            </w:tabs>
            <w:rPr/>
          </w:pPr>
          <w:hyperlink w:anchor="__RefHeading___Toc3735010_1280447820">
            <w:r>
              <w:rPr>
                <w:webHidden/>
                <w:rStyle w:val="IndexLink"/>
                <w:rtl w:val="true"/>
              </w:rPr>
              <w:t>تأييد ثالث مع الجواب عنه</w:t>
            </w:r>
            <w:r>
              <w:rPr>
                <w:rStyle w:val="IndexLink"/>
                <w:rtl w:val="true"/>
              </w:rPr>
              <w:tab/>
            </w:r>
            <w:r>
              <w:rPr>
                <w:rStyle w:val="IndexLink"/>
              </w:rPr>
              <w:t>381</w:t>
            </w:r>
          </w:hyperlink>
        </w:p>
        <w:p>
          <w:pPr>
            <w:pStyle w:val="Contents6"/>
            <w:tabs>
              <w:tab w:val="clear" w:pos="7609"/>
              <w:tab w:val="right" w:pos="9026" w:leader="dot"/>
            </w:tabs>
            <w:rPr/>
          </w:pPr>
          <w:hyperlink w:anchor="__RefHeading___Toc3735012_1280447820">
            <w:r>
              <w:rPr>
                <w:webHidden/>
                <w:rStyle w:val="IndexLink"/>
                <w:rtl w:val="true"/>
              </w:rPr>
              <w:t>تأييد رابع مع الجواب عنه</w:t>
            </w:r>
            <w:r>
              <w:rPr>
                <w:rStyle w:val="IndexLink"/>
                <w:rtl w:val="true"/>
              </w:rPr>
              <w:tab/>
            </w:r>
            <w:r>
              <w:rPr>
                <w:rStyle w:val="IndexLink"/>
              </w:rPr>
              <w:t>386</w:t>
            </w:r>
          </w:hyperlink>
        </w:p>
        <w:p>
          <w:pPr>
            <w:pStyle w:val="Contents5"/>
            <w:tabs>
              <w:tab w:val="clear" w:pos="7892"/>
              <w:tab w:val="right" w:pos="9026" w:leader="dot"/>
            </w:tabs>
            <w:rPr/>
          </w:pPr>
          <w:hyperlink w:anchor="__RefHeading___Toc3735014_1280447820">
            <w:r>
              <w:rPr>
                <w:webHidden/>
                <w:rStyle w:val="IndexLink"/>
                <w:rtl w:val="true"/>
              </w:rPr>
              <w:t>إنّ النزاع في أنّ الألفاظ الشرعيّة أساميٍ للصحيحة أو الأعمّ غير مختصّ بالعبادات، بل متحقّق في المعاملات أيضًا</w:t>
            </w:r>
            <w:r>
              <w:rPr>
                <w:rStyle w:val="IndexLink"/>
                <w:rtl w:val="true"/>
              </w:rPr>
              <w:tab/>
            </w:r>
            <w:r>
              <w:rPr>
                <w:rStyle w:val="IndexLink"/>
              </w:rPr>
              <w:t>389</w:t>
            </w:r>
          </w:hyperlink>
        </w:p>
        <w:p>
          <w:pPr>
            <w:pStyle w:val="Contents5"/>
            <w:tabs>
              <w:tab w:val="clear" w:pos="7892"/>
              <w:tab w:val="right" w:pos="9026" w:leader="dot"/>
            </w:tabs>
            <w:rPr/>
          </w:pPr>
          <w:hyperlink w:anchor="__RefHeading___Toc3735016_1280447820">
            <w:r>
              <w:rPr>
                <w:webHidden/>
                <w:rStyle w:val="IndexLink"/>
                <w:rtl w:val="true"/>
              </w:rPr>
              <w:t>كلام على ما ذكره شيخنا الشهيد أعلى الله مقامه</w:t>
            </w:r>
            <w:r>
              <w:rPr>
                <w:rStyle w:val="IndexLink"/>
                <w:rtl w:val="true"/>
              </w:rPr>
              <w:tab/>
            </w:r>
            <w:r>
              <w:rPr>
                <w:rStyle w:val="IndexLink"/>
              </w:rPr>
              <w:t>391</w:t>
            </w:r>
          </w:hyperlink>
        </w:p>
        <w:p>
          <w:pPr>
            <w:pStyle w:val="Contents5"/>
            <w:tabs>
              <w:tab w:val="clear" w:pos="7892"/>
              <w:tab w:val="right" w:pos="9026" w:leader="dot"/>
            </w:tabs>
            <w:rPr/>
          </w:pPr>
          <w:hyperlink w:anchor="__RefHeading___Toc3735018_1280447820">
            <w:r>
              <w:rPr>
                <w:webHidden/>
                <w:rStyle w:val="IndexLink"/>
                <w:rtl w:val="true"/>
              </w:rPr>
              <w:t>ومن المهمّ في هذا المقام التنبيه على أمرين</w:t>
            </w:r>
            <w:r>
              <w:rPr>
                <w:rStyle w:val="IndexLink"/>
                <w:rtl w:val="true"/>
              </w:rPr>
              <w:tab/>
            </w:r>
            <w:r>
              <w:rPr>
                <w:rStyle w:val="IndexLink"/>
              </w:rPr>
              <w:t>393</w:t>
            </w:r>
          </w:hyperlink>
        </w:p>
        <w:p>
          <w:pPr>
            <w:pStyle w:val="Contents6"/>
            <w:tabs>
              <w:tab w:val="clear" w:pos="7609"/>
              <w:tab w:val="right" w:pos="9026" w:leader="dot"/>
            </w:tabs>
            <w:rPr/>
          </w:pPr>
          <w:hyperlink w:anchor="__RefHeading___Toc3735020_1280447820">
            <w:r>
              <w:rPr>
                <w:webHidden/>
                <w:rStyle w:val="IndexLink"/>
                <w:rtl w:val="true"/>
              </w:rPr>
              <w:t>الأمر الأوّل</w:t>
            </w:r>
            <w:r>
              <w:rPr>
                <w:rStyle w:val="IndexLink"/>
                <w:rtl w:val="true"/>
              </w:rPr>
              <w:t xml:space="preserve">: </w:t>
            </w:r>
            <w:r>
              <w:rPr>
                <w:rStyle w:val="IndexLink"/>
                <w:rtl w:val="true"/>
              </w:rPr>
              <w:t>في دفع المشكوك بالأصل مطلقًا ولو كان جزءًا</w:t>
            </w:r>
            <w:r>
              <w:rPr>
                <w:rStyle w:val="IndexLink"/>
                <w:rtl w:val="true"/>
              </w:rPr>
              <w:tab/>
            </w:r>
            <w:r>
              <w:rPr>
                <w:rStyle w:val="IndexLink"/>
              </w:rPr>
              <w:t>393</w:t>
            </w:r>
          </w:hyperlink>
        </w:p>
        <w:p>
          <w:pPr>
            <w:pStyle w:val="Contents6"/>
            <w:tabs>
              <w:tab w:val="clear" w:pos="7609"/>
              <w:tab w:val="right" w:pos="9026" w:leader="dot"/>
            </w:tabs>
            <w:rPr/>
          </w:pPr>
          <w:hyperlink w:anchor="__RefHeading___Toc3735022_1280447820">
            <w:r>
              <w:rPr>
                <w:webHidden/>
                <w:rStyle w:val="IndexLink"/>
                <w:rtl w:val="true"/>
              </w:rPr>
              <w:t>اشارة</w:t>
            </w:r>
            <w:r>
              <w:rPr>
                <w:rStyle w:val="IndexLink"/>
                <w:rtl w:val="true"/>
              </w:rPr>
              <w:tab/>
            </w:r>
            <w:r>
              <w:rPr>
                <w:rStyle w:val="IndexLink"/>
              </w:rPr>
              <w:t>393</w:t>
            </w:r>
          </w:hyperlink>
        </w:p>
        <w:p>
          <w:pPr>
            <w:pStyle w:val="Contents6"/>
            <w:tabs>
              <w:tab w:val="clear" w:pos="7609"/>
              <w:tab w:val="right" w:pos="9026" w:leader="dot"/>
            </w:tabs>
            <w:rPr/>
          </w:pPr>
          <w:hyperlink w:anchor="__RefHeading___Toc3735024_1280447820">
            <w:r>
              <w:rPr>
                <w:webHidden/>
                <w:rStyle w:val="IndexLink"/>
                <w:rtl w:val="true"/>
              </w:rPr>
              <w:t>الترتيب في الذكر لا يفيد الترتيب في الحكم إلّا في كتاب الله تعالى</w:t>
            </w:r>
            <w:r>
              <w:rPr>
                <w:rStyle w:val="IndexLink"/>
                <w:rtl w:val="true"/>
              </w:rPr>
              <w:tab/>
            </w:r>
            <w:r>
              <w:rPr>
                <w:rStyle w:val="IndexLink"/>
              </w:rPr>
              <w:t>394</w:t>
            </w:r>
          </w:hyperlink>
        </w:p>
        <w:p>
          <w:pPr>
            <w:pStyle w:val="Contents6"/>
            <w:tabs>
              <w:tab w:val="clear" w:pos="7609"/>
              <w:tab w:val="right" w:pos="9026" w:leader="dot"/>
            </w:tabs>
            <w:rPr/>
          </w:pPr>
          <w:hyperlink w:anchor="__RefHeading___Toc3735026_1280447820">
            <w:r>
              <w:rPr>
                <w:webHidden/>
                <w:rStyle w:val="IndexLink"/>
                <w:rtl w:val="true"/>
              </w:rPr>
              <w:t>الأمر الثاني</w:t>
            </w:r>
            <w:r>
              <w:rPr>
                <w:rStyle w:val="IndexLink"/>
                <w:rtl w:val="true"/>
              </w:rPr>
              <w:tab/>
            </w:r>
            <w:r>
              <w:rPr>
                <w:rStyle w:val="IndexLink"/>
              </w:rPr>
              <w:t>399</w:t>
            </w:r>
          </w:hyperlink>
        </w:p>
        <w:p>
          <w:pPr>
            <w:pStyle w:val="Contents2"/>
            <w:tabs>
              <w:tab w:val="clear" w:pos="8743"/>
              <w:tab w:val="right" w:pos="9026" w:leader="dot"/>
            </w:tabs>
            <w:rPr/>
          </w:pPr>
          <w:hyperlink w:anchor="__RefHeading___Toc3735028_1280447820">
            <w:r>
              <w:rPr>
                <w:webHidden/>
                <w:rStyle w:val="IndexLink"/>
                <w:rtl w:val="true"/>
              </w:rPr>
              <w:t>الفهارس الفنّيّة</w:t>
            </w:r>
            <w:r>
              <w:rPr>
                <w:rStyle w:val="IndexLink"/>
                <w:rtl w:val="true"/>
              </w:rPr>
              <w:tab/>
            </w:r>
            <w:r>
              <w:rPr>
                <w:rStyle w:val="IndexLink"/>
              </w:rPr>
              <w:t>402</w:t>
            </w:r>
          </w:hyperlink>
        </w:p>
        <w:p>
          <w:pPr>
            <w:pStyle w:val="Contents3"/>
            <w:tabs>
              <w:tab w:val="clear" w:pos="8459"/>
              <w:tab w:val="right" w:pos="9026" w:leader="dot"/>
            </w:tabs>
            <w:rPr/>
          </w:pPr>
          <w:hyperlink w:anchor="__RefHeading___Toc3735030_1280447820">
            <w:r>
              <w:rPr>
                <w:webHidden/>
                <w:rStyle w:val="IndexLink"/>
                <w:rtl w:val="true"/>
              </w:rPr>
              <w:t>اشارة</w:t>
            </w:r>
            <w:r>
              <w:rPr>
                <w:rStyle w:val="IndexLink"/>
                <w:rtl w:val="true"/>
              </w:rPr>
              <w:tab/>
            </w:r>
            <w:r>
              <w:rPr>
                <w:rStyle w:val="IndexLink"/>
              </w:rPr>
              <w:t>402</w:t>
            </w:r>
          </w:hyperlink>
        </w:p>
        <w:p>
          <w:pPr>
            <w:pStyle w:val="Contents3"/>
            <w:tabs>
              <w:tab w:val="clear" w:pos="8459"/>
              <w:tab w:val="right" w:pos="9026" w:leader="dot"/>
            </w:tabs>
            <w:rPr/>
          </w:pPr>
          <w:hyperlink w:anchor="__RefHeading___Toc3735032_1280447820">
            <w:r>
              <w:rPr>
                <w:webHidden/>
                <w:rStyle w:val="IndexLink"/>
                <w:rtl w:val="true"/>
              </w:rPr>
              <w:t>فهرس الآيات القرآنيّة</w:t>
            </w:r>
            <w:r>
              <w:rPr>
                <w:rStyle w:val="IndexLink"/>
                <w:rtl w:val="true"/>
              </w:rPr>
              <w:tab/>
            </w:r>
            <w:r>
              <w:rPr>
                <w:rStyle w:val="IndexLink"/>
              </w:rPr>
              <w:t>404</w:t>
            </w:r>
          </w:hyperlink>
        </w:p>
        <w:p>
          <w:pPr>
            <w:pStyle w:val="Contents3"/>
            <w:tabs>
              <w:tab w:val="clear" w:pos="8459"/>
              <w:tab w:val="right" w:pos="9026" w:leader="dot"/>
            </w:tabs>
            <w:rPr/>
          </w:pPr>
          <w:hyperlink w:anchor="__RefHeading___Toc3735034_1280447820">
            <w:r>
              <w:rPr>
                <w:webHidden/>
                <w:rStyle w:val="IndexLink"/>
                <w:rtl w:val="true"/>
              </w:rPr>
              <w:t xml:space="preserve">فهرس أحاديث المعصومين </w:t>
            </w:r>
            <w:r>
              <w:rPr>
                <w:rStyle w:val="IndexLink"/>
                <w:rtl w:val="true"/>
              </w:rPr>
              <w:t>(</w:t>
            </w:r>
            <w:r>
              <w:rPr>
                <w:rStyle w:val="IndexLink"/>
                <w:rtl w:val="true"/>
              </w:rPr>
              <w:t>علیهم السلام</w:t>
            </w:r>
            <w:r>
              <w:rPr>
                <w:rStyle w:val="IndexLink"/>
                <w:rtl w:val="true"/>
              </w:rPr>
              <w:t>)</w:t>
              <w:tab/>
            </w:r>
            <w:r>
              <w:rPr>
                <w:rStyle w:val="IndexLink"/>
              </w:rPr>
              <w:t>410</w:t>
            </w:r>
          </w:hyperlink>
        </w:p>
        <w:p>
          <w:pPr>
            <w:pStyle w:val="Contents3"/>
            <w:tabs>
              <w:tab w:val="clear" w:pos="8459"/>
              <w:tab w:val="right" w:pos="9026" w:leader="dot"/>
            </w:tabs>
            <w:rPr/>
          </w:pPr>
          <w:hyperlink w:anchor="__RefHeading___Toc3735036_1280447820">
            <w:r>
              <w:rPr>
                <w:webHidden/>
                <w:rStyle w:val="IndexLink"/>
                <w:rtl w:val="true"/>
              </w:rPr>
              <w:t xml:space="preserve">فهرس أسماء المعصومين </w:t>
            </w:r>
            <w:r>
              <w:rPr>
                <w:rStyle w:val="IndexLink"/>
                <w:rtl w:val="true"/>
              </w:rPr>
              <w:t>(</w:t>
            </w:r>
            <w:r>
              <w:rPr>
                <w:rStyle w:val="IndexLink"/>
                <w:rtl w:val="true"/>
              </w:rPr>
              <w:t>علیهم السلام</w:t>
            </w:r>
            <w:r>
              <w:rPr>
                <w:rStyle w:val="IndexLink"/>
                <w:rtl w:val="true"/>
              </w:rPr>
              <w:t xml:space="preserve">) </w:t>
            </w:r>
            <w:r>
              <w:rPr>
                <w:rStyle w:val="IndexLink"/>
                <w:rtl w:val="true"/>
              </w:rPr>
              <w:t>والأعلام</w:t>
            </w:r>
            <w:r>
              <w:rPr>
                <w:rStyle w:val="IndexLink"/>
                <w:rtl w:val="true"/>
              </w:rPr>
              <w:tab/>
            </w:r>
            <w:r>
              <w:rPr>
                <w:rStyle w:val="IndexLink"/>
              </w:rPr>
              <w:t>414</w:t>
            </w:r>
          </w:hyperlink>
        </w:p>
        <w:p>
          <w:pPr>
            <w:pStyle w:val="Contents3"/>
            <w:tabs>
              <w:tab w:val="clear" w:pos="8459"/>
              <w:tab w:val="right" w:pos="9026" w:leader="dot"/>
            </w:tabs>
            <w:rPr/>
          </w:pPr>
          <w:hyperlink w:anchor="__RefHeading___Toc3735038_1280447820">
            <w:r>
              <w:rPr>
                <w:webHidden/>
                <w:rStyle w:val="IndexLink"/>
                <w:rtl w:val="true"/>
              </w:rPr>
              <w:t>فهرس الكتب والمؤلّفات</w:t>
            </w:r>
            <w:r>
              <w:rPr>
                <w:rStyle w:val="IndexLink"/>
                <w:rtl w:val="true"/>
              </w:rPr>
              <w:tab/>
            </w:r>
            <w:r>
              <w:rPr>
                <w:rStyle w:val="IndexLink"/>
              </w:rPr>
              <w:t>422</w:t>
            </w:r>
          </w:hyperlink>
        </w:p>
        <w:p>
          <w:pPr>
            <w:pStyle w:val="Contents3"/>
            <w:tabs>
              <w:tab w:val="clear" w:pos="8459"/>
              <w:tab w:val="right" w:pos="9026" w:leader="dot"/>
            </w:tabs>
            <w:rPr/>
          </w:pPr>
          <w:hyperlink w:anchor="__RefHeading___Toc3735040_1280447820">
            <w:r>
              <w:rPr>
                <w:webHidden/>
                <w:rStyle w:val="IndexLink"/>
                <w:rtl w:val="true"/>
              </w:rPr>
              <w:t>فهرس مصادر التحقيق</w:t>
            </w:r>
            <w:r>
              <w:rPr>
                <w:rStyle w:val="IndexLink"/>
                <w:rtl w:val="true"/>
              </w:rPr>
              <w:tab/>
            </w:r>
            <w:r>
              <w:rPr>
                <w:rStyle w:val="IndexLink"/>
              </w:rPr>
              <w:t>428</w:t>
            </w:r>
          </w:hyperlink>
        </w:p>
        <w:p>
          <w:pPr>
            <w:pStyle w:val="Contents3"/>
            <w:tabs>
              <w:tab w:val="clear" w:pos="8459"/>
              <w:tab w:val="right" w:pos="9026" w:leader="dot"/>
            </w:tabs>
            <w:rPr/>
          </w:pPr>
          <w:hyperlink w:anchor="__RefHeading___Toc3735042_1280447820">
            <w:r>
              <w:rPr>
                <w:webHidden/>
                <w:rStyle w:val="IndexLink"/>
                <w:rtl w:val="true"/>
              </w:rPr>
              <w:t>فهرس المحتويات</w:t>
            </w:r>
            <w:r>
              <w:rPr>
                <w:rStyle w:val="IndexLink"/>
                <w:rtl w:val="true"/>
              </w:rPr>
              <w:tab/>
            </w:r>
            <w:r>
              <w:rPr>
                <w:rStyle w:val="IndexLink"/>
              </w:rPr>
              <w:t>448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24_170339"/>
      <w:bookmarkStart w:id="1" w:name="pg16224_170339"/>
      <w:bookmarkEnd w:id="1"/>
    </w:p>
    <w:p>
      <w:pPr>
        <w:pStyle w:val="Heading2"/>
        <w:numPr>
          <w:ilvl w:val="1"/>
          <w:numId w:val="1"/>
        </w:numPr>
        <w:rPr/>
      </w:pPr>
      <w:bookmarkStart w:id="2" w:name="pg16224_170339"/>
      <w:bookmarkStart w:id="3" w:name="__RefHeading___Toc3734270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الزُهَرَةُ البَارِقَة</w:t>
      </w:r>
    </w:p>
    <w:p>
      <w:pPr>
        <w:pStyle w:val="BookText"/>
        <w:rPr/>
      </w:pPr>
      <w:r>
        <w:rPr>
          <w:rFonts w:ascii="Amiri" w:hAnsi="Amiri" w:eastAsia="Amiri" w:cs="Amiri"/>
          <w:color w:val="111111"/>
          <w:sz w:val="28"/>
          <w:sz w:val="28"/>
          <w:szCs w:val="28"/>
          <w:rtl w:val="true"/>
          <w:lang w:bidi="ar-SA"/>
        </w:rPr>
        <w:t>لِمَعرِفَةِ أَحوَالِ المَجَازِ وَالحَقِيقَة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الْعَلَّاْمَةِ المُحَقّقِ الْفَقِيْهِ الْأُصُوْلِيّ</w:t>
      </w:r>
    </w:p>
    <w:p>
      <w:pPr>
        <w:pStyle w:val="BookText"/>
        <w:rPr/>
      </w:pPr>
      <w:r>
        <w:rPr>
          <w:rFonts w:ascii="Amiri" w:hAnsi="Amiri" w:eastAsia="Amiri" w:cs="Amiri"/>
          <w:color w:val="111111"/>
          <w:sz w:val="28"/>
          <w:sz w:val="28"/>
          <w:szCs w:val="28"/>
          <w:rtl w:val="true"/>
          <w:lang w:bidi="ar-SA"/>
        </w:rPr>
        <w:t>الحَاْجّ السَّيِّد مُحَمَّد بَاْقِر المُوْسَوِيّ الشَّفْتِيّ قُدِّسَ سِرُّه</w:t>
      </w:r>
    </w:p>
    <w:p>
      <w:pPr>
        <w:pStyle w:val="BookText"/>
        <w:rPr/>
      </w:pPr>
      <w:r>
        <w:rPr>
          <w:rFonts w:ascii="Amiri" w:hAnsi="Amiri" w:eastAsia="Amiri" w:cs="Amiri"/>
          <w:color w:val="111111"/>
          <w:sz w:val="28"/>
          <w:sz w:val="28"/>
          <w:szCs w:val="28"/>
          <w:rtl w:val="true"/>
          <w:lang w:bidi="ar-SA"/>
        </w:rPr>
        <w:t>المَعْرُوْف بِحُجَّةِ الْإِسْلَاْمِ عَلَى الْإِطْلَاْق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السَّيِّد مُحَمَّد الرِّضَا الشَّفْتِيّ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3427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الرابع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24_170343"/>
      <w:bookmarkStart w:id="8" w:name="pg16224_170343"/>
      <w:bookmarkEnd w:id="8"/>
    </w:p>
    <w:p>
      <w:pPr>
        <w:pStyle w:val="Heading2"/>
        <w:numPr>
          <w:ilvl w:val="1"/>
          <w:numId w:val="1"/>
        </w:numPr>
        <w:rPr/>
      </w:pPr>
      <w:bookmarkStart w:id="9" w:name="pg16224_170343"/>
      <w:bookmarkStart w:id="10" w:name="__RefHeading___Toc3734274_1280447820"/>
      <w:bookmarkStart w:id="11" w:name="_Toc3"/>
      <w:bookmarkEnd w:id="9"/>
      <w:bookmarkEnd w:id="10"/>
      <w:r>
        <w:rPr>
          <w:rtl w:val="true"/>
        </w:rPr>
        <w:t>الباب الرابع</w:t>
      </w:r>
      <w:r>
        <w:rPr>
          <w:rtl w:val="true"/>
        </w:rPr>
        <w:t xml:space="preserve">: </w:t>
      </w:r>
      <w:r>
        <w:rPr>
          <w:rtl w:val="true"/>
        </w:rPr>
        <w:t>في تقسيم الحقيقة والمجاز إلى الأقسام المعروفة وما يتعلّق بها من الأمور المهمّة</w:t>
      </w:r>
      <w:bookmarkEnd w:id="11"/>
    </w:p>
    <w:p>
      <w:pPr>
        <w:pStyle w:val="Heading3"/>
        <w:numPr>
          <w:ilvl w:val="2"/>
          <w:numId w:val="1"/>
        </w:numPr>
        <w:rPr/>
      </w:pPr>
      <w:bookmarkStart w:id="12" w:name="__RefHeading___Toc3734276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ينقسم باعتبارات مختلفة إلى أقسام متعدّدة؛ لأنّه بالنسبة إلى الموضوع 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 والنوعيّ، وقد تقدّم تحقيقهما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وباعتبار الوضع والموضوع له ينقسم بحسب الاحتمالات العقليّة إلى أقسام أربعة؛ لأنّ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المعنى المتصوّر حال الوضع</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 له كليهما إمّا خاصّ أو عامّ، أو الثاني الأوّل والأوّل الثاني، أو بالعكس، ويجيء تحقيقها في الخاتمة بإعانة الله سبحانه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المتصوّر والموضوع له متّحد، فلا معنى لهذه القسمة، وأيضًا لمّا كان المعنى المتصوّر والموضوع له متّحدًا، فلا محالة إن كان المعنى خاصًّا كان الموضوع له كذلك، وإن كان عامًّا فكذلك، فلا يتصوّر الاختلاف</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 ممنوع؛ لأنّ المعنى المتصوّر إنّما يطلق عليه لفظ الموضوع له إذا عيّن له اللفظ، وأمّا عند تصوّره مع عدم التعيين فإنّما يسمّى بالوضع، لا </w:t>
      </w:r>
    </w:p>
    <w:p>
      <w:pPr>
        <w:pStyle w:val="BookText"/>
        <w:rPr/>
      </w:pPr>
      <w:r>
        <w:rPr>
          <w:rFonts w:ascii="Amiri" w:hAnsi="Amiri" w:eastAsia="Amiri" w:cs="Amiri"/>
          <w:color w:val="111111"/>
          <w:sz w:val="28"/>
          <w:sz w:val="28"/>
          <w:szCs w:val="28"/>
          <w:rtl w:val="true"/>
          <w:lang w:bidi="ar-SA"/>
        </w:rPr>
        <w:t>الموضوع له، وهما قد يتّحدان بالذات، كما إذا كان الوضع عامًّا والموضوع له كذلك، أو كلاهما خاصًّا، لكنّهما مختلفان بالاعتبار على ما عرفت من أنّه باعتبار تعقّله حال الوضع يسمّى بالوضع، ومن حيث إنّه عيّن له اللفظ يسمّى بالموضوع له، وقد يفترقان ذاتًا أيضًا كما في غيرهما،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وباعتبار الواضع 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شرعيّ، وعرفيّ خاصّ أو عامّ، ولغويّ</w:t>
      </w:r>
      <w:r>
        <w:rPr>
          <w:rStyle w:val="FootnoteAnchor"/>
          <w:rtl w:val="true"/>
        </w:rPr>
        <w:footnoteReference w:id="4"/>
      </w:r>
      <w:r>
        <w:rPr>
          <w:rFonts w:ascii="Amiri" w:hAnsi="Amiri" w:eastAsia="Amiri" w:cs="Amiri"/>
          <w:color w:val="111111"/>
          <w:sz w:val="28"/>
          <w:sz w:val="28"/>
          <w:szCs w:val="28"/>
          <w:rtl w:val="true"/>
          <w:lang w:bidi="ar-SA"/>
        </w:rPr>
        <w:t>لأنّ تعيين اللفظ بإزاء المعنى إمّا مستند إلى الشارع، أو العرف، أو أهل اللغة، ويسمّى التعيين في الأوّل بالوضع الشرعيّ، والثاني بالعرفيّ، والثالث باللغويّ، واللفظ بالحقيقة الشرعيّة والعرفيّة واللغويّة على التفصيل المذكور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هذا المقام في بيان هذه الأقسام وما يترتّب عليها من الأحوال والأحكام،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الحال فيها يستدعي التكلّم في فصول</w:t>
      </w:r>
      <w:r>
        <w:rPr>
          <w:rFonts w:eastAsia="Amiri" w:cs="Amiri" w:ascii="Amiri" w:hAnsi="Amiri"/>
          <w:color w:val="111111"/>
          <w:sz w:val="28"/>
          <w:szCs w:val="28"/>
          <w:rtl w:val="true"/>
          <w:lang w:bidi="ar-SA"/>
        </w:rPr>
        <w:t xml:space="preserve">: </w:t>
      </w:r>
      <w:bookmarkStart w:id="14" w:name="pg16224_170345"/>
    </w:p>
    <w:p>
      <w:pPr>
        <w:pStyle w:val="Heading3"/>
        <w:numPr>
          <w:ilvl w:val="2"/>
          <w:numId w:val="1"/>
        </w:numPr>
        <w:rPr/>
      </w:pPr>
      <w:bookmarkStart w:id="15" w:name="__RefHeading___Toc3734278_1280447820"/>
      <w:bookmarkStart w:id="16" w:name="_Toc5"/>
      <w:bookmarkEnd w:id="14"/>
      <w:bookmarkEnd w:id="15"/>
      <w:r>
        <w:rPr>
          <w:rtl w:val="true"/>
        </w:rPr>
        <w:t>الفصل الأوّل</w:t>
      </w:r>
      <w:r>
        <w:rPr>
          <w:rtl w:val="true"/>
        </w:rPr>
        <w:t xml:space="preserve">: </w:t>
      </w:r>
      <w:r>
        <w:rPr>
          <w:rtl w:val="true"/>
        </w:rPr>
        <w:t>في الحقيقة الشرعيّة</w:t>
      </w:r>
      <w:bookmarkEnd w:id="16"/>
    </w:p>
    <w:p>
      <w:pPr>
        <w:pStyle w:val="Heading4"/>
        <w:numPr>
          <w:ilvl w:val="3"/>
          <w:numId w:val="1"/>
        </w:numPr>
        <w:rPr/>
      </w:pPr>
      <w:bookmarkStart w:id="17" w:name="__RefHeading___Toc3734280_1280447820"/>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وتحقيق الكلام فيها يقتضي التكلّم في بيان الشارع وماهيّتها وثبوتها والثمرة المترتّبة عليها، فهنا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تعيين الشارع</w:t>
      </w:r>
    </w:p>
    <w:p>
      <w:pPr>
        <w:pStyle w:val="Heading4"/>
        <w:numPr>
          <w:ilvl w:val="3"/>
          <w:numId w:val="1"/>
        </w:numPr>
        <w:rPr/>
      </w:pPr>
      <w:bookmarkStart w:id="19" w:name="__RefHeading___Toc3734282_1280447820"/>
      <w:bookmarkStart w:id="20" w:name="_Toc7"/>
      <w:bookmarkEnd w:id="19"/>
      <w:r>
        <w:rPr>
          <w:rtl w:val="true"/>
        </w:rPr>
        <w:t>المبحث الأوّل</w:t>
      </w:r>
      <w:r>
        <w:rPr>
          <w:rtl w:val="true"/>
        </w:rPr>
        <w:t xml:space="preserve">: </w:t>
      </w:r>
      <w:r>
        <w:rPr>
          <w:rtl w:val="true"/>
        </w:rPr>
        <w:t>في تعيين الشارع</w:t>
      </w:r>
      <w:bookmarkEnd w:id="20"/>
    </w:p>
    <w:p>
      <w:pPr>
        <w:pStyle w:val="Heading5"/>
        <w:numPr>
          <w:ilvl w:val="4"/>
          <w:numId w:val="1"/>
        </w:numPr>
        <w:rPr/>
      </w:pPr>
      <w:bookmarkStart w:id="21" w:name="__RefHeading___Toc3734284_1280447820"/>
      <w:bookmarkStart w:id="22" w:name="_Toc8"/>
      <w:bookmarkEnd w:id="21"/>
      <w:r>
        <w:rPr>
          <w:rtl w:val="true"/>
        </w:rPr>
        <w:t>اشارة</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الشارع</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جملة من الآيات القرآنيّة أنّه هو الله سبحانه،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الجاثية مخاطبًا إلى سيّد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جَعَلْنَاكَ عَلَى شَرِيعَةٍ مِنَ الْأَمْرِ فَاتَّبِعْهَا وَلَا تَتَّبِعْ أَهْوَاءَ الَّذِينَ لَا يَعْلَمُونَ</w:t>
      </w:r>
      <w:r>
        <w:rPr>
          <w:rStyle w:val="FootnoteAnchor"/>
          <w:rtl w:val="true"/>
        </w:rPr>
        <w:footnoteReference w:id="6"/>
      </w:r>
      <w:r>
        <w:rPr>
          <w:rFonts w:ascii="Amiri" w:hAnsi="Amiri" w:eastAsia="Amiri" w:cs="Amiri"/>
          <w:color w:val="111111"/>
          <w:sz w:val="28"/>
          <w:sz w:val="28"/>
          <w:szCs w:val="28"/>
          <w:rtl w:val="true"/>
          <w:lang w:bidi="ar-SA"/>
        </w:rPr>
        <w:t>، وجه الدلالة ظاهر؛ إذ الشارع هو جاعل الشرع وقد دلّت الآية الشريفة أنّه هو الله تعالى،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جَعَلْنَا مِنْكُمْ شِرْعَةً وَمِنْهَاجًا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الشرعة والشريعة بمعنى</w:t>
      </w:r>
      <w:r>
        <w:rPr>
          <w:rStyle w:val="FootnoteAnchor"/>
          <w:rtl w:val="true"/>
        </w:rPr>
        <w:footnoteReference w:id="8"/>
      </w:r>
      <w:r>
        <w:rPr>
          <w:rFonts w:ascii="Amiri" w:hAnsi="Amiri" w:eastAsia="Amiri" w:cs="Amiri"/>
          <w:color w:val="111111"/>
          <w:sz w:val="28"/>
          <w:sz w:val="28"/>
          <w:szCs w:val="28"/>
          <w:rtl w:val="true"/>
          <w:lang w:bidi="ar-SA"/>
        </w:rPr>
        <w:t>، والشريعة على ما قال بعضهم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الطريقة إلى الماء، استعيرت للطريقة المتحقّقة في الدين؛ لكونها موجبة للحياة الأبديّة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أثير في تفسير الآية الشريفة حاكيًا عن ابن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الشرعة والشريعة سواء، وهو الظاهر المستقيم من المذاهب</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قال في القاموس</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 على المدّعى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w:t>
      </w:r>
      <w:r>
        <w:rPr>
          <w:rStyle w:val="FootnoteAnchor"/>
          <w:rtl w:val="true"/>
        </w:rPr>
        <w:footnoteReference w:id="12"/>
      </w:r>
      <w:r>
        <w:rPr>
          <w:rFonts w:ascii="Amiri" w:hAnsi="Amiri" w:eastAsia="Amiri" w:cs="Amiri"/>
          <w:color w:val="111111"/>
          <w:sz w:val="28"/>
          <w:sz w:val="28"/>
          <w:szCs w:val="28"/>
          <w:rtl w:val="true"/>
          <w:lang w:bidi="ar-SA"/>
        </w:rPr>
        <w:t>، 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الله سبحانه، فيكون الشارع هو الله تعالى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القاموس وغيره</w:t>
      </w:r>
      <w:r>
        <w:rPr>
          <w:rStyle w:val="FootnoteAnchor"/>
          <w:rtl w:val="true"/>
        </w:rPr>
        <w:footnoteReference w:id="13"/>
      </w:r>
      <w:r>
        <w:rPr>
          <w:rFonts w:ascii="Amiri" w:hAnsi="Amiri" w:eastAsia="Amiri" w:cs="Amiri"/>
          <w:color w:val="111111"/>
          <w:sz w:val="28"/>
          <w:sz w:val="28"/>
          <w:szCs w:val="28"/>
          <w:rtl w:val="true"/>
          <w:lang w:bidi="ar-SA"/>
        </w:rPr>
        <w:t>بمعنى سَنَّ</w:t>
      </w:r>
      <w:r>
        <w:rPr>
          <w:rStyle w:val="FootnoteAnchor"/>
          <w:rtl w:val="true"/>
        </w:rPr>
        <w:footnoteReference w:id="14"/>
      </w:r>
      <w:r>
        <w:rPr>
          <w:rFonts w:ascii="Amiri" w:hAnsi="Amiri" w:eastAsia="Amiri" w:cs="Amiri"/>
          <w:color w:val="111111"/>
          <w:sz w:val="28"/>
          <w:sz w:val="28"/>
          <w:szCs w:val="28"/>
          <w:rtl w:val="true"/>
          <w:lang w:bidi="ar-SA"/>
        </w:rPr>
        <w:t>، والظاهر المتبادر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 فلان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وقرّره، فيكون الشارع بمعنى واضع الشرع </w:t>
      </w:r>
    </w:p>
    <w:p>
      <w:pPr>
        <w:pStyle w:val="BookText"/>
        <w:rPr/>
      </w:pPr>
      <w:r>
        <w:rPr>
          <w:rFonts w:ascii="Amiri" w:hAnsi="Amiri" w:eastAsia="Amiri" w:cs="Amiri"/>
          <w:color w:val="111111"/>
          <w:sz w:val="28"/>
          <w:sz w:val="28"/>
          <w:szCs w:val="28"/>
          <w:rtl w:val="true"/>
          <w:lang w:bidi="ar-SA"/>
        </w:rPr>
        <w:t>والسنّة والطريقة ومقرّرها؛ ومعلوم أنّه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جملة من الآيات القرآنيّة يستفاد منها أنّ الشارع هو الله سبحانه، وهو المتبادر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إذ المفهوم منه جاعل الشرع، وهو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قال في مجمع البحرين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الشارع هو النبيّ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الّذي يظهر من جماعة من الأعلام</w:t>
      </w:r>
      <w:r>
        <w:rPr>
          <w:rStyle w:val="FootnoteAnchor"/>
          <w:rtl w:val="true"/>
        </w:rPr>
        <w:footnoteReference w:id="16"/>
      </w:r>
      <w:r>
        <w:rPr>
          <w:rFonts w:ascii="Amiri" w:hAnsi="Amiri" w:eastAsia="Amiri" w:cs="Amiri"/>
          <w:color w:val="111111"/>
          <w:sz w:val="28"/>
          <w:sz w:val="28"/>
          <w:szCs w:val="28"/>
          <w:rtl w:val="true"/>
          <w:lang w:bidi="ar-SA"/>
        </w:rPr>
        <w:t xml:space="preserve">، قال في كشف اللثام بعد أن حكم بأنّ قطع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تكبيرة الإحرام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المعهود من الشارع ونوّابه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نسبه بعض أماجد عصره وأواحد زمانه</w:t>
      </w:r>
      <w:r>
        <w:rPr>
          <w:rStyle w:val="FootnoteAnchor"/>
          <w:rtl w:val="true"/>
        </w:rPr>
        <w:footnoteReference w:id="18"/>
      </w:r>
      <w:r>
        <w:rPr>
          <w:rFonts w:ascii="IRNazanin" w:hAnsi="IRNazanin" w:eastAsia="IRNazanin"/>
          <w:color w:val="111111"/>
          <w:sz w:val="28"/>
          <w:sz w:val="28"/>
          <w:szCs w:val="28"/>
          <w:rtl w:val="true"/>
          <w:lang w:bidi="fa-IR"/>
        </w:rPr>
        <w:t>إلى الأصوليّين،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كلام القوم وغيرهم أنّ الشارع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يكون الشارع بمعنى صاحب الشريعة، أي لم يكن تابعًا لشريعة غيره، ويكون اللفظ من المنقولات العرفيّة</w:t>
      </w:r>
      <w:r>
        <w:rPr>
          <w:rFonts w:eastAsia="Amiri" w:cs="Amiri" w:ascii="Amiri" w:hAnsi="Amiri"/>
          <w:color w:val="111111"/>
          <w:sz w:val="28"/>
          <w:szCs w:val="28"/>
          <w:rtl w:val="true"/>
          <w:lang w:bidi="ar-SA"/>
        </w:rPr>
        <w:t xml:space="preserve">. </w:t>
      </w:r>
      <w:bookmarkStart w:id="23" w:name="pg16224_170348"/>
    </w:p>
    <w:p>
      <w:pPr>
        <w:pStyle w:val="Heading5"/>
        <w:numPr>
          <w:ilvl w:val="4"/>
          <w:numId w:val="1"/>
        </w:numPr>
        <w:rPr/>
      </w:pPr>
      <w:bookmarkStart w:id="24" w:name="__RefHeading___Toc3734286_1280447820"/>
      <w:bookmarkStart w:id="25" w:name="_Toc9"/>
      <w:bookmarkEnd w:id="23"/>
      <w:bookmarkEnd w:id="24"/>
      <w:r>
        <w:rPr>
          <w:rtl w:val="true"/>
        </w:rPr>
        <w:t xml:space="preserve">في ثبوت التفويض في الأحكام إلى النبيّ </w:t>
      </w:r>
      <w:r>
        <w:rPr>
          <w:rtl w:val="true"/>
        </w:rPr>
        <w:t>(</w:t>
      </w:r>
      <w:r>
        <w:rPr>
          <w:rtl w:val="true"/>
        </w:rPr>
        <w:t>صلی الله علیه و آله</w:t>
      </w:r>
      <w:r>
        <w:rPr>
          <w:rtl w:val="true"/>
        </w:rPr>
        <w:t>)</w:t>
      </w:r>
      <w:bookmarkEnd w:id="25"/>
    </w:p>
    <w:p>
      <w:pPr>
        <w:pStyle w:val="BookText"/>
        <w:rPr/>
      </w:pPr>
      <w:r>
        <w:rPr>
          <w:rFonts w:ascii="IRNazanin" w:hAnsi="IRNazanin" w:eastAsia="IRNazanin"/>
          <w:color w:val="111111"/>
          <w:sz w:val="28"/>
          <w:sz w:val="28"/>
          <w:szCs w:val="28"/>
          <w:rtl w:val="true"/>
          <w:lang w:bidi="fa-IR"/>
        </w:rPr>
        <w:t xml:space="preserve">ويمكن أن يكون إطلاقه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الأوّل أيضًا، بأن يكون الشارع بمعنى جاعل الشرع مشتركًا بينه تبارك وتعالى وبين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بناءً على ما يستفاد من النصوص المستفيضة من ثبوت التفويض إليه في جملة من الأحكام الشرعيّة، كالنصوص الدالّة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في عداد الصلاة اليوميّة، وجعل النافلة في الصلاة والصوم ضعف الفريضة، ونصب للجدّ السدس في الإرث، وحرّم المسكر عدا الخمر، وأثبت الدية للعين والنفس</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المرويّ في الكافي والفقيه،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عداد ركعات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الّذي فرض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على العباد عشر ركعات وفيهنّ القراءة وليس فيهنّ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Style w:val="FootnoteAnchor"/>
          <w:rtl w:val="true"/>
        </w:rPr>
        <w:footnoteReference w:id="22"/>
      </w:r>
      <w:r>
        <w:rPr>
          <w:rFonts w:ascii="IRNazanin" w:hAnsi="IRNazanin" w:eastAsia="IRNazanin"/>
          <w:color w:val="111111"/>
          <w:sz w:val="28"/>
          <w:sz w:val="28"/>
          <w:szCs w:val="28"/>
          <w:rtl w:val="true"/>
          <w:lang w:bidi="fa-IR"/>
        </w:rPr>
        <w:t>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وفيهنّ السهو</w:t>
      </w:r>
      <w:r>
        <w:rPr>
          <w:rStyle w:val="FootnoteAnchor"/>
          <w:rtl w:val="true"/>
        </w:rPr>
        <w:footnoteReference w:id="23"/>
      </w:r>
      <w:r>
        <w:rPr>
          <w:rFonts w:ascii="Amiri" w:hAnsi="Amiri" w:eastAsia="Amiri" w:cs="Amiri"/>
          <w:color w:val="111111"/>
          <w:sz w:val="28"/>
          <w:sz w:val="28"/>
          <w:szCs w:val="28"/>
          <w:rtl w:val="true"/>
          <w:lang w:bidi="ar-SA"/>
        </w:rPr>
        <w:t>وليس فيهنّ قراءة</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الحديث</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المرويّ في الباب المذكور من الكافي،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عشر ركعات، ركعتان من الظهر وركعتان من العصر وركعتا الصبح وركعتا المغرب </w:t>
      </w:r>
    </w:p>
    <w:p>
      <w:pPr>
        <w:pStyle w:val="BookText"/>
        <w:rPr/>
      </w:pPr>
      <w:r>
        <w:rPr>
          <w:rFonts w:ascii="IRNazanin" w:hAnsi="IRNazanin" w:eastAsia="IRNazanin"/>
          <w:color w:val="111111"/>
          <w:sz w:val="28"/>
          <w:sz w:val="28"/>
          <w:szCs w:val="28"/>
          <w:rtl w:val="true"/>
          <w:lang w:bidi="fa-IR"/>
        </w:rPr>
        <w:t xml:space="preserve">وركعتا العشاء الآخرة لا يجوز الوهم فيهنّ، ومَن وهم في شيء منهنّ استقبل الصلاة استقبالًا، وهي الصلاة الّتي فرضها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المؤمنين في القرآن وفوّض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سبع ركعات، وهي سنّة ليس فيهنّ قراءة</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فضيل بن يسار المرويّة في الكافي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التفويض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لبعض أصحاب قيس الماصر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نبيّه فأحسن أدبه، فلمّا أكمل له الأدب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لَعَلَى خُلُقٍ عَظِيمٍ</w:t>
      </w:r>
      <w:r>
        <w:rPr>
          <w:rStyle w:val="FootnoteAnchor"/>
          <w:rtl w:val="true"/>
        </w:rPr>
        <w:footnoteReference w:id="27"/>
      </w:r>
      <w:r>
        <w:rPr>
          <w:rFonts w:ascii="Amiri" w:hAnsi="Amiri" w:eastAsia="Amiri" w:cs="Amiri"/>
          <w:color w:val="111111"/>
          <w:sz w:val="28"/>
          <w:sz w:val="28"/>
          <w:szCs w:val="28"/>
          <w:rtl w:val="true"/>
          <w:lang w:bidi="ar-SA"/>
        </w:rPr>
        <w:t>، ثمّ فوّض إليه أمر الدين والأمّة ليسوس</w:t>
      </w:r>
      <w:r>
        <w:rPr>
          <w:rStyle w:val="FootnoteAnchor"/>
          <w:rtl w:val="true"/>
        </w:rPr>
        <w:footnoteReference w:id="28"/>
      </w:r>
      <w:r>
        <w:rPr>
          <w:rFonts w:ascii="IRNazanin" w:hAnsi="IRNazanin" w:eastAsia="IRNazanin"/>
          <w:color w:val="111111"/>
          <w:sz w:val="28"/>
          <w:sz w:val="28"/>
          <w:szCs w:val="28"/>
          <w:rtl w:val="true"/>
          <w:lang w:bidi="fa-IR"/>
        </w:rPr>
        <w:t xml:space="preserve">عباده،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آتَاكُمُ الرَّسُولُ فَخُذُوهُ وَمَا نَهَاكُمْ عَنْهُ فَانْتَهُوا</w:t>
      </w:r>
      <w:r>
        <w:rPr>
          <w:rStyle w:val="FootnoteAnchor"/>
          <w:rtl w:val="true"/>
        </w:rPr>
        <w:footnoteReference w:id="29"/>
      </w:r>
      <w:r>
        <w:rPr>
          <w:rFonts w:ascii="IRNazanin" w:hAnsi="IRNazanin" w:eastAsia="IRNazanin"/>
          <w:color w:val="111111"/>
          <w:sz w:val="28"/>
          <w:sz w:val="28"/>
          <w:szCs w:val="28"/>
          <w:rtl w:val="true"/>
          <w:lang w:bidi="fa-IR"/>
        </w:rPr>
        <w:t xml:space="preserve">، 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مسدّدًا موفّقًا مؤيّدًا بروح القدس، لا يزلّ ولا يخطئ في شيء ممّا يسوس به الخلق، فتأدّب بآداب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الصلاة ركعتين ركعتين عشر ركعات، فأضاف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الركعتين ركعتين وإلى المغرب ركعة، فصارت عديل الفريضة، لا يجوز تركهنّ إلّا في سفر، وأفرد الركعة في المغرب، فتركها قائمة في السفر والحضر، فأجاز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ذلك كلّه، فصارت الفريضة سبع عشر ركعة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النوافل أربعًا وثلاثين ركعة مِثْلَي الفريضة، فأجاز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p>
    <w:p>
      <w:pPr>
        <w:pStyle w:val="BookText"/>
        <w:rPr/>
      </w:pPr>
      <w:r>
        <w:rPr>
          <w:rFonts w:ascii="Amiri" w:hAnsi="Amiri" w:eastAsia="Amiri" w:cs="Amiri"/>
          <w:color w:val="111111"/>
          <w:sz w:val="28"/>
          <w:sz w:val="28"/>
          <w:szCs w:val="28"/>
          <w:rtl w:val="true"/>
          <w:lang w:bidi="ar-SA"/>
        </w:rPr>
        <w:t>ذلك، والفريضة والنافلة إحدى وخمسون ركعة، منها ركعتان بعد العتمة جالسًا تعدّ</w:t>
      </w:r>
      <w:r>
        <w:rPr>
          <w:rStyle w:val="FootnoteAnchor"/>
          <w:rtl w:val="true"/>
        </w:rPr>
        <w:footnoteReference w:id="30"/>
      </w:r>
      <w:r>
        <w:rPr>
          <w:rFonts w:ascii="IRNazanin" w:hAnsi="IRNazanin" w:eastAsia="IRNazanin"/>
          <w:color w:val="111111"/>
          <w:sz w:val="28"/>
          <w:sz w:val="28"/>
          <w:szCs w:val="28"/>
          <w:rtl w:val="true"/>
          <w:lang w:bidi="fa-IR"/>
        </w:rPr>
        <w:t xml:space="preserve">بركعة مكان الوتر، وفرض الله في السنة صوم شهر رمضان، وسنّ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شعبان وثلاثة أيّام في كلّ شهر مِثْلَي الفريضة، فأجاز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ذلك، وحرّم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بعينها، وحرّم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المسكر من كلّ شراب، فأجاز الله له ذلك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وعاف</w:t>
      </w:r>
      <w:r>
        <w:rPr>
          <w:rStyle w:val="FootnoteAnchor"/>
          <w:rtl w:val="true"/>
        </w:rPr>
        <w:footnoteReference w:id="31"/>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أشياء وكرهها ولم ينهِ عنها نهي حرام، إنّما نهى عنها نهي إعافة</w:t>
      </w:r>
      <w:r>
        <w:rPr>
          <w:rStyle w:val="FootnoteAnchor"/>
          <w:rtl w:val="true"/>
        </w:rPr>
        <w:footnoteReference w:id="32"/>
      </w:r>
      <w:r>
        <w:rPr>
          <w:rFonts w:ascii="Amiri" w:hAnsi="Amiri" w:eastAsia="Amiri" w:cs="Amiri"/>
          <w:color w:val="111111"/>
          <w:sz w:val="28"/>
          <w:sz w:val="28"/>
          <w:szCs w:val="28"/>
          <w:rtl w:val="true"/>
          <w:lang w:bidi="ar-SA"/>
        </w:rPr>
        <w:t>وكراهة، ثمّ رخّص فيها، فصار الأخذ برخصته</w:t>
      </w:r>
      <w:r>
        <w:rPr>
          <w:rStyle w:val="FootnoteAnchor"/>
          <w:rtl w:val="true"/>
        </w:rPr>
        <w:footnoteReference w:id="33"/>
      </w:r>
      <w:r>
        <w:rPr>
          <w:rFonts w:ascii="IRNazanin" w:hAnsi="IRNazanin" w:eastAsia="IRNazanin"/>
          <w:color w:val="111111"/>
          <w:sz w:val="28"/>
          <w:sz w:val="28"/>
          <w:szCs w:val="28"/>
          <w:rtl w:val="true"/>
          <w:lang w:bidi="fa-IR"/>
        </w:rPr>
        <w:t xml:space="preserve">واجبًا على العباد، كوجوب ما يأخذون بنهيه وعزائمه، ولم يرخّص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نهاهم عنه نهي حرام ولا فيما أمر به أمر فرض لازم، فكثيرُ المسكر من الأشربة نهاهم عنه نهي حرام لَمْ يرخّص فيه لأحد، ولم يرخّص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تقصير الركعتين اللّتين ضمّهما إلى ما فرض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ألزمهم ذلك إلزامًا واجبًا لم يرخّص لأحد في شيء من ذلك إلّا المسافر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لأحد أن يرخّص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ما لم يرخّصه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فوافق أمرُ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ونهيُهُ نهيَ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ووجب على العباد التسليم له كالتسليم لله تبارك وتعالى</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المرويّ في الباب أيضًا عن محمّد بن سنان، عن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أدّب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انتهى به إلى ما أراد قال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وَإِنَّكَ لَعَلَى خُلُقٍ عَظِيمٍ</w:t>
      </w:r>
      <w:r>
        <w:rPr>
          <w:rStyle w:val="FootnoteAnchor"/>
          <w:rtl w:val="true"/>
        </w:rPr>
        <w:footnoteReference w:id="37"/>
      </w:r>
      <w:r>
        <w:rPr>
          <w:rFonts w:ascii="Amiri" w:hAnsi="Amiri" w:eastAsia="Amiri" w:cs="Amiri"/>
          <w:color w:val="111111"/>
          <w:sz w:val="28"/>
          <w:sz w:val="28"/>
          <w:szCs w:val="28"/>
          <w:rtl w:val="true"/>
          <w:lang w:bidi="ar-SA"/>
        </w:rPr>
        <w:t>، ففوّض إليه دينه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آتَاكُمُ الرَّسُولُ فَخُذُوهُ وَمَا نَهَاكُمْ عَنْهُ فَانْتَهُوا</w:t>
      </w:r>
      <w:r>
        <w:rPr>
          <w:rStyle w:val="FootnoteAnchor"/>
          <w:rtl w:val="true"/>
        </w:rPr>
        <w:footnoteReference w:id="38"/>
      </w:r>
      <w:r>
        <w:rPr>
          <w:rFonts w:ascii="IRNazanin" w:hAnsi="IRNazanin" w:eastAsia="IRNazanin"/>
          <w:color w:val="111111"/>
          <w:sz w:val="28"/>
          <w:sz w:val="28"/>
          <w:szCs w:val="28"/>
          <w:rtl w:val="true"/>
          <w:lang w:bidi="fa-IR"/>
        </w:rPr>
        <w:t xml:space="preserve">، 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الفرائض ولم يقسم للجدّ شيئًا، 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أطعمه السدس، فأجاز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ذلك، وذلك</w:t>
      </w:r>
      <w:r>
        <w:rPr>
          <w:rStyle w:val="FootnoteAnchor"/>
          <w:rtl w:val="true"/>
        </w:rPr>
        <w:footnoteReference w:id="39"/>
      </w: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عَطَاؤُنَا فَامْنُنْ أَوْ أَمْسِكْ بِغَيْرِ حِسَابٍ</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المرويّ في الباب أيضًا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العين وديّة النفس، وحرّم النبيذ وكلّ مسكر،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أن يكون جاء فيه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ليعلم من يطيع الرسول ممّن يعصيه</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26" w:name="pg16224_170352"/>
    </w:p>
    <w:p>
      <w:pPr>
        <w:pStyle w:val="BookText"/>
        <w:rPr/>
      </w:pPr>
      <w:bookmarkEnd w:id="26"/>
      <w:r>
        <w:rPr>
          <w:rFonts w:ascii="IRNazanin" w:hAnsi="IRNazanin" w:eastAsia="IRNazanin"/>
          <w:color w:val="111111"/>
          <w:sz w:val="28"/>
          <w:sz w:val="28"/>
          <w:szCs w:val="28"/>
          <w:rtl w:val="true"/>
          <w:lang w:bidi="fa-IR"/>
        </w:rPr>
        <w:t xml:space="preserve">وهذه جملة من النصوص الواردة في هذا الباب، والمستفاد منها ومن غيرها ثبوت التفويض في الأحكام إلى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وآله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ومقتضاه أنّ الأحكام المفوّضة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يسبق فيها من الله تعالى وحيٌ ولا خطاب بتحريم أو إيجاب، بل الحاكم فيها وواضعها النبيّ، ولا شبهة أنّ تلك الأحكام من السنّة والشريعة، فيكون واضعها شارعًا بالمعنى المذكور، أي جاعل الشرع</w:t>
      </w:r>
      <w:r>
        <w:rPr>
          <w:rFonts w:eastAsia="IRNazanin" w:cs="IRNazanin"/>
          <w:color w:val="111111"/>
          <w:sz w:val="28"/>
          <w:szCs w:val="28"/>
          <w:rtl w:val="true"/>
          <w:lang w:bidi="fa-IR"/>
        </w:rPr>
        <w:t>.</w:t>
      </w:r>
    </w:p>
    <w:p>
      <w:pPr>
        <w:pStyle w:val="Heading5"/>
        <w:numPr>
          <w:ilvl w:val="4"/>
          <w:numId w:val="1"/>
        </w:numPr>
        <w:rPr/>
      </w:pPr>
      <w:bookmarkStart w:id="27" w:name="__RefHeading___Toc3734288_1280447820"/>
      <w:bookmarkStart w:id="28" w:name="_Toc10"/>
      <w:bookmarkEnd w:id="27"/>
      <w:r>
        <w:rPr>
          <w:rtl w:val="true"/>
        </w:rPr>
        <w:t xml:space="preserve">في الإشكالات الواردة على تفويض الأحكام إليه </w:t>
      </w:r>
      <w:r>
        <w:rPr>
          <w:rtl w:val="true"/>
        </w:rPr>
        <w:t>(</w:t>
      </w:r>
      <w:r>
        <w:rPr>
          <w:rtl w:val="true"/>
        </w:rPr>
        <w:t>صلی الله علیه و آله</w:t>
      </w:r>
      <w:r>
        <w:rPr>
          <w:rtl w:val="true"/>
        </w:rPr>
        <w:t>)</w:t>
      </w:r>
      <w:bookmarkEnd w:id="28"/>
    </w:p>
    <w:p>
      <w:pPr>
        <w:pStyle w:val="BookText"/>
        <w:rPr/>
      </w:pPr>
      <w:r>
        <w:rPr>
          <w:rFonts w:ascii="Amiri" w:hAnsi="Amiri" w:eastAsia="Amiri" w:cs="Amiri"/>
          <w:color w:val="111111"/>
          <w:sz w:val="28"/>
          <w:sz w:val="28"/>
          <w:szCs w:val="28"/>
          <w:rtl w:val="true"/>
          <w:lang w:bidi="ar-SA"/>
        </w:rPr>
        <w:t>ثمّ إنّ التفويض بهذا المعنى وإن دلّت عليه النصوص المذكورة وأمثالها، إلّا أنّه يتوجّه عليه الإشكال من وجوه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المفهوم من الحديث الأوّل والثاني أنّ التفويض المذكور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بعد أن تشرّف بخطاب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وَإِنَّكَ لَعَلَى خُلُقٍ عَظِيمٍ</w:t>
      </w:r>
      <w:r>
        <w:rPr>
          <w:rStyle w:val="FootnoteAnchor"/>
          <w:rtl w:val="true"/>
        </w:rPr>
        <w:footnoteReference w:id="44"/>
      </w:r>
      <w:r>
        <w:rPr>
          <w:rFonts w:ascii="Amiri" w:hAnsi="Amiri" w:eastAsia="Amiri" w:cs="Amiri"/>
          <w:color w:val="111111"/>
          <w:sz w:val="28"/>
          <w:sz w:val="28"/>
          <w:szCs w:val="28"/>
          <w:rtl w:val="true"/>
          <w:lang w:bidi="ar-SA"/>
        </w:rPr>
        <w:t>، وهو في سورة القلم، فيلزم أن يكون قبل نزول تلك السورة لم تكن صلاة الظهر مثلًا أربع ركعات، بل ركعتين، وهو ممّا لا يُلتزم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يخفى أنّ أحكام الله تعالى هو ما حكم الله تعالى به ووضعه، والمفروض أنّ الأحكام المذكورة لم يرد فيها منه تعالى وحيٌ ولا خطاب، فلا يكون حكم الله تعالى، والضرورة قاضية بفساده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ينافي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w:t>
      </w:r>
      <w:bookmarkStart w:id="29" w:name="pg16224_170353"/>
    </w:p>
    <w:p>
      <w:pPr>
        <w:pStyle w:val="BookText"/>
        <w:rPr/>
      </w:pPr>
      <w:bookmarkEnd w:id="29"/>
      <w:r>
        <w:rPr>
          <w:rFonts w:ascii="Amiri" w:hAnsi="Amiri" w:eastAsia="Amiri" w:cs="Amiri"/>
          <w:color w:val="111111"/>
          <w:sz w:val="28"/>
          <w:sz w:val="28"/>
          <w:szCs w:val="28"/>
          <w:rtl w:val="true"/>
          <w:lang w:bidi="ar-SA"/>
        </w:rPr>
        <w:t>يُوحَى</w:t>
      </w:r>
      <w:r>
        <w:rPr>
          <w:rStyle w:val="FootnoteAnchor"/>
          <w:rtl w:val="true"/>
        </w:rPr>
        <w:footnoteReference w:id="45"/>
      </w:r>
      <w:r>
        <w:rPr>
          <w:rFonts w:ascii="IRNazanin" w:hAnsi="IRNazanin" w:eastAsia="IRNazanin"/>
          <w:color w:val="111111"/>
          <w:sz w:val="28"/>
          <w:sz w:val="28"/>
          <w:szCs w:val="28"/>
          <w:rtl w:val="true"/>
          <w:lang w:bidi="fa-IR"/>
        </w:rPr>
        <w:t xml:space="preserve">، أي ليس منطوق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وحيًا يوحى من الله تعالى إليه، وهو لا يجتمع مع جعل الأحكام من قبل نفسه</w:t>
      </w:r>
      <w:r>
        <w:rPr>
          <w:rFonts w:eastAsia="IRNazanin" w:cs="IRNazanin"/>
          <w:color w:val="111111"/>
          <w:sz w:val="28"/>
          <w:szCs w:val="28"/>
          <w:rtl w:val="true"/>
          <w:lang w:bidi="fa-IR"/>
        </w:rPr>
        <w:t>.</w:t>
      </w:r>
    </w:p>
    <w:p>
      <w:pPr>
        <w:pStyle w:val="Heading5"/>
        <w:numPr>
          <w:ilvl w:val="4"/>
          <w:numId w:val="1"/>
        </w:numPr>
        <w:rPr/>
      </w:pPr>
      <w:bookmarkStart w:id="30" w:name="__RefHeading___Toc3734290_1280447820"/>
      <w:bookmarkStart w:id="31" w:name="_Toc11"/>
      <w:bookmarkEnd w:id="30"/>
      <w:r>
        <w:rPr>
          <w:rtl w:val="true"/>
        </w:rPr>
        <w:t xml:space="preserve">الجواب عن الإشكالات الواردة على تفويض الأحكام إليه </w:t>
      </w:r>
      <w:r>
        <w:rPr>
          <w:rtl w:val="true"/>
        </w:rPr>
        <w:t>(</w:t>
      </w:r>
      <w:r>
        <w:rPr>
          <w:rtl w:val="true"/>
        </w:rPr>
        <w:t>صلی الله علیه و آله</w:t>
      </w:r>
      <w:r>
        <w:rPr>
          <w:rtl w:val="true"/>
        </w:rPr>
        <w:t>)</w:t>
      </w:r>
      <w:bookmarkEnd w:id="31"/>
    </w:p>
    <w:p>
      <w:pPr>
        <w:pStyle w:val="BookText"/>
        <w:rPr/>
      </w:pPr>
      <w:r>
        <w:rPr>
          <w:rFonts w:ascii="Amiri" w:hAnsi="Amiri" w:eastAsia="Amiri" w:cs="Amiri"/>
          <w:color w:val="111111"/>
          <w:sz w:val="28"/>
          <w:sz w:val="28"/>
          <w:szCs w:val="28"/>
          <w:rtl w:val="true"/>
          <w:lang w:bidi="ar-SA"/>
        </w:rPr>
        <w:t>ويمكن الجواب، أمّا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ما المانع عن التزام كون صلاة الظهر مثلًا</w:t>
      </w:r>
      <w:r>
        <w:rPr>
          <w:rStyle w:val="FootnoteAnchor"/>
          <w:rtl w:val="true"/>
        </w:rPr>
        <w:footnoteReference w:id="46"/>
      </w:r>
      <w:r>
        <w:rPr>
          <w:rFonts w:ascii="Amiri" w:hAnsi="Amiri" w:eastAsia="Amiri" w:cs="Amiri"/>
          <w:color w:val="111111"/>
          <w:sz w:val="28"/>
          <w:sz w:val="28"/>
          <w:szCs w:val="28"/>
          <w:rtl w:val="true"/>
          <w:lang w:bidi="ar-SA"/>
        </w:rPr>
        <w:t>ركعتين قبل نزول سورة القلم، وبعد نزولها صارت أربع ركعات، وقد نقل عن ابن عبّاس</w:t>
      </w:r>
      <w:r>
        <w:rPr>
          <w:rStyle w:val="FootnoteAnchor"/>
          <w:rtl w:val="true"/>
        </w:rPr>
        <w:footnoteReference w:id="47"/>
      </w:r>
      <w:r>
        <w:rPr>
          <w:rFonts w:ascii="Amiri" w:hAnsi="Amiri" w:eastAsia="Amiri" w:cs="Amiri"/>
          <w:color w:val="111111"/>
          <w:sz w:val="28"/>
          <w:sz w:val="28"/>
          <w:szCs w:val="28"/>
          <w:rtl w:val="true"/>
          <w:lang w:bidi="ar-SA"/>
        </w:rPr>
        <w:t>أنّ أوّل ما أنزل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w:t>
      </w:r>
      <w:r>
        <w:rPr>
          <w:rStyle w:val="FootnoteAnchor"/>
          <w:rtl w:val="true"/>
        </w:rPr>
        <w:footnoteReference w:id="48"/>
      </w:r>
      <w:r>
        <w:rPr>
          <w:rFonts w:ascii="Amiri" w:hAnsi="Amiri" w:eastAsia="Amiri" w:cs="Amiri"/>
          <w:color w:val="111111"/>
          <w:sz w:val="28"/>
          <w:sz w:val="28"/>
          <w:szCs w:val="28"/>
          <w:rtl w:val="true"/>
          <w:lang w:bidi="ar-SA"/>
        </w:rPr>
        <w:t>، ثمّ ن وَالْقَلَمِ</w:t>
      </w:r>
      <w:r>
        <w:rPr>
          <w:rStyle w:val="FootnoteAnchor"/>
          <w:rtl w:val="true"/>
        </w:rPr>
        <w:footnoteReference w:id="49"/>
      </w:r>
      <w:r>
        <w:rPr>
          <w:rFonts w:ascii="IRNazanin" w:hAnsi="IRNazanin" w:eastAsia="IRNazanin"/>
          <w:color w:val="111111"/>
          <w:sz w:val="28"/>
          <w:sz w:val="28"/>
          <w:szCs w:val="28"/>
          <w:rtl w:val="true"/>
          <w:lang w:bidi="fa-IR"/>
        </w:rPr>
        <w:t>إلى آخره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إلى أنّه روى ثقة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تعالى روضته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النوادر من أواخر كتاب صلاة الكافي، عن عبد الله بن سليمان العامريّ،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عرج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بالصلاة عشر ركعات ركعتين ركعتين، فلمّا ولد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ركعات شكرًا لله، فأجاز الله له ذلك، وترك الفجر لم يزد فيها لضيق </w:t>
      </w:r>
    </w:p>
    <w:p>
      <w:pPr>
        <w:pStyle w:val="BookText"/>
        <w:rPr/>
      </w:pPr>
      <w:r>
        <w:rPr>
          <w:rFonts w:ascii="Amiri" w:hAnsi="Amiri" w:eastAsia="Amiri" w:cs="Amiri"/>
          <w:color w:val="111111"/>
          <w:sz w:val="28"/>
          <w:sz w:val="28"/>
          <w:szCs w:val="28"/>
          <w:rtl w:val="true"/>
          <w:lang w:bidi="ar-SA"/>
        </w:rPr>
        <w:t>وقتها؛ لأنّه تحضرها ملائكة الليل وملائكة النهار</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الحديث</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فرض تسليم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جزئيّة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w:t>
      </w:r>
      <w:r>
        <w:rPr>
          <w:rStyle w:val="FootnoteAnchor"/>
          <w:rtl w:val="true"/>
        </w:rPr>
        <w:footnoteReference w:id="53"/>
      </w:r>
      <w:r>
        <w:rPr>
          <w:rFonts w:ascii="Amiri" w:hAnsi="Amiri" w:eastAsia="Amiri" w:cs="Amiri"/>
          <w:color w:val="111111"/>
          <w:sz w:val="28"/>
          <w:sz w:val="28"/>
          <w:szCs w:val="28"/>
          <w:rtl w:val="true"/>
          <w:lang w:bidi="ar-SA"/>
        </w:rPr>
        <w:t>لسورة القلم غير مستلزمة لعدم توجّهه</w:t>
      </w:r>
      <w:r>
        <w:rPr>
          <w:rStyle w:val="FootnoteAnchor"/>
          <w:rtl w:val="true"/>
        </w:rPr>
        <w:footnoteReference w:id="54"/>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نزولها حتّى يلزم أن لا تكون صلاة الظهر أربع ركعات قبل نزولها كما لا يخفى</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تعالى حكيم والحكيم لا يفوّض الأمر إلّا بعد علمه بأنّ المفوّض إليه قد بلغ في الكمال والرتبة والشرف والفضيلة حدًّا يمكن اتّصاله به تعالى اتّصالًا معنويًّا وقربه منه سبحانه غاية القرب قربًا روحانيًّا، فيطّلع بذلك إلى مرضيّاته ومزجوراته، فيخبر بذلك ويحكيه عنه، ولا شبهة في صدق حكم الله تعالى بالنسبة إلى أمثاله، ولذا كان الله تعالى يجيزه</w:t>
      </w:r>
      <w:r>
        <w:rPr>
          <w:rStyle w:val="FootnoteAnchor"/>
          <w:rtl w:val="true"/>
        </w:rPr>
        <w:footnoteReference w:id="55"/>
      </w:r>
      <w:r>
        <w:rPr>
          <w:rFonts w:ascii="Amiri" w:hAnsi="Amiri" w:eastAsia="Amiri" w:cs="Amiri"/>
          <w:color w:val="111111"/>
          <w:sz w:val="28"/>
          <w:sz w:val="28"/>
          <w:szCs w:val="28"/>
          <w:rtl w:val="true"/>
          <w:lang w:bidi="ar-SA"/>
        </w:rPr>
        <w:t>ويمضيه في أمثال ذلك، ومنه يعلم الجواب عن الثالث</w:t>
      </w:r>
      <w:r>
        <w:rPr>
          <w:rFonts w:eastAsia="Amiri" w:cs="Amiri" w:ascii="Amiri" w:hAnsi="Amiri"/>
          <w:color w:val="111111"/>
          <w:sz w:val="28"/>
          <w:szCs w:val="28"/>
          <w:rtl w:val="true"/>
          <w:lang w:bidi="ar-SA"/>
        </w:rPr>
        <w:t xml:space="preserve">. </w:t>
      </w:r>
      <w:bookmarkStart w:id="32" w:name="pg16224_170355"/>
    </w:p>
    <w:p>
      <w:pPr>
        <w:pStyle w:val="Heading5"/>
        <w:numPr>
          <w:ilvl w:val="4"/>
          <w:numId w:val="1"/>
        </w:numPr>
        <w:rPr/>
      </w:pPr>
      <w:bookmarkStart w:id="33" w:name="__RefHeading___Toc3734292_1280447820"/>
      <w:bookmarkStart w:id="34" w:name="_Toc12"/>
      <w:bookmarkEnd w:id="32"/>
      <w:bookmarkEnd w:id="33"/>
      <w:r>
        <w:rPr>
          <w:rtl w:val="true"/>
        </w:rPr>
        <w:t>إشكال آخر أصعب ممّا ذكر</w:t>
      </w:r>
      <w:bookmarkEnd w:id="34"/>
    </w:p>
    <w:p>
      <w:pPr>
        <w:pStyle w:val="BookText"/>
        <w:rPr/>
      </w:pPr>
      <w:r>
        <w:rPr>
          <w:rFonts w:ascii="IRNazanin" w:hAnsi="IRNazanin" w:eastAsia="IRNazanin"/>
          <w:color w:val="111111"/>
          <w:sz w:val="28"/>
          <w:sz w:val="28"/>
          <w:szCs w:val="28"/>
          <w:rtl w:val="true"/>
          <w:lang w:bidi="fa-IR"/>
        </w:rPr>
        <w:t xml:space="preserve">ثمّ هنا إشكال آخر أصعب ممّا ذكر، وهو أنّ وضع الأحكام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وتقريرها منه إنّما يتأتّى إذا لم يرد فيها من الله تعالى وحيٌ ولا خطاب، وهو فاسد، إذ المفهوم من جملة من الآيات القرآنيّة وتظافرت به النصوص المعتبرة أنّه تعالى ما فرّط في الكتاب من شيء، كما 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فَرَّطْنَا فِي الْكِتَابِ مِنْ شَيْءٍ</w:t>
      </w:r>
      <w:r>
        <w:rPr>
          <w:rStyle w:val="FootnoteAnchor"/>
          <w:rtl w:val="true"/>
        </w:rPr>
        <w:footnoteReference w:id="56"/>
      </w:r>
      <w:r>
        <w:rPr>
          <w:rFonts w:ascii="Amiri" w:hAnsi="Amiri" w:eastAsia="Amiri" w:cs="Amiri"/>
          <w:color w:val="111111"/>
          <w:sz w:val="28"/>
          <w:sz w:val="28"/>
          <w:szCs w:val="28"/>
          <w:rtl w:val="true"/>
          <w:lang w:bidi="ar-SA"/>
        </w:rPr>
        <w:t>وَنَزَّلْنَا عَلَيْكَ الْكِتَابَ تِبْيَانًا لِكُلِّ شَيْءٍ</w:t>
      </w:r>
      <w:r>
        <w:rPr>
          <w:rStyle w:val="FootnoteAnchor"/>
          <w:rtl w:val="true"/>
        </w:rPr>
        <w:footnoteReference w:id="57"/>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رَطْبٍ وَلَا يَابِسٍ إِلَّا فِي كِتَابٍ مُبِينٍ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العيون في باب ما جاء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الإمامة والإمام وذكر فضل الإمام ورتبته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قاسم بن مسلم، عن أخيه عبد العزيز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في أيّام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بمَرْوَ، فاجتمعنا في مسجد جامعها في يوم الجمعة في بدو</w:t>
      </w:r>
      <w:r>
        <w:rPr>
          <w:rStyle w:val="FootnoteAnchor"/>
          <w:rtl w:val="true"/>
        </w:rPr>
        <w:footnoteReference w:id="59"/>
      </w:r>
      <w:r>
        <w:rPr>
          <w:rFonts w:ascii="Amiri" w:hAnsi="Amiri" w:eastAsia="Amiri" w:cs="Amiri"/>
          <w:color w:val="111111"/>
          <w:sz w:val="28"/>
          <w:sz w:val="28"/>
          <w:szCs w:val="28"/>
          <w:rtl w:val="true"/>
          <w:lang w:bidi="ar-SA"/>
        </w:rPr>
        <w:t>مَقْدَمِنَا، فأدار الناس</w:t>
      </w:r>
      <w:r>
        <w:rPr>
          <w:rStyle w:val="FootnoteAnchor"/>
          <w:rtl w:val="true"/>
        </w:rPr>
        <w:footnoteReference w:id="60"/>
      </w:r>
      <w:r>
        <w:rPr>
          <w:rFonts w:ascii="Amiri" w:hAnsi="Amiri" w:eastAsia="Amiri" w:cs="Amiri"/>
          <w:color w:val="111111"/>
          <w:sz w:val="28"/>
          <w:sz w:val="28"/>
          <w:szCs w:val="28"/>
          <w:rtl w:val="true"/>
          <w:lang w:bidi="ar-SA"/>
        </w:rPr>
        <w:t>أمر الإمامة وذكروا كثرة اختلافهم</w:t>
      </w:r>
      <w:r>
        <w:rPr>
          <w:rStyle w:val="FootnoteAnchor"/>
          <w:rtl w:val="true"/>
        </w:rPr>
        <w:footnoteReference w:id="61"/>
      </w:r>
      <w:r>
        <w:rPr>
          <w:rFonts w:ascii="IRNazanin" w:hAnsi="IRNazanin" w:eastAsia="IRNazanin"/>
          <w:color w:val="111111"/>
          <w:sz w:val="28"/>
          <w:sz w:val="28"/>
          <w:szCs w:val="28"/>
          <w:rtl w:val="true"/>
          <w:lang w:bidi="fa-IR"/>
        </w:rPr>
        <w:t xml:space="preserve">فيها، فدخلت على سيّدي ومولاي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فأعلمته ما خاض الناس فيه، فتبسّم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العزيز، جهل القوم وخُدعوا عن أديانهم، إنّ الله لم يقبض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أكمل له الدين وأنزل عليه القرآن، فيه تفصيل كلّ شيء، بيّن فيه الحلال والحرام والحدود والأحكام </w:t>
      </w:r>
    </w:p>
    <w:p>
      <w:pPr>
        <w:pStyle w:val="BookText"/>
        <w:rPr/>
      </w:pPr>
      <w:r>
        <w:rPr>
          <w:rFonts w:ascii="Amiri" w:hAnsi="Amiri" w:eastAsia="Amiri" w:cs="Amiri"/>
          <w:color w:val="111111"/>
          <w:sz w:val="28"/>
          <w:sz w:val="28"/>
          <w:szCs w:val="28"/>
          <w:rtl w:val="true"/>
          <w:lang w:bidi="ar-SA"/>
        </w:rPr>
        <w:t xml:space="preserve">وجميع ما يحتاج إليه كملًا،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فَرَّطْنَا فِي الْكِتَابِ مِنْ شَيْءٍ</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في الكافي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لم يدع شيئًا تحتاج إليه الأمّة إلّا أنزله في كتابه وبيّنه لرسوله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أمر يختلف فيه اثنان إلّا وله أصل في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Style w:val="FootnoteAnchor"/>
          <w:rtl w:val="true"/>
        </w:rPr>
        <w:footnoteReference w:id="65"/>
      </w:r>
      <w:r>
        <w:rPr>
          <w:rFonts w:ascii="Amiri" w:hAnsi="Amiri" w:eastAsia="Amiri" w:cs="Amiri"/>
          <w:color w:val="111111"/>
          <w:sz w:val="28"/>
          <w:sz w:val="28"/>
          <w:szCs w:val="28"/>
          <w:rtl w:val="true"/>
          <w:lang w:bidi="ar-SA"/>
        </w:rPr>
        <w:t>، ولكن لا تبلغه عقول الرجال</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أنزل في القرآن تبيان كلّ شيء، حتّى والله ما ترك الله شيئًا يحتاج إليه العباد حتّى لا يستطيع عبدٌ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أُنْزِلَ هذا</w:t>
      </w:r>
      <w:r>
        <w:rPr>
          <w:rStyle w:val="FootnoteAnchor"/>
          <w:rtl w:val="true"/>
        </w:rPr>
        <w:footnoteReference w:id="67"/>
      </w:r>
      <w:r>
        <w:rPr>
          <w:rFonts w:ascii="Amiri" w:hAnsi="Amiri" w:eastAsia="Amiri" w:cs="Amiri"/>
          <w:color w:val="111111"/>
          <w:sz w:val="28"/>
          <w:sz w:val="28"/>
          <w:szCs w:val="28"/>
          <w:rtl w:val="true"/>
          <w:lang w:bidi="ar-SA"/>
        </w:rPr>
        <w:t>في القرآن إلّا وقد أنزله الله فيه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الكافي أيضًا في باب أنّه لا يجمع القرآن كلّه إلّا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الأعلى مولى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إنّي لأعلم كتاب الله من </w:t>
      </w:r>
      <w:bookmarkStart w:id="35" w:name="pg16224_170357"/>
    </w:p>
    <w:p>
      <w:pPr>
        <w:pStyle w:val="BookText"/>
        <w:rPr/>
      </w:pPr>
      <w:bookmarkEnd w:id="35"/>
      <w:r>
        <w:rPr>
          <w:rFonts w:ascii="Amiri" w:hAnsi="Amiri" w:eastAsia="Amiri" w:cs="Amiri"/>
          <w:color w:val="111111"/>
          <w:sz w:val="28"/>
          <w:sz w:val="28"/>
          <w:szCs w:val="28"/>
          <w:rtl w:val="true"/>
          <w:lang w:bidi="ar-SA"/>
        </w:rPr>
        <w:t xml:space="preserve">أوّله إلى آخره كأنّه في كفّي، فيه خبر السماء وخبر الأرض وخبر ما كان وخبر ما هو كائن،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في باب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يعلمون علم ما كان وما يكون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لأعلم ما في السماوات وما في الأرض، وأعلم ما في الجنّة، وأعلم ما في النار، وأعلم ما كان وما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مكث هُنَيَّة</w:t>
      </w:r>
      <w:r>
        <w:rPr>
          <w:rStyle w:val="FootnoteAnchor"/>
          <w:rtl w:val="true"/>
        </w:rPr>
        <w:footnoteReference w:id="70"/>
      </w:r>
      <w:r>
        <w:rPr>
          <w:rFonts w:ascii="Amiri" w:hAnsi="Amiri" w:eastAsia="Amiri" w:cs="Amiri"/>
          <w:color w:val="111111"/>
          <w:sz w:val="28"/>
          <w:sz w:val="28"/>
          <w:szCs w:val="28"/>
          <w:rtl w:val="true"/>
          <w:lang w:bidi="ar-SA"/>
        </w:rPr>
        <w:t>، فرأى أنّ ذلك كبر على من سمعه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ذلك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النصوص الكثيرة في هذا الباب</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3734294_1280447820"/>
      <w:bookmarkStart w:id="37" w:name="_Toc13"/>
      <w:bookmarkEnd w:id="36"/>
      <w:r>
        <w:rPr>
          <w:rtl w:val="true"/>
        </w:rPr>
        <w:t>حاصل الإشكال</w:t>
      </w:r>
      <w:bookmarkEnd w:id="37"/>
    </w:p>
    <w:p>
      <w:pPr>
        <w:pStyle w:val="BookText"/>
        <w:rPr/>
      </w:pPr>
      <w:r>
        <w:rPr>
          <w:rFonts w:ascii="Amiri" w:hAnsi="Amiri" w:eastAsia="Amiri" w:cs="Amiri"/>
          <w:color w:val="111111"/>
          <w:sz w:val="28"/>
          <w:sz w:val="28"/>
          <w:szCs w:val="28"/>
          <w:rtl w:val="true"/>
          <w:lang w:bidi="ar-SA"/>
        </w:rPr>
        <w:t>وحاصل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ثبت التفويض في الأحكام المذكورة؛ لما كانت تلك الأحكام مفهومة من كتاب الله تعالى، والتالي باطل، فالمقدّم مثله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الشرطيّة فلأنّ المفروض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وضعها من غير خطاب منه تعالى، فلو كانت مفهومة من الكتاب لكان واضعها الله سبحانه بذلك الخطاب، فيخرج عن محلّ الكلام؛ وأمّا بطلان التالي فلما عرفت من الآيات والأخبار أنّه ليس شيء إلّا وقد يفهم من كتاب الله تعالى</w:t>
      </w:r>
      <w:r>
        <w:rPr>
          <w:rFonts w:eastAsia="IRNazanin" w:cs="IRNazanin"/>
          <w:color w:val="111111"/>
          <w:sz w:val="28"/>
          <w:szCs w:val="28"/>
          <w:rtl w:val="true"/>
          <w:lang w:bidi="fa-IR"/>
        </w:rPr>
        <w:t xml:space="preserve">. </w:t>
      </w:r>
      <w:bookmarkStart w:id="38" w:name="pg16224_170358"/>
    </w:p>
    <w:p>
      <w:pPr>
        <w:pStyle w:val="Heading5"/>
        <w:numPr>
          <w:ilvl w:val="4"/>
          <w:numId w:val="1"/>
        </w:numPr>
        <w:rPr/>
      </w:pPr>
      <w:bookmarkStart w:id="39" w:name="__RefHeading___Toc3734296_1280447820"/>
      <w:bookmarkStart w:id="40" w:name="_Toc14"/>
      <w:bookmarkEnd w:id="38"/>
      <w:bookmarkEnd w:id="39"/>
      <w:r>
        <w:rPr>
          <w:rtl w:val="true"/>
        </w:rPr>
        <w:t>الجواب عن الإشكال</w:t>
      </w:r>
      <w:bookmarkEnd w:id="40"/>
    </w:p>
    <w:p>
      <w:pPr>
        <w:pStyle w:val="BookText"/>
        <w:rPr/>
      </w:pPr>
      <w:r>
        <w:rPr>
          <w:rFonts w:ascii="IRNazanin" w:hAnsi="IRNazanin" w:eastAsia="IRNazanin"/>
          <w:color w:val="111111"/>
          <w:sz w:val="28"/>
          <w:sz w:val="28"/>
          <w:szCs w:val="28"/>
          <w:rtl w:val="true"/>
          <w:lang w:bidi="fa-IR"/>
        </w:rPr>
        <w:t>ويمكن الجواب عنه أيضًا بمنع الملازمة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وضع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الأحكام غير منافٍ لمفهوميّتها من كتاب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إنّما يكون منافيًا لو كان التفويض بعد نزول القرآن بجملته، وليس الأمر كذلك؛ لما عرفت من الصحيح المذكور أنّه بعد تشرّفه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لَعَلَى خُلُقٍ عَظِيمٍ</w:t>
      </w:r>
      <w:r>
        <w:rPr>
          <w:rStyle w:val="FootnoteAnchor"/>
          <w:rtl w:val="true"/>
        </w:rPr>
        <w:footnoteReference w:id="72"/>
      </w:r>
      <w:r>
        <w:rPr>
          <w:rFonts w:ascii="IRNazanin" w:hAnsi="IRNazanin" w:eastAsia="IRNazanin"/>
          <w:color w:val="111111"/>
          <w:sz w:val="28"/>
          <w:sz w:val="28"/>
          <w:szCs w:val="28"/>
          <w:rtl w:val="true"/>
          <w:lang w:bidi="fa-IR"/>
        </w:rPr>
        <w:t xml:space="preserve">وهو جزء من سورة القلم على ما عرفت، وهي الثانية من السور النازلة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فيمكن أن يكون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فوّض الأمر إليه وقبل نزول سائر السور وضع تلك الأحكام، ثمّ نزلت هي على التدريج المبيّن في محلّه، وكان من جملة ما يفهم منها تلك الأحكام، فعلم عدم التنافي بين وضع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الأحكام واندراجها في مفاهيم القرآن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يخفى أنّه قد مرّ أنّ من جملة الأحكام الّتي ورد النقل فيها بالتفويض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الزيادة في عداد الصلوات اليوميّة، ولا ينافيه الحديث المشهور الدالّ على أنّه تعالى أمر نبيّه في معراجه بخمسين صلاة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بالنبيّين ولم يسألوه شيئًا </w:t>
      </w:r>
    </w:p>
    <w:p>
      <w:pPr>
        <w:pStyle w:val="BookText"/>
        <w:rPr/>
      </w:pPr>
      <w:r>
        <w:rPr>
          <w:rFonts w:ascii="IRNazanin" w:hAnsi="IRNazanin" w:eastAsia="IRNazanin"/>
          <w:color w:val="111111"/>
          <w:sz w:val="28"/>
          <w:sz w:val="28"/>
          <w:szCs w:val="28"/>
          <w:rtl w:val="true"/>
          <w:lang w:bidi="fa-IR"/>
        </w:rPr>
        <w:t xml:space="preserve">حتّى انتهى إلى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أمرك ربّك؟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بخمسين 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ربّك التخفيف، فإنّ أمّتك لا يطيق</w:t>
      </w:r>
      <w:r>
        <w:rPr>
          <w:rStyle w:val="FootnoteAnchor"/>
          <w:rtl w:val="true"/>
        </w:rPr>
        <w:footnoteReference w:id="74"/>
      </w:r>
      <w:r>
        <w:rPr>
          <w:rFonts w:ascii="Amiri" w:hAnsi="Amiri" w:eastAsia="Amiri" w:cs="Amiri"/>
          <w:color w:val="111111"/>
          <w:sz w:val="28"/>
          <w:sz w:val="28"/>
          <w:szCs w:val="28"/>
          <w:rtl w:val="true"/>
          <w:lang w:bidi="ar-SA"/>
        </w:rPr>
        <w:t>ذلك، فسأل ربّه، فحطّ عنه عشرًا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صار الأمر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انتهى الخمسون إلى العشر، فقال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أمرك ربّك؟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 صلوات،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 ربّك التخفيف، فإنّ أمّتك لا تطيق ذلك، فإنّي جئت إلى بني إسرائيل بما فرض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فلم يأخذوا به ولم يقدروا</w:t>
      </w:r>
      <w:r>
        <w:rPr>
          <w:rStyle w:val="FootnoteAnchor"/>
          <w:rtl w:val="true"/>
        </w:rPr>
        <w:footnoteReference w:id="75"/>
      </w:r>
      <w:r>
        <w:rPr>
          <w:rFonts w:ascii="Amiri" w:hAnsi="Amiri" w:eastAsia="Amiri" w:cs="Amiri"/>
          <w:color w:val="111111"/>
          <w:sz w:val="28"/>
          <w:sz w:val="28"/>
          <w:szCs w:val="28"/>
          <w:rtl w:val="true"/>
          <w:lang w:bidi="ar-SA"/>
        </w:rPr>
        <w:t xml:space="preserve">عليه، فسأل النبيّ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فخفّف عنه، فجعلها خمسًا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أمرك ربّك؟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صلوات،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ربّك التخفيف عن أمّتك، فإنّ أمّتك لا تطيق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لأستحيي أن أعود إلى ربّي، 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صلوات، انتهى الحديث ملخّصًا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عدم التنافي ظاهرٌ؛ فإنّ غاية ما يستفاد منه أنّ ما أمر الله تعالى به خمس صلوات ونحن نقول بموجبه، لكن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 جملة من النصوص أنّ تلك الصلوات الخمس كانت عشر ركعات وأضاف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سبعًا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يستفاد منه أنّه لم يصدر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الزيادة، بل كان مجموع السبع عشرة ممّا أمره الله تعالى به، بناءً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التخفيف حتّى </w:t>
      </w:r>
      <w:bookmarkStart w:id="41" w:name="pg16224_170360"/>
    </w:p>
    <w:p>
      <w:pPr>
        <w:pStyle w:val="BookText"/>
        <w:rPr/>
      </w:pPr>
      <w:bookmarkEnd w:id="41"/>
      <w:r>
        <w:rPr>
          <w:rFonts w:ascii="Amiri" w:hAnsi="Amiri" w:eastAsia="Amiri" w:cs="Amiri"/>
          <w:color w:val="111111"/>
          <w:sz w:val="28"/>
          <w:sz w:val="28"/>
          <w:szCs w:val="28"/>
          <w:rtl w:val="true"/>
          <w:lang w:bidi="ar-SA"/>
        </w:rPr>
        <w:t>وصلت إلى ذلك الحدّ، بناءً على أنّ أمّته لا تطيق ذلك، فكيف يزيد عليه ما خفّف الله تعالى بسؤاله؟</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إنّما يصلح أن يكون قرينة على ذلك إذا ثبت أنّ الصلوات الخمس الّتي خفّفها الله تعالى في الآخر كانت سبع ركعات ومساوية في الأذكار والأقوال لما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وأنّى لك بإثبات ذلك، وحينئذٍ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المسئول</w:t>
      </w:r>
      <w:r>
        <w:rPr>
          <w:rStyle w:val="FootnoteAnchor"/>
          <w:rtl w:val="true"/>
        </w:rPr>
        <w:footnoteReference w:id="77"/>
      </w:r>
      <w:r>
        <w:rPr>
          <w:rFonts w:ascii="IRNazanin" w:hAnsi="IRNazanin" w:eastAsia="IRNazanin"/>
          <w:color w:val="111111"/>
          <w:sz w:val="28"/>
          <w:sz w:val="28"/>
          <w:szCs w:val="28"/>
          <w:rtl w:val="true"/>
          <w:lang w:bidi="fa-IR"/>
        </w:rPr>
        <w:t xml:space="preserve">لتخفيفه أكثر وما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فلا تنافي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من جميع ما ذكر أنّ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جاعل الشرع في الجملة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ولا تنافيه الآيات المتقدّمة أيضًا؛ لأنّ غاية ما يستفاد منها كون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شارعًا بهذا المعنى، وهو ممّا لا ريب في صحّته، وأمّا انحصاره بالمعنى المذكور فيه تعالى فلا؛ إذ إثبات الشيء لا ينفي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قيل باختصاص الشارع بذلك المعنى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التمسّك بتلك الآيات لردّه وجيهًا، لكن لم نقل به</w:t>
      </w:r>
      <w:r>
        <w:rPr>
          <w:rFonts w:eastAsia="IRNazanin" w:cs="IRNazanin"/>
          <w:color w:val="111111"/>
          <w:sz w:val="28"/>
          <w:szCs w:val="28"/>
          <w:rtl w:val="true"/>
          <w:lang w:bidi="fa-IR"/>
        </w:rPr>
        <w:t>.</w:t>
      </w:r>
    </w:p>
    <w:p>
      <w:pPr>
        <w:pStyle w:val="Heading5"/>
        <w:numPr>
          <w:ilvl w:val="4"/>
          <w:numId w:val="1"/>
        </w:numPr>
        <w:rPr/>
      </w:pPr>
      <w:bookmarkStart w:id="42" w:name="__RefHeading___Toc3734298_1280447820"/>
      <w:bookmarkStart w:id="43" w:name="_Toc15"/>
      <w:bookmarkEnd w:id="42"/>
      <w:r>
        <w:rPr>
          <w:rtl w:val="true"/>
        </w:rPr>
        <w:t>محصّل الكلام في هذا المقام</w:t>
      </w:r>
      <w:bookmarkEnd w:id="4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ومحصّل الكلام في هذا المقام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إمّا بمعناه المتبادر، وهو جاعل الشرع، أو صاحب الشرع؛ وأيّ منهما كان يكون إطلاقه على الله تعالى وعلى رسوله حقيقة وإن كان بالمعنى الأوّل ظاهرًا في الأوّل وبالمعنى الثاني ظاهرًا في الثاني، ويمكن أن يكون إطلاق الشارع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آتيًا بالشرع</w:t>
      </w:r>
      <w:r>
        <w:rPr>
          <w:rFonts w:eastAsia="Amiri" w:cs="Amiri" w:ascii="Amiri" w:hAnsi="Amiri"/>
          <w:color w:val="111111"/>
          <w:sz w:val="28"/>
          <w:szCs w:val="28"/>
          <w:rtl w:val="true"/>
          <w:lang w:bidi="ar-SA"/>
        </w:rPr>
        <w:t xml:space="preserve">. </w:t>
      </w:r>
      <w:bookmarkStart w:id="44" w:name="pg16224_170361"/>
    </w:p>
    <w:p>
      <w:pPr>
        <w:pStyle w:val="Heading5"/>
        <w:numPr>
          <w:ilvl w:val="4"/>
          <w:numId w:val="1"/>
        </w:numPr>
        <w:rPr/>
      </w:pPr>
      <w:bookmarkStart w:id="45" w:name="__RefHeading___Toc3734300_1280447820"/>
      <w:bookmarkStart w:id="46" w:name="_Toc16"/>
      <w:bookmarkEnd w:id="44"/>
      <w:bookmarkEnd w:id="45"/>
      <w:r>
        <w:rPr>
          <w:rtl w:val="true"/>
        </w:rPr>
        <w:t xml:space="preserve">في عدم ثبوت التفويض في الأحكام إلى الأئمّة </w:t>
      </w:r>
      <w:r>
        <w:rPr>
          <w:rtl w:val="true"/>
        </w:rPr>
        <w:t>(</w:t>
      </w:r>
      <w:r>
        <w:rPr>
          <w:rtl w:val="true"/>
        </w:rPr>
        <w:t>علیه السلام</w:t>
      </w:r>
      <w:r>
        <w:rPr>
          <w:rtl w:val="true"/>
        </w:rPr>
        <w:t>)</w:t>
      </w:r>
      <w:bookmarkEnd w:id="46"/>
    </w:p>
    <w:p>
      <w:pPr>
        <w:pStyle w:val="BookText"/>
        <w:rPr/>
      </w:pPr>
      <w:r>
        <w:rPr>
          <w:rFonts w:ascii="Amiri" w:hAnsi="Amiri" w:eastAsia="Amiri" w:cs="Amiri"/>
          <w:color w:val="111111"/>
          <w:sz w:val="28"/>
          <w:sz w:val="28"/>
          <w:szCs w:val="28"/>
          <w:rtl w:val="true"/>
          <w:lang w:bidi="ar-SA"/>
        </w:rPr>
        <w:t>وكيف ما كان، فلا يكون الأئمّة الأطهار الّذين بهم يتوصّل إلى رضاء</w:t>
      </w:r>
      <w:r>
        <w:rPr>
          <w:rStyle w:val="FootnoteAnchor"/>
          <w:rtl w:val="true"/>
        </w:rPr>
        <w:footnoteReference w:id="78"/>
      </w:r>
      <w:r>
        <w:rPr>
          <w:rFonts w:ascii="Amiri" w:hAnsi="Amiri" w:eastAsia="Amiri" w:cs="Amiri"/>
          <w:color w:val="111111"/>
          <w:sz w:val="28"/>
          <w:sz w:val="28"/>
          <w:szCs w:val="28"/>
          <w:rtl w:val="true"/>
          <w:lang w:bidi="ar-SA"/>
        </w:rPr>
        <w:t>الجبّار ويتخلّص من عقاب القبر وعذاب النار شارعًا بشيء من المعاني المذكورة، بل هم من المتشرّعين، أي متعبّدين بشريعة جدّهم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والحكم بكونهم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المتشرّعين بالمعنى المذكور، لا يوجب الإهانة بالنسبة إليهم؛ إذ انتسابهم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لهم، كما يظهر من أخبارهم المرويّة وأدعيتهم المأثورة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وكون غيرهم مشاركًا معهم في الوصف المذكور أيضًا غير مضرٍّ في ذلك؛ لثبوت المشاركة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لغيرهم في كثير من الأمور كما لا يخفى، فليكن هذا من ذاك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الظاهر من جماعة من الأعلام، قال شيخنا الشهيد في الذكرى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اللَّبِنَةُ وَالآجُرّةُ هي المعتادة في بلد صاحب الشرع وأهل بيته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سلطان العلماء في حاشية المعالم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w:t>
      </w:r>
      <w:r>
        <w:rPr>
          <w:rStyle w:val="FootnoteAnchor"/>
          <w:rtl w:val="true"/>
        </w:rPr>
        <w:footnoteReference w:id="80"/>
      </w:r>
      <w:r>
        <w:rPr>
          <w:rFonts w:ascii="IRNazanin" w:hAnsi="IRNazanin" w:eastAsia="IRNazanin"/>
          <w:color w:val="111111"/>
          <w:sz w:val="28"/>
          <w:sz w:val="28"/>
          <w:szCs w:val="28"/>
          <w:rtl w:val="true"/>
          <w:lang w:bidi="fa-IR"/>
        </w:rPr>
        <w:t xml:space="preserve">التأمّل في أنّ الاستعمالات الشائعة في كلام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لها حكم الاستعمال في كلام الشارع</w:t>
      </w:r>
      <w:r>
        <w:rPr>
          <w:rStyle w:val="FootnoteAnchor"/>
          <w:rtl w:val="true"/>
        </w:rPr>
        <w:footnoteReference w:id="81"/>
      </w:r>
      <w:r>
        <w:rPr>
          <w:rFonts w:ascii="Amiri" w:hAnsi="Amiri" w:eastAsia="Amiri" w:cs="Amiri"/>
          <w:color w:val="111111"/>
          <w:sz w:val="28"/>
          <w:sz w:val="28"/>
          <w:szCs w:val="28"/>
          <w:rtl w:val="true"/>
          <w:lang w:bidi="ar-SA"/>
        </w:rPr>
        <w:t>، أو لها حكم الاستعمال في كلام المتشرّعة</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47" w:name="pg16224_170362"/>
    </w:p>
    <w:p>
      <w:pPr>
        <w:pStyle w:val="BookText"/>
        <w:rPr/>
      </w:pPr>
      <w:bookmarkEnd w:id="47"/>
      <w:r>
        <w:rPr>
          <w:rFonts w:ascii="Amiri" w:hAnsi="Amiri" w:eastAsia="Amiri" w:cs="Amiri"/>
          <w:color w:val="111111"/>
          <w:sz w:val="28"/>
          <w:sz w:val="28"/>
          <w:szCs w:val="28"/>
          <w:rtl w:val="true"/>
          <w:lang w:bidi="ar-SA"/>
        </w:rPr>
        <w:t>وقال في كشف اللثام ما تقدّم نقله عنه في أوائل المبحث، فليلاحظ</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3734302_1280447820"/>
      <w:bookmarkStart w:id="49" w:name="_Toc17"/>
      <w:bookmarkEnd w:id="48"/>
      <w:r>
        <w:rPr>
          <w:rtl w:val="true"/>
        </w:rPr>
        <w:t xml:space="preserve">الإشكال الوارد على تفويض الأحكام إلى الأئمّة </w:t>
      </w:r>
      <w:r>
        <w:rPr>
          <w:rtl w:val="true"/>
        </w:rPr>
        <w:t>(</w:t>
      </w:r>
      <w:r>
        <w:rPr>
          <w:rtl w:val="true"/>
        </w:rPr>
        <w:t>علیه السلام</w:t>
      </w:r>
      <w:r>
        <w:rPr>
          <w:rtl w:val="true"/>
        </w:rPr>
        <w:t>)</w:t>
      </w:r>
      <w:bookmarkEnd w:id="49"/>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شارعًا بالمعنى الثاني مسلّم، وأمّا بالمعنى الأوّل مثلًا فلا؛ لدلالة النصوص على ثبوت التفويض بالنسبة إليهم أيضًا، فكما أنّ بالتفويض في الأحكام صحّ إطلاق الشارع بمعنى جاعل الشرع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فليصحّ ذلك بالنسبة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لدلالة الآثار على اشتراكهم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3734304_1280447820"/>
      <w:bookmarkStart w:id="51" w:name="_Toc18"/>
      <w:bookmarkEnd w:id="50"/>
      <w:r>
        <w:rPr>
          <w:rtl w:val="true"/>
        </w:rPr>
        <w:t xml:space="preserve">بعض النصوص الدالّة على ثبوت التفويض إلى الأئمّة </w:t>
      </w:r>
      <w:r>
        <w:rPr>
          <w:rtl w:val="true"/>
        </w:rPr>
        <w:t>(</w:t>
      </w:r>
      <w:r>
        <w:rPr>
          <w:rtl w:val="true"/>
        </w:rPr>
        <w:t>علیه السلام</w:t>
      </w:r>
      <w:r>
        <w:rPr>
          <w:rtl w:val="true"/>
        </w:rPr>
        <w:t>)</w:t>
      </w:r>
      <w:bookmarkEnd w:id="5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الكافي في باب التفويض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إسحاق النحويّ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نبيّه على محبّته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وَإِنَّكَ لَعَلَى خُلُقٍ عَظِيمٍ</w:t>
      </w:r>
      <w:r>
        <w:rPr>
          <w:rStyle w:val="FootnoteAnchor"/>
          <w:rtl w:val="true"/>
        </w:rPr>
        <w:footnoteReference w:id="85"/>
      </w:r>
      <w:r>
        <w:rPr>
          <w:rFonts w:ascii="Amiri" w:hAnsi="Amiri" w:eastAsia="Amiri" w:cs="Amiri"/>
          <w:color w:val="111111"/>
          <w:sz w:val="28"/>
          <w:sz w:val="28"/>
          <w:szCs w:val="28"/>
          <w:rtl w:val="true"/>
          <w:lang w:bidi="ar-SA"/>
        </w:rPr>
        <w:t xml:space="preserve">، ثمّ فوّض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آتَاكُمُ الرَّسُولُ فَخُذُوهُ وَمَا نَهَاكُمْ عَنْهُ فَانْتَهُوا</w:t>
      </w:r>
      <w:r>
        <w:rPr>
          <w:rStyle w:val="FootnoteAnchor"/>
          <w:rtl w:val="true"/>
        </w:rPr>
        <w:footnoteReference w:id="86"/>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87"/>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نبيّ الله فوّض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وأئمّته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52" w:name="pg16224_170363"/>
    </w:p>
    <w:p>
      <w:pPr>
        <w:pStyle w:val="BookText"/>
        <w:rPr/>
      </w:pPr>
      <w:bookmarkEnd w:id="52"/>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الباب المذكور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والله ما فوّض الله إلى أحد من خلقه إلّا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الأئمّة</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الباب عن محمّد بن الحسن الميثميّ،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رسوله حتّى قوّمه على ما أراد، ثمّ فوّض إليه، فقال عزّ ذكره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آَتَاكُمُ الرَّسُولُ فَخُذُوهُ وَمَا نَهَاكُمْ عَنْهُ فَانْتَهُوا</w:t>
      </w:r>
      <w:r>
        <w:rPr>
          <w:rStyle w:val="FootnoteAnchor"/>
          <w:rtl w:val="true"/>
        </w:rPr>
        <w:footnoteReference w:id="90"/>
      </w:r>
      <w:r>
        <w:rPr>
          <w:rFonts w:ascii="IRNazanin" w:hAnsi="IRNazanin" w:eastAsia="IRNazanin"/>
          <w:color w:val="111111"/>
          <w:sz w:val="28"/>
          <w:sz w:val="28"/>
          <w:szCs w:val="28"/>
          <w:rtl w:val="true"/>
          <w:lang w:bidi="fa-IR"/>
        </w:rPr>
        <w:t xml:space="preserve">، فما فوّض الله 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فوّضه إلينا</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جملة من النصوص الواردة في هذا المطلب، والمستفاد منها ومن غيرها أنّه كما فوّض الأمر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آلاف السلام والتحيّة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فينبغي أن يصحّ إطلاق الشارع بالمعنى المذكور عليهم أيضًا</w:t>
      </w:r>
      <w:r>
        <w:rPr>
          <w:rFonts w:eastAsia="IRNazanin" w:cs="IRNazanin"/>
          <w:color w:val="111111"/>
          <w:sz w:val="28"/>
          <w:szCs w:val="28"/>
          <w:rtl w:val="true"/>
          <w:lang w:bidi="fa-IR"/>
        </w:rPr>
        <w:t>.</w:t>
      </w:r>
    </w:p>
    <w:p>
      <w:pPr>
        <w:pStyle w:val="Heading5"/>
        <w:numPr>
          <w:ilvl w:val="4"/>
          <w:numId w:val="1"/>
        </w:numPr>
        <w:rPr/>
      </w:pPr>
      <w:bookmarkStart w:id="53" w:name="__RefHeading___Toc3734306_1280447820"/>
      <w:bookmarkStart w:id="54" w:name="_Toc19"/>
      <w:bookmarkEnd w:id="53"/>
      <w:r>
        <w:rPr>
          <w:rtl w:val="true"/>
        </w:rPr>
        <w:t xml:space="preserve">الجواب عن الإشكال الوارد على تفويض الأحكام إلى الأئمّة </w:t>
      </w:r>
      <w:r>
        <w:rPr>
          <w:rtl w:val="true"/>
        </w:rPr>
        <w:t>(</w:t>
      </w:r>
      <w:r>
        <w:rPr>
          <w:rtl w:val="true"/>
        </w:rPr>
        <w:t>علیه السلام</w:t>
      </w:r>
      <w:r>
        <w:rPr>
          <w:rtl w:val="true"/>
        </w:rPr>
        <w:t>)</w:t>
      </w:r>
      <w:bookmarkEnd w:id="54"/>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التفويض بنفسه غير كافٍ لصحّة إطلاق الشارع كما لا يخفى، بل الّذي له مدخليّة في ذلك جعل الشرع</w:t>
      </w:r>
      <w:r>
        <w:rPr>
          <w:rStyle w:val="FootnoteAnchor"/>
          <w:rtl w:val="true"/>
        </w:rPr>
        <w:footnoteReference w:id="92"/>
      </w:r>
      <w:r>
        <w:rPr>
          <w:rFonts w:ascii="IRNazanin" w:hAnsi="IRNazanin" w:eastAsia="IRNazanin"/>
          <w:color w:val="111111"/>
          <w:sz w:val="28"/>
          <w:sz w:val="28"/>
          <w:szCs w:val="28"/>
          <w:rtl w:val="true"/>
          <w:lang w:bidi="fa-IR"/>
        </w:rPr>
        <w:t>ووضعه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هذه 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ثبوت التفويض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يوجب صدق الشارع عليهم، وما يوجبه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جعل الشرع</w:t>
      </w:r>
      <w:r>
        <w:rPr>
          <w:rStyle w:val="FootnoteAnchor"/>
          <w:rtl w:val="true"/>
        </w:rPr>
        <w:footnoteReference w:id="93"/>
      </w:r>
      <w:r>
        <w:rPr>
          <w:rFonts w:ascii="IRNazanin" w:hAnsi="IRNazanin" w:eastAsia="IRNazanin"/>
          <w:color w:val="111111"/>
          <w:sz w:val="28"/>
          <w:sz w:val="28"/>
          <w:szCs w:val="28"/>
          <w:rtl w:val="true"/>
          <w:lang w:bidi="fa-IR"/>
        </w:rPr>
        <w:t>ووضعه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غير مستفاد منها، فالمفهوم منها غير موجب، والموجب له غير مفهوم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التفويض بالمعنى المذكور لا يمكن القول به بالنسبة إلى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آلاف السلام والتحيّة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التفويض بذلك المعنى إنّما يكون فيما لم يرد فيه من الله تعالى وحيٌ، ولم يدلّ عليه كتاب وليس ممّا احتيج إليه العباد إلّا وقد نطق به الفرقان ودلّت عليه الآيات على ما دلّ عليه كثير من الآيات واستفاض</w:t>
      </w:r>
      <w:r>
        <w:rPr>
          <w:rStyle w:val="FootnoteAnchor"/>
          <w:rtl w:val="true"/>
        </w:rPr>
        <w:footnoteReference w:id="95"/>
      </w:r>
      <w:r>
        <w:rPr>
          <w:rFonts w:ascii="Amiri" w:hAnsi="Amiri" w:eastAsia="Amiri" w:cs="Amiri"/>
          <w:color w:val="111111"/>
          <w:sz w:val="28"/>
          <w:sz w:val="28"/>
          <w:szCs w:val="28"/>
          <w:rtl w:val="true"/>
          <w:lang w:bidi="ar-SA"/>
        </w:rPr>
        <w:t>به النصوص والروايات، وقد تقدّمت إلى جملة منهما الإشارة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تفويض الأحكام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ينافيه ما دلّ عليه الكتاب والسنّة من أنّه في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استكملت الشريعة، كما 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وَأَتْمَمْتُ عَلَيْكُمْ نِعْمَتِي</w:t>
      </w:r>
      <w:r>
        <w:rPr>
          <w:rStyle w:val="FootnoteAnchor"/>
          <w:rtl w:val="true"/>
        </w:rPr>
        <w:footnoteReference w:id="96"/>
      </w:r>
      <w:r>
        <w:rPr>
          <w:rFonts w:ascii="IRNazanin" w:hAnsi="IRNazanin" w:eastAsia="IRNazanin"/>
          <w:color w:val="111111"/>
          <w:sz w:val="28"/>
          <w:sz w:val="28"/>
          <w:szCs w:val="28"/>
          <w:rtl w:val="true"/>
          <w:lang w:bidi="fa-IR"/>
        </w:rPr>
        <w:t xml:space="preserve">، وقد تقدّم قول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آلاف التحيّة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تعالى لم يقبض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أكمل له الدين، الحديث</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أنّ الشريعة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السلام والتحيّة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يتطرّق إليها النسخ والنقصان والزيادة، وهو ينافي ثبوت التفويض في الأحكام بالمعنى المذكور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لا يخفى على ذي فطنة ودراية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هذه الوجوه المذكورة وإن ورد بالنسبة إلى سيّد رسل الله سبحانه، لكنّك قد عرفت الجواب بما سبقت إليه الإشارة، ولا يمكن التنطّق به بالنسبة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يظهر وجهه بأدنى تأمّل وكلفة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من هذه النصوص المذكورة أنّ التفويض بذلك المعنى لا يمكن القول به بالنسبة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الظاهر من جملة من النصوص الواردة في الباب أنّ التفويض الثابت بالنسبة إلى الرسول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واحد، فاللازم حمله على معنى آخر،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المراد به التفويض في الأحكام الظاهريّة كما في التقيّة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يظهر ذلك ممّا رواه في الكافي في الباب المتقدّم عن موسى بن أشيم، قال</w:t>
      </w:r>
      <w:r>
        <w:rPr>
          <w:rFonts w:eastAsia="Amiri" w:cs="Amiri" w:ascii="Amiri" w:hAnsi="Amiri"/>
          <w:color w:val="111111"/>
          <w:sz w:val="28"/>
          <w:szCs w:val="28"/>
          <w:rtl w:val="true"/>
          <w:lang w:bidi="ar-SA"/>
        </w:rPr>
        <w:t xml:space="preserve">: </w:t>
      </w:r>
      <w:bookmarkStart w:id="55" w:name="pg16224_170366"/>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رجل عن آية من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فأخبره بها، ثمّ دخل عليه داخل، فسأله عن تلك الآية، فأخبره بخلاف ما أخبر به الأوّل، فدخلني من ذلك ما شاء الله حتّى كأنّ قلبي يُشْرَحُ بالسكاكين</w:t>
      </w:r>
      <w:r>
        <w:rPr>
          <w:rStyle w:val="FootnoteAnchor"/>
          <w:rtl w:val="true"/>
        </w:rPr>
        <w:footnoteReference w:id="100"/>
      </w:r>
      <w:r>
        <w:rPr>
          <w:rFonts w:ascii="Amiri" w:hAnsi="Amiri" w:eastAsia="Amiri" w:cs="Amiri"/>
          <w:color w:val="111111"/>
          <w:sz w:val="28"/>
          <w:sz w:val="28"/>
          <w:szCs w:val="28"/>
          <w:rtl w:val="true"/>
          <w:lang w:bidi="ar-SA"/>
        </w:rPr>
        <w:t>،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أبا قتادة بالشام لا يُخطئ في الواو وشبهه وجئت إلى هذا ليخطئ</w:t>
      </w:r>
      <w:r>
        <w:rPr>
          <w:rStyle w:val="FootnoteAnchor"/>
          <w:rtl w:val="true"/>
        </w:rPr>
        <w:footnoteReference w:id="101"/>
      </w:r>
      <w:r>
        <w:rPr>
          <w:rFonts w:ascii="Amiri" w:hAnsi="Amiri" w:eastAsia="Amiri" w:cs="Amiri"/>
          <w:color w:val="111111"/>
          <w:sz w:val="28"/>
          <w:sz w:val="28"/>
          <w:szCs w:val="28"/>
          <w:rtl w:val="true"/>
          <w:lang w:bidi="ar-SA"/>
        </w:rPr>
        <w:t>هذا الخطأ كلّه، فبينا أنا كذلك إذ دخل عليه آخر، فسأله من تلك الآية، فأخبره بخلاف ما أخبرني وأخبر صاحبيّ، فسكنت نفسي، فعلمت أنّ ذلك منه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 إلى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عَطَاؤُنَا فَامْنُنْ أَوْ أَمْسِكْ بِغَيْرِ حِسَابٍ</w:t>
      </w:r>
      <w:r>
        <w:rPr>
          <w:rStyle w:val="FootnoteAnchor"/>
          <w:rtl w:val="true"/>
        </w:rPr>
        <w:footnoteReference w:id="103"/>
      </w:r>
      <w:r>
        <w:rPr>
          <w:rFonts w:ascii="Amiri" w:hAnsi="Amiri" w:eastAsia="Amiri" w:cs="Amiri"/>
          <w:color w:val="111111"/>
          <w:sz w:val="28"/>
          <w:sz w:val="28"/>
          <w:szCs w:val="28"/>
          <w:rtl w:val="true"/>
          <w:lang w:bidi="ar-SA"/>
        </w:rPr>
        <w:t>، وفوّض إلى نبيّه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آَتَاكُمُ الرَّسُولُ فَخُذُوهُ وَمَا نَهَاكُمْ عَنْهُ فَانْتَهُوا</w:t>
      </w:r>
      <w:r>
        <w:rPr>
          <w:rStyle w:val="FootnoteAnchor"/>
          <w:rtl w:val="true"/>
        </w:rPr>
        <w:footnoteReference w:id="104"/>
      </w:r>
      <w:r>
        <w:rPr>
          <w:rFonts w:ascii="IRNazanin" w:hAnsi="IRNazanin" w:eastAsia="IRNazanin"/>
          <w:color w:val="111111"/>
          <w:sz w:val="28"/>
          <w:sz w:val="28"/>
          <w:szCs w:val="28"/>
          <w:rtl w:val="true"/>
          <w:lang w:bidi="fa-IR"/>
        </w:rPr>
        <w:t xml:space="preserve">، فما فوّض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فوّضه إلينا</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 w:name="__RefHeading___Toc3734308_1280447820"/>
      <w:bookmarkStart w:id="57" w:name="_Toc20"/>
      <w:bookmarkEnd w:id="56"/>
      <w:r>
        <w:rPr>
          <w:rtl w:val="true"/>
        </w:rPr>
        <w:t xml:space="preserve">إشكال آخر على تفويض الأحكام إلى الأئمّة </w:t>
      </w:r>
      <w:r>
        <w:rPr>
          <w:rtl w:val="true"/>
        </w:rPr>
        <w:t>(</w:t>
      </w:r>
      <w:r>
        <w:rPr>
          <w:rtl w:val="true"/>
        </w:rPr>
        <w:t>علیه السلام</w:t>
      </w:r>
      <w:r>
        <w:rPr>
          <w:rtl w:val="true"/>
        </w:rPr>
        <w:t>)</w:t>
      </w:r>
      <w:bookmarkEnd w:id="5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باختصاص الشارع بالنبيّ وعدم كون الأئمّة من ذلك، </w:t>
      </w:r>
      <w:bookmarkStart w:id="58" w:name="pg16224_170367"/>
    </w:p>
    <w:p>
      <w:pPr>
        <w:pStyle w:val="BookText"/>
        <w:rPr/>
      </w:pPr>
      <w:bookmarkEnd w:id="58"/>
      <w:r>
        <w:rPr>
          <w:rFonts w:ascii="IRNazanin" w:hAnsi="IRNazanin" w:eastAsia="IRNazanin"/>
          <w:color w:val="111111"/>
          <w:sz w:val="28"/>
          <w:sz w:val="28"/>
          <w:szCs w:val="28"/>
          <w:rtl w:val="true"/>
          <w:lang w:bidi="fa-IR"/>
        </w:rPr>
        <w:t xml:space="preserve">ينافيه ما ذكره جمعٌ من المتأخّرين من التفصيل في ثبوت الحقيقة الشرعيّة بين الأزمان، حيث ادّعوا القطع بثبوتها في زمان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وتأمّلوا أو نفوا قبله</w:t>
      </w:r>
      <w:r>
        <w:rPr>
          <w:rStyle w:val="FootnoteAnchor"/>
          <w:rtl w:val="true"/>
        </w:rPr>
        <w:footnoteReference w:id="106"/>
      </w:r>
      <w:r>
        <w:rPr>
          <w:rFonts w:ascii="Amiri" w:hAnsi="Amiri" w:eastAsia="Amiri" w:cs="Amiri"/>
          <w:color w:val="111111"/>
          <w:sz w:val="28"/>
          <w:sz w:val="28"/>
          <w:szCs w:val="28"/>
          <w:rtl w:val="true"/>
          <w:lang w:bidi="ar-SA"/>
        </w:rPr>
        <w:t>ولا يصحّ ذلك إلّا مع شمول الشارع للأئمّة عليهم آلاف الثناء والتحيّة</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3734310_1280447820"/>
      <w:bookmarkStart w:id="60" w:name="_Toc21"/>
      <w:bookmarkEnd w:id="59"/>
      <w:r>
        <w:rPr>
          <w:rtl w:val="true"/>
        </w:rPr>
        <w:t>الجواب عن الإشكال</w:t>
      </w:r>
      <w:bookmarkEnd w:id="60"/>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عنه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الجماعة قد غفلوا عن تعيين الشارع، فعدّوا منه من لم يكن كذلك من غير نظر إلى برهان، فلا تعويل على كلامهم ولا اعتداد بمقالهم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المراد من هذا الكلام ما يفهم منه في بادي الأنظار والأفهام، بل لمّا كانت الثمرة المترتّبة على القول بثبوت الحقيقة الشرعيّة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الألفاظ في الأحاديث حال التجرّد عن القرينة على المعاني المستحدثة، بخلافه على القول بالعدم، يمكن أن يكون مرادهم ممّا ذكروا ثبوت مطلق الحقيقة لتلك الألفاظ في تلك المعاني في زمانهما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يحمل عليها حال التجرّد عن القرينة في أخبارهما، ويكون حملها على المعاني اللغويّة حينئذٍ متوقّفًا على القرينة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يمكن أن يكون المراد ما أفاده ظاهر ذلك الكلام؛ لأنّ الحقيقة الشرعيّة هي ما وضعه الشارع، سواء كان الوضع بالتعيين أو التعيّن، والمفروض أنّ هذا الوضع غير ثابت قبل زمانهما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وثبوت الوضع في زمانهما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بالتعيين، بأن يكون تلك الألفاظ من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زمانهما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مستعملة في تلك المعاني المستحدثة على سبيل المجاز،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بدو زمانهما عيّناها لتلك المعاني، ولا شبهة في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بالتعيّن، وهو إنّما يكون إذا صدر الاستعمال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المجاز أوّلًا في المعاني المستحدثة، ثمّ لكثرة الاستعمال صار حقيقة فيها، وهو يقتضي التفصيل في زمانهما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بأن يقال بعدم الثبوت في أوائل زمانهما أيضًا والثبوت بعدها</w:t>
      </w:r>
      <w:r>
        <w:rPr>
          <w:rStyle w:val="FootnoteAnchor"/>
          <w:rtl w:val="true"/>
        </w:rPr>
        <w:footnoteReference w:id="107"/>
      </w:r>
      <w:r>
        <w:rPr>
          <w:rFonts w:ascii="Amiri" w:hAnsi="Amiri" w:eastAsia="Amiri" w:cs="Amiri"/>
          <w:color w:val="111111"/>
          <w:sz w:val="28"/>
          <w:sz w:val="28"/>
          <w:szCs w:val="28"/>
          <w:rtl w:val="true"/>
          <w:lang w:bidi="ar-SA"/>
        </w:rPr>
        <w:t>، وهم لا يقولون بذلك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تحقّق الوضع التعيّنيّ غير متوقّف على صدور الاستعمال على سبيل التجوّز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الاستعمال قبل زمانهما كان على سبيل المجاز وكثر الاستعمال إلى حدّ بلغ في زمانهما حدّ الحقيقة، فعلى هذا تكون الحقيقة الشرعيّة ما ثبت الوضع له في زمان الشارع وإن لم يكن الواضع ذلك، وهو مع ما فيه غير ملائم لكلماتهم، كما لا يخفى على المطّلع الفطن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61" w:name="pg16224_170369"/>
    </w:p>
    <w:p>
      <w:pPr>
        <w:pStyle w:val="BookText"/>
        <w:rPr/>
      </w:pPr>
      <w:bookmarkEnd w:id="61"/>
      <w:r>
        <w:rPr>
          <w:rFonts w:ascii="Amiri" w:hAnsi="Amiri" w:eastAsia="Amiri" w:cs="Amiri"/>
          <w:color w:val="111111"/>
          <w:sz w:val="28"/>
          <w:sz w:val="28"/>
          <w:szCs w:val="28"/>
          <w:rtl w:val="true"/>
          <w:lang w:bidi="ar-SA"/>
        </w:rPr>
        <w:t>في تعريف الحقيقة الشرعيّة</w:t>
      </w:r>
    </w:p>
    <w:p>
      <w:pPr>
        <w:pStyle w:val="Heading4"/>
        <w:numPr>
          <w:ilvl w:val="3"/>
          <w:numId w:val="1"/>
        </w:numPr>
        <w:rPr/>
      </w:pPr>
      <w:bookmarkStart w:id="62" w:name="__RefHeading___Toc3734312_1280447820"/>
      <w:bookmarkStart w:id="63" w:name="_Toc22"/>
      <w:bookmarkEnd w:id="62"/>
      <w:r>
        <w:rPr>
          <w:rtl w:val="true"/>
        </w:rPr>
        <w:t>المبحث الثاني</w:t>
      </w:r>
      <w:r>
        <w:rPr>
          <w:rtl w:val="true"/>
        </w:rPr>
        <w:t xml:space="preserve">: </w:t>
      </w:r>
      <w:r>
        <w:rPr>
          <w:rtl w:val="true"/>
        </w:rPr>
        <w:t>في ماهيّة الحقيقة الشرعيّة</w:t>
      </w:r>
      <w:bookmarkEnd w:id="63"/>
    </w:p>
    <w:p>
      <w:pPr>
        <w:pStyle w:val="Heading5"/>
        <w:numPr>
          <w:ilvl w:val="4"/>
          <w:numId w:val="1"/>
        </w:numPr>
        <w:rPr/>
      </w:pPr>
      <w:bookmarkStart w:id="64" w:name="__RefHeading___Toc3734314_1280447820"/>
      <w:bookmarkStart w:id="65" w:name="_Toc23"/>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عبارة عمّا نقله الشارع عن المعاني اللغويّة إلى المعاني المستحدثة، بحيث لو تنطّق به أو الناطقُ بلسانه</w:t>
      </w:r>
      <w:r>
        <w:rPr>
          <w:rStyle w:val="FootnoteAnchor"/>
          <w:rtl w:val="true"/>
        </w:rPr>
        <w:footnoteReference w:id="109"/>
      </w:r>
      <w:r>
        <w:rPr>
          <w:rFonts w:ascii="Amiri" w:hAnsi="Amiri" w:eastAsia="Amiri" w:cs="Amiri"/>
          <w:color w:val="111111"/>
          <w:sz w:val="28"/>
          <w:sz w:val="28"/>
          <w:szCs w:val="28"/>
          <w:rtl w:val="true"/>
          <w:lang w:bidi="ar-SA"/>
        </w:rPr>
        <w:t>، كان المفهوم منها المعاني المستحدثة، هذا هو المستفاد من كلمات جماعة في هذا الباب</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 ذلك منقوض طردًا وعكسًا،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ذلك يقتضي أن يكون كلّما نقله الشارع عن المعنى اللغويّ حقيقة شرعيّة وإن لم يكن في بيان الحكم الشرعيّ، بل كان من الأعلام المنقولة وشبهها، مع أنّ الظاهر أنّه ليس من أفراد المحدود؛ لأنّ الظاهر أنّ الحقيقة الشرعيّة يعتبر فيها كونها بحيث تتعلّق بالحكم الشرعيّ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مقتضاه اعتبار النقل في الحقيقة الشرعيّة، فلو اخترع الشارع لفظًا وكان مرتبطًا بالحكم الشرعيّ، يلزم أن لا يكون حقيقة شرعيّة، مع أنّ الظاهر أنّه من أفراد المحدود، فيدخل في الحدّ ما لم يكن من أفراده ويخرج عنه ما كان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الجواب عن الأوّل بعدم تسليم اختصاص الحقيقة الشرعيّة بما يستفاد منه الحكم الشرعيّ؛ وما المانع عن القول بأنّ الحقيقة الشرعيّة ما كان الوضع فيه من الشارع، سواء كان من متعلّقات الحكم الشرعيّ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التعميم؛ لأنّ الحقيقة الشرعيّة في 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العرفيّة واللغويّة، فكما لم يعتبر فيهما قيد، بل اللغويّة ما كان من موضوعات أهل اللغة، والعرفيّة ما كان من موضوعات أهل العرف، ينبغي أن لا يعتبر في أختهما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أنّ المقتضي لصدق الحقيقة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الوضع من الشارع والاستعمال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والمانع عنه غيرُ معلوم، فوجب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لم تكن تلك الألفاظ حقيقة شرعيّة، لزم تربيع القسمة، والتالي باطل، فالمقدّم مثله، أمّا الملازمة؛ فلأنّه لا شبهة في أنّ تلك الألفاظ بالنسبة إلى ذلك الوضع الشرعيّ لم تكن من الحقيقة اللغويّة ولا من العرفيّة كما لا يخفى، فلو لم تكن من الحقيقة الشرعيّة لكانت لا محالة قسمًا آخر من الحقيقة وراء الأقسام الثلاثة، وأمّا بطلان التالي؛ فلاتّفاقهم على تقسيم الحقيقة إلى اللغويّة والشرعيّة والعرفيّة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على النحو المذكور وإن كان محتملًا، لكن لمّا كانت الحقائق الشرعيّة الّتي وصلت إلينا من قبيل المنقولات ولم يوجد فيها لفظ مخترع،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في</w:t>
      </w:r>
      <w:r>
        <w:rPr>
          <w:rStyle w:val="FootnoteAnchor"/>
          <w:rtl w:val="true"/>
        </w:rPr>
        <w:footnoteReference w:id="111"/>
      </w:r>
      <w:r>
        <w:rPr>
          <w:rFonts w:ascii="Amiri" w:hAnsi="Amiri" w:eastAsia="Amiri" w:cs="Amiri"/>
          <w:color w:val="111111"/>
          <w:sz w:val="28"/>
          <w:sz w:val="28"/>
          <w:szCs w:val="28"/>
          <w:rtl w:val="true"/>
          <w:lang w:bidi="ar-SA"/>
        </w:rPr>
        <w:t>اللغة له معنى اقتصروا على ذلك، ويجيء الكلام في تحقيق ذلك فيما بعد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الحقيقة الشرعيّة هو ما كان استفادة المعنى منه بوضع الشرع على ما يظهر من كلمات جماعة أخرى؛ وحينئذٍ يعمّ القسمين ولم يرد عليه إلّا الإيراد الأوّل، وقد عرفت اندفاعه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تعميم الحقيقة الشرعيّة بحيث يعمّ الأعلام المنقولة غير صحيح؛ إذ الاختلاف في ثبوت الحقيقة الشرعيّة وعدمه شائع، فيلزم بناءً على التعميم أن يكون النافي للحقيقة الشرعيّة نافيًا للأعلام المنقولة، والظاهر أنّه ممّا لا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التعاريف والحدود للمفاهيم والماهيّات، فكيف يصحّح التعريف بأنّه للحقائق الشرعيّة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نزاعهم في الثبوت والعدم الظاهر</w:t>
      </w:r>
      <w:r>
        <w:rPr>
          <w:rStyle w:val="FootnoteAnchor"/>
          <w:rtl w:val="true"/>
        </w:rPr>
        <w:footnoteReference w:id="112"/>
      </w:r>
      <w:r>
        <w:rPr>
          <w:rFonts w:ascii="Amiri" w:hAnsi="Amiri" w:eastAsia="Amiri" w:cs="Amiri"/>
          <w:color w:val="111111"/>
          <w:sz w:val="28"/>
          <w:sz w:val="28"/>
          <w:szCs w:val="28"/>
          <w:rtl w:val="true"/>
          <w:lang w:bidi="ar-SA"/>
        </w:rPr>
        <w:t>انّه في خصوص الحقائق الشرعيّة الّتي في بيان الأحكام الشرعيّة، لا مطلقًا،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وإن كان كذلك، لكن الثمرة المعروفة في ثبوت الحقيقة الشرعيّة وعدمه لمّا كانت بالإضافة إلى الحقائق الشرعيّة الواقعيّة كما لا يخفى، فلهذا</w:t>
      </w:r>
      <w:r>
        <w:rPr>
          <w:rStyle w:val="FootnoteAnchor"/>
          <w:rtl w:val="true"/>
        </w:rPr>
        <w:footnoteReference w:id="113"/>
      </w:r>
      <w:r>
        <w:rPr>
          <w:rFonts w:ascii="Amiri" w:hAnsi="Amiri" w:eastAsia="Amiri" w:cs="Amiri"/>
          <w:color w:val="111111"/>
          <w:sz w:val="28"/>
          <w:sz w:val="28"/>
          <w:szCs w:val="28"/>
          <w:rtl w:val="true"/>
          <w:lang w:bidi="ar-SA"/>
        </w:rPr>
        <w:t>اختصّت بالتعريف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هذا إنّما يرد بناءً على اعتبار النقل في الحقيقة الشرعيّة، وأمّا على التعريف الّذي ذكرنا فلا، كما لا يخفى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كانت معرفة الحقيقة الشرعيّة متوقّفة على معرفة الشارع، ضرورة أنّ معرفة </w:t>
      </w:r>
      <w:bookmarkStart w:id="66" w:name="pg16224_170372"/>
    </w:p>
    <w:p>
      <w:pPr>
        <w:pStyle w:val="BookText"/>
        <w:rPr/>
      </w:pPr>
      <w:bookmarkEnd w:id="66"/>
      <w:r>
        <w:rPr>
          <w:rFonts w:ascii="Amiri" w:hAnsi="Amiri" w:eastAsia="Amiri" w:cs="Amiri"/>
          <w:color w:val="111111"/>
          <w:sz w:val="28"/>
          <w:sz w:val="28"/>
          <w:szCs w:val="28"/>
          <w:rtl w:val="true"/>
          <w:lang w:bidi="ar-SA"/>
        </w:rPr>
        <w:t>المحدود موقوفة على معرفة الحدّ ومعرفة الحدّ لا تتحصّل إلّا بمعرفة أجزائه، فلهذا قدّمنا الكلام في بيان الشارع على الكلام في بيان ماهيّة الحقيقة الشرعيّة</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3734316_1280447820"/>
      <w:bookmarkStart w:id="68" w:name="_Toc24"/>
      <w:bookmarkEnd w:id="67"/>
      <w:r>
        <w:rPr>
          <w:rtl w:val="true"/>
        </w:rPr>
        <w:t>الاحتمالات في وضع الحقيقة الشرعيّة ثلاثة</w:t>
      </w:r>
      <w:bookmarkEnd w:id="68"/>
    </w:p>
    <w:p>
      <w:pPr>
        <w:pStyle w:val="Heading6"/>
        <w:numPr>
          <w:ilvl w:val="5"/>
          <w:numId w:val="1"/>
        </w:numPr>
        <w:rPr/>
      </w:pPr>
      <w:bookmarkStart w:id="69" w:name="__RefHeading___Toc3734318_1280447820"/>
      <w:bookmarkStart w:id="70" w:name="_Toc25"/>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 xml:space="preserve">ولمّا عرفت أنّ الشارع لم يخرج عن الله تعالى ونبيّه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انحصرت الاحتمالات العقليّة في وضع الحقيقة الشرعيّة في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الوضع مستندًا إلى الله تعالى في جميع تلك الألفاظ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مستندًا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بالتفصيل بكون الوضع في البعض مستندًا إلى الله تعالى وفي الآخر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الأوّلين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نسبة الوضع إلى الله تعالى إنّما يمكن في الألفاظ الواردة في الكتاب العزيز، وأمّا في غيرها من الألفاظ الواردة في الآثار النبويّة،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ظاهر، فإنّ عدم الورود في القرآن لا يستلزم عدم الوضع منه سبحانه؛ لجواز أن يكون وضع الجميع منه تعالى وأعلم نبيّه ذلك إمّا بطريق الوحي، أو بطريق الإلهام، أو ذاك في بعض وهذا في الآخر</w:t>
      </w:r>
      <w:r>
        <w:rPr>
          <w:rStyle w:val="FootnoteAnchor"/>
          <w:rtl w:val="true"/>
        </w:rPr>
        <w:footnoteReference w:id="114"/>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في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الأمر فيه بالعكس، أي استناد الوضع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p>
    <w:p>
      <w:pPr>
        <w:pStyle w:val="BookText"/>
        <w:rPr/>
      </w:pPr>
      <w:r>
        <w:rPr>
          <w:rFonts w:ascii="Amiri" w:hAnsi="Amiri" w:eastAsia="Amiri" w:cs="Amiri"/>
          <w:color w:val="111111"/>
          <w:sz w:val="28"/>
          <w:sz w:val="28"/>
          <w:szCs w:val="28"/>
          <w:rtl w:val="true"/>
          <w:lang w:bidi="ar-SA"/>
        </w:rPr>
        <w:t>يمكن في الألفاظ الواردة في أخباره من الّتي لم تقع في الكتاب، وأمّا في الألفاظ الواردة فيه فلا؛ لوضوح أنّ وضع اللفظ للمعنى متوقّفٌ على تعقّله ومسبوقٌ عليه، والأحكام المأخوذة من الكتاب العزيز إنّما يعلم بدلالة آياته الشريفة وألفاظه الكريمة عليها، فتعقّلُ تلك المعاني مسبوقٌ على ورود تلك الألفاظ فيه وبواسطتها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الأحكام والمعاني المدلول عليها بالكتاب مسبوقٌ بدلالة ألفاظها عليها</w:t>
      </w:r>
      <w:r>
        <w:rPr>
          <w:rStyle w:val="FootnoteAnchor"/>
          <w:rtl w:val="true"/>
        </w:rPr>
        <w:footnoteReference w:id="115"/>
      </w:r>
      <w:r>
        <w:rPr>
          <w:rFonts w:ascii="Amiri" w:hAnsi="Amiri" w:eastAsia="Amiri" w:cs="Amiri"/>
          <w:color w:val="111111"/>
          <w:sz w:val="28"/>
          <w:sz w:val="28"/>
          <w:szCs w:val="28"/>
          <w:rtl w:val="true"/>
          <w:lang w:bidi="ar-SA"/>
        </w:rPr>
        <w:t>، ودلالة ألفاظها عليها مسبوقة بوضعها بإزائها</w:t>
      </w:r>
      <w:r>
        <w:rPr>
          <w:rStyle w:val="FootnoteAnchor"/>
          <w:rtl w:val="true"/>
        </w:rPr>
        <w:footnoteReference w:id="116"/>
      </w:r>
      <w:r>
        <w:rPr>
          <w:rFonts w:ascii="IRNazanin" w:hAnsi="IRNazanin" w:eastAsia="IRNazanin"/>
          <w:color w:val="111111"/>
          <w:sz w:val="28"/>
          <w:sz w:val="28"/>
          <w:szCs w:val="28"/>
          <w:rtl w:val="true"/>
          <w:lang w:bidi="fa-IR"/>
        </w:rPr>
        <w:t xml:space="preserve">، فلو كان وضعها بإزائها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أن يكون 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إيّاها بإزائها مسبوقًا بتعقّلها، فيلزم أن يكون تعقّل تلك المعاني مسبوقًا بتعقّل تلك المعاني، فيلزم توقّف الشيء على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فعلم أنّ وضع الألفاظ الواردة في القرآن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ممكن، بل يمكن القول بعدم صحّة استناد الوضع في شيء من الألفاظ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بالنسبة إلى الأحكام الموضوعة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لها لفظ خاصّ؛ لأنّ أحكام الله تعالى توقيفيّة، لا يعلم إلّا بتوقيف الله تعالى، إلّا ما أشرنا إليه، فإذا كان التوقيف والإعلام في الجميع منه تعالى، يكون الوضع في الجميع أيضًا منه تعالى، فتعيّن الاحتمال الأوّل وبطل الثاني، بل الثالث أيضًا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مسبوقيّة الشيء على نفسه على تقدير استناد الوضع في الألفاظ الواردة في الكتاب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يلزم إذا لم يحصل فهم تلك المعاني للنبيّ إلّا </w:t>
      </w:r>
    </w:p>
    <w:p>
      <w:pPr>
        <w:pStyle w:val="BookText"/>
        <w:rPr/>
      </w:pPr>
      <w:r>
        <w:rPr>
          <w:rFonts w:ascii="Amiri" w:hAnsi="Amiri" w:eastAsia="Amiri" w:cs="Amiri"/>
          <w:color w:val="111111"/>
          <w:sz w:val="28"/>
          <w:sz w:val="28"/>
          <w:szCs w:val="28"/>
          <w:rtl w:val="true"/>
          <w:lang w:bidi="ar-SA"/>
        </w:rPr>
        <w:t>من تلك الألفاظ، وحينئذٍ استناد وضعها لتلك المعاني إلى النبيّ مجازفة محضة ويترتّب عليه الاستحالة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لكنّه لم يتعيّن الأمر في ذلك؛ لجواز توقيفه تعالى تلك المعاني للنبيّ بغير تلك الألفاظ، وعيّن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إيّاها لأجلها كما في الغسل والوضوء، فإنّه تعالى عبّر عن الغسل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فَاطَّهَّرُوا،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جُنُبًا فَاطَّهَّرُوا</w:t>
      </w:r>
      <w:r>
        <w:rPr>
          <w:rStyle w:val="FootnoteAnchor"/>
          <w:rtl w:val="true"/>
        </w:rPr>
        <w:footnoteReference w:id="117"/>
      </w:r>
      <w:r>
        <w:rPr>
          <w:rFonts w:ascii="IRNazanin" w:hAnsi="IRNazanin" w:eastAsia="IRNazanin"/>
          <w:color w:val="111111"/>
          <w:sz w:val="28"/>
          <w:sz w:val="28"/>
          <w:szCs w:val="28"/>
          <w:rtl w:val="true"/>
          <w:lang w:bidi="fa-IR"/>
        </w:rPr>
        <w:t>، وعن الوضوء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قُمْتُمْ إِلَى الصَّلَاةِ فَاغْسِلُوا وُجُوهَكُمْ الآية</w:t>
      </w:r>
      <w:r>
        <w:rPr>
          <w:rStyle w:val="FootnoteAnchor"/>
          <w:rtl w:val="true"/>
        </w:rPr>
        <w:footnoteReference w:id="118"/>
      </w:r>
      <w:r>
        <w:rPr>
          <w:rFonts w:ascii="Amiri" w:hAnsi="Amiri" w:eastAsia="Amiri" w:cs="Amiri"/>
          <w:color w:val="111111"/>
          <w:sz w:val="28"/>
          <w:sz w:val="28"/>
          <w:szCs w:val="28"/>
          <w:rtl w:val="true"/>
          <w:lang w:bidi="ar-SA"/>
        </w:rPr>
        <w:t>، ولم يعبّر في شيء من الآيات القرآنيّة عنهما بلفظ الغسل</w:t>
      </w:r>
      <w:r>
        <w:rPr>
          <w:rStyle w:val="FootnoteAnchor"/>
          <w:rtl w:val="true"/>
        </w:rPr>
        <w:footnoteReference w:id="119"/>
      </w:r>
      <w:r>
        <w:rPr>
          <w:rFonts w:ascii="Amiri" w:hAnsi="Amiri" w:eastAsia="Amiri" w:cs="Amiri"/>
          <w:color w:val="111111"/>
          <w:sz w:val="28"/>
          <w:sz w:val="28"/>
          <w:szCs w:val="28"/>
          <w:rtl w:val="true"/>
          <w:lang w:bidi="ar-SA"/>
        </w:rPr>
        <w:t>والوضوء كما لا يخفى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أن تكون جميع الألفاظ الواردة في القرآن ممّا ادّعي ثبوت الحقيقة الشرعيّة فيه من هذا القبيل، بأن تكون معانيها ملقاة إلى النبيّ وعيّن النبيّ تلك الألفاظ لأجلها، بل القرينة قائمة على عدم إمكان التوقيف فيما ورد من الكتاب به في كثير من المقام،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 الآية</w:t>
      </w:r>
      <w:r>
        <w:rPr>
          <w:rStyle w:val="FootnoteAnchor"/>
          <w:rtl w:val="true"/>
        </w:rPr>
        <w:footnoteReference w:id="120"/>
      </w:r>
      <w:r>
        <w:rPr>
          <w:rFonts w:ascii="Amiri" w:hAnsi="Amiri" w:eastAsia="Amiri" w:cs="Amiri"/>
          <w:color w:val="111111"/>
          <w:sz w:val="28"/>
          <w:sz w:val="28"/>
          <w:szCs w:val="28"/>
          <w:rtl w:val="true"/>
          <w:lang w:bidi="ar-SA"/>
        </w:rPr>
        <w:t>، فإنّها جزء من سورة بني إسرائيل الّتي هي التاسعة والأربعون من السور المنزلة على النبيّ في مكّة على ما نقل عن ابن عبّاس</w:t>
      </w:r>
      <w:r>
        <w:rPr>
          <w:rStyle w:val="FootnoteAnchor"/>
          <w:rtl w:val="true"/>
        </w:rPr>
        <w:footnoteReference w:id="121"/>
      </w:r>
      <w:r>
        <w:rPr>
          <w:rFonts w:ascii="IRNazanin" w:hAnsi="IRNazanin" w:eastAsia="IRNazanin"/>
          <w:color w:val="111111"/>
          <w:sz w:val="28"/>
          <w:sz w:val="28"/>
          <w:szCs w:val="28"/>
          <w:rtl w:val="true"/>
          <w:lang w:bidi="fa-IR"/>
        </w:rPr>
        <w:t xml:space="preserve">، ولا شبهة 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مصلّيًا قبل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ارْكَعُوا وَاسْجُدُوا الآية</w:t>
      </w:r>
      <w:r>
        <w:rPr>
          <w:rStyle w:val="FootnoteAnchor"/>
          <w:rtl w:val="true"/>
        </w:rPr>
        <w:footnoteReference w:id="122"/>
      </w:r>
      <w:r>
        <w:rPr>
          <w:rFonts w:ascii="IRNazanin" w:hAnsi="IRNazanin" w:eastAsia="IRNazanin"/>
          <w:color w:val="111111"/>
          <w:sz w:val="28"/>
          <w:sz w:val="28"/>
          <w:szCs w:val="28"/>
          <w:rtl w:val="true"/>
          <w:lang w:bidi="fa-IR"/>
        </w:rPr>
        <w:t xml:space="preserve">، فإنّها جزء من سورة الحجّ الّتي هي السادسة والعشر من السور المنزلة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والحال أنّ كلّ من الركوع والسجود جزء من الصلاة الّتي قد أمر بها في بني إسرائيل الّتي هي مكّيّة على ما عرفت، ولا ريب أنّ صلاتهم كانت مشتملة على ركوع وسجود قبل نزول الحجّ، بل قبل نزول بني إسرائيل أيضًا، كما أشرنا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أنّ الأمر بالوضوء للصلاة 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فَاغْسِلُوا وُجُوهَكُمْ الآية</w:t>
      </w:r>
      <w:r>
        <w:rPr>
          <w:rStyle w:val="FootnoteAnchor"/>
          <w:rtl w:val="true"/>
        </w:rPr>
        <w:footnoteReference w:id="123"/>
      </w:r>
      <w:r>
        <w:rPr>
          <w:rFonts w:ascii="Amiri" w:hAnsi="Amiri" w:eastAsia="Amiri" w:cs="Amiri"/>
          <w:color w:val="111111"/>
          <w:sz w:val="28"/>
          <w:sz w:val="28"/>
          <w:szCs w:val="28"/>
          <w:rtl w:val="true"/>
          <w:lang w:bidi="ar-SA"/>
        </w:rPr>
        <w:t>، وهي جزء من سورة المائدة</w:t>
      </w:r>
      <w:r>
        <w:rPr>
          <w:rStyle w:val="FootnoteAnchor"/>
          <w:rtl w:val="true"/>
        </w:rPr>
        <w:footnoteReference w:id="124"/>
      </w:r>
      <w:r>
        <w:rPr>
          <w:rFonts w:ascii="Amiri" w:hAnsi="Amiri" w:eastAsia="Amiri" w:cs="Amiri"/>
          <w:color w:val="111111"/>
          <w:sz w:val="28"/>
          <w:sz w:val="28"/>
          <w:szCs w:val="28"/>
          <w:rtl w:val="true"/>
          <w:lang w:bidi="ar-SA"/>
        </w:rPr>
        <w:t xml:space="preserve">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حُكي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السور القرآنيّة المنزلة في المدينة إلّا التوبة، فإنّها بعدها</w:t>
      </w:r>
      <w:r>
        <w:rPr>
          <w:rStyle w:val="FootnoteAnchor"/>
          <w:rtl w:val="true"/>
        </w:rPr>
        <w:footnoteReference w:id="125"/>
      </w:r>
      <w:r>
        <w:rPr>
          <w:rFonts w:ascii="Amiri" w:hAnsi="Amiri" w:eastAsia="Amiri" w:cs="Amiri"/>
          <w:color w:val="111111"/>
          <w:sz w:val="28"/>
          <w:sz w:val="28"/>
          <w:szCs w:val="28"/>
          <w:rtl w:val="true"/>
          <w:lang w:bidi="ar-SA"/>
        </w:rPr>
        <w:t>فإن قلنا بكون التوقيف على الوضوء بتلك الآية، يلزم أن تكون صلاتهم قبل نزولها من غير وضوء، وهكذا الكلام في أمثالها، ونحن قاطعون بفساد ذلك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ظهر ممّا ذكرنا أنّ توقيفيّة الأحكام الشرعيّة لا تستدعي</w:t>
      </w:r>
      <w:r>
        <w:rPr>
          <w:rStyle w:val="FootnoteAnchor"/>
          <w:rtl w:val="true"/>
        </w:rPr>
        <w:footnoteReference w:id="126"/>
      </w:r>
      <w:r>
        <w:rPr>
          <w:rFonts w:ascii="Amiri" w:hAnsi="Amiri" w:eastAsia="Amiri" w:cs="Amiri"/>
          <w:color w:val="111111"/>
          <w:sz w:val="28"/>
          <w:sz w:val="28"/>
          <w:szCs w:val="28"/>
          <w:rtl w:val="true"/>
          <w:lang w:bidi="ar-SA"/>
        </w:rPr>
        <w:t xml:space="preserve">لزوم استناد الوضع في الألفاظ الّتي ادّعي ثبوت الحقيقة الشرعيّة فيها إلى الله تعالى؛ إذ غاية ما يلزم من ذلك كون التوقيف منه تعالى، ولا يلزم منه أن يكون ذلك بتلك </w:t>
      </w:r>
      <w:bookmarkStart w:id="71" w:name="pg16224_170376"/>
    </w:p>
    <w:p>
      <w:pPr>
        <w:pStyle w:val="BookText"/>
        <w:rPr/>
      </w:pPr>
      <w:bookmarkEnd w:id="71"/>
      <w:r>
        <w:rPr>
          <w:rFonts w:ascii="IRNazanin" w:hAnsi="IRNazanin" w:eastAsia="IRNazanin"/>
          <w:color w:val="111111"/>
          <w:sz w:val="28"/>
          <w:sz w:val="28"/>
          <w:szCs w:val="28"/>
          <w:rtl w:val="true"/>
          <w:lang w:bidi="fa-IR"/>
        </w:rPr>
        <w:t xml:space="preserve">الألفاظ؛ لجواز أن يكون بغير تلك الألفاظ، بل من غير لفظ أصلًا كما لا يخفى ويكون تعيين تلك الألفاظ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تسهيلًا للأمر وتيسيرًا للتعبير عنها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الوضع إمّا مستند إلى الله سبحانه في جميع تلك الألفاظ، أو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أو التفصيل، ولا رابع، لكن على الثالث يمكن أن يكون على وجهين،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الألفاظ المذكورة في القرآن من الله تعالى وفي السنّة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ذلك، لكنّه بعيد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نقتصر على الثلاثة،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في كلّ واحد من الاحتمالات الثلاثة إمّا بالتعيين في جميع الألفاظ، أو بالتعيّن كذلك، أو في بعضها هذا وفي الآخر ذاك، فالاحتمالات المتصوّرة تسعة، فبالحريّ أن نتكلّم في جميع تلك الأقسام؛ ليظهر لك إمكان إرادة الجميع في المقام أو عدمه، فنقول</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3734320_1280447820"/>
      <w:bookmarkStart w:id="73" w:name="_Toc26"/>
      <w:bookmarkEnd w:id="72"/>
      <w:r>
        <w:rPr>
          <w:rtl w:val="true"/>
        </w:rPr>
        <w:t>الاحتمال الأوّل</w:t>
      </w:r>
      <w:bookmarkEnd w:id="73"/>
    </w:p>
    <w:p>
      <w:pPr>
        <w:pStyle w:val="BookText"/>
        <w:rPr/>
      </w:pPr>
      <w:r>
        <w:rPr>
          <w:rFonts w:ascii="IRNazanin" w:hAnsi="IRNazanin" w:eastAsia="IRNazanin"/>
          <w:color w:val="111111"/>
          <w:sz w:val="28"/>
          <w:sz w:val="28"/>
          <w:szCs w:val="28"/>
          <w:rtl w:val="true"/>
          <w:lang w:bidi="fa-IR"/>
        </w:rPr>
        <w:t>الأوّل من تلك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الوضع في الجميع مستندًا إلى الله تعالى ويكون بالتعيين، وأوقف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بالوحي أو الإلهام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شبهة في إمكان ذلك وأوفقيّته بما يتبادر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جاعل الشرع</w:t>
      </w:r>
      <w:r>
        <w:rPr>
          <w:rFonts w:eastAsia="Amiri" w:cs="Amiri" w:ascii="Amiri" w:hAnsi="Amiri"/>
          <w:color w:val="111111"/>
          <w:sz w:val="28"/>
          <w:szCs w:val="28"/>
          <w:rtl w:val="true"/>
          <w:lang w:bidi="ar-SA"/>
        </w:rPr>
        <w:t xml:space="preserve">. </w:t>
      </w:r>
      <w:bookmarkStart w:id="74" w:name="pg16224_170377"/>
    </w:p>
    <w:p>
      <w:pPr>
        <w:pStyle w:val="Heading6"/>
        <w:numPr>
          <w:ilvl w:val="5"/>
          <w:numId w:val="1"/>
        </w:numPr>
        <w:rPr/>
      </w:pPr>
      <w:bookmarkStart w:id="75" w:name="__RefHeading___Toc3734322_1280447820"/>
      <w:bookmarkStart w:id="76" w:name="_Toc27"/>
      <w:bookmarkEnd w:id="74"/>
      <w:bookmarkEnd w:id="75"/>
      <w:r>
        <w:rPr>
          <w:rtl w:val="true"/>
        </w:rPr>
        <w:t>الاحتمال الثاني</w:t>
      </w:r>
      <w:bookmarkEnd w:id="76"/>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كالأوّل، إلّا أنّ الوضع فيه بالتعيّن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غير صحيح؛ لأنّ الوضع التعيّنيّ على ما عرفت في المقدّمة هو الّذي يكون إفادة المعنى فيه بالغلبة والاشتهار وكثرة الاستعمال؛ وهذا لا يخلو إمّا أن يكون المعتبر في صدق الواضع بالوضع التعيّنيّ على أحدٍ تحقّقَ الكثرة والشهرة منه، أم لا، بل المعتبر في ذلك كونه أوّل من استعمل اللفظ في المعنى، سواء تحقّقت الكثرة منه، أم منه ومن متابعيه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ينسب الوضع على التقدير الثاني إلى المستعمل الأوّل، مع أنّ لاستعمال المتابعين أيضًا مدخليّة في تحقّق الغلبة والاشتهار؛ لكونه الأصل في ذلك والداعي لاستعمالهم وفرعيّة استعمالهم لاستعماله وترتّبه عليه، وعلى كلّ من التقديرين لا يمكن إرادة هذا الاحتمال؛ لأنّ أصل الاستعمال في جميع تلك الألفاظ لم يثبت منه تعالى، فضلًا عن الكثرة فيه، فتأمّل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يمكن أن يقال بعدم كفاية كونه أوّل من استعمل اللفظ في المعنى في صدق الواضع عليه</w:t>
      </w:r>
      <w:r>
        <w:rPr>
          <w:rStyle w:val="FootnoteAnchor"/>
          <w:rtl w:val="true"/>
        </w:rPr>
        <w:footnoteReference w:id="128"/>
      </w:r>
      <w:r>
        <w:rPr>
          <w:rFonts w:ascii="Amiri" w:hAnsi="Amiri" w:eastAsia="Amiri" w:cs="Amiri"/>
          <w:color w:val="111111"/>
          <w:sz w:val="28"/>
          <w:sz w:val="28"/>
          <w:szCs w:val="28"/>
          <w:rtl w:val="true"/>
          <w:lang w:bidi="ar-SA"/>
        </w:rPr>
        <w:t xml:space="preserve">، بل لا بدّ مع ذلك من تحقّق الغلبة والاشتهار منه؛ إذ لو لم </w:t>
      </w:r>
      <w:bookmarkStart w:id="77" w:name="pg16224_170378"/>
    </w:p>
    <w:p>
      <w:pPr>
        <w:pStyle w:val="BookText"/>
        <w:rPr/>
      </w:pPr>
      <w:bookmarkEnd w:id="77"/>
      <w:r>
        <w:rPr>
          <w:rFonts w:ascii="Amiri" w:hAnsi="Amiri" w:eastAsia="Amiri" w:cs="Amiri"/>
          <w:color w:val="111111"/>
          <w:sz w:val="28"/>
          <w:sz w:val="28"/>
          <w:szCs w:val="28"/>
          <w:rtl w:val="true"/>
          <w:lang w:bidi="ar-SA"/>
        </w:rPr>
        <w:t>يعتبر ذلك، بل اكتفي في ذلك بكونه ممّن صدر منه</w:t>
      </w:r>
      <w:r>
        <w:rPr>
          <w:rStyle w:val="FootnoteAnchor"/>
          <w:rtl w:val="true"/>
        </w:rPr>
        <w:footnoteReference w:id="129"/>
      </w:r>
      <w:r>
        <w:rPr>
          <w:rFonts w:ascii="Amiri" w:hAnsi="Amiri" w:eastAsia="Amiri" w:cs="Amiri"/>
          <w:color w:val="111111"/>
          <w:sz w:val="28"/>
          <w:sz w:val="28"/>
          <w:szCs w:val="28"/>
          <w:rtl w:val="true"/>
          <w:lang w:bidi="ar-SA"/>
        </w:rPr>
        <w:t>الاستعمال أوّلًا، يلزم أن تكون الحقيقة المتشرّعة حقيقة شرعيّة؛ لوضوح أنّ المستعمل الأوّل هو الشارع بأيّ معنى كان، وهو السبب الداعي والموجب الباعث لاستعمالهم، واستعمالهم متفرّع على استعماله ومترتّب عليه كما لا يخفى، وبطلان التالي معلوم بالاتّفاق، فالمقدّم مثله</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3734324_1280447820"/>
      <w:bookmarkStart w:id="79" w:name="_Toc28"/>
      <w:bookmarkEnd w:id="78"/>
      <w:r>
        <w:rPr>
          <w:rtl w:val="true"/>
        </w:rPr>
        <w:t>الاحتمال الثالث</w:t>
      </w:r>
      <w:bookmarkEnd w:id="79"/>
    </w:p>
    <w:p>
      <w:pPr>
        <w:pStyle w:val="Heading6"/>
        <w:numPr>
          <w:ilvl w:val="5"/>
          <w:numId w:val="1"/>
        </w:numPr>
        <w:rPr/>
      </w:pPr>
      <w:bookmarkStart w:id="80" w:name="__RefHeading___Toc3734326_1280447820"/>
      <w:bookmarkStart w:id="81" w:name="_Toc29"/>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والثالث</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الوضع في الجميع مستندًا إليه تعالى أيضًا، لكن في البعض بالتعيين وفي الآخر بالتعيّن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ربما يمكن إرادته في المقام بأن يكون بعض من الألفاظ الواردة في الكتاب استعماله أوّلًا على سبيل التجوّز ويكون المعنى مفهومًا منه بمعونة القرينة، ثمّ بتكرير الذكر فيه حصل الاشتهار والغلبة فيه، كما تكرّر ذكر الصلاة والزكاة،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تقدير أن يعتبر في صدق الواضع بالوضع التعيّني تحقّق الغلبة والاشتهار منه، وإلّا فالأمر بالنسبة إلى إرادة هذا الاحتمال سهلٌ جدًّا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إثبات الوضع التعيّني في البعض، وأمّا الوضع التعييني في الآخر فيعلم حاله ممّا ذكر في الاحتمال الأوّل من غير افتقار إلى تجشّم فكر وتأمّل</w:t>
      </w:r>
      <w:r>
        <w:rPr>
          <w:rFonts w:eastAsia="Amiri" w:cs="Amiri" w:ascii="Amiri" w:hAnsi="Amiri"/>
          <w:color w:val="111111"/>
          <w:sz w:val="28"/>
          <w:szCs w:val="28"/>
          <w:rtl w:val="true"/>
          <w:lang w:bidi="ar-SA"/>
        </w:rPr>
        <w:t xml:space="preserve">. </w:t>
      </w:r>
      <w:bookmarkStart w:id="82" w:name="pg16224_170379"/>
    </w:p>
    <w:p>
      <w:pPr>
        <w:pStyle w:val="Heading6"/>
        <w:numPr>
          <w:ilvl w:val="5"/>
          <w:numId w:val="1"/>
        </w:numPr>
        <w:rPr/>
      </w:pPr>
      <w:bookmarkStart w:id="83" w:name="__RefHeading___Toc3734328_1280447820"/>
      <w:bookmarkStart w:id="84" w:name="_Toc30"/>
      <w:bookmarkEnd w:id="82"/>
      <w:bookmarkEnd w:id="83"/>
      <w:r>
        <w:rPr>
          <w:rtl w:val="true"/>
        </w:rPr>
        <w:t>الإيراد على الاحتمالات الثلاثة مع الجواب عنه</w:t>
      </w:r>
      <w:bookmarkEnd w:id="84"/>
    </w:p>
    <w:p>
      <w:pPr>
        <w:pStyle w:val="BookText"/>
        <w:rPr/>
      </w:pPr>
      <w:r>
        <w:rPr>
          <w:rFonts w:ascii="IRNazanin" w:hAnsi="IRNazanin" w:eastAsia="IRNazanin"/>
          <w:color w:val="111111"/>
          <w:sz w:val="28"/>
          <w:sz w:val="28"/>
          <w:szCs w:val="28"/>
          <w:rtl w:val="true"/>
          <w:lang w:bidi="fa-IR"/>
        </w:rPr>
        <w:t xml:space="preserve">ويمكن الإيراد على الوجوه الثلاثة بأنّ جميعها مشتركة في استناد الوضع في جميع الألفاظ إلى الله تعالى، وهو ينافي ما تقدّم من ثبوت التفويض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الأحكام؛ إذ حينئذٍ يكون الوضع في ألفاظ</w:t>
      </w:r>
      <w:r>
        <w:rPr>
          <w:rStyle w:val="FootnoteAnchor"/>
          <w:rtl w:val="true"/>
        </w:rPr>
        <w:footnoteReference w:id="131"/>
      </w:r>
      <w:r>
        <w:rPr>
          <w:rFonts w:ascii="IRNazanin" w:hAnsi="IRNazanin" w:eastAsia="IRNazanin"/>
          <w:color w:val="111111"/>
          <w:sz w:val="28"/>
          <w:sz w:val="28"/>
          <w:szCs w:val="28"/>
          <w:rtl w:val="true"/>
          <w:lang w:bidi="fa-IR"/>
        </w:rPr>
        <w:t xml:space="preserve">ذلك البعض مستندًا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إلى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يتوجّه إذا وجد لفظ مختصّ لتلك الأحكام المفوّضة ولم نجده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انتفاء لفظ خاصّ لها، لكنّه لا يحسم مادّة الإيراد؛ إذ الألفاظ المشتركة أيضًا تفتقر إلى 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بمنكرين لذلك، لكنّه لا يضرّ بالمدّعي؛ إذ المدّعي أنّ الوضع في جميع الألفاظ مستندٌ إلى الله تعالى، لا في جميع الألفاظ بالنسبة إلى جميع المعاني، فلا يضرّ تحقّق الوضع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الألفاظ لبعض المعاني الّذي يكون مغايرًا لما وضعه الله تعالى لأجله، وعلى تقدير التسليم لا نسلّم التنافي بين كون الحكم من موضوعاته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132"/>
      </w:r>
      <w:r>
        <w:rPr>
          <w:rFonts w:ascii="Amiri" w:hAnsi="Amiri" w:eastAsia="Amiri" w:cs="Amiri"/>
          <w:color w:val="111111"/>
          <w:sz w:val="28"/>
          <w:sz w:val="28"/>
          <w:szCs w:val="28"/>
          <w:rtl w:val="true"/>
          <w:lang w:bidi="ar-SA"/>
        </w:rPr>
        <w:t>كون وضع اللفظ له منه تعالى، كما في عكسه على ما تقدّم</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3734330_1280447820"/>
      <w:bookmarkStart w:id="86" w:name="_Toc31"/>
      <w:bookmarkEnd w:id="85"/>
      <w:r>
        <w:rPr>
          <w:rtl w:val="true"/>
        </w:rPr>
        <w:t>الاحتمال الرابع</w:t>
      </w:r>
      <w:bookmarkEnd w:id="8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كالأوّل إلّا في الواضع، فهو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bookmarkStart w:id="87" w:name="pg16224_170380"/>
    </w:p>
    <w:p>
      <w:pPr>
        <w:pStyle w:val="BookText"/>
        <w:rPr/>
      </w:pPr>
      <w:bookmarkEnd w:id="87"/>
      <w:r>
        <w:rPr>
          <w:rFonts w:ascii="Amiri" w:hAnsi="Amiri" w:eastAsia="Amiri" w:cs="Amiri"/>
          <w:color w:val="111111"/>
          <w:sz w:val="28"/>
          <w:sz w:val="28"/>
          <w:szCs w:val="28"/>
          <w:rtl w:val="true"/>
          <w:lang w:bidi="ar-SA"/>
        </w:rPr>
        <w:t>وهو ممكن ولا يرد عليه شيءٌ إلّا ما تقدّم من أنّ كثيرًا من تلك الألفاظ واردة في القرآن، ومعانيها إنّما علمت منها، فكيف يتصوّر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الأحكام الشرعيّة توقيفيّة موقوفة على التوقيف منه تعالى، فكيف يتصوّر الوضع فيها لغيره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قد عرفت الجواب عنه بما لا مزيد عليه</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3734332_1280447820"/>
      <w:bookmarkStart w:id="89" w:name="_Toc32"/>
      <w:bookmarkEnd w:id="88"/>
      <w:r>
        <w:rPr>
          <w:rtl w:val="true"/>
        </w:rPr>
        <w:t>الاحتمال الخامس</w:t>
      </w:r>
      <w:bookmarkEnd w:id="89"/>
    </w:p>
    <w:p>
      <w:pPr>
        <w:pStyle w:val="Heading6"/>
        <w:numPr>
          <w:ilvl w:val="5"/>
          <w:numId w:val="1"/>
        </w:numPr>
        <w:rPr/>
      </w:pPr>
      <w:bookmarkStart w:id="90" w:name="__RefHeading___Toc3734334_1280447820"/>
      <w:bookmarkStart w:id="91" w:name="_Toc33"/>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كالرابع إلّا في الوضع فكالثاني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ممكن لما علمت من أنّه يمكن أن يكون الله تعالى أوقف نبيّه جميع الأحكام الشرعيّة بغير تلك الألفاظ، بل من غير طريق لفظ أصلًا، ثمّ النبيّ استعمل تلك الألفاظ في تلك المعاني على سبيل المجاز، ثمّ اشتهرت فيها إلى أن بلغت حدّ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وكفاية هذا الاحتمال في صحّة انتساب الوضع في جميع الألفاظ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الاكتفاء في ذلك بتحقّق الاستعمال الأوّل وإن كانت الغلبة والاشتهار بانضمام استعمال الغير ممّا لا يخفى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على توقّف انتساب الوضع التعيّني إلى أحد على تحقّق الغلبة والاشتهار منه، فصحّة الاحتمال المذكور محلّ تأمّل؛ لبعد اشتهار جميع تلك الألفاظ في تلك المعاني من محض استعماله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يمكن أن يقال بعدم اعتبار ذلك والاكتفاء في انتساب الوضع المذكور إلى أحد بكونه أوّل من استعمل بشرط أن يكون استعماله داعيًا ومتبوعًا لاستعمال غيره واعتبار تحقّق الغلبة والاشتهار في زمانه</w:t>
      </w:r>
      <w:r>
        <w:rPr>
          <w:rFonts w:eastAsia="IRNazanin" w:cs="IRNazanin"/>
          <w:color w:val="111111"/>
          <w:sz w:val="28"/>
          <w:szCs w:val="28"/>
          <w:rtl w:val="true"/>
          <w:lang w:bidi="fa-IR"/>
        </w:rPr>
        <w:t xml:space="preserve">. </w:t>
      </w:r>
      <w:bookmarkStart w:id="92" w:name="pg16224_170381"/>
    </w:p>
    <w:p>
      <w:pPr>
        <w:pStyle w:val="Heading6"/>
        <w:numPr>
          <w:ilvl w:val="5"/>
          <w:numId w:val="1"/>
        </w:numPr>
        <w:rPr/>
      </w:pPr>
      <w:bookmarkStart w:id="93" w:name="__RefHeading___Toc3734336_1280447820"/>
      <w:bookmarkStart w:id="94" w:name="_Toc34"/>
      <w:bookmarkEnd w:id="92"/>
      <w:bookmarkEnd w:id="93"/>
      <w:r>
        <w:rPr>
          <w:rtl w:val="true"/>
        </w:rPr>
        <w:t>طرق إثبات الوضع التعيّنيّ</w:t>
      </w:r>
      <w:bookmarkEnd w:id="94"/>
    </w:p>
    <w:p>
      <w:pPr>
        <w:pStyle w:val="BookText"/>
        <w:rPr/>
      </w:pPr>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في ثبوت الوضع التعيّنيّ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 الأوّل مع تحقّق الغلبة والاشتهار من ذلك المستعمل، هو أقواها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كالأوّل إلّا أنّ لاستعمال الغير مدخليّة في تحقّق الاشتهار، لا مطلقًا، بل بانضمام استعمال الغير إلى استعمال المستعمل الأوّل في زمانه يتحقّق الاشتهار والغلبة، ففي هاتين</w:t>
      </w:r>
      <w:r>
        <w:rPr>
          <w:rStyle w:val="FootnoteAnchor"/>
          <w:rtl w:val="true"/>
        </w:rPr>
        <w:footnoteReference w:id="133"/>
      </w:r>
      <w:r>
        <w:rPr>
          <w:rFonts w:ascii="Amiri" w:hAnsi="Amiri" w:eastAsia="Amiri" w:cs="Amiri"/>
          <w:color w:val="111111"/>
          <w:sz w:val="28"/>
          <w:sz w:val="28"/>
          <w:szCs w:val="28"/>
          <w:rtl w:val="true"/>
          <w:lang w:bidi="ar-SA"/>
        </w:rPr>
        <w:t>الصورتين يسند الوضع إلى المستعمل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يشتهر اللفظ عند طائفة بعد انقضاء زمان المستعمل الأوّل، وهذا الوضع تعيّنيّ، لكن يسند الوضع في هذه الصورة إلى تلك الطائفة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الحقيقة المتشرّعة من هذا القبيل، فعلى هذا اندفع النقض السابق</w:t>
      </w:r>
      <w:r>
        <w:rPr>
          <w:rStyle w:val="FootnoteAnchor"/>
          <w:rtl w:val="true"/>
        </w:rPr>
        <w:footnoteReference w:id="134"/>
      </w:r>
      <w:r>
        <w:rPr>
          <w:rFonts w:ascii="Amiri" w:hAnsi="Amiri" w:eastAsia="Amiri" w:cs="Amiri"/>
          <w:color w:val="111111"/>
          <w:sz w:val="28"/>
          <w:sz w:val="28"/>
          <w:szCs w:val="28"/>
          <w:rtl w:val="true"/>
          <w:lang w:bidi="ar-SA"/>
        </w:rPr>
        <w:t>، لكن يرد على هذا الاحتمال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صحّته تتوقّف على انتفاء اللفظ المخترع في الألفاظ الشرعيّة؛ إذ معه يبعد الاستعمال التجوّزي، وعلى تحقّق المناسبة بين المعاني الشرعيّة واللغويّة واعتبارها كما لا يخفى، وهو محلّ كلام</w:t>
      </w:r>
      <w:r>
        <w:rPr>
          <w:rFonts w:eastAsia="Amiri" w:cs="Amiri" w:ascii="Amiri" w:hAnsi="Amiri"/>
          <w:color w:val="111111"/>
          <w:sz w:val="28"/>
          <w:szCs w:val="28"/>
          <w:rtl w:val="true"/>
          <w:lang w:bidi="ar-SA"/>
        </w:rPr>
        <w:t xml:space="preserve">. </w:t>
      </w:r>
      <w:bookmarkStart w:id="95" w:name="pg16224_170382"/>
    </w:p>
    <w:p>
      <w:pPr>
        <w:pStyle w:val="Heading6"/>
        <w:numPr>
          <w:ilvl w:val="5"/>
          <w:numId w:val="1"/>
        </w:numPr>
        <w:rPr/>
      </w:pPr>
      <w:bookmarkStart w:id="96" w:name="__RefHeading___Toc3734338_1280447820"/>
      <w:bookmarkStart w:id="97" w:name="_Toc35"/>
      <w:bookmarkEnd w:id="95"/>
      <w:bookmarkEnd w:id="96"/>
      <w:r>
        <w:rPr>
          <w:rtl w:val="true"/>
        </w:rPr>
        <w:t>الاحتمال السادس</w:t>
      </w:r>
      <w:bookmarkEnd w:id="97"/>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كالثالث إلّا في الواضع فكالرابع، أي يكون الوضع في بعض الألفاظ بالتعيين، وفي بعض آخر</w:t>
      </w:r>
      <w:r>
        <w:rPr>
          <w:rStyle w:val="FootnoteAnchor"/>
          <w:rtl w:val="true"/>
        </w:rPr>
        <w:footnoteReference w:id="135"/>
      </w:r>
      <w:r>
        <w:rPr>
          <w:rFonts w:ascii="IRNazanin" w:hAnsi="IRNazanin" w:eastAsia="IRNazanin"/>
          <w:color w:val="111111"/>
          <w:sz w:val="28"/>
          <w:sz w:val="28"/>
          <w:szCs w:val="28"/>
          <w:rtl w:val="true"/>
          <w:lang w:bidi="fa-IR"/>
        </w:rPr>
        <w:t xml:space="preserve">بالتعيّن، ويكون الواضع في الجميع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وهذا الاحتمال لا شبهة في إمكان إرادته في المقام وإن كانت إرادته بالنسبة إلى الله تعالى محلّ كلام عند توقّف نسبة هذا الوضع إلى أحد تحقّق الغلبةُ والاشتهار منه</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3734340_1280447820"/>
      <w:bookmarkStart w:id="99" w:name="_Toc36"/>
      <w:bookmarkEnd w:id="98"/>
      <w:r>
        <w:rPr>
          <w:rtl w:val="true"/>
        </w:rPr>
        <w:t>الاحتمال السابع</w:t>
      </w:r>
      <w:bookmarkEnd w:id="99"/>
    </w:p>
    <w:p>
      <w:pPr>
        <w:pStyle w:val="BookText"/>
        <w:rPr/>
      </w:pP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الوضع فيما ذكر في الكتاب من تلك الألفاظ مستندًا إلى الله تعالى وفي غيره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 الجميع على سبيل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وحال هذا القسم يظهر ممّا ذكر في الاحتمال الأوّل والرابع، لكن يتوجّه على استناد الوضع فيما ذكر من الكتاب إلى الله تعالى أنّه يلزم حينئذٍ أن لا تكون تلك المعاني والأحكام قبل نزول الآيات معلومة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ما أشرنا إليه سابقًا من أنّه يلزم بناءً عليه أن لا يكونوا مصلّين قبل نزول آية الصلاة وهكذا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عنه بمنع الملازمة؛ لجواز أن يوقف الله تعالى نبيّه تلك الأحكام من غير هذه الألفاظ وهم كانوا ممتثلين بها وآتين عليها من غير إطلاق تلك </w:t>
      </w:r>
      <w:bookmarkStart w:id="100" w:name="pg16224_170383"/>
    </w:p>
    <w:p>
      <w:pPr>
        <w:pStyle w:val="BookText"/>
        <w:rPr/>
      </w:pPr>
      <w:bookmarkEnd w:id="100"/>
      <w:r>
        <w:rPr>
          <w:rFonts w:ascii="Amiri" w:hAnsi="Amiri" w:eastAsia="Amiri" w:cs="Amiri"/>
          <w:color w:val="111111"/>
          <w:sz w:val="28"/>
          <w:sz w:val="28"/>
          <w:szCs w:val="28"/>
          <w:rtl w:val="true"/>
          <w:lang w:bidi="ar-SA"/>
        </w:rPr>
        <w:t>الألفاظ عليها إلّا بعد نزول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على تقدير استناد الوضع فيما ذكر في الكتاب إليه تعالى، عدم إطلاق تلك الألفاظ عليها، لا عدم معلوميّة المعاني والأحكام الّتي يستنبط منها، ولا محذور فيه، والمحذور عدم الإتيان بالصلاة مثلًا قبل نزول الآية المتعلّقة بها، وأين هذا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غير محذور والمحذور غير لازم</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3734342_1280447820"/>
      <w:bookmarkStart w:id="102" w:name="_Toc37"/>
      <w:bookmarkEnd w:id="101"/>
      <w:r>
        <w:rPr>
          <w:rtl w:val="true"/>
        </w:rPr>
        <w:t>الاحتمال الثامن</w:t>
      </w:r>
      <w:bookmarkEnd w:id="102"/>
    </w:p>
    <w:p>
      <w:pPr>
        <w:pStyle w:val="BookText"/>
        <w:rPr/>
      </w:pPr>
      <w:r>
        <w:rPr>
          <w:rFonts w:ascii="Amiri" w:hAnsi="Amiri" w:eastAsia="Amiri" w:cs="Amiri"/>
          <w:color w:val="111111"/>
          <w:sz w:val="28"/>
          <w:sz w:val="28"/>
          <w:szCs w:val="28"/>
          <w:rtl w:val="true"/>
          <w:lang w:bidi="ar-SA"/>
        </w:rPr>
        <w:t>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كالسابع إلّا أنّ الوضع في الجميع تعيّني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عند عدم توقّف انتساب الوضع التعيّني إلى أحد على تحقّق الاشتهار منه، ظاهرٌ في كلّ من الألفاظ المذكورة في الكتاب والسنّة، وأمّا مع توقّفه عليه فيشكل الأمر، لاسيّما بالنسبة إلى الألفاظ المذكورة في الكتاب، إذ قد لا يكون اللفظ مذكورًا فيه إلّا في موضع واحد ولم يكرّر أصلًا، فضلًا عن الكثرة والاشتهار، لكنّك قد عرفت أنّه يمكن القول بعدم اعتبار ذلك، فإرادة الاحتمال المذكور ممكنة</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3734344_1280447820"/>
      <w:bookmarkStart w:id="104" w:name="_Toc38"/>
      <w:bookmarkEnd w:id="103"/>
      <w:r>
        <w:rPr>
          <w:rtl w:val="true"/>
        </w:rPr>
        <w:t>الاحتمال التاسع</w:t>
      </w:r>
      <w:bookmarkEnd w:id="10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في الواضع كالسابع والثامن، لكنّ الوضع في الألفاظ المذكورة في الكتاب بالتعيين وفي السنّة بالتعيّن،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هذا القسم على كلّ من الاحتمالين يظهر ممّا ذكر من الكلام في البين</w:t>
      </w:r>
      <w:r>
        <w:rPr>
          <w:rFonts w:eastAsia="Amiri" w:cs="Amiri" w:ascii="Amiri" w:hAnsi="Amiri"/>
          <w:color w:val="111111"/>
          <w:sz w:val="28"/>
          <w:szCs w:val="28"/>
          <w:rtl w:val="true"/>
          <w:lang w:bidi="ar-SA"/>
        </w:rPr>
        <w:t xml:space="preserve">. </w:t>
      </w:r>
      <w:bookmarkStart w:id="105" w:name="pg16224_170384"/>
    </w:p>
    <w:p>
      <w:pPr>
        <w:pStyle w:val="Heading6"/>
        <w:numPr>
          <w:ilvl w:val="5"/>
          <w:numId w:val="1"/>
        </w:numPr>
        <w:rPr/>
      </w:pPr>
      <w:bookmarkStart w:id="106" w:name="__RefHeading___Toc3734346_1280447820"/>
      <w:bookmarkStart w:id="107" w:name="_Toc39"/>
      <w:bookmarkEnd w:id="105"/>
      <w:bookmarkEnd w:id="106"/>
      <w:r>
        <w:rPr>
          <w:rtl w:val="true"/>
        </w:rPr>
        <w:t>احتمال آخر</w:t>
      </w:r>
      <w:bookmarkEnd w:id="107"/>
    </w:p>
    <w:p>
      <w:pPr>
        <w:pStyle w:val="BookText"/>
        <w:rPr/>
      </w:pPr>
      <w:r>
        <w:rPr>
          <w:rFonts w:ascii="Amiri" w:hAnsi="Amiri" w:eastAsia="Amiri" w:cs="Amiri"/>
          <w:color w:val="111111"/>
          <w:sz w:val="28"/>
          <w:sz w:val="28"/>
          <w:szCs w:val="28"/>
          <w:rtl w:val="true"/>
          <w:lang w:bidi="ar-SA"/>
        </w:rPr>
        <w:t>ثمّ لا يخفى عليك أنّ هنا احتمالًا آخر، وهو أن يكون الكلام في الواضع كالثلاثة الأخيرة، لكن على تفصيل في كلّ من الكتاب والسنّة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في بعض الألفاظ المذكورة في الكتاب بالتعيين وفي بعض آخر بالتعيّن، وكذا الكلام في السنّة، ويظهر حاله أيضًا ممّا تقدّم، فلا يحتاج إلى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أيضًا أنّ الحقيقة الشرعيّة على الثلاثة الأُوَل مستندةٌ إلى الله تعالى، وعلى الثلاثة الوسطى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الثلاثة الأخيرة إليهما، والشارع بالنسبة إليه تعالى يكون بمعناه المتبادر، أي جاعل الشرع، وبالنسبة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صاحب الشرع، أو آتيًا به، أو جاعل الشرع في الجملة، أي بالنسبة إلى أحكامه وموضوعاته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الشارع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لظاهر اللفظ، أمّا بالنسبة إلى المعنيين فظاهر، وأمّا بالنسبة إلى جاعل الشرع فلأنّ الظاهر من الشارع أن يكون مستقلًّا في ذلك من غير افتقار إلى إمضاء غيره، كما في حقّ الله سبحانه، وأيضًا إطلاقُهُ وإرادة جاعل الشرع في الجملة خلافٌ لظاهر اللفظ من وجه آخر</w:t>
      </w:r>
      <w:r>
        <w:rPr>
          <w:rFonts w:eastAsia="IRNazanin" w:cs="IRNazanin"/>
          <w:color w:val="111111"/>
          <w:sz w:val="28"/>
          <w:szCs w:val="28"/>
          <w:rtl w:val="true"/>
          <w:lang w:bidi="fa-IR"/>
        </w:rPr>
        <w:t>.</w:t>
      </w:r>
    </w:p>
    <w:p>
      <w:pPr>
        <w:pStyle w:val="Heading5"/>
        <w:numPr>
          <w:ilvl w:val="4"/>
          <w:numId w:val="1"/>
        </w:numPr>
        <w:rPr/>
      </w:pPr>
      <w:bookmarkStart w:id="108" w:name="__RefHeading___Toc3734348_1280447820"/>
      <w:bookmarkStart w:id="109" w:name="_Toc40"/>
      <w:bookmarkEnd w:id="108"/>
      <w:r>
        <w:rPr>
          <w:rtl w:val="true"/>
        </w:rPr>
        <w:t>حاصل الكلام في تعريف الحقيقة الشرعيّة</w:t>
      </w:r>
      <w:bookmarkEnd w:id="10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تحصّل</w:t>
      </w:r>
      <w:r>
        <w:rPr>
          <w:rStyle w:val="FootnoteAnchor"/>
          <w:rtl w:val="true"/>
        </w:rPr>
        <w:footnoteReference w:id="136"/>
      </w:r>
      <w:r>
        <w:rPr>
          <w:rFonts w:ascii="Amiri" w:hAnsi="Amiri" w:eastAsia="Amiri" w:cs="Amiri"/>
          <w:color w:val="111111"/>
          <w:sz w:val="28"/>
          <w:sz w:val="28"/>
          <w:szCs w:val="28"/>
          <w:rtl w:val="true"/>
          <w:lang w:bidi="ar-SA"/>
        </w:rPr>
        <w:t>بما 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الحقيقة الشرعيّة ما نقله الشارع عن </w:t>
      </w:r>
    </w:p>
    <w:p>
      <w:pPr>
        <w:pStyle w:val="BookText"/>
        <w:rPr/>
      </w:pPr>
      <w:r>
        <w:rPr>
          <w:rFonts w:ascii="Amiri" w:hAnsi="Amiri" w:eastAsia="Amiri" w:cs="Amiri"/>
          <w:color w:val="111111"/>
          <w:sz w:val="28"/>
          <w:sz w:val="28"/>
          <w:szCs w:val="28"/>
          <w:rtl w:val="true"/>
          <w:lang w:bidi="ar-SA"/>
        </w:rPr>
        <w:t>المعنى اللغويّ إلى المعنى المستحدث على ما يظهر من كلام جماعة</w:t>
      </w:r>
      <w:r>
        <w:rPr>
          <w:rStyle w:val="FootnoteAnchor"/>
          <w:rtl w:val="true"/>
        </w:rPr>
        <w:footnoteReference w:id="137"/>
      </w:r>
      <w:r>
        <w:rPr>
          <w:rFonts w:ascii="Amiri" w:hAnsi="Amiri" w:eastAsia="Amiri" w:cs="Amiri"/>
          <w:color w:val="111111"/>
          <w:sz w:val="28"/>
          <w:sz w:val="28"/>
          <w:szCs w:val="28"/>
          <w:rtl w:val="true"/>
          <w:lang w:bidi="ar-SA"/>
        </w:rPr>
        <w:t>، أو ما كان استفادة المعنى منه بوضع الشارع كما يظهر من أخرى</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بينهما أنّ الثاني أعمّ من الأوّل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تقدّم من صدق الثاني على الألفاظ المخترعة والأسامي المبتدعة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النقل عند أئمّة الأصول ما لوحظ فيه المناسبة بين المعنيين، فلو</w:t>
      </w:r>
      <w:r>
        <w:rPr>
          <w:rStyle w:val="FootnoteAnchor"/>
          <w:rtl w:val="true"/>
        </w:rPr>
        <w:footnoteReference w:id="139"/>
      </w:r>
      <w:r>
        <w:rPr>
          <w:rFonts w:ascii="Amiri" w:hAnsi="Amiri" w:eastAsia="Amiri" w:cs="Amiri"/>
          <w:color w:val="111111"/>
          <w:sz w:val="28"/>
          <w:sz w:val="28"/>
          <w:szCs w:val="28"/>
          <w:rtl w:val="true"/>
          <w:lang w:bidi="ar-SA"/>
        </w:rPr>
        <w:t xml:space="preserve">لم يلاحظ فيه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تحقّقت المناسبة، أو لم يلاحظ، أو لم يتحقّق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منقولًا، فلو تحقّق لفظٌ بين الألفاظ الشرعيّة انتفت فيه المناسبة أو الملاحظة، يلزم أن لا يكون حقيقة شرعيّة على التعريف الأوّل، بخلافه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رفع النزاع بين المقامين ودعوى الوفاق بين الفرقتين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التعريف الأوّل إنّما هو بالنظر إلى الواقع، والثاني بالنظر إلى المفهوم، بناءً على ما صرّح به بعضهم من أنّه لم يوجد في الألفاظ الواقعة في الشريعة لفظ مخترع لم يعرف</w:t>
      </w:r>
      <w:r>
        <w:rPr>
          <w:rStyle w:val="FootnoteAnchor"/>
          <w:rtl w:val="true"/>
        </w:rPr>
        <w:footnoteReference w:id="140"/>
      </w:r>
      <w:r>
        <w:rPr>
          <w:rFonts w:ascii="Amiri" w:hAnsi="Amiri" w:eastAsia="Amiri" w:cs="Amiri"/>
          <w:color w:val="111111"/>
          <w:sz w:val="28"/>
          <w:sz w:val="28"/>
          <w:szCs w:val="28"/>
          <w:rtl w:val="true"/>
          <w:lang w:bidi="ar-SA"/>
        </w:rPr>
        <w:t>له معنى في اللغة، بل التتبّع شاهد على أنّ كلًّا من تلك الألفاظ له معنى فيها</w:t>
      </w:r>
      <w:r>
        <w:rPr>
          <w:rStyle w:val="FootnoteAnchor"/>
          <w:rtl w:val="true"/>
        </w:rPr>
        <w:footnoteReference w:id="141"/>
      </w:r>
      <w:r>
        <w:rPr>
          <w:rFonts w:ascii="Amiri" w:hAnsi="Amiri" w:eastAsia="Amiri" w:cs="Amiri"/>
          <w:color w:val="111111"/>
          <w:sz w:val="28"/>
          <w:sz w:val="28"/>
          <w:szCs w:val="28"/>
          <w:rtl w:val="true"/>
          <w:lang w:bidi="ar-SA"/>
        </w:rPr>
        <w:t>ووجدت بينه وبين المعنى الشرعيّ المناسبة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تسليمه غير كافٍ لتحقّق النقل؛ لما علمت من أنّ </w:t>
      </w:r>
      <w:bookmarkStart w:id="110" w:name="pg16224_170386"/>
    </w:p>
    <w:p>
      <w:pPr>
        <w:pStyle w:val="BookText"/>
        <w:rPr/>
      </w:pPr>
      <w:bookmarkEnd w:id="110"/>
      <w:r>
        <w:rPr>
          <w:rFonts w:ascii="Amiri" w:hAnsi="Amiri" w:eastAsia="Amiri" w:cs="Amiri"/>
          <w:color w:val="111111"/>
          <w:sz w:val="28"/>
          <w:sz w:val="28"/>
          <w:szCs w:val="28"/>
          <w:rtl w:val="true"/>
          <w:lang w:bidi="ar-SA"/>
        </w:rPr>
        <w:t>اعتبارها شرطٌ في ذلك،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من تحقّقها بين جميع تلك المعاني اعتبارها، وإلّا فلِمَ لم يوجد في المعاني الشرعيّة معنى لم يتحقّق المناسبة بينه وبين المعنى في اللغة</w:t>
      </w:r>
      <w:r>
        <w:rPr>
          <w:rStyle w:val="FootnoteAnchor"/>
          <w:rtl w:val="true"/>
        </w:rPr>
        <w:footnoteReference w:id="14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ماهيّة الحقيقة الشرعيّة وما يترتّب عليها</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3734350_1280447820"/>
      <w:bookmarkStart w:id="112" w:name="_Toc41"/>
      <w:bookmarkEnd w:id="111"/>
      <w:r>
        <w:rPr>
          <w:rtl w:val="true"/>
        </w:rPr>
        <w:t>في بيان الحقيقة الدينيّة</w:t>
      </w:r>
      <w:bookmarkEnd w:id="112"/>
    </w:p>
    <w:p>
      <w:pPr>
        <w:pStyle w:val="Heading6"/>
        <w:numPr>
          <w:ilvl w:val="5"/>
          <w:numId w:val="1"/>
        </w:numPr>
        <w:rPr/>
      </w:pPr>
      <w:bookmarkStart w:id="113" w:name="__RefHeading___Toc3734352_1280447820"/>
      <w:bookmarkStart w:id="114" w:name="_Toc42"/>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ونقل ابن الحاجب وغيرُه عن المعتزلة القول بالحقيقة الدينيّة أيضًا، وعرّفها جماعةٌ</w:t>
      </w:r>
      <w:r>
        <w:rPr>
          <w:rStyle w:val="FootnoteAnchor"/>
          <w:rtl w:val="true"/>
        </w:rPr>
        <w:footnoteReference w:id="143"/>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يعرف أهل اللغة لفظه، أو معناه، أو كليهما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زعموا أنّ أسماء الذوات كالمؤمن والكافر والإيمان والكفر كذلك</w:t>
      </w:r>
      <w:r>
        <w:rPr>
          <w:rStyle w:val="FootnoteAnchor"/>
          <w:rtl w:val="true"/>
        </w:rPr>
        <w:footnoteReference w:id="145"/>
      </w:r>
      <w:r>
        <w:rPr>
          <w:rFonts w:ascii="Amiri" w:hAnsi="Amiri" w:eastAsia="Amiri" w:cs="Amiri"/>
          <w:color w:val="111111"/>
          <w:sz w:val="28"/>
          <w:sz w:val="28"/>
          <w:szCs w:val="28"/>
          <w:rtl w:val="true"/>
          <w:lang w:bidi="ar-SA"/>
        </w:rPr>
        <w:t>، دون أسماء الأفعال كالصلاة والزكاة والمصلّى والمزكّى</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115" w:name="pg16224_170387"/>
    </w:p>
    <w:p>
      <w:pPr>
        <w:pStyle w:val="BookText"/>
        <w:rPr/>
      </w:pPr>
      <w:bookmarkEnd w:id="115"/>
      <w:r>
        <w:rPr>
          <w:rFonts w:ascii="Amiri" w:hAnsi="Amiri" w:eastAsia="Amiri" w:cs="Amiri"/>
          <w:color w:val="111111"/>
          <w:sz w:val="28"/>
          <w:sz w:val="28"/>
          <w:szCs w:val="28"/>
          <w:rtl w:val="true"/>
          <w:lang w:bidi="ar-SA"/>
        </w:rPr>
        <w:t>وحكى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أرادوا بأسماء الذوات ما هو من أصول الدين أو ما يتعلّق بالقلب، ومن أسماء الأفعال ما هو من الفروع أو ما يتعلّق بالجوارح</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الّذي وصل إلينا منهم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المقام يستدعي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الحقيقة الدينيّة إمّا أن يكون</w:t>
      </w:r>
      <w:r>
        <w:rPr>
          <w:rStyle w:val="FootnoteAnchor"/>
          <w:rtl w:val="true"/>
        </w:rPr>
        <w:footnoteReference w:id="148"/>
      </w:r>
      <w:r>
        <w:rPr>
          <w:rFonts w:ascii="Amiri" w:hAnsi="Amiri" w:eastAsia="Amiri" w:cs="Amiri"/>
          <w:color w:val="111111"/>
          <w:sz w:val="28"/>
          <w:sz w:val="28"/>
          <w:szCs w:val="28"/>
          <w:rtl w:val="true"/>
          <w:lang w:bidi="ar-SA"/>
        </w:rPr>
        <w:t>مباينة ومغايرة للحقيقة الشرعيّة عندهم بحيث لم يمكن الاكتفاء بذكرها عنها، أو لا، احتمالان</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3734354_1280447820"/>
      <w:bookmarkStart w:id="117" w:name="_Toc43"/>
      <w:bookmarkEnd w:id="116"/>
      <w:r>
        <w:rPr>
          <w:rtl w:val="true"/>
        </w:rPr>
        <w:t>الاحتمال الأوّل</w:t>
      </w:r>
      <w:bookmarkEnd w:id="11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يظهر من كلام ابن الحاجب وغيره، حيث قالا بعد الحكم بثبوت الحقيقة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وأثبت المعتزلة الحقيقة الدينيّة أيضًا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والمباينة تظهر من هذا الكلام من وجهين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لم يكن</w:t>
      </w:r>
      <w:r>
        <w:rPr>
          <w:rStyle w:val="FootnoteAnchor"/>
          <w:rtl w:val="true"/>
        </w:rPr>
        <w:footnoteReference w:id="150"/>
      </w:r>
      <w:r>
        <w:rPr>
          <w:rFonts w:ascii="Amiri" w:hAnsi="Amiri" w:eastAsia="Amiri" w:cs="Amiri"/>
          <w:color w:val="111111"/>
          <w:sz w:val="28"/>
          <w:sz w:val="28"/>
          <w:szCs w:val="28"/>
          <w:rtl w:val="true"/>
          <w:lang w:bidi="ar-SA"/>
        </w:rPr>
        <w:t xml:space="preserve">مباينة لها بالمعنى المذكور، لكانت إمّا مساوية لها، أو </w:t>
      </w:r>
      <w:bookmarkStart w:id="118" w:name="pg16224_170388"/>
    </w:p>
    <w:p>
      <w:pPr>
        <w:pStyle w:val="BookText"/>
        <w:rPr/>
      </w:pPr>
      <w:bookmarkEnd w:id="118"/>
      <w:r>
        <w:rPr>
          <w:rFonts w:ascii="Amiri" w:hAnsi="Amiri" w:eastAsia="Amiri" w:cs="Amiri"/>
          <w:color w:val="111111"/>
          <w:sz w:val="28"/>
          <w:sz w:val="28"/>
          <w:szCs w:val="28"/>
          <w:rtl w:val="true"/>
          <w:lang w:bidi="ar-SA"/>
        </w:rPr>
        <w:t>أخصّ منها، وعلى التقديرين لا وجه لهذه الحكاية، أمّا على تقدير التسوية فظاهر، وأمّا على تقدير الأخصّيّة فلأنّ ذكر العامّ مغنٍٍ عن ذكر الخاصّ، فلا حاجة لذكر ذلك الكلام بعد الحكم بثبوت الحقيقة الشرعيّة، لاسيّما بذلك الكلام المشتمل على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الحقيقة الدينيّة على التقديرين من الحقيقة الشرعيّة، فكلّ من قال بها يلزمه القول بها، فلا وجه للقائل بثبوت الحقيقة الشرعيّة بعد الحكم بثبوتها نسبةَ القولِ بالحقيقة الدينيّة إلى المعتزلة خاصّة، إلّا من جهة إطلاق هذا اللفظ وعدمه، وهو مع كونه مخالفًا لظاهر النقل المذكور لا يليق أن يُذكر في الكتب المختصرة</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3734356_1280447820"/>
      <w:bookmarkStart w:id="120" w:name="_Toc44"/>
      <w:bookmarkEnd w:id="119"/>
      <w:r>
        <w:rPr>
          <w:rtl w:val="true"/>
        </w:rPr>
        <w:t>الاحتمال الثاني</w:t>
      </w:r>
      <w:bookmarkEnd w:id="120"/>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يظهر من جماعة منهم كالفاضل التفتازانيّ والعالم الباغنويّ وغيرهما، حيث قالوا بعد ذكر الحقيقة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اسم لنوع خاصّ من الشرعيّة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فينبغي التكلّم في كلّ من الاحتمالين حتّى يظهر</w:t>
      </w:r>
      <w:r>
        <w:rPr>
          <w:rStyle w:val="FootnoteAnchor"/>
          <w:rtl w:val="true"/>
        </w:rPr>
        <w:footnoteReference w:id="152"/>
      </w:r>
      <w:r>
        <w:rPr>
          <w:rFonts w:ascii="Amiri" w:hAnsi="Amiri" w:eastAsia="Amiri" w:cs="Amiri"/>
          <w:color w:val="111111"/>
          <w:sz w:val="28"/>
          <w:sz w:val="28"/>
          <w:szCs w:val="28"/>
          <w:rtl w:val="true"/>
          <w:lang w:bidi="ar-SA"/>
        </w:rPr>
        <w:t>حقيقة الحال في البين،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المباينة بالمعنى المذكور بينهما إمّا أن يكون التباين بينهما كلّيًّا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الحقيقة الشرعيّة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الّتي نقلها الشارع، إلى آخره، والنقل استلزم المناسبة بين المعنيين وملاحظتها حالته، فتحقّق الحقيقة الشرعيّة متوقّفٌ </w:t>
      </w:r>
    </w:p>
    <w:p>
      <w:pPr>
        <w:pStyle w:val="BookText"/>
        <w:rPr/>
      </w:pPr>
      <w:r>
        <w:rPr>
          <w:rFonts w:ascii="Amiri" w:hAnsi="Amiri" w:eastAsia="Amiri" w:cs="Amiri"/>
          <w:color w:val="111111"/>
          <w:sz w:val="28"/>
          <w:sz w:val="28"/>
          <w:szCs w:val="28"/>
          <w:rtl w:val="true"/>
          <w:lang w:bidi="ar-SA"/>
        </w:rPr>
        <w:t>على ذلك ويكون</w:t>
      </w:r>
      <w:r>
        <w:rPr>
          <w:rStyle w:val="FootnoteAnchor"/>
          <w:rtl w:val="true"/>
        </w:rPr>
        <w:footnoteReference w:id="153"/>
      </w:r>
      <w:r>
        <w:rPr>
          <w:rFonts w:ascii="Amiri" w:hAnsi="Amiri" w:eastAsia="Amiri" w:cs="Amiri"/>
          <w:color w:val="111111"/>
          <w:sz w:val="28"/>
          <w:sz w:val="28"/>
          <w:szCs w:val="28"/>
          <w:rtl w:val="true"/>
          <w:lang w:bidi="ar-SA"/>
        </w:rPr>
        <w:t>الحقيقة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الّتي وضعها الشارع على غير النهج المذكور؛ لأنّها على التفسير المذكور على ثلاثة أقسام،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 عند أهل اللغة لفظه؛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الوضع في الأوّل والثالث على غير النهج المذكور؛ فلعدم تصوّر النقل فيهما</w:t>
      </w:r>
      <w:r>
        <w:rPr>
          <w:rStyle w:val="FootnoteAnchor"/>
          <w:rtl w:val="true"/>
        </w:rPr>
        <w:footnoteReference w:id="154"/>
      </w:r>
      <w:r>
        <w:rPr>
          <w:rFonts w:ascii="Amiri" w:hAnsi="Amiri" w:eastAsia="Amiri" w:cs="Amiri"/>
          <w:color w:val="111111"/>
          <w:sz w:val="28"/>
          <w:sz w:val="28"/>
          <w:szCs w:val="28"/>
          <w:rtl w:val="true"/>
          <w:lang w:bidi="ar-SA"/>
        </w:rPr>
        <w:t>، وأمّا في الثاني فلأنّه وإن احتمل أن يكون الوضع فيه بالنقل كما احتمل بغيره، لكنّه يقيّد بما إذا انتفت المناسبة بين المعنيين، أو الملاحظة، أو لا يكون التباين بينهما كلّيًّا، بل يكون</w:t>
      </w:r>
      <w:r>
        <w:rPr>
          <w:rStyle w:val="FootnoteAnchor"/>
          <w:rtl w:val="true"/>
        </w:rPr>
        <w:footnoteReference w:id="155"/>
      </w:r>
      <w:r>
        <w:rPr>
          <w:rFonts w:ascii="Amiri" w:hAnsi="Amiri" w:eastAsia="Amiri" w:cs="Amiri"/>
          <w:color w:val="111111"/>
          <w:sz w:val="28"/>
          <w:sz w:val="28"/>
          <w:szCs w:val="28"/>
          <w:rtl w:val="true"/>
          <w:lang w:bidi="ar-SA"/>
        </w:rPr>
        <w:t>الدينيّة أعمّ، بناءً على إبقاء القسم الثاني من الأقسام الدينيّة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الحقيقة الدينيّة بجميع أقسامها بناءً على الأوّل يكون</w:t>
      </w:r>
      <w:r>
        <w:rPr>
          <w:rStyle w:val="FootnoteAnchor"/>
          <w:rtl w:val="true"/>
        </w:rPr>
        <w:footnoteReference w:id="156"/>
      </w:r>
      <w:r>
        <w:rPr>
          <w:rFonts w:ascii="Amiri" w:hAnsi="Amiri" w:eastAsia="Amiri" w:cs="Amiri"/>
          <w:color w:val="111111"/>
          <w:sz w:val="28"/>
          <w:sz w:val="28"/>
          <w:szCs w:val="28"/>
          <w:rtl w:val="true"/>
          <w:lang w:bidi="ar-SA"/>
        </w:rPr>
        <w:t>من الموضوعات المبتدئة، وعلى الثاني تكون المنقولة أيضًا، وعلى الحالين وإن يظهر</w:t>
      </w:r>
      <w:r>
        <w:rPr>
          <w:rStyle w:val="FootnoteAnchor"/>
          <w:rtl w:val="true"/>
        </w:rPr>
        <w:footnoteReference w:id="157"/>
      </w:r>
      <w:r>
        <w:rPr>
          <w:rFonts w:ascii="Amiri" w:hAnsi="Amiri" w:eastAsia="Amiri" w:cs="Amiri"/>
          <w:color w:val="111111"/>
          <w:sz w:val="28"/>
          <w:sz w:val="28"/>
          <w:szCs w:val="28"/>
          <w:rtl w:val="true"/>
          <w:lang w:bidi="ar-SA"/>
        </w:rPr>
        <w:t>المباينة بين الحقيقتين، لكنّه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التعريف للحقيقة الدينيّة إمّا أن يكون باعتبار المفهوم، أو الواقع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الأوّل نمنع</w:t>
      </w:r>
      <w:r>
        <w:rPr>
          <w:rStyle w:val="FootnoteAnchor"/>
          <w:rtl w:val="true"/>
        </w:rPr>
        <w:footnoteReference w:id="158"/>
      </w:r>
      <w:r>
        <w:rPr>
          <w:rFonts w:ascii="Amiri" w:hAnsi="Amiri" w:eastAsia="Amiri" w:cs="Amiri"/>
          <w:color w:val="111111"/>
          <w:sz w:val="28"/>
          <w:sz w:val="28"/>
          <w:szCs w:val="28"/>
          <w:rtl w:val="true"/>
          <w:lang w:bidi="ar-SA"/>
        </w:rPr>
        <w:t xml:space="preserve">المغايرة والمباينة بين الحقيقتين؛ لأنّ الحقيقة الشرعيّة </w:t>
      </w:r>
      <w:bookmarkStart w:id="121" w:name="pg16224_170390"/>
    </w:p>
    <w:p>
      <w:pPr>
        <w:pStyle w:val="BookText"/>
        <w:rPr/>
      </w:pPr>
      <w:bookmarkEnd w:id="121"/>
      <w:r>
        <w:rPr>
          <w:rFonts w:ascii="Amiri" w:hAnsi="Amiri" w:eastAsia="Amiri" w:cs="Amiri"/>
          <w:color w:val="111111"/>
          <w:sz w:val="28"/>
          <w:sz w:val="28"/>
          <w:szCs w:val="28"/>
          <w:rtl w:val="true"/>
          <w:lang w:bidi="ar-SA"/>
        </w:rPr>
        <w:t>باعتبار المفهوم يصدق</w:t>
      </w:r>
      <w:r>
        <w:rPr>
          <w:rStyle w:val="FootnoteAnchor"/>
          <w:rtl w:val="true"/>
        </w:rPr>
        <w:footnoteReference w:id="159"/>
      </w:r>
      <w:r>
        <w:rPr>
          <w:rFonts w:ascii="Amiri" w:hAnsi="Amiri" w:eastAsia="Amiri" w:cs="Amiri"/>
          <w:color w:val="111111"/>
          <w:sz w:val="28"/>
          <w:sz w:val="28"/>
          <w:szCs w:val="28"/>
          <w:rtl w:val="true"/>
          <w:lang w:bidi="ar-SA"/>
        </w:rPr>
        <w:t>على جميع تلك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المستعمل في الموضوع له، واحتمال مدخليّة النقل في مفهوم الحقيقة ممّا لا يذهب إليه وهمٌ ولم يقل به أحد، فإذا كان الواضع هو الشارع يكون</w:t>
      </w:r>
      <w:r>
        <w:rPr>
          <w:rStyle w:val="FootnoteAnchor"/>
          <w:rtl w:val="true"/>
        </w:rPr>
        <w:footnoteReference w:id="160"/>
      </w:r>
      <w:r>
        <w:rPr>
          <w:rFonts w:ascii="Amiri" w:hAnsi="Amiri" w:eastAsia="Amiri" w:cs="Amiri"/>
          <w:color w:val="111111"/>
          <w:sz w:val="28"/>
          <w:sz w:val="28"/>
          <w:szCs w:val="28"/>
          <w:rtl w:val="true"/>
          <w:lang w:bidi="ar-SA"/>
        </w:rPr>
        <w:t>الحقيقة شرعيّة، فعلى هذا يكون</w:t>
      </w:r>
      <w:r>
        <w:rPr>
          <w:rStyle w:val="FootnoteAnchor"/>
          <w:rtl w:val="true"/>
        </w:rPr>
        <w:footnoteReference w:id="161"/>
      </w:r>
      <w:r>
        <w:rPr>
          <w:rFonts w:ascii="Amiri" w:hAnsi="Amiri" w:eastAsia="Amiri" w:cs="Amiri"/>
          <w:color w:val="111111"/>
          <w:sz w:val="28"/>
          <w:sz w:val="28"/>
          <w:szCs w:val="28"/>
          <w:rtl w:val="true"/>
          <w:lang w:bidi="ar-SA"/>
        </w:rPr>
        <w:t>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المستعمل فيما وضع له الشارع، ولا شبهة في صدقه بالنسبة إلى جميع تلك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نمنع وقوع تلك الأقسام، وقد صرّح الفاضل التفتازانيّ والعالم الباغنويّ وغيرهما بأنّ الثابت من أقسام الدينيّة هو الثاني</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القسم الثاني كافٍ للافتراق؛ لما عرفت من أنّ الواقع من الحقيقة الشرعيّة ما كان من الموضوعات المنقولة، والقسم الثاني من الدينيّة إمّا موضوعات مبتدئة، أو منقولة أيضًا، لكن قد عرفت الكلام في عدم معلوميّة لفظ في الألفاظ الشرعيّة لم يتحقّق بين معناه الشرعيّ واللغويّ مناسبة وملاحظتها على ما تقدّم، وعلى فرض تسليم وجوده يكون حقيقة شرعيّة أيضًا لما علمت</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3734358_1280447820"/>
      <w:bookmarkStart w:id="123" w:name="_Toc45"/>
      <w:bookmarkEnd w:id="122"/>
      <w:r>
        <w:rPr>
          <w:rtl w:val="true"/>
        </w:rPr>
        <w:t>الكلام على تقدير أخصّيّة الدينيّة من الشرعيّة</w:t>
      </w:r>
      <w:bookmarkEnd w:id="12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تقدير كون الدينيّة أخصّ من الشرعيّة بناءً على ما تقدّم من تصريح جماعة </w:t>
      </w:r>
    </w:p>
    <w:p>
      <w:pPr>
        <w:pStyle w:val="BookText"/>
        <w:rPr/>
      </w:pPr>
      <w:r>
        <w:rPr>
          <w:rFonts w:ascii="Amiri" w:hAnsi="Amiri" w:eastAsia="Amiri" w:cs="Amiri"/>
          <w:color w:val="111111"/>
          <w:sz w:val="28"/>
          <w:sz w:val="28"/>
          <w:szCs w:val="28"/>
          <w:rtl w:val="true"/>
          <w:lang w:bidi="ar-SA"/>
        </w:rPr>
        <w:t>أنّها اسم لنوع خاصّ منها، نقول مع الإغماض عمّا يرد عليه ممّا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أعميّة الشرعيّة متوقّفة على شمولها لبعض ما لم تكن تشمله</w:t>
      </w:r>
      <w:r>
        <w:rPr>
          <w:rStyle w:val="FootnoteAnchor"/>
          <w:rtl w:val="true"/>
        </w:rPr>
        <w:footnoteReference w:id="163"/>
      </w:r>
      <w:r>
        <w:rPr>
          <w:rFonts w:ascii="Amiri" w:hAnsi="Amiri" w:eastAsia="Amiri" w:cs="Amiri"/>
          <w:color w:val="111111"/>
          <w:sz w:val="28"/>
          <w:sz w:val="28"/>
          <w:szCs w:val="28"/>
          <w:rtl w:val="true"/>
          <w:lang w:bidi="ar-SA"/>
        </w:rPr>
        <w:t>تلك، والّذي يتخيّل أن يكون ذلك هو القسم الّذي يكون اللفظ والمعنى فيه كلاهما معلومين لأهل اللغة، فالحقيقة الشرعيّة عبارة عمّا لم يعلم لفظه، أو معناه، أو كلاهما، أو علم كلاهما، والدينيّة عبارة عن الثلاثة الأُوَل فقط، وعلى هذا وإن تحقّقت الأعمّيّة والأخصّيّة، لكنّه متوقّف على صحّة إرادة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المقام يقتضي أن يحقّق الحال فيما قالوا في تفسير الحقيقة الدينيّة،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كلامهم في بيانها يفيد أنّها على ثلاثة أقسام،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معلومًا لأهل اللغة دون لفظه،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كلاهما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أن يكون مرادهم من المعنى الّذي يكون معلومًا في قسم منها ومجهولًا في الباقي هو المعنى اللغويّ؛ إذ القسم الأوّل هو ما كان المعنى معلومًا لأهل اللغة دون اللفظ، فحينئذٍ يكون اللفظ من مخترعات الشارع وموضوعاته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ومعلومٌ أنّه إنّما وضعه للمعنى الشرعيّ، فحينئذٍ لا يكون لذلك اللفظ إلّا المعنى الشرعيّ، فإضافة ذلك اللفظ إلى المعنى وإرادة المعنى اللغويّ غير صحيحة؛ إذ المفروض أنّ اللفظ غير معلوم لأهل اللغة، فكيف يتصوّر تعيين المعنى للفظٍ عند طائفة مع مجهوليّة ذلك اللفظ عندهم؟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فتعيّن أن يكون المراد من المعنى المعلوم أو المجهول في تلك الأقسام المعنى الشرعيّ؛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القسم الّذي به صارت الحقيقة الشرعيّة أعمّ من الدينيّة ما كان اللفظ والمعنى الشرعيّ فيه معلومين لأهل اللغة، وهو فاسد، إذ حينئذٍ يكون المعنى الشرعيّ عين المعنى اللغويّ، فكيف يتصوّر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قد اتّفقوا أنّ الثمرة المترتّبة على ثبوت الحقيقة الشرعيّة حمل اللفظ على المعنى الشرعيّ، لا اللغويّ عند انتفاء القرينة، وعكسه بناءً على عدمه، وهو لا يتصوّر إلّا مع اختلاف المعنيين، فلو كان الاحتمال المذكور حقًّا لما كان لهذا الكلام على إطلاقه وجه، وأيضًا لو كان المعنى الشرعيّ عين المعنى اللغويّ، فما الفائدة لوضع الشارع؟</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ذكر إنّما هو إذا كان المراد من كون اللفظ والمعنى الشرعيّ معلومين لأهل اللغة كون المعنى بوصف كونه معنى لذلك اللفظ معلومًا لهم؛ ولا يلزم أن يكون المراد ذلك؛ لجواز أن يكون المراد كون كلّ من اللفظ والمعنى معلومًا لا من حيث كون اللفظ لفظًا لذلك المعنى، فيمكن أن يكون المعنى معنى للفظ آخر واللفظ لفظًا لمعنى آخر، فحينئذٍ يتصوّر النقل والثمرة والفائدة للوضع، كما يظهر للمتأمّل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اعتبروه من النقل والثمرة إنّما هو بالنسبة إلى ما كان واقعًا من الحقيقة الشرعيّة، لكن يرد عليه مثل ذلك بالنسبة إلى الحقيقة الدينيّة أيضًا؛ وإن كانت أعمّيّة الحقيقة الشرعيّة باعتبار أنّها تكون من الموضوعات المنقولة والمبتدئة، بخلاف الدينيّة فإنّها مختصّة بالأخير كما صرّح بهما الفاضل </w:t>
      </w:r>
    </w:p>
    <w:p>
      <w:pPr>
        <w:pStyle w:val="BookText"/>
        <w:rPr/>
      </w:pPr>
      <w:r>
        <w:rPr>
          <w:rFonts w:ascii="Amiri" w:hAnsi="Amiri" w:eastAsia="Amiri" w:cs="Amiri"/>
          <w:color w:val="111111"/>
          <w:sz w:val="28"/>
          <w:sz w:val="28"/>
          <w:szCs w:val="28"/>
          <w:rtl w:val="true"/>
          <w:lang w:bidi="ar-SA"/>
        </w:rPr>
        <w:t>التفتازانيّ</w:t>
      </w:r>
      <w:r>
        <w:rPr>
          <w:rStyle w:val="FootnoteAnchor"/>
          <w:rtl w:val="true"/>
        </w:rPr>
        <w:footnoteReference w:id="164"/>
      </w:r>
      <w:r>
        <w:rPr>
          <w:rFonts w:ascii="Amiri" w:hAnsi="Amiri" w:eastAsia="Amiri" w:cs="Amiri"/>
          <w:color w:val="111111"/>
          <w:sz w:val="28"/>
          <w:sz w:val="28"/>
          <w:szCs w:val="28"/>
          <w:rtl w:val="true"/>
          <w:lang w:bidi="ar-SA"/>
        </w:rPr>
        <w:t>، يرد عليه منع هذا الاختصاص، وما الدليل على ذلك؟</w:t>
      </w:r>
    </w:p>
    <w:p>
      <w:pPr>
        <w:pStyle w:val="BookText"/>
        <w:rPr/>
      </w:pPr>
      <w:r>
        <w:rPr>
          <w:rFonts w:ascii="Amiri" w:hAnsi="Amiri" w:eastAsia="Amiri" w:cs="Amiri"/>
          <w:color w:val="111111"/>
          <w:sz w:val="28"/>
          <w:sz w:val="28"/>
          <w:szCs w:val="28"/>
          <w:rtl w:val="true"/>
          <w:lang w:bidi="ar-SA"/>
        </w:rPr>
        <w:t>على أنّ ما ذكروه في بيانها ظاهرٌ في خلافه؛ إذ القسم الثاني من أقسامها أن يكون المعنى مجهولًا لأهل اللغة واللفظ معلومًا؛ وذلك اللفظ المعلوم لا يلزم أن يكون موضوعًا عندهم لمعنى انتفت المناسبة بينه وبين المعنى الشرعيّ، بل أعمّ من ذلك، ولا يلزم في الوضع أيضًا عدم ملحوظيّة المناسبة، فعلى هذا لا يلزم أن يكون</w:t>
      </w:r>
      <w:r>
        <w:rPr>
          <w:rStyle w:val="FootnoteAnchor"/>
          <w:rtl w:val="true"/>
        </w:rPr>
        <w:footnoteReference w:id="165"/>
      </w:r>
      <w:r>
        <w:rPr>
          <w:rFonts w:ascii="Amiri" w:hAnsi="Amiri" w:eastAsia="Amiri" w:cs="Amiri"/>
          <w:color w:val="111111"/>
          <w:sz w:val="28"/>
          <w:sz w:val="28"/>
          <w:szCs w:val="28"/>
          <w:rtl w:val="true"/>
          <w:lang w:bidi="ar-SA"/>
        </w:rPr>
        <w:t>الحقيقة الدينيّة من الموضوعات المبتدئة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التسليم</w:t>
      </w:r>
      <w:r>
        <w:rPr>
          <w:rStyle w:val="FootnoteAnchor"/>
          <w:rtl w:val="true"/>
        </w:rPr>
        <w:footnoteReference w:id="166"/>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حينئذٍ ما أشرنا إليه آنفًا من أنّ ذكر العامّ مغنٍ عن الخاصّ وأنّ القائل بالعامّ يلزمه القول بالخاصّ، فلا وجه لذكرها بعد الحكم بثبوت الحقيقة الشرعيّة وإسنادها</w:t>
      </w:r>
      <w:r>
        <w:rPr>
          <w:rStyle w:val="FootnoteAnchor"/>
          <w:rtl w:val="true"/>
        </w:rPr>
        <w:footnoteReference w:id="167"/>
      </w:r>
      <w:r>
        <w:rPr>
          <w:rFonts w:ascii="Amiri" w:hAnsi="Amiri" w:eastAsia="Amiri" w:cs="Amiri"/>
          <w:color w:val="111111"/>
          <w:sz w:val="28"/>
          <w:sz w:val="28"/>
          <w:szCs w:val="28"/>
          <w:rtl w:val="true"/>
          <w:lang w:bidi="ar-SA"/>
        </w:rPr>
        <w:t>إلى المعتزلة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أنّ ذلك إمّا بالنسبة إلى الواقع أو المفهوم؛ وعلى كلٍّ من التقديرين قد عرفت الكلام في البين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المعاني الشرعيّة كلّها توقيفيّة متلقّاة من الشارع، لا يمكن الاطّلاع عليها إلّا من جهة الشرع، كما مرّ مرارًا وصرّح عليه غير واحد، فكيف </w:t>
      </w:r>
      <w:bookmarkStart w:id="124" w:name="pg16224_170394"/>
    </w:p>
    <w:p>
      <w:pPr>
        <w:pStyle w:val="BookText"/>
        <w:rPr/>
      </w:pPr>
      <w:bookmarkEnd w:id="124"/>
      <w:r>
        <w:rPr>
          <w:rFonts w:ascii="Amiri" w:hAnsi="Amiri" w:eastAsia="Amiri" w:cs="Amiri"/>
          <w:color w:val="111111"/>
          <w:sz w:val="28"/>
          <w:sz w:val="28"/>
          <w:szCs w:val="28"/>
          <w:rtl w:val="true"/>
          <w:lang w:bidi="ar-SA"/>
        </w:rPr>
        <w:t>يمكن لأهل اللغة الاطّلاع على بعضٍ منها حتّى يصحّ أن يجعل قسم من الحقيقة الدينيّة ما يكون المعنى الشرعيّ فيه معلومًا لأهل اللغة دون لفظه وكذا الشرعيّة، وأن يجعل قسم من الشرعيّة ما يكون المعنى الشرعيّ واللفظ كلاهما معلومًا لهم ولو كان بمحض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تقدّم من حكمهم بأنّ مثل المؤمن والكافر والإيمان والكفر من الدينيّة، دون المصلّي والمزكّي والصلاة والزكاة، إن أرادوا منه أنّه من القسم الأوّل والثالث منها، فهو ظاهر الفساد؛ وإن جعلوه من القسم الثاني منها، يرد عليه أنّ المصلّي وما ذُكر معه بعينه مثل ذلك، فالتفرقة بينهما تحكّم</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3734360_1280447820"/>
      <w:bookmarkStart w:id="126" w:name="_Toc46"/>
      <w:bookmarkEnd w:id="125"/>
      <w:r>
        <w:rPr>
          <w:rtl w:val="true"/>
        </w:rPr>
        <w:t>الكلام على ما ذكروا في تفسير الدينيّة</w:t>
      </w:r>
      <w:bookmarkEnd w:id="126"/>
    </w:p>
    <w:p>
      <w:pPr>
        <w:pStyle w:val="BookText"/>
        <w:rPr/>
      </w:pPr>
      <w:r>
        <w:rPr>
          <w:rFonts w:ascii="Amiri" w:hAnsi="Amiri" w:eastAsia="Amiri" w:cs="Amiri"/>
          <w:color w:val="111111"/>
          <w:sz w:val="28"/>
          <w:sz w:val="28"/>
          <w:szCs w:val="28"/>
          <w:rtl w:val="true"/>
          <w:lang w:bidi="ar-SA"/>
        </w:rPr>
        <w:t>ويمكن أن يقال مع الإغماض عمّا تقدّم من أنّ المعاني التوقيفيّة لا يمكن الاطّلاع عليها من غير جهة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بين المعتزلة وغيرهم في هذا الباب لفظيّ، فإنّ غيرهم اصطلحوا الحقيقة الشرعيّة في جميع تلك الألفاظ، سواء كانت في الأصول أو الفروع؛ وإنّهم اصطلحوها في الأخير أو فيهما، والأوّل أنسب بمقالاتهم، واصطلحوا الحقيقة الدينيّة في الأوّل، ولا مشاحّة في الاصطلاح؛ إذ لكلّ أحد أن يصطلح بما شاء</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الشرع بمعنى الطريقة، فيكون أنسب بالفروع وأفعال الجوارح والدين؛ لمّا يتقوّم ويتحصّل بالأصول، فإطلاق الدينيّة عليها أولى، فتأمّل</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إنّه لا يخفى ما في تفسيرهم المتقدّم لأسماء الذوات وتمثيلهم بما تقدّم من المؤمن والكافر والإيمان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هذه الألفاظ إمّا أن يكون كلّ واحد منها مثالًا لما ذكروا من أصول الدين، أو لما يتعلّق بالقلب، أو بعض منها لهذا والآخر لذاك، وعلى التقادير لا يستقيم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إذ جعل المؤمن والكافر والكفر من أصول الدين غلطٌ محضٌ لا يتطرّق إليه وهم 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الحكم بكون المؤمن والكافر من الأمور المتعلّقة بالقلب ممّا لا يرجى صحّته، فكان اللازم حينئذٍ الاقتصار بالإيمان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يتصوّر على وجوه لا يكاد يصحّ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المؤمن والكافر للأوّل، والأخيران للآخر، فقد عرفت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 وفساده يظهر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الإيمان من الأوّل والباقي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غير صحيح في كلّ من المقامين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بالنسبة إلى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الإيمان عبارة عن التصديق بما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أعمّ من أصول الدين وغيره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جعل المؤمن والكافر من الأمور المتعلّقة بالقلب لا يخفى فساده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 ما ذكر من الوجوه الثلاثة وإن كان محتملًا، لكنّه يظهر حاله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كالإذعان بوجود الله تعالى وتوحيده وصفاته الجلاليّة والجماليّة</w:t>
      </w:r>
      <w:r>
        <w:rPr>
          <w:rStyle w:val="FootnoteAnchor"/>
          <w:rtl w:val="true"/>
        </w:rPr>
        <w:footnoteReference w:id="169"/>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من الأمور الاعتقاديّة المتعلّقة بالقلب، فجعل أحدهما مقابلًا للآخر كما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بأسماء الذوات ما هو من أصول الدين، أو ما يتعلّق بالقلب</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ممّا 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المتعلّق بالقلب كما يمكن أن يكون من الأمور الدينيّة، كذا يمكن أن يكون من غيرها، فالحكم بأنّ ما يتعلّق بالقلب على سبيل الإطلاق من هذا القبيل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ظهر لك ما في تفسيرهم المذكور لأسماء الأفعال وتمثيلهم بما تقدّم من المصلّي والمزكّي والصلاة والزكاة؛ إذ جميع ذلك إمّا أن يكون مثالًا لما يكون من الفروع،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المصلّي والمزكّي من الفروع ممّا لا يخفى ما فيه، وكذا إذا كان مثالًا لما يتعلّق بالجوارح، أو على التفصيل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إنّ مقابلة الفروع بما يتعلّق بالجوارح يقتضي أن لا يكون</w:t>
      </w:r>
      <w:r>
        <w:rPr>
          <w:rStyle w:val="FootnoteAnchor"/>
          <w:rtl w:val="true"/>
        </w:rPr>
        <w:footnoteReference w:id="171"/>
      </w:r>
      <w:r>
        <w:rPr>
          <w:rFonts w:ascii="IRNazanin" w:hAnsi="IRNazanin" w:eastAsia="IRNazanin"/>
          <w:color w:val="111111"/>
          <w:sz w:val="28"/>
          <w:sz w:val="28"/>
          <w:szCs w:val="28"/>
          <w:rtl w:val="true"/>
          <w:lang w:bidi="fa-IR"/>
        </w:rPr>
        <w:t xml:space="preserve">الفروع </w:t>
      </w:r>
    </w:p>
    <w:p>
      <w:pPr>
        <w:pStyle w:val="BookText"/>
        <w:rPr/>
      </w:pPr>
      <w:r>
        <w:rPr>
          <w:rFonts w:ascii="Amiri" w:hAnsi="Amiri" w:eastAsia="Amiri" w:cs="Amiri"/>
          <w:color w:val="111111"/>
          <w:sz w:val="28"/>
          <w:sz w:val="28"/>
          <w:szCs w:val="28"/>
          <w:rtl w:val="true"/>
          <w:lang w:bidi="ar-SA"/>
        </w:rPr>
        <w:t>متعلّقًا</w:t>
      </w:r>
      <w:r>
        <w:rPr>
          <w:rStyle w:val="FootnoteAnchor"/>
          <w:rtl w:val="true"/>
        </w:rPr>
        <w:footnoteReference w:id="172"/>
      </w:r>
      <w:r>
        <w:rPr>
          <w:rFonts w:ascii="Amiri" w:hAnsi="Amiri" w:eastAsia="Amiri" w:cs="Amiri"/>
          <w:color w:val="111111"/>
          <w:sz w:val="28"/>
          <w:sz w:val="28"/>
          <w:szCs w:val="28"/>
          <w:rtl w:val="true"/>
          <w:lang w:bidi="ar-SA"/>
        </w:rPr>
        <w:t>بالجوارح، وفساده بيّن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فتصحيح مقالهم في هذا المقام دونه خرط القتاد، فاللازم الرجوع إلى ما هو أهمّ من ذلك</w:t>
      </w:r>
      <w:r>
        <w:rPr>
          <w:rFonts w:eastAsia="Amiri" w:cs="Amiri" w:ascii="Amiri" w:hAnsi="Amiri"/>
          <w:color w:val="111111"/>
          <w:sz w:val="28"/>
          <w:szCs w:val="28"/>
          <w:rtl w:val="true"/>
          <w:lang w:bidi="ar-SA"/>
        </w:rPr>
        <w:t xml:space="preserve">. </w:t>
      </w:r>
      <w:bookmarkStart w:id="127" w:name="pg16224_170398"/>
    </w:p>
    <w:p>
      <w:pPr>
        <w:pStyle w:val="Heading5"/>
        <w:numPr>
          <w:ilvl w:val="4"/>
          <w:numId w:val="1"/>
        </w:numPr>
        <w:rPr/>
      </w:pPr>
      <w:bookmarkStart w:id="128" w:name="__RefHeading___Toc3734362_1280447820"/>
      <w:bookmarkStart w:id="129" w:name="_Toc47"/>
      <w:bookmarkEnd w:id="127"/>
      <w:bookmarkEnd w:id="128"/>
      <w:r>
        <w:rPr>
          <w:rtl w:val="true"/>
        </w:rPr>
        <w:t>متمسّك النافين للحقيقة الشرعيّة</w:t>
      </w:r>
      <w:bookmarkEnd w:id="129"/>
    </w:p>
    <w:p>
      <w:pPr>
        <w:pStyle w:val="Heading6"/>
        <w:numPr>
          <w:ilvl w:val="5"/>
          <w:numId w:val="1"/>
        </w:numPr>
        <w:rPr/>
      </w:pPr>
      <w:bookmarkStart w:id="130" w:name="__RefHeading___Toc3734364_1280447820"/>
      <w:bookmarkStart w:id="131" w:name="_Toc48"/>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ومتمسّك النفاة وجوه</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3734366_1280447820"/>
      <w:bookmarkStart w:id="133" w:name="_Toc49"/>
      <w:bookmarkEnd w:id="132"/>
      <w:r>
        <w:rPr>
          <w:rtl w:val="true"/>
        </w:rPr>
        <w:t>الدليل الأوّل</w:t>
      </w:r>
      <w:bookmarkEnd w:id="133"/>
    </w:p>
    <w:p>
      <w:pPr>
        <w:pStyle w:val="Heading6"/>
        <w:numPr>
          <w:ilvl w:val="5"/>
          <w:numId w:val="1"/>
        </w:numPr>
        <w:rPr/>
      </w:pPr>
      <w:bookmarkStart w:id="134" w:name="__RefHeading___Toc3734368_1280447820"/>
      <w:bookmarkStart w:id="135" w:name="_Toc50"/>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الألفاظ لو كانت حقائق شرعيّة، لكانت غير عربيّة؛ لأنّ اختصاص الألفاظ باللغات بحسب دلالتها بالوضع فيها، والمفروض أنّ العرب لم يضعوها، فلا تكون عربيّة، والتالي باطل، إذ لو لم تكن عربيّة لزم أن لا يكون القرآن عربيًّا؛ لاشتماله على جملة من تلك الألفاظ، فما لا يكون بعضه عربيًّا لا يكون كلّه عربيًّا؛ والتالي باطل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قُرْآَنًا عَرَبِيًّا</w:t>
      </w:r>
      <w:r>
        <w:rPr>
          <w:rStyle w:val="FootnoteAnchor"/>
          <w:rtl w:val="true"/>
        </w:rPr>
        <w:footnoteReference w:id="173"/>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 w:name="__RefHeading___Toc3734370_1280447820"/>
      <w:bookmarkStart w:id="137" w:name="_Toc51"/>
      <w:bookmarkEnd w:id="136"/>
      <w:r>
        <w:rPr>
          <w:rtl w:val="true"/>
        </w:rPr>
        <w:t>الجواب عن الدليل الأوّل</w:t>
      </w:r>
      <w:bookmarkEnd w:id="13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الملازمة الأولى؛ لما قيل من أنّ هذه الألفاظ الّتي هي حقائق شرعيّة مجازات لغويّة، والمجازات الحادثة عربيّة وإن لم يصرّح العرب بآحادها؛ إذ يكفي في صحّة التجوّز وجود العلاقة الثابت نوعها في استعمالات العرب، ولا يشترط فيه نقل الآحاد عنهم، والعلاقة المصحّحة موجودة في هذه الألفاظ قطعًا، فلا يلزم </w:t>
      </w:r>
    </w:p>
    <w:p>
      <w:pPr>
        <w:pStyle w:val="BookText"/>
        <w:rPr/>
      </w:pPr>
      <w:r>
        <w:rPr>
          <w:rFonts w:ascii="Amiri" w:hAnsi="Amiri" w:eastAsia="Amiri" w:cs="Amiri"/>
          <w:color w:val="111111"/>
          <w:sz w:val="28"/>
          <w:sz w:val="28"/>
          <w:szCs w:val="28"/>
          <w:rtl w:val="true"/>
          <w:lang w:bidi="ar-SA"/>
        </w:rPr>
        <w:t>خروجها عن العربيّة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ذكروه في بيان الملازمة الأولى إمّا أن يكون مسلّمًا عند هذا القائل، أو لا، 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مآل الكلام أنّ ما ذكر من أنّ اختصاص الألفاظ باللغات إنّما هو بحسب دلالتها بالوضع فيها، وإن كان</w:t>
      </w:r>
      <w:r>
        <w:rPr>
          <w:rStyle w:val="FootnoteAnchor"/>
          <w:rtl w:val="true"/>
        </w:rPr>
        <w:footnoteReference w:id="176"/>
      </w:r>
      <w:r>
        <w:rPr>
          <w:rFonts w:ascii="Amiri" w:hAnsi="Amiri" w:eastAsia="Amiri" w:cs="Amiri"/>
          <w:color w:val="111111"/>
          <w:sz w:val="28"/>
          <w:sz w:val="28"/>
          <w:szCs w:val="28"/>
          <w:rtl w:val="true"/>
          <w:lang w:bidi="ar-SA"/>
        </w:rPr>
        <w:t>مسلّمًا، لكن لا يلزم منه عدم اتّصاف تلك الألفاظ بالعربيّة؛ لأنّ تلك الألفاظ مجازات لغويّة، والمجازات موضوعة بالوضع النوعيّ، والوضع المأخوذ في دليل الملازمة أعمّ من النوعيّ والشخصيّ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لعدم إمكان شمول الوضع المأخوذ في الدليل للوضع المتحقّق في المجازات،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 الوضع تعيين اللفظ للدلالة على المعنى لذاته،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فيه للتبادر، فلو أريد من الوضع المذكور هذا المعنى والمعنى المتحقّق في المجاز، يلزم الجمع بين المعنى الحقيقيّ والمجازيّ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القرينة في الدليل المذكور موجودة؛ على أنّ الوضع المأخوذ فيه هو ما تحقّق في الحقائق؛ لأنّ الدلالة في المجازات ليست بسبب الوضع المتحقّق فيها كما لا يخفى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مآل الكلام أنّ ما ذكر في بيان الملازمة غير تامّ؛ لأنّ المجازات في لغة العرب مثلًا عربيّة، فلو كان اختصاص الألفاظ باللغات بحسب </w:t>
      </w:r>
      <w:bookmarkStart w:id="138" w:name="pg16224_170400"/>
    </w:p>
    <w:p>
      <w:pPr>
        <w:pStyle w:val="BookText"/>
        <w:rPr/>
      </w:pPr>
      <w:bookmarkEnd w:id="138"/>
      <w:r>
        <w:rPr>
          <w:rFonts w:ascii="Amiri" w:hAnsi="Amiri" w:eastAsia="Amiri" w:cs="Amiri"/>
          <w:color w:val="111111"/>
          <w:sz w:val="28"/>
          <w:sz w:val="28"/>
          <w:szCs w:val="28"/>
          <w:rtl w:val="true"/>
          <w:lang w:bidi="ar-SA"/>
        </w:rPr>
        <w:t>دلالتها بالوضع فيها، يلزم أن تكون الألفاظ المجازيّة في كلّ لغة خارجة عن تلك اللغة، والتالي باطل، فالمقدّم مثله، فكما لا تخرج الألفاظ المجازيّة في لغة العرب عن تلك اللغة مع عدم كون دلالتها بالوضع فيها، ينبغي أن لا تخرج الحقائق الشرعيّة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ذكروه من أنّ اختصاص الألفاظ باللغات بحسب دلالتها بالوضع فيها، إن أريد من ذلك أنّ اختصاص الألفاظ باللغات بحسب دلالتها بالوضع في كلّ ما استعملت فيه، يلزم أن تكون الألفاظ المجازيّة في كلّ لغة خارجة عن تلك اللغة، ولو أريد أنّ اختصاصها بها بحسب دلالتها بالوضع في الجملة، لا يلزم المفسدة المذكورة في تلك الألفاظ، بناءً على ثبوت الحقيقة الشرعيّة؛ لأنّ دلالتها في لغة العرب بالوضع بالنسبة إلى معانيها اللغويّة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Style w:val="FootnoteAnchor"/>
          <w:rtl w:val="true"/>
        </w:rPr>
        <w:footnoteReference w:id="177"/>
      </w:r>
      <w:r>
        <w:rPr>
          <w:rFonts w:ascii="Amiri" w:hAnsi="Amiri" w:eastAsia="Amiri" w:cs="Amiri"/>
          <w:color w:val="111111"/>
          <w:sz w:val="28"/>
          <w:sz w:val="28"/>
          <w:szCs w:val="28"/>
          <w:rtl w:val="true"/>
          <w:lang w:bidi="ar-SA"/>
        </w:rPr>
        <w:t>نظر؛ لأنّا نختار الأوّل ونمنع خروج المجازات المستعملة في كلّ لغة عنها، بناءً على أنّ الدالّ في الألفاظ المجازيّة على المعاني المجازيّة اللفظ بشرط القرينة، واللفظ إنّما يدلّ عليها بوضعه لمعناه على ما تقدّم تحقيقه بما لا مزيد عليه، فلا يلزم خروج الألفاظ المجازيّة، بخلاف الحقيقة الشرعيّة</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3734372_1280447820"/>
      <w:bookmarkStart w:id="140" w:name="_Toc52"/>
      <w:bookmarkEnd w:id="139"/>
      <w:r>
        <w:rPr>
          <w:rtl w:val="true"/>
        </w:rPr>
        <w:t>الاحتمالات في الحكم بكون الحقائق الشرعيّة مجازات لغويّة</w:t>
      </w:r>
      <w:bookmarkEnd w:id="140"/>
    </w:p>
    <w:p>
      <w:pPr>
        <w:pStyle w:val="Heading6"/>
        <w:numPr>
          <w:ilvl w:val="5"/>
          <w:numId w:val="1"/>
        </w:numPr>
        <w:rPr/>
      </w:pPr>
      <w:bookmarkStart w:id="141" w:name="__RefHeading___Toc3734374_1280447820"/>
      <w:bookmarkStart w:id="142" w:name="_Toc53"/>
      <w:bookmarkEnd w:id="141"/>
      <w:r>
        <w:rPr>
          <w:rtl w:val="true"/>
        </w:rPr>
        <w:t>اشارة</w:t>
      </w:r>
      <w:bookmarkEnd w:id="14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بكون الحقائق الشرعيّة مجازات لغويّة، لا يخلو إمّا أن يكون بالنسبة إلى المعنى اللغويّ، أو الشرعيّ، وعلى التقديرين إمّا بالنسبة إلى أهل اللغة، </w:t>
      </w:r>
      <w:bookmarkStart w:id="143" w:name="pg16224_170401"/>
    </w:p>
    <w:p>
      <w:pPr>
        <w:pStyle w:val="BookText"/>
        <w:rPr/>
      </w:pPr>
      <w:bookmarkEnd w:id="143"/>
      <w:r>
        <w:rPr>
          <w:rFonts w:ascii="IRNazanin" w:hAnsi="IRNazanin" w:eastAsia="IRNazanin"/>
          <w:color w:val="111111"/>
          <w:sz w:val="28"/>
          <w:sz w:val="28"/>
          <w:szCs w:val="28"/>
          <w:rtl w:val="true"/>
          <w:lang w:bidi="fa-IR"/>
        </w:rPr>
        <w:t>أو الشارع، فالاحتمالات لا تخلو من هذه الأقسام</w:t>
      </w:r>
      <w:r>
        <w:rPr>
          <w:rFonts w:eastAsia="IRNazanin" w:cs="IRNazanin"/>
          <w:color w:val="111111"/>
          <w:sz w:val="28"/>
          <w:szCs w:val="28"/>
          <w:rtl w:val="true"/>
          <w:lang w:bidi="fa-IR"/>
        </w:rPr>
        <w:t>:</w:t>
      </w:r>
    </w:p>
    <w:p>
      <w:pPr>
        <w:pStyle w:val="Heading6"/>
        <w:numPr>
          <w:ilvl w:val="5"/>
          <w:numId w:val="1"/>
        </w:numPr>
        <w:rPr/>
      </w:pPr>
      <w:bookmarkStart w:id="144" w:name="__RefHeading___Toc3734376_1280447820"/>
      <w:bookmarkStart w:id="145" w:name="_Toc54"/>
      <w:bookmarkEnd w:id="144"/>
      <w:r>
        <w:rPr>
          <w:rtl w:val="true"/>
        </w:rPr>
        <w:t>الاحتمال الأوّل</w:t>
      </w:r>
      <w:bookmarkEnd w:id="14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بالمجازيّة اللغويّة بالنسبة إلى المعنى اللغويّ وأهل اللغة، وفساده غنيّ عن البيان، مع أنّه لا دخل له في المقام</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3734378_1280447820"/>
      <w:bookmarkStart w:id="147" w:name="_Toc55"/>
      <w:bookmarkEnd w:id="146"/>
      <w:r>
        <w:rPr>
          <w:rtl w:val="true"/>
        </w:rPr>
        <w:t>الاحتمال الثاني</w:t>
      </w:r>
      <w:bookmarkEnd w:id="147"/>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بالنسبة إلى الشارع؛ وهو فاسد أيضًا،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تحقّق المجاز المنتسب إلى أهل كلّ صناعة يمكن أن يكون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استعمال اللفظ من أهل الصناعة في غير ما وضع له عندهم؛ لعلاقة بينه وبين الموضوع له، فالمجاز اللغويّ على هذا هو اللفظ المستعمل من أهل اللغة في غير معناه الموضوع له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المستعمل من أهل تلك الصناعة، لكن يكون استعماله تبعًا لاستعمالهم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علمت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الألفاظ المستعملة من الشارع في معانيها اللغويّة لا تكون مجازات لغويّة بشيء</w:t>
      </w:r>
      <w:r>
        <w:rPr>
          <w:rStyle w:val="FootnoteAnchor"/>
          <w:rtl w:val="true"/>
        </w:rPr>
        <w:footnoteReference w:id="178"/>
      </w:r>
      <w:r>
        <w:rPr>
          <w:rFonts w:ascii="Amiri" w:hAnsi="Amiri" w:eastAsia="Amiri" w:cs="Amiri"/>
          <w:color w:val="111111"/>
          <w:sz w:val="28"/>
          <w:sz w:val="28"/>
          <w:szCs w:val="28"/>
          <w:rtl w:val="true"/>
          <w:lang w:bidi="ar-SA"/>
        </w:rPr>
        <w:t>من المعنيين المذكورين، أمّا على المعنى الأوّل فظاهر، وأمّا على المعنى الثاني فلأنّ استعمال الشارع ليس تبعًا لاستعمال أهل اللغة؛ إذ الكلام على تقدير ثبوت الحقيقة الشرعيّة، بل تلك الألفاظ حينئذٍ مجازات شرعيّة على المعنى الأوّل</w:t>
      </w:r>
      <w:r>
        <w:rPr>
          <w:rFonts w:eastAsia="Amiri" w:cs="Amiri" w:ascii="Amiri" w:hAnsi="Amiri"/>
          <w:color w:val="111111"/>
          <w:sz w:val="28"/>
          <w:szCs w:val="28"/>
          <w:rtl w:val="true"/>
          <w:lang w:bidi="ar-SA"/>
        </w:rPr>
        <w:t xml:space="preserve">. </w:t>
      </w:r>
      <w:bookmarkStart w:id="148" w:name="pg16224_170402"/>
    </w:p>
    <w:p>
      <w:pPr>
        <w:pStyle w:val="BookText"/>
        <w:rPr/>
      </w:pPr>
      <w:bookmarkEnd w:id="148"/>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دخل له فيما نحن فيه؛ إذ الكلام في الألفاظ المستعملة من الشارع في المعاني الشرعيّة</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3734380_1280447820"/>
      <w:bookmarkStart w:id="150" w:name="_Toc56"/>
      <w:bookmarkEnd w:id="149"/>
      <w:r>
        <w:rPr>
          <w:rtl w:val="true"/>
        </w:rPr>
        <w:t>الاحتمال الثالث</w:t>
      </w:r>
      <w:bookmarkEnd w:id="150"/>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بالنسبة إلى أهل اللغة والاستعمال في المعنى الشرعيّ، وهذا لا يخلو إمّا أن يكون استعمالهم فيه تبعًا لاستعمال الشارع، أو لا، بل لأجل المناسبة بينه وبين المعنى اللغويّ، وعلى الأوّل يكون اللفظ حقيقة شرعيّة ولا يكون مجازًا لغويًّا، وعلى الثاني وإن كان اللفظ مجازًا لغويًّا، لكن لا دخل له فيما نحن فيه لما عرفت</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3734382_1280447820"/>
      <w:bookmarkStart w:id="152" w:name="_Toc57"/>
      <w:bookmarkEnd w:id="151"/>
      <w:r>
        <w:rPr>
          <w:rtl w:val="true"/>
        </w:rPr>
        <w:t>الاحتمال الرابع</w:t>
      </w:r>
      <w:bookmarkEnd w:id="152"/>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بالنسبة إلى الشارع والمعنى الشرعيّ، وهذا هو الّذي يكون الكلام فيه، واللفظ حينئذٍ إنّما يكون حقيقة شرعيّة ولا يكون مجازًا لغويًّا بشيء</w:t>
      </w:r>
      <w:r>
        <w:rPr>
          <w:rStyle w:val="FootnoteAnchor"/>
          <w:rtl w:val="true"/>
        </w:rPr>
        <w:footnoteReference w:id="179"/>
      </w:r>
      <w:r>
        <w:rPr>
          <w:rFonts w:ascii="Amiri" w:hAnsi="Amiri" w:eastAsia="Amiri" w:cs="Amiri"/>
          <w:color w:val="111111"/>
          <w:sz w:val="28"/>
          <w:sz w:val="28"/>
          <w:szCs w:val="28"/>
          <w:rtl w:val="true"/>
          <w:lang w:bidi="ar-SA"/>
        </w:rPr>
        <w:t>من المعنيين المذكورين كما لا يخفى، فمن أين تحقّق المجاز اللغويّ حتّى يتّصف اللفظ بالعربيّة بسببه؟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w:t>
      </w:r>
      <w:r>
        <w:rPr>
          <w:rStyle w:val="FootnoteAnchor"/>
          <w:rtl w:val="true"/>
        </w:rPr>
        <w:footnoteReference w:id="180"/>
      </w:r>
      <w:r>
        <w:rPr>
          <w:rFonts w:ascii="Amiri" w:hAnsi="Amiri" w:eastAsia="Amiri" w:cs="Amiri"/>
          <w:color w:val="111111"/>
          <w:sz w:val="28"/>
          <w:sz w:val="28"/>
          <w:szCs w:val="28"/>
          <w:rtl w:val="true"/>
          <w:lang w:bidi="ar-SA"/>
        </w:rPr>
        <w:t>أن يختار الرابع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للمجاز اللغويّ معنى آخر، وهو أن يكون اللفظ مستعملًا في الموضوع له عند غير أهل اللغة مع ملاحظة المناسبة بينه وبين الموضوع له لغة، وعلى هذا تكون تلك الألفاظ حين كونها مستعملة في المعاني الشرعيّة عند </w:t>
      </w:r>
    </w:p>
    <w:p>
      <w:pPr>
        <w:pStyle w:val="BookText"/>
        <w:rPr/>
      </w:pPr>
      <w:r>
        <w:rPr>
          <w:rFonts w:ascii="Amiri" w:hAnsi="Amiri" w:eastAsia="Amiri" w:cs="Amiri"/>
          <w:color w:val="111111"/>
          <w:sz w:val="28"/>
          <w:sz w:val="28"/>
          <w:szCs w:val="28"/>
          <w:rtl w:val="true"/>
          <w:lang w:bidi="ar-SA"/>
        </w:rPr>
        <w:t>الشارع مجازات لغويّة؛ لملاحظة المناسبة بين معانيها الشرعيّة واللغويّة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نظر،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يستلزم أن يكون اللفظ حقيقة ومجازًا بالنسبة إلى معنى واحد في استعمال واحد، فيلزم اجتماع المتنافي؛ إذ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المستعمل في الموضوع له،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المستحيل كون اللفظ حقيقة ومجازًا باعتبار واحد، وأمّا إذا كان باعتبارين فلا؛ وما نحن فيه من هذا القبيل؛ إذ اللفظ باعتبار الوضع الشرعيّ حقيقة وباعتبار الوضع اللغويّ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الاعتبار بعد وحدة الاستعمال لا يجدي في رفع الإشكال؛ إذ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المستعمل في غير الموضوع له من حيث إنّه غير الموضوع له، واللفظ فيما نحن فيه مستعمل في الموضوع له من حيث إنّه موضوع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الحكم بمجازيّة اللفظ متوقّفٌ على تحقّق مصحّحه، ومصحّح المجاز تحقّق العلاقة بين المعنيين مع ملاحظتها حال الاستعمال، والمتحقّق فيما نحن فيه وجودها، وأمّا ملاحظتها فغير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الحقيقة الشرعيّة بالنقل، وهو في اصطلاحهم لا يكون إلّا بملاحظة المناسبة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الملاحظتي؛ إذ المدار في النقل ملاحظتها حالة الوضع والنقل، وفي المجاز حال الاستعمال، والقدر المتيقّن في الحقيقة الشرعيّة ملاحظتها حال الوضع، وأمّا حال الاستعمال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الجواب باختيار الثالث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تلك الألفاظ في حال استعمالها في المعاني الشرعيّة حقائقٌ شرعيّةٌ، مجازاتٌ لغويّةٌ في تلك المعاني عند صدور الاستعمال فيها من أهل اللغة، فيكون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الألفاظ حقائق شرعيّة بالفعل مجازات لغويّة بالقوّة؛ وهذا القدر كافٍ في اتّصافها بوصف العربيّة؛ إذ بعد صيرورة القوّة فعلًا تكون عربيّة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اتّصاف تلك الألفاظ بالعربيّة إنّما يلزم إذا اشترط في اختصاص اللفظ بلغة صدور الوضع عن كلّ مَن يتحاور بتلك اللغة، أو عن كلّ بُلَغائها، أو يكون للوضع زمان مخصوص بحيث إذا انقضى ذلك لا يجوز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الأمر ليس كذلك؛ إذ اشتراط الأوّل يستلزم عدم اختصاص لفظ بلغة أصلًا كما لا يخفى، وكذا الثاني؛ لكون البلغاء متجدّدين في الأعصار ومتفرّقين في الأمصار؛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وجه الاشتراط غير معلوم، فعلى من يدّعيه الإثبات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الاصطلاحات في العلوم المدوّنة وغيرها حادثة، فعلى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 تلك الألفاظ، وهو من أفصح العرب وسيّدهم، فتكون عربيّة، وكان الخلط والاشتباه وقع بين اللغويّة والعربيّة، والمنفي على التقدير المذكور الأُولى لا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هذا إنّما يتمّ إذا قلنا بأنّ الشارع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إذا كان الله تعالى فلا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اتّصافها بالعربيّة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Style w:val="FootnoteAnchor"/>
          <w:rtl w:val="true"/>
        </w:rPr>
        <w:footnoteReference w:id="181"/>
      </w:r>
      <w:r>
        <w:rPr>
          <w:rFonts w:ascii="Amiri" w:hAnsi="Amiri" w:eastAsia="Amiri" w:cs="Amiri"/>
          <w:color w:val="111111"/>
          <w:sz w:val="28"/>
          <w:sz w:val="28"/>
          <w:szCs w:val="28"/>
          <w:rtl w:val="true"/>
          <w:lang w:bidi="ar-SA"/>
        </w:rPr>
        <w:t xml:space="preserve">لكون المخاطب بها من العرب، بناءً </w:t>
      </w:r>
    </w:p>
    <w:p>
      <w:pPr>
        <w:pStyle w:val="BookText"/>
        <w:rPr/>
      </w:pPr>
      <w:r>
        <w:rPr>
          <w:rFonts w:ascii="Amiri" w:hAnsi="Amiri" w:eastAsia="Amiri" w:cs="Amiri"/>
          <w:color w:val="111111"/>
          <w:sz w:val="28"/>
          <w:sz w:val="28"/>
          <w:szCs w:val="28"/>
          <w:rtl w:val="true"/>
          <w:lang w:bidi="ar-SA"/>
        </w:rPr>
        <w:t>على أنّ نسبته تعالى إلى جميع اللغات سواء، فاتّصاف خطاباته تعالى بصفة بالمقايسة إلى حال المخاطبين، أو لاستعمالها في تلك المعاني بين العرب</w:t>
      </w:r>
      <w:r>
        <w:rPr>
          <w:rStyle w:val="FootnoteAnchor"/>
          <w:rtl w:val="true"/>
        </w:rPr>
        <w:footnoteReference w:id="182"/>
      </w:r>
      <w:r>
        <w:rPr>
          <w:rFonts w:ascii="Amiri" w:hAnsi="Amiri" w:eastAsia="Amiri" w:cs="Amiri"/>
          <w:color w:val="111111"/>
          <w:sz w:val="28"/>
          <w:sz w:val="28"/>
          <w:szCs w:val="28"/>
          <w:rtl w:val="true"/>
          <w:lang w:bidi="ar-SA"/>
        </w:rPr>
        <w:t>، هذا على تقدير استناد الوضع في جميع اللغات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اصطلاحيّة اللغات وكون الوضع في خصوص الحقيقة الشرعيّة إلى الله تعالى، فيشكل الأمر؛ إذ مجرّد الاستعمال على ذلك التقدير لا يصير سببًا للاتّصاف بالعربيّة، وإلّا لزم أن تكون الألفاظ العجميّة المستعملة في لغتهم 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فيجاب حينئذٍ بما تقدّم، أو بما يأتي، وهو جواب ثالث عن الإشكال،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الحقائق الشرعيّة كلّها ألفاظ منقولة عن معانيها اللغويّة على ما عرفت ممّا تقدّم، فتكون</w:t>
      </w:r>
      <w:r>
        <w:rPr>
          <w:rStyle w:val="FootnoteAnchor"/>
          <w:rtl w:val="true"/>
        </w:rPr>
        <w:footnoteReference w:id="183"/>
      </w:r>
      <w:r>
        <w:rPr>
          <w:rFonts w:ascii="Amiri" w:hAnsi="Amiri" w:eastAsia="Amiri" w:cs="Amiri"/>
          <w:color w:val="111111"/>
          <w:sz w:val="28"/>
          <w:sz w:val="28"/>
          <w:szCs w:val="28"/>
          <w:rtl w:val="true"/>
          <w:lang w:bidi="ar-SA"/>
        </w:rPr>
        <w:t>تلك الألفاظ بأسرها من الموضوعات العربيّة بالأصل، فهي حالة استعمالها في المعاني الشرعيّة عربيّة؛ لكونها في أوضاعها الأوّليّة 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منع الملازمة الأولى، وعلى فرض تسليمها نمنع بطلان التالي، قولكم</w:t>
      </w:r>
      <w:r>
        <w:rPr>
          <w:rStyle w:val="FootnoteAnchor"/>
          <w:rtl w:val="true"/>
        </w:rPr>
        <w:footnoteReference w:id="184"/>
      </w:r>
      <w:r>
        <w:rPr>
          <w:rFonts w:ascii="Amiri" w:hAnsi="Amiri" w:eastAsia="Amiri" w:cs="Amiri"/>
          <w:color w:val="111111"/>
          <w:sz w:val="28"/>
          <w:sz w:val="28"/>
          <w:szCs w:val="28"/>
          <w:rtl w:val="true"/>
          <w:lang w:bidi="ar-SA"/>
        </w:rPr>
        <w:t>في 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غير عربيّة لزم أن لا يكون القرآن عربيًّا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بالتزام ذلك لعدم مانع عنه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والاستدلال بالآية المذكورة في بطلانه غير تامّ</w:t>
      </w:r>
      <w:r>
        <w:rPr>
          <w:rStyle w:val="FootnoteAnchor"/>
          <w:rtl w:val="true"/>
        </w:rPr>
        <w:footnoteReference w:id="185"/>
      </w:r>
      <w:r>
        <w:rPr>
          <w:rFonts w:ascii="Amiri" w:hAnsi="Amiri" w:eastAsia="Amiri" w:cs="Amiri"/>
          <w:color w:val="111111"/>
          <w:sz w:val="28"/>
          <w:sz w:val="28"/>
          <w:szCs w:val="28"/>
          <w:rtl w:val="true"/>
          <w:lang w:bidi="ar-SA"/>
        </w:rPr>
        <w:t xml:space="preserve">لما قيل من أنّه مبنيٌّ على كون </w:t>
      </w:r>
    </w:p>
    <w:p>
      <w:pPr>
        <w:pStyle w:val="BookText"/>
        <w:rPr/>
      </w:pPr>
      <w:r>
        <w:rPr>
          <w:rFonts w:ascii="Amiri" w:hAnsi="Amiri" w:eastAsia="Amiri" w:cs="Amiri"/>
          <w:color w:val="111111"/>
          <w:sz w:val="28"/>
          <w:sz w:val="28"/>
          <w:szCs w:val="28"/>
          <w:rtl w:val="true"/>
          <w:lang w:bidi="ar-SA"/>
        </w:rPr>
        <w:t>القرآن مرجعًا 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w:t>
      </w:r>
      <w:r>
        <w:rPr>
          <w:rStyle w:val="FootnoteAnchor"/>
          <w:rtl w:val="true"/>
        </w:rPr>
        <w:footnoteReference w:id="186"/>
      </w:r>
      <w:r>
        <w:rPr>
          <w:rFonts w:ascii="Amiri" w:hAnsi="Amiri" w:eastAsia="Amiri" w:cs="Amiri"/>
          <w:color w:val="111111"/>
          <w:sz w:val="28"/>
          <w:sz w:val="28"/>
          <w:szCs w:val="28"/>
          <w:rtl w:val="true"/>
          <w:lang w:bidi="ar-SA"/>
        </w:rPr>
        <w:t>غير لازم؛ لجواز أن يكون عائدًا إلى السورة، وذكر القرآن لا ينافي ذلك؛ لأنّه كما يطلق على الكلّ يطلق على البعض؛ ولذلك لو حلف قراءة القرآن كلّ يوم، لا يحنث مع قراءة سورة، بل أقلّ منها، والحكم بالبعضيّة غير منافٍ لذلك؛ لأنّه باعتبار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شارك الجزء الكلّ في معناه، يمكن الحكم عليه بالفرديّة والبعضيّة بالاعتبارين، فباعتبار المشاركة وتحقّق أصل المعنى يحكم بالفرديّة، وباعتبار الجزئيّة والكلّيّة يحكم بالبعضيّة، كالماء والعسل والدهن والسمن وأمثالها، بخلاف الغير المشارك</w:t>
      </w:r>
      <w:r>
        <w:rPr>
          <w:rStyle w:val="FootnoteAnchor"/>
          <w:rtl w:val="true"/>
        </w:rPr>
        <w:footnoteReference w:id="187"/>
      </w:r>
      <w:r>
        <w:rPr>
          <w:rFonts w:ascii="Amiri" w:hAnsi="Amiri" w:eastAsia="Amiri" w:cs="Amiri"/>
          <w:color w:val="111111"/>
          <w:sz w:val="28"/>
          <w:sz w:val="28"/>
          <w:szCs w:val="28"/>
          <w:rtl w:val="true"/>
          <w:lang w:bidi="ar-SA"/>
        </w:rPr>
        <w:t>، كالمائة والرغيف</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الجواب بهذا المنوال لا يقبله الإنصاف، إذ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قُرْآَنًا عَرَبِيًّا</w:t>
      </w:r>
      <w:r>
        <w:rPr>
          <w:rStyle w:val="FootnoteAnchor"/>
          <w:rtl w:val="true"/>
        </w:rPr>
        <w:footnoteReference w:id="189"/>
      </w:r>
      <w:r>
        <w:rPr>
          <w:rFonts w:ascii="Amiri" w:hAnsi="Amiri" w:eastAsia="Amiri" w:cs="Amiri"/>
          <w:color w:val="111111"/>
          <w:sz w:val="28"/>
          <w:sz w:val="28"/>
          <w:szCs w:val="28"/>
          <w:rtl w:val="true"/>
          <w:lang w:bidi="ar-SA"/>
        </w:rPr>
        <w:t>على ما يحضرني الآن مذكور في سورتين،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طه،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ذكرا فيها مكرّرًا،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 الصَّلَاةَ لِذِكْرِي</w:t>
      </w:r>
      <w:r>
        <w:rPr>
          <w:rStyle w:val="FootnoteAnchor"/>
          <w:rtl w:val="true"/>
        </w:rPr>
        <w:footnoteReference w:id="190"/>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أَهْلَكَ بِالصَّلَاةِ</w:t>
      </w:r>
      <w:r>
        <w:rPr>
          <w:rStyle w:val="FootnoteAnchor"/>
          <w:rtl w:val="true"/>
        </w:rPr>
        <w:footnoteReference w:id="191"/>
      </w:r>
      <w:r>
        <w:rPr>
          <w:rFonts w:ascii="Amiri" w:hAnsi="Amiri" w:eastAsia="Amiri" w:cs="Amiri"/>
          <w:color w:val="111111"/>
          <w:sz w:val="28"/>
          <w:sz w:val="28"/>
          <w:szCs w:val="28"/>
          <w:rtl w:val="true"/>
          <w:lang w:bidi="ar-SA"/>
        </w:rPr>
        <w:t>،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يوسف، وسياق الكلام فيها كالصريح في أنّ المرجع مجموع القرآن، لا السورة فقط، قال </w:t>
      </w:r>
    </w:p>
    <w:p>
      <w:pPr>
        <w:pStyle w:val="BookText"/>
        <w:rPr/>
      </w:pP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 تِلْكَ آَيَاتُ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قُرْآنًا عَرَبِيًّا عربيًّا</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التسليم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في تلك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 في سورة طه، لكنّ المذكور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أَنْزَلْنَاهُ قُرْآنًا عَرَبِيًّا</w:t>
      </w:r>
      <w:r>
        <w:rPr>
          <w:rStyle w:val="FootnoteAnchor"/>
          <w:rtl w:val="true"/>
        </w:rPr>
        <w:footnoteReference w:id="193"/>
      </w:r>
      <w:r>
        <w:rPr>
          <w:rFonts w:ascii="Amiri" w:hAnsi="Amiri" w:eastAsia="Amiri" w:cs="Amiri"/>
          <w:color w:val="111111"/>
          <w:sz w:val="28"/>
          <w:sz w:val="28"/>
          <w:szCs w:val="28"/>
          <w:rtl w:val="true"/>
          <w:lang w:bidi="ar-SA"/>
        </w:rPr>
        <w:t>، وما ذكر في مقام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قُرْآنًا عَرَبِيًّا، وهو مذكور في سورة يوسف، ولفظ</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فيها المراد منه المعنى اللغويّ، لا المعنى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على فرض تسليم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للمستدلّ أن يتمسّك في بطلان التالي بما ذكر في سورة طه، فيتمّ مدّعاه، سواء كان المرجع السورة، أو مجموع القرآن، كما لا يخفى على المتأمّل، على أنّك قد عرفت أنّ المذكور في سورة يوسف يكفي في إثبات المطلوب؛ لكون السياق كالصريح في أنّ المرجع مجموع القرآن،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قال الله تعالى في سورة السجدة من الحواميم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فُصِّلَتْ آيَاتُهُ قُرْآنًا عَرَبِيًّا</w:t>
      </w:r>
      <w:r>
        <w:rPr>
          <w:rStyle w:val="FootnoteAnchor"/>
          <w:rtl w:val="true"/>
        </w:rPr>
        <w:footnoteReference w:id="195"/>
      </w:r>
      <w:r>
        <w:rPr>
          <w:rFonts w:ascii="Amiri" w:hAnsi="Amiri" w:eastAsia="Amiri" w:cs="Amiri"/>
          <w:color w:val="111111"/>
          <w:sz w:val="28"/>
          <w:sz w:val="28"/>
          <w:szCs w:val="28"/>
          <w:rtl w:val="true"/>
          <w:lang w:bidi="ar-SA"/>
        </w:rPr>
        <w:t>، وفي سورة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عَرَبِيًّا</w:t>
      </w:r>
      <w:r>
        <w:rPr>
          <w:rStyle w:val="FootnoteAnchor"/>
          <w:rtl w:val="true"/>
        </w:rPr>
        <w:footnoteReference w:id="196"/>
      </w:r>
      <w:r>
        <w:rPr>
          <w:rFonts w:ascii="Amiri" w:hAnsi="Amiri" w:eastAsia="Amiri" w:cs="Amiri"/>
          <w:color w:val="111111"/>
          <w:sz w:val="28"/>
          <w:sz w:val="28"/>
          <w:szCs w:val="28"/>
          <w:rtl w:val="true"/>
          <w:lang w:bidi="ar-SA"/>
        </w:rPr>
        <w:t>، والظاهر كالصريح منهما أنّ المحدَّث عنه فيهما هو المجموع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قال سبحانه في سورة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ضَرَبْنَا لِلنَّاسِ فِي هَذَا الْقُرْآنِ مِنْ كُلِّ</w:t>
      </w:r>
      <w:bookmarkStart w:id="153" w:name="pg16224_170408"/>
    </w:p>
    <w:p>
      <w:pPr>
        <w:pStyle w:val="BookText"/>
        <w:rPr/>
      </w:pPr>
      <w:bookmarkEnd w:id="153"/>
      <w:r>
        <w:rPr>
          <w:rFonts w:ascii="Amiri" w:hAnsi="Amiri" w:eastAsia="Amiri" w:cs="Amiri"/>
          <w:color w:val="111111"/>
          <w:sz w:val="28"/>
          <w:sz w:val="28"/>
          <w:szCs w:val="28"/>
          <w:rtl w:val="true"/>
          <w:lang w:bidi="ar-SA"/>
        </w:rPr>
        <w:t xml:space="preserve">مَثَلٍ لَعَلَّهُمْ يَتَذَكَّرُونَ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عَرَبِيًّا غَيْرَ ذِي عِوَجٍ</w:t>
      </w:r>
      <w:r>
        <w:rPr>
          <w:rStyle w:val="FootnoteAnchor"/>
          <w:rtl w:val="true"/>
        </w:rPr>
        <w:footnoteReference w:id="197"/>
      </w:r>
      <w:r>
        <w:rPr>
          <w:rFonts w:ascii="Amiri" w:hAnsi="Amiri" w:eastAsia="Amiri" w:cs="Amiri"/>
          <w:color w:val="111111"/>
          <w:sz w:val="28"/>
          <w:sz w:val="28"/>
          <w:szCs w:val="28"/>
          <w:rtl w:val="true"/>
          <w:lang w:bidi="ar-SA"/>
        </w:rPr>
        <w:t>، فتسليم كون القرآن غير عربيّ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أجابوا في المقام بأنّه غاية ما يلزم من ذلك كون القرآن عربيًّا، ولا يلزم من ذلك كونه عربيّ المفردات حتّى ينافي اشتماله بغير الألفاظ العربيّة، فيجوز أن يكون المراد بعربيّته كونه عربيّ النظم والأسلوب، فلا ينافي اشتماله على ما ليس بعربيّ مع كون الأسلوب عربيًّا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وبأنّ المراد من كونه عربيًّا كون أغلب ألفاظه كذلك، فلا ينافي كون النادر منها غير عربيّ، ومثل هذا الإطلاق شائع،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عجميّ، مع أنّه ليس جميع ألفاظه عجميًّا، وهكذا بالنسبة إلى الكتاب العربيّ</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4" w:name="__RefHeading___Toc3734384_1280447820"/>
      <w:bookmarkStart w:id="155" w:name="_Toc58"/>
      <w:bookmarkEnd w:id="154"/>
      <w:r>
        <w:rPr>
          <w:rtl w:val="true"/>
        </w:rPr>
        <w:t>الدليل الثاني للّنافين للحقيقة الشرعيّة</w:t>
      </w:r>
      <w:bookmarkEnd w:id="155"/>
    </w:p>
    <w:p>
      <w:pPr>
        <w:pStyle w:val="Heading6"/>
        <w:numPr>
          <w:ilvl w:val="5"/>
          <w:numId w:val="1"/>
        </w:numPr>
        <w:rPr/>
      </w:pPr>
      <w:bookmarkStart w:id="156" w:name="__RefHeading___Toc3734386_1280447820"/>
      <w:bookmarkStart w:id="157" w:name="_Toc59"/>
      <w:bookmarkEnd w:id="156"/>
      <w:r>
        <w:rPr>
          <w:rtl w:val="true"/>
        </w:rPr>
        <w:t>اشارة</w:t>
      </w:r>
      <w:bookmarkEnd w:id="15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نقلها الشارع إلى المعاني الشرعيّة لفهّمها المخاطبين بها؛ لكونهم مكلّفين بما تضمّنه</w:t>
      </w:r>
      <w:r>
        <w:rPr>
          <w:rStyle w:val="FootnoteAnchor"/>
          <w:rtl w:val="true"/>
        </w:rPr>
        <w:footnoteReference w:id="200"/>
      </w:r>
      <w:r>
        <w:rPr>
          <w:rFonts w:ascii="Amiri" w:hAnsi="Amiri" w:eastAsia="Amiri" w:cs="Amiri"/>
          <w:color w:val="111111"/>
          <w:sz w:val="28"/>
          <w:sz w:val="28"/>
          <w:szCs w:val="28"/>
          <w:rtl w:val="true"/>
          <w:lang w:bidi="ar-SA"/>
        </w:rPr>
        <w:t xml:space="preserve">تلك الألفاظ، والفهم شرط التكليف، ولو فهّمها لنقل إلينا؛ لأنّا مشاركون معهم في التكليف؛ والنقل إمّا بالتواتر أو بالآحاد، والأوّل لم يوجد </w:t>
      </w:r>
      <w:bookmarkStart w:id="158" w:name="pg16224_170409"/>
    </w:p>
    <w:p>
      <w:pPr>
        <w:pStyle w:val="BookText"/>
        <w:rPr/>
      </w:pPr>
      <w:bookmarkEnd w:id="158"/>
      <w:r>
        <w:rPr>
          <w:rFonts w:ascii="Amiri" w:hAnsi="Amiri" w:eastAsia="Amiri" w:cs="Amiri"/>
          <w:color w:val="111111"/>
          <w:sz w:val="28"/>
          <w:sz w:val="28"/>
          <w:szCs w:val="28"/>
          <w:rtl w:val="true"/>
          <w:lang w:bidi="ar-SA"/>
        </w:rPr>
        <w:t>وإلّا لم يقع الخلاف، والثاني لا يفيد، مع أنّ العادة تقضي في مثله بالتواتر</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9" w:name="__RefHeading___Toc3734388_1280447820"/>
      <w:bookmarkStart w:id="160" w:name="_Toc60"/>
      <w:bookmarkEnd w:id="159"/>
      <w:r>
        <w:rPr>
          <w:rtl w:val="true"/>
        </w:rPr>
        <w:t>الجواب عن الدليل الثاني</w:t>
      </w:r>
      <w:bookmarkEnd w:id="160"/>
    </w:p>
    <w:p>
      <w:pPr>
        <w:pStyle w:val="BookText"/>
        <w:rPr/>
      </w:pPr>
      <w:r>
        <w:rPr>
          <w:rFonts w:ascii="Amiri" w:hAnsi="Amiri" w:eastAsia="Amiri" w:cs="Amiri"/>
          <w:color w:val="111111"/>
          <w:sz w:val="28"/>
          <w:sz w:val="28"/>
          <w:szCs w:val="28"/>
          <w:rtl w:val="true"/>
          <w:lang w:bidi="ar-SA"/>
        </w:rPr>
        <w:t>وفيه نظر؛ لأنّ الضمير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يعود إلى المعاني، كما هو ظاهر الكلام والمناسب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إلى الأوضاع المفهومة من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بعينه جارٍ فيما إذا كان الاستعمال على سبيل التجوّز، وما ذكر في بيان الملازمة</w:t>
      </w:r>
      <w:r>
        <w:rPr>
          <w:rStyle w:val="FootnoteAnchor"/>
          <w:rtl w:val="true"/>
        </w:rPr>
        <w:footnoteReference w:id="202"/>
      </w:r>
      <w:r>
        <w:rPr>
          <w:rFonts w:ascii="Amiri" w:hAnsi="Amiri" w:eastAsia="Amiri" w:cs="Amiri"/>
          <w:color w:val="111111"/>
          <w:sz w:val="28"/>
          <w:sz w:val="28"/>
          <w:szCs w:val="28"/>
          <w:rtl w:val="true"/>
          <w:lang w:bidi="ar-SA"/>
        </w:rPr>
        <w:t>دليل عليه،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له في صورة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نمنع الملازمة، والمذكور في بيانها غير دالّ على ذلك؛ لأنّ اشتراط الفهم للتكليف إنّما يقتضي معلوميّة تلك المعاني؛ وهو كما يحصل بالإعلام بالوضع، يحصل بإعلام إرادتها من تلك الألفاظ بالبيانات النبويّة قولًا وفعلًا وتقريرًا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منظور فيه،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ذلك إنّما يصحّ إذا تحقّق البيان على سبيل العموم، وهو ينافي ما ذكروه في ثمرة هذا النزاع من أنّه عند التجرّد من القرائن يحمل على المعاني الشرعيّة بناءً على ثبوت الحقيقة الشرعيّة، وعلى المعاني اللغويّة بناءً على العدم، فلو لم يتحقّق موضع إلّا وقد وجد فيه البيان، انتفت تلك الثمرة، </w:t>
      </w:r>
    </w:p>
    <w:p>
      <w:pPr>
        <w:pStyle w:val="BookText"/>
        <w:rPr/>
      </w:pPr>
      <w:r>
        <w:rPr>
          <w:rFonts w:ascii="Amiri" w:hAnsi="Amiri" w:eastAsia="Amiri" w:cs="Amiri"/>
          <w:color w:val="111111"/>
          <w:sz w:val="28"/>
          <w:sz w:val="28"/>
          <w:szCs w:val="28"/>
          <w:rtl w:val="true"/>
          <w:lang w:bidi="ar-SA"/>
        </w:rPr>
        <w:t>فيلزم منه انتفاء هذه</w:t>
      </w:r>
      <w:r>
        <w:rPr>
          <w:rStyle w:val="FootnoteAnchor"/>
          <w:rtl w:val="true"/>
        </w:rPr>
        <w:footnoteReference w:id="203"/>
      </w:r>
      <w:r>
        <w:rPr>
          <w:rFonts w:ascii="Amiri" w:hAnsi="Amiri" w:eastAsia="Amiri" w:cs="Amiri"/>
          <w:color w:val="111111"/>
          <w:sz w:val="28"/>
          <w:sz w:val="28"/>
          <w:szCs w:val="28"/>
          <w:rtl w:val="true"/>
          <w:lang w:bidi="ar-SA"/>
        </w:rPr>
        <w:t>الفائدة، وهو مستلزم لعراء النزاع من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هذا الاستدلال إنّما هو من النافي للحقيقة الشرعيّة، والردّ على النهج المذكور من المثبت غير صحيح؛ لأنّ تسليمه أنّ إعلامَ تلك المعاني بالقرينة لا بالإعلام بالوضع منافٍ لما اختاره،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المستدلّ من إعلام الوضع وتفهيمه عند ثبوت النقل إمّا أن يكون بتصريح الشارع بأنّي وضعت هذه الألفاظ بإزاء تلك المعاني، فالملازمة ممنوعة، واشتراط الفهم للتكليف إنّما يقتضي إعلام الوضع، وأمّا كونه على هذا الوجه الخاصّ فلا؛ لجواز أن يكون الإعلام بالترديد بالقرائن، كالأطفال والجاهل باصطلاح خاصّ مطلقًا إذا أريد تعليمه ذلك من غير الاستعانة باللغات المعلومة له، فإنّ طريق التعليم حينئذٍ لا يمكن إلّا بالترديد بالقرائن؛ إذ لو كان باللفظ يلزم الدور أو التسلسل</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أعمّ من ذلك، فالملازمة مسلّمة، لكن بطلان التالي ممنوع، وما ذكر في بيانه من أنّه لو فهّم لنقل إلينا، غير تامّ؛ لأنّه على فرض التسليم إنّما يلزم إذا كان التفهيم على النهج الأوّل، وأمّا إذا كان بالترديد بالقرائن فلا؛ لأنّ ذلك ليس ممّا ينقل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فرض أن يكون التعليم</w:t>
      </w:r>
      <w:r>
        <w:rPr>
          <w:rStyle w:val="FootnoteAnchor"/>
          <w:rtl w:val="true"/>
        </w:rPr>
        <w:footnoteReference w:id="205"/>
      </w:r>
      <w:r>
        <w:rPr>
          <w:rFonts w:ascii="Amiri" w:hAnsi="Amiri" w:eastAsia="Amiri" w:cs="Amiri"/>
          <w:color w:val="111111"/>
          <w:sz w:val="28"/>
          <w:sz w:val="28"/>
          <w:szCs w:val="28"/>
          <w:rtl w:val="true"/>
          <w:lang w:bidi="ar-SA"/>
        </w:rPr>
        <w:t>على النهج الأوّل، يمكن منع لزوم النقل أيضًا، و ما ذكر في بيانه من اشتراكنا معهم في التكليف لا يدلّ على ذلك؛ لأنّ مشاركتنا معهم فيه توجب علينا الاجتهاد في تحصيل فهمهم والعلم بما كلّفوا به، لا نقلهم بالنسبة إلينا؛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الأحكام الشرعيّة كانت معلومة عند الحاضرين المشافهين، فلو كانت هذه الدعوى صحيحة يلزم أن تكون جميعها معلومةً عند جميع المكلّفين، وفساده غنيّ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لزوم النقل بناءً على أنّ التبليغ كان واجبًا عليهم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حينئذٍ النقل، وهو غير مستلزم للبلوغ إلينا، كما في أكثر الأحكام الغير المعلوم عندنا، على أنّ اللازم من ذلك وجوب التبليغ بالنسبة إليهم وتكليفهم بذلك، والتكليف بشيء لا يستلزم الامتثال به، وعلى فرض الامتثال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وجوب التبليغ في الجملة، وأمّا كونه بحيث يبلغ التواتر فلا؛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والآحاد 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كلّ ذلك إنّما هو إذا كان الإعلام بالوضع بالتصريح به، وأمّا إذا كان بالترديد بالقرائن كما هو الظاهر، فيمكن عدم التبليغ أصلًا وعدم تكليفهم بذلك أيضًا؛ لإمكان الاطّلاع بذلك للمعدومين من غيره، ويظهر وجه ذلك ممّا مرّ في أدلّة الثبوت</w:t>
      </w:r>
      <w:r>
        <w:rPr>
          <w:rFonts w:eastAsia="Amiri" w:cs="Amiri" w:ascii="Amiri" w:hAnsi="Amiri"/>
          <w:color w:val="111111"/>
          <w:sz w:val="28"/>
          <w:szCs w:val="28"/>
          <w:rtl w:val="true"/>
          <w:lang w:bidi="ar-SA"/>
        </w:rPr>
        <w:t xml:space="preserve">. </w:t>
      </w:r>
      <w:bookmarkStart w:id="161" w:name="pg16224_170412"/>
    </w:p>
    <w:p>
      <w:pPr>
        <w:pStyle w:val="Heading6"/>
        <w:numPr>
          <w:ilvl w:val="5"/>
          <w:numId w:val="1"/>
        </w:numPr>
        <w:rPr/>
      </w:pPr>
      <w:bookmarkStart w:id="162" w:name="__RefHeading___Toc3734390_1280447820"/>
      <w:bookmarkStart w:id="163" w:name="_Toc61"/>
      <w:bookmarkEnd w:id="161"/>
      <w:bookmarkEnd w:id="162"/>
      <w:r>
        <w:rPr>
          <w:rtl w:val="true"/>
        </w:rPr>
        <w:t>الدليل الثالث للّنافين للحقيقة الشرعيّة</w:t>
      </w:r>
      <w:bookmarkEnd w:id="163"/>
    </w:p>
    <w:p>
      <w:pPr>
        <w:pStyle w:val="Heading6"/>
        <w:numPr>
          <w:ilvl w:val="5"/>
          <w:numId w:val="1"/>
        </w:numPr>
        <w:rPr/>
      </w:pPr>
      <w:bookmarkStart w:id="164" w:name="__RefHeading___Toc3734392_1280447820"/>
      <w:bookmarkStart w:id="165" w:name="_Toc62"/>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وقد ظهر ممّا تقدّم مرارًا،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تلك الألفاظ كانت موضوعة في اللغة لمعانيها المعلومة، وقضيّة الأصل بقائها إلى أن يعلم النقل، والمعلوم تحقّقه في زمان المتشرّعة، وأمّا في زمان الشارع فلا، وعدم العلم بالثبوت كافٍ للحكم بعدم الثبوت</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3734394_1280447820"/>
      <w:bookmarkStart w:id="167" w:name="_Toc63"/>
      <w:bookmarkEnd w:id="166"/>
      <w:r>
        <w:rPr>
          <w:rtl w:val="true"/>
        </w:rPr>
        <w:t>الجواب عن الدليل الثالث</w:t>
      </w:r>
      <w:bookmarkEnd w:id="16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الدليل هو أقوى الأدلّة في المقام،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أنّا ندّعي الثبوت بالأدلّة السابقة</w:t>
      </w:r>
      <w:r>
        <w:rPr>
          <w:rFonts w:eastAsia="Amiri" w:cs="Amiri" w:ascii="Amiri" w:hAnsi="Amiri"/>
          <w:color w:val="111111"/>
          <w:sz w:val="28"/>
          <w:szCs w:val="28"/>
          <w:rtl w:val="true"/>
          <w:lang w:bidi="ar-SA"/>
        </w:rPr>
        <w:t xml:space="preserve">. </w:t>
      </w:r>
      <w:bookmarkStart w:id="168" w:name="pg16224_170413"/>
    </w:p>
    <w:p>
      <w:pPr>
        <w:pStyle w:val="BookText"/>
        <w:rPr/>
      </w:pPr>
      <w:bookmarkEnd w:id="168"/>
      <w:r>
        <w:rPr>
          <w:rFonts w:ascii="Amiri" w:hAnsi="Amiri" w:eastAsia="Amiri" w:cs="Amiri"/>
          <w:color w:val="111111"/>
          <w:sz w:val="28"/>
          <w:sz w:val="28"/>
          <w:szCs w:val="28"/>
          <w:rtl w:val="true"/>
          <w:lang w:bidi="ar-SA"/>
        </w:rPr>
        <w:t>في ثمرة الحقيقة الشرعيّة</w:t>
      </w:r>
    </w:p>
    <w:p>
      <w:pPr>
        <w:pStyle w:val="Heading4"/>
        <w:numPr>
          <w:ilvl w:val="3"/>
          <w:numId w:val="1"/>
        </w:numPr>
        <w:rPr/>
      </w:pPr>
      <w:bookmarkStart w:id="169" w:name="__RefHeading___Toc3734396_1280447820"/>
      <w:bookmarkStart w:id="170" w:name="_Toc64"/>
      <w:bookmarkEnd w:id="169"/>
      <w:r>
        <w:rPr>
          <w:rtl w:val="true"/>
        </w:rPr>
        <w:t>البحث الثالث</w:t>
      </w:r>
      <w:r>
        <w:rPr>
          <w:rtl w:val="true"/>
        </w:rPr>
        <w:t xml:space="preserve">: </w:t>
      </w:r>
      <w:r>
        <w:rPr>
          <w:rtl w:val="true"/>
        </w:rPr>
        <w:t>في ثبوت الحقيقة الشرعيّة</w:t>
      </w:r>
      <w:bookmarkEnd w:id="170"/>
    </w:p>
    <w:p>
      <w:pPr>
        <w:pStyle w:val="Heading5"/>
        <w:numPr>
          <w:ilvl w:val="4"/>
          <w:numId w:val="1"/>
        </w:numPr>
        <w:rPr/>
      </w:pPr>
      <w:bookmarkStart w:id="171" w:name="__RefHeading___Toc3734398_1280447820"/>
      <w:bookmarkStart w:id="172" w:name="_Toc65"/>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قد وقع الخلاف بين الأعلام في هذا المرام، فالأكثر على الثبوت، وذهب بعضهم إلى عدمه</w:t>
      </w:r>
      <w:r>
        <w:rPr>
          <w:rStyle w:val="FootnoteAnchor"/>
          <w:rtl w:val="true"/>
        </w:rPr>
        <w:footnoteReference w:id="206"/>
      </w:r>
      <w:r>
        <w:rPr>
          <w:rFonts w:ascii="Amiri" w:hAnsi="Amiri" w:eastAsia="Amiri" w:cs="Amiri"/>
          <w:color w:val="111111"/>
          <w:sz w:val="28"/>
          <w:sz w:val="28"/>
          <w:szCs w:val="28"/>
          <w:rtl w:val="true"/>
          <w:lang w:bidi="ar-SA"/>
        </w:rPr>
        <w:t>، ونحن نذكر محلّ النزاع اقتفاء</w:t>
      </w:r>
      <w:r>
        <w:rPr>
          <w:rStyle w:val="FootnoteAnchor"/>
          <w:rtl w:val="true"/>
        </w:rPr>
        <w:footnoteReference w:id="207"/>
      </w:r>
      <w:r>
        <w:rPr>
          <w:rFonts w:ascii="Amiri" w:hAnsi="Amiri" w:eastAsia="Amiri" w:cs="Amiri"/>
          <w:color w:val="111111"/>
          <w:sz w:val="28"/>
          <w:sz w:val="28"/>
          <w:szCs w:val="28"/>
          <w:rtl w:val="true"/>
          <w:lang w:bidi="ar-SA"/>
        </w:rPr>
        <w:t>بغير واحد من الأعلام، ثمّ نتعرّض إلى تحقيق الحقّ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تلك الألفاظ كانت حقيقة عند أهل اللغة في معاني، وأنّه قد ثبت استعمال الشارع إيّاها في المعاني الشرعيّة، وأنّها بلغت حدّ الحقيقة عند المتشرّعة في تلك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أنّ استعمال الشارع إيّاها لأجل وضعها بإزائها، أو لا؟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بطريق الحقيقة أو المجاز؟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المصحّح في استعمالات الشارع أهو الوضع، أم العلاقة؟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تقريرهم محلّ النزاع على النحو المذكور ما أشرنا إليه سابقًا من عدم تحقّق اللفظ المخترع في تلك الألفاظ وانتفاء معنى غير مناسب، وإلّا لم يتصوّر </w:t>
      </w:r>
      <w:bookmarkStart w:id="173" w:name="pg16224_170414"/>
    </w:p>
    <w:p>
      <w:pPr>
        <w:pStyle w:val="BookText"/>
        <w:rPr/>
      </w:pPr>
      <w:bookmarkEnd w:id="173"/>
      <w:r>
        <w:rPr>
          <w:rFonts w:ascii="Amiri" w:hAnsi="Amiri" w:eastAsia="Amiri" w:cs="Amiri"/>
          <w:color w:val="111111"/>
          <w:sz w:val="28"/>
          <w:sz w:val="28"/>
          <w:szCs w:val="28"/>
          <w:rtl w:val="true"/>
          <w:lang w:bidi="ar-SA"/>
        </w:rPr>
        <w:t>احتمال التجوّز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ذكروا في المقام من تحقّق المعاني لتلك الألفاظ في اللغة وبلوغها حقيقة عرفيّة في المعاني المستحدثة عند أهل الشرع ممّا لا شبهة فيه ولا نزاع، وأمّا استعمال الشارع إيّاها فيها، فهو وإن كان مقطوعًا به أيضًا، لكنّه ليس كما يفهم من كلماتهم عدم الخلاف فيه؛ لما سيجيء من إنكار القاضي</w:t>
      </w:r>
      <w:r>
        <w:rPr>
          <w:rStyle w:val="FootnoteAnchor"/>
          <w:rtl w:val="true"/>
        </w:rPr>
        <w:footnoteReference w:id="208"/>
      </w:r>
      <w:r>
        <w:rPr>
          <w:rFonts w:ascii="Amiri" w:hAnsi="Amiri" w:eastAsia="Amiri" w:cs="Amiri"/>
          <w:color w:val="111111"/>
          <w:sz w:val="28"/>
          <w:sz w:val="28"/>
          <w:szCs w:val="28"/>
          <w:rtl w:val="true"/>
          <w:lang w:bidi="ar-SA"/>
        </w:rPr>
        <w:t>ذلك، وادّعائه</w:t>
      </w:r>
      <w:r>
        <w:rPr>
          <w:rStyle w:val="FootnoteAnchor"/>
          <w:rtl w:val="true"/>
        </w:rPr>
        <w:footnoteReference w:id="209"/>
      </w:r>
      <w:r>
        <w:rPr>
          <w:rFonts w:ascii="Amiri" w:hAnsi="Amiri" w:eastAsia="Amiri" w:cs="Amiri"/>
          <w:color w:val="111111"/>
          <w:sz w:val="28"/>
          <w:sz w:val="28"/>
          <w:szCs w:val="28"/>
          <w:rtl w:val="true"/>
          <w:lang w:bidi="ar-SA"/>
        </w:rPr>
        <w:t>أنّ استعمال الشارع إنّما هو في المعاني اللغويّة</w:t>
      </w:r>
      <w:r>
        <w:rPr>
          <w:rStyle w:val="FootnoteAnchor"/>
          <w:rtl w:val="true"/>
        </w:rPr>
        <w:footnoteReference w:id="210"/>
      </w:r>
      <w:r>
        <w:rPr>
          <w:rFonts w:ascii="Amiri" w:hAnsi="Amiri" w:eastAsia="Amiri" w:cs="Amiri"/>
          <w:color w:val="111111"/>
          <w:sz w:val="28"/>
          <w:sz w:val="28"/>
          <w:szCs w:val="28"/>
          <w:rtl w:val="true"/>
          <w:lang w:bidi="ar-SA"/>
        </w:rPr>
        <w:t>على نحو يجيء إليه الإشارة</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3734400_1280447820"/>
      <w:bookmarkStart w:id="175" w:name="_Toc66"/>
      <w:bookmarkEnd w:id="174"/>
      <w:r>
        <w:rPr>
          <w:rtl w:val="true"/>
        </w:rPr>
        <w:t>تنبيهٌ نبيه</w:t>
      </w:r>
      <w:bookmarkEnd w:id="175"/>
    </w:p>
    <w:p>
      <w:pPr>
        <w:pStyle w:val="BookText"/>
        <w:rPr/>
      </w:pPr>
      <w:r>
        <w:rPr>
          <w:rFonts w:ascii="Amiri" w:hAnsi="Amiri" w:eastAsia="Amiri" w:cs="Amiri"/>
          <w:color w:val="111111"/>
          <w:sz w:val="28"/>
          <w:sz w:val="28"/>
          <w:szCs w:val="28"/>
          <w:rtl w:val="true"/>
          <w:lang w:bidi="ar-SA"/>
        </w:rPr>
        <w:t>تنبيهٌ نبيه</w:t>
      </w:r>
      <w:r>
        <w:rPr>
          <w:rStyle w:val="FootnoteAnchor"/>
          <w:rtl w:val="true"/>
        </w:rPr>
        <w:footnoteReference w:id="21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المعروف من أئمّة الأصول من العامّة والخاصّة أنّ نزاعهم هنا يرجع إلى الإيجاب والسلب الكلّيّين بأنّ المثبت للحقيقة الشرعيّة يدّعي ثبوتها في جميع الألفاظ، والنافي لها يدّعي نفيها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بعد دعوى الاتّفاق على إمكان الحقيقة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النزاع في وقوعها، فمنعه القاضي أبو بكر مطلقًا، وجوّزه المعتزلة مطلقًا، ثمّ قسّم المعتزلة والخوارج وبعض الفقهاء الأسماء الشرعيّة إلى ما أجريت على الأفعال، كالصلاة والصوم والزكاة والحجّ وغيرها، وإلى ما أجريت على الفاعلين، كالمؤمن والفاسق والكافر؛ وسمّوا الأخير بالدينيّة، فرقًا بينها وبين الأوّل</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الشرعيّة واقعة خلافًا للقاضي</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العضديّ بعد تقرير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يذكر في الإحكام والمحصول سوى مذهبين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حقيقة شرعيّة ونسبه إلى المعتزلة؛ ونفيه ونسبه إلى القاضي، والحقّ أنّه لا ثالث لهما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ممّا ذكر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المثبتين يرجع إلى الإيجاب الكلّي، والنافين إلى السلب كذلك؛ إذ لو لم يكن مرادهم ذلك لكان كلّ من المثبتين والنافين قائلًا بثبوتها ونفيها في الجملة، فحينئذٍ يلزم أن تكون نسبة القول بالثبوت إلى طائفة والنفي إلى أخرى فاسدة كما لا يخفى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وأظهر من ذلك في أنّ مرادهم الإيجاب والسلب الكلّيّان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ذكروا في تحرير محلّ النزاع من أنّ النزاع أنّ الألفاظ المتداولة على لسان أهل الشرع الّتي بلغت حدّ </w:t>
      </w:r>
      <w:bookmarkStart w:id="176" w:name="pg16224_170416"/>
    </w:p>
    <w:p>
      <w:pPr>
        <w:pStyle w:val="BookText"/>
        <w:rPr/>
      </w:pPr>
      <w:bookmarkEnd w:id="176"/>
      <w:r>
        <w:rPr>
          <w:rFonts w:ascii="Amiri" w:hAnsi="Amiri" w:eastAsia="Amiri" w:cs="Amiri"/>
          <w:color w:val="111111"/>
          <w:sz w:val="28"/>
          <w:sz w:val="28"/>
          <w:szCs w:val="28"/>
          <w:rtl w:val="true"/>
          <w:lang w:bidi="ar-SA"/>
        </w:rPr>
        <w:t>الحقيقة عندهم قطعًا في أنّ صيرورتها حقائق أهو بوضع الشارع إيّاها بإزائها فتكون حقيقة شرعيّة، أو لا فتكون حقيقة متشرّعة كما تقدّم؟ ووجه الأظهريّة ظاهر</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3734402_1280447820"/>
      <w:bookmarkStart w:id="178" w:name="_Toc67"/>
      <w:bookmarkEnd w:id="177"/>
      <w:r>
        <w:rPr>
          <w:rtl w:val="true"/>
        </w:rPr>
        <w:t>تفصيل جمعٍ من متأخّري الأصحاب في المسألة</w:t>
      </w:r>
      <w:bookmarkEnd w:id="178"/>
    </w:p>
    <w:p>
      <w:pPr>
        <w:pStyle w:val="BookText"/>
        <w:rPr/>
      </w:pPr>
      <w:r>
        <w:rPr>
          <w:rFonts w:ascii="Amiri" w:hAnsi="Amiri" w:eastAsia="Amiri" w:cs="Amiri"/>
          <w:color w:val="111111"/>
          <w:sz w:val="28"/>
          <w:sz w:val="28"/>
          <w:szCs w:val="28"/>
          <w:rtl w:val="true"/>
          <w:lang w:bidi="ar-SA"/>
        </w:rPr>
        <w:t>وجَمَعَ جَمْعٌ من متأخّري الأصحاب بين القولين، فقالوا بالثبوت في بعض الألفاظ، وهو الّذي يكثر دورانه في كلام الشارع، كلفظ الصلاة والزكاة والصوم والحجّ والوضوء والغسل والتيمّم والنكاح والطلاق وأشباهها؛ وبالنفي في أخرى</w:t>
      </w:r>
      <w:r>
        <w:rPr>
          <w:rStyle w:val="FootnoteAnchor"/>
          <w:rtl w:val="true"/>
        </w:rPr>
        <w:footnoteReference w:id="215"/>
      </w:r>
      <w:r>
        <w:rPr>
          <w:rFonts w:ascii="Amiri" w:hAnsi="Amiri" w:eastAsia="Amiri" w:cs="Amiri"/>
          <w:color w:val="111111"/>
          <w:sz w:val="28"/>
          <w:sz w:val="28"/>
          <w:szCs w:val="28"/>
          <w:rtl w:val="true"/>
          <w:lang w:bidi="ar-SA"/>
        </w:rPr>
        <w:t>، وهو ما لم يكن كذلك، كالخلع والمبارات والإيلاء واللعان وما ضاهاها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المقتضي لتحقّق الوضع الكثرة والاشتهار، فالحكم بثبوت الوضع متوقّف على العلم بتحقّقهما</w:t>
      </w:r>
      <w:r>
        <w:rPr>
          <w:rStyle w:val="FootnoteAnchor"/>
          <w:rtl w:val="true"/>
        </w:rPr>
        <w:footnoteReference w:id="217"/>
      </w:r>
      <w:r>
        <w:rPr>
          <w:rFonts w:ascii="Amiri" w:hAnsi="Amiri" w:eastAsia="Amiri" w:cs="Amiri"/>
          <w:color w:val="111111"/>
          <w:sz w:val="28"/>
          <w:sz w:val="28"/>
          <w:szCs w:val="28"/>
          <w:rtl w:val="true"/>
          <w:lang w:bidi="ar-SA"/>
        </w:rPr>
        <w:t>، وهو منحصرٌ في القسم الأوّل؛ إذ غيره إمّا علم عدم تحقّق الكثرة فيه، أو اشتبه حاله، وعلى التقديرين لا يمكن الحكم بثبوت الوضع، أمّا على الأوّل فظاهر؛ لأنّ تحقّق المقتضى مع انتفاء المقتضي ممّا لا يعقل، وأمّا على الثاني؛ فلأنّ الشكّ في المقتضي يوجب الشكّ في المقتضى، ومع الشكّ لا يمكن رفع اليد عن وضع اللغة الّذي كان معلومًا؛ لعدم جواز نقض اليقين بالشكّ أبدًا</w:t>
      </w:r>
      <w:r>
        <w:rPr>
          <w:rFonts w:eastAsia="Amiri" w:cs="Amiri" w:ascii="Amiri" w:hAnsi="Amiri"/>
          <w:color w:val="111111"/>
          <w:sz w:val="28"/>
          <w:szCs w:val="28"/>
          <w:rtl w:val="true"/>
          <w:lang w:bidi="ar-SA"/>
        </w:rPr>
        <w:t xml:space="preserve">. </w:t>
      </w:r>
      <w:bookmarkStart w:id="179" w:name="pg16224_170417"/>
    </w:p>
    <w:p>
      <w:pPr>
        <w:pStyle w:val="Heading5"/>
        <w:numPr>
          <w:ilvl w:val="4"/>
          <w:numId w:val="1"/>
        </w:numPr>
        <w:rPr/>
      </w:pPr>
      <w:bookmarkStart w:id="180" w:name="__RefHeading___Toc3734404_1280447820"/>
      <w:bookmarkStart w:id="181" w:name="_Toc68"/>
      <w:bookmarkEnd w:id="179"/>
      <w:bookmarkEnd w:id="180"/>
      <w:r>
        <w:rPr>
          <w:rtl w:val="true"/>
        </w:rPr>
        <w:t>وجوه النظر في القول بالتفصيل</w:t>
      </w:r>
      <w:bookmarkEnd w:id="181"/>
    </w:p>
    <w:p>
      <w:pPr>
        <w:pStyle w:val="Heading6"/>
        <w:numPr>
          <w:ilvl w:val="5"/>
          <w:numId w:val="1"/>
        </w:numPr>
        <w:rPr/>
      </w:pPr>
      <w:bookmarkStart w:id="182" w:name="__RefHeading___Toc3734406_1280447820"/>
      <w:bookmarkStart w:id="183" w:name="_Toc69"/>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وفيه نظر من وجوه</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3734408_1280447820"/>
      <w:bookmarkStart w:id="185" w:name="_Toc70"/>
      <w:bookmarkEnd w:id="184"/>
      <w:r>
        <w:rPr>
          <w:rtl w:val="true"/>
        </w:rPr>
        <w:t>الوجه الأوّل</w:t>
      </w:r>
      <w:bookmarkEnd w:id="18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حاصل الاستدلال يرجع إلى أنّه لو كانت</w:t>
      </w:r>
      <w:r>
        <w:rPr>
          <w:rStyle w:val="FootnoteAnchor"/>
          <w:rtl w:val="true"/>
        </w:rPr>
        <w:footnoteReference w:id="218"/>
      </w:r>
      <w:r>
        <w:rPr>
          <w:rFonts w:ascii="Amiri" w:hAnsi="Amiri" w:eastAsia="Amiri" w:cs="Amiri"/>
          <w:color w:val="111111"/>
          <w:sz w:val="28"/>
          <w:sz w:val="28"/>
          <w:szCs w:val="28"/>
          <w:rtl w:val="true"/>
          <w:lang w:bidi="ar-SA"/>
        </w:rPr>
        <w:t>الحقيقة الشرعيّة ثابتة في جميع الألفاظ، يلزم أن يتحقّق الغلبة والاشتهار فيها، والتالي باطل لما تقدّم،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بطلان التالي، لكنّ الملازمة ممنوعة؛ لأنّ ذلك إنّما يتمّ إذا كان طريق ثبوت الحقيقة منحصرًا في الوضع التعيّني، أو كان الموجب والمقتضي لثبوت الحقيقة الشرعيّة منحصرًا فيما ذكر، إذ الحكم بثبوت الحقيقة الشرعيّة بعنوان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تسليم انحصار الموجب فيما ذكر وانتفائه في بعض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فساده، لكنّه غير مسلّم؛ إذ ثبوت الوضع كما يمكن أن يكون بالغلبة والاشتهار، يمكن أن يكون بغير</w:t>
      </w:r>
      <w:r>
        <w:rPr>
          <w:rStyle w:val="FootnoteAnchor"/>
          <w:rtl w:val="true"/>
        </w:rPr>
        <w:footnoteReference w:id="219"/>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انحصار طريق ثبوت مطلق الوضع فيما ذكر وإن كان مسلّمًا، لكن في خصوص الحقيقة الشرعيّة ما يمنع القول بأن يكون الوضع بغيره، بناءً على أنّ تلك الألفاظ كانت حقائق لغويّة في المعاني اللغويّة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رفع اليد عن ذلك؛ لأصالة عدم النقل والتغيّر، إلّا بعد العلم </w:t>
      </w:r>
      <w:bookmarkStart w:id="186" w:name="pg16224_170418"/>
    </w:p>
    <w:p>
      <w:pPr>
        <w:pStyle w:val="BookText"/>
        <w:rPr/>
      </w:pPr>
      <w:bookmarkEnd w:id="186"/>
      <w:r>
        <w:rPr>
          <w:rFonts w:ascii="Amiri" w:hAnsi="Amiri" w:eastAsia="Amiri" w:cs="Amiri"/>
          <w:color w:val="111111"/>
          <w:sz w:val="28"/>
          <w:sz w:val="28"/>
          <w:szCs w:val="28"/>
          <w:rtl w:val="true"/>
          <w:lang w:bidi="ar-SA"/>
        </w:rPr>
        <w:t>بخلافه، وهو إنّما يتحقّق في الألفاظ الّتي تحقّقت الغلبة والاشتهار فيها، لا في غيرها؛ لأنّ طريق ثبوت الوضع منحصرٌ في الوضع التعيينيّ والتعيّنيّ، والمفروض عدم تحقّق الثاني، وأمّا الأوّل فهو أيضًا غير معلوم، وإلّا لم يتحقّق الخلاف؛ ولأنّ ذلك لم يصل إلينا بنقل يمكن التعويل عليه، فمقتضى الأصل بقاء المعاني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المفصّل يرجع إلى منع ثبوت مقتضى الوضع في جميع الألفاظ على ما مرّ، فمقابلته بالمنع غير مستحسنة عند النظّار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وإن كان حقًّا، لكن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أنّا ندّعي ثبوت الوضع في جميع الألفاظ وأنّ الثبوت غير منحصر في الوضع التعيّنيّ، وسيجيء البرهان والكلام عليه مفصّلًا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فرض تسليم بطلان التالي ومنع الملازمة، ولك أن تمنع بطلانه بناءً على أنّ نصب</w:t>
      </w:r>
      <w:r>
        <w:rPr>
          <w:rStyle w:val="FootnoteAnchor"/>
          <w:rtl w:val="true"/>
        </w:rPr>
        <w:footnoteReference w:id="220"/>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لترويج الشريعة وتبليغ الأحكام بالنسبة إلى جميع العباد والبلدان، وحصوله مع عدم تحقّق الكثرة في الاستعمال بعيدٌ جدًّا، فتأمّل</w:t>
      </w:r>
      <w:r>
        <w:rPr>
          <w:rFonts w:eastAsia="IRNazanin" w:cs="IRNazanin"/>
          <w:color w:val="111111"/>
          <w:sz w:val="28"/>
          <w:szCs w:val="28"/>
          <w:rtl w:val="true"/>
          <w:lang w:bidi="fa-IR"/>
        </w:rPr>
        <w:t>.</w:t>
      </w:r>
    </w:p>
    <w:p>
      <w:pPr>
        <w:pStyle w:val="Heading6"/>
        <w:numPr>
          <w:ilvl w:val="5"/>
          <w:numId w:val="1"/>
        </w:numPr>
        <w:rPr/>
      </w:pPr>
      <w:bookmarkStart w:id="187" w:name="__RefHeading___Toc3734410_1280447820"/>
      <w:bookmarkStart w:id="188" w:name="_Toc71"/>
      <w:bookmarkEnd w:id="187"/>
      <w:r>
        <w:rPr>
          <w:rtl w:val="true"/>
        </w:rPr>
        <w:t>الوجه الثاني</w:t>
      </w:r>
      <w:bookmarkEnd w:id="18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أنّهم ذكروا أنّ الثمرة المترتّبة على ثبوت 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المعاني الشرعيّة عند ورودها في كلام الشارع مجرّدة عن القرينة، وهي مع التفصيل المذكور وكون الوضع الشرعيّ بالغلبة والكثرة غير ممكنة غالبًا؛ لوضوح أنّ تحقّقها حينئذٍ متوقّفٌ على معلوميّة تلك الألفاظ الّتي تحقّقت فيها الغلبة ومعلوميّة الزمان </w:t>
      </w:r>
      <w:bookmarkStart w:id="189" w:name="pg16224_170419"/>
    </w:p>
    <w:p>
      <w:pPr>
        <w:pStyle w:val="BookText"/>
        <w:rPr/>
      </w:pPr>
      <w:bookmarkEnd w:id="189"/>
      <w:r>
        <w:rPr>
          <w:rFonts w:ascii="Amiri" w:hAnsi="Amiri" w:eastAsia="Amiri" w:cs="Amiri"/>
          <w:color w:val="111111"/>
          <w:sz w:val="28"/>
          <w:sz w:val="28"/>
          <w:szCs w:val="28"/>
          <w:rtl w:val="true"/>
          <w:lang w:bidi="ar-SA"/>
        </w:rPr>
        <w:t>الّذي تحقّقت فيه؛ لأنّ الغلبة والاشتهار يفتقران إلى زمان ممتدّ حتّى يحصل الاشتهار بتكرّر الاستعمال، وهما غير معلومين، ولم يتكلّم أحدٌ بتعيينهما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إمكان العلم بالنسبة إلى الألفاظ يبقى الكلام في الأزمان، والظاهر انسداد باب العلم بالنسبة إليه، ومع عدمه لا يمكن تحقّق الثمرة المذكورة؛ لاحتمال أن تكون الأخبار المتضمّنة لتلك الألفاظ صادرة قبل ذلك الزمان، فلا يمكن الحمل على تلك المعاني عند فقد القرينة والبيان، إلّا بالنسبة إلى أخبار علم صدورها في أواخر زمان الشارع، وهي نادرة جدًّا، بخلاف ما إذا لم يكن الأمر كذلك، وسيجيء الكلام فيه على التفصيل بالاستمداد من الله الموفّق الجليل</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3734412_1280447820"/>
      <w:bookmarkStart w:id="191" w:name="_Toc72"/>
      <w:bookmarkEnd w:id="190"/>
      <w:r>
        <w:rPr>
          <w:rtl w:val="true"/>
        </w:rPr>
        <w:t>الوجه الثالث</w:t>
      </w:r>
      <w:bookmarkEnd w:id="191"/>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أنّك قد عرفت أنّ العلماء في الحقيقة الشرعيّة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ثبوتها مطلقًا، ونفيها كذلك، فمن قال بالثبوت قال به في جميع الألفاظ، ومن قال بالنفي قال به كذلك، والتفصيل قول ثالث حدث في هذه الأعصار، يدفعه الإجماع المركّب</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تأمّل؛ لأنّ عدم جواز مخالفة مثل هذا الإجماع في أمثال هذه المقامات بعد دلالة البرهان منظورٌ فيه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تمسّكوا به في إثباتها الاستقراء، وهو عبارة عن تتبّع موارد استعمالات الشارع بحيث حصل الظنّ بالاشتهار والكثرة؛ ومعلوم أنّ ذلك إنّما </w:t>
      </w:r>
      <w:bookmarkStart w:id="192" w:name="pg16224_170420"/>
    </w:p>
    <w:p>
      <w:pPr>
        <w:pStyle w:val="BookText"/>
        <w:rPr/>
      </w:pPr>
      <w:bookmarkEnd w:id="192"/>
      <w:r>
        <w:rPr>
          <w:rFonts w:ascii="Amiri" w:hAnsi="Amiri" w:eastAsia="Amiri" w:cs="Amiri"/>
          <w:color w:val="111111"/>
          <w:sz w:val="28"/>
          <w:sz w:val="28"/>
          <w:szCs w:val="28"/>
          <w:rtl w:val="true"/>
          <w:lang w:bidi="ar-SA"/>
        </w:rPr>
        <w:t>يمكن في الألفاظ الكثيرة الدوران، لا مطلقًا، فيلزمهم القول على التفصيل المذكور وإن لم يصرّحوا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المثبتين غير منحصر في الاستقراء، فلا يضرّ أخصّيّة بعض الأدلّة من المدّعى بعد وجود غيره ممّا يفيد تمامه، وستقف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التقرير في الاستقراء غير منحصر فيما ذكر، بل له تقرير آخر أيضًا يعمّ جميع الألفاظ كما سيجيء إن شاء الله تعالى، فالتفصيل المذكور غير صحيح</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3734414_1280447820"/>
      <w:bookmarkStart w:id="194" w:name="_Toc73"/>
      <w:bookmarkEnd w:id="193"/>
      <w:r>
        <w:rPr>
          <w:rtl w:val="true"/>
        </w:rPr>
        <w:t>رأي المصنّف في المسألة</w:t>
      </w:r>
      <w:bookmarkEnd w:id="19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قد ثبت بطلانه، تعيّن الأمر في الإيجاب والسلب الكلّيّين، فينبغي التكلّم عليهما،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Style w:val="FootnoteAnchor"/>
          <w:rtl w:val="true"/>
        </w:rPr>
        <w:footnoteReference w:id="222"/>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bookmarkStart w:id="195" w:name="pg16224_170421"/>
    </w:p>
    <w:p>
      <w:pPr>
        <w:pStyle w:val="Heading5"/>
        <w:numPr>
          <w:ilvl w:val="4"/>
          <w:numId w:val="1"/>
        </w:numPr>
        <w:rPr/>
      </w:pPr>
      <w:bookmarkStart w:id="196" w:name="__RefHeading___Toc3734416_1280447820"/>
      <w:bookmarkStart w:id="197" w:name="_Toc74"/>
      <w:bookmarkEnd w:id="195"/>
      <w:bookmarkEnd w:id="196"/>
      <w:r>
        <w:rPr>
          <w:rtl w:val="true"/>
        </w:rPr>
        <w:t>متمسّك المثبتين للحقيقة الشرعيّة</w:t>
      </w:r>
      <w:bookmarkEnd w:id="197"/>
    </w:p>
    <w:p>
      <w:pPr>
        <w:pStyle w:val="Heading6"/>
        <w:numPr>
          <w:ilvl w:val="5"/>
          <w:numId w:val="1"/>
        </w:numPr>
        <w:rPr/>
      </w:pPr>
      <w:bookmarkStart w:id="198" w:name="__RefHeading___Toc3734418_1280447820"/>
      <w:bookmarkStart w:id="199" w:name="_Toc75"/>
      <w:bookmarkEnd w:id="198"/>
      <w:r>
        <w:rPr>
          <w:rtl w:val="true"/>
        </w:rPr>
        <w:t>الدليل الأوّل</w:t>
      </w:r>
      <w:bookmarkEnd w:id="199"/>
    </w:p>
    <w:p>
      <w:pPr>
        <w:pStyle w:val="Heading6"/>
        <w:numPr>
          <w:ilvl w:val="5"/>
          <w:numId w:val="1"/>
        </w:numPr>
        <w:rPr/>
      </w:pPr>
      <w:bookmarkStart w:id="200" w:name="__RefHeading___Toc3734420_1280447820"/>
      <w:bookmarkStart w:id="201" w:name="_Toc76"/>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 xml:space="preserve">واستدلّ على ذلك بأنّا نقطع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للركعات المخصوصة بما فيها من الأقوال والهيئات، وأنّ صلاة الظهر أربع ركعات بالإجماع،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لأداء مال مخصوص،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لإمساك مخصوص،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لقصد مخصوص؛ وأنّها سابقة منها متبادرة إلى الفهم عند إطلاقها، وهي علامة الحقيقة بعد أن كانت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للدعاء،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للنماء،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للإمساك مطلقًا، وهذا لم يحصل إلّا بتصرّف الشارع ونقله لها إليها، وهو معنى الحقيقة الشرعيّة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2" w:name="__RefHeading___Toc3734422_1280447820"/>
      <w:bookmarkStart w:id="203" w:name="_Toc77"/>
      <w:bookmarkEnd w:id="202"/>
      <w:r>
        <w:rPr>
          <w:rtl w:val="true"/>
        </w:rPr>
        <w:t>وجوه النظر في استدلال المثبتين</w:t>
      </w:r>
      <w:bookmarkEnd w:id="203"/>
    </w:p>
    <w:p>
      <w:pPr>
        <w:pStyle w:val="Heading6"/>
        <w:numPr>
          <w:ilvl w:val="5"/>
          <w:numId w:val="1"/>
        </w:numPr>
        <w:rPr/>
      </w:pPr>
      <w:bookmarkStart w:id="204" w:name="__RefHeading___Toc3734424_1280447820"/>
      <w:bookmarkStart w:id="205" w:name="_Toc78"/>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وفيه نظر من وجوه</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3734426_1280447820"/>
      <w:bookmarkStart w:id="207" w:name="_Toc79"/>
      <w:bookmarkEnd w:id="206"/>
      <w:r>
        <w:rPr>
          <w:rtl w:val="true"/>
        </w:rPr>
        <w:t>الوجه الأوّل</w:t>
      </w:r>
      <w:bookmarkEnd w:id="20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اسم للركعات المخصوصة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يغني 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فيها من الأقوال والهيئات</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3734428_1280447820"/>
      <w:bookmarkStart w:id="209" w:name="_Toc80"/>
      <w:bookmarkEnd w:id="208"/>
      <w:r>
        <w:rPr>
          <w:rtl w:val="true"/>
        </w:rPr>
        <w:t>الوجه الثاني</w:t>
      </w:r>
      <w:bookmarkEnd w:id="20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اسم للركعات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عدم كونها اسمًا لركعة أو </w:t>
      </w:r>
      <w:bookmarkStart w:id="210" w:name="pg16224_170422"/>
    </w:p>
    <w:p>
      <w:pPr>
        <w:pStyle w:val="BookText"/>
        <w:rPr/>
      </w:pPr>
      <w:bookmarkEnd w:id="210"/>
      <w:r>
        <w:rPr>
          <w:rFonts w:ascii="Amiri" w:hAnsi="Amiri" w:eastAsia="Amiri" w:cs="Amiri"/>
          <w:color w:val="111111"/>
          <w:sz w:val="28"/>
          <w:sz w:val="28"/>
          <w:szCs w:val="28"/>
          <w:rtl w:val="true"/>
          <w:lang w:bidi="ar-SA"/>
        </w:rPr>
        <w:t xml:space="preserve">ركعتين، فيلزم أن لا يكون 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الوتر وصلاة الصبح حقيقة، وهو فاسد</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3734430_1280447820"/>
      <w:bookmarkStart w:id="212" w:name="_Toc81"/>
      <w:bookmarkEnd w:id="211"/>
      <w:r>
        <w:rPr>
          <w:rtl w:val="true"/>
        </w:rPr>
        <w:t>الجواب عن الوجهين</w:t>
      </w:r>
      <w:bookmarkEnd w:id="212"/>
    </w:p>
    <w:p>
      <w:pPr>
        <w:pStyle w:val="BookText"/>
        <w:rPr/>
      </w:pPr>
      <w:r>
        <w:rPr>
          <w:rFonts w:ascii="Amiri" w:hAnsi="Amiri" w:eastAsia="Amiri" w:cs="Amiri"/>
          <w:color w:val="111111"/>
          <w:sz w:val="28"/>
          <w:sz w:val="28"/>
          <w:szCs w:val="28"/>
          <w:rtl w:val="true"/>
          <w:lang w:bidi="ar-SA"/>
        </w:rPr>
        <w:t>ويمكن الجواب عنهما</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الركعات الأركان إطلاقًا لاسم الكلّ على الجزء، ويكون المراد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Style w:val="FootnoteAnchor"/>
          <w:rtl w:val="true"/>
        </w:rPr>
        <w:footnoteReference w:id="225"/>
      </w:r>
      <w:r>
        <w:rPr>
          <w:rFonts w:ascii="Amiri" w:hAnsi="Amiri" w:eastAsia="Amiri" w:cs="Amiri"/>
          <w:color w:val="111111"/>
          <w:sz w:val="28"/>
          <w:sz w:val="28"/>
          <w:szCs w:val="28"/>
          <w:rtl w:val="true"/>
          <w:lang w:bidi="ar-SA"/>
        </w:rPr>
        <w:t>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يتعلّق بها، أعمّ من أن يكون فيها أو بينها أو بعدها</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3734432_1280447820"/>
      <w:bookmarkStart w:id="214" w:name="_Toc82"/>
      <w:bookmarkEnd w:id="213"/>
      <w:r>
        <w:rPr>
          <w:rtl w:val="true"/>
        </w:rPr>
        <w:t>الوجه الثالث مع الجواب عنه</w:t>
      </w:r>
      <w:bookmarkEnd w:id="214"/>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المذكور يتضمّن ثلاث مقدّمات،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نقطع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للركعات،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المعاني الشرعيّة متبادرة من تلك الألفاظ،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لم يحصل إلّا بتصرّف الشارع</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إمّا أن يكون المراد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للركعات، أنّها حقيقة فيها كما هو الظاهر من العبارة، أو مستعملة فيها، فإن كان المراد الأوّل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إمّا أن يكون المراد أنّها حقيقة فيها في زمان الشارع، أو في زمان المتشرّعة، وعلى الأوّل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لا يخفى فساده؛ لكونه مصادرة على المطلوب، وأيضًا يلزم حينئذٍ استدراك المقدّمة الثانية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الثاني</w:t>
      </w:r>
      <w:r>
        <w:rPr>
          <w:rStyle w:val="FootnoteAnchor"/>
          <w:rtl w:val="true"/>
        </w:rPr>
        <w:footnoteReference w:id="226"/>
      </w:r>
      <w:r>
        <w:rPr>
          <w:rFonts w:ascii="Amiri" w:hAnsi="Amiri" w:eastAsia="Amiri" w:cs="Amiri"/>
          <w:color w:val="111111"/>
          <w:sz w:val="28"/>
          <w:sz w:val="28"/>
          <w:szCs w:val="28"/>
          <w:rtl w:val="true"/>
          <w:lang w:bidi="ar-SA"/>
        </w:rPr>
        <w:t>لا يخلو إمّا أن يكون المراد من سبق المعاني الشرعيّة من تلك الألفاظ الّذي هو مدلول المقدّمة الثانية، سبقها في زمان الشارع أو المتشرّعة، والأوّل مع كونه في محلّ المنع مستلزم لاستدراك المقدّمة الأولى كما لا يخفى، والثاني فهو وإن كان مسلّمًا، لكنّ التشبّث به ممّا لا فائدة فيه؛ إذ ثبوت الحقيقة المتشرّعة في تلك الألفاظ ممّا لا نزاع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بعد الإغماض عمّا ذكر لا يتمّ المطلوب؛ إذ حاصل الاستدلال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القطع بثبوت الحقيقة المتشرّعة وبسبق تلك المعاني منها عندهم وأنّ ذلك لم يحصل إلّا بتصرّف الشارع،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وإن كان مسلّمًا، لكن لا يلزم منه الحقيقة الشرعيّة؛ لجواز أن يكون تصرّف الشارع على سبيل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الثاني</w:t>
      </w:r>
      <w:r>
        <w:rPr>
          <w:rStyle w:val="FootnoteAnchor"/>
          <w:rtl w:val="true"/>
        </w:rPr>
        <w:footnoteReference w:id="227"/>
      </w:r>
      <w:r>
        <w:rPr>
          <w:rFonts w:ascii="Amiri" w:hAnsi="Amiri" w:eastAsia="Amiri" w:cs="Amiri"/>
          <w:color w:val="111111"/>
          <w:sz w:val="28"/>
          <w:sz w:val="28"/>
          <w:szCs w:val="28"/>
          <w:rtl w:val="true"/>
          <w:lang w:bidi="ar-SA"/>
        </w:rPr>
        <w:t>، نقول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الترديد في المقدّمة الثانية بحاله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سبق المعاني سبقها في زمان المتشرّعة، يرد عليه ما تقدّم من عدم تماميّة المطلوب؛ وإن كان المراد سبقها في زمان الشارع، يرد عليه أيضًا ما تقدّم من منع ذلك، ويرد عليهما أنّه يلزم حينئذٍ استدراك المقدّمة الأولى</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 في إثبات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شبهة في شدّة افتقار الصحابة في استعمال تلك الألفاظ في المعاني الشرعيّة، وهي موجبة لتحقّق كثرة الاستعمال </w:t>
      </w:r>
      <w:bookmarkStart w:id="215" w:name="pg16224_170424"/>
    </w:p>
    <w:p>
      <w:pPr>
        <w:pStyle w:val="BookText"/>
        <w:rPr/>
      </w:pPr>
      <w:bookmarkEnd w:id="215"/>
      <w:r>
        <w:rPr>
          <w:rFonts w:ascii="Amiri" w:hAnsi="Amiri" w:eastAsia="Amiri" w:cs="Amiri"/>
          <w:color w:val="111111"/>
          <w:sz w:val="28"/>
          <w:sz w:val="28"/>
          <w:szCs w:val="28"/>
          <w:rtl w:val="true"/>
          <w:lang w:bidi="ar-SA"/>
        </w:rPr>
        <w:t>بحيث تستلزم مهجوريّة المعاني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يمكن أن يقال به في جميع الألفاظ، فغاية ما يثبت منه القول بالتفصيل، وقد عرفت أنّ المدّعى العموم،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يلزم أن يكون الوضع في ذلك البعض بالتعيّن، فيرد عليه ما أشرنا إليه في ردّ القائل بالتفصيل</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3734434_1280447820"/>
      <w:bookmarkStart w:id="217" w:name="_Toc83"/>
      <w:bookmarkEnd w:id="216"/>
      <w:r>
        <w:rPr>
          <w:rtl w:val="true"/>
        </w:rPr>
        <w:t>الوجه الرابع مع الجواب عنه</w:t>
      </w:r>
      <w:bookmarkEnd w:id="217"/>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في المقام</w:t>
      </w:r>
      <w:r>
        <w:rPr>
          <w:rStyle w:val="FootnoteAnchor"/>
          <w:rtl w:val="true"/>
        </w:rPr>
        <w:footnoteReference w:id="229"/>
      </w:r>
      <w:r>
        <w:rPr>
          <w:rFonts w:ascii="Amiri" w:hAnsi="Amiri" w:eastAsia="Amiri" w:cs="Amiri"/>
          <w:color w:val="111111"/>
          <w:sz w:val="28"/>
          <w:sz w:val="28"/>
          <w:szCs w:val="28"/>
          <w:rtl w:val="true"/>
          <w:lang w:bidi="ar-SA"/>
        </w:rPr>
        <w:t>، وهو راجع إلى منع المقدّمة الأولى، وهو أنّ استعمال تلك الألفاظ في المعاني المستحدثة في زمان الشارع غير مسلّم، بل هي مستعملة عند الشارع في معانيها اللغويّة، والزيادات شروط لوقوعها عبادات معتبرة مقبولة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يدّعِ أحدٌ بأنّ التوجّه إلى القبلة والاحتراز عن النجاسة ونحوهما داخلٌ في مفهوم الصلاة، بل هي شرائط لوقوعها عبادات معتبرة شرعًا، كذا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 عند الشارع في المعنى اللغويّ، وهو الدعاء، وكونه مبتدأ بالتكبير ومختتمًا بالتسليم؛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على الكيفيّة المعلومة من شرائط وقوعه عبادة مقبولة شرعًا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استعمل في معناه اللغويّ، أي الإمساك، وكونه عن أشياء مخصوصة في وقت مخصوص شرط وقوعه مقبولًا شرعًا، وهكذا الأمر في غيرهما، فمفاد هذا الكلام أنّ تلك الألفاظ بالنسبة إلى معانيها </w:t>
      </w:r>
    </w:p>
    <w:p>
      <w:pPr>
        <w:pStyle w:val="BookText"/>
        <w:rPr/>
      </w:pPr>
      <w:r>
        <w:rPr>
          <w:rFonts w:ascii="Amiri" w:hAnsi="Amiri" w:eastAsia="Amiri" w:cs="Amiri"/>
          <w:color w:val="111111"/>
          <w:sz w:val="28"/>
          <w:sz w:val="28"/>
          <w:szCs w:val="28"/>
          <w:rtl w:val="true"/>
          <w:lang w:bidi="ar-SA"/>
        </w:rPr>
        <w:t>اللغويّة تقييد</w:t>
      </w:r>
      <w:r>
        <w:rPr>
          <w:rStyle w:val="FootnoteAnchor"/>
          <w:rtl w:val="true"/>
        </w:rPr>
        <w:footnoteReference w:id="230"/>
      </w:r>
      <w:r>
        <w:rPr>
          <w:rFonts w:ascii="Amiri" w:hAnsi="Amiri" w:eastAsia="Amiri" w:cs="Amiri"/>
          <w:color w:val="111111"/>
          <w:sz w:val="28"/>
          <w:sz w:val="28"/>
          <w:szCs w:val="28"/>
          <w:rtl w:val="true"/>
          <w:lang w:bidi="ar-SA"/>
        </w:rPr>
        <w:t>، بخلاف الأوّل، فإنّها بناءً عليه منقولة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بين القولين فيما إذا شكّ اشتراط العبادة بشيء بناءً على القول ببقائها في المعاني اللغويّة، وكونه من المعنى المنقول إليه بناءً على القول الآخر، فإنّه على الأوّل يدفع بالأصل، بناءً على أنّ ما لم يثبت الاشتراط به يكون الأصل عدمه، بخلافه على القول بالنقل، فإنّ المستعمل فيه لمّا كان من الأمور التوقيفيّة، فكلّ ما احتمل أنّه داخل في ذلك بحسب الإتيان به، وإلّا لم يحصل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يتحصّل المعنى المستعمل فيه، وأمّا إذا علم ذلك وشكّ في أمر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اشتراط ذلك المعنى بذلك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 بالأصل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 في المعنى اللغويّ عند الشارع، لزم أن لا يكون الأخرس المنفرد مصلّيًا أبدًا، والتالي باطل، فالمقدّم مثله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الشرطيّة 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Style w:val="FootnoteAnchor"/>
          <w:rtl w:val="true"/>
        </w:rPr>
        <w:footnoteReference w:id="232"/>
      </w:r>
      <w:r>
        <w:rPr>
          <w:rFonts w:ascii="Amiri" w:hAnsi="Amiri" w:eastAsia="Amiri" w:cs="Amiri"/>
          <w:color w:val="111111"/>
          <w:sz w:val="28"/>
          <w:sz w:val="28"/>
          <w:szCs w:val="28"/>
          <w:rtl w:val="true"/>
          <w:lang w:bidi="ar-SA"/>
        </w:rPr>
        <w:t xml:space="preserve">إمّا بمعنى الدعاء، كما فيما روي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دعي إلى طعام فليجب، وإن كان صائمًا فليصلّ</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فليدع لصاحب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الاتّباع، ومنه المصلّي</w:t>
      </w:r>
      <w:r>
        <w:rPr>
          <w:rStyle w:val="FootnoteAnchor"/>
          <w:rtl w:val="true"/>
        </w:rPr>
        <w:footnoteReference w:id="234"/>
      </w:r>
      <w:r>
        <w:rPr>
          <w:rFonts w:ascii="Amiri" w:hAnsi="Amiri" w:eastAsia="Amiri" w:cs="Amiri"/>
          <w:color w:val="111111"/>
          <w:sz w:val="28"/>
          <w:sz w:val="28"/>
          <w:szCs w:val="28"/>
          <w:rtl w:val="true"/>
          <w:lang w:bidi="ar-SA"/>
        </w:rPr>
        <w:t>في الحَلْبة</w:t>
      </w:r>
      <w:r>
        <w:rPr>
          <w:rStyle w:val="FootnoteAnchor"/>
          <w:rtl w:val="true"/>
        </w:rPr>
        <w:footnoteReference w:id="235"/>
      </w:r>
      <w:r>
        <w:rPr>
          <w:rFonts w:ascii="IRNazanin" w:hAnsi="IRNazanin" w:eastAsia="IRNazanin"/>
          <w:color w:val="111111"/>
          <w:sz w:val="28"/>
          <w:sz w:val="28"/>
          <w:szCs w:val="28"/>
          <w:rtl w:val="true"/>
          <w:lang w:bidi="fa-IR"/>
        </w:rPr>
        <w:t>لاتّباعه السابق</w:t>
      </w:r>
      <w:r>
        <w:rPr>
          <w:rStyle w:val="FootnoteAnchor"/>
          <w:rtl w:val="true"/>
        </w:rPr>
        <w:footnoteReference w:id="236"/>
      </w:r>
      <w:r>
        <w:rPr>
          <w:rFonts w:ascii="Amiri" w:hAnsi="Amiri" w:eastAsia="Amiri" w:cs="Amiri"/>
          <w:color w:val="111111"/>
          <w:sz w:val="28"/>
          <w:sz w:val="28"/>
          <w:szCs w:val="28"/>
          <w:rtl w:val="true"/>
          <w:lang w:bidi="ar-SA"/>
        </w:rPr>
        <w:t xml:space="preserve">، ولم يتحقّق </w:t>
      </w:r>
    </w:p>
    <w:p>
      <w:pPr>
        <w:pStyle w:val="BookText"/>
        <w:rPr/>
      </w:pPr>
      <w:r>
        <w:rPr>
          <w:rFonts w:ascii="Amiri" w:hAnsi="Amiri" w:eastAsia="Amiri" w:cs="Amiri"/>
          <w:color w:val="111111"/>
          <w:sz w:val="28"/>
          <w:sz w:val="28"/>
          <w:szCs w:val="28"/>
          <w:rtl w:val="true"/>
          <w:lang w:bidi="ar-SA"/>
        </w:rPr>
        <w:t>شيء منهما بالنسبة إليه، أمّا الدعاء فظاهر، وأمّا الاتّباع فكذلك؛ إذ المفروض أنّه منفرد؛ وأمّا بطلان اللازم فبالاتّفاق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لا نسلّم انتفاء المعنى الثاني بالنسبة إليه؛ لوضوح أنّه مأمور بإتيان الأفعال، فهو في فعله متابع لله تعالى والرسول، وربما ادّعي تحقّق الدعاء بالنسبة إليه أيضًا؛ لوضوح تحقّق الدعاء القلبيّ، وهو الكلام النفسيّ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بحثٌ؛ لانّا بعد تسليم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النفسيّ عبارة عن مدلول الكلام اللفظيّ، وتحقّقه بالنسبة إلى الأخرس يتوقّف على اقتداره على فهم تلك الأدعية، وانتفاؤه بالنسبة إلى كثير من الأخرس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ذلك مشترك الورود؛ إذ على القول بالنقل لا شبهة في أنّها منقولة إلى الأقوال والأفعال، ولا ريب في عدم إمكان تحقّق الأوّل بالنسبة إلى الأخرس، فيلزم أن لا تتحقّق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إليه أيضًا؛ لأنّ انتفاء الجزء يستلزم انتفاء الكلّ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لا نسلّم بناءً على النقل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منقولة إلى الأقوال والأفعال مطلقًا، بل هو بالنسبة إلى المتمكّن منهما، وأمّا غير المتمكّن من </w:t>
      </w:r>
      <w:bookmarkStart w:id="218" w:name="pg16224_170428"/>
    </w:p>
    <w:p>
      <w:pPr>
        <w:pStyle w:val="BookText"/>
        <w:rPr/>
      </w:pPr>
      <w:bookmarkEnd w:id="218"/>
      <w:r>
        <w:rPr>
          <w:rFonts w:ascii="Amiri" w:hAnsi="Amiri" w:eastAsia="Amiri" w:cs="Amiri"/>
          <w:color w:val="111111"/>
          <w:sz w:val="28"/>
          <w:sz w:val="28"/>
          <w:szCs w:val="28"/>
          <w:rtl w:val="true"/>
          <w:lang w:bidi="ar-SA"/>
        </w:rPr>
        <w:t>الأوّل فالصلاة بالنسبة إليه إنّما هي الأفعال فقط، فيندفع النقض بناءً على القول بالنقل ويبقى بناءً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بما مرّ من عدم تسليم انتفاء كلّ من المعنيين اللغويّين للصلاة في حقّ الأخرس،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في ردّ أصل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القطع حاصل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عندنا في الأقوال والأفعال مثلًا؛ ونقطع أيضًا بأنّه ليس استعمال أهل الشرع إلّا تبعًا لاستعمال الشارع واستعمالهم إيّاها ليس إلّا فيما استعمله الشارع، فاحتمال عدم استعماله في غير المعنى اللغويّ مقطوع الفساد، وتصفّح الأخبار يشهد عليه بأبلغ بيان</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3734436_1280447820"/>
      <w:bookmarkStart w:id="220" w:name="_Toc84"/>
      <w:bookmarkEnd w:id="219"/>
      <w:r>
        <w:rPr>
          <w:rtl w:val="true"/>
        </w:rPr>
        <w:t>الوجه الخامس</w:t>
      </w:r>
      <w:bookmarkEnd w:id="220"/>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أيضًا في المقام، وهو راجع إلى تسليم المقدّمة الممنوعة، وهو أنّا سلّمنا استعمال تلك الألفاظ في معانيها الشرعيّة، لكن لا يلزم من استعمالها إيّاها الحقيقة الشرعيّة؛ لجواز كونها مجازات</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لا يخفى؛ لأنّ المستدلّ لم يستدلّ بالاستعمال المطلق على الحقيقة، بل ادّعى سبق تلك المعاني منها، كما هو إحدى مقدّمات دليله، فحقّ الإيراد أن يردّد فيه، فيمنع</w:t>
      </w:r>
      <w:r>
        <w:rPr>
          <w:rStyle w:val="FootnoteAnchor"/>
          <w:rtl w:val="true"/>
        </w:rPr>
        <w:footnoteReference w:id="238"/>
      </w:r>
      <w:r>
        <w:rPr>
          <w:rFonts w:ascii="Amiri" w:hAnsi="Amiri" w:eastAsia="Amiri" w:cs="Amiri"/>
          <w:color w:val="111111"/>
          <w:sz w:val="28"/>
          <w:sz w:val="28"/>
          <w:szCs w:val="28"/>
          <w:rtl w:val="true"/>
          <w:lang w:bidi="ar-SA"/>
        </w:rPr>
        <w:t>بالنسبة إلى زمان الشارع، وغيره لم ينفع على 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يرجع ذلك إلى منع المقدّمة الثانية، أي منع سبق المعاني المستحدثة من تلك الألفاظ في زمان الشارع، بناءً على أنّ منع الملزوم كما يمكن بمنع نفسه كذا يمكن بمنع لازمه، ومعلوم أنّ تبادر المعنى من اللفظ ملزوم لكونه حقيقة فيه، وهو لازم له، ومآل هذا الإيراد منعه، ومنع</w:t>
      </w:r>
      <w:r>
        <w:rPr>
          <w:rStyle w:val="FootnoteAnchor"/>
          <w:rtl w:val="true"/>
        </w:rPr>
        <w:footnoteReference w:id="239"/>
      </w:r>
      <w:r>
        <w:rPr>
          <w:rFonts w:ascii="Amiri" w:hAnsi="Amiri" w:eastAsia="Amiri" w:cs="Amiri"/>
          <w:color w:val="111111"/>
          <w:sz w:val="28"/>
          <w:sz w:val="28"/>
          <w:szCs w:val="28"/>
          <w:rtl w:val="true"/>
          <w:lang w:bidi="ar-SA"/>
        </w:rPr>
        <w:t>اللازم يستلزم منع الملزوم، فتكون دعوى السبق ممنوعة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يتشبّث في إثباته بالاستقراء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التتبّع في كلمات الشارع أنّ كلّ موضع استعملت تلك الألفاظ في معانيها الجديدة لم تكن مقترنة بالقرينة، وكلّ موضع استعملت وأريد منها المعاني اللغويّة تكون مقترنة بالقرينة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ظهر لنا أنّ تلك الألفاظ كلّما وردت في كلمات الشارع مجرّدة عن القرينة قد حملها المخاطبون بها على المعاني المستحدثة، وحملهم إيّاها على المعاني اللغويّة إنّما يكون عند الاقتران بالقرينة، وبضميمة أصالة عدم الاقتران بها مطلقًا وإن كانت حاليّة، يظهر عدم افتقار المخاطبين في فهم تلك المعاني منها إلى القرينة؛ ولا يكون ذلك إلّا عند كونها متبادرة منها، وهو المطلوب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لا يرد على الدليل المذكور إلّا ما أشرنا إليه آنفًا من استدراك المقدّمة الأولى؛ إذ كان الممكن أن يقال في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القطع بسبقها منها في زمان الشارع؛ وذلك لم يحصل إلّا بتصرّف من الشارع، فذلك</w:t>
      </w:r>
      <w:r>
        <w:rPr>
          <w:rStyle w:val="FootnoteAnchor"/>
          <w:rtl w:val="true"/>
        </w:rPr>
        <w:footnoteReference w:id="241"/>
      </w:r>
      <w:r>
        <w:rPr>
          <w:rFonts w:ascii="Amiri" w:hAnsi="Amiri" w:eastAsia="Amiri" w:cs="Amiri"/>
          <w:color w:val="111111"/>
          <w:sz w:val="28"/>
          <w:sz w:val="28"/>
          <w:szCs w:val="28"/>
          <w:rtl w:val="true"/>
          <w:lang w:bidi="ar-SA"/>
        </w:rPr>
        <w:t xml:space="preserve">معنى الحقيقة الشرعيّة، فمآل </w:t>
      </w:r>
    </w:p>
    <w:p>
      <w:pPr>
        <w:pStyle w:val="BookText"/>
        <w:rPr/>
      </w:pPr>
      <w:r>
        <w:rPr>
          <w:rFonts w:ascii="Amiri" w:hAnsi="Amiri" w:eastAsia="Amiri" w:cs="Amiri"/>
          <w:color w:val="111111"/>
          <w:sz w:val="28"/>
          <w:sz w:val="28"/>
          <w:szCs w:val="28"/>
          <w:rtl w:val="true"/>
          <w:lang w:bidi="ar-SA"/>
        </w:rPr>
        <w:t>هذا الدليل على النحو المقرّر يرجع إلى الاستقراء، وهو أحد أدلّة الإثبات والمثبتين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يقرّر على نحوين آخرين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شبهة في أنّ العلم بمصطلحات أرباب العلوم والصنائع حاصل، كالصحيح والمعتلّ والمضاعف والمثال واللفيف والأجوف والمهموز والناقص والرفع والنصب والجرّ والفاعل والمفعول والحال والتميز والتابع والعطف والفعل والاسم والحرف والصغرى والكبرى والقضيّة والشكل والوجوب والندب والجوهر والعرض وغير ذلك عند أرباب العلوم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شبهة في أنّ ذلك ليس بالتصريح بالوضع من أربابهم في جميع الموادّ،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كثيرًا من أرباب الصنائع لا يعرفون معنى الوضع أصلًا، فضلًا عن التصريح به لغيره، بل إنّما يتحدّس بالوضع بالتصفّح في استعمالاتهم والتفحّص في محاوراتهم، فإنّه لمّا يظهر بعد التصفّح كثرة استعمالهم إيّاها في معاني معيّنة وندرته في غيره، يتحدّس بأنّها في الأوّل حقائق، فكما يظهر معاني حقيقيّة بكثرة الاستعمال في هذه الموادّ، فليظهر ذلك في المعاني الشرعيّة بالنسبة إلى استعمالات الشارع ومخاطباته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تلك الألفاظ نجدها في مخاطبات الشارع مستعملة في معاني شرعيّة، إمّا على سبيل الدوام، أو على سبيل الأغلبيّة والأكثريّة، فاستعمالها في غيرها في كلامه إمّا غير واقع، أو واقع على سبيل الشذوذ والندرة، فيتحدّس من ذلك أنّ بناء الشارع على تعيين تلك الألفاظ لتلك المعاني وهجر غيرها من المعاني اللغويّة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التصفّح في الاصطلاحات، فإنّ التتبّع فيها يشهد بأنّ أربابه يستعملون </w:t>
      </w:r>
      <w:bookmarkStart w:id="221" w:name="pg16224_170431"/>
    </w:p>
    <w:p>
      <w:pPr>
        <w:pStyle w:val="BookText"/>
        <w:rPr/>
      </w:pPr>
      <w:bookmarkEnd w:id="221"/>
      <w:r>
        <w:rPr>
          <w:rFonts w:ascii="Amiri" w:hAnsi="Amiri" w:eastAsia="Amiri" w:cs="Amiri"/>
          <w:color w:val="111111"/>
          <w:sz w:val="28"/>
          <w:sz w:val="28"/>
          <w:szCs w:val="28"/>
          <w:rtl w:val="true"/>
          <w:lang w:bidi="ar-SA"/>
        </w:rPr>
        <w:t>فيها ألفاظًا على سبيل الحقيقة؛ ومعلوم أنّ الشارع سيّدهم، فينبغي أن يكون استعماله تلك الألفاظ في تلك المعاني على الحقيقة، وهو المدّعى</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2" w:name="__RefHeading___Toc3734438_1280447820"/>
      <w:bookmarkStart w:id="223" w:name="_Toc85"/>
      <w:bookmarkEnd w:id="222"/>
      <w:r>
        <w:rPr>
          <w:rtl w:val="true"/>
        </w:rPr>
        <w:t>الدليل الثاني لإثبات الحقيقة الشرعيّة</w:t>
      </w:r>
      <w:bookmarkEnd w:id="223"/>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دلّ على ثبوت الحقيقة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لا شبهة في أنّ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لهداية الناس وترويج الأحكام من العبادات والمعاملات، فكما يكون منصبه بيان الأحكام ليحصل العلم للمكلّفين بها، يكون المناسب لذلك أن يضع ألفاظًا خاصّة لما جاء به</w:t>
      </w:r>
      <w:r>
        <w:rPr>
          <w:rStyle w:val="FootnoteAnchor"/>
          <w:rtl w:val="true"/>
        </w:rPr>
        <w:footnoteReference w:id="243"/>
      </w:r>
      <w:r>
        <w:rPr>
          <w:rFonts w:ascii="Amiri" w:hAnsi="Amiri" w:eastAsia="Amiri" w:cs="Amiri"/>
          <w:color w:val="111111"/>
          <w:sz w:val="28"/>
          <w:sz w:val="28"/>
          <w:szCs w:val="28"/>
          <w:rtl w:val="true"/>
          <w:lang w:bidi="ar-SA"/>
        </w:rPr>
        <w:t>ليمكن لهم التعبير بها عنها في الاستعمال ويحصل لهم الاستغناء عن تجشّم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إنّ الشارع مستقلّ فيها من غير متابعة للشرائع السابقة، ينبغي أن يكون في إطلاق اللفظ عليها مستقلًّا أيضًا بأن لا يكون إطلاقه اللفظ عليها لتبعيّة وضع الغير ومناسبته بأن لا يكون مصحّح الإطلاق العلاقة، بل الوضع</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4" w:name="__RefHeading___Toc3734440_1280447820"/>
      <w:bookmarkStart w:id="225" w:name="_Toc86"/>
      <w:bookmarkEnd w:id="224"/>
      <w:r>
        <w:rPr>
          <w:rtl w:val="true"/>
        </w:rPr>
        <w:t>الدليل الثالث لإثبات الحقيقة الشرعيّة</w:t>
      </w:r>
      <w:bookmarkEnd w:id="22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كلام النافين يرجع إلى عدم العلم، بناءً على أنّ عمدة أدلّتهم في المقام هو أنّه لمّا كانت تلك الألفاظ موضوعة في اللغة لمعاني معلومة ولم يعلم في زمان الشارع نقلها منها، فمقتضى الأصل بقاؤها على معانيها اللغويّة؛ وكلام </w:t>
      </w:r>
      <w:bookmarkStart w:id="226" w:name="pg16224_170432"/>
    </w:p>
    <w:p>
      <w:pPr>
        <w:pStyle w:val="BookText"/>
        <w:rPr/>
      </w:pPr>
      <w:bookmarkEnd w:id="226"/>
      <w:r>
        <w:rPr>
          <w:rFonts w:ascii="Amiri" w:hAnsi="Amiri" w:eastAsia="Amiri" w:cs="Amiri"/>
          <w:color w:val="111111"/>
          <w:sz w:val="28"/>
          <w:sz w:val="28"/>
          <w:szCs w:val="28"/>
          <w:rtl w:val="true"/>
          <w:lang w:bidi="ar-SA"/>
        </w:rPr>
        <w:t>المثبتين يرجع إلى دعوى العلم بالثبوت والنقل أو الظنّ، فمتى تعارض قول المثبت والنافي على النهج المذكور يقدّم الأوّل؛ لوضوح عدم التنافي بين دعوى العلم بشيء ودعوى عدم العلم به</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3734442_1280447820"/>
      <w:bookmarkStart w:id="228" w:name="_Toc87"/>
      <w:bookmarkEnd w:id="227"/>
      <w:r>
        <w:rPr>
          <w:rtl w:val="true"/>
        </w:rPr>
        <w:t>والبحث الرابع</w:t>
      </w:r>
      <w:r>
        <w:rPr>
          <w:rtl w:val="true"/>
        </w:rPr>
        <w:t xml:space="preserve">: </w:t>
      </w:r>
      <w:r>
        <w:rPr>
          <w:rtl w:val="true"/>
        </w:rPr>
        <w:t>في الثمرة المترتّبة على ثبوت الحقيقة الشرعيّة وعدمه</w:t>
      </w:r>
      <w:bookmarkEnd w:id="228"/>
    </w:p>
    <w:p>
      <w:pPr>
        <w:pStyle w:val="Heading5"/>
        <w:numPr>
          <w:ilvl w:val="4"/>
          <w:numId w:val="1"/>
        </w:numPr>
        <w:rPr/>
      </w:pPr>
      <w:bookmarkStart w:id="229" w:name="__RefHeading___Toc3734444_1280447820"/>
      <w:bookmarkStart w:id="230" w:name="_Toc88"/>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الثمرة المترتّبة على القولين وإن أشرنا إليها مرارًا، لكن أعدنا الكلام إليها في هذا المقام للتنبيه على بعض الفوائد،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w:t>
      </w:r>
      <w:r>
        <w:rPr>
          <w:rStyle w:val="FootnoteAnchor"/>
          <w:rtl w:val="true"/>
        </w:rPr>
        <w:footnoteReference w:id="245"/>
      </w:r>
      <w:r>
        <w:rPr>
          <w:rFonts w:ascii="Amiri" w:hAnsi="Amiri" w:eastAsia="Amiri" w:cs="Amiri"/>
          <w:color w:val="111111"/>
          <w:sz w:val="28"/>
          <w:sz w:val="28"/>
          <w:szCs w:val="28"/>
          <w:rtl w:val="true"/>
          <w:lang w:bidi="ar-SA"/>
        </w:rPr>
        <w:t>في أنّ الحجّة في الآيات والأخبار إنّما هو فهم الحاضرين المخاطبين</w:t>
      </w:r>
      <w:r>
        <w:rPr>
          <w:rStyle w:val="FootnoteAnchor"/>
          <w:rtl w:val="true"/>
        </w:rPr>
        <w:footnoteReference w:id="246"/>
      </w:r>
      <w:r>
        <w:rPr>
          <w:rFonts w:ascii="Amiri" w:hAnsi="Amiri" w:eastAsia="Amiri" w:cs="Amiri"/>
          <w:color w:val="111111"/>
          <w:sz w:val="28"/>
          <w:sz w:val="28"/>
          <w:szCs w:val="28"/>
          <w:rtl w:val="true"/>
          <w:lang w:bidi="ar-SA"/>
        </w:rPr>
        <w:t>بها؛ إذ لو لم تكن الحجّة بالنسبة إلى الغائبين والمعدومين ذلك، لا يخلو إمّا أن يكون كلّ أحد مكلّفًا بما</w:t>
      </w:r>
      <w:r>
        <w:rPr>
          <w:rStyle w:val="FootnoteAnchor"/>
          <w:rtl w:val="true"/>
        </w:rPr>
        <w:footnoteReference w:id="247"/>
      </w:r>
      <w:r>
        <w:rPr>
          <w:rFonts w:ascii="Amiri" w:hAnsi="Amiri" w:eastAsia="Amiri" w:cs="Amiri"/>
          <w:color w:val="111111"/>
          <w:sz w:val="28"/>
          <w:sz w:val="28"/>
          <w:szCs w:val="28"/>
          <w:rtl w:val="true"/>
          <w:lang w:bidi="ar-SA"/>
        </w:rPr>
        <w:t>يفهمه منها، أو التكليف منحصر بالنسبة إلى الحاضرين، وكلّ منهما فاسد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فلاستلزامه الهرج والمرج</w:t>
      </w:r>
      <w:r>
        <w:rPr>
          <w:rStyle w:val="FootnoteAnchor"/>
          <w:rtl w:val="true"/>
        </w:rPr>
        <w:footnoteReference w:id="248"/>
      </w:r>
      <w:r>
        <w:rPr>
          <w:rFonts w:ascii="Amiri" w:hAnsi="Amiri" w:eastAsia="Amiri" w:cs="Amiri"/>
          <w:color w:val="111111"/>
          <w:sz w:val="28"/>
          <w:sz w:val="28"/>
          <w:szCs w:val="28"/>
          <w:rtl w:val="true"/>
          <w:lang w:bidi="ar-SA"/>
        </w:rPr>
        <w:t xml:space="preserve">في الدين، ولمخالفته الإجماع والأخبار </w:t>
      </w:r>
      <w:bookmarkStart w:id="231" w:name="pg16224_170433"/>
    </w:p>
    <w:p>
      <w:pPr>
        <w:pStyle w:val="BookText"/>
        <w:rPr/>
      </w:pPr>
      <w:bookmarkEnd w:id="231"/>
      <w:r>
        <w:rPr>
          <w:rFonts w:ascii="Amiri" w:hAnsi="Amiri" w:eastAsia="Amiri" w:cs="Amiri"/>
          <w:color w:val="111111"/>
          <w:sz w:val="28"/>
          <w:sz w:val="28"/>
          <w:szCs w:val="28"/>
          <w:rtl w:val="true"/>
          <w:lang w:bidi="ar-SA"/>
        </w:rPr>
        <w:t>الدالّين على ثبوت المشاركة في التكليف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فلاستلزامه الخروج من الدين المنفيّ بإجماع المسلمين، بل الضرورة من الدين، وبما ورد من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إلى يوم القيامة وحرامه حرام إلى يوم القيامة</w:t>
      </w:r>
      <w:r>
        <w:rPr>
          <w:rFonts w:eastAsia="IRNazanin" w:cs="IRNazanin"/>
          <w:color w:val="111111"/>
          <w:sz w:val="28"/>
          <w:szCs w:val="28"/>
          <w:rtl w:val="true"/>
          <w:lang w:bidi="fa-IR"/>
        </w:rPr>
        <w:t>»</w:t>
      </w:r>
      <w:r>
        <w:rPr>
          <w:rStyle w:val="FootnoteAnchor"/>
          <w:rtl w:val="true"/>
        </w:rPr>
        <w:footnoteReference w:id="249"/>
      </w:r>
      <w:r>
        <w:rPr>
          <w:rFonts w:ascii="Amiri" w:hAnsi="Amiri" w:eastAsia="Amiri" w:cs="Amiri"/>
          <w:color w:val="111111"/>
          <w:sz w:val="28"/>
          <w:sz w:val="28"/>
          <w:szCs w:val="28"/>
          <w:rtl w:val="true"/>
          <w:lang w:bidi="ar-SA"/>
        </w:rPr>
        <w:t>، فتعيّن أن تكون الحجّة بالنسبة إلى المعدومين فهم الحاضرين، فتكليف المعدومين إنّما يحصل بتحصيل فهم الحاضرين</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3734446_1280447820"/>
      <w:bookmarkStart w:id="233" w:name="_Toc89"/>
      <w:bookmarkEnd w:id="232"/>
      <w:r>
        <w:rPr>
          <w:rtl w:val="true"/>
        </w:rPr>
        <w:t>أقسام الألفاظ الواردة في الكتاب والسنّة</w:t>
      </w:r>
      <w:bookmarkEnd w:id="233"/>
    </w:p>
    <w:p>
      <w:pPr>
        <w:pStyle w:val="Heading6"/>
        <w:numPr>
          <w:ilvl w:val="5"/>
          <w:numId w:val="1"/>
        </w:numPr>
        <w:rPr/>
      </w:pPr>
      <w:bookmarkStart w:id="234" w:name="__RefHeading___Toc3734448_1280447820"/>
      <w:bookmarkStart w:id="235" w:name="_Toc90"/>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إذا علمت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الألفاظ الواردة في الكتاب والسنّة لا تخلو من أقسام أربعة</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3734450_1280447820"/>
      <w:bookmarkStart w:id="237" w:name="_Toc91"/>
      <w:bookmarkEnd w:id="236"/>
      <w:r>
        <w:rPr>
          <w:rtl w:val="true"/>
        </w:rPr>
        <w:t>القسم الأوّل</w:t>
      </w:r>
      <w:bookmarkEnd w:id="23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نعلم بأنّ المعاني المفهومة منها عندنا عين المعاني المفهومة حال الخطاب ولم يتطرّق إليها نقل وتغيير، كالسماء والأرض والحجر والشجر والقيام </w:t>
      </w:r>
    </w:p>
    <w:p>
      <w:pPr>
        <w:pStyle w:val="BookText"/>
        <w:rPr/>
      </w:pPr>
      <w:r>
        <w:rPr>
          <w:rFonts w:ascii="Amiri" w:hAnsi="Amiri" w:eastAsia="Amiri" w:cs="Amiri"/>
          <w:color w:val="111111"/>
          <w:sz w:val="28"/>
          <w:sz w:val="28"/>
          <w:szCs w:val="28"/>
          <w:rtl w:val="true"/>
          <w:lang w:bidi="ar-SA"/>
        </w:rPr>
        <w:t>والقعود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هذا القسم لزوم الحمل على المعاني المفهومة منها عندنا؛ لأنّها عين المعاني المفهومة منها حال الخطاب، فالتكليف يحصل بحملها على تلك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هو حجّيّة فهم المخاطبين الحاضرين من الخطابات الشرعيّة، ومجرّد العلم باتّحاد مدلول اللفظ عند الغائبين والحاضرين لا يكفي في تحقّق</w:t>
      </w:r>
      <w:r>
        <w:rPr>
          <w:rStyle w:val="FootnoteAnchor"/>
          <w:rtl w:val="true"/>
        </w:rPr>
        <w:footnoteReference w:id="251"/>
      </w:r>
      <w:r>
        <w:rPr>
          <w:rFonts w:ascii="Amiri" w:hAnsi="Amiri" w:eastAsia="Amiri" w:cs="Amiri"/>
          <w:color w:val="111111"/>
          <w:sz w:val="28"/>
          <w:sz w:val="28"/>
          <w:szCs w:val="28"/>
          <w:rtl w:val="true"/>
          <w:lang w:bidi="ar-SA"/>
        </w:rPr>
        <w:t>ذلك؛ إذ قد يتحقّق ذلك معه، كما إذا لم تقترن الخطابات بالقرينة الصارفة عن تلك المعاني، إذ لو لم تكن حينئذٍ تلك المعاني مرادة للشارع، يلزم مع إرادة غيرها الإغراء بالجهل والتكليف بما لا يطاق، ومع عدم إرادة شيء منهما اللغو والعبث، وقد يتخلّف عنه كما إذا كانت مقترنة بالقرينة الحاليّة أو المقاليّة الصارفة عن حمل اللفظ على تلك المعاني، فعلى هذا لا يلزم من حمل تلك الألفاظ على المعاني المفهومة منها عندنا الّتي هي عين المعاني المفهومة عند المخاطبين تحصيل</w:t>
      </w:r>
      <w:r>
        <w:rPr>
          <w:rStyle w:val="FootnoteAnchor"/>
          <w:rtl w:val="true"/>
        </w:rPr>
        <w:footnoteReference w:id="252"/>
      </w:r>
      <w:r>
        <w:rPr>
          <w:rFonts w:ascii="Amiri" w:hAnsi="Amiri" w:eastAsia="Amiri" w:cs="Amiri"/>
          <w:color w:val="111111"/>
          <w:sz w:val="28"/>
          <w:sz w:val="28"/>
          <w:szCs w:val="28"/>
          <w:rtl w:val="true"/>
          <w:lang w:bidi="ar-SA"/>
        </w:rPr>
        <w:t>فهم الحاضرين الّذي هو مناط ثبوت التكليف بالنسبة إلى الغائبين</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القرائن إن كانت معلومة لنا، فلا كلام فيه، إذ المُتَّبَع حينئذٍ ما </w:t>
      </w:r>
      <w:bookmarkStart w:id="238" w:name="pg16224_170435"/>
    </w:p>
    <w:p>
      <w:pPr>
        <w:pStyle w:val="BookText"/>
        <w:rPr/>
      </w:pPr>
      <w:bookmarkEnd w:id="238"/>
      <w:r>
        <w:rPr>
          <w:rFonts w:ascii="IRNazanin" w:hAnsi="IRNazanin" w:eastAsia="IRNazanin"/>
          <w:color w:val="111111"/>
          <w:sz w:val="28"/>
          <w:sz w:val="28"/>
          <w:szCs w:val="28"/>
          <w:rtl w:val="true"/>
          <w:lang w:bidi="fa-IR"/>
        </w:rPr>
        <w:t>أفادتها، وإلّا نحمل</w:t>
      </w:r>
      <w:r>
        <w:rPr>
          <w:rStyle w:val="FootnoteAnchor"/>
          <w:rtl w:val="true"/>
        </w:rPr>
        <w:footnoteReference w:id="254"/>
      </w:r>
      <w:r>
        <w:rPr>
          <w:rFonts w:ascii="Amiri" w:hAnsi="Amiri" w:eastAsia="Amiri" w:cs="Amiri"/>
          <w:color w:val="111111"/>
          <w:sz w:val="28"/>
          <w:sz w:val="28"/>
          <w:szCs w:val="28"/>
          <w:rtl w:val="true"/>
          <w:lang w:bidi="ar-SA"/>
        </w:rPr>
        <w:t>الألفاظ على معانيها الظاهرة وندفع احتمال وجود القرائن بالأصل، فتكون المعاني المفهومة منها للمخاطبين تلك المعاني، فيتمّ المرام</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3734452_1280447820"/>
      <w:bookmarkStart w:id="240" w:name="_Toc92"/>
      <w:bookmarkEnd w:id="239"/>
      <w:r>
        <w:rPr>
          <w:rtl w:val="true"/>
        </w:rPr>
        <w:t>القسم الثاني</w:t>
      </w:r>
      <w:bookmarkEnd w:id="240"/>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ذلك، أي تكون المعاني المفهومة منها عندنا مغايرة للمعاني المفهومة حال الخطاب، كالرطل والمثقال والدرهم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كانت المعاني المفهومة حال صدور الخطاب معلومة، يجب حمل الخطابات عليها، وقد عرفت وجهه؛ وإلّا يكون ذلك من قبيل المجملات الّتي لا يجوز بها الاستدلال في إثبات الأحكام، ولا يجوز الحمل على المعاني المفهومة عندنا؛ للعلم بعدم إرادتها منها كما عرفت</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3734454_1280447820"/>
      <w:bookmarkStart w:id="242" w:name="_Toc93"/>
      <w:bookmarkEnd w:id="241"/>
      <w:r>
        <w:rPr>
          <w:rtl w:val="true"/>
        </w:rPr>
        <w:t>القسم الثالث</w:t>
      </w:r>
      <w:bookmarkEnd w:id="242"/>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المعاني لتلك الألفاظ معلومة عندنا ومفهومة في محاوراتنا ولم يعلم أنّها موضوعة حال الخطاب وقبلها بإزاء تلك المعاني المفهومة منها عندنا أو غيرها، كالأمر والنهي والعامّ والخاصّ</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الحكم في هذا القسم لزوم الحمل على المعاني العرفيّة وأنّها معانيها حال الخطاب وقبلها، إذ لو لم تكن</w:t>
      </w:r>
      <w:r>
        <w:rPr>
          <w:rStyle w:val="FootnoteAnchor"/>
          <w:rtl w:val="true"/>
        </w:rPr>
        <w:footnoteReference w:id="255"/>
      </w:r>
      <w:r>
        <w:rPr>
          <w:rFonts w:ascii="Amiri" w:hAnsi="Amiri" w:eastAsia="Amiri" w:cs="Amiri"/>
          <w:color w:val="111111"/>
          <w:sz w:val="28"/>
          <w:sz w:val="28"/>
          <w:szCs w:val="28"/>
          <w:rtl w:val="true"/>
          <w:lang w:bidi="ar-SA"/>
        </w:rPr>
        <w:t>تلك المعاني معانيها الموضوعة لها فيها، يلزم أن يكون وضعها بإزاء غيرها، فيلزم النقل، وهو خلاف الأصل والظاهر، فتعيّن الأوّل</w:t>
      </w:r>
      <w:r>
        <w:rPr>
          <w:rFonts w:eastAsia="Amiri" w:cs="Amiri" w:ascii="Amiri" w:hAnsi="Amiri"/>
          <w:color w:val="111111"/>
          <w:sz w:val="28"/>
          <w:szCs w:val="28"/>
          <w:rtl w:val="true"/>
          <w:lang w:bidi="ar-SA"/>
        </w:rPr>
        <w:t xml:space="preserve">. </w:t>
      </w:r>
      <w:bookmarkStart w:id="243" w:name="pg16224_170436"/>
    </w:p>
    <w:p>
      <w:pPr>
        <w:pStyle w:val="Heading6"/>
        <w:numPr>
          <w:ilvl w:val="5"/>
          <w:numId w:val="1"/>
        </w:numPr>
        <w:rPr/>
      </w:pPr>
      <w:bookmarkStart w:id="244" w:name="__RefHeading___Toc3734456_1280447820"/>
      <w:bookmarkStart w:id="245" w:name="_Toc94"/>
      <w:bookmarkEnd w:id="243"/>
      <w:bookmarkEnd w:id="244"/>
      <w:r>
        <w:rPr>
          <w:rtl w:val="true"/>
        </w:rPr>
        <w:t>القسم الرابع</w:t>
      </w:r>
      <w:bookmarkEnd w:id="245"/>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وضع الألفاظ بإزاء معاني معيّنة وعلم نقلها منها إلى المعاني المخصوصة، لكن حصل الاشتباه والشكّ في مبدأ النقل أهو قبل صدور الخطابات فتكون المعاني المفهومة للحاضرين من تلك الخطابات المعاني المتجدّدة، أم بعده فتكون المعاني المفهومة لهم منها معانيها القديمة؟</w:t>
      </w:r>
    </w:p>
    <w:p>
      <w:pPr>
        <w:pStyle w:val="BookText"/>
        <w:rPr/>
      </w:pPr>
      <w:r>
        <w:rPr>
          <w:rFonts w:ascii="Amiri" w:hAnsi="Amiri" w:eastAsia="Amiri" w:cs="Amiri"/>
          <w:color w:val="111111"/>
          <w:sz w:val="28"/>
          <w:sz w:val="28"/>
          <w:szCs w:val="28"/>
          <w:rtl w:val="true"/>
          <w:lang w:bidi="ar-SA"/>
        </w:rPr>
        <w:t>وهذا هو الّذي كلامنا فيه، فعلى القول بثبوت الحقيقة الشرعيّة، يكون النقل قبل صدور الخطابات، فتكون المعاني المفهومة للمخاطبين من تلك الألفاظ حال التجرّد المعاني الشرعيّة، فالواجب علينا الحمل على تلك المعاني حينئذٍ لما تقدّم، وعلى القول بالعدم يكون النقل بعده، فاللازم حينئذٍ الحمل على المعاني القديمة؛ لأنّها المفهومة منها للمخاطبين حال الخطاب عند التجرّد عن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الثمرة بين القولين، وحيث قد عرفت حقيقة قول المثبتين، ظهر لك الحال في البين</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3734458_1280447820"/>
      <w:bookmarkStart w:id="247" w:name="_Toc95"/>
      <w:bookmarkEnd w:id="246"/>
      <w:r>
        <w:rPr>
          <w:rtl w:val="true"/>
        </w:rPr>
        <w:t>دفع إيراد لاستحكام مقام</w:t>
      </w:r>
      <w:bookmarkEnd w:id="247"/>
    </w:p>
    <w:p>
      <w:pPr>
        <w:pStyle w:val="Heading6"/>
        <w:numPr>
          <w:ilvl w:val="5"/>
          <w:numId w:val="1"/>
        </w:numPr>
        <w:rPr/>
      </w:pPr>
      <w:bookmarkStart w:id="248" w:name="__RefHeading___Toc3734460_1280447820"/>
      <w:bookmarkStart w:id="249" w:name="_Toc96"/>
      <w:bookmarkEnd w:id="248"/>
      <w:r>
        <w:rPr>
          <w:rtl w:val="true"/>
        </w:rPr>
        <w:t>اشارة</w:t>
      </w:r>
      <w:bookmarkEnd w:id="24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مظهر الثمرة المذكورة في القسم الرابع من الأقسام المذكورة إمّا في الألفاظ الواردة في الكتاب، أو السنّة، أو في كليهما، والأوّل والثاني فاسد؛ لإطباق العلماء قاطبة على عدم الافتراق بينهما، فإنّ المثبتين للحقيقة الشرعيّة أطبقوا على حمل تلك الألفاظ على المعاني الشرعيّة عند التجرّد عن القرينة، سواء كانت في القرآن أو السنّة، والنافين لها اتّفقوا على الحمل على المعاني اللغويّة حينئذٍ كذلك، والفارق بين الفارقين غير موجود، فتعيّن الثالث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فعلى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إشكال فيه عند كون الشارع هو الله تعالى، أمّا في الخطابات القرآنيّة فظاهر، وأمّا في الخطابات النبويّة فلأنّه حينئذٍ تابع كالمتشرّعة، فخطاباته تابعة لخطاباته تعالى وعلى نهج خطاباته، وكذا على احتمال أنّ الواضع في الألفاظ الواردة في الكتاب هو الله تعالى وفي الألفاظ الواردة في السنّة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عند كون الشارع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فيشكل الأمر في حمل الألفاظ الواردة في الكتاب على المعاني الشرعيّة عند التجرّد؛ لأنّ المتكلّم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يضعها لتلك المعاني، ووضع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يقتضي حمل خطاباته وخطابات من تابعه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مدلول خطاب الله تعالى يتعيّن بتعيّن المخاطب بذلك الخطاب، فإن كان من أهل اللغة فالمراد منه المعنى اللغويّ، وإن كان من أهل العرف فالمراد منه المعنى العرفيّ، وإن كان من أهل الشرع فالمراد منه المعنى الشرعيّ، فخطاب الله تعالى مع كلّ قوم جارٍ على مقتضى اصطلاحهم، فالخطابات القرآنيّة لمّا كانت متوجّهة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والمتشرّعة، وجب حملها على المعنى الشرعيّ الّذي هو مصطلحهم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بقي في المقام شيء، وهو أنّ الخطاب المتوجّه إلى أهل اصطلاح</w:t>
      </w:r>
      <w:r>
        <w:rPr>
          <w:rStyle w:val="FootnoteAnchor"/>
          <w:rtl w:val="true"/>
        </w:rPr>
        <w:footnoteReference w:id="256"/>
      </w:r>
      <w:r>
        <w:rPr>
          <w:rFonts w:ascii="IRNazanin" w:hAnsi="IRNazanin" w:eastAsia="IRNazanin"/>
          <w:color w:val="111111"/>
          <w:sz w:val="28"/>
          <w:sz w:val="28"/>
          <w:szCs w:val="28"/>
          <w:rtl w:val="true"/>
          <w:lang w:bidi="fa-IR"/>
        </w:rPr>
        <w:t xml:space="preserve">إنّما يجب حمله على المعنى المصطلح عندهم إذا كان اصطلاحهم سابقًا على توجّه الخطاب، وفيما نحن فيه ليس كذلك، بل الأمر بالعكس؛ لأنّ ورود تلك الألفاظ في القرآن سابق عن وضع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المعاني الّتي هي مدلولاتها توقيفيّة لا يمكن الاطّلاع عليها إلّا من قبل الله تعالى، وإيقاف الله تعالى تلك المعاني بواسطة تلك الخطابات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فلا يتمّ الجواب؛ لأنّ استعمال الله تلك الألفاظ في تلك المعاني إمّا لأجل الوضع، فيخرج من محلّ الكلام، إذ حينئذٍ يكون الوضع مستندًا إليه تعالى، لا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لأجل العلاقة، فتكون تلك الألفاظ في تلك المعاني مجازات وإنّما وضعها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ورودها في الكتاب، فحينئذٍ لا تكون تلك الألفاظ الواردة في الكتاب بالنسبة إلى ذلك الاستعمال حقيقة شرعيّة؛ لأنّ اتّصافها بها مسبوق بالوضع، والوضع حينئذٍ مسبوق بورودها فيه، بل اتّصافها بها إنّما يكون بالنسبة إلى الخطابات النبويّة، فلا يمكن تحقّق الثمرة المذكورة في الألفاظ الواردة في الكتاب من حيث ورودها فيها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وجوابه، هو ما تقدّم في البحث الثاني عند احتمال كون الوضع في جميع الألفاظ مستندًا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إنّما يتوجّه إذا كان توقيف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للمعاني المدلول عليها بتلك الألفاظ من تلك الخطابات، وهو غير مسلّم؛ لجواز التوقيف بغير تلك الألفاظ، ثمّ وضع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الألفاظ بإزائها ليتيسّر التعبير، ثمّ توجّه الخطابات القرآنيّة إليه</w:t>
      </w:r>
      <w:r>
        <w:rPr>
          <w:rStyle w:val="FootnoteAnchor"/>
          <w:rtl w:val="true"/>
        </w:rPr>
        <w:footnoteReference w:id="257"/>
      </w:r>
      <w:r>
        <w:rPr>
          <w:rFonts w:ascii="Amiri" w:hAnsi="Amiri" w:eastAsia="Amiri" w:cs="Amiri"/>
          <w:color w:val="111111"/>
          <w:sz w:val="28"/>
          <w:sz w:val="28"/>
          <w:szCs w:val="28"/>
          <w:rtl w:val="true"/>
          <w:lang w:bidi="ar-SA"/>
        </w:rPr>
        <w:t>، فيكون الوضع والاصطلاح سابقًا على ورودها في القرآن، فلا إشكال وقد تقدّم الكلام في ذلك بما لا مزيد</w:t>
      </w:r>
      <w:r>
        <w:rPr>
          <w:rFonts w:eastAsia="Amiri" w:cs="Amiri" w:ascii="Amiri" w:hAnsi="Amiri"/>
          <w:color w:val="111111"/>
          <w:sz w:val="28"/>
          <w:szCs w:val="28"/>
          <w:rtl w:val="true"/>
          <w:lang w:bidi="ar-SA"/>
        </w:rPr>
        <w:t xml:space="preserve">. </w:t>
      </w:r>
      <w:bookmarkStart w:id="250" w:name="pg16224_170439"/>
    </w:p>
    <w:p>
      <w:pPr>
        <w:pStyle w:val="Heading6"/>
        <w:numPr>
          <w:ilvl w:val="5"/>
          <w:numId w:val="1"/>
        </w:numPr>
        <w:rPr/>
      </w:pPr>
      <w:bookmarkStart w:id="251" w:name="__RefHeading___Toc3734462_1280447820"/>
      <w:bookmarkStart w:id="252" w:name="_Toc97"/>
      <w:bookmarkEnd w:id="250"/>
      <w:bookmarkEnd w:id="251"/>
      <w:r>
        <w:rPr>
          <w:rtl w:val="true"/>
        </w:rPr>
        <w:t>الدليل الأوّل للمعتزلة لإثبات الحقيقة الدينيّة</w:t>
      </w:r>
      <w:bookmarkEnd w:id="252"/>
    </w:p>
    <w:p>
      <w:pPr>
        <w:pStyle w:val="Heading6"/>
        <w:numPr>
          <w:ilvl w:val="5"/>
          <w:numId w:val="1"/>
        </w:numPr>
        <w:rPr/>
      </w:pPr>
      <w:bookmarkStart w:id="253" w:name="__RefHeading___Toc3734464_1280447820"/>
      <w:bookmarkStart w:id="254" w:name="_Toc98"/>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إبراز كلام لختم مقام</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المنقول من المعتزلة</w:t>
      </w:r>
      <w:r>
        <w:rPr>
          <w:rStyle w:val="FootnoteAnchor"/>
          <w:rtl w:val="true"/>
        </w:rPr>
        <w:footnoteReference w:id="258"/>
      </w:r>
      <w:r>
        <w:rPr>
          <w:rFonts w:ascii="Amiri" w:hAnsi="Amiri" w:eastAsia="Amiri" w:cs="Amiri"/>
          <w:color w:val="111111"/>
          <w:sz w:val="28"/>
          <w:sz w:val="28"/>
          <w:szCs w:val="28"/>
          <w:rtl w:val="true"/>
          <w:lang w:bidi="ar-SA"/>
        </w:rPr>
        <w:t xml:space="preserve">في إثبات الحقيقة الدينيّة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وفي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المخصوصة، ولا مناسبة مصحّحة للتجوّز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ذلك فبالإجماع؛ وأمّا أنّه في الشرع ما ذكر؛ فلأنّ العبادات هي الدين المعتبر، والدين هو الإسلام، والإسلام هو الإيمان، فالعبادات هي الإيمان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 العبادات هي الدين،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أُمِرُوا إِلَّا لِيَعْبُدُوا الله مُخْلِصِينَ لَهُ الدِّينَ حُنَفَاءَ وَيُقِيمُوا الصَّلَاةَ وَيُؤْتُوا الزَّكَاةَ وَذَلِكَ دِينُ الْقَيِّمَةِ</w:t>
      </w:r>
      <w:r>
        <w:rPr>
          <w:rStyle w:val="FootnoteAnchor"/>
          <w:rtl w:val="true"/>
        </w:rPr>
        <w:footnoteReference w:id="259"/>
      </w:r>
      <w:r>
        <w:rPr>
          <w:rFonts w:ascii="Amiri" w:hAnsi="Amiri" w:eastAsia="Amiri" w:cs="Amiri"/>
          <w:color w:val="111111"/>
          <w:sz w:val="28"/>
          <w:sz w:val="28"/>
          <w:szCs w:val="28"/>
          <w:rtl w:val="true"/>
          <w:lang w:bidi="ar-SA"/>
        </w:rPr>
        <w:t>، واسم الإشارة للمذكور، وهو إمّا العبادات المدلول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لِيَعْبُدُوا الله، بناءً على أنّه بتأويل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لعبادة الله، والمصدر المضاف يفيد العموم إمّا مطلقًا، أو هنا بقرينة المقام، أو الصلاة والزكاة؛ وأيّ منهما كان يثبت المطلوب، أمّا على الأوّل فظاهر، وأمّا على الثاني فلأنّه إذا ثبت إطلاق الدين على هذين النوعين من العبادتين يثبت على جميع الأنواع؛ لعدم القول بالفصل،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اسم لمجموع العبادات، أطلق على هذين النوعين تنبيهًا على أفضليّتهما حتّى كأنّهما مجموعها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أنّ الدين هو الإسلام،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أنّ الإسلام هو الإيمان؛ فلأنّه لو كان غير الإيمان لزم أن لا يقبل الإيمان من مبتغيه، والتالي باطل، فالمقدّم مثله، أمّا الملازمة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يَبْتَغِ غَيْرَ الْإِسْلَامِ دِينًا فَلَنْ يُقْبَلَ مِنْهُ</w:t>
      </w:r>
      <w:r>
        <w:rPr>
          <w:rStyle w:val="FootnoteAnchor"/>
          <w:rtl w:val="true"/>
        </w:rPr>
        <w:footnoteReference w:id="261"/>
      </w:r>
      <w:r>
        <w:rPr>
          <w:rFonts w:ascii="IRNazanin" w:hAnsi="IRNazanin" w:eastAsia="IRNazanin"/>
          <w:color w:val="111111"/>
          <w:sz w:val="28"/>
          <w:sz w:val="28"/>
          <w:szCs w:val="28"/>
          <w:rtl w:val="true"/>
          <w:lang w:bidi="fa-IR"/>
        </w:rPr>
        <w:t>، ولقوله</w:t>
      </w:r>
      <w:r>
        <w:rPr>
          <w:rStyle w:val="FootnoteAnchor"/>
          <w:rtl w:val="true"/>
        </w:rPr>
        <w:footnoteReference w:id="262"/>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فَأَخْرَجْنَا مَنْ كَانَ فِيهَا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فِيهَا غَيْرَ بَيْتٍ مِنَ الْمُسْلِمِينَ</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 أمّا بالنسبة إلى الآية الأُولى فظاهر، وأمّا بالنسبة إلى الثانية فتوضيح ذلك يقتضي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الشريفة وردت في قوم لوط، وضمير المجرور في الموضعين فيها عائد إلى البلدة الّتي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والمراد بالمؤمنين المخرجين لوط ومن آمن معه، كما أشار إليه سبحانه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فَأَسْرِ بِأَهْلِكَ بِقِطْعٍ مِنَ اللَّيْلِالآية</w:t>
      </w:r>
      <w:r>
        <w:rPr>
          <w:rStyle w:val="FootnoteAnchor"/>
          <w:rtl w:val="true"/>
        </w:rPr>
        <w:footnoteReference w:id="264"/>
      </w:r>
      <w:r>
        <w:rPr>
          <w:rFonts w:ascii="IRNazanin" w:hAnsi="IRNazanin" w:eastAsia="IRNazanin"/>
          <w:color w:val="111111"/>
          <w:sz w:val="28"/>
          <w:sz w:val="28"/>
          <w:szCs w:val="28"/>
          <w:rtl w:val="true"/>
          <w:lang w:bidi="fa-IR"/>
        </w:rPr>
        <w:t>، وبقوله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أَعْلَمُ بِمَنْ فِيهَا لَنُنَجِّيَنَّهُ وَأَهْلَهُ الآية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فعلى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فَمَا وَجَدْنَا الآية، في بيان كمّيّة المؤمنين المخرجين أهم أهل بيت واحد، أم أهل بيوت متعدّدة؟ وقد دلّ قوله </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غَيْرَ بَيْتٍ مِنَ الْمُسْلِمِينَ أنّهم أهل بيت واحد، وذلك البيت منزل لوط، كما روي في العلل</w:t>
      </w:r>
      <w:r>
        <w:rPr>
          <w:rStyle w:val="FootnoteAnchor"/>
          <w:rtl w:val="true"/>
        </w:rPr>
        <w:footnoteReference w:id="266"/>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أدوات الاستثناء، والمستثنى مفرّغ، والتقدير بمعونة السياق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وجدنا فيها أهل بيت من المؤمنين أصلًا إلّا أهل بيت واحد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إنّما يكون إذا صدق المسلم على المؤمن واتّحد معه، وإلّا كان اللائق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بيت من المؤمنين، واتّحاد المسلم مع المؤمن يستلزم اتّحاد الإسلام مع الإيمان،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القدر اللازم ممّا ذكر أنّ العبادات هي الإيمان، والمدّعى عكس ذلك، لكن 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صحّة الحمل بين الصفات تقتضي</w:t>
      </w:r>
      <w:r>
        <w:rPr>
          <w:rStyle w:val="FootnoteAnchor"/>
          <w:rtl w:val="true"/>
        </w:rPr>
        <w:footnoteReference w:id="267"/>
      </w:r>
      <w:r>
        <w:rPr>
          <w:rFonts w:ascii="Amiri" w:hAnsi="Amiri" w:eastAsia="Amiri" w:cs="Amiri"/>
          <w:color w:val="111111"/>
          <w:sz w:val="28"/>
          <w:sz w:val="28"/>
          <w:szCs w:val="28"/>
          <w:rtl w:val="true"/>
          <w:lang w:bidi="ar-SA"/>
        </w:rPr>
        <w:t>اتّحاد المفهوم، ولهذا لا تصحّ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الكتابة 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الكاتب ضاحك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العبادات هي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وعكسه واحد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ذلك بصحّة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الضرب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مع انتفاء الاتّحاد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 بكفاية هذا القدر في الاستدلال وإن لم يثبت أنّ الإيمان هو العبادات، إذ يكفي في الاستدلال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العبادات يصدق عليها الإيمان لما تقدّم، وهذا الصدق لا يمكن أن يكون على سبيل التجوّز، لما تقدّم من انتفاء </w:t>
      </w:r>
      <w:bookmarkStart w:id="255" w:name="pg16224_170442"/>
    </w:p>
    <w:p>
      <w:pPr>
        <w:pStyle w:val="BookText"/>
        <w:rPr/>
      </w:pPr>
      <w:bookmarkEnd w:id="255"/>
      <w:r>
        <w:rPr>
          <w:rFonts w:ascii="Amiri" w:hAnsi="Amiri" w:eastAsia="Amiri" w:cs="Amiri"/>
          <w:color w:val="111111"/>
          <w:sz w:val="28"/>
          <w:sz w:val="28"/>
          <w:szCs w:val="28"/>
          <w:rtl w:val="true"/>
          <w:lang w:bidi="ar-SA"/>
        </w:rPr>
        <w:t>المصحّح، فتعيّن أن يكون على سبيل الحقيقة؛ وهو إمّا على سبيل النقل، أو الارتجال، أي الوضع الابتدائيّ، لا سبيل إلى الأوّل؛ لما عرفت من انتفاء المناسبة، فتعيّن الثاني، فثبتت</w:t>
      </w:r>
      <w:r>
        <w:rPr>
          <w:rStyle w:val="FootnoteAnchor"/>
          <w:rtl w:val="true"/>
        </w:rPr>
        <w:footnoteReference w:id="269"/>
      </w:r>
      <w:r>
        <w:rPr>
          <w:rFonts w:ascii="Amiri" w:hAnsi="Amiri" w:eastAsia="Amiri" w:cs="Amiri"/>
          <w:color w:val="111111"/>
          <w:sz w:val="28"/>
          <w:sz w:val="28"/>
          <w:szCs w:val="28"/>
          <w:rtl w:val="true"/>
          <w:lang w:bidi="ar-SA"/>
        </w:rPr>
        <w:t>الدينيّة لما تقدّم من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يعرف أهل اللغة لفظه، أو معناه، أو كليهما؛ وما نحن فيه من القسم الثاني، وأمّا الأوّل والثالث فغير واقع، فالواقع من الدينيّة ما يعلم أهل اللغة لفظه، لا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بينها وبين الشرعيّة إمّا بالخصوص والعموم بأنّ الشرعيّة أعمّ منها؛ لأنّ الشرعيّة تكون على سبيل النقل والارتجال بخلافها، أو بالمباينة بأنّ الوضع في الشرعيّة نقليّ فقط وهنا ارتجاليّ كذلك، وقد تقدّم الكلام بما لا مزيد عليه</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3734466_1280447820"/>
      <w:bookmarkStart w:id="257" w:name="_Toc99"/>
      <w:bookmarkEnd w:id="256"/>
      <w:r>
        <w:rPr>
          <w:rtl w:val="true"/>
        </w:rPr>
        <w:t>الجواب عن الدليل الأوّل للمعتزلة</w:t>
      </w:r>
      <w:bookmarkEnd w:id="257"/>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حاصل ما ذكروا في المقام، لكن فيه نظر؛ لأنّا لا نسلّم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الشرع عبارة عمّا ذكر، بل هو التصديق بما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والاستعمال إمّا على سبيل الحقيقة أو التجوّز، بناءً على ثبوت الحقيقة الشرعيّة وعدمها، والمناسبة بين المعنيين بالإطلاق والتقييد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التسليم لا نسلّم انتفاء المناسبة بين العبادات والتصديق الّذي هو المعنى اللغويّ للإيمان، بناءً على أنّ التصديق من لوازم العبادات المقبولة وشرائطها المسلّمة، فيكون إطلاقه عليها إطلاقًا لاسم اللازم على ملزومه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الّذي أفاده المحقّق التفتازانيّ</w:t>
      </w:r>
      <w:r>
        <w:rPr>
          <w:rStyle w:val="FootnoteAnchor"/>
          <w:rtl w:val="true"/>
        </w:rPr>
        <w:footnoteReference w:id="270"/>
      </w:r>
      <w:r>
        <w:rPr>
          <w:rFonts w:ascii="IRNazanin" w:hAnsi="IRNazanin" w:eastAsia="IRNazanin"/>
          <w:color w:val="111111"/>
          <w:sz w:val="28"/>
          <w:sz w:val="28"/>
          <w:szCs w:val="28"/>
          <w:rtl w:val="true"/>
          <w:lang w:bidi="fa-IR"/>
        </w:rPr>
        <w:t xml:space="preserve">، لكنّه مردود عليه بأنّ التصديق الّذي هو من شرائط العبادات هو التصديق الخاصّ، أي التصديق بما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والإيمان في اللغة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التصديق،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التصديق الخاصّ مستلزم للتصديق المطلق، فلعلّ هذا القدر كافٍ في المجازيّة،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ذكر في بيان أنّ الإيمان العبادات، غير تامّ، أمّا ما استدلّ به على أنّ العبادات هي الدين؛ فلأنّا لا نسلّم أنّ المشار إليه لاسم الإشارة هو ما ذكر، بل الظاهر أنّه الدين المخلص، أي الدين المخلص لله هو دين الملّة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استدلّ به على أنّ الإسلام هو الإيمان؛ فلأنّ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يَبْتَغِ غَيْرَ الْإِسْلَامِ دِينًا فَلَنْ يُقْبَلَ مِنْهُ</w:t>
      </w:r>
      <w:r>
        <w:rPr>
          <w:rStyle w:val="FootnoteAnchor"/>
          <w:rtl w:val="true"/>
        </w:rPr>
        <w:footnoteReference w:id="271"/>
      </w:r>
      <w:r>
        <w:rPr>
          <w:rFonts w:ascii="Amiri" w:hAnsi="Amiri" w:eastAsia="Amiri" w:cs="Amiri"/>
          <w:color w:val="111111"/>
          <w:sz w:val="28"/>
          <w:sz w:val="28"/>
          <w:szCs w:val="28"/>
          <w:rtl w:val="true"/>
          <w:lang w:bidi="ar-SA"/>
        </w:rPr>
        <w:t>إنّما يدلّ على النهي عن ابتغاء المغاير للإسلام بحيث يخرج بابتغائه عن الإسلام، والإيمان ليس كذلك، بل يؤكّده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غَيْرَ بَيْتٍ مِنَ الْمُسْلِمِينَ</w:t>
      </w:r>
      <w:r>
        <w:rPr>
          <w:rStyle w:val="FootnoteAnchor"/>
          <w:rtl w:val="true"/>
        </w:rPr>
        <w:footnoteReference w:id="272"/>
      </w:r>
      <w:r>
        <w:rPr>
          <w:rFonts w:ascii="Amiri" w:hAnsi="Amiri" w:eastAsia="Amiri" w:cs="Amiri"/>
          <w:color w:val="111111"/>
          <w:sz w:val="28"/>
          <w:sz w:val="28"/>
          <w:szCs w:val="28"/>
          <w:rtl w:val="true"/>
          <w:lang w:bidi="ar-SA"/>
        </w:rPr>
        <w:t>إنّما يعلم بقرينة المقام أنّ المسلمين بمعنى المؤمنين، ولا شبهة في جواز استعمال كلّ منهما مقام الآخر عند قيام القرينة، ولا يلزم منه اتّحاد مفهومي اللفظين،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يستلزم انسداد باب المجاز بالمرّة، إذ كلّ لفظ إذا استعمل في مقام الآخر يمكن أن يقال باللسان باتّحاد مفهوميهما، ولا ارتياب في فساده</w:t>
      </w:r>
      <w:r>
        <w:rPr>
          <w:rFonts w:eastAsia="Amiri" w:cs="Amiri" w:ascii="Amiri" w:hAnsi="Amiri"/>
          <w:color w:val="111111"/>
          <w:sz w:val="28"/>
          <w:szCs w:val="28"/>
          <w:rtl w:val="true"/>
          <w:lang w:bidi="ar-SA"/>
        </w:rPr>
        <w:t xml:space="preserve">. </w:t>
      </w:r>
      <w:bookmarkStart w:id="258" w:name="pg16224_170444"/>
    </w:p>
    <w:p>
      <w:pPr>
        <w:pStyle w:val="BookText"/>
        <w:rPr/>
      </w:pPr>
      <w:bookmarkEnd w:id="258"/>
      <w:r>
        <w:rPr>
          <w:rFonts w:ascii="IRNazanin" w:hAnsi="IRNazanin" w:eastAsia="IRNazanin"/>
          <w:color w:val="111111"/>
          <w:sz w:val="28"/>
          <w:sz w:val="28"/>
          <w:szCs w:val="28"/>
          <w:rtl w:val="true"/>
          <w:lang w:bidi="fa-IR"/>
        </w:rPr>
        <w:t>هذا، على أنّ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لَمْ تُؤْمِنُوا وَلَكِنْ قُولُوا أَسْلَمْنَا</w:t>
      </w:r>
      <w:r>
        <w:rPr>
          <w:rStyle w:val="FootnoteAnchor"/>
          <w:rtl w:val="true"/>
        </w:rPr>
        <w:footnoteReference w:id="273"/>
      </w:r>
      <w:r>
        <w:rPr>
          <w:rFonts w:ascii="Amiri" w:hAnsi="Amiri" w:eastAsia="Amiri" w:cs="Amiri"/>
          <w:color w:val="111111"/>
          <w:sz w:val="28"/>
          <w:sz w:val="28"/>
          <w:szCs w:val="28"/>
          <w:rtl w:val="true"/>
          <w:lang w:bidi="ar-SA"/>
        </w:rPr>
        <w:t>صريحٌ في تخالفهما، فمن أين ثبت أنّ الإيمان هو العبادات؟</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3734468_1280447820"/>
      <w:bookmarkStart w:id="260" w:name="_Toc100"/>
      <w:bookmarkEnd w:id="259"/>
      <w:r>
        <w:rPr>
          <w:rtl w:val="true"/>
        </w:rPr>
        <w:t>الدليل الثاني للمعتزلة لإثبات الحقيقة الدينيّة</w:t>
      </w:r>
      <w:bookmarkEnd w:id="260"/>
    </w:p>
    <w:p>
      <w:pPr>
        <w:pStyle w:val="Heading6"/>
        <w:numPr>
          <w:ilvl w:val="5"/>
          <w:numId w:val="1"/>
        </w:numPr>
        <w:rPr/>
      </w:pPr>
      <w:bookmarkStart w:id="261" w:name="__RefHeading___Toc3734470_1280447820"/>
      <w:bookmarkStart w:id="262" w:name="_Toc101"/>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واستدلّوا أيضًا في أنّ الإيمان الأعمال، بأنّه لو لم يكن كذلك بل كان الإيمان هو التصديق، لزم أن يكون قاطع الطريق المصدِّق مؤمنًا، والتالي باطل، فالمقدّم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الملازمة فظاهرة؛ لوضوح أنّ قطّاع الطريق المعبّر عنهم في ألسنة الفقهاء بالمحاربين، يمكن أن يكونوا مصدّقين لما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يكونون مؤمنين؛ لأنّ المفروض أنّ الإيمان عبارة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بطلان التالي؛ فلأنّ قاطع الطريق مخزيٌّ يوم القيامة، والمؤمن ليس بمخزيّ، فقاطع الطريق ليس بمؤمن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الصغرى؛ فلقوله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الكبرى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يُخْزِي الله النَّبِيَّ وَالَّذِينَ آَمَنُوا مَعَهُ</w:t>
      </w:r>
      <w:r>
        <w:rPr>
          <w:rStyle w:val="FootnoteAnchor"/>
          <w:rtl w:val="true"/>
        </w:rPr>
        <w:footnoteReference w:id="275"/>
      </w:r>
      <w:r>
        <w:rPr>
          <w:rFonts w:ascii="Amiri" w:hAnsi="Amiri" w:eastAsia="Amiri" w:cs="Amiri"/>
          <w:color w:val="111111"/>
          <w:sz w:val="28"/>
          <w:sz w:val="28"/>
          <w:szCs w:val="28"/>
          <w:rtl w:val="true"/>
          <w:lang w:bidi="ar-SA"/>
        </w:rPr>
        <w:t xml:space="preserve">، وحيث قد ثبت أنّ الإيمان ليس بتصديق، تعيّن أنّه الأعمال والعبادات؛ لانتفاء </w:t>
      </w:r>
      <w:bookmarkStart w:id="263" w:name="pg16224_170445"/>
    </w:p>
    <w:p>
      <w:pPr>
        <w:pStyle w:val="BookText"/>
        <w:rPr/>
      </w:pPr>
      <w:bookmarkEnd w:id="263"/>
      <w:r>
        <w:rPr>
          <w:rFonts w:ascii="Amiri" w:hAnsi="Amiri" w:eastAsia="Amiri" w:cs="Amiri"/>
          <w:color w:val="111111"/>
          <w:sz w:val="28"/>
          <w:sz w:val="28"/>
          <w:szCs w:val="28"/>
          <w:rtl w:val="true"/>
          <w:lang w:bidi="ar-SA"/>
        </w:rPr>
        <w:t>القول الثالث؛ ولمّا لم يتحقّق مناسبة بين المعنى اللغويّ للإيمان والعبادات، انتفى احتمال المجازيّة والنقل، فلم يبقَ إلّا أن يكون ذلك من الموضوعات المبتدئة، وهو المطلوب</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4" w:name="__RefHeading___Toc3734472_1280447820"/>
      <w:bookmarkStart w:id="265" w:name="_Toc102"/>
      <w:bookmarkEnd w:id="264"/>
      <w:r>
        <w:rPr>
          <w:rtl w:val="true"/>
        </w:rPr>
        <w:t>الجواب عن الدليل الثاني للمعتزلة</w:t>
      </w:r>
      <w:bookmarkEnd w:id="265"/>
    </w:p>
    <w:p>
      <w:pPr>
        <w:pStyle w:val="BookText"/>
        <w:rPr/>
      </w:pPr>
      <w:r>
        <w:rPr>
          <w:rFonts w:ascii="Amiri" w:hAnsi="Amiri" w:eastAsia="Amiri" w:cs="Amiri"/>
          <w:color w:val="111111"/>
          <w:sz w:val="28"/>
          <w:sz w:val="28"/>
          <w:szCs w:val="28"/>
          <w:rtl w:val="true"/>
          <w:lang w:bidi="ar-SA"/>
        </w:rPr>
        <w:t>وفيه نظر، أمّا أوّلًا</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ذلك مشترك الورود؛ لجواز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لو كان عبارة عن العبادات، لكان قاطع الطريق المؤدّي لها مؤمنًا، واللازم باطل، فالملزوم مثله، أمّا الملازمة فبيّنة، إذ المفروض أنّ الإيمان العبادات، فلا محالة يكون المؤمن هو الآتي بها، وأمّا بطلان اللازم فبعين ما ذكر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وإن ذكروا في الاستدلال الأوّل أنّ الإيمان العبادات، لكنّهم لم يذكروا ذلك في الاستدلال الثاني، بل حكموا أنّ الإيمان الأعمال، فيمكن أن يكون مرادهم منها أعمّ منها، فحينئذٍ لا يرد عليهم النقض المذكور، إذ من جملة الأعمال كفّ النفس عن قطع الطريق، وقاطع الطريق لم يأتِ بذلك، فلا يكون مؤمنًا، فالنقض مندفع بناءً على أنّ الإيمان الأعمال، وغير مندفعٌ بناءً على أنّه التصديق، فحصل الافتراق</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تقدير أن يكون المراد بالأعمال العبادات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النفس عن هذا </w:t>
      </w:r>
    </w:p>
    <w:p>
      <w:pPr>
        <w:pStyle w:val="BookText"/>
        <w:rPr/>
      </w:pPr>
      <w:r>
        <w:rPr>
          <w:rFonts w:ascii="Amiri" w:hAnsi="Amiri" w:eastAsia="Amiri" w:cs="Amiri"/>
          <w:color w:val="111111"/>
          <w:sz w:val="28"/>
          <w:sz w:val="28"/>
          <w:szCs w:val="28"/>
          <w:rtl w:val="true"/>
          <w:lang w:bidi="ar-SA"/>
        </w:rPr>
        <w:t>العمل لكونه مبغوضًا لله تعالى عبادةٌ، والمفروض أنّه قطع الطريق، فلم يصدر عنه هذه الطاعة، فلا يكون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أنّ المطلوب بالنهي كفّ النفس، وهو محلّ الكلام، وعلى فرض التسليم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الأعمال غير متناهية، فعند صدور كفّ النفس عن قطع الطريق لا محالة أنّه تارك لبعض الأعمال، فينبغي أن لا يكون</w:t>
      </w:r>
      <w:r>
        <w:rPr>
          <w:rStyle w:val="FootnoteAnchor"/>
          <w:rtl w:val="true"/>
        </w:rPr>
        <w:footnoteReference w:id="278"/>
      </w:r>
      <w:r>
        <w:rPr>
          <w:rFonts w:ascii="Amiri" w:hAnsi="Amiri" w:eastAsia="Amiri" w:cs="Amiri"/>
          <w:color w:val="111111"/>
          <w:sz w:val="28"/>
          <w:sz w:val="28"/>
          <w:szCs w:val="28"/>
          <w:rtl w:val="true"/>
          <w:lang w:bidi="ar-SA"/>
        </w:rPr>
        <w:t>مؤمنًا، فلا يبقى للمؤمن مصداق، وهو بديهيّ الفساد، وعلى تقدير أن يكون المراد بالأعمال ما يمكن إرجاعه إلى العبادات بتحويل النيّات،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يبقى المطالبة لما دلّ على أنّ الإيمان الأعمال عند كونها أعمّ من الطاعة، ولم يذكروا فيه شيئًا، وعند كونها إيّاها قد عرفت ما تمسّكوا في إثباتها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فلأنّا لا نسلّم عند كون الإيمان بمعنى التصديق يلزم ما ذكر؛ لأنّ مَن صدّق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جاء به حقيقة لا يمكن له الإقدام على خلافه والإتيان بمنافيه ومغايره، ويشاهد من الأشخاص المصدّقين من الإقدام على تلك الأفعال القبيحة والآثار الرديّة والأعمال السيّئة، فليسوا بمصدّقين حقيقة،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الكبرى ممنوعة، والآية غير دالّة عليها؛ لورودها في الصحابة بدليل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فالقدر اللازم حينئذٍ عدم إخزائهم، ولا يلزم منه عدم إخزاء غيرهم ولو كان مؤمنًا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عدم اختصاص الآية الشريفة بالصحابة وشمولها لهم ولغيرهم، </w:t>
      </w:r>
    </w:p>
    <w:p>
      <w:pPr>
        <w:pStyle w:val="BookText"/>
        <w:rPr/>
      </w:pPr>
      <w:r>
        <w:rPr>
          <w:rFonts w:ascii="Amiri" w:hAnsi="Amiri" w:eastAsia="Amiri" w:cs="Amiri"/>
          <w:color w:val="111111"/>
          <w:sz w:val="28"/>
          <w:sz w:val="28"/>
          <w:szCs w:val="28"/>
          <w:rtl w:val="true"/>
          <w:lang w:bidi="ar-SA"/>
        </w:rPr>
        <w:t>لكنّها إنّما تكون دليلًا لما ذكر عند كون وَالَّذِينَ آَمَنُوا عطفًا على النَّبِيّ، وهو غير لازم؛ لجواز أن يكون مبتدأ 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نُورُهُمْ يَسْعَى بَيْنَ أَيْدِيهِمْ</w:t>
      </w:r>
      <w:r>
        <w:rPr>
          <w:rStyle w:val="FootnoteAnchor"/>
          <w:rtl w:val="true"/>
        </w:rPr>
        <w:footnoteReference w:id="279"/>
      </w:r>
      <w:r>
        <w:rPr>
          <w:rFonts w:ascii="Amiri" w:hAnsi="Amiri" w:eastAsia="Amiri" w:cs="Amiri"/>
          <w:color w:val="111111"/>
          <w:sz w:val="28"/>
          <w:sz w:val="28"/>
          <w:szCs w:val="28"/>
          <w:rtl w:val="true"/>
          <w:lang w:bidi="ar-SA"/>
        </w:rPr>
        <w:t>خبرًا له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نظر،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مفاد صدر الآية حينئذٍ الإخبار بعدم إخزاء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ولا فائدة فيه، وأمّا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قاطع الطريق المصدّق وغيره من المصدّقين المباشرين لأنواع المعاصي والمزاولين لأقسام المناهي حينئذٍ يكون مندرجًا في عموم الآية، فيشملهم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نُورُهُمْ يَسْعَى بَيْنَ أَيْدِيهِمْ ولا يخفى ما فيه</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16224_170449"/>
      <w:bookmarkStart w:id="267" w:name="pg16224_170449"/>
      <w:bookmarkEnd w:id="267"/>
    </w:p>
    <w:p>
      <w:pPr>
        <w:pStyle w:val="BookText"/>
        <w:rPr/>
      </w:pPr>
      <w:bookmarkStart w:id="268" w:name="pg16224_170449"/>
      <w:bookmarkEnd w:id="268"/>
      <w:r>
        <w:rPr>
          <w:rFonts w:ascii="Amiri" w:hAnsi="Amiri" w:eastAsia="Amiri" w:cs="Amiri"/>
          <w:color w:val="111111"/>
          <w:sz w:val="28"/>
          <w:sz w:val="28"/>
          <w:szCs w:val="28"/>
          <w:rtl w:val="true"/>
          <w:lang w:bidi="ar-SA"/>
        </w:rPr>
        <w:t>في تعريف الحقيقة اللغويّة</w:t>
      </w:r>
    </w:p>
    <w:p>
      <w:pPr>
        <w:pStyle w:val="Heading3"/>
        <w:numPr>
          <w:ilvl w:val="2"/>
          <w:numId w:val="1"/>
        </w:numPr>
        <w:rPr/>
      </w:pPr>
      <w:bookmarkStart w:id="269" w:name="__RefHeading___Toc3734474_1280447820"/>
      <w:bookmarkStart w:id="270" w:name="_Toc103"/>
      <w:bookmarkEnd w:id="269"/>
      <w:r>
        <w:rPr>
          <w:rtl w:val="true"/>
        </w:rPr>
        <w:t>الفصل الثاني</w:t>
      </w:r>
      <w:r>
        <w:rPr>
          <w:rtl w:val="true"/>
        </w:rPr>
        <w:t xml:space="preserve">: </w:t>
      </w:r>
      <w:r>
        <w:rPr>
          <w:rtl w:val="true"/>
        </w:rPr>
        <w:t>في الحقيقة اللغويّة</w:t>
      </w:r>
      <w:bookmarkEnd w:id="270"/>
    </w:p>
    <w:p>
      <w:pPr>
        <w:pStyle w:val="Heading4"/>
        <w:numPr>
          <w:ilvl w:val="3"/>
          <w:numId w:val="1"/>
        </w:numPr>
        <w:rPr/>
      </w:pPr>
      <w:bookmarkStart w:id="271" w:name="__RefHeading___Toc3734476_1280447820"/>
      <w:bookmarkStart w:id="272" w:name="_Toc104"/>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وتحقيق الحال فيها يستدعي التكلّم في تعريفها وثبوتها وواضعها، ففيها مباحث</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3734478_1280447820"/>
      <w:bookmarkStart w:id="274" w:name="_Toc105"/>
      <w:bookmarkEnd w:id="273"/>
      <w:r>
        <w:rPr>
          <w:rtl w:val="true"/>
        </w:rPr>
        <w:t>البحث الأوّل</w:t>
      </w:r>
      <w:r>
        <w:rPr>
          <w:rtl w:val="true"/>
        </w:rPr>
        <w:t xml:space="preserve">: </w:t>
      </w:r>
      <w:r>
        <w:rPr>
          <w:rtl w:val="true"/>
        </w:rPr>
        <w:t>في تعريف الحقيقة اللغويّة</w:t>
      </w:r>
      <w:bookmarkEnd w:id="274"/>
    </w:p>
    <w:p>
      <w:pPr>
        <w:pStyle w:val="Heading5"/>
        <w:numPr>
          <w:ilvl w:val="4"/>
          <w:numId w:val="1"/>
        </w:numPr>
        <w:rPr/>
      </w:pPr>
      <w:bookmarkStart w:id="275" w:name="__RefHeading___Toc3734480_1280447820"/>
      <w:bookmarkStart w:id="276" w:name="_Toc106"/>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عبارة عن الألفاظ الّتي يكون استفادة المعاني منها بمعونة وضع أهل اللغة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3734482_1280447820"/>
      <w:bookmarkStart w:id="278" w:name="_Toc107"/>
      <w:bookmarkEnd w:id="277"/>
      <w:r>
        <w:rPr>
          <w:rtl w:val="true"/>
        </w:rPr>
        <w:t>الإيراد على تعريف الحقيقة اللغويّة</w:t>
      </w:r>
      <w:bookmarkEnd w:id="278"/>
    </w:p>
    <w:p>
      <w:pPr>
        <w:pStyle w:val="BookText"/>
        <w:rPr/>
      </w:pPr>
      <w:r>
        <w:rPr>
          <w:rFonts w:ascii="Amiri" w:hAnsi="Amiri" w:eastAsia="Amiri" w:cs="Amiri"/>
          <w:color w:val="111111"/>
          <w:sz w:val="28"/>
          <w:sz w:val="28"/>
          <w:szCs w:val="28"/>
          <w:rtl w:val="true"/>
          <w:lang w:bidi="ar-SA"/>
        </w:rPr>
        <w:t>ويمكن الإيراد عليه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المعلوم أنّ الحقيقة اللغويّة عبارة عن الحقيقة عند أهل اللغة، أو في اللغة، فأخذ ذلك في حدّه لا يغني من جوع؛ لعدم تحصّل معرفة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منقوض طردًا وعكسًا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فلصدقه على الحقيقة الشرعيّة والعرفيّة؛ لوضوح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bookmarkStart w:id="279" w:name="pg16224_170450"/>
    </w:p>
    <w:p>
      <w:pPr>
        <w:pStyle w:val="BookText"/>
        <w:rPr/>
      </w:pPr>
      <w:bookmarkEnd w:id="279"/>
      <w:r>
        <w:rPr>
          <w:rFonts w:ascii="Amiri" w:hAnsi="Amiri" w:eastAsia="Amiri" w:cs="Amiri"/>
          <w:color w:val="111111"/>
          <w:sz w:val="28"/>
          <w:sz w:val="28"/>
          <w:szCs w:val="28"/>
          <w:rtl w:val="true"/>
          <w:lang w:bidi="ar-SA"/>
        </w:rPr>
        <w:t xml:space="preserve">مثلًا عند استعماله في المعنى الشرعيّ يصدق عليه أنّه استفيد منه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وضع أهل اللغة؛ وذلك عند استعماله فيه، وكذا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استعمالها في المعنى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وإن كان ممّا يمكن اندفاعه بإرادة الاستفادة الحاليّة، لكن عند وحدة المستعمل وتعدّد زمان الاستعمال، وأمّا في عكسه فلا كما لا يخفى، وقيد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مجد، إلّا أن يوجّه بما مرّ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يصدق الحدّ المذكور على المجاز اللغويّ؛ لأنّ المعنى المجازيّ هو المستفاد من اللفظ بمعونة وضعه للمعنى الحقيقيّ على ما ظهر ممّا بيّناه في أنّ الدالّ في المجازات هو اللفظ بشرط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يجوز أن يكون المراد بالاستفادة الاستفادة بالقوّة، وإلّا يلزم أن يكون اللفظ بمجرّد الوضع حقيقة، وهو غير صحيح كما مرّ مشروحًا، فلا بدّ أن يكون بالفعل؛ وحينئذٍ لو وضع لفظ واستعمل في الموضوع له ولم يستفد</w:t>
      </w:r>
      <w:r>
        <w:rPr>
          <w:rStyle w:val="FootnoteAnchor"/>
          <w:rtl w:val="true"/>
        </w:rPr>
        <w:footnoteReference w:id="282"/>
      </w:r>
      <w:r>
        <w:rPr>
          <w:rFonts w:ascii="Amiri" w:hAnsi="Amiri" w:eastAsia="Amiri" w:cs="Amiri"/>
          <w:color w:val="111111"/>
          <w:sz w:val="28"/>
          <w:sz w:val="28"/>
          <w:szCs w:val="28"/>
          <w:rtl w:val="true"/>
          <w:lang w:bidi="ar-SA"/>
        </w:rPr>
        <w:t>منه معنى لعدم التفات المخاطب، يلزم أن لا يكون اللفظ مع استعماله في الموضوع له حقيقة، وهو معلوم الفساد</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3734484_1280447820"/>
      <w:bookmarkStart w:id="281" w:name="_Toc108"/>
      <w:bookmarkEnd w:id="280"/>
      <w:r>
        <w:rPr>
          <w:rtl w:val="true"/>
        </w:rPr>
        <w:t>تعريف آخر للحقيقة اللغويّة</w:t>
      </w:r>
      <w:bookmarkEnd w:id="28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 في تعريفها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اللفظ المستعمل في الموضوع له الّذي لم يكن الواضع فيه الشرع والعرف من حيث إنّه مستعمل في الموضوع له الّذي لم </w:t>
      </w:r>
    </w:p>
    <w:p>
      <w:pPr>
        <w:pStyle w:val="BookText"/>
        <w:rPr/>
      </w:pPr>
      <w:r>
        <w:rPr>
          <w:rFonts w:ascii="Amiri" w:hAnsi="Amiri" w:eastAsia="Amiri" w:cs="Amiri"/>
          <w:color w:val="111111"/>
          <w:sz w:val="28"/>
          <w:sz w:val="28"/>
          <w:szCs w:val="28"/>
          <w:rtl w:val="true"/>
          <w:lang w:bidi="ar-SA"/>
        </w:rPr>
        <w:t>يكن كذلك، لكونه موضوعًا له؛ وتكون الحيثيّة 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الحقيقة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الّذي استعمل في الموضوع له الّذي لم يكن موضوعًا له للشرع والعرف وقت كونه مستعملًا في ذلك الموضوع له، وذلك الاستعمال لكون ذلك المعنى موضوعًا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يندفع الإيرادان، أمّا الأوّل فظاهر، وأمّا الثاني، أمّا بالنسبة إلى الانتقاض الطرديّ فلأنّ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حين استعماله في المعنى الشرعيّ مستعمل في الموضوع له الشرعيّ، فلا يصدق في تلك الحالة أنّه غير مستعمل في الموضوع له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اللفظ قبل الاستعمال في المعنى الشرعيّ قد استعمل في المعنى اللغويّ، فيصدق عليه في حالة استعماله في المعنى الشرعيّ أنّه استعمل في غير الموضوع له الشرعيّ من حيث إنّه غير الموضوع له الشرعيّ، فيلزم أن يكون ذلك اللفظ بالنسبة إلى المعنى الشرعيّ حقيقة لغويّة، وهو بديهيّ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الحقيقة اللغويّة ليس مطلق اللفظ المستعمل في ذلك الموضوع له، بل وقت كونه مستعملًا فيه، ومعلوم أنّ اللفظ المفروض في ذلك الوقت لم يستعمل في ذلك الموضوع له، بل في غير ذلك الوقت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الكلام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استعمالها في المعنى العرفيّ، لكن هذا لا شبهة فيه عند وحدة المستعمل وتعدّد زمان الاستعمال، وأمّا في عكسه،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بالنسبة إلى ذلك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الحقيقة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المستعمل في الموضوع له الّذي هو غير الموضوع له الشرعيّ والعرفيّ وقت كونه مستعملًا في </w:t>
      </w:r>
      <w:bookmarkStart w:id="282" w:name="pg16224_170452"/>
    </w:p>
    <w:p>
      <w:pPr>
        <w:pStyle w:val="BookText"/>
        <w:rPr/>
      </w:pPr>
      <w:bookmarkEnd w:id="282"/>
      <w:r>
        <w:rPr>
          <w:rFonts w:ascii="Amiri" w:hAnsi="Amiri" w:eastAsia="Amiri" w:cs="Amiri"/>
          <w:color w:val="111111"/>
          <w:sz w:val="28"/>
          <w:sz w:val="28"/>
          <w:szCs w:val="28"/>
          <w:rtl w:val="true"/>
          <w:lang w:bidi="ar-SA"/>
        </w:rPr>
        <w:t>ذلك المعنى بالنسبة إلى ذلك المعنى، فيندفع الانتقاض عند تعدّد المستعمل ووحدة زمان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الانتقاض العكسيّ، فغير محتاج إلى البيان، وهذا وإن اندفع به بعض النقوض السابقة عن</w:t>
      </w:r>
      <w:r>
        <w:rPr>
          <w:rStyle w:val="FootnoteAnchor"/>
          <w:rtl w:val="true"/>
        </w:rPr>
        <w:footnoteReference w:id="283"/>
      </w:r>
      <w:r>
        <w:rPr>
          <w:rFonts w:ascii="Amiri" w:hAnsi="Amiri" w:eastAsia="Amiri" w:cs="Amiri"/>
          <w:color w:val="111111"/>
          <w:sz w:val="28"/>
          <w:sz w:val="28"/>
          <w:szCs w:val="28"/>
          <w:rtl w:val="true"/>
          <w:lang w:bidi="ar-SA"/>
        </w:rPr>
        <w:t>الحدّ الأوّل أيضًا، لكن لمّا لم يندفع به جميعها، فلهذا أغفلنا ذكره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والتقييد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لكونه</w:t>
      </w:r>
      <w:r>
        <w:rPr>
          <w:rStyle w:val="FootnoteAnchor"/>
          <w:rtl w:val="true"/>
        </w:rPr>
        <w:footnoteReference w:id="284"/>
      </w:r>
      <w:r>
        <w:rPr>
          <w:rFonts w:ascii="Amiri" w:hAnsi="Amiri" w:eastAsia="Amiri" w:cs="Amiri"/>
          <w:color w:val="111111"/>
          <w:sz w:val="28"/>
          <w:sz w:val="28"/>
          <w:szCs w:val="28"/>
          <w:rtl w:val="true"/>
          <w:lang w:bidi="ar-SA"/>
        </w:rPr>
        <w:t>موضوعًا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للاحتراز عن اللفظ الّذي استعمله الشرع أو العرف في المعنى اللغويّ مجازًا، فإنّه لو لم يكن القيد المذكور، يلزم أن يكون حقيقة لغويّة، إذ يصدق عليه أنّه لفظ استعمل في الموضوع له الّذي لم يكن موضوعًا له للشرع له والعرف، وأنّه في هذا الوقت مستعمل في ذلك الموضوع له، لكن ليس الاستعمال لكون المعنى موضوعًا له، بل لكونه معنى مجازيًّا</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3734486_1280447820"/>
      <w:bookmarkStart w:id="284" w:name="_Toc109"/>
      <w:bookmarkEnd w:id="283"/>
      <w:r>
        <w:rPr>
          <w:rtl w:val="true"/>
        </w:rPr>
        <w:t>الإيراد على التعريف مع الجواب عنه</w:t>
      </w:r>
      <w:bookmarkEnd w:id="284"/>
    </w:p>
    <w:p>
      <w:pPr>
        <w:pStyle w:val="BookText"/>
        <w:rPr/>
      </w:pPr>
      <w:r>
        <w:rPr>
          <w:rFonts w:ascii="Amiri" w:hAnsi="Amiri" w:eastAsia="Amiri" w:cs="Amiri"/>
          <w:color w:val="111111"/>
          <w:sz w:val="28"/>
          <w:sz w:val="28"/>
          <w:szCs w:val="28"/>
          <w:rtl w:val="true"/>
          <w:lang w:bidi="ar-SA"/>
        </w:rPr>
        <w:t>نعم، يرد في المقام شيء آخر، وهو أنّ الحدّ المذكور إنّما يتمّ إذا كان المراد من الشارع في الحقيقة الشرعيّة غير الله سبحانه، أو لم يكن وضع اللغة مستندًا إلى الله تعالى؛ والأوّل قد تقدّم الكلام فيه، والثاني سيجيء البحث فيه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اللفظ المستعمل في الموضوع له لأهل اللغة وقت كونه مستعملًا فيه بالنسبة إليه لكونه موضوعًا له، يسلم من ذلك أيضًا؛ وليس فيه إلّا أنّ التحديد </w:t>
      </w:r>
    </w:p>
    <w:p>
      <w:pPr>
        <w:pStyle w:val="BookText"/>
        <w:rPr/>
      </w:pPr>
      <w:r>
        <w:rPr>
          <w:rFonts w:ascii="Amiri" w:hAnsi="Amiri" w:eastAsia="Amiri" w:cs="Amiri"/>
          <w:color w:val="111111"/>
          <w:sz w:val="28"/>
          <w:sz w:val="28"/>
          <w:szCs w:val="28"/>
          <w:rtl w:val="true"/>
          <w:lang w:bidi="ar-SA"/>
        </w:rPr>
        <w:t>إنّما هو لمعرفة المحدود، ومعرفته متوقّفة على معرفة الحدّ، ومعرفته موقوفة على معرفة أجزائه، ومن أجزائه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بجزئيها المضاف والمضاف إليه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الحقيقة اللغويّة بناءً على الحدّ المذكور متوقّفةٌ على معرفة أهل اللغة، فلو عرفت</w:t>
      </w:r>
      <w:r>
        <w:rPr>
          <w:rStyle w:val="FootnoteAnchor"/>
          <w:rtl w:val="true"/>
        </w:rPr>
        <w:footnoteReference w:id="285"/>
      </w:r>
      <w:r>
        <w:rPr>
          <w:rFonts w:ascii="Amiri" w:hAnsi="Amiri" w:eastAsia="Amiri" w:cs="Amiri"/>
          <w:color w:val="111111"/>
          <w:sz w:val="28"/>
          <w:sz w:val="28"/>
          <w:szCs w:val="28"/>
          <w:rtl w:val="true"/>
          <w:lang w:bidi="ar-SA"/>
        </w:rPr>
        <w:t>بذلك، ثمّ فسّر ذلك، يندفع المحذور بحذافيره،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معرفة المضاف يتحصّل ممّا يأتي في تعيين واضع اللغات، فالكلام في هذا المقام في تفسير المضاف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مفسّرة في كلام جماعة من العلماء باللفظ الموضوع لمعنى، لكن لا شبهة في صدق ذلك بالنسبة إلى كلّ من الحقيقة الشرعيّة والعرفيّة أيضًا، فعلى هذا يلزم أن يكون كلّ واحد منهما حقيقة لغويّة، فلا يكون الحدّ المذكور مطّردًا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يكون المراد من الوضع المأخوذ في تفسير اللغة وضعًا مستأنفًا، أي لا يكون مسبوقًا بوضع آخر، ومعلوم أنّ كلًّا من الحقيقة الشرعيّة والعرفيّة ليس الوضع فيه مستأنفًا، بل مسبوق بوضع آخر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أن يكون الوضع في الحقيقة الشرعيّة غير مستأنف؛ لوضوح أنّها عبارة عن الألفاظ الّتي يكون استفادة المعاني منها بمعونة وضع الشرع، سواء كان منقولًا أو ابتدائيًّا، وأيضًا يمكن في كلّ زمان لكلّ أحد أن يخترع لفظًا ووضعه لمعنى، فيكون الوضع فيه مستأنفًا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الاحتمال المذكور وإن كان جائزًا، لكنّه محض احتمال؛ لما عرفت من أنّ المتحقّق من الحقيقة الشرعيّة خلاف ذلك؛ والتعريف المذكور للّغة إنّما هو بالنسبة إلى الواقع، فلا تضرّه الأمور المحتملة الغير الواقعة، وعلى تقدير ثبوت اللفظ المخترع الموضوع في هذه الأزمان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اللغة أيضًا، فلا يضرّ دخوله، بل خروجه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يتوجّه هنا شيء آخر، وهو أنّ الأمر لو كان كذلك ينبغي أن يعرف الحقيقة اللغويّة أوّلًا بذلك حتّى لا يحتاج إلى هذا التطويل، ولا يلزم شبهة الدور أيضًا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الحقيقة اللغويّة اللفظ المستعمل في الموضوع له الابتدائيّ، أو الّذي لم يسبق عليه وضع ونحوهما</w:t>
      </w:r>
      <w:r>
        <w:rPr>
          <w:rStyle w:val="FootnoteAnchor"/>
          <w:rtl w:val="true"/>
        </w:rPr>
        <w:footnoteReference w:id="286"/>
      </w:r>
      <w:r>
        <w:rPr>
          <w:rFonts w:ascii="Amiri" w:hAnsi="Amiri" w:eastAsia="Amiri" w:cs="Amiri"/>
          <w:color w:val="111111"/>
          <w:sz w:val="28"/>
          <w:sz w:val="28"/>
          <w:szCs w:val="28"/>
          <w:rtl w:val="true"/>
          <w:lang w:bidi="ar-SA"/>
        </w:rPr>
        <w:t>مع انضمام ما تقدّم من القيود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اللغة لها إطلاقان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وعامّ، والإطلاق العامّ يشمل جميع الألفاظ الموضوعة وإن كانت عرفيّة، وفي القاموس</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أصوات يعبّر بها كلّ قوم عن أغراضهم</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فلو كان المعرّف اللغة بهذا الإطلاق، لا بدّ أن يبقى الوضع المأخوذ في حدّها على الإطلاق بحيث يشمل الوضع المسبوق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والإطلاق الخاصّ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في اللغة كذا، وفي العرف كذا، وتقييد الوضع المأخوذ في حدّها بالسابق إنّما يناسب إذا كان المعرّف اللغة بهذا الإطلاق، فتأمّل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التعريف المذكور في كلام الجماعة</w:t>
      </w:r>
      <w:r>
        <w:rPr>
          <w:rStyle w:val="FootnoteAnchor"/>
          <w:rtl w:val="true"/>
        </w:rPr>
        <w:footnoteReference w:id="288"/>
      </w:r>
      <w:r>
        <w:rPr>
          <w:rFonts w:ascii="Amiri" w:hAnsi="Amiri" w:eastAsia="Amiri" w:cs="Amiri"/>
          <w:color w:val="111111"/>
          <w:sz w:val="28"/>
          <w:sz w:val="28"/>
          <w:szCs w:val="28"/>
          <w:rtl w:val="true"/>
          <w:lang w:bidi="ar-SA"/>
        </w:rPr>
        <w:t>، فالظاهر أنّه للّغة بالإطلاق العامّ</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16224_170457"/>
      <w:bookmarkStart w:id="286" w:name="pg16224_170457"/>
      <w:bookmarkEnd w:id="286"/>
    </w:p>
    <w:p>
      <w:pPr>
        <w:pStyle w:val="BookText"/>
        <w:rPr/>
      </w:pPr>
      <w:bookmarkStart w:id="287" w:name="pg16224_170457"/>
      <w:bookmarkEnd w:id="287"/>
      <w:r>
        <w:rPr>
          <w:rFonts w:ascii="Amiri" w:hAnsi="Amiri" w:eastAsia="Amiri" w:cs="Amiri"/>
          <w:color w:val="111111"/>
          <w:sz w:val="28"/>
          <w:sz w:val="28"/>
          <w:szCs w:val="28"/>
          <w:rtl w:val="true"/>
          <w:lang w:bidi="ar-SA"/>
        </w:rPr>
        <w:t>في ثبوت الحقيقة اللغويّة</w:t>
      </w:r>
    </w:p>
    <w:p>
      <w:pPr>
        <w:pStyle w:val="Heading4"/>
        <w:numPr>
          <w:ilvl w:val="3"/>
          <w:numId w:val="1"/>
        </w:numPr>
        <w:rPr/>
      </w:pPr>
      <w:bookmarkStart w:id="288" w:name="__RefHeading___Toc3734488_1280447820"/>
      <w:bookmarkStart w:id="289" w:name="_Toc110"/>
      <w:bookmarkEnd w:id="288"/>
      <w:r>
        <w:rPr>
          <w:rtl w:val="true"/>
        </w:rPr>
        <w:t>والبحث الثاني</w:t>
      </w:r>
      <w:r>
        <w:rPr>
          <w:rtl w:val="true"/>
        </w:rPr>
        <w:t xml:space="preserve">: </w:t>
      </w:r>
      <w:r>
        <w:rPr>
          <w:rtl w:val="true"/>
        </w:rPr>
        <w:t>في ثبوت الحقيقة اللغويّة</w:t>
      </w:r>
      <w:bookmarkEnd w:id="289"/>
    </w:p>
    <w:p>
      <w:pPr>
        <w:pStyle w:val="Heading5"/>
        <w:numPr>
          <w:ilvl w:val="4"/>
          <w:numId w:val="1"/>
        </w:numPr>
        <w:rPr/>
      </w:pPr>
      <w:bookmarkStart w:id="290" w:name="__RefHeading___Toc3734490_1280447820"/>
      <w:bookmarkStart w:id="291" w:name="_Toc111"/>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كلام جماعة من الأعلام أنّ ثبوتها من القطعيّات الّتي لا تقبل التشكيك،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أحلّه الله تعالى دار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احتجّوا على إثباتها بأنّ هنا</w:t>
      </w:r>
      <w:r>
        <w:rPr>
          <w:rStyle w:val="FootnoteAnchor"/>
          <w:rtl w:val="true"/>
        </w:rPr>
        <w:footnoteReference w:id="289"/>
      </w:r>
      <w:r>
        <w:rPr>
          <w:rFonts w:ascii="Amiri" w:hAnsi="Amiri" w:eastAsia="Amiri" w:cs="Amiri"/>
          <w:color w:val="111111"/>
          <w:sz w:val="28"/>
          <w:sz w:val="28"/>
          <w:szCs w:val="28"/>
          <w:rtl w:val="true"/>
          <w:lang w:bidi="ar-SA"/>
        </w:rPr>
        <w:t>ألفاظًا مستعملة في معان، فإن كانت هي الموضوع</w:t>
      </w:r>
      <w:r>
        <w:rPr>
          <w:rStyle w:val="FootnoteAnchor"/>
          <w:rtl w:val="true"/>
        </w:rPr>
        <w:footnoteReference w:id="290"/>
      </w:r>
      <w:r>
        <w:rPr>
          <w:rFonts w:ascii="Amiri" w:hAnsi="Amiri" w:eastAsia="Amiri" w:cs="Amiri"/>
          <w:color w:val="111111"/>
          <w:sz w:val="28"/>
          <w:sz w:val="28"/>
          <w:szCs w:val="28"/>
          <w:rtl w:val="true"/>
          <w:lang w:bidi="ar-SA"/>
        </w:rPr>
        <w:t>لها كانت حقائق، وهو المطلوب، وإن كانت غيرها كانت مجازات، والمجاز مسبوق بالحقيقة وفرع عليها، ووجود الفرع يستلزم وجود الأصل، فالحقيقة موجودة قطعًا</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بالاستعمال في تلك المعاني إمّا عند أهل العرف، أو اللغة، وإن كان المراد الأوّل، فالمناسب أن يقرّر الدليل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 ألفاظًا يفهم منها معان، فإن كانت تلك المعاني مفهومة منها عند أهل اللغة ثبت المطلوب، وإلّا كانت مجازات لغويّة، إلخ</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الترديد غير حاصر؛ لجواز أن يكون حقيقة عرفيّة</w:t>
      </w:r>
      <w:r>
        <w:rPr>
          <w:rFonts w:eastAsia="Amiri" w:cs="Amiri" w:ascii="Amiri" w:hAnsi="Amiri"/>
          <w:color w:val="111111"/>
          <w:sz w:val="28"/>
          <w:szCs w:val="28"/>
          <w:rtl w:val="true"/>
          <w:lang w:bidi="ar-SA"/>
        </w:rPr>
        <w:t xml:space="preserve">. </w:t>
      </w:r>
      <w:bookmarkStart w:id="292" w:name="pg16224_170458"/>
    </w:p>
    <w:p>
      <w:pPr>
        <w:pStyle w:val="Heading5"/>
        <w:numPr>
          <w:ilvl w:val="4"/>
          <w:numId w:val="1"/>
        </w:numPr>
        <w:rPr/>
      </w:pPr>
      <w:bookmarkStart w:id="293" w:name="__RefHeading___Toc3734492_1280447820"/>
      <w:bookmarkStart w:id="294" w:name="_Toc112"/>
      <w:bookmarkEnd w:id="292"/>
      <w:bookmarkEnd w:id="293"/>
      <w:r>
        <w:rPr>
          <w:rtl w:val="true"/>
        </w:rPr>
        <w:t>في الفرق بين المنقول والمجاز مع اشتراكهما في الاستعمال في المعنى المناسب</w:t>
      </w:r>
      <w:bookmarkEnd w:id="294"/>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الحقيقة العرفيّة مجازات لغويّة؛ لأنّها منقولات من المعاني الأصليّة إلى غيرها لتحقّق المناسبة بينهما، واستعمال اللفظ في المعنى المناسب للموضوع له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في المعنى المناسب إنّما</w:t>
      </w:r>
      <w:r>
        <w:rPr>
          <w:rStyle w:val="FootnoteAnchor"/>
          <w:rtl w:val="true"/>
        </w:rPr>
        <w:footnoteReference w:id="292"/>
      </w:r>
      <w:r>
        <w:rPr>
          <w:rFonts w:ascii="Amiri" w:hAnsi="Amiri" w:eastAsia="Amiri" w:cs="Amiri"/>
          <w:color w:val="111111"/>
          <w:sz w:val="28"/>
          <w:sz w:val="28"/>
          <w:szCs w:val="28"/>
          <w:rtl w:val="true"/>
          <w:lang w:bidi="ar-SA"/>
        </w:rPr>
        <w:t>يكون مجازًا إذا كان الاستعمال للمناسبة، ومطلق الاستعمال في المعنى المناسب لا يكفي لتصحيح المجازيّة، والقدر المسلّم في الحقيقة العرفيّة تحقّق المناسبة، لا أن يكون الاستعمال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اللفظ في المعنى المنقول إليه الّذي هو المعنى العرفيّ للنقل، والنقل للمناسبة، فينتج أنّ الاستعمال للمناسبة، فتحقّقت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ذلك يلزم أن تكون الحقائق العرفيّة بأسرها حال كونها حقائق مجازًا ولو عند الناقل، وهو بيّن الفساد، بل الفارق في المقامين أنّ المعتبر في المجاز ملاحظة المناسبة حال الاستعمال، وفي الحقائق العرفيّة حال النقل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الاستعمال في المعنى العرفيّ للنقل والنقل للمناسبة، فالاستعمال للمناسبة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يجدي نفعًا؛ لأنّ توقّف الاستعمال في المنقولات على المناسبة إنّما هو لتوقّف النقل عليها، لا لتوقّف أصل الاستعمال، والمجاز هو ما توقّف أصل الاستعمال عليها</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 ما توقّف الاستعمال فيه على المناسبة من غير واسطة، والمتحقّق في النقل توقّفه معها، فافترق الأمران مع اشتراكهما في الاستعمال في المعنى المناسب للموضوع 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تلك الألفاظ حقائق عرفيّة، يكفي لإثبات المدّعى، بناءً على أنّها حينئذٍ تكون ألفاظًا منقولة عن معانيها اللغويّة، فهي بالنسبة إلى المعاني المنقولة إليها وإن كانت حقائق عرفيّة، لكنّها بالنسبة إلى المعاني المنقول منها حقائق لغويّة، فثبت المدّعى</w:t>
      </w:r>
      <w:r>
        <w:rPr>
          <w:rFonts w:eastAsia="Amiri" w:cs="Amiri" w:ascii="Amiri" w:hAnsi="Amiri"/>
          <w:color w:val="111111"/>
          <w:sz w:val="28"/>
          <w:szCs w:val="28"/>
          <w:rtl w:val="true"/>
          <w:lang w:bidi="ar-SA"/>
        </w:rPr>
        <w:t xml:space="preserve">. </w:t>
      </w:r>
      <w:bookmarkStart w:id="295" w:name="pg16224_170460"/>
    </w:p>
    <w:p>
      <w:pPr>
        <w:pStyle w:val="BookText"/>
        <w:rPr/>
      </w:pPr>
      <w:bookmarkEnd w:id="295"/>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اللازم من النقل وجود</w:t>
      </w:r>
      <w:r>
        <w:rPr>
          <w:rStyle w:val="FootnoteAnchor"/>
          <w:rtl w:val="true"/>
        </w:rPr>
        <w:footnoteReference w:id="294"/>
      </w:r>
      <w:r>
        <w:rPr>
          <w:rFonts w:ascii="Amiri" w:hAnsi="Amiri" w:eastAsia="Amiri" w:cs="Amiri"/>
          <w:color w:val="111111"/>
          <w:sz w:val="28"/>
          <w:sz w:val="28"/>
          <w:szCs w:val="28"/>
          <w:rtl w:val="true"/>
          <w:lang w:bidi="ar-SA"/>
        </w:rPr>
        <w:t>المعاني المنقول منها، وأمّا الاستعمال فيها فلا؛ والحقيقة اللغويّة إنّما يلزم وجودها إذا ثبت الاستعمال فيها، فاللازم غير كافٍ لإثبات المدّعى، والكافي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الثاني</w:t>
      </w:r>
      <w:r>
        <w:rPr>
          <w:rStyle w:val="FootnoteAnchor"/>
          <w:rtl w:val="true"/>
        </w:rPr>
        <w:footnoteReference w:id="295"/>
      </w:r>
      <w:r>
        <w:rPr>
          <w:rFonts w:ascii="Amiri" w:hAnsi="Amiri" w:eastAsia="Amiri" w:cs="Amiri"/>
          <w:color w:val="111111"/>
          <w:sz w:val="28"/>
          <w:sz w:val="28"/>
          <w:szCs w:val="28"/>
          <w:rtl w:val="true"/>
          <w:lang w:bidi="ar-SA"/>
        </w:rPr>
        <w:t xml:space="preserve">،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المجاز مسبوق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296"/>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لأنّ القدر المسلّم اللازم من وجود المجاز مسبوقيّته بالوضع والموضوع له، وأمّا مسبوقيّته بالحقيقة فلا، وإنّما يلزم ذلك إذا استلزم الوضع لمعنى الاستعمال فيه، وهو ممنوع وقد مرّ تحقيقه مشروحًا</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3734494_1280447820"/>
      <w:bookmarkStart w:id="297" w:name="_Toc113"/>
      <w:bookmarkEnd w:id="296"/>
      <w:r>
        <w:rPr>
          <w:rtl w:val="true"/>
        </w:rPr>
        <w:t>دليلٌ آخر لإثبات الحقيقة اللغويّة</w:t>
      </w:r>
      <w:bookmarkEnd w:id="29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يستدلّ للإثبات بأنّه لا شبهة في أنّ ههنا ألفاظًا مخصوصة حقائق في معانٍ مخصوصة لتحقّق خواصّها فيها، كالأرض والسماء والنار والماء وغيرها ممّا لا يخفى، فهي إمّا حقائق لغويّة، أو عرفيّة؛ لا سبيل إلى الثاني؛ لأنّه متوقّف على النقل </w:t>
      </w:r>
    </w:p>
    <w:p>
      <w:pPr>
        <w:pStyle w:val="BookText"/>
        <w:rPr/>
      </w:pPr>
      <w:r>
        <w:rPr>
          <w:rFonts w:ascii="Amiri" w:hAnsi="Amiri" w:eastAsia="Amiri" w:cs="Amiri"/>
          <w:color w:val="111111"/>
          <w:sz w:val="28"/>
          <w:sz w:val="28"/>
          <w:szCs w:val="28"/>
          <w:rtl w:val="true"/>
          <w:lang w:bidi="ar-SA"/>
        </w:rPr>
        <w:t>ومشروط به، وهو غير معلوم، فيندفع بأصالة العدم، فتعيّن الأوّل وهو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المعاني المستعمل فيها مردّدة بين كونها حقائق لغويّة، أو عرفيّة، وحيث قد انتفى الثاني بالأصل 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انتفاء احتمال العرفيّة بالأصل ليتعيّن</w:t>
      </w:r>
      <w:r>
        <w:rPr>
          <w:rStyle w:val="FootnoteAnchor"/>
          <w:rtl w:val="true"/>
        </w:rPr>
        <w:footnoteReference w:id="297"/>
      </w:r>
      <w:r>
        <w:rPr>
          <w:rFonts w:ascii="Amiri" w:hAnsi="Amiri" w:eastAsia="Amiri" w:cs="Amiri"/>
          <w:color w:val="111111"/>
          <w:sz w:val="28"/>
          <w:sz w:val="28"/>
          <w:szCs w:val="28"/>
          <w:rtl w:val="true"/>
          <w:lang w:bidi="ar-SA"/>
        </w:rPr>
        <w:t>اللغويّة، كذا يمكن عكسه بأن ندفع</w:t>
      </w:r>
      <w:r>
        <w:rPr>
          <w:rStyle w:val="FootnoteAnchor"/>
          <w:rtl w:val="true"/>
        </w:rPr>
        <w:footnoteReference w:id="298"/>
      </w:r>
      <w:r>
        <w:rPr>
          <w:rFonts w:ascii="Amiri" w:hAnsi="Amiri" w:eastAsia="Amiri" w:cs="Amiri"/>
          <w:color w:val="111111"/>
          <w:sz w:val="28"/>
          <w:sz w:val="28"/>
          <w:szCs w:val="28"/>
          <w:rtl w:val="true"/>
          <w:lang w:bidi="ar-SA"/>
        </w:rPr>
        <w:t>احتمال اللغويّة بالأصل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بإزاء هذا المعنى في اللغة غير معلوم، فالأصل عدمه، فيتعيّن</w:t>
      </w:r>
      <w:r>
        <w:rPr>
          <w:rStyle w:val="FootnoteAnchor"/>
          <w:rtl w:val="true"/>
        </w:rPr>
        <w:footnoteReference w:id="299"/>
      </w:r>
      <w:r>
        <w:rPr>
          <w:rFonts w:ascii="Amiri" w:hAnsi="Amiri" w:eastAsia="Amiri" w:cs="Amiri"/>
          <w:color w:val="111111"/>
          <w:sz w:val="28"/>
          <w:sz w:val="28"/>
          <w:szCs w:val="28"/>
          <w:rtl w:val="true"/>
          <w:lang w:bidi="ar-SA"/>
        </w:rPr>
        <w:t>العرفيّة، فإذا تعارضا تساقطا، فلم يثبت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بالأصل في دفع العرفيّة أولى؛ لأنّ الحقيقة العرفيّة يستلزم</w:t>
      </w:r>
      <w:r>
        <w:rPr>
          <w:rStyle w:val="FootnoteAnchor"/>
          <w:rtl w:val="true"/>
        </w:rPr>
        <w:footnoteReference w:id="300"/>
      </w:r>
      <w:r>
        <w:rPr>
          <w:rFonts w:ascii="Amiri" w:hAnsi="Amiri" w:eastAsia="Amiri" w:cs="Amiri"/>
          <w:color w:val="111111"/>
          <w:sz w:val="28"/>
          <w:sz w:val="28"/>
          <w:szCs w:val="28"/>
          <w:rtl w:val="true"/>
          <w:lang w:bidi="ar-SA"/>
        </w:rPr>
        <w:t>الوضع للمعنى المنقول منه والمنقول إليه والاستعمال في الثاني، فيتوقّف على تعدّد الوضع والاستعمال؛ بخلاف اللغويّة، فإنّها متوقّفة على وضع واحد والاستعمال، فهو أولى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يلزم على تقدير احتمال العرفيّة يلزم على تقدير اللغويّة مع أمر زائد، وهو تعدّد الوضع، فما يلزم على تقدير اللغويّة لاشتراكهما فيه متيقّن الثبوت، والزائد غير معلوم، فيندفع بالأصل، فيثبت المدّعى</w:t>
      </w:r>
      <w:r>
        <w:rPr>
          <w:rFonts w:eastAsia="Amiri" w:cs="Amiri" w:ascii="Amiri" w:hAnsi="Amiri"/>
          <w:color w:val="111111"/>
          <w:sz w:val="28"/>
          <w:szCs w:val="28"/>
          <w:rtl w:val="true"/>
          <w:lang w:bidi="ar-SA"/>
        </w:rPr>
        <w:t xml:space="preserve">. </w:t>
      </w:r>
      <w:bookmarkStart w:id="298" w:name="pg16224_170462"/>
    </w:p>
    <w:p>
      <w:pPr>
        <w:pStyle w:val="Heading4"/>
        <w:numPr>
          <w:ilvl w:val="3"/>
          <w:numId w:val="1"/>
        </w:numPr>
        <w:rPr/>
      </w:pPr>
      <w:bookmarkStart w:id="299" w:name="__RefHeading___Toc3734496_1280447820"/>
      <w:bookmarkStart w:id="300" w:name="_Toc114"/>
      <w:bookmarkEnd w:id="298"/>
      <w:bookmarkEnd w:id="299"/>
      <w:r>
        <w:rPr>
          <w:rtl w:val="true"/>
        </w:rPr>
        <w:t>المبحث الثالث</w:t>
      </w:r>
      <w:r>
        <w:rPr>
          <w:rtl w:val="true"/>
        </w:rPr>
        <w:t xml:space="preserve">: </w:t>
      </w:r>
      <w:r>
        <w:rPr>
          <w:rtl w:val="true"/>
        </w:rPr>
        <w:t>في واضع الحقيقة اللغويّة</w:t>
      </w:r>
      <w:bookmarkEnd w:id="300"/>
    </w:p>
    <w:p>
      <w:pPr>
        <w:pStyle w:val="Heading5"/>
        <w:numPr>
          <w:ilvl w:val="4"/>
          <w:numId w:val="1"/>
        </w:numPr>
        <w:rPr/>
      </w:pPr>
      <w:bookmarkStart w:id="301" w:name="__RefHeading___Toc3734498_1280447820"/>
      <w:bookmarkStart w:id="302" w:name="_Toc115"/>
      <w:bookmarkEnd w:id="301"/>
      <w:r>
        <w:rPr>
          <w:rtl w:val="true"/>
        </w:rPr>
        <w:t>اشارة</w:t>
      </w:r>
      <w:bookmarkEnd w:id="302"/>
    </w:p>
    <w:p>
      <w:pPr>
        <w:pStyle w:val="BookText"/>
        <w:rPr/>
      </w:pPr>
      <w:r>
        <w:rPr>
          <w:rFonts w:ascii="Amiri" w:hAnsi="Amiri" w:eastAsia="Amiri" w:cs="Amiri"/>
          <w:color w:val="111111"/>
          <w:sz w:val="28"/>
          <w:sz w:val="28"/>
          <w:szCs w:val="28"/>
          <w:rtl w:val="true"/>
          <w:lang w:bidi="ar-SA"/>
        </w:rPr>
        <w:t>وتنقيح البحث في هذا المرام يقتضي التكلّم في مقامات</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3734500_1280447820"/>
      <w:bookmarkStart w:id="304" w:name="_Toc116"/>
      <w:bookmarkEnd w:id="303"/>
      <w:r>
        <w:rPr>
          <w:rtl w:val="true"/>
        </w:rPr>
        <w:t>المقام الأوّل</w:t>
      </w:r>
      <w:r>
        <w:rPr>
          <w:rtl w:val="true"/>
        </w:rPr>
        <w:t xml:space="preserve">: </w:t>
      </w:r>
      <w:r>
        <w:rPr>
          <w:rtl w:val="true"/>
        </w:rPr>
        <w:t>في أنّ دلالة الألفاظ وضعيّة</w:t>
      </w:r>
      <w:bookmarkEnd w:id="304"/>
    </w:p>
    <w:p>
      <w:pPr>
        <w:pStyle w:val="Heading6"/>
        <w:numPr>
          <w:ilvl w:val="5"/>
          <w:numId w:val="1"/>
        </w:numPr>
        <w:rPr/>
      </w:pPr>
      <w:bookmarkStart w:id="305" w:name="__RefHeading___Toc3734502_1280447820"/>
      <w:bookmarkStart w:id="306" w:name="_Toc117"/>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الافتقار إلى تحقيق المسألة وماضاهاها إنّما هو على المشهور المنصور</w:t>
      </w:r>
      <w:r>
        <w:rPr>
          <w:rStyle w:val="FootnoteAnchor"/>
          <w:rtl w:val="true"/>
        </w:rPr>
        <w:footnoteReference w:id="301"/>
      </w:r>
      <w:r>
        <w:rPr>
          <w:rFonts w:ascii="Amiri" w:hAnsi="Amiri" w:eastAsia="Amiri" w:cs="Amiri"/>
          <w:color w:val="111111"/>
          <w:sz w:val="28"/>
          <w:sz w:val="28"/>
          <w:szCs w:val="28"/>
          <w:rtl w:val="true"/>
          <w:lang w:bidi="ar-SA"/>
        </w:rPr>
        <w:t>من كون دلالة الألفاظ وضعيّة؛ وأمّا على القول بأنّها ذاتيّة فلا، كما لا يخفى</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المقام في تصوير المرام يستدعي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خفاء في أنّ انتقال الذهن إلى معنى من المعاني دون غيره عند سماع اللفظ إنّما هو بسبب دلالته عليه؛ والدلالة لكونها من الأمور الموجودة</w:t>
      </w:r>
      <w:r>
        <w:rPr>
          <w:rStyle w:val="FootnoteAnchor"/>
          <w:rtl w:val="true"/>
        </w:rPr>
        <w:footnoteReference w:id="303"/>
      </w:r>
      <w:r>
        <w:rPr>
          <w:rFonts w:ascii="Amiri" w:hAnsi="Amiri" w:eastAsia="Amiri" w:cs="Amiri"/>
          <w:color w:val="111111"/>
          <w:sz w:val="28"/>
          <w:sz w:val="28"/>
          <w:szCs w:val="28"/>
          <w:rtl w:val="true"/>
          <w:lang w:bidi="ar-SA"/>
        </w:rPr>
        <w:t>لا تتصوّر من غير علّة، ضرورة أنّ وجود الممكن مع انتفاء الموجب ممّا يشهد باستحالته العيان، وضرورته كفّت عن إقامة البرهان</w:t>
      </w:r>
      <w:r>
        <w:rPr>
          <w:rFonts w:eastAsia="Amiri" w:cs="Amiri" w:ascii="Amiri" w:hAnsi="Amiri"/>
          <w:color w:val="111111"/>
          <w:sz w:val="28"/>
          <w:szCs w:val="28"/>
          <w:rtl w:val="true"/>
          <w:lang w:bidi="ar-SA"/>
        </w:rPr>
        <w:t xml:space="preserve">. </w:t>
      </w:r>
      <w:bookmarkStart w:id="307" w:name="pg16224_170463"/>
    </w:p>
    <w:p>
      <w:pPr>
        <w:pStyle w:val="BookText"/>
        <w:rPr/>
      </w:pPr>
      <w:bookmarkEnd w:id="307"/>
      <w:r>
        <w:rPr>
          <w:rFonts w:ascii="Amiri" w:hAnsi="Amiri" w:eastAsia="Amiri" w:cs="Amiri"/>
          <w:color w:val="111111"/>
          <w:sz w:val="28"/>
          <w:sz w:val="28"/>
          <w:szCs w:val="28"/>
          <w:rtl w:val="true"/>
          <w:lang w:bidi="ar-SA"/>
        </w:rPr>
        <w:t>وتلك العلّة إمّا مشتركة بين المعنى المفهوم من اللفظ وغيره، أو مختصّة بالأوّل، والأوّل بيّن الفساد ضروريّ البطلان؛ لاستلزامه تخلّف المعلول عن العلّة والترجيح من غير مرجّح، فتعيّن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الموجِب إمّا ذات اللفظ وطبيعته، بمعنى أنّ ذات اللفظ تناسب المعنى المفهوم منه دون غيره، وتلك المناسبة مستدعية لدلالته عليه وفهمه منه دون غيره، فتكون دلالة الألفاظ ذاتيّة، أي مستندة إلى ذاتها لذاتها، فلا يكون اللفظ في دلالته على المعنى المفهوم منه مفتقرًا إلى أمر مغاير له من الوضع وغيره؛ أو وضعه له، أي دلالته على معنى دون غيره إنّما هو لثبوت الوضع له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اشتراكهما في أنّ الدلالة وصف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اتّصاف اللفظ بها لم يكن</w:t>
      </w:r>
      <w:r>
        <w:rPr>
          <w:rStyle w:val="FootnoteAnchor"/>
          <w:rtl w:val="true"/>
        </w:rPr>
        <w:footnoteReference w:id="304"/>
      </w:r>
      <w:r>
        <w:rPr>
          <w:rFonts w:ascii="Amiri" w:hAnsi="Amiri" w:eastAsia="Amiri" w:cs="Amiri"/>
          <w:color w:val="111111"/>
          <w:sz w:val="28"/>
          <w:sz w:val="28"/>
          <w:szCs w:val="28"/>
          <w:rtl w:val="true"/>
          <w:lang w:bidi="ar-SA"/>
        </w:rPr>
        <w:t>بتوسّط الوضع على الأوّل وبتوسّطه على الثاني</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3734504_1280447820"/>
      <w:bookmarkStart w:id="309" w:name="_Toc118"/>
      <w:bookmarkEnd w:id="308"/>
      <w:r>
        <w:rPr>
          <w:rtl w:val="true"/>
        </w:rPr>
        <w:t>في احتجاج القائلين بأنّ دلالة الألفاظ ذاتيّة</w:t>
      </w:r>
      <w:bookmarkEnd w:id="30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محكيّ عن عبّاد بن سليمان</w:t>
      </w:r>
      <w:r>
        <w:rPr>
          <w:rStyle w:val="FootnoteAnchor"/>
          <w:rtl w:val="true"/>
        </w:rPr>
        <w:footnoteReference w:id="305"/>
      </w:r>
      <w:r>
        <w:rPr>
          <w:rFonts w:ascii="Amiri" w:hAnsi="Amiri" w:eastAsia="Amiri" w:cs="Amiri"/>
          <w:color w:val="111111"/>
          <w:sz w:val="28"/>
          <w:sz w:val="28"/>
          <w:szCs w:val="28"/>
          <w:rtl w:val="true"/>
          <w:lang w:bidi="ar-SA"/>
        </w:rPr>
        <w:t>وجمع من المعتزلة وأهل التكسير</w:t>
      </w:r>
      <w:r>
        <w:rPr>
          <w:rStyle w:val="FootnoteAnchor"/>
          <w:rtl w:val="true"/>
        </w:rPr>
        <w:footnoteReference w:id="306"/>
      </w:r>
      <w:r>
        <w:rPr>
          <w:rFonts w:ascii="Amiri" w:hAnsi="Amiri" w:eastAsia="Amiri" w:cs="Amiri"/>
          <w:color w:val="111111"/>
          <w:sz w:val="28"/>
          <w:sz w:val="28"/>
          <w:szCs w:val="28"/>
          <w:rtl w:val="true"/>
          <w:lang w:bidi="ar-SA"/>
        </w:rPr>
        <w:t xml:space="preserve">، ومستندهم في ذلك أنّه لو لم يكن بين اللفظ والمعنى مناسبة طبيعيّة، لزم الترجيح </w:t>
      </w:r>
      <w:bookmarkStart w:id="310" w:name="pg16224_170464"/>
    </w:p>
    <w:p>
      <w:pPr>
        <w:pStyle w:val="BookText"/>
        <w:rPr/>
      </w:pPr>
      <w:bookmarkEnd w:id="310"/>
      <w:r>
        <w:rPr>
          <w:rFonts w:ascii="Amiri" w:hAnsi="Amiri" w:eastAsia="Amiri" w:cs="Amiri"/>
          <w:color w:val="111111"/>
          <w:sz w:val="28"/>
          <w:sz w:val="28"/>
          <w:szCs w:val="28"/>
          <w:rtl w:val="true"/>
          <w:lang w:bidi="ar-SA"/>
        </w:rPr>
        <w:t>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تكن دلالة الألفاظ طبيعيّة، بل وضعيّة، لزم الترجيح من غير مرجّح،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الشرطيّة فلأنّه حينئذٍ يكون</w:t>
      </w:r>
      <w:r>
        <w:rPr>
          <w:rStyle w:val="FootnoteAnchor"/>
          <w:rtl w:val="true"/>
        </w:rPr>
        <w:footnoteReference w:id="307"/>
      </w:r>
      <w:r>
        <w:rPr>
          <w:rFonts w:ascii="Amiri" w:hAnsi="Amiri" w:eastAsia="Amiri" w:cs="Amiri"/>
          <w:color w:val="111111"/>
          <w:sz w:val="28"/>
          <w:sz w:val="28"/>
          <w:szCs w:val="28"/>
          <w:rtl w:val="true"/>
          <w:lang w:bidi="ar-SA"/>
        </w:rPr>
        <w:t>نسبة اللفظ إلى مسمّاه كنسبته إلى غيره، وكذا نسبة المسمّى إليه كنسبته إلى غيره، فتعيّن اللفظ لمسمّاه دون غيره ترجيح مع انتفاء المرجّح، وأمّا بطلان التالي فظاهر</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1" w:name="__RefHeading___Toc3734506_1280447820"/>
      <w:bookmarkStart w:id="312" w:name="_Toc119"/>
      <w:bookmarkEnd w:id="311"/>
      <w:r>
        <w:rPr>
          <w:rtl w:val="true"/>
        </w:rPr>
        <w:t>القول المذكور مبنيّ على أمور</w:t>
      </w:r>
      <w:bookmarkEnd w:id="312"/>
    </w:p>
    <w:p>
      <w:pPr>
        <w:pStyle w:val="Heading6"/>
        <w:numPr>
          <w:ilvl w:val="5"/>
          <w:numId w:val="1"/>
        </w:numPr>
        <w:rPr/>
      </w:pPr>
      <w:bookmarkStart w:id="313" w:name="__RefHeading___Toc3734508_1280447820"/>
      <w:bookmarkStart w:id="314" w:name="_Toc120"/>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تحقيق المقام في تصوير الفساد لهذا المقال يستدعي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المذكور مبنيّ على أمور</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3734510_1280447820"/>
      <w:bookmarkStart w:id="316" w:name="_Toc121"/>
      <w:bookmarkEnd w:id="315"/>
      <w:r>
        <w:rPr>
          <w:rtl w:val="true"/>
        </w:rPr>
        <w:t>الأمر الأوّل</w:t>
      </w:r>
      <w:bookmarkEnd w:id="31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الطبائع للحروف والألفاظ كسائر الموجودات العينيّة، ضرورة أنّ المناسبة المستندة إلى الطبيعة مع عدم تحقّقها غير معقول، وهو في بادي الأنظار </w:t>
      </w:r>
    </w:p>
    <w:p>
      <w:pPr>
        <w:pStyle w:val="BookText"/>
        <w:rPr/>
      </w:pPr>
      <w:r>
        <w:rPr>
          <w:rFonts w:ascii="Amiri" w:hAnsi="Amiri" w:eastAsia="Amiri" w:cs="Amiri"/>
          <w:color w:val="111111"/>
          <w:sz w:val="28"/>
          <w:sz w:val="28"/>
          <w:szCs w:val="28"/>
          <w:rtl w:val="true"/>
          <w:lang w:bidi="ar-SA"/>
        </w:rPr>
        <w:t>ممّا لا يعقل له معنى، كما يظهر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ممّا ادّعي إطباق علماء الأعداد عليه من أنّهم حكموا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للعناصر طبائع مختلفة باختلافها يختلف الآثار المستندة إليها، فإنّ طبيعة النار تقتضي الحرارة واليبوسة، والهواء تقتضي الحرارة والرطوبة، والماء البرودة والرطوبة، والأرض البرودة واليبوسة، كذلك للحروف طبائع مختلفة كطبائع العناصر، وقسّموها على الناريّة والهوائيّة والمائيّة والأرضيّة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فحكموا أنّها سبعة حروف، وهي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ع ﻫ ط ح ف ش، ويجمعها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أعهطحفش، وطبيعتها الحرارة واليبوسة كالنار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الهوائيّة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أيضًا، وهي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ي ص غ ظ ك ض، ويجمعها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قيصغظكض، وطبيعتها الحرارة والرطوبة كالهواء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ل ز ت ن ود، ويجمعها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سلزتنود، وطبيعتها البرودة والرطوبة كالماء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كذلك، وهي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 ر ب خ ث ذ، ويجمعها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جمربخثذ، وطبيعتها البرودة واليبوسة كالأرض</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وفرّعوا على ذلك باعتبار صورها الإفراديّة وتركيبها على الوجوه المختلفة أسرارًا عجيبة وآثارًا غريبة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317" w:name="pg16224_170466"/>
    </w:p>
    <w:p>
      <w:pPr>
        <w:pStyle w:val="Heading6"/>
        <w:numPr>
          <w:ilvl w:val="5"/>
          <w:numId w:val="1"/>
        </w:numPr>
        <w:rPr/>
      </w:pPr>
      <w:bookmarkStart w:id="318" w:name="__RefHeading___Toc3734512_1280447820"/>
      <w:bookmarkStart w:id="319" w:name="_Toc122"/>
      <w:bookmarkEnd w:id="317"/>
      <w:bookmarkEnd w:id="318"/>
      <w:r>
        <w:rPr>
          <w:rtl w:val="true"/>
        </w:rPr>
        <w:t>الأمر الثاني</w:t>
      </w:r>
      <w:bookmarkEnd w:id="319"/>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الطبائع للمسمّيات؛ لوضوح أنّ المناسبة الطبيعيّة بين الشيئين مع عدم ثبوتها لهما غير متصوّرة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لا خفاء فيه فيما إذا كان المسمّى من الجواهر من البسائط والمركّبات، مثل النار والهواء والماء والأرض والحيوانات والنباتات وغيرها، وأمّا الأعراض والمعاني كالأكل والضرب والمشي والبياض والسواد ونحوها، فمحلّ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الطبيعة بالنسبة إلى هذه الأمور الماهيّة، فتحقّقها حينئذٍ ممّا لا يرتاب أيضًا، لكن يتوجّه حينئذٍ عدم معلوميّة المناسبة بين الطبائع المثبتة للحروف وبين ماهيّات تلك المعاني؛ إذ الحكم بكون طبيعة البياض مثلًا الحرارة واليبوسة، بل الرطوبة، ممّا لا يعقل، مع أنّه قد تحقّق فيه بعض الحروف الناريّة والهوائيّة والأرضيّة، وهكذا في غيره</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3734514_1280447820"/>
      <w:bookmarkStart w:id="321" w:name="_Toc123"/>
      <w:bookmarkEnd w:id="320"/>
      <w:r>
        <w:rPr>
          <w:rtl w:val="true"/>
        </w:rPr>
        <w:t>الأمر الثالث</w:t>
      </w:r>
      <w:bookmarkEnd w:id="321"/>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المناسبة بين طبائع الحروف والألفاظ وطبائع المسمّيات بأن يكون بين طبيعة كلّ لفظ وطبيعة مسمّاه مناسبة ذاتيّة، ضرورة أنّ المناسبة الطبيعيّة بين اللفظ والمعنى لا تتحصّل إلّا بذلك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على وجه العموم ممّا يقطع بفساده، فإنّ لكلّ أحد أن يجعل أيّ لفظ شاء لأيّ معنى يريد من غير أن يدرك معنى الطبيعة، فضلًا عن ثبوتها للحروف، ولا ارتياب في دلالته عليه مع عدم تعقّل المناسبة الطبيعيّة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واحتمال اطّراد المناسبة الطبيعيّة ولو مع عدم تعقّلها ممّا لا يرتضيه</w:t>
      </w:r>
      <w:r>
        <w:rPr>
          <w:rStyle w:val="FootnoteAnchor"/>
          <w:rtl w:val="true"/>
        </w:rPr>
        <w:footnoteReference w:id="310"/>
      </w:r>
      <w:r>
        <w:rPr>
          <w:rFonts w:ascii="Amiri" w:hAnsi="Amiri" w:eastAsia="Amiri" w:cs="Amiri"/>
          <w:color w:val="111111"/>
          <w:sz w:val="28"/>
          <w:sz w:val="28"/>
          <w:szCs w:val="28"/>
          <w:rtl w:val="true"/>
          <w:lang w:bidi="ar-SA"/>
        </w:rPr>
        <w:t>الأوهام، فضلًا عن الأفهام، مع أنّ الدلالة لو كانت للمناسبة الطبيعيّة؛ لَما يتعقّل حصولها مع انتفاء تعقّلها كما لا يخفى، فلو كانت الدلالة للمناسبة المذكورة لامتنع تعيين لفظ لمعنى إلّا بعد تعقّل الطبيعة فيهما والعلم بتحقّق المناسبة، وهذا ممّا يشهد على فساده العيان ويحكم ببطلانه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يلزم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طبائع حروف الماء وطبيعة مسمّاه مناسبة ذاتيّة، فيلزم أن يكون</w:t>
      </w:r>
      <w:r>
        <w:rPr>
          <w:rStyle w:val="FootnoteAnchor"/>
          <w:rtl w:val="true"/>
        </w:rPr>
        <w:footnoteReference w:id="311"/>
      </w:r>
      <w:r>
        <w:rPr>
          <w:rFonts w:ascii="Amiri" w:hAnsi="Amiri" w:eastAsia="Amiri" w:cs="Amiri"/>
          <w:color w:val="111111"/>
          <w:sz w:val="28"/>
          <w:sz w:val="28"/>
          <w:szCs w:val="28"/>
          <w:rtl w:val="true"/>
          <w:lang w:bidi="ar-SA"/>
        </w:rPr>
        <w:t>طبيعة كلّ من الميم والألف مثلًا مناسبة لطبيعة المسمّى، فعلى هذا ينبغي امتناع وجود الألف في اللفظ الّذي للنار؛ لما عرفت من أنّ طبيعة النار حارّة يابسة، وطبيعة الماء باردة رطبة، وطبيعة الحرف الّذي</w:t>
      </w:r>
      <w:r>
        <w:rPr>
          <w:rStyle w:val="FootnoteAnchor"/>
          <w:rtl w:val="true"/>
        </w:rPr>
        <w:footnoteReference w:id="312"/>
      </w:r>
      <w:r>
        <w:rPr>
          <w:rFonts w:ascii="Amiri" w:hAnsi="Amiri" w:eastAsia="Amiri" w:cs="Amiri"/>
          <w:color w:val="111111"/>
          <w:sz w:val="28"/>
          <w:sz w:val="28"/>
          <w:szCs w:val="28"/>
          <w:rtl w:val="true"/>
          <w:lang w:bidi="ar-SA"/>
        </w:rPr>
        <w:t>تناسب أحدهما لا يمكن أن يكون مناسبة للآخر</w:t>
      </w:r>
      <w:r>
        <w:rPr>
          <w:rStyle w:val="FootnoteAnchor"/>
          <w:rtl w:val="true"/>
        </w:rPr>
        <w:footnoteReference w:id="313"/>
      </w:r>
      <w:r>
        <w:rPr>
          <w:rFonts w:ascii="Amiri" w:hAnsi="Amiri" w:eastAsia="Amiri" w:cs="Amiri"/>
          <w:color w:val="111111"/>
          <w:sz w:val="28"/>
          <w:sz w:val="28"/>
          <w:szCs w:val="28"/>
          <w:rtl w:val="true"/>
          <w:lang w:bidi="ar-SA"/>
        </w:rPr>
        <w:t>للزوم اجتماع الضدّين في طبيعة ذلك الحرف، مع أنّ الألف مشترك بين اللفظين، وكذا كلّ لفظ لمعنى يلزم امتناع وجود شيء منه في اللفظ الّذي لنقيضه أو لضدّه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لا تتحقّق الحروف الّتي جعلوها ناريّة إلّا في المسمّى الّذي يكون مقتضى طبيعته الحرارة واليبوسة، وكذا الهوائيّة والمائيّة والأرضيّة، مع أنّ </w:t>
      </w:r>
      <w:bookmarkStart w:id="322" w:name="pg16224_170468"/>
    </w:p>
    <w:p>
      <w:pPr>
        <w:pStyle w:val="BookText"/>
        <w:rPr/>
      </w:pPr>
      <w:bookmarkEnd w:id="322"/>
      <w:r>
        <w:rPr>
          <w:rFonts w:ascii="Amiri" w:hAnsi="Amiri" w:eastAsia="Amiri" w:cs="Amiri"/>
          <w:color w:val="111111"/>
          <w:sz w:val="28"/>
          <w:sz w:val="28"/>
          <w:szCs w:val="28"/>
          <w:rtl w:val="true"/>
          <w:lang w:bidi="ar-SA"/>
        </w:rPr>
        <w:t>فساده غنيّ عن البيان ويكذّبه العيان والوجدان؛ وكفاك في هذا الباب ملاحظة الألفاظ للعناصر الأربعة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فرض تسليم أن يكون المراد مناسبة طبيعة مجموع اللفظ لطبيعة المسمّى وإن اندفع هذا، لكن يرد الانتقاض بالنسبة إلى اللفظ المشترك بين الشيء ونقيضه أو ضدّه، وسيجيء الكلام فيه</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3734516_1280447820"/>
      <w:bookmarkStart w:id="324" w:name="_Toc124"/>
      <w:bookmarkEnd w:id="323"/>
      <w:r>
        <w:rPr>
          <w:rtl w:val="true"/>
        </w:rPr>
        <w:t>الأمر الرابع</w:t>
      </w:r>
      <w:bookmarkEnd w:id="324"/>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استفادة المعاني من الألفاظ وإفادتها إيّاها لمناسبة طبائع الألفاظ طبائع المعاني، لا لتعيينها بإزائها؛ وهذا موقوف على ثبوت الأمور المذكورة، وحيث قد عرفت عدم تماميّة بعض منها، ظهر لك حاله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الإغماض في البين وتسليم ثبوت الأمور المذكورة، نمنع صحّة الأخيرة، إذ لو كانت استفادة المعاني من الألفاظ ودلالتها عليها لأجل مناسبة طبائعها لطبائع المسمّيات، يلزم امتناع الاستفادة مع عدم الاطّلاع على المناسبة، والتالي باطل، فالمقدّم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الشرطيّة فظاهرة؛ إذ العلم بالمناسبة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 حصول الاستفادة، وانتفاء المشروط عند انتفاء الشرط من الأمور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التالي فغير مفتقر إلى البيان، ضرورة حصول الإفادة والاستفادة من الألفاظ مع عدم تعقّل شيء من طبائع الألفاظ والمسمّيات، فضلًا عن تعقّل المناسبة بينهما كما عرفت، فلو كانت الإفادة لأجل المناسبة، يلزم انسداد باب الاستفادة من طريق الألفاظ؛ لعدم إمكان الاطّلاع على تلك الطبائع والمناسبة بعد تسليم تحقّقها على وجه العموم، ولو فرض ذلك فلا شبهة في أنّه على غاية الندرة بالنسبة إلى قليل من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 في منع الملازمة بأنّه يمكن أن يكون شرط الإفادة والاستفادة تحقّق المناسبة في نفس الأمر، لا العلم بها، فعلى هذا لا يلزم المفسدة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والإفادة حاصلة بالنسبة إلى المخاطب، فلا معنى لاستنادها إلى المناسبة النفس الأمريّة مع عدم علم المستفيد بها، إذ لا علاقة بين فهمه المعنى من اللفظ والمناسبة في نفس الأمر، فلا وجه للتعليق كما لا يخفى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الترديد في الشرطيّة المذكورة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تعليق الاستفادة على الاطّلاع بالمناسبة إمّا أن يكون بالنسبة إلى كلّ أحد، أو في الجملة، وعلى الأوّل وإن كان بطلان التالي مسلّمًا، لكن يمكن منع الملازمة، وعلى الثاني وإن كانت</w:t>
      </w:r>
      <w:r>
        <w:rPr>
          <w:rStyle w:val="FootnoteAnchor"/>
          <w:rtl w:val="true"/>
        </w:rPr>
        <w:footnoteReference w:id="316"/>
      </w:r>
      <w:r>
        <w:rPr>
          <w:rFonts w:ascii="Amiri" w:hAnsi="Amiri" w:eastAsia="Amiri" w:cs="Amiri"/>
          <w:color w:val="111111"/>
          <w:sz w:val="28"/>
          <w:sz w:val="28"/>
          <w:szCs w:val="28"/>
          <w:rtl w:val="true"/>
          <w:lang w:bidi="ar-SA"/>
        </w:rPr>
        <w:t>الملازمة مسلّمة، لكن بطلان التالي ممنوع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الأمر في ذلك يستدعي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القول بكون الدلالة للمناسبة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بالنسبة إلى كلّ أحد كذلك لإتمام مرامه ولو بالنسبة إلى بعض، لكفاية هذا المقدار في الحذر عن الترجيح من غير مرجّح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الاطّلاع على تلك المناسبة المستدعية للدلالة لأرباب الأذهان الثاقبة والأفهام الشامخة، واستفادتهم المعاني من الألفاظ كانت لذلك، وأمّا بالنسبة إلى غيرهم فلا، بل من باب الترديد بالقرائن، كتعليم اللغات بالنسبة إلى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بعدم إمكان الاطّلاع ولو لبعضٍ غير مسموع، فيمكن أن يكون حصول الاستفادة للبعض للمناسبة وللغير بالتعريف والقرائن بأنّه لمّا استفاد المعنى من اللفظ للمناسبة بيّن للغير بأنّ معنى هذا اللفظ هذا وهكذا، أو بالترديد بالقرائن، فعلى هذا تكون دلالة الألفاظ ذاتيّة مع حصول الإفادة للجميع وعدم توقّفها على اطّلاع الكلّ على المناسبة، فتكون الدلالة للمناسبة من غير واسطة بالنسبة إلى بعض، ومعها بالنسبة إلى آخر، وهذا المقدار كافٍ للحكم بذاتيّة الدلالة للألفاظ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الأمر بناءً على كون الدلالة وضعيّة أيضًا كذلك، أي الاستفادة للعلم بالوضع إنّما هو بالنسبة إلى بعض وللآخر بالترديد بالقرائن، وكما لا يكون ذلك مضرًّا للحكم بكون دلالة الألفاظ وضعيّة، كذلك بناءً على الدلالة الذاتيّة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استفادة المعاني بأسرها بالتأمّل في الألفاظ والاطّلاع على مناسبة طبائعها لطبائع المسمّيات المستدعية للدلالة عليها أمرٌ عظيم وخطبٌ </w:t>
      </w:r>
    </w:p>
    <w:p>
      <w:pPr>
        <w:pStyle w:val="BookText"/>
        <w:rPr/>
      </w:pPr>
      <w:r>
        <w:rPr>
          <w:rFonts w:ascii="Amiri" w:hAnsi="Amiri" w:eastAsia="Amiri" w:cs="Amiri"/>
          <w:color w:val="111111"/>
          <w:sz w:val="28"/>
          <w:sz w:val="28"/>
          <w:szCs w:val="28"/>
          <w:rtl w:val="true"/>
          <w:lang w:bidi="ar-SA"/>
        </w:rPr>
        <w:t>جسيم وابتداعٌ عجيب واختراعٌ غريب، فاق</w:t>
      </w:r>
      <w:r>
        <w:rPr>
          <w:rStyle w:val="FootnoteAnchor"/>
          <w:rtl w:val="true"/>
        </w:rPr>
        <w:footnoteReference w:id="317"/>
      </w:r>
      <w:r>
        <w:rPr>
          <w:rFonts w:ascii="Amiri" w:hAnsi="Amiri" w:eastAsia="Amiri" w:cs="Amiri"/>
          <w:color w:val="111111"/>
          <w:sz w:val="28"/>
          <w:sz w:val="28"/>
          <w:szCs w:val="28"/>
          <w:rtl w:val="true"/>
          <w:lang w:bidi="ar-SA"/>
        </w:rPr>
        <w:t>قاطبة مراتب الفضل والكمال، وعلا عامّة مدارج العلم والإفضال، بحيث لو ادّعى الفائز به النبوّة كاد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فاز بهذه المزيّة الكاملة طائفة من أولى الأبصار؛ لاشتهروا اشتهار الشمس رابعة النهار، وامتازوا عن قاطبة أهل الشرف والكمال، وصنّفوا في</w:t>
      </w:r>
      <w:r>
        <w:rPr>
          <w:rStyle w:val="FootnoteAnchor"/>
          <w:rtl w:val="true"/>
        </w:rPr>
        <w:footnoteReference w:id="318"/>
      </w:r>
      <w:r>
        <w:rPr>
          <w:rFonts w:ascii="Amiri" w:hAnsi="Amiri" w:eastAsia="Amiri" w:cs="Amiri"/>
          <w:color w:val="111111"/>
          <w:sz w:val="28"/>
          <w:sz w:val="28"/>
          <w:szCs w:val="28"/>
          <w:rtl w:val="true"/>
          <w:lang w:bidi="ar-SA"/>
        </w:rPr>
        <w:t>ذلك كتبًا متشتّتة، ودوّنوا فيه صحفًا متفرّقة، فتشهر الكتب فوق اشتهار أيّ كتاب كان، وكان مرجعًا للخواصّ والعوامّ؛ وعدمه دليل ظاهر على عدمه، وانتفاؤه أمارة بارزة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يرى أنّ من أنشد أبياتًا عديدة متكاثرة لأثبتها في دفاتر وورقة رغبةً في بقائها في أزمنة متطاولة، مع أنّ الأمر في مثله سهل جدًّا، والثمر في ضبطه نزر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كلّ علم من العلوم المعروفة، فقد صنّف أربابها في كلّ منها كتبًا متكثّرة، فكيف بهذا الأمر الخطير والشيء العظيم، فرفضوا تلك القاعدة وهجروا تلك السنيّة فيه، مع أنّ الاهتمام فيه أشدّ والغرابة فيه أتمّ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انتفاء ذلك، وكيف وقد تصدّى الأكابر والأماجد للتصنيف في علم اللغة، فقد صنّفوا فيه كتبًا معروفة وصحفًا معهودة؛ لوضوح فساده، إذ لا ريب أنّ تدوين اللغات ليس إلّا ضبط موارد الاستعمالات المعلومة من تصفّح محاورات البلغاء وتتبّع مخاطبات الفصحاء، ولقد طال التشاجر والتخاصم بينهم، وكذّب بعضهم بعضًا، وتمسّك في إثبات مرامه وتغليط صاحبه بما تداوله </w:t>
      </w:r>
    </w:p>
    <w:p>
      <w:pPr>
        <w:pStyle w:val="BookText"/>
        <w:rPr/>
      </w:pPr>
      <w:r>
        <w:rPr>
          <w:rFonts w:ascii="Amiri" w:hAnsi="Amiri" w:eastAsia="Amiri" w:cs="Amiri"/>
          <w:color w:val="111111"/>
          <w:sz w:val="28"/>
          <w:sz w:val="28"/>
          <w:szCs w:val="28"/>
          <w:rtl w:val="true"/>
          <w:lang w:bidi="ar-SA"/>
        </w:rPr>
        <w:t>الفصحاء في محاوراتهم، ولم يتصدَّ أحد منهم بأنّ طبيعة اللفظ هذه، وهي مناسبة لهذا المعنى ومقتضية للدلالة عليه،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شبهة في أنّ الألفاظ على الهيئة المخصوصة لم تكن عليها لذاتها، وإلّا لخرجت عن حدّ الممكنات وكانت واجبة الوجود، وفساده ممّا لا يفتقر إلى البيان، بل لا بدّ لها من جاعل ومركّب يجعلها ويركّبها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الجاعل إمّا أن يلاحظ المعاني حين التركيب بأن جعل تلك الألفاظ لها، سواء كانت مناسبة لطبائع الألفاظ، أم لا، وسواء لاحظ المناسبة على الأوّل، أم لا، أو لا يلاحظ المعاني مطلقًا، بل ركّبها على الهيئة المخصوصة وأحال فهم المعاني</w:t>
      </w:r>
      <w:r>
        <w:rPr>
          <w:rStyle w:val="FootnoteAnchor"/>
          <w:rtl w:val="true"/>
        </w:rPr>
        <w:footnoteReference w:id="319"/>
      </w:r>
      <w:r>
        <w:rPr>
          <w:rFonts w:ascii="Amiri" w:hAnsi="Amiri" w:eastAsia="Amiri" w:cs="Amiri"/>
          <w:color w:val="111111"/>
          <w:sz w:val="28"/>
          <w:sz w:val="28"/>
          <w:szCs w:val="28"/>
          <w:rtl w:val="true"/>
          <w:lang w:bidi="ar-SA"/>
        </w:rPr>
        <w:t>إلى المناسبة بين طبيعة اللفظ والمعنى، بأنّه لمّا كانت لطبائعها مناسبة مع المعاني، يمكن الانتقال من كلّ منها إلى المعنى المناسب لمن توصّل إلى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الدلالة وضعيّة، لا ذاتيّة، سواء تحقّقت المناسبة بين الدالّ والمدلول، أم لا، وأمّا على الثاني فظاهر، وأمّا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أنّ الانتقال إلى المدلول إنّما هو لتعيين اللفظ بإزائه وجعله علامة له، وغاية ما هناك تحقّق المناسبة بين اللفظ وما عيّن له، وهو لا يقتضي العلم بها، فضلًا عن كون الإفادة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المفروض تحقّق المناسبة، يمكن لغير العالم بالتعيين الاطّلاع عليها، فتكون الدلالة بالنسبة إليه للمناسبة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هذا الكلام أنّ دلالة الألفاظ بالنسبة إلى العالمين بالأوضاع </w:t>
      </w:r>
    </w:p>
    <w:p>
      <w:pPr>
        <w:pStyle w:val="BookText"/>
        <w:rPr/>
      </w:pPr>
      <w:r>
        <w:rPr>
          <w:rFonts w:ascii="Amiri" w:hAnsi="Amiri" w:eastAsia="Amiri" w:cs="Amiri"/>
          <w:color w:val="111111"/>
          <w:sz w:val="28"/>
          <w:sz w:val="28"/>
          <w:szCs w:val="28"/>
          <w:rtl w:val="true"/>
          <w:lang w:bidi="ar-SA"/>
        </w:rPr>
        <w:t>وضعيّة، وأمّا بالنسبة إلى غيرهم فيمكن أن تتكون ذاتيّة؛ لإمكان الاطّلاع على المناسبة، وأين هذا من كون الدلالة المتحقّقة في الألفاظ ذاتيّة، لا وضعيّة، وإنكار الوضع بالكلّيّة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عمّم ذلك</w:t>
      </w:r>
      <w:r>
        <w:rPr>
          <w:rStyle w:val="FootnoteAnchor"/>
          <w:rtl w:val="true"/>
        </w:rPr>
        <w:footnoteReference w:id="320"/>
      </w:r>
      <w:r>
        <w:rPr>
          <w:rFonts w:ascii="Amiri" w:hAnsi="Amiri" w:eastAsia="Amiri" w:cs="Amiri"/>
          <w:color w:val="111111"/>
          <w:sz w:val="28"/>
          <w:sz w:val="28"/>
          <w:szCs w:val="28"/>
          <w:rtl w:val="true"/>
          <w:lang w:bidi="ar-SA"/>
        </w:rPr>
        <w:t>بالنسبة إلى العالم بالتعيين أيضًا، يدفع بأنّه يلزمه الانتقال إلى ما عيّن له لا محالة؛ لأجل علمه بالتعيين، فلا معنى حينئذٍ للدلالة الذاتيّة، بناءً على إمكان الاطّلاع بالمناسبة؛ لظهور تحقّق الدلالة لأجل العلم بالتعيين، فلا معنى لحصول الإفادة للمناسبة بعد حصولها للتعيين، وإلّا لزم توارد العلّتين على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التسليم يكون اللازم حينئذٍ بالنسبة إلى العالم بالتعيين والمناسبة اجتماع الدلالتين، والمدّعى ثبوت الدلالة الذاتيّة بدلًا عن الوضعيّة، فاللازم غير المطلوب، والمطلوب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احتمال آخر، وهو أنّ المركِّب عيّن الألفاظ بإزاء المعاني المناسبة ولم يحصل منه الإعلام بالتعيين، فتكون الدلالة حينئذٍ للمناسبة والاطّلاع عليها، لكنّه مدفوعٌ بما يأتي من استلزامه فوات الحكمة الموجبة لتعيين الألفاظ بإزاء المسمّيات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على تقدير أن يكون المركِّب للألفاظ معيِّنًا إيّاها بإزاء معانيها، وأمّا احتمال أن يكون الصادر من المركِّب محض التركيب من غير التفات إلى المعاني، بل أحال ذلك إلى المناسبة، فالضرورة قاضية بفساده؛ لوضوح أنّ المقصود من تركيب </w:t>
      </w:r>
    </w:p>
    <w:p>
      <w:pPr>
        <w:pStyle w:val="BookText"/>
        <w:rPr/>
      </w:pPr>
      <w:r>
        <w:rPr>
          <w:rFonts w:ascii="Amiri" w:hAnsi="Amiri" w:eastAsia="Amiri" w:cs="Amiri"/>
          <w:color w:val="111111"/>
          <w:sz w:val="28"/>
          <w:sz w:val="28"/>
          <w:szCs w:val="28"/>
          <w:rtl w:val="true"/>
          <w:lang w:bidi="ar-SA"/>
        </w:rPr>
        <w:t>الألفاظ وإحداثها ذكرها في المحاورات والمخاطبات لتعريف بعضهم بعضًا ما في أنفسهم في أمر معاشهم ومعادهم، وذلك إنّما يتحقّق مع التعيين بإزاء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احالة استفادة المعاني إلى المناسبة، ففاسد قطعًا؛ لعدم إمكان الاطّلاع عليها بالنسبة إلى أكثر الناس وصعوبته القريبة من الامتناع بالنسبة إلى جميعهم؛ لوضوح عدم تحصّله إلّا بعد الاطّلاع بطبائع الألفاظ، ثمّ ملاحظة طبائع المعاني حتّى يظهر أيّ واحد منها يكون مناسبًا لطبيعة لفظ مخصوص حتّى استفاده منه، وذلك يستلزم فوات الحكمة الموجبة لتركيب الألفاظ كما لا يخفى على من سلك مسلك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ظهر عليه مناسبة طبيعة بعض الألفاظ للنقيضين أو الضدّين حتّى استفادهما منه دون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الترديد المذكور غير حاصر؛ لاحتمال أنّ مركِّب الألفاظ ركّبها على الهيئات المعلومة من غير أن يعيّنها للمسمّيات، أو</w:t>
      </w:r>
      <w:r>
        <w:rPr>
          <w:rStyle w:val="FootnoteAnchor"/>
          <w:rtl w:val="true"/>
        </w:rPr>
        <w:footnoteReference w:id="321"/>
      </w:r>
      <w:r>
        <w:rPr>
          <w:rFonts w:ascii="Amiri" w:hAnsi="Amiri" w:eastAsia="Amiri" w:cs="Amiri"/>
          <w:color w:val="111111"/>
          <w:sz w:val="28"/>
          <w:sz w:val="28"/>
          <w:szCs w:val="28"/>
          <w:rtl w:val="true"/>
          <w:lang w:bidi="ar-SA"/>
        </w:rPr>
        <w:t>أحال فهمها إلى من اطّلع على المناسبة، بل ركّبها، ثمّ استفاد هو المسمّيات منها بمعونة المناسبة، فتكون إفادة الألفاظ كلّها للمناسبة، ولا يضرّ عدم اطّلاع الأكثر عليها في ذلك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ليس بشيء؛ لأنّ المركِّب إمّا الله تعالى، وعدم إمكان إرادة المعنى المذكور بالنسبة إليه ظاهر، وإمّا غيره فكذلك؛ لاستلزامه فوات الحكمة الموجبة لتركيب الألفاظ لما عرفت، فتأمّل</w:t>
      </w:r>
      <w:r>
        <w:rPr>
          <w:rFonts w:eastAsia="Amiri" w:cs="Amiri" w:ascii="Amiri" w:hAnsi="Amiri"/>
          <w:color w:val="111111"/>
          <w:sz w:val="28"/>
          <w:szCs w:val="28"/>
          <w:rtl w:val="true"/>
          <w:lang w:bidi="ar-SA"/>
        </w:rPr>
        <w:t xml:space="preserve">. </w:t>
      </w:r>
      <w:bookmarkStart w:id="325" w:name="pg16224_170475"/>
    </w:p>
    <w:p>
      <w:pPr>
        <w:pStyle w:val="BookText"/>
        <w:rPr/>
      </w:pPr>
      <w:bookmarkEnd w:id="325"/>
      <w:r>
        <w:rPr>
          <w:rFonts w:ascii="Amiri" w:hAnsi="Amiri" w:eastAsia="Amiri" w:cs="Amiri"/>
          <w:color w:val="111111"/>
          <w:sz w:val="28"/>
          <w:sz w:val="28"/>
          <w:szCs w:val="28"/>
          <w:rtl w:val="true"/>
          <w:lang w:bidi="ar-SA"/>
        </w:rPr>
        <w:t>وأيضًا أنّ طبيعة الحروف الّتي جعلوها مائيّة مثلًا مقتضية للرطوبة والبرودة، والمعاني والمسمّيات الّتي تكون</w:t>
      </w:r>
      <w:r>
        <w:rPr>
          <w:rStyle w:val="FootnoteAnchor"/>
          <w:rtl w:val="true"/>
        </w:rPr>
        <w:footnoteReference w:id="322"/>
      </w:r>
      <w:r>
        <w:rPr>
          <w:rFonts w:ascii="Amiri" w:hAnsi="Amiri" w:eastAsia="Amiri" w:cs="Amiri"/>
          <w:color w:val="111111"/>
          <w:sz w:val="28"/>
          <w:sz w:val="28"/>
          <w:szCs w:val="28"/>
          <w:rtl w:val="true"/>
          <w:lang w:bidi="ar-SA"/>
        </w:rPr>
        <w:t>كذلك متكثّرةٌ جدًّا مختلفةٌ بحسب اختلاف تحقّق هذا المعنى فيه جزمًا، فكيف يوجب الانتقال من تلك الحروف إلى بعضها دون الآخر مع تحقّق المقتضي بالإضافة إلى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بالنسبة إلى الحروف الناريّة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 مرادهم من طبيعة اللفظ المعنى المتقدّم على ما يظهر من بعضهم كما أومأنا إليه؛ وإن كان المراد غيره ينبغي أن يبيّن حتّى ينظر في صحّته وفساده، مضافًا إلى ما مرّ من قضاء العادة بأنّ الأمر لو كان على ما ذكر لنبّهوا عليه وافتخر من فاز بهذا الاختراع الغريب والابتداع العجيب به، وعدمه دليل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فساد الاحتمال المذكور أيضًا، فبما قرّرناه إلى هنا انهدم بنيان القول المذكور</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3734518_1280447820"/>
      <w:bookmarkStart w:id="327" w:name="_Toc125"/>
      <w:bookmarkEnd w:id="326"/>
      <w:r>
        <w:rPr>
          <w:rtl w:val="true"/>
        </w:rPr>
        <w:t>في الجواب عن احتجاج القائلين بأنّ دلالة الألفاظ ذاتيّة</w:t>
      </w:r>
      <w:bookmarkEnd w:id="327"/>
    </w:p>
    <w:p>
      <w:pPr>
        <w:pStyle w:val="BookText"/>
        <w:rPr/>
      </w:pPr>
      <w:r>
        <w:rPr>
          <w:rFonts w:ascii="Amiri" w:hAnsi="Amiri" w:eastAsia="Amiri" w:cs="Amiri"/>
          <w:color w:val="111111"/>
          <w:sz w:val="28"/>
          <w:sz w:val="28"/>
          <w:szCs w:val="28"/>
          <w:rtl w:val="true"/>
          <w:lang w:bidi="ar-SA"/>
        </w:rPr>
        <w:t>بقي الكلام فيما استندوا إليه من الاستدلال المتقدّم، ويمكن الجواب عنه بالمعارضة والمناقضة</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3734520_1280447820"/>
      <w:bookmarkStart w:id="329" w:name="_Toc126"/>
      <w:bookmarkEnd w:id="328"/>
      <w:r>
        <w:rPr>
          <w:rtl w:val="true"/>
        </w:rPr>
        <w:t>الجواب عنه بالمعارضة</w:t>
      </w:r>
      <w:bookmarkEnd w:id="329"/>
    </w:p>
    <w:p>
      <w:pPr>
        <w:pStyle w:val="Heading6"/>
        <w:numPr>
          <w:ilvl w:val="5"/>
          <w:numId w:val="1"/>
        </w:numPr>
        <w:rPr/>
      </w:pPr>
      <w:bookmarkStart w:id="330" w:name="__RefHeading___Toc3734522_1280447820"/>
      <w:bookmarkStart w:id="331" w:name="_Toc127"/>
      <w:bookmarkEnd w:id="330"/>
      <w:r>
        <w:rPr>
          <w:rtl w:val="true"/>
        </w:rPr>
        <w:t>اشارة</w:t>
      </w:r>
      <w:bookmarkEnd w:id="33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فمن وجوه</w:t>
      </w:r>
      <w:r>
        <w:rPr>
          <w:rFonts w:eastAsia="Amiri" w:cs="Amiri" w:ascii="Amiri" w:hAnsi="Amiri"/>
          <w:color w:val="111111"/>
          <w:sz w:val="28"/>
          <w:szCs w:val="28"/>
          <w:rtl w:val="true"/>
          <w:lang w:bidi="ar-SA"/>
        </w:rPr>
        <w:t xml:space="preserve">: </w:t>
      </w:r>
      <w:bookmarkStart w:id="332" w:name="pg16224_170476"/>
    </w:p>
    <w:p>
      <w:pPr>
        <w:pStyle w:val="Heading6"/>
        <w:numPr>
          <w:ilvl w:val="5"/>
          <w:numId w:val="1"/>
        </w:numPr>
        <w:rPr/>
      </w:pPr>
      <w:bookmarkStart w:id="333" w:name="__RefHeading___Toc3734524_1280447820"/>
      <w:bookmarkStart w:id="334" w:name="_Toc128"/>
      <w:bookmarkEnd w:id="332"/>
      <w:bookmarkEnd w:id="333"/>
      <w:r>
        <w:rPr>
          <w:rtl w:val="true"/>
        </w:rPr>
        <w:t>الوجه الأوّل</w:t>
      </w:r>
      <w:bookmarkEnd w:id="33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دلالة الألفاظ لو كانت للمناسبة الذاتيّة، لزم انتفاؤها عند انتفاء العلم بتلك المناسبة، وقد مرّ الكلام فيه مشروحًا في الشرطيّة وبطلان التالي، فلا وجه للإعادة</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3734526_1280447820"/>
      <w:bookmarkStart w:id="336" w:name="_Toc129"/>
      <w:bookmarkEnd w:id="335"/>
      <w:r>
        <w:rPr>
          <w:rtl w:val="true"/>
        </w:rPr>
        <w:t>الوجه الثاني</w:t>
      </w:r>
      <w:bookmarkEnd w:id="336"/>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كانت دلالة الألفاظ للمناسبة بينها وبين المسمّيات، لزم أن لا تختلف الأمم في الجهل والعلم باللغات، وبطلان التالي في الظهور كالنور في ظلم الديجور؛ أمّا الشرطيّة، فلأنّ علّة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المناسبة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متحقّقة في الجميع بالنسبة إلى الجميع، فلا معنى لاختصاص الاستفادة في جملة من الألفاظ بالنسبة إلى بعض الفرق، وفي جملة أخرى منها بالنسبة إلى فرقة أخرى</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واحتمال إمكان العلم بالمناسبة في جملة من الألفاظ لطائفة من الفرق وامتناعه في جملة أخرى وبالنسبة إلى الطائفة الأخرى بعكس ذلك ممّا لا يكاد يرضى العاقل التفوّه بذلك، فضلًا عن جعله</w:t>
      </w:r>
      <w:r>
        <w:rPr>
          <w:rStyle w:val="FootnoteAnchor"/>
          <w:rtl w:val="true"/>
        </w:rPr>
        <w:footnoteReference w:id="324"/>
      </w:r>
      <w:r>
        <w:rPr>
          <w:rFonts w:ascii="Amiri" w:hAnsi="Amiri" w:eastAsia="Amiri" w:cs="Amiri"/>
          <w:color w:val="111111"/>
          <w:sz w:val="28"/>
          <w:sz w:val="28"/>
          <w:szCs w:val="28"/>
          <w:rtl w:val="true"/>
          <w:lang w:bidi="ar-SA"/>
        </w:rPr>
        <w:t>من مباني المذهب، كما لا يخفى على من لم تنفتح عليه أبواب التعسّف</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فاستفادة الجسم السيّال المعلوم من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العرب، دون لفظ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الفرس، دون اللفظين الآخرين، ومن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الترك دون الأوّلين، مع دلالة الألفاظ الثلاثة على ذلك الجسم بالمناسبة،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تكلّم بلغة العرب لاحظ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فاطّلع على المناسبة، فاستفاده منه واكتفى به، وكذا بالنسبة إلى أوّل من تكلّم بلغة الفرس والترك، لكنّه احتمال نادر، ومع ذلك كيف اطّلع المتكلّم بكلّ لغة على مناسبة الألفاظ المختلفة في تلك اللغة لمعنى واحد ولم يطّلع عليها في اللغات المتعدّدة مع تحقّق الموجب في الجميع وهو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كانت الدلالة وضعيّة، فإنّ اختلاف الأمم في العلم والجهل باللغات حينئذٍ لاختصاص العلم بوضع نوع من الألفاظ لطائفة دون نوع آخر، وبالعكس بالنسبة إلى الطائفة الأخرى؛ ولا يتمشّى مثل ذلك في المناسبة كما تقدّم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ويتفرّع على ذلك عدم اختلاف أصل اللغات في الأعصار والأمصار، بناءً على أنّ</w:t>
      </w:r>
      <w:r>
        <w:rPr>
          <w:rStyle w:val="FootnoteAnchor"/>
          <w:rtl w:val="true"/>
        </w:rPr>
        <w:footnoteReference w:id="325"/>
      </w:r>
      <w:r>
        <w:rPr>
          <w:rFonts w:ascii="Amiri" w:hAnsi="Amiri" w:eastAsia="Amiri" w:cs="Amiri"/>
          <w:color w:val="111111"/>
          <w:sz w:val="28"/>
          <w:sz w:val="28"/>
          <w:szCs w:val="28"/>
          <w:rtl w:val="true"/>
          <w:lang w:bidi="ar-SA"/>
        </w:rPr>
        <w:t>حصول الاستفادة من جملة من الألفاظ للمناسبة يستلزم تحصّلها في جميع الألفاظ لما تقدّم، فنسبة طائفة من الألفاظ إلى فرقة ليس بأولى من العكس؛ لأنّ نسبة جميع الألفاظ من حيث الإفادة إلى الجميع واحدة، فنسبة جمّة منها إلى طائفة دون أخرى تخصيص من غير مخصّص</w:t>
      </w:r>
      <w:r>
        <w:rPr>
          <w:rFonts w:eastAsia="Amiri" w:cs="Amiri" w:ascii="Amiri" w:hAnsi="Amiri"/>
          <w:color w:val="111111"/>
          <w:sz w:val="28"/>
          <w:szCs w:val="28"/>
          <w:rtl w:val="true"/>
          <w:lang w:bidi="ar-SA"/>
        </w:rPr>
        <w:t xml:space="preserve">. </w:t>
      </w:r>
      <w:bookmarkStart w:id="337" w:name="pg16224_170478"/>
    </w:p>
    <w:p>
      <w:pPr>
        <w:pStyle w:val="Heading6"/>
        <w:numPr>
          <w:ilvl w:val="5"/>
          <w:numId w:val="1"/>
        </w:numPr>
        <w:rPr/>
      </w:pPr>
      <w:bookmarkStart w:id="338" w:name="__RefHeading___Toc3734528_1280447820"/>
      <w:bookmarkStart w:id="339" w:name="_Toc130"/>
      <w:bookmarkEnd w:id="337"/>
      <w:bookmarkEnd w:id="338"/>
      <w:r>
        <w:rPr>
          <w:rtl w:val="true"/>
        </w:rPr>
        <w:t>الوجه الثالث</w:t>
      </w:r>
      <w:bookmarkEnd w:id="339"/>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جمع منهم من أنّ دلالة الألفاظ لو كانت ذاتيّة، لزم أن يفهم كلّ أحد معنى كلّ لفظ، وبطلان التالي غير مفتقر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الشرطيّة فلأنّ الألفاظ حينئذٍ بذواتها أدلّة على معانيها، واستحالة انفكاك الدليل عن المدلول بيّنة؛ لأنّه الّذي يلزم من العلم به العلم بشيء آخر</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يظهر ممّا أسلفناه من أنّ مرادهم من الدلالة الذاتيّة الدلالة للمناسبة الطبيعيّة، وقد علمت ممّا بيّناه أنّه ليس المراد أنّ مقتضى الدلالة المناسبة النفس الأمريّة، بل العلم بها؛ 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فهم كلّ أحد معنى كلّ لفظ إنّما هو لانتفاء شرطه الّذي هو العلم بالمناسبة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حينئذٍ غير مستندة إلى ذات اللفظ، فكيف تكون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أنّ ذات اللفظ من حيث هو دالّ على المعنى، كدلالته على وجود اللافظ، بل المراد أنّه يدلّ على المعنى لتحقّق المناسبة بينهما، وهذا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الألفاظ وضعيّة مع أنّ الوضع من حيث هو لم يكن مقتضيًا للدلالة، بل العلم به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الدلالة الذاتيّة في مقابلة الوضعيّة، فلا ينافيها كونها لأجل المناسبة، وهو ظاهر سيّما بعد الاطّلاع على ما أسلفناه في تضعيف هذا القول</w:t>
      </w:r>
      <w:r>
        <w:rPr>
          <w:rFonts w:eastAsia="Amiri" w:cs="Amiri" w:ascii="Amiri" w:hAnsi="Amiri"/>
          <w:color w:val="111111"/>
          <w:sz w:val="28"/>
          <w:szCs w:val="28"/>
          <w:rtl w:val="true"/>
          <w:lang w:bidi="ar-SA"/>
        </w:rPr>
        <w:t xml:space="preserve">. </w:t>
      </w:r>
      <w:bookmarkStart w:id="340" w:name="pg16224_170479"/>
    </w:p>
    <w:p>
      <w:pPr>
        <w:pStyle w:val="Heading6"/>
        <w:numPr>
          <w:ilvl w:val="5"/>
          <w:numId w:val="1"/>
        </w:numPr>
        <w:rPr/>
      </w:pPr>
      <w:bookmarkStart w:id="341" w:name="__RefHeading___Toc3734530_1280447820"/>
      <w:bookmarkStart w:id="342" w:name="_Toc131"/>
      <w:bookmarkEnd w:id="340"/>
      <w:bookmarkEnd w:id="341"/>
      <w:r>
        <w:rPr>
          <w:rtl w:val="true"/>
        </w:rPr>
        <w:t>الوجه الرابع</w:t>
      </w:r>
      <w:bookmarkEnd w:id="342"/>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دلالتها لو كانت للمناسبة، لزم استفادة المعاني المنقول منها في الألفاظ المنقولة بعد تحقّق النقل واستفادة المعاني المنقول إليها منها قبل النقل، أو امتناع استفادتها منها بعده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والتالي باطل كما لا يخفى؛ أمّا الشرطيّة فظاهرة، أمّا بالنسبة إلى المعاني المنقول منها فلثبوت استفادتها منها قبل النقل، وهي على القول المذكور مستلزمة للمناسبة الذاتيّة، ومعلوم أنّ ما بالذات لا يزول بالغير، فيلزم ثبوتها بعده أيضًا لثبوت المقتضي، بل يلزم حينئذٍ امتناع النقل، أي هجر المعنى الأوّل، لما مرّ من أنّ ما بالذات لا يزول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المعاني المنقول إليها؛ فلأنّ المناسبة المقتضية للدلالة إمّا أن تكون</w:t>
      </w:r>
      <w:r>
        <w:rPr>
          <w:rStyle w:val="FootnoteAnchor"/>
          <w:rtl w:val="true"/>
        </w:rPr>
        <w:footnoteReference w:id="328"/>
      </w:r>
      <w:r>
        <w:rPr>
          <w:rFonts w:ascii="Amiri" w:hAnsi="Amiri" w:eastAsia="Amiri" w:cs="Amiri"/>
          <w:color w:val="111111"/>
          <w:sz w:val="28"/>
          <w:sz w:val="28"/>
          <w:szCs w:val="28"/>
          <w:rtl w:val="true"/>
          <w:lang w:bidi="ar-SA"/>
        </w:rPr>
        <w:t>متحقّقة بينها وبين الألفاظ المنقولة، فيلزم الاستفادة قبل النقل أيضًا، وإلّا فلا ولو بعد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الاطّلاع على المناسبة حينئذٍ وإن اندفع معه الأخير، لكن يبقى الكلام في الأوّل مع أنّه يكون مدار الاستفادة حينئذٍ الاطّلاع على المناسبة، لا النقل، والحال أنّ الأمر متعاكس، فتأمّل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ما إذا كانت الدلالة وضعيّة، فإنّها حينئذٍ لمّا كانت بالغير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تعيين </w:t>
      </w:r>
    </w:p>
    <w:p>
      <w:pPr>
        <w:pStyle w:val="BookText"/>
        <w:rPr/>
      </w:pPr>
      <w:r>
        <w:rPr>
          <w:rFonts w:ascii="Amiri" w:hAnsi="Amiri" w:eastAsia="Amiri" w:cs="Amiri"/>
          <w:color w:val="111111"/>
          <w:sz w:val="28"/>
          <w:sz w:val="28"/>
          <w:szCs w:val="28"/>
          <w:rtl w:val="true"/>
          <w:lang w:bidi="ar-SA"/>
        </w:rPr>
        <w:t>الواضع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زوالها بالغير بأن يزول أثر الوضع السابق بالهجر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دلالة الألفاظ ذاتيّة، لزم استفادة المعاني المنقول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بالإضافة إلى من استفاد المعنى للمناسبة، فالملازمة مسلّمة، لكن بطلان التالي ممنوع، بل المسلّم انتفاء استفادتها بالإضافة إلى عامّة الناس، لا مطلقًا؛ وإن كان المراد اللزوم مطلقًا، فبطلان التالي وإن كان مسلّمًا، لكنّ الشرطيّة ممنوعة، ويظهر الوجه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التوضيح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استفادة المعنى أوّلًا للمناسبة، ثمّ بيّنه المستفيد للغير من غير أن يبيّن المناسبة، ثمّ استعمل في غير ذلك المعنى مجازًا، ثمّ اشتهر فيه عندهم بحيث هجر المعنى الأوّل، فاستفيد المعنى الثاني عندهم من غير قرينة، فالهجر إنّما هو</w:t>
      </w:r>
      <w:r>
        <w:rPr>
          <w:rStyle w:val="FootnoteAnchor"/>
          <w:rtl w:val="true"/>
        </w:rPr>
        <w:footnoteReference w:id="329"/>
      </w:r>
      <w:r>
        <w:rPr>
          <w:rFonts w:ascii="Amiri" w:hAnsi="Amiri" w:eastAsia="Amiri" w:cs="Amiri"/>
          <w:color w:val="111111"/>
          <w:sz w:val="28"/>
          <w:sz w:val="28"/>
          <w:szCs w:val="28"/>
          <w:rtl w:val="true"/>
          <w:lang w:bidi="ar-SA"/>
        </w:rPr>
        <w:t>بالنسبة إلى هؤلاء، لا بالإضافة إلى من استفاد المعنى لأجل المناسبة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يتوجّه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الدلالة بالنسبة إلى المعنى المنقول إليه ولم تكن</w:t>
      </w:r>
      <w:r>
        <w:rPr>
          <w:rStyle w:val="FootnoteAnchor"/>
          <w:rtl w:val="true"/>
        </w:rPr>
        <w:footnoteReference w:id="330"/>
      </w:r>
      <w:r>
        <w:rPr>
          <w:rFonts w:ascii="Amiri" w:hAnsi="Amiri" w:eastAsia="Amiri" w:cs="Amiri"/>
          <w:color w:val="111111"/>
          <w:sz w:val="28"/>
          <w:sz w:val="28"/>
          <w:szCs w:val="28"/>
          <w:rtl w:val="true"/>
          <w:lang w:bidi="ar-SA"/>
        </w:rPr>
        <w:t>ذاتيّة، فلا يصحّ الحكم مطلقًا أنّ دلالة الألفاظ ذاتيّة، فتأمّل</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343" w:name="pg16224_170481"/>
    </w:p>
    <w:p>
      <w:pPr>
        <w:pStyle w:val="Heading6"/>
        <w:numPr>
          <w:ilvl w:val="5"/>
          <w:numId w:val="1"/>
        </w:numPr>
        <w:rPr/>
      </w:pPr>
      <w:bookmarkStart w:id="344" w:name="__RefHeading___Toc3734532_1280447820"/>
      <w:bookmarkStart w:id="345" w:name="_Toc132"/>
      <w:bookmarkEnd w:id="343"/>
      <w:bookmarkEnd w:id="344"/>
      <w:r>
        <w:rPr>
          <w:rtl w:val="true"/>
        </w:rPr>
        <w:t>الوجه الخامس</w:t>
      </w:r>
      <w:bookmarkEnd w:id="345"/>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كانت ذاتيّة لامتنع</w:t>
      </w:r>
      <w:r>
        <w:rPr>
          <w:rStyle w:val="FootnoteAnchor"/>
          <w:rtl w:val="true"/>
        </w:rPr>
        <w:footnoteReference w:id="332"/>
      </w:r>
      <w:r>
        <w:rPr>
          <w:rFonts w:ascii="Amiri" w:hAnsi="Amiri" w:eastAsia="Amiri" w:cs="Amiri"/>
          <w:color w:val="111111"/>
          <w:sz w:val="28"/>
          <w:sz w:val="28"/>
          <w:szCs w:val="28"/>
          <w:rtl w:val="true"/>
          <w:lang w:bidi="ar-SA"/>
        </w:rPr>
        <w:t>انفكاكها بالقرينة؛ لما تقدّم من أنّ ما بالذات لا يزول بالغير، والتالي باطل؛ لانتفاء الدلالة على المعاني الحقيقيّة عند الاقتران بالقرائن المجازيّة وعلى بعض المعاني للمشترك</w:t>
      </w:r>
      <w:r>
        <w:rPr>
          <w:rStyle w:val="FootnoteAnchor"/>
          <w:rtl w:val="true"/>
        </w:rPr>
        <w:footnoteReference w:id="333"/>
      </w:r>
      <w:r>
        <w:rPr>
          <w:rFonts w:ascii="Amiri" w:hAnsi="Amiri" w:eastAsia="Amiri" w:cs="Amiri"/>
          <w:color w:val="111111"/>
          <w:sz w:val="28"/>
          <w:sz w:val="28"/>
          <w:szCs w:val="28"/>
          <w:rtl w:val="true"/>
          <w:lang w:bidi="ar-SA"/>
        </w:rPr>
        <w:t>عند الاقتران بالقرينة المعيّنة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 أمّا بالنسبة إلى الألفاظ المجازيّة؛ فلأنّا لا نسلّم انتفاء دلالتها على المعاني الحقيقيّة؛ وكيف مع أنّه شاع وذاع حتّى خرق الأسماع أنّ مبنى المجاز على الانتقال من الملزوم إلى اللازم، وتلقّاه المحقّقون بالقبول</w:t>
      </w:r>
      <w:r>
        <w:rPr>
          <w:rStyle w:val="FootnoteAnchor"/>
          <w:rtl w:val="true"/>
        </w:rPr>
        <w:footnoteReference w:id="335"/>
      </w:r>
      <w:r>
        <w:rPr>
          <w:rFonts w:ascii="Amiri" w:hAnsi="Amiri" w:eastAsia="Amiri" w:cs="Amiri"/>
          <w:color w:val="111111"/>
          <w:sz w:val="28"/>
          <w:sz w:val="28"/>
          <w:szCs w:val="28"/>
          <w:rtl w:val="true"/>
          <w:lang w:bidi="ar-SA"/>
        </w:rPr>
        <w:t>، ولذا حكموا بأبلغيّة المجاز من الحقيقة؛ لأنّه بمنزلة دعوى الشيء ببيّنة، فإنّ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رعينا الغيث</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المراد منه لازمه، يكون ذكر الملزوم فيه دليلًا على وجود لازمه؛ لامتناع انفكاك الملزوم عن اللازم، وإلّا لم يكن الملزوم ملزومًا، ولا اللازم لازمًا، بخلاف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رعينا النبت</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فإنّه دعوى الشيء لا عن بيّنة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المعلوم أنّ الانتقال من الملزوم إلى اللازم إنّما يكون مع فهم الملزوم، وهو إنّما يحصل مع دلالة اللفظ عليه، فلو لم تكن المجازات دالّة على المعاني الحقيقيّة؛ لما كان لهذا المقال وجه كما لا يخفى،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والقرينة الصارفة المعتبرة في المجازات ليس معناها أنّها صارفة عن دلالتها على معانيها الحقيقيّة، بل المراد أنّها صارفة عن كونها مرادة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يتوجّه ذلك فيما إذا كان انتفاء الإرادة مستلزمًا لانتفاء الدلالة، أو تحقّق الدلالة مستلزمًا لتحقّق الإرادة، لكنّه ليس على شيء منهما دليل، ولا على واحد منهما سبيل، كما مرّ تحقيقه بما لا يكون عليه مزيد، مع أنّه لو سلّم ذلك يمكن إبطال مذهب الخصم بوجه أظهر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بذاتيّة الدلالة مع اعتبار الإرادة في الدلالة، قول بذاتيّة الإرادة للألفاظ، وذلك ممّا لا يكاد يتفوّه به مَن له حظّ من الشعور، فضلًا عن اندراجه من جملة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المجازات بأسرها دالّة على المعاني المجازيّة المقصودة بواسطة دلالتها على المعاني الحقيقيّة الغير المرادة، فلا يصحّ الحكم بانفكاك الدلالة على المعاني الحقيقيّة عن الألفاظ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الألفاظ المشتركة؛ فلأنّ القرينة المعيّنة لبعض المعاني فيها لا تسلب دلالتها على المعاني الأُخر؛ لما تقدّم مشروحًا أنّ دلالتها على جميع المعاني ثابتة، وإنّما تكون القرينة فيها معيّنة للمراد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إنّما يتوجّه ذلك بناءً على ما تقدّم، وقد عرفت الحال فيه، ولو سلّم ذلك يمكن منه الاستدلال على بطلان مذهب الخصم من وجه آخر أيضًا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دلالة الألفاظ لو كانت ذاتيّة، لما انفكّت عنها؛ والتالي باطل؛ لأنّ الألفاظ المشتركة عند تجرّدها عن القرينة فاقدة للدلالة، لكنّك قد عرفت الحال فيه، فالمعارضة على الوجه المذكور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استند بطلان التالي إلى عكس ما ذكر، لكان سالمًا عن المنع المذكور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لو كانت ذاتيّة؛ لامتنع انفكاكها عن اللفظ، والتالي باطل؛ لانتفاء دلالة الألفاظ على المعاني المجازيّة عند انتفاء القرينة؛ وذلك ممّا لا شبهة فيه ولا ريب يعتريه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الشرطيّة فلأنّ المناسبة الذاتيّة إمّا متحقّقة بين الألفاظ والمعاني المجازيّة، فيلزمه امتناع الانفكاك؛ لما تقدّم من أنّ ما بالذات لا يزول بالغير، وإلّا لما تحقّقت الدلالة بالنسبة إليها، إذ المفروض أنّ دلالتها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الكلام أنّ الدلالة على المعاني المجازيّة قسم من الدلالة، وكلّ دلالة ذاتيّة، فهذه ذاتيّة؛ أمّا الصغرى فظاهرة، وأمّا الكبرى فلأنّ القائلين بالذاتيّة لم يفصّلوا بين الدلالات، بل أطلقوا القول فيها،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فاسد؛ لما عرفت من التخلّف، مع أنّ ما بالذات لا يتخلّف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يمكن للخصم إمّا منع الصغرى بأن يمنع الدلالة على المعاني المجازيّة ولو عند الاقتران بالقرينة، بناءً على أنّ الدلالة كون الشيء بحيث يلزم من العلم به العلم بشيء آخر، وهو غير متحقّق في المقام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منع ما ذكر في بطلان التالي بأن يدّعى ثبوت الدلالة على المعاني المجازيّة ولو عند انتفاء القرينة، بناءً على ما تقدّم من أنّ مبنى المجاز على الانتقال من الملزوم إلى </w:t>
      </w:r>
    </w:p>
    <w:p>
      <w:pPr>
        <w:pStyle w:val="BookText"/>
        <w:rPr/>
      </w:pPr>
      <w:r>
        <w:rPr>
          <w:rFonts w:ascii="IRNazanin" w:hAnsi="IRNazanin" w:eastAsia="IRNazanin"/>
          <w:color w:val="111111"/>
          <w:sz w:val="28"/>
          <w:sz w:val="28"/>
          <w:szCs w:val="28"/>
          <w:rtl w:val="true"/>
          <w:lang w:bidi="fa-IR"/>
        </w:rPr>
        <w:t>اللازم، والدالّ على الملزوم دالّ على اللازم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دعوى أنّ الدالّ على المعاني المجازيّة اللفظ مع القرينة، فعند انتفائها لم يوجد الدالّ حتّى يتحقّق الانفكاك، ومعها الدلالة ثابتة، فلا انفكاك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الاحتمالات المذكورة بأسرها باطلة، يظهر الوجه في بعضها ممّا أسلفناه وفي بعض آخر ممّا سيجيء في محلّ لائق باستمداد الخالق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احتمال آخر، وهو منع كلّيّة الكبرى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مرادهم أنّ دلالة الألفاظ على مسمّياتها طبيعيّة لا مطلقًا، فتقسيم الألفاظ على الحقيقة والمجاز على هذا القول مبنيٌّ على إفادتها المعاني بالذات وبالغير، فعلى الأوّل حقيقة، وعلى الثاني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يتوجّه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الألفاظ على المعاني إمّا ذاتيّة، أو وضعيّة، والدلالة على المعاني المجازيّة غير مندرجة تحت شيء منهما</w:t>
      </w:r>
      <w:r>
        <w:rPr>
          <w:rStyle w:val="FootnoteAnchor"/>
          <w:rtl w:val="true"/>
        </w:rPr>
        <w:footnoteReference w:id="338"/>
      </w:r>
      <w:r>
        <w:rPr>
          <w:rFonts w:ascii="Amiri" w:hAnsi="Amiri" w:eastAsia="Amiri" w:cs="Amiri"/>
          <w:color w:val="111111"/>
          <w:sz w:val="28"/>
          <w:sz w:val="28"/>
          <w:szCs w:val="28"/>
          <w:rtl w:val="true"/>
          <w:lang w:bidi="ar-SA"/>
        </w:rPr>
        <w:t>، أمّا الأوّل فلما ذكر، وأمّا الثاني فلأنّ المفروض انتفاء الوضع</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أنّ الدلالة على غير المسمّى إنّما هي لمناسبته مع المسمّى، وإلّا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لدلالته عليه دون غيره، والمفروض تحقّق المناسبة الذاتيّة بين اللفظ ومسمّاه، فيلزمه تحقّق المناسبة بين اللفظ وذلك الغير أيضًا؛ لكونه مناسبًا للمسمّى، والمناسب للمناسب مناسب، فبناءً على هذا القول يلزم تحقّق المناسبة بين اللفظ والمعنى المجازيّ أيضًا، فتلزم الدلالة الذاتيّة بالنسبة إليه أيضًا لتحقّق الموجب، </w:t>
      </w:r>
      <w:bookmarkStart w:id="346" w:name="pg16224_170485"/>
    </w:p>
    <w:p>
      <w:pPr>
        <w:pStyle w:val="BookText"/>
        <w:rPr/>
      </w:pPr>
      <w:bookmarkEnd w:id="346"/>
      <w:r>
        <w:rPr>
          <w:rFonts w:ascii="Amiri" w:hAnsi="Amiri" w:eastAsia="Amiri" w:cs="Amiri"/>
          <w:color w:val="111111"/>
          <w:sz w:val="28"/>
          <w:sz w:val="28"/>
          <w:szCs w:val="28"/>
          <w:rtl w:val="true"/>
          <w:lang w:bidi="ar-SA"/>
        </w:rPr>
        <w:t>ومن المعلوم أنّها غير ثابتة عند انتفاء القرينة، فيلزم التخلّف وتتمّ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يجاب، أمّا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w:t>
      </w:r>
      <w:r>
        <w:rPr>
          <w:rStyle w:val="FootnoteAnchor"/>
          <w:rtl w:val="true"/>
        </w:rPr>
        <w:footnoteReference w:id="339"/>
      </w:r>
      <w:r>
        <w:rPr>
          <w:rFonts w:ascii="Amiri" w:hAnsi="Amiri" w:eastAsia="Amiri" w:cs="Amiri"/>
          <w:color w:val="111111"/>
          <w:sz w:val="28"/>
          <w:sz w:val="28"/>
          <w:szCs w:val="28"/>
          <w:rtl w:val="true"/>
          <w:lang w:bidi="ar-SA"/>
        </w:rPr>
        <w:t>الانحصار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عقليّة، بناءً على ما تقدّم من أنّ مبنى المجاز على الانتقال من الملزوم إلى اللازم، والعقل قاضٍ بأنّ الدالّ على الملزوم دالّ على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يحتاج إلى مزيد تحقيق، وسنتعرّض إليه في محلّ أليق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المناسب للمناسب للشيء إنّما يكون مناسبًا له إذا كان ما به التناسب في الجميع واحدًا، أو يكون المناسبة في الجميع من جميع الوجوه؛ وأمّا إذا كان شيء مناسبًا لآخر من وجه ويكون الآخر مناسبًا لثالث من وجه آخر، فلا كما لا يخفى، وسنوضحه لك عن قريب، فعلى هذا يمكن أن يكون ما نحن فيه من هذا القبيل، فلا يتمّ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تأمّل سيظهر لك وجههُ بَعْيد هذا، فتأمّل</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3734534_1280447820"/>
      <w:bookmarkStart w:id="348" w:name="_Toc133"/>
      <w:bookmarkEnd w:id="347"/>
      <w:r>
        <w:rPr>
          <w:rtl w:val="true"/>
        </w:rPr>
        <w:t>الوجه السادس</w:t>
      </w:r>
      <w:bookmarkEnd w:id="34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كانت ذاتيّة لامتنع اشتراك لفظ بين الشيء ونقيضه، أو ضدّه، والتالي باطل؛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الحيض والطهر، وهما نقيضان</w:t>
      </w:r>
      <w:r>
        <w:rPr>
          <w:rStyle w:val="FootnoteAnchor"/>
          <w:rtl w:val="true"/>
        </w:rPr>
        <w:footnoteReference w:id="34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الأسود والأبيض، وهما ضدّان، أمّا الملازمة فلاستحالة مناسبة شيء واحد بالذات للشيء ونقيضه، أو ضدّه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المستحيل كون المناسب للشيء من جميع الجهات مناسبًا لنقيضه، أو كون المناسب له من جهة مناسبًا لنقيضه أو ضدّه من تلك الجهة، ضرورة أنّ ما به التوافق بين الشيئين لا يمكن أن يكون ما به التوافق بين أحدهما ونقيضه أو ضدّه، وإلّا لم يكن النقيض نقيضًا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المناسب للشيء بالذات من جهة مناسبًا لنقيضه أو ضدّه من جهة أخرى كذلك فلا،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الأرض تناسب الماء في البرودة بالذات، مع أنّها تناسب النار كذلك في اليبوسة، وأنّ الهواء مناسب للماء في الرطوبة بالذات مع أنّه مناسب للنار في الحرارة كذلك، والتنافي بين الماء والنار ممّا لا يخفى، فعلى هذا يمكن أن يكون بين اللفظ وبعض المعاني مناسبة ذاتيّة من جهة، ومع ذلك يكون بينه وبين نقيض ذلك المعنى مناسبة ذاتيّة من جهة أخرى تقتضي تلك المناسبة دلالته على كلّ منهما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المناسبةَ المقتضية للدلالة المناسبةُ من جميع الوجوه، ولذا لا </w:t>
      </w:r>
    </w:p>
    <w:p>
      <w:pPr>
        <w:pStyle w:val="BookText"/>
        <w:rPr/>
      </w:pPr>
      <w:r>
        <w:rPr>
          <w:rFonts w:ascii="Amiri" w:hAnsi="Amiri" w:eastAsia="Amiri" w:cs="Amiri"/>
          <w:color w:val="111111"/>
          <w:sz w:val="28"/>
          <w:sz w:val="28"/>
          <w:szCs w:val="28"/>
          <w:rtl w:val="true"/>
          <w:lang w:bidi="ar-SA"/>
        </w:rPr>
        <w:t>يستفاد الماء والنار من الأرض والهواء مع تحقّق المناسبة بين الأوّلين وكلّ من الأخيرين من وجه كما عرفت، فاللفظ المناسب لمعنى بالمناسبة المقتضية للدلالة لا يمكن أن يناسب نقيضه بالمناسبة المذكورة، فتتمّ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النقض بالأرض والماء والنار مثلًا إنّما يتوجّه إذا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مناسبًا لهما، وليس الأمر كذلك، بل الطبيعة الأرضيّة كما لا يخفى، وليس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المناسبة على الوجه المذكور لو كان موجبًا للانتقال، ينبغي أن يكون كذلك أينما تحقّقت، ودعوى التخصيص في أمثال المقام غير مسموعة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الطبيعة الأرضيّة مدلولة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فبناءً على القول بكون الدلالة للمناسبة الطبيعيّة لا بدّ أن يكون بينهما مناسبة ذاتيّة، فمناسبة الطبيعة الأرضيّة لأيّ شيء كان يوجب مناسبة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فكان اللازم استفادة الماء والنار منه، مع أنّ الأمر ليس كذلك، فيعلم منه أنّ المناسبةَ المقتضية للدلالة المناسبةُ من جميع الوجوه، لا في الجملة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المحقّقين</w:t>
      </w:r>
      <w:r>
        <w:rPr>
          <w:rStyle w:val="FootnoteAnchor"/>
          <w:rtl w:val="true"/>
        </w:rPr>
        <w:footnoteReference w:id="342"/>
      </w:r>
      <w:r>
        <w:rPr>
          <w:rFonts w:ascii="Amiri" w:hAnsi="Amiri" w:eastAsia="Amiri" w:cs="Amiri"/>
          <w:color w:val="111111"/>
          <w:sz w:val="28"/>
          <w:sz w:val="28"/>
          <w:szCs w:val="28"/>
          <w:rtl w:val="true"/>
          <w:lang w:bidi="ar-SA"/>
        </w:rPr>
        <w:t>لمّا زعم عدم صحّة ما تقدّم في بيان الملازمة لعدم استحالة مناسبة شيء واحد للمتنافيين، تصدّى لبيانها بنحو آخر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القول بالدلالة الذاتيّة يستلزم المشترك بين المتنافيين أن يكون المفهوم من </w:t>
      </w:r>
      <w:bookmarkStart w:id="349" w:name="pg16224_170488"/>
    </w:p>
    <w:p>
      <w:pPr>
        <w:pStyle w:val="BookText"/>
        <w:rPr/>
      </w:pPr>
      <w:bookmarkEnd w:id="349"/>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بين العطشان والريان،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 اتّصافَه بالمتنافيين؛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لمّا دلّت بالدلالة الذاتيّة عليهما؛ لَمَا أمكن انفكاكهما عنه، فيلزم من حمله على شيء اتّصافه بهما، وهو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لأنّ المراد إمّا دلالته على المتنافيين وفهمهما منه، فهو مسلّم ولا فساد فيه أصلًا، مع أنّه لا اختصاص له بما إذا كانت الدلالة ذاتيّة؛ لثبوته فيما إذا كانت وضعيّة؛ لما سلف من أنّ دلالة المشترك على جميع معانيه ثابتة، أو إرادتهما منه واتّصاف ذلك الشيء به في الواقع، فهو ممنوع؛ إذ اللازم على تقدير ذاتيّة الدلالة امتناع انفكاكها، وأمّا الإرادة فلا، كما عرفت مرارًا، فاللازم الدلالة على المتنافيين، وهي ممّا لا ينكر، والمنكر إرادتهما، وهي غير لازمة، فالحقّ في بيان الملازمة ما اشتغل عنه، لا ما اشتغل به</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3734536_1280447820"/>
      <w:bookmarkStart w:id="351" w:name="_Toc134"/>
      <w:bookmarkEnd w:id="350"/>
      <w:r>
        <w:rPr>
          <w:rtl w:val="true"/>
        </w:rPr>
        <w:t>الوجه السابع</w:t>
      </w:r>
      <w:bookmarkEnd w:id="35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كانت ذاتيّة، لا</w:t>
      </w:r>
      <w:r>
        <w:rPr>
          <w:rStyle w:val="FootnoteAnchor"/>
          <w:rtl w:val="true"/>
        </w:rPr>
        <w:footnoteReference w:id="344"/>
      </w:r>
      <w:r>
        <w:rPr>
          <w:rFonts w:ascii="Amiri" w:hAnsi="Amiri" w:eastAsia="Amiri" w:cs="Amiri"/>
          <w:color w:val="111111"/>
          <w:sz w:val="28"/>
          <w:sz w:val="28"/>
          <w:szCs w:val="28"/>
          <w:rtl w:val="true"/>
          <w:lang w:bidi="ar-SA"/>
        </w:rPr>
        <w:t>كما اجتهد عند الجهل بالمسمّى العلم</w:t>
      </w:r>
      <w:r>
        <w:rPr>
          <w:rStyle w:val="FootnoteAnchor"/>
          <w:rtl w:val="true"/>
        </w:rPr>
        <w:footnoteReference w:id="345"/>
      </w:r>
      <w:r>
        <w:rPr>
          <w:rFonts w:ascii="Amiri" w:hAnsi="Amiri" w:eastAsia="Amiri" w:cs="Amiri"/>
          <w:color w:val="111111"/>
          <w:sz w:val="28"/>
          <w:sz w:val="28"/>
          <w:szCs w:val="28"/>
          <w:rtl w:val="true"/>
          <w:lang w:bidi="ar-SA"/>
        </w:rPr>
        <w:t>بالمناسبة، والشرطيّة بيّنة، وبطلان التالي ممّا يقطع به؛ لِمَا علم من أنّ</w:t>
      </w:r>
      <w:r>
        <w:rPr>
          <w:rStyle w:val="FootnoteAnchor"/>
          <w:rtl w:val="true"/>
        </w:rPr>
        <w:footnoteReference w:id="346"/>
      </w:r>
      <w:r>
        <w:rPr>
          <w:rFonts w:ascii="Amiri" w:hAnsi="Amiri" w:eastAsia="Amiri" w:cs="Amiri"/>
          <w:color w:val="111111"/>
          <w:sz w:val="28"/>
          <w:sz w:val="28"/>
          <w:szCs w:val="28"/>
          <w:rtl w:val="true"/>
          <w:lang w:bidi="ar-SA"/>
        </w:rPr>
        <w:t xml:space="preserve">سيرة العلماء </w:t>
      </w:r>
      <w:bookmarkStart w:id="352" w:name="pg16224_170489"/>
    </w:p>
    <w:p>
      <w:pPr>
        <w:pStyle w:val="BookText"/>
        <w:rPr/>
      </w:pPr>
      <w:bookmarkEnd w:id="352"/>
      <w:r>
        <w:rPr>
          <w:rFonts w:ascii="Amiri" w:hAnsi="Amiri" w:eastAsia="Amiri" w:cs="Amiri"/>
          <w:color w:val="111111"/>
          <w:sz w:val="28"/>
          <w:sz w:val="28"/>
          <w:szCs w:val="28"/>
          <w:rtl w:val="true"/>
          <w:lang w:bidi="ar-SA"/>
        </w:rPr>
        <w:t>في الأعصار والأمصار على خلافه، واجتهاد تحصيل العلم بالوضع والتعيين، وهو ممّا يشهد به العيان وقضى بصحّته الوجدان</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3734538_1280447820"/>
      <w:bookmarkStart w:id="354" w:name="_Toc135"/>
      <w:bookmarkEnd w:id="353"/>
      <w:r>
        <w:rPr>
          <w:rtl w:val="true"/>
        </w:rPr>
        <w:t>الوجه الثامن</w:t>
      </w:r>
      <w:bookmarkEnd w:id="354"/>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كانت للمناسبة الذاتيّة؛ لما كانت اللغات توقيفيّة، واللازم باطل؛ لاتّفاق العلماء خلفًا عن سلف وحديثًا بعد قديم على توقيفيّتها، أمّا الشرطيّة فظاهرة ممّا سلف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بطلان القول المذكور من الأمور الضروريّة الّتي لا يعتريه شكّ وريبة، وإنّما أطنبنا الكلام في ذلك لما اشتمل ما ذكرنا في بطلانه على فوائد عظيمة يفتقر إليها في مواضع عديدة، وينتفع بها في مطالب جليلة، ويعتنى بها في مسالك كثيرة</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3734540_1280447820"/>
      <w:bookmarkStart w:id="356" w:name="_Toc136"/>
      <w:bookmarkEnd w:id="355"/>
      <w:r>
        <w:rPr>
          <w:rtl w:val="true"/>
        </w:rPr>
        <w:t>الجواب عن احتجاج القائلين بأنّ دلالة الألفاظ ذاتيّة بالمناقضة</w:t>
      </w:r>
      <w:bookmarkEnd w:id="35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المناقضة، فهي أنّا نمنع الملازمة المذكورة بأن لا تكون دلالة الألفاظ للمناسبة، ولا يلزم من تعيين بعض الألفاظ لبعض المعاني ترجيح من غير مرجّح؛ لما ذكر في المشهور من جواز كون المرجّح إرادة الواضع المختار مطلقًا ولو كان الوضع مستندًا إلى الله تعالى، أو سبق خطور ذلك اللفظ عند تعقّل المعنى فيما إذا كان الوضع من غير الله سبحانه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357" w:name="pg16224_170490"/>
    </w:p>
    <w:p>
      <w:pPr>
        <w:pStyle w:val="BookText"/>
        <w:rPr/>
      </w:pPr>
      <w:bookmarkEnd w:id="357"/>
      <w:r>
        <w:rPr>
          <w:rFonts w:ascii="Amiri" w:hAnsi="Amiri" w:eastAsia="Amiri" w:cs="Amiri"/>
          <w:color w:val="111111"/>
          <w:sz w:val="28"/>
          <w:sz w:val="28"/>
          <w:szCs w:val="28"/>
          <w:rtl w:val="true"/>
          <w:lang w:bidi="ar-SA"/>
        </w:rPr>
        <w:t>فبناء هذا الكلام على تسليم تساوي نسبة اللفظ إلى المسمّى وغيره وتساوي نسبة المسمّى إلى ذلك اللفظ وغيره، لكن مع ذلك لا يلزم الترجيح من غير مرجّح؛ لأنّ الإرادة أو سبق الخطور مرجّح</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3734542_1280447820"/>
      <w:bookmarkStart w:id="359" w:name="_Toc137"/>
      <w:bookmarkEnd w:id="358"/>
      <w:r>
        <w:rPr>
          <w:rtl w:val="true"/>
        </w:rPr>
        <w:t>الإرادة غير صالحة للترجيح</w:t>
      </w:r>
      <w:bookmarkEnd w:id="359"/>
    </w:p>
    <w:p>
      <w:pPr>
        <w:pStyle w:val="BookText"/>
        <w:rPr/>
      </w:pPr>
      <w:r>
        <w:rPr>
          <w:rFonts w:ascii="Amiri" w:hAnsi="Amiri" w:eastAsia="Amiri" w:cs="Amiri"/>
          <w:color w:val="111111"/>
          <w:sz w:val="28"/>
          <w:sz w:val="28"/>
          <w:szCs w:val="28"/>
          <w:rtl w:val="true"/>
          <w:lang w:bidi="ar-SA"/>
        </w:rPr>
        <w:t>وفيه ما لا يخفى، أمّا بالنسبة إلى الإرادة فلأنّها لو كانت ممّا ينتفى</w:t>
      </w:r>
      <w:r>
        <w:rPr>
          <w:rStyle w:val="FootnoteAnchor"/>
          <w:rtl w:val="true"/>
        </w:rPr>
        <w:footnoteReference w:id="348"/>
      </w:r>
      <w:r>
        <w:rPr>
          <w:rFonts w:ascii="Amiri" w:hAnsi="Amiri" w:eastAsia="Amiri" w:cs="Amiri"/>
          <w:color w:val="111111"/>
          <w:sz w:val="28"/>
          <w:sz w:val="28"/>
          <w:szCs w:val="28"/>
          <w:rtl w:val="true"/>
          <w:lang w:bidi="ar-SA"/>
        </w:rPr>
        <w:t>به الترجيح من غير مرجّح؛ لَما يتصوّر ترجيح من غير مرجّح أصلًا، ضرورة أنّ ترجيح الشيء لا يتصوّر من غير إرادة، وكيف مع أنّ الإرادة من غير مرجّح لها نفس الترجيح من غير مرجّح، فكيف يجعل دافعًا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فيما نحن فيه تساوي نسبة الألفاظ إلى المسمّيات، فإرادة وضع بعضها دون الآخر</w:t>
      </w:r>
      <w:r>
        <w:rPr>
          <w:rStyle w:val="FootnoteAnchor"/>
          <w:rtl w:val="true"/>
        </w:rPr>
        <w:footnoteReference w:id="349"/>
      </w:r>
      <w:r>
        <w:rPr>
          <w:rFonts w:ascii="Amiri" w:hAnsi="Amiri" w:eastAsia="Amiri" w:cs="Amiri"/>
          <w:color w:val="111111"/>
          <w:sz w:val="28"/>
          <w:sz w:val="28"/>
          <w:szCs w:val="28"/>
          <w:rtl w:val="true"/>
          <w:lang w:bidi="ar-SA"/>
        </w:rPr>
        <w:t>ترجيح من غير مرجّح، فما يكون نفس الترجيح من غير مرجّح لا يكون دافعًا إيّاه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هذا الكلام من جعل الإرادة مرجّحة إنّما هو للأشاعرة المجوّزين للترجيح من غير مرجّح، وإنّما تمسّكوا بها في دفع التخصّص بلا مخصّص ومنع الترجّح بلا مرجّح، لا لمنع الترجيح من غير مرجّح، لتجويزهم إيّاه، وإنّما وقع التمسّك به في أمثال المقام ممّن لا يوافقهم في ذلك الأصل من غير </w:t>
      </w:r>
      <w:bookmarkStart w:id="360" w:name="pg16224_170491"/>
    </w:p>
    <w:p>
      <w:pPr>
        <w:pStyle w:val="BookText"/>
        <w:rPr/>
      </w:pPr>
      <w:bookmarkEnd w:id="360"/>
      <w:r>
        <w:rPr>
          <w:rFonts w:ascii="Amiri" w:hAnsi="Amiri" w:eastAsia="Amiri" w:cs="Amiri"/>
          <w:color w:val="111111"/>
          <w:sz w:val="28"/>
          <w:sz w:val="28"/>
          <w:szCs w:val="28"/>
          <w:rtl w:val="true"/>
          <w:lang w:bidi="ar-SA"/>
        </w:rPr>
        <w:t>ملاحظة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الإرادة صالحة للترجيح في حقّه سبحانه؛ لرجوعها بالنسبة إليه تعالى إلى العلم بالأصلح، إلّا أنّ الأصلحيّة الّتي هي مناط تعلّق الإرادة إنّما تكون مع الاختلاف، وأمّا مع التساوي كما هو المفروض فيما نحن فيه، فلا</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3734544_1280447820"/>
      <w:bookmarkStart w:id="362" w:name="_Toc138"/>
      <w:bookmarkEnd w:id="361"/>
      <w:r>
        <w:rPr>
          <w:rtl w:val="true"/>
        </w:rPr>
        <w:t>الخطور أيضًا غير صالح للترجيح</w:t>
      </w:r>
      <w:bookmarkEnd w:id="362"/>
    </w:p>
    <w:p>
      <w:pPr>
        <w:pStyle w:val="BookText"/>
        <w:rPr/>
      </w:pPr>
      <w:r>
        <w:rPr>
          <w:rFonts w:ascii="Amiri" w:hAnsi="Amiri" w:eastAsia="Amiri" w:cs="Amiri"/>
          <w:color w:val="111111"/>
          <w:sz w:val="28"/>
          <w:sz w:val="28"/>
          <w:szCs w:val="28"/>
          <w:rtl w:val="true"/>
          <w:lang w:bidi="ar-SA"/>
        </w:rPr>
        <w:t>وأمّا بالنسبة إلى الخطور؛ فلأنّه قد يتّفق عند تعقّل معنى خطور ألفاظ كثيرة ولا يعيّن</w:t>
      </w:r>
      <w:r>
        <w:rPr>
          <w:rStyle w:val="FootnoteAnchor"/>
          <w:rtl w:val="true"/>
        </w:rPr>
        <w:footnoteReference w:id="350"/>
      </w:r>
      <w:r>
        <w:rPr>
          <w:rFonts w:ascii="Amiri" w:hAnsi="Amiri" w:eastAsia="Amiri" w:cs="Amiri"/>
          <w:color w:val="111111"/>
          <w:sz w:val="28"/>
          <w:sz w:val="28"/>
          <w:szCs w:val="28"/>
          <w:rtl w:val="true"/>
          <w:lang w:bidi="ar-SA"/>
        </w:rPr>
        <w:t>منها إلّا واحدًا، ولا يكون ذلك إلّا لمرجّح يرجّحه على غيره؛ لئلّا يلزم الترجيح من غير مرجّح، مع أنّ ذلك إنّما يتمّ إذا كان تركيب الألفاظ على الهيئات الخاصّة من غير الواضع، أو قبل الوضع، وهو غير معلوم، بل محلّ كلام، لا سيّما الأوّل</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3734546_1280447820"/>
      <w:bookmarkStart w:id="364" w:name="_Toc139"/>
      <w:bookmarkEnd w:id="363"/>
      <w:r>
        <w:rPr>
          <w:rtl w:val="true"/>
        </w:rPr>
        <w:t>جواب آخر</w:t>
      </w:r>
      <w:bookmarkEnd w:id="36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بأن يردّد في الشرطيّة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لم يكن بين اللفظ والمعنى مناسبة طبيعيّة، لزم الترجيح من 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مطلق المناسبة، أو المناسبة المقتضية للدلالة؛ وعلى الأوّل وإن كانت الملازمة مسلّمة وكذا بطلان التالي، لكن لا يلزم منه المطلوب؛ لجواز أن يكون بينهما مناسبة ذاتيّة غير مقتضية للدلالة تكون مرجّحة لوضع البعض، فلا يلزم الترجيح من غير مرجّح، مع كون الدلالات وضعيّة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ويمنع الملازمة على التقدير الثاني؛ لوضوح أنّ نفي الأخصّ غير مستلزم لنفي الأعمّ، فيكفي في دفع المحذور تحقّق المناسبة في الجملة وإن لم تكن</w:t>
      </w:r>
      <w:r>
        <w:rPr>
          <w:rStyle w:val="FootnoteAnchor"/>
          <w:rtl w:val="true"/>
        </w:rPr>
        <w:footnoteReference w:id="351"/>
      </w:r>
      <w:r>
        <w:rPr>
          <w:rFonts w:ascii="Amiri" w:hAnsi="Amiri" w:eastAsia="Amiri" w:cs="Amiri"/>
          <w:color w:val="111111"/>
          <w:sz w:val="28"/>
          <w:sz w:val="28"/>
          <w:szCs w:val="28"/>
          <w:rtl w:val="true"/>
          <w:lang w:bidi="ar-SA"/>
        </w:rPr>
        <w:t>كافية للدلالة، فتأمّل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يمكن منع الملازمة على التقدير الأوّل أيضًا؛ لجواز أن لا يكون بين اللفظ والمعنى مناسبة ذاتيّة أصلًا، ومع ذلك لا يلزم الترجيح من غير مرجّح؛ لاحتمال أن يكون المرجّح أمرًا آخر، كالمناسبة الحاصلة باعتبار صفات الحروف وهيئاتها الحسّيّة على ما ذكره أئمّة الاشتقاق والتصريف من أنّ للحروف خواصّ بها تختلف</w:t>
      </w:r>
      <w:r>
        <w:rPr>
          <w:rStyle w:val="FootnoteAnchor"/>
          <w:rtl w:val="true"/>
        </w:rPr>
        <w:footnoteReference w:id="352"/>
      </w:r>
      <w:r>
        <w:rPr>
          <w:rFonts w:ascii="Amiri" w:hAnsi="Amiri" w:eastAsia="Amiri" w:cs="Amiri"/>
          <w:color w:val="111111"/>
          <w:sz w:val="28"/>
          <w:sz w:val="28"/>
          <w:szCs w:val="28"/>
          <w:rtl w:val="true"/>
          <w:lang w:bidi="ar-SA"/>
        </w:rPr>
        <w:t>، كالجهر والهمس والشدّة والرخاوة والتوسّط بينهما، وغير ذلك من الاستعلاء والانخفاض والانطباق والانفتاح والقلقلة</w:t>
      </w:r>
      <w:r>
        <w:rPr>
          <w:rStyle w:val="FootnoteAnchor"/>
          <w:rtl w:val="true"/>
        </w:rPr>
        <w:footnoteReference w:id="353"/>
      </w:r>
      <w:r>
        <w:rPr>
          <w:rFonts w:ascii="Amiri" w:hAnsi="Amiri" w:eastAsia="Amiri" w:cs="Amiri"/>
          <w:color w:val="111111"/>
          <w:sz w:val="28"/>
          <w:sz w:val="28"/>
          <w:szCs w:val="28"/>
          <w:rtl w:val="true"/>
          <w:lang w:bidi="ar-SA"/>
        </w:rPr>
        <w:t>، وغيرها من الأوصاف المذكورة للحروف في مظانّها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365" w:name="pg16224_170493"/>
    </w:p>
    <w:p>
      <w:pPr>
        <w:pStyle w:val="BookText"/>
        <w:rPr/>
      </w:pPr>
      <w:bookmarkEnd w:id="365"/>
      <w:r>
        <w:rPr>
          <w:rFonts w:ascii="Amiri" w:hAnsi="Amiri" w:eastAsia="Amiri" w:cs="Amiri"/>
          <w:color w:val="111111"/>
          <w:sz w:val="28"/>
          <w:sz w:val="28"/>
          <w:szCs w:val="28"/>
          <w:rtl w:val="true"/>
          <w:lang w:bidi="ar-SA"/>
        </w:rPr>
        <w:t>فيمكن أن يكون المرجّح تحقّق المناسبة على هذا الوجه بأن راعى الواضع في وضع الألفاظ بإزاء المسمّيات المناسبة الحاصلة بينها وبين الألفاظ باعتبار صفات حروفها الّتي ركّبت منها، كالفصم بالفاء الّذي هو حرف رخو، لكسر الشيء من غير أن يبين؛ والقصم بالقاف الّذي هو شديد، لكسر الشيء حتّى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باعتبار هيئاتها الحاصلة من تركيب الحروف، كالفَعَلان والفَعَلى بالتحريك، كالنَزَوان والحَيَدى</w:t>
      </w:r>
      <w:r>
        <w:rPr>
          <w:rStyle w:val="FootnoteAnchor"/>
          <w:rtl w:val="true"/>
        </w:rPr>
        <w:footnoteReference w:id="355"/>
      </w:r>
      <w:r>
        <w:rPr>
          <w:rFonts w:ascii="Amiri" w:hAnsi="Amiri" w:eastAsia="Amiri" w:cs="Amiri"/>
          <w:color w:val="111111"/>
          <w:sz w:val="28"/>
          <w:sz w:val="28"/>
          <w:szCs w:val="28"/>
          <w:rtl w:val="true"/>
          <w:lang w:bidi="ar-SA"/>
        </w:rPr>
        <w:t xml:space="preserve">، لما في مسمّاهما من الحركة، وكذا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شَرُفَ وكَرُمَ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للأفعال الطبيعيّة اللازمة؛ لأنّ الضمّ يفتقر في حصوله إلى انضمام الشفتين والتزامهما، فيناسب أن يكون مدلوله مضمومًا مع الشخص، أي لازمًا له، وهكذا</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6" w:name="__RefHeading___Toc3734548_1280447820"/>
      <w:bookmarkStart w:id="367" w:name="_Toc140"/>
      <w:bookmarkEnd w:id="366"/>
      <w:r>
        <w:rPr>
          <w:rtl w:val="true"/>
        </w:rPr>
        <w:t>الإشكال في الوجهين المذكورين لإثبات الترجيح</w:t>
      </w:r>
      <w:bookmarkEnd w:id="367"/>
    </w:p>
    <w:p>
      <w:pPr>
        <w:pStyle w:val="BookText"/>
        <w:rPr/>
      </w:pPr>
      <w:r>
        <w:rPr>
          <w:rFonts w:ascii="Amiri" w:hAnsi="Amiri" w:eastAsia="Amiri" w:cs="Amiri"/>
          <w:color w:val="111111"/>
          <w:sz w:val="28"/>
          <w:sz w:val="28"/>
          <w:szCs w:val="28"/>
          <w:rtl w:val="true"/>
          <w:lang w:bidi="ar-SA"/>
        </w:rPr>
        <w:t>وفي كلا الوجهين</w:t>
      </w:r>
      <w:r>
        <w:rPr>
          <w:rStyle w:val="FootnoteAnchor"/>
          <w:rtl w:val="true"/>
        </w:rPr>
        <w:footnoteReference w:id="357"/>
      </w:r>
      <w:r>
        <w:rPr>
          <w:rFonts w:ascii="Amiri" w:hAnsi="Amiri" w:eastAsia="Amiri" w:cs="Amiri"/>
          <w:color w:val="111111"/>
          <w:sz w:val="28"/>
          <w:sz w:val="28"/>
          <w:szCs w:val="28"/>
          <w:rtl w:val="true"/>
          <w:lang w:bidi="ar-SA"/>
        </w:rPr>
        <w:t>المذكورين لإثبات الترجيح نظر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الأوّل فمن وجوه يظهر أكثرها ممّا سلف؛ لأنّ ذلك متوقّف على تحقّق الطبائع للألفاظ والمسمّيات والمناسبة بينهما، وقد عرفت الحال لا سيّما في الثالث، واستلزام ذلك مناسبة شيء واحد للنقيضين أو الضدّين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أنّ الترديد في المناسبة بين كونها مقتضية للدلالة أم لا، ممّا لا وجه له؛ لأنّ العلم بالمناسبة إمّا أن يكون متحقّقًا أم لا، وعلى الأوّل يلزم الانتقال كائنة ما كانت المناسبة، فتثبت الدلالة، وعلى الثاني وإن لم يتحقّق الانتقال، لكن ليس ذلك لاختلاف مراتب المناسبة، بل لانتفاء شرط الدلالة، وهو العلم بالمناسبة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يتوجّه عليه أيضًا ما تقدّم من أنّه حينئذٍ يلزم فوات الحكمة الموجبة لتركيب الألفاظ؛ لكون الاطّلاع على المناسبة الذاتيّة في جميع الألفاظ متعسّرًا، بل متعذّرًا، فلا يمكن الوضع؛ لتوقّفه على العلم بالمناسبة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فيما نحن فيه إنّما يتمّ في حقّ غير الله سبحانه، وأمّا بالنسبة إليه فلا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فلعدم اطّراده في جميع الألفاظ المستعملة في لغة واحدة، فضلًا عن اطّراده في جميع اللغات، فالصواب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امتناع الترجيح من غير مرجّح يستدعي أن يكون الوضع لمرجّح؛ وعدم العلم به في جميع الألفاظ لا يقتضي عدمه كما لا يخفى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ثبت فساد القول بالدلالة الذاتيّة، تعيّنت الدلالة الوضعيّة؛ ولمّا امتنع الترجيح من غير مرجّح، علم افتقار وضع أيّ لفظ كان لمسمّاه إلى مرجّح، وغاية ما في الباب عدم العلم به في جميع الألفاظ، وهو غير مضرّ، إلّا إذا كان مستلزمًا لانتفائه في نفس الأمر، أو كان تحقّقه مستلزمًا للعلم به، لكن ليس على شيء منهما دليل، ولا على وأحد</w:t>
      </w:r>
      <w:r>
        <w:rPr>
          <w:rStyle w:val="FootnoteAnchor"/>
          <w:rtl w:val="true"/>
        </w:rPr>
        <w:footnoteReference w:id="358"/>
      </w:r>
      <w:r>
        <w:rPr>
          <w:rFonts w:ascii="Amiri" w:hAnsi="Amiri" w:eastAsia="Amiri" w:cs="Amiri"/>
          <w:color w:val="111111"/>
          <w:sz w:val="28"/>
          <w:sz w:val="28"/>
          <w:szCs w:val="28"/>
          <w:rtl w:val="true"/>
          <w:lang w:bidi="ar-SA"/>
        </w:rPr>
        <w:t>منهما سبيل</w:t>
      </w:r>
      <w:r>
        <w:rPr>
          <w:rFonts w:eastAsia="Amiri" w:cs="Amiri" w:ascii="Amiri" w:hAnsi="Amiri"/>
          <w:color w:val="111111"/>
          <w:sz w:val="28"/>
          <w:szCs w:val="28"/>
          <w:rtl w:val="true"/>
          <w:lang w:bidi="ar-SA"/>
        </w:rPr>
        <w:t xml:space="preserve">.  </w:t>
      </w:r>
      <w:bookmarkStart w:id="368" w:name="pg16224_170495"/>
    </w:p>
    <w:p>
      <w:pPr>
        <w:pStyle w:val="Heading5"/>
        <w:numPr>
          <w:ilvl w:val="4"/>
          <w:numId w:val="1"/>
        </w:numPr>
        <w:rPr/>
      </w:pPr>
      <w:bookmarkStart w:id="369" w:name="__RefHeading___Toc3734550_1280447820"/>
      <w:bookmarkStart w:id="370" w:name="_Toc141"/>
      <w:bookmarkEnd w:id="368"/>
      <w:bookmarkEnd w:id="369"/>
      <w:r>
        <w:rPr>
          <w:rtl w:val="true"/>
        </w:rPr>
        <w:t>والمقام الثاني</w:t>
      </w:r>
      <w:r>
        <w:rPr>
          <w:rtl w:val="true"/>
        </w:rPr>
        <w:t xml:space="preserve">: </w:t>
      </w:r>
      <w:r>
        <w:rPr>
          <w:rtl w:val="true"/>
        </w:rPr>
        <w:t>في تفسير الوضع وما يترتّب عليه من الفوائد</w:t>
      </w:r>
      <w:bookmarkEnd w:id="370"/>
    </w:p>
    <w:p>
      <w:pPr>
        <w:pStyle w:val="Heading6"/>
        <w:numPr>
          <w:ilvl w:val="5"/>
          <w:numId w:val="1"/>
        </w:numPr>
        <w:rPr/>
      </w:pPr>
      <w:bookmarkStart w:id="371" w:name="__RefHeading___Toc3734552_1280447820"/>
      <w:bookmarkStart w:id="372" w:name="_Toc142"/>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والمقام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الوضع وما يترتّب عليه من الفوائد</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ممّا أسلفناه في المقدّمة أنّ الوضع المختصّ بالحقائق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اللفظ للدلالة على المعنى لذاته، والمشترك بينها وبين المجازات تعيينه للدلالة على المعنى من غير أن يقيّد بالذات؛ وهذا وإن مرّ الكلام فيه في المقدّمة بحيث يشمل التعيين للمنقولات التخصّصيّة</w:t>
      </w:r>
      <w:r>
        <w:rPr>
          <w:rStyle w:val="FootnoteAnchor"/>
          <w:rtl w:val="true"/>
        </w:rPr>
        <w:footnoteReference w:id="360"/>
      </w:r>
      <w:r>
        <w:rPr>
          <w:rFonts w:ascii="Amiri" w:hAnsi="Amiri" w:eastAsia="Amiri" w:cs="Amiri"/>
          <w:color w:val="111111"/>
          <w:sz w:val="28"/>
          <w:sz w:val="28"/>
          <w:szCs w:val="28"/>
          <w:rtl w:val="true"/>
          <w:lang w:bidi="ar-SA"/>
        </w:rPr>
        <w:t>أيضًا، لكنّا أعدناه هنا للتنبيه على فائدتين</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3734554_1280447820"/>
      <w:bookmarkStart w:id="374" w:name="_Toc143"/>
      <w:bookmarkEnd w:id="373"/>
      <w:r>
        <w:rPr>
          <w:rtl w:val="true"/>
        </w:rPr>
        <w:t>الفائدة الأولى</w:t>
      </w:r>
      <w:r>
        <w:rPr>
          <w:rtl w:val="true"/>
        </w:rPr>
        <w:t xml:space="preserve">: </w:t>
      </w:r>
      <w:r>
        <w:rPr>
          <w:rtl w:val="true"/>
        </w:rPr>
        <w:t>في تفسير الدلالة وما يتوجّه إليه من المناقشة</w:t>
      </w:r>
      <w:bookmarkEnd w:id="374"/>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الدلالة،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الدلالة مأخوذة في تعريف الوضع، ينبغي التعرّض لها،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مفسّرة في المشهور بكون الشيء بحيث يلزم من العلم به العلم بشيء آخر، أي كلّما يحصل العلم به يلزم العلم بشيء آخر؛ والأوّل هو الدالّ، والثاني هو المدلول</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عكسه أنواع المجازات؛ لأنّها ليست بهذه المثابة؛ لعدم حصول الاستفادة منها عند انتفاء القرينة، فلا يصدق أنّها بحيث كلّما يحصل العلم به يحصل العلم بشيء آخر، بل الحقائق أيضًا؛ لوضوح أنّ العلم بالمدلولات منها إنّما يلزم عند العلم بأوضاعها، لا مع عدمه، فلا تصدق الكلّيّة المذكورة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المحقّق الشريف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بالتزام ذلك بأنّ التعريف المذكور لأرباب </w:t>
      </w:r>
    </w:p>
    <w:p>
      <w:pPr>
        <w:pStyle w:val="BookText"/>
        <w:rPr/>
      </w:pPr>
      <w:r>
        <w:rPr>
          <w:rFonts w:ascii="Amiri" w:hAnsi="Amiri" w:eastAsia="Amiri" w:cs="Amiri"/>
          <w:color w:val="111111"/>
          <w:sz w:val="28"/>
          <w:sz w:val="28"/>
          <w:szCs w:val="28"/>
          <w:rtl w:val="true"/>
          <w:lang w:bidi="ar-SA"/>
        </w:rPr>
        <w:t>الميزان، والدلالة المعتبرة عندهم ما كانت كلّيّة، وأمّا إذا فهم من اللفظ معنى في بعض الأوقات بواسطة قرينة، فأصحاب هذا الفنّ لا يحكمون بأنّ هذا اللفظ دالّ على ذلك المعنى، بخلاف أصحاب العربيّة والأصول، فخروج المجازات غير مضرّ، بل لازم</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 المذكور قد أطبقت عليه أئمّة العربيّة والأصول في كتبهم، وظاهرهم الارتضاء بذلك وتطابق الاصطلاح هنالك، وحيث ما كانت الدلالة متحقّقة عندهم في المجازات، ينتقض عكس الحدّ بخروجها عنه، وهو ما تقدّم من الإيراد على أنّه بعد تسليم فهم المعنى من اللفظ ولو كانت بواسطة القرينة، لا وجه لانتفاء الدلالة، فيبقى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اختصاص الحدّ بأصحاب الميزان مع أنّ اعتبار الكلّيّة يوجب الانتقاض بالنسبة إلى الحقيقة أيضًا كما عرفت، فلا وجه لتخصيصه بالألفاظ المجازيّة، وجعل العموم منوطًا بالعلم بالوضع كما يمكن في الحقيقة، كذا يمكن جعله منوطًا بالعلم بالقرينة في الألفاظ المجازيّة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أمّا فيما إذا كان الدالّ في المجازات اللفظ مع القرينة فظاهر، إذ العلم بالدالّ حينئذٍ إنّما يكون مع تحقّق القرينة، لا مع انتفائها، وحينئذٍ لا تتخلّف الدلالة، وإنّما التخلّف في صورة انتفائها، وهنالك لم يتحقّق العلم بالدالّ، بل بجزئه، فلم تتحقّق صورة يتحقّق العلم بالدالّ فيها مع انتفاء الدلالة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التحقيق من كون الدالّ على المعاني المجازيّة اللفظ بشرط القرينة على ما أسلفنا بيانه؛ فلأنّ الدالّ عليها ليس اللفظ مطلقًا، بل في حالة الاقتران بالقرينة، فعند التجرّد عنها لا يكون العلم بالدالّ على المعنى المجازيّ، بل على المعنى الحقيقيّ، ولذا تحصل الدلالة بالنسبة إليه، وقد عرفت أنّ المراد بالشيء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وإنّما عدل عنه إليه لئلّا 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الإيراد ممّا لا وقع له؛ لأنّ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الدلالة كون الشيء بحيث يلزم من العلم به العلم بشيء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أنّها كون الشيء بالحيثيّة المذكورة، وحيث ما لم يكن الشيء بتلك الحيثيّة لم تتحقّق الدلالة، وتلك الحيثيّة في الألفاظ المجازيّة عند الاقتران بالقرينة لا مطلقًا، فلا وجه للإيراد بعدم الدلالة عند عدم التحيّث بالحيثيّة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الجواب أيضًا عن أصل الإيراد بما تقدّم من أنّ مبنى المجاز على الانتقال من الملزوم إلى اللازم، بناءً على أنّ الدالّ على الملزوم دالٌّ على اللازم، فيلزمه الدلالة على المعنى المجازيّ ولو عند انتفاء القرينة وإرادة المعنى الحقيقيّ، وإنّما المتوقّف على القرينة إرادة المعنى المجازيّ، لا الدلالة عليه، وإلّا لما كان لهذا الكلام وجه، والمعتبر في حدّ الدلالة العلم بالمدلول، لا كونه مرادًا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بدلالة الملزوم لذاته على اللازم إنّما يصحّ إذا كان اللزوم بيّنًا بالمعنى الأخصّ، أي يلزم من نفس تصوّر الملزوم تصوّر اللازم مع كلام فيه أيضًا، وليس المراد من اللزوم المفهوم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مبنى المجاز على الانتقال من الملزوم </w:t>
      </w:r>
    </w:p>
    <w:p>
      <w:pPr>
        <w:pStyle w:val="BookText"/>
        <w:rPr/>
      </w:pPr>
      <w:r>
        <w:rPr>
          <w:rFonts w:ascii="IRNazanin" w:hAnsi="IRNazanin" w:eastAsia="IRNazanin"/>
          <w:color w:val="111111"/>
          <w:sz w:val="28"/>
          <w:sz w:val="28"/>
          <w:szCs w:val="28"/>
          <w:rtl w:val="true"/>
          <w:lang w:bidi="fa-IR"/>
        </w:rPr>
        <w:t>إلى اللازم</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هذا المعنى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كثيرًا من المعاني المجازيّة لا تخطر بالبال أصلًا عند تعقّل المعاني الحقيقيّة، فضلًا عن كفايته لتعقّلها ومفهومها، وإلّا لخرج أكثر المجازات عن كونها مجازات، ولكان الدالّ على المعاني المجازيّة أصل اللفظ من غير مدخليّة للقرينة في الدلالة، لا على وجه الشرطيّة ولا على وجه المعيّة؛ وإطباقهم مضافًا إلى العيان قاضٍ على خلافه، بل المراد اللزوم في الجملة، كما سيجيء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ذكر لا يكفي لحسم</w:t>
      </w:r>
      <w:r>
        <w:rPr>
          <w:rStyle w:val="FootnoteAnchor"/>
          <w:rtl w:val="true"/>
        </w:rPr>
        <w:footnoteReference w:id="364"/>
      </w:r>
      <w:r>
        <w:rPr>
          <w:rFonts w:ascii="Amiri" w:hAnsi="Amiri" w:eastAsia="Amiri" w:cs="Amiri"/>
          <w:color w:val="111111"/>
          <w:sz w:val="28"/>
          <w:sz w:val="28"/>
          <w:szCs w:val="28"/>
          <w:rtl w:val="true"/>
          <w:lang w:bidi="ar-SA"/>
        </w:rPr>
        <w:t>مادّة الإيراد؛ لأنّ مقتضى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 بحيث يلزم من العلم به العلم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بنفس ذلك الشيء من غير اعتبار أمر آخر يكفي للعلم بالمدلول، وليس الأمر في شيء من المجازات كذلك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الدالّ فيها اللفظ بشرط القرينة لا مجموعهما؛ لوضوح مدخليّة العلم بالقرينة أيضًا في ذلك، فلا يصحّ الحكم بكفاية نفس العلم بالدالّ في العلم بالمدلول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ظهر ممّا سبق أنّ الدالّ في المجازات اللفظ في حالة الاقتران بالقرينة، ففي حالة العلم باللفظ والقرينة يكفي نفس العلم باللفظ للعلم بالآخر، فتأمّل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الدلالة كون الشيء بحيث يلزم من العلم به </w:t>
      </w:r>
    </w:p>
    <w:p>
      <w:pPr>
        <w:pStyle w:val="BookText"/>
        <w:rPr/>
      </w:pPr>
      <w:r>
        <w:rPr>
          <w:rFonts w:ascii="Amiri" w:hAnsi="Amiri" w:eastAsia="Amiri" w:cs="Amiri"/>
          <w:color w:val="111111"/>
          <w:sz w:val="28"/>
          <w:sz w:val="28"/>
          <w:szCs w:val="28"/>
          <w:rtl w:val="true"/>
          <w:lang w:bidi="ar-SA"/>
        </w:rPr>
        <w:t>العلم بالآخر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أعمّ من أن يكون من غير اعتبار أمر آخر كما في الحقائق، أو معه كما في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الثاني يظهر ممّا تقدّم من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كون الشيء بالحيثيّة المذكورة، وحيثما لم يكن الشيء على تلك الحيثيّة لم يتحقّق</w:t>
      </w:r>
      <w:r>
        <w:rPr>
          <w:rStyle w:val="FootnoteAnchor"/>
          <w:rtl w:val="true"/>
        </w:rPr>
        <w:footnoteReference w:id="365"/>
      </w:r>
      <w:r>
        <w:rPr>
          <w:rFonts w:ascii="Amiri" w:hAnsi="Amiri" w:eastAsia="Amiri" w:cs="Amiri"/>
          <w:color w:val="111111"/>
          <w:sz w:val="28"/>
          <w:sz w:val="28"/>
          <w:szCs w:val="28"/>
          <w:rtl w:val="true"/>
          <w:lang w:bidi="ar-SA"/>
        </w:rPr>
        <w:t>الدلالة وتلك الحيثيّة في الألفاظ الحقيقيّة عند العلم بأوضاعها؛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الدلالة كون الشيء بحيث يلزم من العلم به عند العلم بوضعه العلم بالآخر، كما تقدّم في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في حدّ الدلالة اللزوم العقليّ البيّن، بل اللزوم في الجملة، فلا ينافيه الافتقار إلى العلم بالوضع والعلاقة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احترازًا عن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يقال في تعريفها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الشيء بحيث يلزم من العلم به العلم بشيء آخر عند العلم بالعلاقة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لا يخفى؛ لاستلزامه خروج الدلالة المتحقّقة في الحقائق؛ لأنّ العلم بالعلاقة فيها ممّا لا معنى له، بل في المجازات أيضًا، إذ كفاية العلم بالعلاقة في دلالة الألفاظ المجازيّة ممنوعة، إلّا إذا فسّرت العلاقة بحيث تشمل الوضع والقرينة، فيؤول إلى ما ذكر مع ارتكاب مخالفة الظاهر وإمكان إرادة هذا المعنى من غير تغيير في الحدّ المشهور على ما مرّ</w:t>
      </w:r>
      <w:r>
        <w:rPr>
          <w:rFonts w:eastAsia="Amiri" w:cs="Amiri" w:ascii="Amiri" w:hAnsi="Amiri"/>
          <w:color w:val="111111"/>
          <w:sz w:val="28"/>
          <w:szCs w:val="28"/>
          <w:rtl w:val="true"/>
          <w:lang w:bidi="ar-SA"/>
        </w:rPr>
        <w:t xml:space="preserve">. </w:t>
      </w:r>
      <w:bookmarkStart w:id="375" w:name="pg16224_170500"/>
    </w:p>
    <w:p>
      <w:pPr>
        <w:pStyle w:val="Heading6"/>
        <w:numPr>
          <w:ilvl w:val="5"/>
          <w:numId w:val="1"/>
        </w:numPr>
        <w:rPr/>
      </w:pPr>
      <w:bookmarkStart w:id="376" w:name="__RefHeading___Toc3734556_1280447820"/>
      <w:bookmarkStart w:id="377" w:name="_Toc144"/>
      <w:bookmarkEnd w:id="375"/>
      <w:bookmarkEnd w:id="376"/>
      <w:r>
        <w:rPr>
          <w:rtl w:val="true"/>
        </w:rPr>
        <w:t>الفائدة الثانية</w:t>
      </w:r>
      <w:r>
        <w:rPr>
          <w:rtl w:val="true"/>
        </w:rPr>
        <w:t xml:space="preserve">: </w:t>
      </w:r>
      <w:r>
        <w:rPr>
          <w:rtl w:val="true"/>
        </w:rPr>
        <w:t>في تقسيم الدلالة إلى الأقسام الثلاثة</w:t>
      </w:r>
      <w:bookmarkEnd w:id="377"/>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الدلالة إلى أقسامها الثلاثة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ممّا تقدّم أنّ الدلالة لكونها من الأمور الممكنة لا بدّ لها من مقتضٍ</w:t>
      </w:r>
      <w:r>
        <w:rPr>
          <w:rStyle w:val="FootnoteAnchor"/>
          <w:rtl w:val="true"/>
        </w:rPr>
        <w:footnoteReference w:id="367"/>
      </w:r>
      <w:r>
        <w:rPr>
          <w:rFonts w:ascii="Amiri" w:hAnsi="Amiri" w:eastAsia="Amiri" w:cs="Amiri"/>
          <w:color w:val="111111"/>
          <w:sz w:val="28"/>
          <w:sz w:val="28"/>
          <w:szCs w:val="28"/>
          <w:rtl w:val="true"/>
          <w:lang w:bidi="ar-SA"/>
        </w:rPr>
        <w:t>وذلك المقتضي إمّا الوضع بأنّه لمّا وضع اللفظ وعيّن بإزاء المعنى، يلزمه الانتقال منه إليه للعالم بالوضع؛ أو الجزئيّة، أي كون المعنى جزءًا للموضوع له، بناءً على أنّ فهم الكلّ مستلزم لفهم الجزء، فالانتقال إلى الكلّ لا يمكن من غير انتقال إلى الجزء؛ أو اللزوم، أي كون المعنى لازمًا للموضوع له، بناءً على أنّ فهم الملزوم وتعقّله يستلزم فهم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فدلالة اللفظ إمّا بالنسبة إلى الموضوع له، أو جزئه، أو لازمه؛ وهي مسمّاة في الأوّل بالمطابقة، لموافقة اللفظ للمعنى،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طابق النعل بالنعل؛ وفي الثاني بالتضمّن، لكونها في ضمن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الثالث بالالتزام؛ لكونها في 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اللفظ على المعنى بتوسّط وضعه له من حيث إنّه وضع له، والتضمّن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عليه بتوسّط جزئيّته للموضوع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عليه بتوسّط لزومه 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انتقاض كلّ من الأقسام بالآخر في اللفظ المشترك بين شيء وجزئه ولازمه؛ وكذا دفعه مشهورٌ وفي الكتب والألسنة مذكورٌ، فترك الالتفات إليه محبوبٌ؛ لأنّ وضع كتابنا هذا من خفيّ ألطاف الله تعالى ليس في مبتذلات الأوهام، بل فيما لا تتناوله الأفهام</w:t>
      </w:r>
      <w:r>
        <w:rPr>
          <w:rFonts w:eastAsia="Amiri" w:cs="Amiri" w:ascii="Amiri" w:hAnsi="Amiri"/>
          <w:color w:val="111111"/>
          <w:sz w:val="28"/>
          <w:szCs w:val="28"/>
          <w:rtl w:val="true"/>
          <w:lang w:bidi="ar-SA"/>
        </w:rPr>
        <w:t xml:space="preserve">. </w:t>
      </w:r>
      <w:bookmarkStart w:id="378" w:name="pg16224_170501"/>
    </w:p>
    <w:p>
      <w:pPr>
        <w:pStyle w:val="Heading6"/>
        <w:numPr>
          <w:ilvl w:val="5"/>
          <w:numId w:val="1"/>
        </w:numPr>
        <w:rPr/>
      </w:pPr>
      <w:bookmarkStart w:id="379" w:name="__RefHeading___Toc3734558_1280447820"/>
      <w:bookmarkStart w:id="380" w:name="_Toc145"/>
      <w:bookmarkEnd w:id="378"/>
      <w:bookmarkEnd w:id="379"/>
      <w:r>
        <w:rPr>
          <w:rtl w:val="true"/>
        </w:rPr>
        <w:t>الكلام هنا في أمور</w:t>
      </w:r>
      <w:bookmarkEnd w:id="380"/>
    </w:p>
    <w:p>
      <w:pPr>
        <w:pStyle w:val="Heading6"/>
        <w:numPr>
          <w:ilvl w:val="5"/>
          <w:numId w:val="1"/>
        </w:numPr>
        <w:rPr/>
      </w:pPr>
      <w:bookmarkStart w:id="381" w:name="__RefHeading___Toc3734560_1280447820"/>
      <w:bookmarkStart w:id="382" w:name="_Toc146"/>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وإنّما الكلام هنا في أمور</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3734562_1280447820"/>
      <w:bookmarkStart w:id="384" w:name="_Toc147"/>
      <w:bookmarkEnd w:id="383"/>
      <w:r>
        <w:rPr>
          <w:rtl w:val="true"/>
        </w:rPr>
        <w:t>الأمر الأوّل</w:t>
      </w:r>
      <w:r>
        <w:rPr>
          <w:rtl w:val="true"/>
        </w:rPr>
        <w:t xml:space="preserve">: </w:t>
      </w:r>
      <w:r>
        <w:rPr>
          <w:rtl w:val="true"/>
        </w:rPr>
        <w:t>في أنّ المطابقة والتضمّن والالتزام من الدلالات اللفظيّة، أو بعضها لفظيّ وبعضها عقلي</w:t>
      </w:r>
      <w:bookmarkEnd w:id="384"/>
    </w:p>
    <w:p>
      <w:pPr>
        <w:pStyle w:val="Heading6"/>
        <w:numPr>
          <w:ilvl w:val="5"/>
          <w:numId w:val="1"/>
        </w:numPr>
        <w:rPr/>
      </w:pPr>
      <w:bookmarkStart w:id="385" w:name="__RefHeading___Toc3734564_1280447820"/>
      <w:bookmarkStart w:id="386" w:name="_Toc148"/>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الأقسام المذكورة للدلالة هل هي بأسرها من الدلالة اللفظيّة الوضعيّة، أو لا، بل بعضها كذلك وبعضها عقليّ؟</w:t>
      </w:r>
    </w:p>
    <w:p>
      <w:pPr>
        <w:pStyle w:val="BookText"/>
        <w:rPr/>
      </w:pPr>
      <w:r>
        <w:rPr>
          <w:rFonts w:ascii="Amiri" w:hAnsi="Amiri" w:eastAsia="Amiri" w:cs="Amiri"/>
          <w:color w:val="111111"/>
          <w:sz w:val="28"/>
          <w:sz w:val="28"/>
          <w:szCs w:val="28"/>
          <w:rtl w:val="true"/>
          <w:lang w:bidi="ar-SA"/>
        </w:rPr>
        <w:t>فيه خلاف، والمشهور وكأنّه ممّا أطبق عليه علماء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بعض علماء البيان إلى أنّ الأوّل وضعيّة، والأخيرين عقليّة</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الحاجب إلى أنّ المطابقة والتضمّن من الدلالة</w:t>
      </w:r>
      <w:r>
        <w:rPr>
          <w:rStyle w:val="FootnoteAnchor"/>
          <w:rtl w:val="true"/>
        </w:rPr>
        <w:footnoteReference w:id="370"/>
      </w:r>
      <w:r>
        <w:rPr>
          <w:rFonts w:ascii="Amiri" w:hAnsi="Amiri" w:eastAsia="Amiri" w:cs="Amiri"/>
          <w:color w:val="111111"/>
          <w:sz w:val="28"/>
          <w:sz w:val="28"/>
          <w:szCs w:val="28"/>
          <w:rtl w:val="true"/>
          <w:lang w:bidi="ar-SA"/>
        </w:rPr>
        <w:t>اللفظيّة الوضعيّة، بخلاف الدلالة الالتزاميّة، فإنّها غير لفظيّة، بل عقليّة</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يتوهّمن أنّ من قال بالوضعيّة يدّعي استقلال الوضع في الإفادة وانتفاء الواسطة ممّا عدا الوضع في دلالة اللفظ على المدلول في التضمّن والالتزام؛ ولا أنّ من قال بالعقليّة ينكر مدخليّة الوضع في الدلالة، كما في دلالة اللفظ المسموع من وراء الجدار على اللافظ؛ لظهور فسادهما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أنّ استقلال الوضع وكفايته في الإفادة إنّما هو بالنسبة إلى الموضوع له، ومعلوم انتفاؤه في غير الدلالة المطابقيّة؛ لما عرفت من أنّ التضمّن والالتزام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اللفظ على جزء الموضوع له ولازمه، والتغاير بين الجزء والكلّ واللازم والملزوم بيّن؛ ولو فرض ثبوت الوضع بالنسبة إلى الجزء واللازم أيضًا، لم تكن الدلالة بالنسبة إلى هذا الاعتبار تضمّنيّة ولا التزاميّة، بل مطابقيّة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لم يكن للوضع مدخليّة في التضمّن والالتزام، لزم انتفاء الدلالة فيهما، والتالي باطل؛ لظهور امتناع فهم الكلّ والملزوم من غير فهم الجزء واللازم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الشرطيّة؛ فلأنّه بناءً على فساد القول بالدلالة الذاتيّة، انحصر المقتضي في دلالة اللفظ على المعنى في الوضع؛ وحيثما لم يكن له مدخليّة لا على وجه الاستقلال ولا في الجملة، يكون الموجب منتفيًا، وانتفاء الموجب ملزوم لانتفاء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القائل بالوضعيّة يدّعي المدخليّة، بمعنى أنّ اللفظ لمّا دلّ على الكلّ والملزوم لوضعه لهما، يلزمه أن يكون الانتقال إلى الجزء واللازم لذلك، فتكون دلالة اللفظ على المدلول المطابقيّ بالوضع من غير واسطة وعلى المدلول التضمّنيّ والالتزاميّ معها؛ لأنّ الوضع ممّا يتوقّف عليه فهم الكلّ، وكلّما يتوقّف عليه فهم الكلّ يتوقّف عليه فهم الجزء؛ لكونه جزءًا له، فالوضع ممّا يتوقّف عليه فهم الجزء؛ لكونه جزءًا للكلّ، ففهم الجزء متوقّف على الوضع بواسطة توقّف فهم الكلّ عليه، وكذلك الحال في فهم اللازم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فالدلالة الوضعيّة عندهم ما كان بمعونة الوضع أعمّ من أن يكون من غير </w:t>
      </w:r>
    </w:p>
    <w:p>
      <w:pPr>
        <w:pStyle w:val="BookText"/>
        <w:rPr/>
      </w:pPr>
      <w:r>
        <w:rPr>
          <w:rFonts w:ascii="Amiri" w:hAnsi="Amiri" w:eastAsia="Amiri" w:cs="Amiri"/>
          <w:color w:val="111111"/>
          <w:sz w:val="28"/>
          <w:sz w:val="28"/>
          <w:szCs w:val="28"/>
          <w:rtl w:val="true"/>
          <w:lang w:bidi="ar-SA"/>
        </w:rPr>
        <w:t>واسطة أو معها، والقائل بالعقليّة لا ينكر المعنى المذكور من مدخليّة الوضع في التضمّن والالتزام، بل يدّعي أنّ الوضعيّة ما كان للوضع من غير واسطة، فيلزمه التعميم في العقليّة بحيث يشمل الدلالة التضمّنيّة والالتزاميّة أيضًا</w:t>
      </w:r>
      <w:r>
        <w:rPr>
          <w:rStyle w:val="FootnoteAnchor"/>
          <w:rtl w:val="true"/>
        </w:rPr>
        <w:footnoteReference w:id="372"/>
      </w:r>
      <w:r>
        <w:rPr>
          <w:rFonts w:ascii="Amiri" w:hAnsi="Amiri" w:eastAsia="Amiri" w:cs="Amiri"/>
          <w:color w:val="111111"/>
          <w:sz w:val="28"/>
          <w:sz w:val="28"/>
          <w:szCs w:val="28"/>
          <w:rtl w:val="true"/>
          <w:lang w:bidi="ar-SA"/>
        </w:rPr>
        <w:t>، ففي الحقيقة أنّ الاختلاف في هذا المقام يرجع إلى الاختلاف في الاصطلاح، ومن الأمور المشهورة أنّه لا مشاحّة في الاصطلاح، إذ لكلّ أحد أن يصطلح بما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المُقسم في التقسيم المذكور الدلالة اللفظيّة، فإن كان الالتزام مثلًا عقليّة، يلزم أن يكون قسم الشيء قسيمًا</w:t>
      </w:r>
      <w:r>
        <w:rPr>
          <w:rStyle w:val="FootnoteAnchor"/>
          <w:rtl w:val="true"/>
        </w:rPr>
        <w:footnoteReference w:id="373"/>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المقتضي في دلالة</w:t>
      </w:r>
      <w:r>
        <w:rPr>
          <w:rStyle w:val="FootnoteAnchor"/>
          <w:rtl w:val="true"/>
        </w:rPr>
        <w:footnoteReference w:id="374"/>
      </w:r>
      <w:r>
        <w:rPr>
          <w:rFonts w:ascii="Amiri" w:hAnsi="Amiri" w:eastAsia="Amiri" w:cs="Amiri"/>
          <w:color w:val="111111"/>
          <w:sz w:val="28"/>
          <w:sz w:val="28"/>
          <w:szCs w:val="28"/>
          <w:rtl w:val="true"/>
          <w:lang w:bidi="ar-SA"/>
        </w:rPr>
        <w:t>اللفظ على المعنى إمّا الوضع، أو العقل كما في التضمّن والالتزام، بناءً على ما عرفت من حكم العقل بأنّ الانتقال إلى الكلّ يستلزم الانتقال إلى الجزء، وإلى الملزوم يستلزم الانتقال إلى اللازم، فالدلالة في الأوّل تسمّى الدلالة اللفظيّة الوضعيّة، وفي الثاني الدلالة اللفظيّة العقليّة، فالحكم بأنّ التضمّن والالتزام من الدلالة العقليّة بالمعنى المذكور لا ينافي جعل المقسم فيهما الدلالة اللفظيّة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يتوجّه ذلك بالنسبة إلى ما ذهب إليه ابن الحاجب، حيث صرّح بأنّ الدلالة الالتزاميّة غير لفظيّة</w:t>
      </w:r>
      <w:r>
        <w:rPr>
          <w:rStyle w:val="FootnoteAnchor"/>
          <w:rtl w:val="true"/>
        </w:rPr>
        <w:footnoteReference w:id="375"/>
      </w:r>
      <w:r>
        <w:rPr>
          <w:rFonts w:ascii="Amiri" w:hAnsi="Amiri" w:eastAsia="Amiri" w:cs="Amiri"/>
          <w:color w:val="111111"/>
          <w:sz w:val="28"/>
          <w:sz w:val="28"/>
          <w:szCs w:val="28"/>
          <w:rtl w:val="true"/>
          <w:lang w:bidi="ar-SA"/>
        </w:rPr>
        <w:t>، فحينئذٍ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w:t>
      </w:r>
      <w:bookmarkStart w:id="387" w:name="pg16224_170504"/>
    </w:p>
    <w:p>
      <w:pPr>
        <w:pStyle w:val="BookText"/>
        <w:rPr/>
      </w:pPr>
      <w:bookmarkEnd w:id="387"/>
      <w:r>
        <w:rPr>
          <w:rFonts w:ascii="IRNazanin" w:hAnsi="IRNazanin" w:eastAsia="IRNazanin"/>
          <w:color w:val="111111"/>
          <w:sz w:val="28"/>
          <w:sz w:val="28"/>
          <w:szCs w:val="28"/>
          <w:rtl w:val="true"/>
          <w:lang w:bidi="fa-IR"/>
        </w:rPr>
        <w:t>اللفظ</w:t>
      </w:r>
      <w:r>
        <w:rPr>
          <w:rStyle w:val="FootnoteAnchor"/>
          <w:rtl w:val="true"/>
        </w:rPr>
        <w:footnoteReference w:id="376"/>
      </w:r>
      <w:r>
        <w:rPr>
          <w:rFonts w:ascii="Amiri" w:hAnsi="Amiri" w:eastAsia="Amiri" w:cs="Amiri"/>
          <w:color w:val="111111"/>
          <w:sz w:val="28"/>
          <w:sz w:val="28"/>
          <w:szCs w:val="28"/>
          <w:rtl w:val="true"/>
          <w:lang w:bidi="ar-SA"/>
        </w:rPr>
        <w:t>على تمام ما وضع مطابقة، وعلى جزئه تضمّن، وعلى خارجه التزام، إذ الحكم بكون اللفظ دالًّا على الخارج مع كونها غير لفظيّة ممّا لا يتفوّه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المقسم حينئذٍ مطلق الدلالة، لا اللفظيّة، أو أنّ الدلالة اللفظيّة في القسم هي أن ينتقل الذهن من اللفظ إلى المعنى ابتداءً، أي بلا واسطة معنى، فيخرج الالتزام حينئذٍ؛ لأنّ الانتقال إلى اللازم فيه بواسطة فهم الملزوم الّذي وضع اللفظ بإزائه، ويراد من الدلالة اللفظيّة في المقسم أعمّ منه، أي ما ينتقل إليه بواسطة اللفظ، سواء دلّ عليه ابتداءً، أو بواسطة دلالته على ملزومه</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3734566_1280447820"/>
      <w:bookmarkStart w:id="389" w:name="_Toc149"/>
      <w:bookmarkEnd w:id="388"/>
      <w:r>
        <w:rPr>
          <w:rtl w:val="true"/>
        </w:rPr>
        <w:t>في وجه كون المطابقة والتضمّن من الدلالة اللفظيّة دون الالتزام</w:t>
      </w:r>
      <w:bookmarkEnd w:id="389"/>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ظهر ممّا ذكر وجه القول بكون الدلالات الثلاث لفظيّة، وكذا القول بكون التضمّن والالتزام عقليّة؛ وإنّما الكلام فيما ذهب إليه ابن الحاجب من كون المطابقة والتضمّن لفظيّة وكون الالتزام عقليّة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الدلالة اللفظيّة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اللفظ بحيث ينتقل الذهن منه إلى المعنى ابتداءً، أي بلا واسطة معنى، والّذي يخرج من ذلك هو الالتزام فقط؛ لما عرفت من أنّ فيه انتقالًا</w:t>
      </w:r>
      <w:r>
        <w:rPr>
          <w:rStyle w:val="FootnoteAnchor"/>
          <w:rtl w:val="true"/>
        </w:rPr>
        <w:footnoteReference w:id="378"/>
      </w:r>
      <w:r>
        <w:rPr>
          <w:rFonts w:ascii="Amiri" w:hAnsi="Amiri" w:eastAsia="Amiri" w:cs="Amiri"/>
          <w:color w:val="111111"/>
          <w:sz w:val="28"/>
          <w:sz w:val="28"/>
          <w:szCs w:val="28"/>
          <w:rtl w:val="true"/>
          <w:lang w:bidi="ar-SA"/>
        </w:rPr>
        <w:t xml:space="preserve">من الملزوم إلى اللازم، أي الذهن ينتقل عند ملاحظة اللفظ إلى الملزوم، ثمّ إلى اللازم، فالانتقال إلى اللازم بواسطة </w:t>
      </w:r>
      <w:bookmarkStart w:id="390" w:name="pg16224_170505"/>
    </w:p>
    <w:p>
      <w:pPr>
        <w:pStyle w:val="BookText"/>
        <w:rPr/>
      </w:pPr>
      <w:bookmarkEnd w:id="390"/>
      <w:r>
        <w:rPr>
          <w:rFonts w:ascii="Amiri" w:hAnsi="Amiri" w:eastAsia="Amiri" w:cs="Amiri"/>
          <w:color w:val="111111"/>
          <w:sz w:val="28"/>
          <w:sz w:val="28"/>
          <w:szCs w:val="28"/>
          <w:rtl w:val="true"/>
          <w:lang w:bidi="ar-SA"/>
        </w:rPr>
        <w:t>الانتقال إلى الملزوم، فهناك انتقالان متغايران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التضمّن، فإنّ الدالّ على الكلّ دلالته على الكلّ عين الدلالة على الجزئين مثلًا، ولا مغايرة بينهما إلّا بالإضافة والاعتبار، فهي بالنسبة إلى الكلّ تسمّى مطابقة، وإلى كلّ واحد من الجزئين تسمّى تضمّنًا، فليس فيه إلّا انتقال واحد، إذ يفهم منه الكلّ بصورة وحدانيّة إجماليّة يحلّلها العقل في ظرف التحليل إلى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أنّك إذا تعقّلت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حصل في ذهنك صورة واحدة بالفعل تنحلّ بتحليل العقل إلى أمور، 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في ضمن دلالتها على تلك الصورة وفهمها في ضمن فهمها، فكما يكون الانتقال إلى تلك الصورة الوحدانيّة الصالحة لأن تكون مبدأً لتلك التفاصيل ابتداء بالمعنى المذكور، كذلك الانتقال إلى كلّ من تلك الأمور؛ ولذا عدّ التضمّن من الدلالة اللفظيّة بالمعنى المذكور كالمطابقة دون الالتزام</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3734568_1280447820"/>
      <w:bookmarkStart w:id="392" w:name="_Toc150"/>
      <w:bookmarkEnd w:id="391"/>
      <w:r>
        <w:rPr>
          <w:rtl w:val="true"/>
        </w:rPr>
        <w:t>الإيرادات الواردة في هذا المقام</w:t>
      </w:r>
      <w:bookmarkEnd w:id="392"/>
    </w:p>
    <w:p>
      <w:pPr>
        <w:pStyle w:val="Heading6"/>
        <w:numPr>
          <w:ilvl w:val="5"/>
          <w:numId w:val="1"/>
        </w:numPr>
        <w:rPr/>
      </w:pPr>
      <w:bookmarkStart w:id="393" w:name="__RefHeading___Toc3734570_1280447820"/>
      <w:bookmarkStart w:id="394" w:name="_Toc151"/>
      <w:bookmarkEnd w:id="393"/>
      <w:r>
        <w:rPr>
          <w:rtl w:val="true"/>
        </w:rPr>
        <w:t>اشارة</w:t>
      </w:r>
      <w:bookmarkEnd w:id="394"/>
    </w:p>
    <w:p>
      <w:pPr>
        <w:pStyle w:val="BookText"/>
        <w:rPr/>
      </w:pPr>
      <w:r>
        <w:rPr>
          <w:rFonts w:ascii="IRNazanin" w:hAnsi="IRNazanin" w:eastAsia="IRNazanin"/>
          <w:color w:val="111111"/>
          <w:sz w:val="28"/>
          <w:sz w:val="28"/>
          <w:szCs w:val="28"/>
          <w:rtl w:val="true"/>
          <w:lang w:bidi="fa-IR"/>
        </w:rPr>
        <w:t>وهنا اعتراض من وجوه</w:t>
      </w:r>
      <w:r>
        <w:rPr>
          <w:rFonts w:eastAsia="IRNazanin" w:cs="IRNazanin"/>
          <w:color w:val="111111"/>
          <w:sz w:val="28"/>
          <w:szCs w:val="28"/>
          <w:rtl w:val="true"/>
          <w:lang w:bidi="fa-IR"/>
        </w:rPr>
        <w:t>:</w:t>
      </w:r>
    </w:p>
    <w:p>
      <w:pPr>
        <w:pStyle w:val="Heading6"/>
        <w:numPr>
          <w:ilvl w:val="5"/>
          <w:numId w:val="1"/>
        </w:numPr>
        <w:rPr/>
      </w:pPr>
      <w:bookmarkStart w:id="395" w:name="__RefHeading___Toc3734572_1280447820"/>
      <w:bookmarkStart w:id="396" w:name="_Toc152"/>
      <w:bookmarkEnd w:id="395"/>
      <w:r>
        <w:rPr>
          <w:rtl w:val="true"/>
        </w:rPr>
        <w:t>الإيراد الأوّل</w:t>
      </w:r>
      <w:bookmarkEnd w:id="39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بأنّ الانتقال في الالتزام إلى الملزوم أوّلًا، ثمّ إلى اللازم، غير صحيح على إطلاقه؛ لأنّ دلالة العمى على البصر بالالتزام، مع أنّ دلالته عليه متقدّمة على الدلالة على العدم المضاف إلى البصر، كما صرّح به شارح المطالع </w:t>
      </w:r>
    </w:p>
    <w:p>
      <w:pPr>
        <w:pStyle w:val="BookText"/>
        <w:rPr/>
      </w:pPr>
      <w:r>
        <w:rPr>
          <w:rFonts w:ascii="Amiri" w:hAnsi="Amiri" w:eastAsia="Amiri" w:cs="Amiri"/>
          <w:color w:val="111111"/>
          <w:sz w:val="28"/>
          <w:sz w:val="28"/>
          <w:szCs w:val="28"/>
          <w:rtl w:val="true"/>
          <w:lang w:bidi="ar-SA"/>
        </w:rPr>
        <w:t>والمحقّق الشريف وغيرهما</w:t>
      </w:r>
      <w:r>
        <w:rPr>
          <w:rStyle w:val="FootnoteAnchor"/>
          <w:rtl w:val="true"/>
        </w:rPr>
        <w:footnoteReference w:id="379"/>
      </w:r>
      <w:r>
        <w:rPr>
          <w:rFonts w:ascii="Amiri" w:hAnsi="Amiri" w:eastAsia="Amiri" w:cs="Amiri"/>
          <w:color w:val="111111"/>
          <w:sz w:val="28"/>
          <w:sz w:val="28"/>
          <w:szCs w:val="28"/>
          <w:rtl w:val="true"/>
          <w:lang w:bidi="ar-SA"/>
        </w:rPr>
        <w:t>لأنّه موضوع للعدم من حيث إضافته إلى البصر، فالتقييد داخل في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الكوسج، فإنّ دلالته على اللحية متقدّمة على الدلالة على العدم المضاف إلى اللحية، وتعقّل الطرفين متقدّم على تعقّل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العمى على البصر بالتضمّن، لا بالالتزام،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بين العمى والبصر تعاندًا، فكيف يكون أحدهما ملزومًا والآخر لازمًا؟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العمى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المضاف إلى البصر، بأن يكون</w:t>
      </w:r>
      <w:r>
        <w:rPr>
          <w:rStyle w:val="FootnoteAnchor"/>
          <w:rtl w:val="true"/>
        </w:rPr>
        <w:footnoteReference w:id="380"/>
      </w:r>
      <w:r>
        <w:rPr>
          <w:rFonts w:ascii="Amiri" w:hAnsi="Amiri" w:eastAsia="Amiri" w:cs="Amiri"/>
          <w:color w:val="111111"/>
          <w:sz w:val="28"/>
          <w:sz w:val="28"/>
          <w:szCs w:val="28"/>
          <w:rtl w:val="true"/>
          <w:lang w:bidi="ar-SA"/>
        </w:rPr>
        <w:t>الإضافة داخلة في مدلوله، لا العدم والبصر، فلا يكون البصر جزءًا لمدلول العمى، بل خارج</w:t>
      </w:r>
      <w:r>
        <w:rPr>
          <w:rStyle w:val="FootnoteAnchor"/>
          <w:rtl w:val="true"/>
        </w:rPr>
        <w:footnoteReference w:id="381"/>
      </w:r>
      <w:r>
        <w:rPr>
          <w:rFonts w:ascii="IRNazanin" w:hAnsi="IRNazanin" w:eastAsia="IRNazanin"/>
          <w:color w:val="111111"/>
          <w:sz w:val="28"/>
          <w:sz w:val="28"/>
          <w:szCs w:val="28"/>
          <w:rtl w:val="true"/>
          <w:lang w:bidi="fa-IR"/>
        </w:rPr>
        <w:t>عنه</w:t>
      </w:r>
      <w:r>
        <w:rPr>
          <w:rStyle w:val="FootnoteAnchor"/>
          <w:rtl w:val="true"/>
        </w:rPr>
        <w:footnoteReference w:id="382"/>
      </w:r>
      <w:r>
        <w:rPr>
          <w:rFonts w:ascii="Amiri" w:hAnsi="Amiri" w:eastAsia="Amiri" w:cs="Amiri"/>
          <w:color w:val="111111"/>
          <w:sz w:val="28"/>
          <w:sz w:val="28"/>
          <w:szCs w:val="28"/>
          <w:rtl w:val="true"/>
          <w:lang w:bidi="ar-SA"/>
        </w:rPr>
        <w:t>، فلا يكون</w:t>
      </w:r>
      <w:r>
        <w:rPr>
          <w:rStyle w:val="FootnoteAnchor"/>
          <w:rtl w:val="true"/>
        </w:rPr>
        <w:footnoteReference w:id="383"/>
      </w:r>
      <w:r>
        <w:rPr>
          <w:rFonts w:ascii="Amiri" w:hAnsi="Amiri" w:eastAsia="Amiri" w:cs="Amiri"/>
          <w:color w:val="111111"/>
          <w:sz w:val="28"/>
          <w:sz w:val="28"/>
          <w:szCs w:val="28"/>
          <w:rtl w:val="true"/>
          <w:lang w:bidi="ar-SA"/>
        </w:rPr>
        <w:t>دلالته عليه بالتضمّن؛ والتعاند بينهما إنّما هو في الخارج، واللازم منه انتفاء اللزوم الخارجيّ بينهما، وهو لا يستلزم انتفاء مطلق اللزوم، ضرورة أنّ انتفاء الأخصّ غير مستلزم لانتفاء الأعمّ،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التعاند </w:t>
      </w:r>
      <w:bookmarkStart w:id="397" w:name="pg16224_170507"/>
    </w:p>
    <w:p>
      <w:pPr>
        <w:pStyle w:val="BookText"/>
        <w:rPr/>
      </w:pPr>
      <w:bookmarkEnd w:id="397"/>
      <w:r>
        <w:rPr>
          <w:rFonts w:ascii="Amiri" w:hAnsi="Amiri" w:eastAsia="Amiri" w:cs="Amiri"/>
          <w:color w:val="111111"/>
          <w:sz w:val="28"/>
          <w:sz w:val="28"/>
          <w:szCs w:val="28"/>
          <w:rtl w:val="true"/>
          <w:lang w:bidi="ar-SA"/>
        </w:rPr>
        <w:t>بينهما خارجيّ، واللزوم ذهنيّ</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3734574_1280447820"/>
      <w:bookmarkStart w:id="399" w:name="_Toc153"/>
      <w:bookmarkEnd w:id="398"/>
      <w:r>
        <w:rPr>
          <w:rtl w:val="true"/>
        </w:rPr>
        <w:t>الإيراد الثاني</w:t>
      </w:r>
      <w:bookmarkEnd w:id="399"/>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لا يصلح وجهًا لجعل التضمّن من الدلالة اللفظيّة بالمعنى المذكور، إذ الانتقال إلى الأجزاء المحلّلة بعد أن يحلّل المعنى المحلّل فيه، فيكون الانتقال إلى المعنى التضمّنيّ بعد الانتقال إلى المعنى المطابقيّ، كما في الالتزام، فلا يكون الانتقال إلى المعنى التضمّنيّ ابتداءً</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3734576_1280447820"/>
      <w:bookmarkStart w:id="401" w:name="_Toc154"/>
      <w:bookmarkEnd w:id="400"/>
      <w:r>
        <w:rPr>
          <w:rtl w:val="true"/>
        </w:rPr>
        <w:t>الإيراد الثالث</w:t>
      </w:r>
      <w:bookmarkEnd w:id="40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تسليم اتّحاد الدلالة في التضمّن والمطابقة وأنّ الحاصل في الذهن صورة وحدانيّة صالحة لأن يكون</w:t>
      </w:r>
      <w:r>
        <w:rPr>
          <w:rStyle w:val="FootnoteAnchor"/>
          <w:rtl w:val="true"/>
        </w:rPr>
        <w:footnoteReference w:id="384"/>
      </w:r>
      <w:r>
        <w:rPr>
          <w:rFonts w:ascii="Amiri" w:hAnsi="Amiri" w:eastAsia="Amiri" w:cs="Amiri"/>
          <w:color w:val="111111"/>
          <w:sz w:val="28"/>
          <w:sz w:val="28"/>
          <w:szCs w:val="28"/>
          <w:rtl w:val="true"/>
          <w:lang w:bidi="ar-SA"/>
        </w:rPr>
        <w:t xml:space="preserve">مبدأ للتفاصيل، إنّما يصحّ في اللفظ المفرد، وأمّا في اللفظ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كغلام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لوضوح أنّ فهم بعض الأجزاء في المركّب قبل فهم الجزء الآخر، ففهم الكلّ فيه إنّما يحصل بصور متعدّدة متمايزة متعاقبة، 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التضمّن والمطابقة متّحدة بالذات ومختلفة بالاعتبار، بل تفسير الدلالة اللفظيّة بما ذكر يستلزم أن لا تكون دلالة الألفاظ المركّبة على معانيها المطابقيّة دلالة لفظيّة؛ لأنّ الانتقال إلى الكلّ بواسطة الانتقال إلى الجزء، فلا يصدق على الانتقال إلى الكلّ أنّه انتقال إلى المعنى ابتداءً</w:t>
      </w:r>
      <w:r>
        <w:rPr>
          <w:rFonts w:eastAsia="Amiri" w:cs="Amiri" w:ascii="Amiri" w:hAnsi="Amiri"/>
          <w:color w:val="111111"/>
          <w:sz w:val="28"/>
          <w:szCs w:val="28"/>
          <w:rtl w:val="true"/>
          <w:lang w:bidi="ar-SA"/>
        </w:rPr>
        <w:t xml:space="preserve">. </w:t>
      </w:r>
      <w:bookmarkStart w:id="402" w:name="pg16224_170508"/>
    </w:p>
    <w:p>
      <w:pPr>
        <w:pStyle w:val="Heading6"/>
        <w:numPr>
          <w:ilvl w:val="5"/>
          <w:numId w:val="1"/>
        </w:numPr>
        <w:rPr/>
      </w:pPr>
      <w:bookmarkStart w:id="403" w:name="__RefHeading___Toc3734578_1280447820"/>
      <w:bookmarkStart w:id="404" w:name="_Toc155"/>
      <w:bookmarkEnd w:id="402"/>
      <w:bookmarkEnd w:id="403"/>
      <w:r>
        <w:rPr>
          <w:rtl w:val="true"/>
        </w:rPr>
        <w:t>الجواب عن الإيراد الثاني</w:t>
      </w:r>
      <w:bookmarkEnd w:id="404"/>
    </w:p>
    <w:p>
      <w:pPr>
        <w:pStyle w:val="BookText"/>
        <w:rPr/>
      </w:pPr>
      <w:r>
        <w:rPr>
          <w:rFonts w:ascii="Amiri" w:hAnsi="Amiri" w:eastAsia="Amiri" w:cs="Amiri"/>
          <w:color w:val="111111"/>
          <w:sz w:val="28"/>
          <w:sz w:val="28"/>
          <w:szCs w:val="28"/>
          <w:rtl w:val="true"/>
          <w:lang w:bidi="ar-SA"/>
        </w:rPr>
        <w:t>والجواب أمّا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الانتقال إلى الصورة الوحدانيّة يستلزم الانتقال إلى الأجزاء إجمالًا بعين ذلك الانتقال، لا بانتقال آخر، فكما يكون الانتقال إلى تلك الصورة ابتدائيًّا، فكذلك الانتقال</w:t>
      </w:r>
      <w:r>
        <w:rPr>
          <w:rStyle w:val="FootnoteAnchor"/>
          <w:rtl w:val="true"/>
        </w:rPr>
        <w:footnoteReference w:id="385"/>
      </w:r>
      <w:r>
        <w:rPr>
          <w:rFonts w:ascii="Amiri" w:hAnsi="Amiri" w:eastAsia="Amiri" w:cs="Amiri"/>
          <w:color w:val="111111"/>
          <w:sz w:val="28"/>
          <w:sz w:val="28"/>
          <w:szCs w:val="28"/>
          <w:rtl w:val="true"/>
          <w:lang w:bidi="ar-SA"/>
        </w:rPr>
        <w:t>إلى أجزائها، ومن هذا الاعتبار تسمّى الدلالة بالنسبة إليها تضمّنيّة؛ وأمّا تحليلها إلى تلك الأجزاء فإنّما هو إلتفات تفصيليّ إلى الأمور المفهومة على الإجمال، لا أنّه التفات مستأنف إلى الأمور الغير الملتفت إليها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في المحسوسات مشاهدة وردة واحدة</w:t>
      </w:r>
      <w:r>
        <w:rPr>
          <w:rStyle w:val="FootnoteAnchor"/>
          <w:rtl w:val="true"/>
        </w:rPr>
        <w:footnoteReference w:id="386"/>
      </w:r>
      <w:r>
        <w:rPr>
          <w:rFonts w:ascii="Amiri" w:hAnsi="Amiri" w:eastAsia="Amiri" w:cs="Amiri"/>
          <w:color w:val="111111"/>
          <w:sz w:val="28"/>
          <w:sz w:val="28"/>
          <w:szCs w:val="28"/>
          <w:rtl w:val="true"/>
          <w:lang w:bidi="ar-SA"/>
        </w:rPr>
        <w:t xml:space="preserve">ذات أوراق متكثّرة دفعة واحدة، ولا شبهة أنّ المشاهدة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الورد وأجزائها واحدة، فإذا نسبت المشاهدة إلى الورد تسمّى مشاهدته، وإذا نسبت إلى الجزء تسمّى مشاهدته؛ وكذلك الحال في المطابقة والتضمّن من حيث الفهم والانتقال</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3734580_1280447820"/>
      <w:bookmarkStart w:id="406" w:name="_Toc156"/>
      <w:bookmarkEnd w:id="405"/>
      <w:r>
        <w:rPr>
          <w:rtl w:val="true"/>
        </w:rPr>
        <w:t>الجواب عن الإيراد الثالث</w:t>
      </w:r>
      <w:bookmarkEnd w:id="40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التضمّن على ما ظهر ممّا قدّمناه وصرّحوا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اللفظ على جزء المعنى الموضوع له، كدلالة الإنسان على الحيوان أو الناطق، لا دلالة جزء اللفظ على جزئه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المركّب له وضع تركيبيّ ولمفرداته وضع إفراديّ؛ وكما أنّ وضعه التركيبيّ يستدعي إفادته المعنى التركيبيّ، كذا يكون وضع مفرداته مستدعيًا لإفادتها المعاني الإفراديّة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وفهم بعض الأجزاء في المركّب قبل فهم الجزء الآخر</w:t>
      </w:r>
      <w:r>
        <w:rPr>
          <w:rStyle w:val="FootnoteAnchor"/>
          <w:rtl w:val="true"/>
        </w:rPr>
        <w:footnoteReference w:id="387"/>
      </w:r>
      <w:r>
        <w:rPr>
          <w:rFonts w:ascii="Amiri" w:hAnsi="Amiri" w:eastAsia="Amiri" w:cs="Amiri"/>
          <w:color w:val="111111"/>
          <w:sz w:val="28"/>
          <w:sz w:val="28"/>
          <w:szCs w:val="28"/>
          <w:rtl w:val="true"/>
          <w:lang w:bidi="ar-SA"/>
        </w:rPr>
        <w:t>بصور متعاقبة متمايزة وإن كان مسلّمًا، لكنّه إنّما هو لدلالة المفردات بأوضاعها عليها، لا لدلالة المركّب من حيث إنّه مركّب عليها؛ ومعلوم أنّ تلك الدلالة مطابقة بالنسبة إلى المفرد الّذي هو جزء للمركّب، لا تضمّن بالنسبة إلى المركّب، والمتحقّق دلالة جزء المركّب على معناه</w:t>
      </w:r>
      <w:r>
        <w:rPr>
          <w:rStyle w:val="FootnoteAnchor"/>
          <w:rtl w:val="true"/>
        </w:rPr>
        <w:footnoteReference w:id="388"/>
      </w:r>
      <w:r>
        <w:rPr>
          <w:rFonts w:ascii="Amiri" w:hAnsi="Amiri" w:eastAsia="Amiri" w:cs="Amiri"/>
          <w:color w:val="111111"/>
          <w:sz w:val="28"/>
          <w:sz w:val="28"/>
          <w:szCs w:val="28"/>
          <w:rtl w:val="true"/>
          <w:lang w:bidi="ar-SA"/>
        </w:rPr>
        <w:t xml:space="preserve">، لا دلالة المركّب من حيث هو مركّب على جزء معناه، والتضمّن بالنسبة إلى المركّب متوقّف عليه، فالمتحقّق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دلالة الجزء على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لتحقّق التضمّن بالنسبة إلى المركّب، وما 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دلالة المركّب على جزء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متحقّق</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أنّ التضمّن دلالة اللفظ على جزء الموضوع له، والمركّب من حيث هو ليس له دلالة على أجزائه المفهومة متعاقبة، بل الدالّ عليها أجزاؤه، وهو ليس بتضمّنٍ بالنسبة إلى المركّب، فيعلم منه أنّ الانتقال إلى المعنى التركيبيّ ابتدائيّ، إذ ليس للفظ المركّب من حيث هو دلالة على جزئه حتّى يحصل الانتقال منه إليه أوّلًا، ثمّ منه إلى المعنى التركيبيّ كما عرفت، فلا انتقاض</w:t>
      </w:r>
      <w:r>
        <w:rPr>
          <w:rFonts w:eastAsia="Amiri" w:cs="Amiri" w:ascii="Amiri" w:hAnsi="Amiri"/>
          <w:color w:val="111111"/>
          <w:sz w:val="28"/>
          <w:szCs w:val="28"/>
          <w:rtl w:val="true"/>
          <w:lang w:bidi="ar-SA"/>
        </w:rPr>
        <w:t xml:space="preserve">. </w:t>
      </w:r>
      <w:bookmarkStart w:id="407" w:name="pg16224_170510"/>
    </w:p>
    <w:p>
      <w:pPr>
        <w:pStyle w:val="Heading6"/>
        <w:numPr>
          <w:ilvl w:val="5"/>
          <w:numId w:val="1"/>
        </w:numPr>
        <w:rPr/>
      </w:pPr>
      <w:bookmarkStart w:id="408" w:name="__RefHeading___Toc3734582_1280447820"/>
      <w:bookmarkStart w:id="409" w:name="_Toc157"/>
      <w:bookmarkEnd w:id="407"/>
      <w:bookmarkEnd w:id="408"/>
      <w:r>
        <w:rPr>
          <w:rtl w:val="true"/>
        </w:rPr>
        <w:t>الإيراد الأوّل وارد</w:t>
      </w:r>
      <w:bookmarkEnd w:id="409"/>
    </w:p>
    <w:p>
      <w:pPr>
        <w:pStyle w:val="BookText"/>
        <w:rPr/>
      </w:pPr>
      <w:r>
        <w:rPr>
          <w:rFonts w:ascii="Amiri" w:hAnsi="Amiri" w:eastAsia="Amiri" w:cs="Amiri"/>
          <w:color w:val="111111"/>
          <w:sz w:val="28"/>
          <w:sz w:val="28"/>
          <w:szCs w:val="28"/>
          <w:rtl w:val="true"/>
          <w:lang w:bidi="ar-SA"/>
        </w:rPr>
        <w:t>وأمّا الأوّل فهو واردٌ ولا</w:t>
      </w:r>
      <w:r>
        <w:rPr>
          <w:rStyle w:val="FootnoteAnchor"/>
          <w:rtl w:val="true"/>
        </w:rPr>
        <w:footnoteReference w:id="389"/>
      </w:r>
      <w:r>
        <w:rPr>
          <w:rFonts w:ascii="Amiri" w:hAnsi="Amiri" w:eastAsia="Amiri" w:cs="Amiri"/>
          <w:color w:val="111111"/>
          <w:sz w:val="28"/>
          <w:sz w:val="28"/>
          <w:szCs w:val="28"/>
          <w:rtl w:val="true"/>
          <w:lang w:bidi="ar-SA"/>
        </w:rPr>
        <w:t>اختصاص له بالعمى، بل يرد الانتقاض أيضًا بالنسبة إلى المتضايفين، فإنّ كلّ واحد من المتضايفين لازم بالنسبة إلى آخر، مع أنّ تعقّلهما في آن واحد، وليس تعقّل الملزوم سابقًا عن تعقّل اللازم، إلّا أن يخصّص التعريف بما إذا لم يكن فهم الملزوم متوقّفًا على فهم اللازم، وفي كلّ من العمى والمتضايفين يكون الأمر كذلك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10" w:name="pg16224_170511"/>
    </w:p>
    <w:p>
      <w:pPr>
        <w:pStyle w:val="Heading6"/>
        <w:numPr>
          <w:ilvl w:val="5"/>
          <w:numId w:val="1"/>
        </w:numPr>
        <w:rPr/>
      </w:pPr>
      <w:bookmarkStart w:id="411" w:name="__RefHeading___Toc3734584_1280447820"/>
      <w:bookmarkStart w:id="412" w:name="_Toc158"/>
      <w:bookmarkEnd w:id="410"/>
      <w:bookmarkEnd w:id="411"/>
      <w:r>
        <w:rPr>
          <w:rtl w:val="true"/>
        </w:rPr>
        <w:t>الأمر الثاني</w:t>
      </w:r>
      <w:r>
        <w:rPr>
          <w:rtl w:val="true"/>
        </w:rPr>
        <w:t xml:space="preserve">: </w:t>
      </w:r>
      <w:r>
        <w:rPr>
          <w:rtl w:val="true"/>
        </w:rPr>
        <w:t>في أنّ حصر الدلالات في الأقسام الثلاثة غير صحيح</w:t>
      </w:r>
      <w:bookmarkEnd w:id="412"/>
    </w:p>
    <w:p>
      <w:p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حصر الدلالات في الأقسام المذكورة غير صحيح؛ لأنّ اللفظ المشترك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جميع المعاني، مع أنّ هذه الدلالة غير مندرجة تحت شيء من الأقسام الثلاثة؛ أمّا المطابقة والتضمّن فلأنّ اللفظ موضوع لكلّ واحد من تلك المعاني، لا للمجموع، فلا يكون المجموع الموضوع له ولا جزؤه؛ وأمّا الالتزام فلعدم لزومه للموضوع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إذا فرض وضع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كهذا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لمتضايفين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كالأبوّة والبنوّة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دلالته على مجموع الجزئين بالمطابقة، وكلّ جزء يستلزم الآخر؛ لامتناع تعقّل البنوّة من دون الأبوّة وبالعكس، فكلّ واحد منهما يفهم بواسطة لزومه للآخر، فلا يكون تضمّنًا لعدم اعتبار الجزئيّة، ولا التزامًا لعدم الخروج، هذا ملخّص ما أورده بعض الأعلام في هذا المقام</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أمّا عن الأوّل؛ فلأنّ النقض إنّما كان متوجّهًا إذا فهم مجموع المعاني بصورة وحدانيّة؛ لثبوت الدلالة بالنسبة إليها حينئذٍ، مع عدم اندراجه تحت شيء من الأقسام لما ذكر، لكنّ الأمر ليس كذلك، بل المفهوم كلّ واحد، والدلالة بالنسبة إليه مطابقة؛ لكونه تمام ما وضع له بالنسبة إلى وضعه، وفهم كلّ واحد يستلزم حضور الجميع في الخزانة، فيلتفت إليه إجمالًا، لكن هذا الالتفات من جهة حضور الجميع لدلالة اللفظ على كلّ واحد، لا لدلالته عليه،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لا شبهة في أنّ اللفظ الدالّ على المجموع دالّ على أجزائه، وإلّا لما تحقّق دلالته على المجموع، وإنكار ذلك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أُورِدَ السؤال على نحو آخر، لكان له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مراد المورد وإن كان في عبارته قصور عن إفادته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لفظ موضوع للمتلازمين له دلالتان على كلّ منهما، إحداهما باعتبار الجزئيّة، ولا كلام في ذلك؛ لاندراجها بهذا الاعتبار تحت التضمّن، والأخرى باعتبار لزوم كلّ منهما للآخر، وهذه الدلالة غير مندرجة تحت شيء من الأقسام المذكورة لما سلف، مضافًا إلى أنّ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الخارج اللازم للموضوع له، وهنا يكون اللازم لازمًا لجزء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باندراجها تحت الالتزام بأن يكون المراد من الخروج المعتبر فيه عدم حيثيّة العينيّة والجزئيّة، فإنّ المدلول في تلك الدلالة وإن كان جزءًا، لكنّ الدلالة ليست باعتبار الجزئيّة، بل باعتبار اللزوم؛ لكنّه مع ما فيه من شدّة مخالفته للظاهر، بل عدم إمكان إرادته في كثير من كلماتهم، لا</w:t>
      </w:r>
      <w:r>
        <w:rPr>
          <w:rStyle w:val="FootnoteAnchor"/>
          <w:rtl w:val="true"/>
        </w:rPr>
        <w:footnoteReference w:id="391"/>
      </w:r>
      <w:r>
        <w:rPr>
          <w:rFonts w:ascii="Amiri" w:hAnsi="Amiri" w:eastAsia="Amiri" w:cs="Amiri"/>
          <w:color w:val="111111"/>
          <w:sz w:val="28"/>
          <w:sz w:val="28"/>
          <w:szCs w:val="28"/>
          <w:rtl w:val="true"/>
          <w:lang w:bidi="ar-SA"/>
        </w:rPr>
        <w:t>يندفع معه العلاوة المذكورة من أنّ الالتزام الدلالة على اللازم للموضوع له، لا لجزئه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الانتقال إلى اللازم إنّما هو من الجزء، وهو يستدعي أن يكون ذلك دلالة التزاميّة بالنسبة إلى الجزء، لا بالنسبة إلى اللفظ الموضوع لمجموع المتلازمين، وهو مسلّم ولا ضرر فيه أصلًا؛ لكونه انتقالًا إلى الخارج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اللازم للموضوع له، فتأمّل</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413" w:name="pg16224_170514"/>
    </w:p>
    <w:p>
      <w:pPr>
        <w:pStyle w:val="Heading6"/>
        <w:numPr>
          <w:ilvl w:val="5"/>
          <w:numId w:val="1"/>
        </w:numPr>
        <w:rPr/>
      </w:pPr>
      <w:bookmarkStart w:id="414" w:name="__RefHeading___Toc3734586_1280447820"/>
      <w:bookmarkStart w:id="415" w:name="_Toc159"/>
      <w:bookmarkEnd w:id="413"/>
      <w:bookmarkEnd w:id="414"/>
      <w:r>
        <w:rPr>
          <w:rtl w:val="true"/>
        </w:rPr>
        <w:t>الأمر الثالث</w:t>
      </w:r>
      <w:r>
        <w:rPr>
          <w:rtl w:val="true"/>
        </w:rPr>
        <w:t xml:space="preserve">: </w:t>
      </w:r>
      <w:r>
        <w:rPr>
          <w:rtl w:val="true"/>
        </w:rPr>
        <w:t>في أنّ دلالة الألفاظ المجازيّة على المعاني المجازيّة مطابقة لا التزام</w:t>
      </w:r>
      <w:bookmarkEnd w:id="415"/>
    </w:p>
    <w:p>
      <w:pPr>
        <w:pStyle w:val="BookText"/>
        <w:rPr/>
      </w:pPr>
      <w:r>
        <w:rPr>
          <w:rFonts w:ascii="Amiri" w:hAnsi="Amiri" w:eastAsia="Amiri" w:cs="Amiri"/>
          <w:color w:val="111111"/>
          <w:sz w:val="28"/>
          <w:sz w:val="28"/>
          <w:szCs w:val="28"/>
          <w:rtl w:val="true"/>
          <w:lang w:bidi="ar-SA"/>
        </w:rPr>
        <w:t>والأمر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دلالة الألفاظ المجازيّة على المعاني المجازيّة هل تكون من دلالة الالتزام، أو المطابقة</w:t>
      </w:r>
      <w:r>
        <w:rPr>
          <w:rStyle w:val="FootnoteAnchor"/>
          <w:rtl w:val="true"/>
        </w:rPr>
        <w:footnoteReference w:id="3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خلاف بين الأعلام، فالظاهر من المحقّق العضديّ الأوّل؛ لأنّه حكى اعتبار اللزوم الذهنيّ في دلالة الالتزام عن قوم،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عليهم أنواع المجازات</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 مقتضاه أنّ كون الدلالة في المجازات التزامًا مسلّم، واعتبار اللزوم الذهنيّ فيه يستلزم خروجها عنه، بناءً على أنّ اللزوم الذهنيّ هو أن يكون تعقّل الملزوم كافيًا في تعقّل اللازم، وليس الأمر في المجازات كذلك؛ لأنّ تعقّلها متوقّف على وجود القرينة</w:t>
      </w:r>
      <w:r>
        <w:rPr>
          <w:rFonts w:eastAsia="Amiri" w:cs="Amiri" w:ascii="Amiri" w:hAnsi="Amiri"/>
          <w:color w:val="111111"/>
          <w:sz w:val="28"/>
          <w:szCs w:val="28"/>
          <w:rtl w:val="true"/>
          <w:lang w:bidi="ar-SA"/>
        </w:rPr>
        <w:t xml:space="preserve">. </w:t>
      </w:r>
      <w:bookmarkStart w:id="416" w:name="pg16224_170515"/>
    </w:p>
    <w:p>
      <w:pPr>
        <w:pStyle w:val="BookText"/>
        <w:rPr/>
      </w:pPr>
      <w:bookmarkEnd w:id="416"/>
      <w:r>
        <w:rPr>
          <w:rFonts w:ascii="Amiri" w:hAnsi="Amiri" w:eastAsia="Amiri" w:cs="Amiri"/>
          <w:color w:val="111111"/>
          <w:sz w:val="28"/>
          <w:sz w:val="28"/>
          <w:szCs w:val="28"/>
          <w:rtl w:val="true"/>
          <w:lang w:bidi="ar-SA"/>
        </w:rPr>
        <w:t>والثاني حكاه المحقّق التفتازاني في مطوّله عن الأكثر</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7" w:name="__RefHeading___Toc3734588_1280447820"/>
      <w:bookmarkStart w:id="418" w:name="_Toc160"/>
      <w:bookmarkEnd w:id="417"/>
      <w:r>
        <w:rPr>
          <w:rtl w:val="true"/>
        </w:rPr>
        <w:t>الإشكال في القول الثاني</w:t>
      </w:r>
      <w:bookmarkEnd w:id="418"/>
    </w:p>
    <w:p>
      <w:pPr>
        <w:pStyle w:val="BookText"/>
        <w:rPr/>
      </w:pPr>
      <w:r>
        <w:rPr>
          <w:rFonts w:ascii="Amiri" w:hAnsi="Amiri" w:eastAsia="Amiri" w:cs="Amiri"/>
          <w:color w:val="111111"/>
          <w:sz w:val="28"/>
          <w:sz w:val="28"/>
          <w:szCs w:val="28"/>
          <w:rtl w:val="true"/>
          <w:lang w:bidi="ar-SA"/>
        </w:rPr>
        <w:t>وفي كلّ منهما إشكال، أمّا في الثاني فظاهر؛ لأنّ المطابقة دلالة اللفظ على تمام الموضوع له، والمجازُ لفظٌ مستعملٌ في غير الموضوع له، فلو كانت دلالة المجازات مطابقة، لزم اجتماع النقيضين</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3734590_1280447820"/>
      <w:bookmarkStart w:id="420" w:name="_Toc161"/>
      <w:bookmarkEnd w:id="419"/>
      <w:r>
        <w:rPr>
          <w:rtl w:val="true"/>
        </w:rPr>
        <w:t>الإشكال في القول الأوّل</w:t>
      </w:r>
      <w:bookmarkEnd w:id="420"/>
    </w:p>
    <w:p>
      <w:pPr>
        <w:pStyle w:val="Heading6"/>
        <w:numPr>
          <w:ilvl w:val="5"/>
          <w:numId w:val="1"/>
        </w:numPr>
        <w:rPr/>
      </w:pPr>
      <w:bookmarkStart w:id="421" w:name="__RefHeading___Toc3734592_1280447820"/>
      <w:bookmarkStart w:id="422" w:name="_Toc162"/>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وأمّا في الأوّل فمن وجوه</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3734594_1280447820"/>
      <w:bookmarkStart w:id="424" w:name="_Toc163"/>
      <w:bookmarkEnd w:id="423"/>
      <w:r>
        <w:rPr>
          <w:rtl w:val="true"/>
        </w:rPr>
        <w:t>الوجه الأوّل</w:t>
      </w:r>
      <w:bookmarkEnd w:id="42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الألفاظ المجازيّة لو كانت التزاميّة، لزم أن يكون الأمر كذلك فيما إذا كان المعنى المجازيّ جزءًا للمعنى الحقيقيّ أيضًا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الشرطيّة فظاهرة، وأمّا بطلان التالي فلما تقدّم من أنّ الالتزام دلالة اللفظ على الخارج اللازم للموضوع له، والمعنى المجازيّ فيما نحن فيه لم يكن خارجًا، بل جزء له؛ ومعلوم أنّه ليس بتضمّن أيضًا؛ لما تقدّم من أنّ التضمّن دلالة اللفظ على الجزء في ضمن الكلّ ومفهوم في ضمن فهمه، وأنّها متّحدة مع المطابقة ذاتًا ومختلفة اعتبارًا، وفيما نحن فيه ليس كذلك؛ لوضوح انفهامه مستقلًّا ومخالفة تلك الدلالة </w:t>
      </w:r>
      <w:bookmarkStart w:id="425" w:name="pg16224_170516"/>
    </w:p>
    <w:p>
      <w:pPr>
        <w:pStyle w:val="BookText"/>
        <w:rPr/>
      </w:pPr>
      <w:bookmarkEnd w:id="425"/>
      <w:r>
        <w:rPr>
          <w:rFonts w:ascii="Amiri" w:hAnsi="Amiri" w:eastAsia="Amiri" w:cs="Amiri"/>
          <w:color w:val="111111"/>
          <w:sz w:val="28"/>
          <w:sz w:val="28"/>
          <w:szCs w:val="28"/>
          <w:rtl w:val="true"/>
          <w:lang w:bidi="ar-SA"/>
        </w:rPr>
        <w:t>على الدلالة على المعنى الحقيقيّ؛ وكيف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إحداهما</w:t>
      </w:r>
      <w:r>
        <w:rPr>
          <w:rStyle w:val="FootnoteAnchor"/>
          <w:rtl w:val="true"/>
        </w:rPr>
        <w:footnoteReference w:id="396"/>
      </w:r>
      <w:r>
        <w:rPr>
          <w:rFonts w:ascii="Amiri" w:hAnsi="Amiri" w:eastAsia="Amiri" w:cs="Amiri"/>
          <w:color w:val="111111"/>
          <w:sz w:val="28"/>
          <w:sz w:val="28"/>
          <w:szCs w:val="28"/>
          <w:rtl w:val="true"/>
          <w:lang w:bidi="ar-SA"/>
        </w:rPr>
        <w:t>غير متوقّفة على القرينة والأخرى متوقّفة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الانتقال من اللفظ المستعمل في غير ما وضع له أوّلًا إلى الموضوع له، ثمّ بعد الالتفات إلى القرينة الصارفة ينتقل إلى المعنى المجازيّ، فعلى هذا يكون الانتقال من اللفظ المستعمل في الجزء أوّلًا إلى الكلّ، فيصدق على الجزء أنّه مفهوم في ضمن الكلّ بعين دلالة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وإن كان مسلّمًا، لكنّ الكلام ليس في تلك الدلالة، بل في الدلالة المستقلّة على الجزء والجزء المفهوم مفصّلًا بمعونة القرينة، فتأمّل</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إنّما هي لكون المعنى المجازيّ مرادًا، لا لكونه مدلولًا؛ لأنّ اختلافهم في أنّ الدالّ في المجازات هل اللفظ بشرط القرينة أو معها، مكذّب لذلك، كما لا يخفى على المتأمّل</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3734596_1280447820"/>
      <w:bookmarkStart w:id="427" w:name="_Toc164"/>
      <w:bookmarkEnd w:id="426"/>
      <w:r>
        <w:rPr>
          <w:rtl w:val="true"/>
        </w:rPr>
        <w:t>الوجه الثاني</w:t>
      </w:r>
      <w:bookmarkEnd w:id="42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جمعًا من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كالمحقّق التفتازاني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على عدم توقّف الدلالة على الإرادة بأنّ المعاني التضمّنيّة والالتزاميّة غير مرادة، مع أنّها مدلول عليها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428" w:name="pg16224_170517"/>
    </w:p>
    <w:p>
      <w:pPr>
        <w:pStyle w:val="BookText"/>
        <w:rPr/>
      </w:pPr>
      <w:bookmarkEnd w:id="428"/>
      <w:r>
        <w:rPr>
          <w:rFonts w:ascii="Amiri" w:hAnsi="Amiri" w:eastAsia="Amiri" w:cs="Amiri"/>
          <w:color w:val="111111"/>
          <w:sz w:val="28"/>
          <w:sz w:val="28"/>
          <w:szCs w:val="28"/>
          <w:rtl w:val="true"/>
          <w:lang w:bidi="ar-SA"/>
        </w:rPr>
        <w:t>وهذا إنّما يتمّ إذا كانت المعاني الالتزاميّة مفهومة بواسطة فهم الملزوم الّذي هو المراد من الكلام، لا المعنى الالتزاميّ؛ ومعلوم أنّ المراد من الألفاظ المجازيّة المعاني المجازيّة، لا الحقيقيّة، إذ الكلام ليس إلّا في ذلك، فتأمّل</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9" w:name="__RefHeading___Toc3734598_1280447820"/>
      <w:bookmarkStart w:id="430" w:name="_Toc165"/>
      <w:bookmarkEnd w:id="429"/>
      <w:r>
        <w:rPr>
          <w:rtl w:val="true"/>
        </w:rPr>
        <w:t>الوجه الثالث</w:t>
      </w:r>
      <w:bookmarkEnd w:id="430"/>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دلالة الألفاظ المجازيّة لو كانت التزاميّة، لزم عدم استلزام الالتزام للمطابقة؛ والتالي باطل؛ لإطباقهم ظاهرًا على أنّ كلًّا من التضمّن والالتزام مستلزم للمطابقة؛ أمّا الشرطيّة فلما تقدّم من أنّ المجاز غير مستلزم للحقيقة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تأمّل، إذ المطابقة دلالة اللفظ على تمام الموضوع له،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المستعمل فيما وضع له؛ والمذكور في بيان الشرطيّة إنّما يتمّ إذا كانت دلالة اللفظ على معنى غير منفكّة عن استعماله فيه، أو عدم الاستعمال مستلزمًا لعدم الدلالة، لكن ليس على شيء منهما دليلٌ ولا على أحد منهما سبيل، فحينئذٍ يمكن أن يكون اللفظ المستعمل في غير الموضوع له دالًا على ما وضع له مع عدم استعماله فيه أبدًا، فهناك تتحقّق</w:t>
      </w:r>
      <w:r>
        <w:rPr>
          <w:rStyle w:val="FootnoteAnchor"/>
          <w:rtl w:val="true"/>
        </w:rPr>
        <w:footnoteReference w:id="400"/>
      </w:r>
      <w:r>
        <w:rPr>
          <w:rFonts w:ascii="Amiri" w:hAnsi="Amiri" w:eastAsia="Amiri" w:cs="Amiri"/>
          <w:color w:val="111111"/>
          <w:sz w:val="28"/>
          <w:sz w:val="28"/>
          <w:szCs w:val="28"/>
          <w:rtl w:val="true"/>
          <w:lang w:bidi="ar-SA"/>
        </w:rPr>
        <w:t>المطابقة مع انتفاء الحقيقة، فلا يكون انتفاء الحقيقة مستلزمًا لانتفاء المطابقة، فلا يتمّ المرام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يقال في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استلزام الالتزام للمطابقة مثلًا أنّه كلّما تحقّق الأوّل تحقّق الثاني، وعلى تقدير أن تكون دلالة المجازات على معانيها المجازيّة التزامًا، لا يلزم أن يكون الأمر كذلك؛ لجواز أن يكون المجاز مقترنًا بالقرينة المعيّنة للمراد بحيث يحصل الانتقال إلى المعنى المجازيّ من غير أن يحصل الانتقال إلى المعنى الحقيقيّ، فحينئذٍ يكون الالتزام متحقّقًا مع انتفاء المطابقة، فتأمّل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الألفاظ المجازيّة مطابقة، والمناقشة المذكورة</w:t>
      </w:r>
      <w:r>
        <w:rPr>
          <w:rStyle w:val="FootnoteAnchor"/>
          <w:rtl w:val="true"/>
        </w:rPr>
        <w:footnoteReference w:id="401"/>
      </w:r>
      <w:r>
        <w:rPr>
          <w:rFonts w:ascii="Amiri" w:hAnsi="Amiri" w:eastAsia="Amiri" w:cs="Amiri"/>
          <w:color w:val="111111"/>
          <w:sz w:val="28"/>
          <w:sz w:val="28"/>
          <w:szCs w:val="28"/>
          <w:rtl w:val="true"/>
          <w:lang w:bidi="ar-SA"/>
        </w:rPr>
        <w:t>على تقديرها مدفوعة بحمل</w:t>
      </w:r>
      <w:r>
        <w:rPr>
          <w:rStyle w:val="FootnoteAnchor"/>
          <w:rtl w:val="true"/>
        </w:rPr>
        <w:footnoteReference w:id="402"/>
      </w:r>
      <w:r>
        <w:rPr>
          <w:rFonts w:ascii="Amiri" w:hAnsi="Amiri" w:eastAsia="Amiri" w:cs="Amiri"/>
          <w:color w:val="111111"/>
          <w:sz w:val="28"/>
          <w:sz w:val="28"/>
          <w:szCs w:val="28"/>
          <w:rtl w:val="true"/>
          <w:lang w:bidi="ar-SA"/>
        </w:rPr>
        <w:t>الوضع المعتبر فيها على المعنى العامّ؛ وهو على ما سلف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اللفظ للدلالة على المعنى مطلقًا، فعلى هذا كما يتحقّق كلّ من التضمّن والالتزام بالنسبة إلى المعنى الحقيقيّ، كذا يمكن تحقّقهما بالنسبة إلى المعنى المجازيّ أيضًا بأن يكون المعنى المجازيّ مركّبًا أو ملزومًا، فتكون دلالة ذلك المجاز على الجزء تضمّنًا وعلى اللازم التزامًا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431" w:name="pg16224_170519"/>
    </w:p>
    <w:p>
      <w:pPr>
        <w:pStyle w:val="BookText"/>
        <w:rPr/>
      </w:pPr>
      <w:bookmarkEnd w:id="431"/>
      <w:r>
        <w:rPr>
          <w:rFonts w:ascii="Amiri" w:hAnsi="Amiri" w:eastAsia="Amiri" w:cs="Amiri"/>
          <w:color w:val="111111"/>
          <w:sz w:val="28"/>
          <w:sz w:val="28"/>
          <w:szCs w:val="28"/>
          <w:rtl w:val="true"/>
          <w:lang w:bidi="ar-SA"/>
        </w:rPr>
        <w:t>والعبارة المحكيّة عن المحقّق العضديّ ممّا لا يعتنى بها بعدما تبيّن فسادها؛ على أنّه يمكن أن لا يكون المراد منها ما سلف، بل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المعاني المجازيّة مدلولات التزاميّة بالنسبة إلى المعاني الحقيقيّة؛ لما اشتهر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المجاز على الانتقال من الملزوم إلى اللازم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تكون المعاني المجازيّة بأسرها لوازم للمعاني الحقيقيّة، فلو كان المعتبر في الالتزام اللزوم الذهنيّ، يلزم خروج المعاني المجازيّة عن كونها مدلولات التزاميّة؛ لعدم لزوم تعقّلها مِنْ تعقّل المعاني الحقيقيّة بأنفسها، بل بمعونة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يلزم أن تكون دلالة الألفاظ المجازيّة عند استعمالها في المعاني المجازيّة وإرادتها منها، لا المعاني الحقيقيّة التزامًا؛ لوضوح أنّ المعنى الواحد قد يكون مدلولًا التزاميًّا في وقت ومطابقيًّا في آخر، وبالعكس باعتبارات مختلفة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2" w:name="__RefHeading___Toc3734600_1280447820"/>
      <w:bookmarkStart w:id="433" w:name="_Toc166"/>
      <w:bookmarkEnd w:id="432"/>
      <w:r>
        <w:rPr>
          <w:rtl w:val="true"/>
        </w:rPr>
        <w:t>إيراد وتخليص</w:t>
      </w:r>
      <w:bookmarkEnd w:id="433"/>
    </w:p>
    <w:p>
      <w:pPr>
        <w:pStyle w:val="Heading6"/>
        <w:numPr>
          <w:ilvl w:val="5"/>
          <w:numId w:val="1"/>
        </w:numPr>
        <w:rPr/>
      </w:pPr>
      <w:bookmarkStart w:id="434" w:name="__RefHeading___Toc3734602_1280447820"/>
      <w:bookmarkStart w:id="435" w:name="_Toc167"/>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يتوجّه في المقام إشكالان</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3734604_1280447820"/>
      <w:bookmarkStart w:id="437" w:name="_Toc168"/>
      <w:bookmarkEnd w:id="436"/>
      <w:r>
        <w:rPr>
          <w:rtl w:val="true"/>
        </w:rPr>
        <w:t>الإشكال الأوّل</w:t>
      </w:r>
      <w:bookmarkEnd w:id="43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أن لا تكون دلالة الألفاظ المجازيّة على المعاني المجازيّة </w:t>
      </w:r>
      <w:bookmarkStart w:id="438" w:name="pg16224_170520"/>
    </w:p>
    <w:p>
      <w:pPr>
        <w:pStyle w:val="BookText"/>
        <w:rPr/>
      </w:pPr>
      <w:bookmarkEnd w:id="438"/>
      <w:r>
        <w:rPr>
          <w:rFonts w:ascii="Amiri" w:hAnsi="Amiri" w:eastAsia="Amiri" w:cs="Amiri"/>
          <w:color w:val="111111"/>
          <w:sz w:val="28"/>
          <w:sz w:val="28"/>
          <w:szCs w:val="28"/>
          <w:rtl w:val="true"/>
          <w:lang w:bidi="ar-SA"/>
        </w:rPr>
        <w:t>التزامًا، ينتقض طرد حدّ الالتزام بدخول تلك الدلالة فيه؛ إذ يصدق عليها أنّها دلالة اللفظ على الخارج اللازم للموضوع له</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3734606_1280447820"/>
      <w:bookmarkStart w:id="440" w:name="_Toc169"/>
      <w:bookmarkEnd w:id="439"/>
      <w:r>
        <w:rPr>
          <w:rtl w:val="true"/>
        </w:rPr>
        <w:t>الإشكال الثاني</w:t>
      </w:r>
      <w:bookmarkEnd w:id="440"/>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بكون الدلالة في المجازات مطابقة، ينافي ما تقدّم من أنّ المطابقة دلالة ابتدائيّة، أي بلا واسطة معنى، وهنا ليس كذلك؛ لأنّ الانتقال إلى المعاني المجازيّة كثيرًا ما يكون بعد الانتقال إلى المعاني الحقيقيّة، فلا يكون الانتقال إليها ابتدائيًّا بالمعنى المتقدّم</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3734608_1280447820"/>
      <w:bookmarkStart w:id="442" w:name="_Toc170"/>
      <w:bookmarkEnd w:id="441"/>
      <w:r>
        <w:rPr>
          <w:rtl w:val="true"/>
        </w:rPr>
        <w:t>الجواب عن الإشكال الأوّل</w:t>
      </w:r>
      <w:bookmarkEnd w:id="442"/>
    </w:p>
    <w:p>
      <w:pPr>
        <w:pStyle w:val="Heading6"/>
        <w:numPr>
          <w:ilvl w:val="5"/>
          <w:numId w:val="1"/>
        </w:numPr>
        <w:rPr/>
      </w:pPr>
      <w:bookmarkStart w:id="443" w:name="__RefHeading___Toc3734610_1280447820"/>
      <w:bookmarkStart w:id="444" w:name="_Toc171"/>
      <w:bookmarkEnd w:id="443"/>
      <w:r>
        <w:rPr>
          <w:rtl w:val="true"/>
        </w:rPr>
        <w:t>اشارة</w:t>
      </w:r>
      <w:bookmarkEnd w:id="444"/>
    </w:p>
    <w:p>
      <w:pPr>
        <w:pStyle w:val="BookText"/>
        <w:rPr/>
      </w:pPr>
      <w:r>
        <w:rPr>
          <w:rFonts w:ascii="Amiri" w:hAnsi="Amiri" w:eastAsia="Amiri" w:cs="Amiri"/>
          <w:color w:val="111111"/>
          <w:sz w:val="28"/>
          <w:sz w:val="28"/>
          <w:szCs w:val="28"/>
          <w:rtl w:val="true"/>
          <w:lang w:bidi="ar-SA"/>
        </w:rPr>
        <w:t>ويمكن الجواب عن الأوّل من وجهين</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3734612_1280447820"/>
      <w:bookmarkStart w:id="446" w:name="_Toc172"/>
      <w:bookmarkEnd w:id="445"/>
      <w:r>
        <w:rPr>
          <w:rtl w:val="true"/>
        </w:rPr>
        <w:t>الوجه الأوّل</w:t>
      </w:r>
      <w:r>
        <w:rPr>
          <w:rtl w:val="true"/>
        </w:rPr>
        <w:t xml:space="preserve">: </w:t>
      </w:r>
      <w:r>
        <w:rPr>
          <w:rtl w:val="true"/>
        </w:rPr>
        <w:t>في أنّ الدلالة على الخارج اللازم ليس التزامًا مطلقًا</w:t>
      </w:r>
      <w:bookmarkEnd w:id="44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أنّ مطلق الدلالة على الخارج اللازم التزام، بل فيما إذا كان الخارج غير مراد ومفهومًا بواسطة الملزوم المراد؛ ومعلوم أنّ الكلام في المعاني المجازيّة فيما إذا كان اللفظ مستعملًا فيها ومرادة بخصوصيّاتها، وكلماتهم في مقام التقسيم، حيث لم ينبّهوا على ذلك</w:t>
      </w:r>
      <w:r>
        <w:rPr>
          <w:rStyle w:val="FootnoteAnchor"/>
          <w:rtl w:val="true"/>
        </w:rPr>
        <w:footnoteReference w:id="406"/>
      </w:r>
      <w:r>
        <w:rPr>
          <w:rFonts w:ascii="Amiri" w:hAnsi="Amiri" w:eastAsia="Amiri" w:cs="Amiri"/>
          <w:color w:val="111111"/>
          <w:sz w:val="28"/>
          <w:sz w:val="28"/>
          <w:szCs w:val="28"/>
          <w:rtl w:val="true"/>
          <w:lang w:bidi="ar-SA"/>
        </w:rPr>
        <w:t xml:space="preserve">لعدم كون القصد هناك تعريف الدلالات حتّى يبالغ في ذكر القيود، بل المقصود تقسيمها إلى الأقسام المذكورة بحيث يشعر بالتعريف في الجملة، وما ذكروه فيما مسّت الحاجة إليه ردًّا على من زعم اعتبار </w:t>
      </w:r>
      <w:bookmarkStart w:id="447" w:name="pg16224_170521"/>
    </w:p>
    <w:p>
      <w:pPr>
        <w:pStyle w:val="BookText"/>
        <w:rPr/>
      </w:pPr>
      <w:bookmarkEnd w:id="447"/>
      <w:r>
        <w:rPr>
          <w:rFonts w:ascii="Amiri" w:hAnsi="Amiri" w:eastAsia="Amiri" w:cs="Amiri"/>
          <w:color w:val="111111"/>
          <w:sz w:val="28"/>
          <w:sz w:val="28"/>
          <w:szCs w:val="28"/>
          <w:rtl w:val="true"/>
          <w:lang w:bidi="ar-SA"/>
        </w:rPr>
        <w:t>الإرادة في الدلالة على ما سلف قرينةٌ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ذكر في كثير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التضمّن دلالة اللفظ على جزء الموضوع له، مع أنّ مطلق الدلالة على الجزء ليس من التضمّن في شيء، بل إنّما كانت تضمّنًا إذا كان الجزء غير مراد بخصوصه ومفهومًا في ضمن فهم الكلّ المراد كما عرفت، ولهذا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التضمّن؛ لكونها في ضمن الدلالة على الكلّ، ومنه يظهر الحال في الالتزام</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3734614_1280447820"/>
      <w:bookmarkStart w:id="449" w:name="_Toc173"/>
      <w:bookmarkEnd w:id="448"/>
      <w:r>
        <w:rPr>
          <w:rtl w:val="true"/>
        </w:rPr>
        <w:t>الوجه الثاني</w:t>
      </w:r>
      <w:r>
        <w:rPr>
          <w:rtl w:val="true"/>
        </w:rPr>
        <w:t xml:space="preserve">: </w:t>
      </w:r>
      <w:r>
        <w:rPr>
          <w:rtl w:val="true"/>
        </w:rPr>
        <w:t>إرادة المعنى العامّ من الوضع في الالتزام يستلزم امتناع تحقّق الالتزام بالنسبة إلى الحقائق، مع الجواب عنه</w:t>
      </w:r>
      <w:bookmarkEnd w:id="449"/>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ممّا أسلفناه أنّ الوضع المأخوذ في المطابقة الوضع بالمعنى العامّ، فبالمقايسة يظهر أنّ الأمر في كلّ من التضمّن والالتزام أيضًا كذلك؛ 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أنّه يصدق على دلالة المجازات على المعاني المجازيّة أنّها دلالة اللفظ على الخارج عن الموضوع له بالمعنى المذكور؛ لوضوح أنّها دلالة على الموضوع له بذلك المعنى كما لا يخفى؛ وإنّما يكون خارجًا عن الموضوع له بالمعنى الخاصّ المختصّ بالحقائق، وليس الكلام فيه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w:t>
      </w:r>
      <w:r>
        <w:rPr>
          <w:rStyle w:val="FootnoteAnchor"/>
          <w:rtl w:val="true"/>
        </w:rPr>
        <w:footnoteReference w:id="407"/>
      </w:r>
      <w:r>
        <w:rPr>
          <w:rFonts w:ascii="Amiri" w:hAnsi="Amiri" w:eastAsia="Amiri" w:cs="Amiri"/>
          <w:color w:val="111111"/>
          <w:sz w:val="28"/>
          <w:sz w:val="28"/>
          <w:szCs w:val="28"/>
          <w:rtl w:val="true"/>
          <w:lang w:bidi="ar-SA"/>
        </w:rPr>
        <w:t>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المراد من الوضع الّذي اعتبر خروج المدلول الالتزاميّ عنه الوضع بالمعنى العامّ، لامتنع تحقّق الالتزام بالنسبة إلى المعاني الحقيقيّة؛ لوضوح أنّ كلّ معنى لازم للمعنى الحقيقيّ يكون ذلك معنًى مجازيًّا بالنسبة إليه، فيتحقّق فيه الوضع بالمعنى العامّ، فلا يصدق في دلالة اللفظ </w:t>
      </w:r>
    </w:p>
    <w:p>
      <w:pPr>
        <w:pStyle w:val="BookText"/>
        <w:rPr/>
      </w:pPr>
      <w:r>
        <w:rPr>
          <w:rFonts w:ascii="Amiri" w:hAnsi="Amiri" w:eastAsia="Amiri" w:cs="Amiri"/>
          <w:color w:val="111111"/>
          <w:sz w:val="28"/>
          <w:sz w:val="28"/>
          <w:szCs w:val="28"/>
          <w:rtl w:val="true"/>
          <w:lang w:bidi="ar-SA"/>
        </w:rPr>
        <w:t>المستعمل في المعنى الحقيقيّ على لازمه أنّه دلالة على الخارج عن الموضوع له بالمعنى المذكور؛ لكونه موضوعًا له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يفسد عليك ما أَذعَنْتَ به آنفًا من تحقّق الالتزام بالنسبة إلى المعنى الحقيقيّ ومن</w:t>
      </w:r>
      <w:r>
        <w:rPr>
          <w:rStyle w:val="FootnoteAnchor"/>
          <w:rtl w:val="true"/>
        </w:rPr>
        <w:footnoteReference w:id="408"/>
      </w:r>
      <w:r>
        <w:rPr>
          <w:rFonts w:ascii="Amiri" w:hAnsi="Amiri" w:eastAsia="Amiri" w:cs="Amiri"/>
          <w:color w:val="111111"/>
          <w:sz w:val="28"/>
          <w:sz w:val="28"/>
          <w:szCs w:val="28"/>
          <w:rtl w:val="true"/>
          <w:lang w:bidi="ar-SA"/>
        </w:rPr>
        <w:t>أنّ المعاني المجازيّة مدلولات التزاميّة بالنسبة إلى الألفاظ الحقيقيّة، فينحصر إمكان الالتزام بالنسبة إلى المعاني المجازيّة</w:t>
      </w:r>
      <w:r>
        <w:rPr>
          <w:rStyle w:val="FootnoteAnchor"/>
          <w:rtl w:val="true"/>
        </w:rPr>
        <w:footnoteReference w:id="409"/>
      </w:r>
      <w:r>
        <w:rPr>
          <w:rFonts w:ascii="Amiri" w:hAnsi="Amiri" w:eastAsia="Amiri" w:cs="Amiri"/>
          <w:color w:val="111111"/>
          <w:sz w:val="28"/>
          <w:sz w:val="28"/>
          <w:szCs w:val="28"/>
          <w:rtl w:val="true"/>
          <w:lang w:bidi="ar-SA"/>
        </w:rPr>
        <w:t>، وفساده ممّا لا يعتريه شكّ وريبة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فساد القول بما تقدّم من أنّ دلالة المجازات على</w:t>
      </w:r>
      <w:r>
        <w:rPr>
          <w:rStyle w:val="FootnoteAnchor"/>
          <w:rtl w:val="true"/>
        </w:rPr>
        <w:footnoteReference w:id="410"/>
      </w:r>
      <w:r>
        <w:rPr>
          <w:rFonts w:ascii="Amiri" w:hAnsi="Amiri" w:eastAsia="Amiri" w:cs="Amiri"/>
          <w:color w:val="111111"/>
          <w:sz w:val="28"/>
          <w:sz w:val="28"/>
          <w:szCs w:val="28"/>
          <w:rtl w:val="true"/>
          <w:lang w:bidi="ar-SA"/>
        </w:rPr>
        <w:t>المعاني المجازيّة مطابقة؛ لأنّ المفسدة المذكورة مترتّبة عليه، إلّا أن يراد من الوضع في حدّ المطابقة كلا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بالنسبة إلى الحقيقة، والعامّ بالنسبة إلى المجاز، لكن يلزم حينئذٍ إمّا الجمع بين معنيي المشترك، أو بين المعنى الحقيقيّ والمجازيّ، ومع ذلك لا يندفع معه الانتقاض المذكور، بل هو مبنيٌّ عليه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يراد من الوضع في حدّ المطابقة الوضع بالمعنى العامّ، وفي حدّ الالتزام الوضع بالمعنى الخاصّ أو الأعمّ؛ وهو مع تكلّفه وعدم اندفاع الانتقاض معهما، يكون الثاني منهما مستلزمًا لأحد الأمرين المذكورين</w:t>
      </w:r>
      <w:r>
        <w:rPr>
          <w:rStyle w:val="FootnoteAnchor"/>
          <w:rtl w:val="true"/>
        </w:rPr>
        <w:footnoteReference w:id="411"/>
      </w:r>
      <w:r>
        <w:rPr>
          <w:rFonts w:ascii="Amiri" w:hAnsi="Amiri" w:eastAsia="Amiri" w:cs="Amiri"/>
          <w:color w:val="111111"/>
          <w:sz w:val="28"/>
          <w:sz w:val="28"/>
          <w:szCs w:val="28"/>
          <w:rtl w:val="true"/>
          <w:lang w:bidi="ar-SA"/>
        </w:rPr>
        <w:t>على التقدير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نسلّم لزوم المفسدة المذكورة من امتناع تحقّق الالتزام بالنسبة إلى المعاني الحقيقيّة على تقدير أن يكون المراد من الوضع في حدّي المطابقة والالتزام الوضع بالمعنى العامّ؛ لوضوح عدم التنافي بين المعنيين للوضع؛ لعدم منافاة العامّ للخاصّ؛ لعدم انفكاكه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المستعمل في المعنى الحقيقيّ يصدق على دلالته عليه أنّها دلالة على تمام الموضوع له بالوضع العامّ، لكنّ الوضع بالمعنى العامّ فيه في ضمن الوضع بالمعنى الخاصّ ومتّحد معه في الوجود ومتحقّق بتحقّقه؛ والالتزام بالنسبة إلى كلّ معنى يكون الوضع فيه تابعًا لوضع ذلك المعنى، فلو كان ذلك المعنى معنًى حقيقيًّا للّفظ، يكون الوضع بالمعنى العامّ فيه ما كان متحقّقًا بتحقّق الخاصّ وموجودًا بوجوده، فالالتزام بالنسبة إليه دلالة اللفظ على الخارج عن الموضوع له بالوضع بالمعنى العامّ الّذي يكون متحقّقًا فيه، فلا ينافي ثبوت الوضع بالمعنى العامّ الّذي لم يكن</w:t>
      </w:r>
      <w:r>
        <w:rPr>
          <w:rStyle w:val="FootnoteAnchor"/>
          <w:rtl w:val="true"/>
        </w:rPr>
        <w:footnoteReference w:id="412"/>
      </w:r>
      <w:r>
        <w:rPr>
          <w:rFonts w:ascii="Amiri" w:hAnsi="Amiri" w:eastAsia="Amiri" w:cs="Amiri"/>
          <w:color w:val="111111"/>
          <w:sz w:val="28"/>
          <w:sz w:val="28"/>
          <w:szCs w:val="28"/>
          <w:rtl w:val="true"/>
          <w:lang w:bidi="ar-SA"/>
        </w:rPr>
        <w:t>كذلك بالنسبة إلى اللازم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لا يلزم انتفاء مطلق الوضع بالمعنى العامّ في المعاني الالتزاميّة مطلقًا، بل اللازم انتفاء الوضع بالمعنى العامّ المتحقّق في ضمن الخاصّ والموجود بوجوده في المعنى الالتزاميّ الّذي يكون بالنسبة إلى المعنى الحقيقيّ، وانتفاء الوضع بالمعنى </w:t>
      </w:r>
      <w:bookmarkStart w:id="450" w:name="pg16224_170524"/>
    </w:p>
    <w:p>
      <w:pPr>
        <w:pStyle w:val="BookText"/>
        <w:rPr/>
      </w:pPr>
      <w:bookmarkEnd w:id="450"/>
      <w:r>
        <w:rPr>
          <w:rFonts w:ascii="Amiri" w:hAnsi="Amiri" w:eastAsia="Amiri" w:cs="Amiri"/>
          <w:color w:val="111111"/>
          <w:sz w:val="28"/>
          <w:sz w:val="28"/>
          <w:szCs w:val="28"/>
          <w:rtl w:val="true"/>
          <w:lang w:bidi="ar-SA"/>
        </w:rPr>
        <w:t>العامّ مطلقًا في المعنى الالتزاميّ الّذي يكون بالنسبة إلى المعنى المجازيّ، فلا يلزم امتناع تحقّق الالتزام بالنسبة إلى المعاني الحقيقيّة، مع كون المراد من الوضع الّذي اعتبر خروج المدلول الالتزاميّ عنه الوضع بالمعنى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فاندفعت المفسدة المذكورة، مع عدم لزوم الجمع بين المعنيين للمشترك، أو المعنى الحقيقيّ والمجازيّ، لكن لم يندفع معه الانتقاض المذكور كما لا يخفى، فيكتفى في دفعه بالجواب الأوّل، فلا تغفل</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3734616_1280447820"/>
      <w:bookmarkStart w:id="452" w:name="_Toc174"/>
      <w:bookmarkEnd w:id="451"/>
      <w:r>
        <w:rPr>
          <w:rtl w:val="true"/>
        </w:rPr>
        <w:t>الجواب عن الإشكال الثاني</w:t>
      </w:r>
      <w:bookmarkEnd w:id="452"/>
    </w:p>
    <w:p>
      <w:pPr>
        <w:pStyle w:val="BookText"/>
        <w:rPr/>
      </w:pPr>
      <w:r>
        <w:rPr>
          <w:rFonts w:ascii="Amiri" w:hAnsi="Amiri" w:eastAsia="Amiri" w:cs="Amiri"/>
          <w:color w:val="111111"/>
          <w:sz w:val="28"/>
          <w:sz w:val="28"/>
          <w:szCs w:val="28"/>
          <w:rtl w:val="true"/>
          <w:lang w:bidi="ar-SA"/>
        </w:rPr>
        <w:t>والجواب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w:t>
      </w:r>
      <w:r>
        <w:rPr>
          <w:rStyle w:val="FootnoteAnchor"/>
          <w:rtl w:val="true"/>
        </w:rPr>
        <w:footnoteReference w:id="413"/>
      </w:r>
      <w:r>
        <w:rPr>
          <w:rFonts w:ascii="Amiri" w:hAnsi="Amiri" w:eastAsia="Amiri" w:cs="Amiri"/>
          <w:color w:val="111111"/>
          <w:sz w:val="28"/>
          <w:sz w:val="28"/>
          <w:szCs w:val="28"/>
          <w:rtl w:val="true"/>
          <w:lang w:bidi="ar-SA"/>
        </w:rPr>
        <w:t>المطابقة دلالة أوّليّة، ليس من الأمور الاتّفاقيّة حتّى يقاس</w:t>
      </w:r>
      <w:r>
        <w:rPr>
          <w:rStyle w:val="FootnoteAnchor"/>
          <w:rtl w:val="true"/>
        </w:rPr>
        <w:footnoteReference w:id="414"/>
      </w:r>
      <w:r>
        <w:rPr>
          <w:rFonts w:ascii="Amiri" w:hAnsi="Amiri" w:eastAsia="Amiri" w:cs="Amiri"/>
          <w:color w:val="111111"/>
          <w:sz w:val="28"/>
          <w:sz w:val="28"/>
          <w:szCs w:val="28"/>
          <w:rtl w:val="true"/>
          <w:lang w:bidi="ar-SA"/>
        </w:rPr>
        <w:t>في المخالفة، وإنّما هو شيء ذكره بعض،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مرّ من المحقّق التفتازانيّ حكاية مطابقيّة المجازات عن الأكثر</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المجازات على المعاني المجازيّة أيضًا ابتدائيّة بالمعنى المتقدّم؛ لأنّه وإن حصل الانتقال عند استماع اللفظ مع انتفاء ملاحظة القرينة إلى المعنى الحقيقيّ أوّلًا، ثمّ إلى المعنى المجازيّ، لكن لا يبعد أن لا يكون ذلك مُضرًّا بكون الدلالة على المعنى المجازيّ أوّليّة</w:t>
      </w:r>
      <w:r>
        <w:rPr>
          <w:rFonts w:eastAsia="Amiri" w:cs="Amiri" w:ascii="Amiri" w:hAnsi="Amiri"/>
          <w:color w:val="111111"/>
          <w:sz w:val="28"/>
          <w:szCs w:val="28"/>
          <w:rtl w:val="true"/>
          <w:lang w:bidi="ar-SA"/>
        </w:rPr>
        <w:t xml:space="preserve">. </w:t>
      </w:r>
      <w:bookmarkStart w:id="453" w:name="pg16224_170525"/>
    </w:p>
    <w:p>
      <w:pPr>
        <w:pStyle w:val="BookText"/>
        <w:rPr/>
      </w:pPr>
      <w:bookmarkEnd w:id="453"/>
      <w:r>
        <w:rPr>
          <w:rFonts w:ascii="Amiri" w:hAnsi="Amiri" w:eastAsia="Amiri" w:cs="Amiri"/>
          <w:color w:val="111111"/>
          <w:sz w:val="28"/>
          <w:sz w:val="28"/>
          <w:szCs w:val="28"/>
          <w:rtl w:val="true"/>
          <w:lang w:bidi="ar-SA"/>
        </w:rPr>
        <w:t>أمّا على</w:t>
      </w:r>
      <w:r>
        <w:rPr>
          <w:rStyle w:val="FootnoteAnchor"/>
          <w:rtl w:val="true"/>
        </w:rPr>
        <w:footnoteReference w:id="416"/>
      </w:r>
      <w:r>
        <w:rPr>
          <w:rFonts w:ascii="Amiri" w:hAnsi="Amiri" w:eastAsia="Amiri" w:cs="Amiri"/>
          <w:color w:val="111111"/>
          <w:sz w:val="28"/>
          <w:sz w:val="28"/>
          <w:szCs w:val="28"/>
          <w:rtl w:val="true"/>
          <w:lang w:bidi="ar-SA"/>
        </w:rPr>
        <w:t>القول بأنّ الدالّ على المعاني المجازيّة اللفظ مع القرينة فظاهرٌ، إذ قبل ملاحظة القرينة وإن انتقل الذهن إلى المعنى الحقيقيّ، لكن ليس ذلك من الدالّ على المعنى المجازيّ، بل من جزئه قبل العلم بالقرينة الّتي هي الجزء الآخر من الدالّ، وبعد العلم بالمجموع وإن حصل العلم بالدالّ على المعنى المجازيّ، لكن حينئذٍ لا ينتقل الذهن إلى المعنى الحقيقيّ أوّلًا، ثمّ بواسطته إلى المعنى المجازيّ حتّى لا يكون الانتقال إلى المعنى المجازيّ ابتدائيًّا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بأنّ الدالّ اللفظ بشرط القرينة فكذلك، إذ الدالّ على المعنى المجازيّ حينئذٍ ليس نفس اللفظ مطلقًا، بل مع ملاحظة القرينة، فقبل الملاحظة ليس علمًا بالدالّ، وبعدها لا يحصل الانتقال إلى المعنى الحقيقيّ أوّلًا، ثمّ بواسطته إلى المعنى المجازيّ، بل الانتقال حينئذٍ إلى المعنى المجازيّ، فتأمّل</w:t>
      </w:r>
      <w:r>
        <w:rPr>
          <w:rFonts w:eastAsia="Amiri" w:cs="Amiri" w:ascii="Amiri" w:hAnsi="Amiri"/>
          <w:color w:val="111111"/>
          <w:sz w:val="28"/>
          <w:szCs w:val="28"/>
          <w:rtl w:val="true"/>
          <w:lang w:bidi="ar-SA"/>
        </w:rPr>
        <w:t>.</w:t>
      </w:r>
    </w:p>
    <w:p>
      <w:pPr>
        <w:pStyle w:val="Heading6"/>
        <w:numPr>
          <w:ilvl w:val="5"/>
          <w:numId w:val="1"/>
        </w:numPr>
        <w:rPr/>
      </w:pPr>
      <w:bookmarkStart w:id="454" w:name="__RefHeading___Toc3734618_1280447820"/>
      <w:bookmarkStart w:id="455" w:name="_Toc175"/>
      <w:bookmarkEnd w:id="454"/>
      <w:r>
        <w:rPr>
          <w:rtl w:val="true"/>
        </w:rPr>
        <w:t>إيراد آخر</w:t>
      </w:r>
      <w:bookmarkEnd w:id="455"/>
    </w:p>
    <w:p>
      <w:pPr>
        <w:pStyle w:val="Heading6"/>
        <w:numPr>
          <w:ilvl w:val="5"/>
          <w:numId w:val="1"/>
        </w:numPr>
        <w:rPr/>
      </w:pPr>
      <w:bookmarkStart w:id="456" w:name="__RefHeading___Toc3734620_1280447820"/>
      <w:bookmarkStart w:id="457" w:name="_Toc176"/>
      <w:bookmarkEnd w:id="456"/>
      <w:r>
        <w:rPr>
          <w:rtl w:val="true"/>
        </w:rPr>
        <w:t>إيراد كلام لتنبيه مرام</w:t>
      </w:r>
      <w:bookmarkEnd w:id="45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المقام إيرادًا آخر، وهو أنّ ما تقدّم من أنّ مبنى المجاز على الانتقال من الملزوم إلى اللازم وإن اشتهر فيما بينهم، لكنّه غير صحيح على وجه العموم والإطلاق، بل إنّما يصحّ في قليل من أنواعه، وهو ما إذا كان اللفظ موضوعًا للملزوم واستعمل في لازمه،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رعينا الغيث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يكون المراد منه لازمه، وهو النبات؛ وأمّا في غيره من الأقسام المتكثّرة فلا كما لا يخفى</w:t>
      </w:r>
      <w:r>
        <w:rPr>
          <w:rFonts w:eastAsia="Amiri" w:cs="Amiri" w:ascii="Amiri" w:hAnsi="Amiri"/>
          <w:color w:val="111111"/>
          <w:sz w:val="28"/>
          <w:szCs w:val="28"/>
          <w:rtl w:val="true"/>
          <w:lang w:bidi="ar-SA"/>
        </w:rPr>
        <w:t xml:space="preserve">. </w:t>
      </w:r>
      <w:bookmarkStart w:id="458" w:name="pg16224_170526"/>
    </w:p>
    <w:p>
      <w:pPr>
        <w:pStyle w:val="BookText"/>
        <w:rPr/>
      </w:pPr>
      <w:bookmarkEnd w:id="458"/>
      <w:r>
        <w:rPr>
          <w:rFonts w:ascii="Amiri" w:hAnsi="Amiri" w:eastAsia="Amiri" w:cs="Amiri"/>
          <w:color w:val="111111"/>
          <w:sz w:val="28"/>
          <w:sz w:val="28"/>
          <w:szCs w:val="28"/>
          <w:rtl w:val="true"/>
          <w:lang w:bidi="ar-SA"/>
        </w:rPr>
        <w:t>فكيف مع أنّه قد يكون الحال في المجاز على عكس ما ذكر بأن يكون اللفظ موضوعًا للّازم واستعمل في الملزوم،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أمطرت السماء نباتًا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فهناك يكون الانتقال من اللازم إلى الملزوم، فكيف يصحّ الحكم بأنّ مبنى المجاز على الانتقال من الملزوم إلى اللازم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دخل لكون الدلالة في المجازات مطابقة في ذلك، بل هو يؤكّده ويفسد القول بأنّها التزام، إذ الالتزام انتقال من الملزوم إلى اللازم، وليس الأمر في جميع المجازات كذلك كما عرفت، والفارق مفقود</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3734622_1280447820"/>
      <w:bookmarkStart w:id="460" w:name="_Toc177"/>
      <w:bookmarkEnd w:id="459"/>
      <w:r>
        <w:rPr>
          <w:rtl w:val="true"/>
        </w:rPr>
        <w:t>الجواب عن الإيراد</w:t>
      </w:r>
      <w:bookmarkEnd w:id="460"/>
    </w:p>
    <w:p>
      <w:pPr>
        <w:pStyle w:val="BookText"/>
        <w:rPr/>
      </w:pPr>
      <w:r>
        <w:rPr>
          <w:rFonts w:ascii="Amiri" w:hAnsi="Amiri" w:eastAsia="Amiri" w:cs="Amiri"/>
          <w:color w:val="111111"/>
          <w:sz w:val="28"/>
          <w:sz w:val="28"/>
          <w:szCs w:val="28"/>
          <w:rtl w:val="true"/>
          <w:lang w:bidi="ar-SA"/>
        </w:rPr>
        <w:t>ويمكن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مجاز لا بدّ له من العلاقة بينه وبين الموضوع له، وقد عرفت فيما سبق أنّ العلاقة اتّصال ما للمستعمل فيه بالموضوع له، والمراد باللزوم المعتبر عند علماء العربيّة هو اللزوم في الجملة، ولعلّ المقدار المذكور في تعريف العلاقة يكفي لتحقّق هذا اللزوم؛ وهذا مراد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جميع العلاقات إلى اللزوم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اللزوم المعتبر في هذا المقام اللزوم في الجملة، وهو أعمّ من أن يفهم الخارج بمحض حصول الموضوع له في الذهن، أو بعد الاطّلاع والتأمّل في القرائن كما في المجازات</w:t>
      </w:r>
      <w:r>
        <w:rPr>
          <w:rFonts w:eastAsia="Amiri" w:cs="Amiri" w:ascii="Amiri" w:hAnsi="Amiri"/>
          <w:color w:val="111111"/>
          <w:sz w:val="28"/>
          <w:szCs w:val="28"/>
          <w:rtl w:val="true"/>
          <w:lang w:bidi="ar-SA"/>
        </w:rPr>
        <w:t xml:space="preserve">.  </w:t>
      </w:r>
      <w:bookmarkStart w:id="461" w:name="pg16224_170527"/>
    </w:p>
    <w:p>
      <w:pPr>
        <w:pStyle w:val="BookText"/>
        <w:rPr/>
      </w:pPr>
      <w:bookmarkEnd w:id="461"/>
      <w:r>
        <w:rPr>
          <w:rFonts w:ascii="Amiri" w:hAnsi="Amiri" w:eastAsia="Amiri" w:cs="Amiri"/>
          <w:color w:val="111111"/>
          <w:sz w:val="28"/>
          <w:sz w:val="28"/>
          <w:szCs w:val="28"/>
          <w:rtl w:val="true"/>
          <w:lang w:bidi="ar-SA"/>
        </w:rPr>
        <w:t>في واضع اللغات</w:t>
      </w:r>
    </w:p>
    <w:p>
      <w:pPr>
        <w:pStyle w:val="Heading5"/>
        <w:numPr>
          <w:ilvl w:val="4"/>
          <w:numId w:val="1"/>
        </w:numPr>
        <w:rPr/>
      </w:pPr>
      <w:bookmarkStart w:id="462" w:name="__RefHeading___Toc3734624_1280447820"/>
      <w:bookmarkStart w:id="463" w:name="_Toc178"/>
      <w:bookmarkEnd w:id="462"/>
      <w:r>
        <w:rPr>
          <w:rtl w:val="true"/>
        </w:rPr>
        <w:t>والمقام الثالث</w:t>
      </w:r>
      <w:r>
        <w:rPr>
          <w:rtl w:val="true"/>
        </w:rPr>
        <w:t xml:space="preserve">: </w:t>
      </w:r>
      <w:r>
        <w:rPr>
          <w:rtl w:val="true"/>
        </w:rPr>
        <w:t>في التكلّم إلى أصل المطلب والبحث عن تحقيق المقصد</w:t>
      </w:r>
      <w:bookmarkEnd w:id="463"/>
    </w:p>
    <w:p>
      <w:pPr>
        <w:pStyle w:val="Heading6"/>
        <w:numPr>
          <w:ilvl w:val="5"/>
          <w:numId w:val="1"/>
        </w:numPr>
        <w:rPr/>
      </w:pPr>
      <w:bookmarkStart w:id="464" w:name="__RefHeading___Toc3734626_1280447820"/>
      <w:bookmarkStart w:id="465" w:name="_Toc179"/>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والمقام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التكلّم إلى</w:t>
      </w:r>
      <w:r>
        <w:rPr>
          <w:rStyle w:val="FootnoteAnchor"/>
          <w:rtl w:val="true"/>
        </w:rPr>
        <w:footnoteReference w:id="418"/>
      </w:r>
      <w:r>
        <w:rPr>
          <w:rFonts w:ascii="Amiri" w:hAnsi="Amiri" w:eastAsia="Amiri" w:cs="Amiri"/>
          <w:color w:val="111111"/>
          <w:sz w:val="28"/>
          <w:sz w:val="28"/>
          <w:szCs w:val="28"/>
          <w:rtl w:val="true"/>
          <w:lang w:bidi="ar-SA"/>
        </w:rPr>
        <w:t>أصل المطلب والبحث عن تحقيق المقصد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الكلام في تعيين الواضع للحقيقة اللغويّة، أي الواضع للألفاظ بإزاء معانيها الأصليّة</w:t>
      </w:r>
      <w:r>
        <w:rPr>
          <w:rStyle w:val="FootnoteAnchor"/>
          <w:rtl w:val="true"/>
        </w:rPr>
        <w:footnoteReference w:id="419"/>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الآراء والمذاهب في ذلك إلى</w:t>
      </w:r>
      <w:r>
        <w:rPr>
          <w:rStyle w:val="FootnoteAnchor"/>
          <w:rtl w:val="true"/>
        </w:rPr>
        <w:footnoteReference w:id="420"/>
      </w:r>
      <w:r>
        <w:rPr>
          <w:rFonts w:ascii="Amiri" w:hAnsi="Amiri" w:eastAsia="Amiri" w:cs="Amiri"/>
          <w:color w:val="111111"/>
          <w:sz w:val="28"/>
          <w:sz w:val="28"/>
          <w:szCs w:val="28"/>
          <w:rtl w:val="true"/>
          <w:lang w:bidi="ar-SA"/>
        </w:rPr>
        <w:t>أقوال أربعة</w:t>
      </w:r>
      <w:r>
        <w:rPr>
          <w:rFonts w:eastAsia="Amiri" w:cs="Amiri" w:ascii="Amiri" w:hAnsi="Amiri"/>
          <w:color w:val="111111"/>
          <w:sz w:val="28"/>
          <w:szCs w:val="28"/>
          <w:rtl w:val="true"/>
          <w:lang w:bidi="ar-SA"/>
        </w:rPr>
        <w:t xml:space="preserve">: </w:t>
      </w:r>
      <w:bookmarkStart w:id="466" w:name="pg16224_170528"/>
    </w:p>
    <w:p>
      <w:pPr>
        <w:pStyle w:val="Heading6"/>
        <w:numPr>
          <w:ilvl w:val="5"/>
          <w:numId w:val="1"/>
        </w:numPr>
        <w:rPr/>
      </w:pPr>
      <w:bookmarkStart w:id="467" w:name="__RefHeading___Toc3734628_1280447820"/>
      <w:bookmarkStart w:id="468" w:name="_Toc180"/>
      <w:bookmarkEnd w:id="466"/>
      <w:bookmarkEnd w:id="467"/>
      <w:r>
        <w:rPr>
          <w:rtl w:val="true"/>
        </w:rPr>
        <w:t>الأقوال في واضع اللغات</w:t>
      </w:r>
      <w:bookmarkEnd w:id="468"/>
    </w:p>
    <w:p>
      <w:pPr>
        <w:pStyle w:val="Heading6"/>
        <w:numPr>
          <w:ilvl w:val="5"/>
          <w:numId w:val="1"/>
        </w:numPr>
        <w:rPr/>
      </w:pPr>
      <w:bookmarkStart w:id="469" w:name="__RefHeading___Toc3734630_1280447820"/>
      <w:bookmarkStart w:id="470" w:name="_Toc181"/>
      <w:bookmarkEnd w:id="469"/>
      <w:r>
        <w:rPr>
          <w:rtl w:val="true"/>
        </w:rPr>
        <w:t>القول الأوّل</w:t>
      </w:r>
      <w:bookmarkEnd w:id="47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توقيفيّة الجميع، بمعنى أنّ الوضع في جميع الألفاظ مستند إلى الله تعالى، وعلم العباد به إنّما هو بتوقيفه وإعلامه سبحانه؛ ولذا يسمّى هذا المذهب توقيفيًّا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المنقول عن أبي الحسن الأشعريّ وابن فورك</w:t>
      </w:r>
      <w:r>
        <w:rPr>
          <w:rStyle w:val="FootnoteAnchor"/>
          <w:rtl w:val="true"/>
        </w:rPr>
        <w:footnoteReference w:id="421"/>
      </w:r>
      <w:r>
        <w:rPr>
          <w:rFonts w:ascii="Amiri" w:hAnsi="Amiri" w:eastAsia="Amiri" w:cs="Amiri"/>
          <w:color w:val="111111"/>
          <w:sz w:val="28"/>
          <w:sz w:val="28"/>
          <w:szCs w:val="28"/>
          <w:rtl w:val="true"/>
          <w:lang w:bidi="ar-SA"/>
        </w:rPr>
        <w:t>وجماعة من الفقهاء</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1" w:name="__RefHeading___Toc3734632_1280447820"/>
      <w:bookmarkStart w:id="472" w:name="_Toc182"/>
      <w:bookmarkEnd w:id="471"/>
      <w:r>
        <w:rPr>
          <w:rtl w:val="true"/>
        </w:rPr>
        <w:t>القول الثاني</w:t>
      </w:r>
      <w:bookmarkEnd w:id="47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اصطلاحيّة الجميع، أي الواضع في الجميع مِنْ المخلوقين واحدٌ أو متعدّدٌ، فتكون اللغات على هذا التقدير من اصطلاحاتهم؛ ولهذا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اصطلاحيّة، أي اصطلاح من المخلوقين؛ لافتقارهم في أمر معاشهم ومعادهم إلى المحاورات والمخاطبات، وذلك لا يتمّ إلّا بتعيين ألفاظ مخصوصة لمعاني معهودة</w:t>
      </w:r>
      <w:r>
        <w:rPr>
          <w:rFonts w:eastAsia="Amiri" w:cs="Amiri" w:ascii="Amiri" w:hAnsi="Amiri"/>
          <w:color w:val="111111"/>
          <w:sz w:val="28"/>
          <w:szCs w:val="28"/>
          <w:rtl w:val="true"/>
          <w:lang w:bidi="ar-SA"/>
        </w:rPr>
        <w:t xml:space="preserve">. </w:t>
      </w:r>
      <w:bookmarkStart w:id="473" w:name="pg16224_170529"/>
    </w:p>
    <w:p>
      <w:pPr>
        <w:pStyle w:val="BookText"/>
        <w:rPr/>
      </w:pPr>
      <w:bookmarkEnd w:id="473"/>
      <w:r>
        <w:rPr>
          <w:rFonts w:ascii="Amiri" w:hAnsi="Amiri" w:eastAsia="Amiri" w:cs="Amiri"/>
          <w:color w:val="111111"/>
          <w:sz w:val="28"/>
          <w:sz w:val="28"/>
          <w:szCs w:val="28"/>
          <w:rtl w:val="true"/>
          <w:lang w:bidi="ar-SA"/>
        </w:rPr>
        <w:t>وهو المحكيّ عن أبي هاشم</w:t>
      </w:r>
      <w:r>
        <w:rPr>
          <w:rStyle w:val="FootnoteAnchor"/>
          <w:rtl w:val="true"/>
        </w:rPr>
        <w:footnoteReference w:id="423"/>
      </w:r>
      <w:r>
        <w:rPr>
          <w:rFonts w:ascii="Amiri" w:hAnsi="Amiri" w:eastAsia="Amiri" w:cs="Amiri"/>
          <w:color w:val="111111"/>
          <w:sz w:val="28"/>
          <w:sz w:val="28"/>
          <w:szCs w:val="28"/>
          <w:rtl w:val="true"/>
          <w:lang w:bidi="ar-SA"/>
        </w:rPr>
        <w:t>وأصحابه وجماعة من المتكلّمين</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والوضع على هذا التقدير إمّا من واحد من أهل كلّ لغة، أو من جماعة كذلك تواطئوا على وضعها لمعانيها، أو من واحد أو جماعة</w:t>
      </w:r>
      <w:r>
        <w:rPr>
          <w:rStyle w:val="FootnoteAnchor"/>
          <w:rtl w:val="true"/>
        </w:rPr>
        <w:footnoteReference w:id="425"/>
      </w:r>
      <w:r>
        <w:rPr>
          <w:rFonts w:ascii="Amiri" w:hAnsi="Amiri" w:eastAsia="Amiri" w:cs="Amiri"/>
          <w:color w:val="111111"/>
          <w:sz w:val="28"/>
          <w:sz w:val="28"/>
          <w:szCs w:val="28"/>
          <w:rtl w:val="true"/>
          <w:lang w:bidi="ar-SA"/>
        </w:rPr>
        <w:t>بالنسبة إلى كلّ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على القولين إنّما يكون علم غير الواضع باللغات من إعلام الواضع وإيقافه، فهلّا سمّي القولان توقيفيًّا مع اشتراك مقتضى التسمية بينهما؟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التوقيفيّة اللغويّة وإن اشتركت بينهما، إلّا أنّها غير مقتضية للتسمية في الاصطلاح؛ لجريانه في تسمية التوقيف فيما إذا كان من قبل الشرع، فالمتحقّق على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مطلق التوقيف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مقتض للتسمية، والمقتضى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التوقيف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متحقّق</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3734634_1280447820"/>
      <w:bookmarkStart w:id="475" w:name="_Toc183"/>
      <w:bookmarkEnd w:id="474"/>
      <w:r>
        <w:rPr>
          <w:rtl w:val="true"/>
        </w:rPr>
        <w:t>القول الثالث</w:t>
      </w:r>
      <w:bookmarkEnd w:id="47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التوزيع بأن يكون بعض اللغات توقيفيًّا والآخر اصطلاحيًّا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وأرباب هذا القول قد افترقوا فرقتين، فبعضهم ذهب</w:t>
      </w:r>
      <w:r>
        <w:rPr>
          <w:rStyle w:val="FootnoteAnchor"/>
          <w:rtl w:val="true"/>
        </w:rPr>
        <w:footnoteReference w:id="426"/>
      </w:r>
      <w:r>
        <w:rPr>
          <w:rFonts w:ascii="Amiri" w:hAnsi="Amiri" w:eastAsia="Amiri" w:cs="Amiri"/>
          <w:color w:val="111111"/>
          <w:sz w:val="28"/>
          <w:sz w:val="28"/>
          <w:szCs w:val="28"/>
          <w:rtl w:val="true"/>
          <w:lang w:bidi="ar-SA"/>
        </w:rPr>
        <w:t>إلى أنّ القدر الضروريّ المفتقر إليه في تعريف الاصطلاح توقيفيّ والباقي اصطلاحيّ، وهو ما ذهب إليه الأستاذ أبو إسحاق الأسفرائنيّ</w:t>
      </w:r>
      <w:r>
        <w:rPr>
          <w:rStyle w:val="FootnoteAnchor"/>
          <w:rtl w:val="true"/>
        </w:rPr>
        <w:footnoteReference w:id="427"/>
      </w:r>
      <w:r>
        <w:rPr>
          <w:rFonts w:ascii="Amiri" w:hAnsi="Amiri" w:eastAsia="Amiri" w:cs="Amiri"/>
          <w:color w:val="111111"/>
          <w:sz w:val="28"/>
          <w:sz w:val="28"/>
          <w:szCs w:val="28"/>
          <w:rtl w:val="true"/>
          <w:lang w:bidi="ar-SA"/>
        </w:rPr>
        <w:t>على ما حكاه بعضهم</w:t>
      </w:r>
      <w:r>
        <w:rPr>
          <w:rStyle w:val="FootnoteAnchor"/>
          <w:rtl w:val="true"/>
        </w:rPr>
        <w:footnoteReference w:id="428"/>
      </w:r>
      <w:r>
        <w:rPr>
          <w:rFonts w:ascii="Amiri" w:hAnsi="Amiri" w:eastAsia="Amiri" w:cs="Amiri"/>
          <w:color w:val="111111"/>
          <w:sz w:val="28"/>
          <w:sz w:val="28"/>
          <w:szCs w:val="28"/>
          <w:rtl w:val="true"/>
          <w:lang w:bidi="ar-SA"/>
        </w:rPr>
        <w:t>، لكن صرّح جمعٌ بأنّ مذهبه في القدر المفتقر إليه في التعريف هو ما ذكر، وأمّا الباقي فيحتمل الأمرين من التوقيف والاصطلاح</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والفرقة الأخرى ذهبوا إلى عكس ذلك بأنّ القدر المفتقر إليه في التعريف اصطلاحيّ والباقي توقيفيّ</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476" w:name="pg16224_170531"/>
    </w:p>
    <w:p>
      <w:pPr>
        <w:pStyle w:val="Heading6"/>
        <w:numPr>
          <w:ilvl w:val="5"/>
          <w:numId w:val="1"/>
        </w:numPr>
        <w:rPr/>
      </w:pPr>
      <w:bookmarkStart w:id="477" w:name="__RefHeading___Toc3734636_1280447820"/>
      <w:bookmarkStart w:id="478" w:name="_Toc184"/>
      <w:bookmarkEnd w:id="476"/>
      <w:bookmarkEnd w:id="477"/>
      <w:r>
        <w:rPr>
          <w:rtl w:val="true"/>
        </w:rPr>
        <w:t>القول الرابع</w:t>
      </w:r>
      <w:bookmarkEnd w:id="478"/>
    </w:p>
    <w:p>
      <w:pPr>
        <w:pStyle w:val="BookText"/>
        <w:rPr/>
      </w:pPr>
      <w:r>
        <w:rPr>
          <w:rFonts w:ascii="Amiri" w:hAnsi="Amiri" w:eastAsia="Amiri" w:cs="Amiri"/>
          <w:color w:val="111111"/>
          <w:sz w:val="28"/>
          <w:sz w:val="28"/>
          <w:szCs w:val="28"/>
          <w:rtl w:val="true"/>
          <w:lang w:bidi="ar-SA"/>
        </w:rPr>
        <w:t>والقول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ذلك؛ لعدم ما يوجب العلم ببعضها معيّنًا مع إمكان الجميع عقلًا، وهو المحكيّ عن القاضي أبي بكر والغزّالي</w:t>
      </w:r>
      <w:r>
        <w:rPr>
          <w:rStyle w:val="FootnoteAnchor"/>
          <w:rtl w:val="true"/>
        </w:rPr>
        <w:footnoteReference w:id="431"/>
      </w:r>
      <w:r>
        <w:rPr>
          <w:rFonts w:ascii="Amiri" w:hAnsi="Amiri" w:eastAsia="Amiri" w:cs="Amiri"/>
          <w:color w:val="111111"/>
          <w:sz w:val="28"/>
          <w:sz w:val="28"/>
          <w:szCs w:val="28"/>
          <w:rtl w:val="true"/>
          <w:lang w:bidi="ar-SA"/>
        </w:rPr>
        <w:t>، واختاره العلّامة في النهاية بعد حكايته عن جمهور المحقّقين</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9" w:name="__RefHeading___Toc3734638_1280447820"/>
      <w:bookmarkStart w:id="480" w:name="_Toc185"/>
      <w:bookmarkEnd w:id="479"/>
      <w:r>
        <w:rPr>
          <w:rtl w:val="true"/>
        </w:rPr>
        <w:t>مختار المصنّف ومستنده</w:t>
      </w:r>
      <w:bookmarkEnd w:id="480"/>
    </w:p>
    <w:p>
      <w:pPr>
        <w:pStyle w:val="Heading6"/>
        <w:numPr>
          <w:ilvl w:val="5"/>
          <w:numId w:val="1"/>
        </w:numPr>
        <w:rPr/>
      </w:pPr>
      <w:bookmarkStart w:id="481" w:name="__RefHeading___Toc3734640_1280447820"/>
      <w:bookmarkStart w:id="482" w:name="_Toc186"/>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والقول الأوّل هو المختار، والمستند في ذلك وجوه</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3734642_1280447820"/>
      <w:bookmarkStart w:id="484" w:name="_Toc187"/>
      <w:bookmarkEnd w:id="483"/>
      <w:r>
        <w:rPr>
          <w:rtl w:val="true"/>
        </w:rPr>
        <w:t>الدليل الأوّل</w:t>
      </w:r>
      <w:bookmarkEnd w:id="484"/>
    </w:p>
    <w:p>
      <w:pPr>
        <w:pStyle w:val="Heading6"/>
        <w:numPr>
          <w:ilvl w:val="5"/>
          <w:numId w:val="1"/>
        </w:numPr>
        <w:rPr/>
      </w:pPr>
      <w:bookmarkStart w:id="485" w:name="__RefHeading___Toc3734644_1280447820"/>
      <w:bookmarkStart w:id="486" w:name="_Toc188"/>
      <w:bookmarkEnd w:id="485"/>
      <w:r>
        <w:rPr>
          <w:rtl w:val="true"/>
        </w:rPr>
        <w:t>اشارة</w:t>
      </w:r>
      <w:bookmarkEnd w:id="48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وَعَلَّمَ آدَمَ الْأَسْمَاءَ كُلَّهَا</w:t>
      </w:r>
      <w:r>
        <w:rPr>
          <w:rStyle w:val="FootnoteAnchor"/>
          <w:rtl w:val="true"/>
        </w:rPr>
        <w:footnoteReference w:id="433"/>
      </w:r>
      <w:r>
        <w:rPr>
          <w:rFonts w:ascii="Amiri" w:hAnsi="Amiri" w:eastAsia="Amiri" w:cs="Amiri"/>
          <w:color w:val="111111"/>
          <w:sz w:val="28"/>
          <w:sz w:val="28"/>
          <w:szCs w:val="28"/>
          <w:rtl w:val="true"/>
          <w:lang w:bidi="ar-SA"/>
        </w:rPr>
        <w:t>، 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أن يكون المراد من الاسم في الآية ما هو المعروف بين النحاة؛ لأنّه عرفٌ خاصٌّ حادثٌ، فلا يجوز أن يكون محملًا لكلام الله سبحانه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أنّ العلم بخصوص الاسم المصطلح عليه عندهم لا يصلح أن يكون </w:t>
      </w:r>
      <w:bookmarkStart w:id="487" w:name="pg16224_170532"/>
    </w:p>
    <w:p>
      <w:pPr>
        <w:pStyle w:val="BookText"/>
        <w:rPr/>
      </w:pPr>
      <w:bookmarkEnd w:id="487"/>
      <w:r>
        <w:rPr>
          <w:rFonts w:ascii="Amiri" w:hAnsi="Amiri" w:eastAsia="Amiri" w:cs="Amiri"/>
          <w:color w:val="111111"/>
          <w:sz w:val="28"/>
          <w:sz w:val="28"/>
          <w:szCs w:val="28"/>
          <w:rtl w:val="true"/>
          <w:lang w:bidi="ar-SA"/>
        </w:rPr>
        <w:t>سببًا لتفضيل آدم على الملائكة كما يقتضيه سوق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لا شبهة في أنّ مِن فوائد تعليم الأسماء استعمالها في المخاطبات والمحاورات؛ والاقتصار بالأسماء في المحاورات من غير الاستمداد من الأفعال والحروف ممّا يتعسّر، بل ربّما يمكن دعوى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منه إمّا ما يفهم منه في العرف العامّ، وهو على ما صرّح به جمع من المحقّقين كالفاضل البيضاويّ وغيره</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الموضوع لمعنى، أو معناه اللغويّ بناءً على اشتقاقه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العلامة، أو ما يعمّ الألفاظ وغيرها من أنواع المدركات من المعقولات والمحسوسات؛ لبعد أن يكون العلم بخصوص اللغات سببًا لتفضيله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الملائكة، وعلى جميع التقادير يثبت المرام</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8" w:name="__RefHeading___Toc3734646_1280447820"/>
      <w:bookmarkStart w:id="489" w:name="_Toc189"/>
      <w:bookmarkEnd w:id="488"/>
      <w:r>
        <w:rPr>
          <w:rtl w:val="true"/>
        </w:rPr>
        <w:t>الاعتراض على القول بالتوقيف</w:t>
      </w:r>
      <w:bookmarkEnd w:id="489"/>
    </w:p>
    <w:p>
      <w:pPr>
        <w:pStyle w:val="Heading6"/>
        <w:numPr>
          <w:ilvl w:val="5"/>
          <w:numId w:val="1"/>
        </w:numPr>
        <w:rPr/>
      </w:pPr>
      <w:bookmarkStart w:id="490" w:name="__RefHeading___Toc3734648_1280447820"/>
      <w:bookmarkStart w:id="491" w:name="_Toc190"/>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واعترض عليه من وجهين</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3734650_1280447820"/>
      <w:bookmarkStart w:id="493" w:name="_Toc191"/>
      <w:bookmarkEnd w:id="492"/>
      <w:r>
        <w:rPr>
          <w:rtl w:val="true"/>
        </w:rPr>
        <w:t>الاعتراض الأوّل</w:t>
      </w:r>
      <w:bookmarkEnd w:id="493"/>
    </w:p>
    <w:p>
      <w:pPr>
        <w:pStyle w:val="Heading6"/>
        <w:numPr>
          <w:ilvl w:val="5"/>
          <w:numId w:val="1"/>
        </w:numPr>
        <w:rPr/>
      </w:pPr>
      <w:bookmarkStart w:id="494" w:name="__RefHeading___Toc3734652_1280447820"/>
      <w:bookmarkStart w:id="495" w:name="_Toc192"/>
      <w:bookmarkEnd w:id="494"/>
      <w:r>
        <w:rPr>
          <w:rtl w:val="true"/>
        </w:rPr>
        <w:t>اشارة</w:t>
      </w:r>
      <w:bookmarkEnd w:id="49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مبنيٌّ على كون المراد من التعليم التفهيم، وهو غير لازم؛ لجواز أن يكون المراد منه الإلهام، كما في قوله </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وَعَلَّمْنَاهُ صَنْعَةَ لَبُوسٍ لَكُمْ</w:t>
      </w:r>
      <w:r>
        <w:rPr>
          <w:rStyle w:val="FootnoteAnchor"/>
          <w:rtl w:val="true"/>
        </w:rPr>
        <w:footnoteReference w:id="436"/>
      </w:r>
      <w:r>
        <w:rPr>
          <w:rFonts w:ascii="Amiri" w:hAnsi="Amiri" w:eastAsia="Amiri" w:cs="Amiri"/>
          <w:color w:val="111111"/>
          <w:sz w:val="28"/>
          <w:sz w:val="28"/>
          <w:szCs w:val="28"/>
          <w:rtl w:val="true"/>
          <w:lang w:bidi="ar-SA"/>
        </w:rPr>
        <w:t>، فحينئذٍ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وألهم الله تعالى آدم بأن يضع الأسماء؛ أو الإقدار،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أقدره على وضعها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سلّمناه، لكنّه غير مستلزم للمطلوب؛ لجواز أن يكون تعالى علّمه ما اصطلح عليه غيره قبل آدم، ويستفاد من النصوص الواردة عن أهل الخصوص وجود الخلق في الأرض قبل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عليّ بن إبراهيم في تفسيره في الصحيح أو الحسن مثله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وتعالى أمر الملائكة بالسجود لآدم، فدخل في أمر</w:t>
      </w:r>
      <w:r>
        <w:rPr>
          <w:rStyle w:val="FootnoteAnchor"/>
          <w:rtl w:val="true"/>
        </w:rPr>
        <w:footnoteReference w:id="438"/>
      </w:r>
      <w:r>
        <w:rPr>
          <w:rFonts w:ascii="Amiri" w:hAnsi="Amiri" w:eastAsia="Amiri" w:cs="Amiri"/>
          <w:color w:val="111111"/>
          <w:sz w:val="28"/>
          <w:sz w:val="28"/>
          <w:szCs w:val="28"/>
          <w:rtl w:val="true"/>
          <w:lang w:bidi="ar-SA"/>
        </w:rPr>
        <w:t>الملائكة إبليس، وإنّ</w:t>
      </w:r>
      <w:r>
        <w:rPr>
          <w:rStyle w:val="FootnoteAnchor"/>
          <w:rtl w:val="true"/>
        </w:rPr>
        <w:footnoteReference w:id="439"/>
      </w:r>
      <w:r>
        <w:rPr>
          <w:rFonts w:ascii="Amiri" w:hAnsi="Amiri" w:eastAsia="Amiri" w:cs="Amiri"/>
          <w:color w:val="111111"/>
          <w:sz w:val="28"/>
          <w:sz w:val="28"/>
          <w:szCs w:val="28"/>
          <w:rtl w:val="true"/>
          <w:lang w:bidi="ar-SA"/>
        </w:rPr>
        <w:t>إبليس كان مع</w:t>
      </w:r>
      <w:r>
        <w:rPr>
          <w:rStyle w:val="FootnoteAnchor"/>
          <w:rtl w:val="true"/>
        </w:rPr>
        <w:footnoteReference w:id="440"/>
      </w:r>
      <w:r>
        <w:rPr>
          <w:rFonts w:ascii="Amiri" w:hAnsi="Amiri" w:eastAsia="Amiri" w:cs="Amiri"/>
          <w:color w:val="111111"/>
          <w:sz w:val="28"/>
          <w:sz w:val="28"/>
          <w:szCs w:val="28"/>
          <w:rtl w:val="true"/>
          <w:lang w:bidi="ar-SA"/>
        </w:rPr>
        <w:t>الملائكة في السماء يعبد الله وكانت الملائكة تظنّ أنّه منهم ولم يكن منهم، فلمّا أمر الله تعالى الملائكة بالسجود لآدم، أخرج ما كان في قلب إبليس من الحسد، فعلم الملائكة عند ذلك أنّ إبليس لم يكن منهم</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وقع الأمر على إبليس وإنّما أمر الله تعالى الملائكة بالسجود لآدم؟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إبليس منهم بالولآء</w:t>
      </w:r>
      <w:r>
        <w:rPr>
          <w:rStyle w:val="FootnoteAnchor"/>
          <w:rtl w:val="true"/>
        </w:rPr>
        <w:footnoteReference w:id="442"/>
      </w:r>
      <w:r>
        <w:rPr>
          <w:rFonts w:ascii="Amiri" w:hAnsi="Amiri" w:eastAsia="Amiri" w:cs="Amiri"/>
          <w:color w:val="111111"/>
          <w:sz w:val="28"/>
          <w:sz w:val="28"/>
          <w:szCs w:val="28"/>
          <w:rtl w:val="true"/>
          <w:lang w:bidi="ar-SA"/>
        </w:rPr>
        <w:t xml:space="preserve">ولم يكن من جنس الملائكة؛ وذلك أنّ الله </w:t>
      </w:r>
    </w:p>
    <w:p>
      <w:pPr>
        <w:pStyle w:val="BookText"/>
        <w:rPr/>
      </w:pPr>
      <w:r>
        <w:rPr>
          <w:rFonts w:ascii="Amiri" w:hAnsi="Amiri" w:eastAsia="Amiri" w:cs="Amiri"/>
          <w:color w:val="111111"/>
          <w:sz w:val="28"/>
          <w:sz w:val="28"/>
          <w:szCs w:val="28"/>
          <w:rtl w:val="true"/>
          <w:lang w:bidi="ar-SA"/>
        </w:rPr>
        <w:t>خلق خلقًا قبل آدم وكان إبليس فيهم</w:t>
      </w:r>
      <w:r>
        <w:rPr>
          <w:rStyle w:val="FootnoteAnchor"/>
          <w:rtl w:val="true"/>
        </w:rPr>
        <w:footnoteReference w:id="443"/>
      </w:r>
      <w:r>
        <w:rPr>
          <w:rFonts w:ascii="Amiri" w:hAnsi="Amiri" w:eastAsia="Amiri" w:cs="Amiri"/>
          <w:color w:val="111111"/>
          <w:sz w:val="28"/>
          <w:sz w:val="28"/>
          <w:szCs w:val="28"/>
          <w:rtl w:val="true"/>
          <w:lang w:bidi="ar-SA"/>
        </w:rPr>
        <w:t>حاكمًا في الأرض، فعتوا وأفسدوا وسفكوا الدماء، فبعث الله الملائكة، فقتلوهم وأسروا إبليس ورفعوه إلى السماء، فكان</w:t>
      </w:r>
      <w:r>
        <w:rPr>
          <w:rStyle w:val="FootnoteAnchor"/>
          <w:rtl w:val="true"/>
        </w:rPr>
        <w:footnoteReference w:id="444"/>
      </w:r>
      <w:r>
        <w:rPr>
          <w:rFonts w:ascii="Amiri" w:hAnsi="Amiri" w:eastAsia="Amiri" w:cs="Amiri"/>
          <w:color w:val="111111"/>
          <w:sz w:val="28"/>
          <w:sz w:val="28"/>
          <w:szCs w:val="28"/>
          <w:rtl w:val="true"/>
          <w:lang w:bidi="ar-SA"/>
        </w:rPr>
        <w:t>مع الملائكة يعبد الله إلى أن خلق الله تبارك وتعالى آدم</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والنصوص الدالّة على وجود الجنّ والنسناس قبل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علّمه تعالى ما وقع من ولده بعده من الاصطلاحات واللغات؛ لأنّ المستقبل والحال والماضي بالنسبة إليه تعالى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يلزم بعد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المذكور أن يكون</w:t>
      </w:r>
      <w:r>
        <w:rPr>
          <w:rStyle w:val="FootnoteAnchor"/>
          <w:rtl w:val="true"/>
        </w:rPr>
        <w:footnoteReference w:id="447"/>
      </w:r>
      <w:r>
        <w:rPr>
          <w:rFonts w:ascii="IRNazanin" w:hAnsi="IRNazanin" w:eastAsia="IRNazanin"/>
          <w:color w:val="111111"/>
          <w:sz w:val="28"/>
          <w:sz w:val="28"/>
          <w:szCs w:val="28"/>
          <w:rtl w:val="true"/>
          <w:lang w:bidi="fa-IR"/>
        </w:rPr>
        <w:t xml:space="preserve">الأسماء ممّا علّمه الله تعالى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أعمّ من أن يكون من موضوعاته تعالى أو موضوعات غيره، والعامّ لا دلالة له على الخاصّ، فلا يثبت المرام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تقدير تسليم أن يكون الوضع مستندًا إلى الله تعالى، إنّما يجدي إذا ثبت أنّ الأسماء الّتي علّمها</w:t>
      </w:r>
      <w:r>
        <w:rPr>
          <w:rStyle w:val="FootnoteAnchor"/>
          <w:rtl w:val="true"/>
        </w:rPr>
        <w:footnoteReference w:id="448"/>
      </w:r>
      <w:r>
        <w:rPr>
          <w:rFonts w:ascii="IRNazanin" w:hAnsi="IRNazanin" w:eastAsia="IRNazanin"/>
          <w:color w:val="111111"/>
          <w:sz w:val="28"/>
          <w:sz w:val="28"/>
          <w:szCs w:val="28"/>
          <w:rtl w:val="true"/>
          <w:lang w:bidi="fa-IR"/>
        </w:rPr>
        <w:t xml:space="preserve">الله تعالى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الأسماء المتداولة عندنا، وأنّى لكم إثبات ذلك؟</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شاع وذاع حتّى خرق الأسماع أنّ اللغة العربيّة إنّما حدثت </w:t>
      </w:r>
      <w:bookmarkStart w:id="496" w:name="pg16224_170535"/>
    </w:p>
    <w:p>
      <w:pPr>
        <w:pStyle w:val="BookText"/>
        <w:rPr/>
      </w:pPr>
      <w:bookmarkEnd w:id="496"/>
      <w:r>
        <w:rPr>
          <w:rFonts w:ascii="IRNazanin" w:hAnsi="IRNazanin" w:eastAsia="IRNazanin"/>
          <w:color w:val="111111"/>
          <w:sz w:val="28"/>
          <w:sz w:val="28"/>
          <w:szCs w:val="28"/>
          <w:rtl w:val="true"/>
          <w:lang w:bidi="fa-IR"/>
        </w:rPr>
        <w:t xml:space="preserve">في زمان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العرب من ولده</w:t>
      </w:r>
      <w:r>
        <w:rPr>
          <w:rStyle w:val="FootnoteAnchor"/>
          <w:rtl w:val="true"/>
        </w:rPr>
        <w:footnoteReference w:id="449"/>
      </w:r>
      <w:r>
        <w:rPr>
          <w:rFonts w:ascii="Amiri" w:hAnsi="Amiri" w:eastAsia="Amiri" w:cs="Amiri"/>
          <w:color w:val="111111"/>
          <w:sz w:val="28"/>
          <w:sz w:val="28"/>
          <w:szCs w:val="28"/>
          <w:rtl w:val="true"/>
          <w:lang w:bidi="ar-SA"/>
        </w:rPr>
        <w:t>، ومعلوم أنّ النزاع إنّما هو في الألفاظ المستعملة في هذه الأزمان</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3734654_1280447820"/>
      <w:bookmarkStart w:id="498" w:name="_Toc193"/>
      <w:bookmarkEnd w:id="497"/>
      <w:r>
        <w:rPr>
          <w:rtl w:val="true"/>
        </w:rPr>
        <w:t>الجواب عن الاعتراض الأوّل</w:t>
      </w:r>
      <w:bookmarkEnd w:id="498"/>
    </w:p>
    <w:p>
      <w:pPr>
        <w:pStyle w:val="BookText"/>
        <w:rPr/>
      </w:pPr>
      <w:r>
        <w:rPr>
          <w:rFonts w:ascii="Amiri" w:hAnsi="Amiri" w:eastAsia="Amiri" w:cs="Amiri"/>
          <w:color w:val="111111"/>
          <w:sz w:val="28"/>
          <w:sz w:val="28"/>
          <w:szCs w:val="28"/>
          <w:rtl w:val="true"/>
          <w:lang w:bidi="ar-SA"/>
        </w:rPr>
        <w:t>ويمكن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حمل التعليم على ما ذكر مجاز والأصل في الاستعمال الحقيقة، فلا يصار إلى التجوّز إلّا مع القرينة الصارفة، وهي في المقام منتفية، وحمله على الإلهام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وَعَلَّمْنَاهُ صَنْعَةَ لَبُوسٍ</w:t>
      </w:r>
      <w:r>
        <w:rPr>
          <w:rStyle w:val="FootnoteAnchor"/>
          <w:rtl w:val="true"/>
        </w:rPr>
        <w:footnoteReference w:id="450"/>
      </w:r>
      <w:r>
        <w:rPr>
          <w:rFonts w:ascii="Amiri" w:hAnsi="Amiri" w:eastAsia="Amiri" w:cs="Amiri"/>
          <w:color w:val="111111"/>
          <w:sz w:val="28"/>
          <w:sz w:val="28"/>
          <w:szCs w:val="28"/>
          <w:rtl w:val="true"/>
          <w:lang w:bidi="ar-SA"/>
        </w:rPr>
        <w:t>مع القرينة لا يوجب الحمل فيما نحن فيه عليه؛ لوضوح أنّ التجوّز لموجب لا يوجبه مع انتفاء الموجب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الحمل على الإلهام مطلقًا غير منافٍ للمرام؛ لجواز أن يكون الله تعالى واضعًا للألفاظ وألقى موضوعاته تعالى على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بالإلهام؛ وإنّما يكون منافيًا إذا كان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وألهم آدم أن يضع الأسماء، فيتعدّد التجوّز، والتجوّز الواحد مرجوح بالنسبة إلى ما لم يلزم فيه ذلك، فضلًا عن المتعدّد، فحمل التعليم على ظاهره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حكاية الاصطلاح السابق أو اللاحق فبعيد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فلبعد استناد الله تعالى أفضليّة آدم من الملائكة إلى علمه بما اصطلح عليه غيره تعالى، وسيجيء ما يؤكّد ذلك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التعليم في قول الملائكة فيما بعد ذلك في مقام الاعتذار</w:t>
      </w:r>
      <w:r>
        <w:rPr>
          <w:rFonts w:eastAsia="Amiri" w:cs="Amiri" w:ascii="Amiri" w:hAnsi="Amiri"/>
          <w:color w:val="111111"/>
          <w:sz w:val="28"/>
          <w:szCs w:val="28"/>
          <w:rtl w:val="true"/>
          <w:lang w:bidi="ar-SA"/>
        </w:rPr>
        <w:t xml:space="preserve">: </w:t>
      </w:r>
      <w:bookmarkStart w:id="499" w:name="pg16224_170536"/>
    </w:p>
    <w:p>
      <w:pPr>
        <w:pStyle w:val="BookText"/>
        <w:rPr/>
      </w:pPr>
      <w:bookmarkEnd w:id="499"/>
      <w:r>
        <w:rPr>
          <w:rFonts w:ascii="Amiri" w:hAnsi="Amiri" w:eastAsia="Amiri" w:cs="Amiri"/>
          <w:color w:val="111111"/>
          <w:sz w:val="28"/>
          <w:sz w:val="28"/>
          <w:szCs w:val="28"/>
          <w:rtl w:val="true"/>
          <w:lang w:bidi="ar-SA"/>
        </w:rPr>
        <w:t>سُبْحَانَكَ لَا عِلْمَ لَنَا إِلَّا مَا عَلَّمْتَنَا</w:t>
      </w:r>
      <w:r>
        <w:rPr>
          <w:rStyle w:val="FootnoteAnchor"/>
          <w:rtl w:val="true"/>
        </w:rPr>
        <w:footnoteReference w:id="451"/>
      </w:r>
      <w:r>
        <w:rPr>
          <w:rFonts w:ascii="Amiri" w:hAnsi="Amiri" w:eastAsia="Amiri" w:cs="Amiri"/>
          <w:color w:val="111111"/>
          <w:sz w:val="28"/>
          <w:sz w:val="28"/>
          <w:szCs w:val="28"/>
          <w:rtl w:val="true"/>
          <w:lang w:bidi="ar-SA"/>
        </w:rPr>
        <w:t>، الظاهر أنّه ليس في الاصطلاح السابق أو اللاحق، بل من الله سبحانه، فالمناسب أن يكون فيما نحن فيه أيضًا كذلك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 سوق الآية أنّ العلم بالأسماء صار سببًا لأفضليّة آدم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مرّت إليه الإشارة وسنتعرّض إليه مع بسط في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ذلك التعليم تعليم اصطلاح سابق أو لاحق، يلزم أن يكون أهل ذلك الاصطلاح أيضًا أفضل من الملائكة؛ لتحقّق موجبه، وهو غير صحيح،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احتمال التغاير بين الأسماء الّتي علّمها الله تعالى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المتداولة بيننا، فمدفوع بالأصل</w:t>
      </w:r>
      <w:r>
        <w:rPr>
          <w:rFonts w:eastAsia="IRNazanin" w:cs="IRNazanin"/>
          <w:color w:val="111111"/>
          <w:sz w:val="28"/>
          <w:szCs w:val="28"/>
          <w:rtl w:val="true"/>
          <w:lang w:bidi="fa-IR"/>
        </w:rPr>
        <w:t>.</w:t>
      </w:r>
    </w:p>
    <w:p>
      <w:pPr>
        <w:pStyle w:val="Heading6"/>
        <w:numPr>
          <w:ilvl w:val="5"/>
          <w:numId w:val="1"/>
        </w:numPr>
        <w:rPr/>
      </w:pPr>
      <w:bookmarkStart w:id="500" w:name="__RefHeading___Toc3734656_1280447820"/>
      <w:bookmarkStart w:id="501" w:name="_Toc194"/>
      <w:bookmarkEnd w:id="500"/>
      <w:r>
        <w:rPr>
          <w:rtl w:val="true"/>
        </w:rPr>
        <w:t xml:space="preserve">ما اشتهر من حدوث لغة العرب في زمان إسماعيل </w:t>
      </w:r>
      <w:r>
        <w:rPr>
          <w:rtl w:val="true"/>
        </w:rPr>
        <w:t>(</w:t>
      </w:r>
      <w:r>
        <w:rPr>
          <w:rtl w:val="true"/>
        </w:rPr>
        <w:t>علیه السلام</w:t>
      </w:r>
      <w:r>
        <w:rPr>
          <w:rtl w:val="true"/>
        </w:rPr>
        <w:t xml:space="preserve">) </w:t>
      </w:r>
      <w:r>
        <w:rPr>
          <w:rtl w:val="true"/>
        </w:rPr>
        <w:t>غير صحيح</w:t>
      </w:r>
      <w:bookmarkEnd w:id="50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وحكاية حدوث لغة العرب في زمان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اشتهرت في الألسنة وصرّح به بعض الأجلّة</w:t>
      </w:r>
      <w:r>
        <w:rPr>
          <w:rStyle w:val="FootnoteAnchor"/>
          <w:rtl w:val="true"/>
        </w:rPr>
        <w:footnoteReference w:id="452"/>
      </w:r>
      <w:r>
        <w:rPr>
          <w:rFonts w:ascii="Amiri" w:hAnsi="Amiri" w:eastAsia="Amiri" w:cs="Amiri"/>
          <w:color w:val="111111"/>
          <w:sz w:val="28"/>
          <w:sz w:val="28"/>
          <w:szCs w:val="28"/>
          <w:rtl w:val="true"/>
          <w:lang w:bidi="ar-SA"/>
        </w:rPr>
        <w:t>، إلّا أنّها من الأكاذيب المشهورة والأغاليط المعروفة؛ لأنّ الحميريّين والعمالقة</w:t>
      </w:r>
      <w:r>
        <w:rPr>
          <w:rStyle w:val="FootnoteAnchor"/>
          <w:rtl w:val="true"/>
        </w:rPr>
        <w:footnoteReference w:id="453"/>
      </w:r>
      <w:r>
        <w:rPr>
          <w:rFonts w:ascii="IRNazanin" w:hAnsi="IRNazanin" w:eastAsia="IRNazanin"/>
          <w:color w:val="111111"/>
          <w:sz w:val="28"/>
          <w:sz w:val="28"/>
          <w:szCs w:val="28"/>
          <w:rtl w:val="true"/>
          <w:lang w:bidi="fa-IR"/>
        </w:rPr>
        <w:t xml:space="preserve">وقوم ثمود وعاد كلّهم من العرب، وقد كانوا قبل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بمدّة متطاولة، ووردت في </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تكلّم بالعربيّة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تغيّرت البلاد ومن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الأرض مغبرّ قبيح</w:t>
      </w:r>
    </w:p>
    <w:p>
      <w:pPr>
        <w:pStyle w:val="BookText"/>
        <w:rPr/>
      </w:pPr>
      <w:r>
        <w:rPr>
          <w:rFonts w:ascii="Amiri" w:hAnsi="Amiri" w:eastAsia="Amiri" w:cs="Amiri"/>
          <w:color w:val="111111"/>
          <w:sz w:val="28"/>
          <w:sz w:val="28"/>
          <w:szCs w:val="28"/>
          <w:rtl w:val="true"/>
          <w:lang w:bidi="ar-SA"/>
        </w:rPr>
        <w:t xml:space="preserve">تغيّر كلّ ذي لون وطعم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بشاشة الوجه الصبيح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الأبيات يظهر كذب الحكاية المشهورة، والحمل على النقل بالمعنى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آل عدنان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طائفة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يكون الوجه في اشتهار تلك الحكاية هو أنّ ذرّيّة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عالمين بجميع تلك اللغات إلى زمن نوح، فلمّا أهلك الله الناس إلّا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في </w:t>
      </w:r>
      <w:bookmarkStart w:id="502" w:name="pg16224_170538"/>
    </w:p>
    <w:p>
      <w:pPr>
        <w:pStyle w:val="BookText"/>
        <w:rPr/>
      </w:pPr>
      <w:bookmarkEnd w:id="502"/>
      <w:r>
        <w:rPr>
          <w:rFonts w:ascii="IRNazanin" w:hAnsi="IRNazanin" w:eastAsia="IRNazanin"/>
          <w:color w:val="111111"/>
          <w:sz w:val="28"/>
          <w:sz w:val="28"/>
          <w:szCs w:val="28"/>
          <w:rtl w:val="true"/>
          <w:lang w:bidi="fa-IR"/>
        </w:rPr>
        <w:t xml:space="preserve">الفلك، كانوا هم العارفين بتلك اللغات، فلمّا تفرّقوا اختار كلّ قوم منهم لغة، فتكلّموا بها وكان ما اختاروه غير لغة العرب، فبقيت غير مشهورة إلى زمان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اشتهرت في زمانه وتكلّم أولاده بها؛ ولذا اشتهرت حكاية حدوثها في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6"/>
        <w:numPr>
          <w:ilvl w:val="5"/>
          <w:numId w:val="1"/>
        </w:numPr>
        <w:rPr/>
      </w:pPr>
      <w:bookmarkStart w:id="503" w:name="__RefHeading___Toc3734658_1280447820"/>
      <w:bookmarkStart w:id="504" w:name="_Toc195"/>
      <w:bookmarkEnd w:id="503"/>
      <w:r>
        <w:rPr>
          <w:rtl w:val="true"/>
        </w:rPr>
        <w:t>الاعتراض الثاني</w:t>
      </w:r>
      <w:bookmarkEnd w:id="504"/>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 الاستدلال المذكور مبنيّ على كون المراد من الأسماء في الآية الألفاظ واللغات؛ وهو غير مسلّم؛ لجواز أن يكون المراد منها المسمّيات والحقائق، بل الظاهر ذلك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عَرَضَهُمْ عَلَى الملَائِكَةِ</w:t>
      </w:r>
      <w:r>
        <w:rPr>
          <w:rStyle w:val="FootnoteAnchor"/>
          <w:rtl w:val="true"/>
        </w:rPr>
        <w:footnoteReference w:id="457"/>
      </w:r>
      <w:r>
        <w:rPr>
          <w:rFonts w:ascii="Amiri" w:hAnsi="Amiri" w:eastAsia="Amiri" w:cs="Amiri"/>
          <w:color w:val="111111"/>
          <w:sz w:val="28"/>
          <w:sz w:val="28"/>
          <w:szCs w:val="28"/>
          <w:rtl w:val="true"/>
          <w:lang w:bidi="ar-SA"/>
        </w:rPr>
        <w:t>، بناءً على أنّه لو كان المراد منها الألفاظ 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عرضها؛ لئلّا يلزم ارجاع الضمير المختصّ بذوي العقول إلى غيرهم</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3734660_1280447820"/>
      <w:bookmarkStart w:id="506" w:name="_Toc196"/>
      <w:bookmarkEnd w:id="505"/>
      <w:r>
        <w:rPr>
          <w:rtl w:val="true"/>
        </w:rPr>
        <w:t>الجواب عن الاعتراض الثاني</w:t>
      </w:r>
      <w:bookmarkEnd w:id="506"/>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المذكور غير صحيح</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معنى مجازيّ لا يصار إليه إلّا بعد قيام القرينة على ذلك، واحتمال إرادة المعنى المجازيّ من اللفظ لو كان مضرًّا بالاستدلال انسدّ باب الإفادة والاستفادة من الألفاظ،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صالح لذلك؛ لرجوعه إلى المسمّيات، لكن لا 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بل لكونها دالّة عليها التزامًا </w:t>
      </w:r>
    </w:p>
    <w:p>
      <w:pPr>
        <w:pStyle w:val="BookText"/>
        <w:rPr/>
      </w:pPr>
      <w:r>
        <w:rPr>
          <w:rFonts w:ascii="Amiri" w:hAnsi="Amiri" w:eastAsia="Amiri" w:cs="Amiri"/>
          <w:color w:val="111111"/>
          <w:sz w:val="28"/>
          <w:sz w:val="28"/>
          <w:szCs w:val="28"/>
          <w:rtl w:val="true"/>
          <w:lang w:bidi="ar-SA"/>
        </w:rPr>
        <w:t xml:space="preserve">كما لا يخفى، فالمرجع حينئذٍ متقدّمٌ معنىً، أو لكون الألف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عن المضاف إليه الّذي هو عبارة عن المسمّيات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وَاشْتَعَلَ الرَّأْسُ شَيْبًا</w:t>
      </w:r>
      <w:r>
        <w:rPr>
          <w:rStyle w:val="FootnoteAnchor"/>
          <w:rtl w:val="true"/>
        </w:rPr>
        <w:footnoteReference w:id="458"/>
      </w:r>
      <w:r>
        <w:rPr>
          <w:rFonts w:ascii="Amiri" w:hAnsi="Amiri" w:eastAsia="Amiri" w:cs="Amiri"/>
          <w:color w:val="111111"/>
          <w:sz w:val="28"/>
          <w:sz w:val="28"/>
          <w:szCs w:val="28"/>
          <w:rtl w:val="true"/>
          <w:lang w:bidi="ar-SA"/>
        </w:rPr>
        <w:t>، أي رأسه، فكأنّما يكون المرجع موجودًا لوجود عوضه، والمراد من المسمّيات ذوات الأشياء، وتذكير الضمير وكونه من الضمائر العائدة إلى العقلاء للتغليب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الاسم على المسمّى كما يكون مخالفًا للظاهر، كذلك ارجاع الضمير إلى غير المذكور في الكلام، فما وجه ترجيح الثاني على الأوّل؟</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أكثريّته من الأوّل وأنّ خلاف الظاهر على الأوّل أشدّ، سيّما على تقدير جعل الألف واللام عوضًا لما ذكر وارجاع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آدَمَ الْأَسْمَاءَ كُلَّهَا</w:t>
      </w:r>
      <w:r>
        <w:rPr>
          <w:rStyle w:val="FootnoteAnchor"/>
          <w:rtl w:val="true"/>
        </w:rPr>
        <w:footnoteReference w:id="459"/>
      </w:r>
      <w:r>
        <w:rPr>
          <w:rFonts w:ascii="Amiri" w:hAnsi="Amiri" w:eastAsia="Amiri" w:cs="Amiri"/>
          <w:color w:val="111111"/>
          <w:sz w:val="28"/>
          <w:sz w:val="28"/>
          <w:szCs w:val="28"/>
          <w:rtl w:val="true"/>
          <w:lang w:bidi="ar-SA"/>
        </w:rPr>
        <w:t>إليها، وأنّه لا معنى لتعليق التعليم بالمسمّيات إلّا بحذف مضاف</w:t>
      </w:r>
      <w:r>
        <w:rPr>
          <w:rStyle w:val="FootnoteAnchor"/>
          <w:rtl w:val="true"/>
        </w:rPr>
        <w:footnoteReference w:id="460"/>
      </w:r>
      <w:r>
        <w:rPr>
          <w:rFonts w:ascii="Amiri" w:hAnsi="Amiri" w:eastAsia="Amiri" w:cs="Amiri"/>
          <w:color w:val="111111"/>
          <w:sz w:val="28"/>
          <w:sz w:val="28"/>
          <w:szCs w:val="28"/>
          <w:rtl w:val="true"/>
          <w:lang w:bidi="ar-SA"/>
        </w:rPr>
        <w:t>مضافًا إلى ما ستقف عليه في الوجه الثاني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أَنْبِئُونِي بِأَسْمَاءِ هَؤُلَاءِ</w:t>
      </w:r>
      <w:r>
        <w:rPr>
          <w:rStyle w:val="FootnoteAnchor"/>
          <w:rtl w:val="true"/>
        </w:rPr>
        <w:footnoteReference w:id="461"/>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يَا آدَمُ أَنْبِئْهُمْ بِأَسْمَائِهِمْ فَلَمَّا أَنْبَأَهُمْ بِأَسْمَائِهِمْ</w:t>
      </w:r>
      <w:r>
        <w:rPr>
          <w:rStyle w:val="FootnoteAnchor"/>
          <w:rtl w:val="true"/>
        </w:rPr>
        <w:footnoteReference w:id="462"/>
      </w:r>
      <w:r>
        <w:rPr>
          <w:rFonts w:ascii="Amiri" w:hAnsi="Amiri" w:eastAsia="Amiri" w:cs="Amiri"/>
          <w:color w:val="111111"/>
          <w:sz w:val="28"/>
          <w:sz w:val="28"/>
          <w:szCs w:val="28"/>
          <w:rtl w:val="true"/>
          <w:lang w:bidi="ar-SA"/>
        </w:rPr>
        <w:t xml:space="preserve">إلى آخره، بناء على أنّه لا شبهة في 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في هذه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لا المسمّيات، إذ لو كان المراد </w:t>
      </w:r>
    </w:p>
    <w:p>
      <w:pPr>
        <w:pStyle w:val="BookText"/>
        <w:rPr/>
      </w:pPr>
      <w:r>
        <w:rPr>
          <w:rFonts w:ascii="Amiri" w:hAnsi="Amiri" w:eastAsia="Amiri" w:cs="Amiri"/>
          <w:color w:val="111111"/>
          <w:sz w:val="28"/>
          <w:sz w:val="28"/>
          <w:szCs w:val="28"/>
          <w:rtl w:val="true"/>
          <w:lang w:bidi="ar-SA"/>
        </w:rPr>
        <w:t>منها تلك</w:t>
      </w:r>
      <w:r>
        <w:rPr>
          <w:rStyle w:val="FootnoteAnchor"/>
          <w:rtl w:val="true"/>
        </w:rPr>
        <w:footnoteReference w:id="463"/>
      </w:r>
      <w:r>
        <w:rPr>
          <w:rFonts w:ascii="Amiri" w:hAnsi="Amiri" w:eastAsia="Amiri" w:cs="Amiri"/>
          <w:color w:val="111111"/>
          <w:sz w:val="28"/>
          <w:sz w:val="28"/>
          <w:szCs w:val="28"/>
          <w:rtl w:val="true"/>
          <w:lang w:bidi="ar-SA"/>
        </w:rPr>
        <w:t>لما افتقر إلى ذكر الأسماء، بل يكتفي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أنبئوني بهؤلاء، وأنبئهم بهم، وأنبأهم بهم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المذكورة الألفاظ وإن كان مسلّمًا، لكن لا يلزم منه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آدَمَ الْأَسْمَاءَ</w:t>
      </w:r>
      <w:r>
        <w:rPr>
          <w:rFonts w:ascii="IRNazanin" w:hAnsi="IRNazanin" w:eastAsia="IRNazanin"/>
          <w:color w:val="111111"/>
          <w:sz w:val="28"/>
          <w:sz w:val="28"/>
          <w:szCs w:val="28"/>
          <w:rtl w:val="true"/>
          <w:lang w:bidi="fa-IR"/>
        </w:rPr>
        <w:t xml:space="preserve"> كذلك؛ لإمكان أن يكون المراد هناك المسمّيات مع كون المراد هيهنا الألفاظ، فتكون الأسماء التعليميّة مغايرة للأسماء المنبأ بها، بأن يكون الله تعالى علّم آدم المسمّيات، وهو بنفسه عيّن لها أسماء مخصوصة، ويكون استنباء الله تعالى من الملائكة بالأسماء المعيّنة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فحينئذٍ لا يلزم استناد الوضع في الألفاظ واللغات إلى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مواضع متقاربة، وحيث قد ظهر إرادة الألفاظ في ثلاثة منها، يظهر منه إرادتها في ذلك الموضع أيضًا كما لا يخفى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أنّه تعالى ذكر أوّلًا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آدم الأسماء، ثمّ عرض وأظهر المسمّيات على الملائكة، ثمّ إنّه استنبأ منهم بأسمائهم، ثمّ ذكر عجز الملائكة عن الإنباء وأمر آدم بإنباء أسمائهم،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أَنْبِئْهُمْ بِأَسْمَائِهِمْ فَلَمَّا أَنْبَأَهُمْ</w:t>
      </w:r>
    </w:p>
    <w:p>
      <w:pPr>
        <w:pStyle w:val="BookText"/>
        <w:rPr/>
      </w:pPr>
      <w:r>
        <w:rPr>
          <w:rFonts w:ascii="Amiri" w:hAnsi="Amiri" w:eastAsia="Amiri" w:cs="Amiri"/>
          <w:color w:val="111111"/>
          <w:sz w:val="28"/>
          <w:sz w:val="28"/>
          <w:szCs w:val="28"/>
          <w:rtl w:val="true"/>
          <w:lang w:bidi="ar-SA"/>
        </w:rPr>
        <w:t>بِأَسْمَائِهِمْالآية</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سوق الآية بحيث لا يجحده إلّا العادل عن جادّة الإنصاف والسالك مسلك الجور والاعتساف، أنّ الأسماء الّتي أمر الله تعالى آدم بإنبائها هي الّتي علّمها أوّلًا، وإلّا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إلى ذكر أنّه تعالى علّم آدم الأسماء أوّلًا كما لا يخفى، وحيث قد ظهر أنّ الأسماء الّتي أمره تعالى بإنبائها هي الألفاظ، تعيّن إرادتها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آدَمَ الْأَسْمَاءَ أيضًا، فيثبت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عجيب ما وقع لبعض</w:t>
      </w:r>
      <w:r>
        <w:rPr>
          <w:rStyle w:val="FootnoteAnchor"/>
          <w:rtl w:val="true"/>
        </w:rPr>
        <w:footnoteReference w:id="465"/>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تماميّة الاستدلال بالآية بحمل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أسماء الله الحسنى، وكأنّه غفل عمّا ذكره الله تعالى بعده، وكيف كان لا شبهة في فساده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يدلّ على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الألفاظ واللغات، ما رواه شيخنا أبو الفضل عليّ بن الحسن بن الفضل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المعلّى بن الخنيس،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من جملته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خنيس، ألا أدلّك على ما هو أبين 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 الله تعالى آدم من تعليم كلّ شيء،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وَعَلَّمَ آدَمَ الْأَسْمَاءَ كُلَّهَا</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أَنْبَأَهُمْ بِأَسْمَائِهِمْ</w:t>
      </w:r>
      <w:r>
        <w:rPr>
          <w:rStyle w:val="FootnoteAnchor"/>
          <w:rtl w:val="true"/>
        </w:rPr>
        <w:footnoteReference w:id="467"/>
      </w:r>
      <w:r>
        <w:rPr>
          <w:rFonts w:ascii="Amiri" w:hAnsi="Amiri" w:eastAsia="Amiri" w:cs="Amiri"/>
          <w:color w:val="111111"/>
          <w:sz w:val="28"/>
          <w:sz w:val="28"/>
          <w:szCs w:val="28"/>
          <w:rtl w:val="true"/>
          <w:lang w:bidi="ar-SA"/>
        </w:rPr>
        <w:t xml:space="preserve">وذلك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اسم كلّ شيء </w:t>
      </w:r>
      <w:bookmarkStart w:id="507" w:name="pg16224_170542"/>
    </w:p>
    <w:p>
      <w:pPr>
        <w:pStyle w:val="BookText"/>
        <w:rPr/>
      </w:pPr>
      <w:bookmarkEnd w:id="507"/>
      <w:r>
        <w:rPr>
          <w:rFonts w:ascii="Amiri" w:hAnsi="Amiri" w:eastAsia="Amiri" w:cs="Amiri"/>
          <w:color w:val="111111"/>
          <w:sz w:val="28"/>
          <w:sz w:val="28"/>
          <w:szCs w:val="28"/>
          <w:rtl w:val="true"/>
          <w:lang w:bidi="ar-SA"/>
        </w:rPr>
        <w:t>قبل أن يخلق ذلك الشيء، حتّى علّمه اسم الملح بجميع</w:t>
      </w:r>
      <w:r>
        <w:rPr>
          <w:rStyle w:val="FootnoteAnchor"/>
          <w:rtl w:val="true"/>
        </w:rPr>
        <w:footnoteReference w:id="468"/>
      </w:r>
      <w:r>
        <w:rPr>
          <w:rFonts w:ascii="IRNazanin" w:hAnsi="IRNazanin" w:eastAsia="IRNazanin"/>
          <w:color w:val="111111"/>
          <w:sz w:val="28"/>
          <w:sz w:val="28"/>
          <w:szCs w:val="28"/>
          <w:rtl w:val="true"/>
          <w:lang w:bidi="fa-IR"/>
        </w:rPr>
        <w:t>اللغات</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طويل أخذنا منه موضع الحاجة، ودلالته على ما ذكرنا ممّا لا يخفى</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3734662_1280447820"/>
      <w:bookmarkStart w:id="509" w:name="_Toc197"/>
      <w:bookmarkEnd w:id="508"/>
      <w:r>
        <w:rPr>
          <w:rtl w:val="true"/>
        </w:rPr>
        <w:t>الإيراد في المقام من وجه آخر</w:t>
      </w:r>
      <w:bookmarkEnd w:id="509"/>
    </w:p>
    <w:p>
      <w:pPr>
        <w:pStyle w:val="BookText"/>
        <w:rPr/>
      </w:pPr>
      <w:r>
        <w:rPr>
          <w:rFonts w:ascii="IRNazanin" w:hAnsi="IRNazanin" w:eastAsia="IRNazanin"/>
          <w:color w:val="111111"/>
          <w:sz w:val="28"/>
          <w:sz w:val="28"/>
          <w:szCs w:val="28"/>
          <w:rtl w:val="true"/>
          <w:lang w:bidi="fa-IR"/>
        </w:rPr>
        <w:t xml:space="preserve">نعم، يمكن الإيراد في المقام من وجه آخر أعضل ممّا سلف، وهو أنّ الظاهر من سوق الآية الشريفة على ما أسلفنا إليه الإشارة أنّ العلم بالأسماء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العلم من الملائكة صار موجبًا لأشرفيّته وأفضليّته منهم؛ وهو إنّما يصلح لذلك إذا كان الوضع فيها مستندًا 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ذلك من مخترعاته ومبتدعاته، حيث تمكّن من هذا الاختراع الغريب المشتمل على دقائق الحكم والابتداع العجيب المتضمّن للطائف البدع، بخلاف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كان الوضع فيها مستندًا إلى الله تعالى وكان علم آدم بها بإيقافه وأعلامه تعالى فلا، إذ الإيقاف والإعلام لو كان متوجّهًا بالنسبة إليهم لعلموها، والفضيلة والشرافة إنّما هو على هذا التقدير لله سبحانه، ومعلوم أنّه على أشرف الأنحاء في الذات والصفات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العلم بالتعليم إنّما يصلح سببًا لأفضليّة العالِم من غيره إذا كان العلم من العالم بجدّه وكدّه وجهل غيره بتقصيره وترك طلبه، وكون المقام من هذا القبيل يدفعه سوق الآية، مضافًا في الثاني إلى الأمور الخارجة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يمكن أن يكون للتفاوت في الاستعداد بأنّ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استعداد للعلم بتلك المعلومات وبسببه</w:t>
      </w:r>
      <w:r>
        <w:rPr>
          <w:rStyle w:val="FootnoteAnchor"/>
          <w:rtl w:val="true"/>
        </w:rPr>
        <w:footnoteReference w:id="470"/>
      </w:r>
      <w:r>
        <w:rPr>
          <w:rFonts w:ascii="Amiri" w:hAnsi="Amiri" w:eastAsia="Amiri" w:cs="Amiri"/>
          <w:color w:val="111111"/>
          <w:sz w:val="28"/>
          <w:sz w:val="28"/>
          <w:szCs w:val="28"/>
          <w:rtl w:val="true"/>
          <w:lang w:bidi="ar-SA"/>
        </w:rPr>
        <w:t>اختصّ بالتعليم، بخلاف الملائكة، فإنّه ليس لهم ذلك الاستعداد، فعلى هذا لا شبهة في صلاحيّة العلم وإن كان بالتعليم للأفضليّة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المطلب وإن كان مسلّمًا، لكن كون المقام من هذا القبيل ممنوع؛ لوضوح أنّ اللغات ليس ممّا لا يكون للملائكة استعداد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الإيراد المذكور متوجّه على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آدَمَ الْأَسْمَاءَ كُلَّهَا</w:t>
      </w:r>
      <w:r>
        <w:rPr>
          <w:rStyle w:val="FootnoteAnchor"/>
          <w:rtl w:val="true"/>
        </w:rPr>
        <w:footnoteReference w:id="471"/>
      </w:r>
      <w:r>
        <w:rPr>
          <w:rFonts w:ascii="IRNazanin" w:hAnsi="IRNazanin" w:eastAsia="IRNazanin"/>
          <w:color w:val="111111"/>
          <w:sz w:val="28"/>
          <w:sz w:val="28"/>
          <w:szCs w:val="28"/>
          <w:rtl w:val="true"/>
          <w:lang w:bidi="fa-IR"/>
        </w:rPr>
        <w:t xml:space="preserve">، سواء كان الوضع مستندًا إليه سبحانه، أم لا؛ لأنّه تعالى نسب تعليم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والإيراد متوجّه عليه سواء حمل التعليم على معناه أو الإلهام أو الإقدار، فإن استند إلى التفاوت في الاستعداد يدفع بأنّه كما أنّ العلم باللغات ليس ممّا لا يكون للملائكة استعداد به، كذلك الحال بالنسبة إلى الوضع فيها، فلا يصلح أن يكون وضع اللغات من آدم على تقديره بعد صدور الإلهام به منه سبحانه سببًا لأفضليّته من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إنّما يصلح ذلك فيما إذا توجّه الإلهام بالنسبة إليهم ولم يتحقّق الوضع منهم، ومن أين يعلم ذلك؟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محطّ الإشكال نسبة التعليم إلى الله سبحانه، مع أنّ سوق الكلام يدلّ على أنّ ذلك العلم موجب للأفضليّة، سواء كان الوضع في المعلومات مستندًا </w:t>
      </w:r>
      <w:bookmarkStart w:id="510" w:name="pg16224_170544"/>
    </w:p>
    <w:p>
      <w:pPr>
        <w:pStyle w:val="BookText"/>
        <w:rPr/>
      </w:pPr>
      <w:bookmarkEnd w:id="510"/>
      <w:r>
        <w:rPr>
          <w:rFonts w:ascii="IRNazanin" w:hAnsi="IRNazanin" w:eastAsia="IRNazanin"/>
          <w:color w:val="111111"/>
          <w:sz w:val="28"/>
          <w:sz w:val="28"/>
          <w:szCs w:val="28"/>
          <w:rtl w:val="true"/>
          <w:lang w:bidi="fa-IR"/>
        </w:rPr>
        <w:t xml:space="preserve">إليه سبحانه، أو 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الإيراد على التقديرين متوجّه، لكنّ الظاهر ممّا أسلفناه الأوّل، فلا يرفع اليد عنه بالإيراد المتوجّه على تقدير عدمه أيضًا عملًا بمقتضى ما تقدّم، فتأمّل</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1" w:name="__RefHeading___Toc3734664_1280447820"/>
      <w:bookmarkStart w:id="512" w:name="_Toc198"/>
      <w:bookmarkEnd w:id="511"/>
      <w:r>
        <w:rPr>
          <w:rtl w:val="true"/>
        </w:rPr>
        <w:t>الجواب عن أصل الإيراد</w:t>
      </w:r>
      <w:bookmarkEnd w:id="51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 أصل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تعالى لمّا أخبر الملائكة بأنّه جاعل في الأرض خليفة، هَجَسَ</w:t>
      </w:r>
      <w:r>
        <w:rPr>
          <w:rStyle w:val="FootnoteAnchor"/>
          <w:rtl w:val="true"/>
        </w:rPr>
        <w:footnoteReference w:id="473"/>
      </w:r>
      <w:r>
        <w:rPr>
          <w:rFonts w:ascii="Amiri" w:hAnsi="Amiri" w:eastAsia="Amiri" w:cs="Amiri"/>
          <w:color w:val="111111"/>
          <w:sz w:val="28"/>
          <w:sz w:val="28"/>
          <w:szCs w:val="28"/>
          <w:rtl w:val="true"/>
          <w:lang w:bidi="ar-SA"/>
        </w:rPr>
        <w:t>في نفوسهم أنّ الخليفة لو كانت من غيرهم لتحقّق في الأرض الفساد وسفك الدماء؛ لِمَا شاهدوا من الخلق الّذي كان قبل آدم على ما في الحديث السابق، وأنّها لو كانت منهم لما يقع فيها شيء من ذلك مع اعتقادهم باستحقاقهم لخلافة الأرض وكدخدائيّتها</w:t>
      </w:r>
      <w:r>
        <w:rPr>
          <w:rStyle w:val="FootnoteAnchor"/>
          <w:rtl w:val="true"/>
        </w:rPr>
        <w:footnoteReference w:id="474"/>
      </w:r>
      <w:r>
        <w:rPr>
          <w:rFonts w:ascii="Amiri" w:hAnsi="Amiri" w:eastAsia="Amiri" w:cs="Amiri"/>
          <w:color w:val="111111"/>
          <w:sz w:val="28"/>
          <w:sz w:val="28"/>
          <w:szCs w:val="28"/>
          <w:rtl w:val="true"/>
          <w:lang w:bidi="ar-SA"/>
        </w:rPr>
        <w:t>والسياسة فيها،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أَتَجْعَلُ فِيهَا مَنْ يُفْسِدُ فِيهَا وَيَسْفِكُ الدِّمَاءَ وَنَحْنُ نُسَبِّحُ بِحَمْدِكَ وَنُقَدِّسُ لَكَ</w:t>
      </w:r>
      <w:r>
        <w:rPr>
          <w:rStyle w:val="FootnoteAnchor"/>
          <w:rtl w:val="true"/>
        </w:rPr>
        <w:footnoteReference w:id="475"/>
      </w:r>
      <w:r>
        <w:rPr>
          <w:rFonts w:ascii="Amiri" w:hAnsi="Amiri" w:eastAsia="Amiri" w:cs="Amiri"/>
          <w:color w:val="111111"/>
          <w:sz w:val="28"/>
          <w:sz w:val="28"/>
          <w:szCs w:val="28"/>
          <w:rtl w:val="true"/>
          <w:lang w:bidi="ar-SA"/>
        </w:rPr>
        <w:t>، لا اعتراضًا، بل ترغيبًا لكون الخليفة منهم لفرط رغبتهم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كان الله تعالى عالمًا بعدم صلاحيّتهم لكدخدائيّة الأرض وعمارتها والسياسة فيها لافتقارها إلى تدابير وأفعال وأمور لا يمكن صدورها إلّا من بني آدم مع سائر الحِكَم في خلقه الّتي من جملتها ظهور شقاوة إبليس، قال أوّلًا في جوابهم بعنوان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مَا لَا تَعْلَمُونَ</w:t>
      </w:r>
      <w:r>
        <w:rPr>
          <w:rStyle w:val="FootnoteAnchor"/>
          <w:rtl w:val="true"/>
        </w:rPr>
        <w:footnoteReference w:id="476"/>
      </w:r>
      <w:r>
        <w:rPr>
          <w:rFonts w:ascii="Amiri" w:hAnsi="Amiri" w:eastAsia="Amiri" w:cs="Amiri"/>
          <w:color w:val="111111"/>
          <w:sz w:val="28"/>
          <w:sz w:val="28"/>
          <w:szCs w:val="28"/>
          <w:rtl w:val="true"/>
          <w:lang w:bidi="ar-SA"/>
        </w:rPr>
        <w:t>في كون الخليفة من غيركم وعدم كونه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خلق آدم وعلّمه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جميع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لفظ معناه ماذا، وخواصّ المسمّيات وما يفتقر إليه في كدخدائيّة الأرض وعمارتها من الصناعات المختلفة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 المسمّيات على الملائكة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أَنْبِئُونِي بِأَسْمَاءِ هَؤُلَاءِ</w:t>
      </w:r>
      <w:r>
        <w:rPr>
          <w:rStyle w:val="FootnoteAnchor"/>
          <w:rtl w:val="true"/>
        </w:rPr>
        <w:footnoteReference w:id="477"/>
      </w:r>
      <w:r>
        <w:rPr>
          <w:rFonts w:ascii="IRNazanin" w:hAnsi="IRNazanin" w:eastAsia="IRNazanin"/>
          <w:color w:val="111111"/>
          <w:sz w:val="28"/>
          <w:sz w:val="28"/>
          <w:szCs w:val="28"/>
          <w:rtl w:val="true"/>
          <w:lang w:bidi="fa-IR"/>
        </w:rPr>
        <w:t xml:space="preserve">، ثمّ بعد عجزهم أمر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بإنبائهم، فلمّا أنبأهم بأسمائهم وخواصّهم وما يفتقر إليه في عمارة الأرض والسياسة فيها من الحِرَف والصنائع ولطائف الحيل والتدابير، ظهر عليهم أنّهم ما كانوا صالحين لكدخدائيّة الأرض وخلافتها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لا يكون نفس العلم بتلك الأسماء سببًا للأفضليّة؛ إذ المفروض أنّ العلم بتعليم الله سبحانه، ولو كان التعليم متوجّهًا بالنسبة إليهم أيضًا، لتمكّنوا من العلم، بل العلم بها مع صلاحيّته للكدخدائيّة واستحقاقه للخلافة والسياسة بخلافهم، فلمّا انكشف عليهم حقيقة الحال وتبيّن لهم ما خفي عنهم في مقام </w:t>
      </w:r>
      <w:bookmarkStart w:id="513" w:name="pg16224_170546"/>
    </w:p>
    <w:p>
      <w:pPr>
        <w:pStyle w:val="BookText"/>
        <w:rPr/>
      </w:pPr>
      <w:bookmarkEnd w:id="513"/>
      <w:r>
        <w:rPr>
          <w:rFonts w:ascii="IRNazanin" w:hAnsi="IRNazanin" w:eastAsia="IRNazanin"/>
          <w:color w:val="111111"/>
          <w:sz w:val="28"/>
          <w:sz w:val="28"/>
          <w:szCs w:val="28"/>
          <w:rtl w:val="true"/>
          <w:lang w:bidi="fa-IR"/>
        </w:rPr>
        <w:t>السؤال، 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أَقُلْ لَكُمْ إِنِّي أَعْلَمُ غَيْبَ السَّمَاوَاتِ وَالْأَرْضِ</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استبان ثبوت الأفضليّة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كون الوضع مستندًا إليه تعالى، فاندفع الإيراد، لكن بناءً عليه يتوجّه الاعتراض في بعض المطالب السالفة يظهر</w:t>
      </w:r>
      <w:r>
        <w:rPr>
          <w:rStyle w:val="FootnoteAnchor"/>
          <w:rtl w:val="true"/>
        </w:rPr>
        <w:footnoteReference w:id="479"/>
      </w:r>
      <w:r>
        <w:rPr>
          <w:rFonts w:ascii="Amiri" w:hAnsi="Amiri" w:eastAsia="Amiri" w:cs="Amiri"/>
          <w:color w:val="111111"/>
          <w:sz w:val="28"/>
          <w:sz w:val="28"/>
          <w:szCs w:val="28"/>
          <w:rtl w:val="true"/>
          <w:lang w:bidi="ar-SA"/>
        </w:rPr>
        <w:t>للمتأمّل في المباحث السابقة والآتية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يجاب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تعالى لمّا خصّ التعليم بآدم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الملائكة، بل أمر بإنبائه لهم، علم أنّ له مزيّة عليهم، وإلّا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لهذا الاختصاص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والقول بأنّ العلم باللغات وخواصّ المسمّيات ليس ممّا لا يكون للملائكة له استعداد، من قبيل الاجتهاد في مقابلة النصّ والاستبعاد بعد قيام الدلالة، بناءً على أنّ الظاهر من سوق الآية على ما أسلفناه غير مرّة أنّ خصوص العلم موجب للأفضليّة، فتأمّل</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4" w:name="__RefHeading___Toc3734666_1280447820"/>
      <w:bookmarkStart w:id="515" w:name="_Toc199"/>
      <w:bookmarkEnd w:id="514"/>
      <w:r>
        <w:rPr>
          <w:rtl w:val="true"/>
        </w:rPr>
        <w:t>إيرادٌ آخر</w:t>
      </w:r>
      <w:bookmarkEnd w:id="515"/>
    </w:p>
    <w:p>
      <w:pPr>
        <w:pStyle w:val="Heading6"/>
        <w:numPr>
          <w:ilvl w:val="5"/>
          <w:numId w:val="1"/>
        </w:numPr>
        <w:rPr/>
      </w:pPr>
      <w:bookmarkStart w:id="516" w:name="__RefHeading___Toc3734668_1280447820"/>
      <w:bookmarkStart w:id="517" w:name="_Toc200"/>
      <w:bookmarkEnd w:id="516"/>
      <w:r>
        <w:rPr>
          <w:rtl w:val="true"/>
        </w:rPr>
        <w:t>وجه اختلاف اللغات في ذرّيّة آدم مع علمه بجميع اللغات</w:t>
      </w:r>
      <w:bookmarkEnd w:id="51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هنا إيرادًا آخر، وهو أنّ المفروض أنّه تعالى علّم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اللغات </w:t>
      </w:r>
      <w:bookmarkStart w:id="518" w:name="pg16224_170547"/>
    </w:p>
    <w:p>
      <w:pPr>
        <w:pStyle w:val="BookText"/>
        <w:rPr/>
      </w:pPr>
      <w:bookmarkEnd w:id="518"/>
      <w:r>
        <w:rPr>
          <w:rFonts w:ascii="Amiri" w:hAnsi="Amiri" w:eastAsia="Amiri" w:cs="Amiri"/>
          <w:color w:val="111111"/>
          <w:sz w:val="28"/>
          <w:sz w:val="28"/>
          <w:szCs w:val="28"/>
          <w:rtl w:val="true"/>
          <w:lang w:bidi="ar-SA"/>
        </w:rPr>
        <w:t>بأسرها، فما وجه اختلاف ذرّيّته فيها بحيث إنّ أهل كلّ لغة في الأغلب لا يفهم لغة الآخر</w:t>
      </w:r>
      <w:r>
        <w:rPr>
          <w:rStyle w:val="FootnoteAnchor"/>
          <w:rtl w:val="true"/>
        </w:rPr>
        <w:footnoteReference w:id="481"/>
      </w:r>
      <w:r>
        <w:rPr>
          <w:rFonts w:ascii="IRNazanin" w:hAnsi="IRNazanin" w:eastAsia="IRNazanin"/>
          <w:color w:val="111111"/>
          <w:sz w:val="28"/>
          <w:sz w:val="28"/>
          <w:szCs w:val="28"/>
          <w:rtl w:val="true"/>
          <w:lang w:bidi="fa-IR"/>
        </w:rPr>
        <w:t>؟</w:t>
      </w:r>
    </w:p>
    <w:p>
      <w:pPr>
        <w:pStyle w:val="Heading6"/>
        <w:numPr>
          <w:ilvl w:val="5"/>
          <w:numId w:val="1"/>
        </w:numPr>
        <w:rPr/>
      </w:pPr>
      <w:bookmarkStart w:id="519" w:name="__RefHeading___Toc3734670_1280447820"/>
      <w:bookmarkStart w:id="520" w:name="_Toc201"/>
      <w:bookmarkEnd w:id="519"/>
      <w:r>
        <w:rPr>
          <w:rtl w:val="true"/>
        </w:rPr>
        <w:t>الجواب عن الإيراد</w:t>
      </w:r>
      <w:bookmarkEnd w:id="520"/>
    </w:p>
    <w:p>
      <w:pPr>
        <w:pStyle w:val="BookText"/>
        <w:rPr/>
      </w:pPr>
      <w:r>
        <w:rPr>
          <w:rFonts w:ascii="IRNazanin" w:hAnsi="IRNazanin" w:eastAsia="IRNazanin"/>
          <w:color w:val="111111"/>
          <w:sz w:val="28"/>
          <w:sz w:val="28"/>
          <w:szCs w:val="28"/>
          <w:rtl w:val="true"/>
          <w:lang w:bidi="fa-IR"/>
        </w:rPr>
        <w:t xml:space="preserve">والجواب عنه قد ظهر ممّا سلف في وجه اشتهار حدوث لغة العرب في زمان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يمكن أن تكون ذرّيّة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عالمين بجميع تلك اللغات إلى زمن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أهلك الله الناس إلّا نوحًا ومن تبعه كانوا هم العارفين باللغات بأسرها، لكن لمّا تفرّقوا اختار كلّ فرقة منهم لغة واحدة تسهيلًا للأمر، ثمّ بقيت تلك اللغة في أعقابهم وجهلوا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أن يكون الأمر كذلك قبل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بأنّ كلّ فرقة في القرن الأوّل اختاروا لغة واحدة مع علمهم بغيرها أيضًا تسهيلًا للأمر؛ إذ التكلّم بلغة واحدة أسهل من التكلّم بلغات مختلفة، فلمّا انقضى القرن الأوّل مثلًا كان لا يعلم أعقاب كلّ واحدة من تلك الفرقة إلّا اللغة الواحدة، فمن هذا السبب اختلفت اللغات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يمكن استناد الاختلاف 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بأنّه لم يكن علّم كلّ واحد من ولده إلّا لغة واحدة، فبقيت تلك الواحدة في أعقاب ذلك الواحد، وهكذا في باقي اللغات</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521" w:name="pg16224_170548"/>
    </w:p>
    <w:p>
      <w:pPr>
        <w:pStyle w:val="Heading6"/>
        <w:numPr>
          <w:ilvl w:val="5"/>
          <w:numId w:val="1"/>
        </w:numPr>
        <w:rPr/>
      </w:pPr>
      <w:bookmarkStart w:id="522" w:name="__RefHeading___Toc3734672_1280447820"/>
      <w:bookmarkStart w:id="523" w:name="_Toc202"/>
      <w:bookmarkEnd w:id="521"/>
      <w:bookmarkEnd w:id="522"/>
      <w:r>
        <w:rPr>
          <w:rtl w:val="true"/>
        </w:rPr>
        <w:t>الدليل الثاني</w:t>
      </w:r>
      <w:bookmarkEnd w:id="523"/>
    </w:p>
    <w:p>
      <w:pPr>
        <w:pStyle w:val="Heading6"/>
        <w:numPr>
          <w:ilvl w:val="5"/>
          <w:numId w:val="1"/>
        </w:numPr>
        <w:rPr/>
      </w:pPr>
      <w:bookmarkStart w:id="524" w:name="__RefHeading___Toc3734674_1280447820"/>
      <w:bookmarkStart w:id="525" w:name="_Toc203"/>
      <w:bookmarkEnd w:id="524"/>
      <w:r>
        <w:rPr>
          <w:rtl w:val="true"/>
        </w:rPr>
        <w:t>اشارة</w:t>
      </w:r>
      <w:bookmarkEnd w:id="525"/>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آيَاتِهِ خَلْقُ السَّمَاوَاتِ وَالْأَرْضِ وَاخْتِلَافُ أَلْسِنَتِكُمْ</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أنّه ليس المراد من الألسنة الجارحة المخصوصة؛ لكون بدائع الصنع في غيرها أشدّ وأكثر، فكان ذكره في جملة الآيات أولى وأجدر، فيحمل على اللغات تسمية للمسبّب باسم سببه</w:t>
      </w:r>
      <w:r>
        <w:rPr>
          <w:rStyle w:val="FootnoteAnchor"/>
          <w:rtl w:val="true"/>
        </w:rPr>
        <w:footnoteReference w:id="484"/>
      </w:r>
      <w:r>
        <w:rPr>
          <w:rFonts w:ascii="Amiri" w:hAnsi="Amiri" w:eastAsia="Amiri" w:cs="Amiri"/>
          <w:color w:val="111111"/>
          <w:sz w:val="28"/>
          <w:sz w:val="28"/>
          <w:szCs w:val="28"/>
          <w:rtl w:val="true"/>
          <w:lang w:bidi="ar-SA"/>
        </w:rPr>
        <w:t>،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اللغات المختلفة الّتي عندكم من جملة آيات الله سبحانه، فيكون الوضع فيها مستندًا إليه سبحانه، وهو المطلوب</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6" w:name="__RefHeading___Toc3734676_1280447820"/>
      <w:bookmarkStart w:id="527" w:name="_Toc204"/>
      <w:bookmarkEnd w:id="526"/>
      <w:r>
        <w:rPr>
          <w:rtl w:val="true"/>
        </w:rPr>
        <w:t>الإيراد على الدليل الثاني</w:t>
      </w:r>
      <w:bookmarkEnd w:id="52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تعذّر حمل الألسنة على الجارحة المخصوصة وإن كان مسلّمًا، لكنّه لا يوجب المصير إلى ما ذكر؛ لإمكان إرادة الإقدار من الآية، والحَمْلان سيّان في كونهما آية، فإذا قام الاحتمال بطل الاستدلال</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bookmarkStart w:id="528" w:name="pg16224_170549"/>
    </w:p>
    <w:p>
      <w:pPr>
        <w:pStyle w:val="Heading6"/>
        <w:numPr>
          <w:ilvl w:val="5"/>
          <w:numId w:val="1"/>
        </w:numPr>
        <w:rPr/>
      </w:pPr>
      <w:bookmarkStart w:id="529" w:name="__RefHeading___Toc3734678_1280447820"/>
      <w:bookmarkStart w:id="530" w:name="_Toc205"/>
      <w:bookmarkEnd w:id="528"/>
      <w:bookmarkEnd w:id="529"/>
      <w:r>
        <w:rPr>
          <w:rtl w:val="true"/>
        </w:rPr>
        <w:t>الجواب عن الإيراد</w:t>
      </w:r>
      <w:bookmarkEnd w:id="530"/>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الإقدار إمّا يكون ممّا يحمل عليه الألسنة، كما يستفاد من كلام العلّامة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حمل الألسنة على اللغات أولى من حملها على الإقدار عليها</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لا، بل يقدّر الإقدار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منهما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 فلأنّ مقتضى حمل اللفظ على معنى إرادته منه، فعلى هذا 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اختلاف إقداركم؛ وهذا لا معنى له، إلّا أن يجعل المصدر مضافًا إلى المفعول، والفاعل محذوفًا راجعًا إليه تعالى، وحينئذٍ وإن كان المعنى صحيحًا، لكن يطالب بالعلاقة المصحّحة للتجوّز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تحقّقها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القواعد المسلّمة تعيّن الرجوع إلى أقرب المجازات وأرجحها عند تعذّر الحمل على الحقيقة، ولا شبهة في أولويّة حمل الألسنة على اللغات من حملها على الإقدار؛ لأنّ استعمال اللسان في اللغة قد بلغ في الكثرة حدًّا يتوهّم أنّها من المعاني الحقيقيّة،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خاطبني بلسان عربيّ، وما أفهم لسان زيد، ولسان أهل هذا البلد فارسيّ، ولسان الترك ثقيل صعب، وغير ذلك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إنّما هو إذا كان المراد مطلق الإقدار، وأمّا إذا أريد الإقدار على </w:t>
      </w:r>
    </w:p>
    <w:p>
      <w:pPr>
        <w:pStyle w:val="BookText"/>
        <w:rPr/>
      </w:pPr>
      <w:r>
        <w:rPr>
          <w:rFonts w:ascii="Amiri" w:hAnsi="Amiri" w:eastAsia="Amiri" w:cs="Amiri"/>
          <w:color w:val="111111"/>
          <w:sz w:val="28"/>
          <w:sz w:val="28"/>
          <w:szCs w:val="28"/>
          <w:rtl w:val="true"/>
          <w:lang w:bidi="ar-SA"/>
        </w:rPr>
        <w:t>التكلّم باللغات فلا، إذ العلاقة حينئذٍ الحاليّة، أي حاليّة المستعمل فيه للموضوع له، أي الجارحة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لحلول الإقدار على التكلّم في اللسان كما لا يخفى؛ وإنّما الحالّ على فرض التسليم القدرة عليه، وليس الكلام في ذلك، وعلى فرض التسليم إنّما يندفع به المنع الأوّل، وأمّا الثاني فعلى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الإغماض عن الجميع لا يكون منافيًا لأصل المطلب؛ لوضوح أنّ الإقدار على التكلّم باللغات لا يستلزم أن لا يكون الوضع فيها مستندًا إليه تعالى كما لا يخفى،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يحمل الألسنة على الإقدار بوضعها، فحينئذٍ وإن اندفع به الأخير، لكنّ الأوّلين على حالهما؛ إذ الإقدار إنّما هو فعل الله سبحانه، لا فعل الناس، كخلق السماوات والأرض، فلا معنى لحلوله في الجارحة المخصوصة، وعلى تقدير أن يكون المراد القدرة على الوضع، فهو مع منافاته لسوق الآية أيضًا كذلك؛ إذ القدرة على الوضع إنّما هو حالّ في الشخص، لا في الجارحة، والأمر في أقرب المجازات كما تقدّم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التقدير في الآية حينئذٍ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الإقدار على اختلاف ألسنتكم، أو إقداركم على ذلك، أو إقداره إيّاكم عليه، وأيّ ما كان لا بدّ فيه من حمل الألسنة على اللغات؛ لما تقدّم، فالتجوّز في الألسنة بحملها على اللغات مشترك في المقامين مع التضمين والإضمار في الثاني، ولا شبهة في أنّ المصير إلى التجوّز من غير إضمار أولى من المصير إليه معه كما لا يخفى، فيتمّ المطلوب</w:t>
      </w:r>
      <w:r>
        <w:rPr>
          <w:rFonts w:eastAsia="Amiri" w:cs="Amiri" w:ascii="Amiri" w:hAnsi="Amiri"/>
          <w:color w:val="111111"/>
          <w:sz w:val="28"/>
          <w:szCs w:val="28"/>
          <w:rtl w:val="true"/>
          <w:lang w:bidi="ar-SA"/>
        </w:rPr>
        <w:t xml:space="preserve">. </w:t>
      </w:r>
      <w:bookmarkStart w:id="531" w:name="pg16224_170551"/>
    </w:p>
    <w:p>
      <w:pPr>
        <w:pStyle w:val="BookText"/>
        <w:rPr/>
      </w:pPr>
      <w:bookmarkEnd w:id="531"/>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سلامة الكلام من الإضمار على التقدير الأوّل، أي مع عدم حمل الآية على الإقدار أيضًا،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خلق السماوات والأرض ووضع اختلاف ألسنتكم، أي اللغات المختلفة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الإضمار ممّا لا مخلّص</w:t>
      </w:r>
      <w:r>
        <w:rPr>
          <w:rStyle w:val="FootnoteAnchor"/>
          <w:rtl w:val="true"/>
        </w:rPr>
        <w:footnoteReference w:id="488"/>
      </w:r>
      <w:r>
        <w:rPr>
          <w:rFonts w:ascii="Amiri" w:hAnsi="Amiri" w:eastAsia="Amiri" w:cs="Amiri"/>
          <w:color w:val="111111"/>
          <w:sz w:val="28"/>
          <w:sz w:val="28"/>
          <w:szCs w:val="28"/>
          <w:rtl w:val="true"/>
          <w:lang w:bidi="ar-SA"/>
        </w:rPr>
        <w:t>عنه على التقديرين؛ لما عرفت من أنّه بعد إرادة الإقدار من الآية 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إقداركم على التكلّم باللغات، أو على وضعها، بخلاف ذلك، فحمل الألسنة على اللغات على ما ذكر في الاستدلال أولى، بل الأمر في هذه الآية على زعمي القاصر أسهل من الآية السابقة، عكس ما توهّمه جماعة، فيكون المستفاد من الآية حينئذٍ أنّ اللغات المختلفة كخلق السماوات والأرض من آيات الله سبحانه</w:t>
      </w:r>
      <w:r>
        <w:rPr>
          <w:rStyle w:val="FootnoteAnchor"/>
          <w:rtl w:val="true"/>
        </w:rPr>
        <w:footnoteReference w:id="489"/>
      </w:r>
      <w:r>
        <w:rPr>
          <w:rFonts w:ascii="Amiri" w:hAnsi="Amiri" w:eastAsia="Amiri" w:cs="Amiri"/>
          <w:color w:val="111111"/>
          <w:sz w:val="28"/>
          <w:sz w:val="28"/>
          <w:szCs w:val="28"/>
          <w:rtl w:val="true"/>
          <w:lang w:bidi="ar-SA"/>
        </w:rPr>
        <w:t>ولمّا كان الخلق في السماوات والأرض مستندًا إليه، يظهر منه بمقتضى السياق أنّ الأمر في اللغات المختلفة أيضًا كذلك، فيتمّ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أولويّة الحمل المذكور في مقام الاستدلال من الاحتمال المذكور آنفًا</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3734680_1280447820"/>
      <w:bookmarkStart w:id="533" w:name="_Toc206"/>
      <w:bookmarkEnd w:id="532"/>
      <w:r>
        <w:rPr>
          <w:rtl w:val="true"/>
        </w:rPr>
        <w:t>احتمال آخر للآية الشريفة</w:t>
      </w:r>
      <w:bookmarkEnd w:id="53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هنا احتمال آخر يمكن أن يكون محملًا للآية، وهو أن يكون المراد اختلاف اللهجة من الأشخاص ولو كانوا من أرباب لغة واحدة، حيث إنّه لا يشتبه </w:t>
      </w:r>
      <w:bookmarkStart w:id="534" w:name="pg16224_170552"/>
    </w:p>
    <w:p>
      <w:pPr>
        <w:pStyle w:val="BookText"/>
        <w:rPr/>
      </w:pPr>
      <w:bookmarkEnd w:id="534"/>
      <w:r>
        <w:rPr>
          <w:rFonts w:ascii="Amiri" w:hAnsi="Amiri" w:eastAsia="Amiri" w:cs="Amiri"/>
          <w:color w:val="111111"/>
          <w:sz w:val="28"/>
          <w:sz w:val="28"/>
          <w:szCs w:val="28"/>
          <w:rtl w:val="true"/>
          <w:lang w:bidi="ar-SA"/>
        </w:rPr>
        <w:t>صوتان ولو كانا من أخوين في لفظٍ واحدٍ في لغة واحدة، ففيه من غرائب الصنع وعجائب الفطرة ما لا يخفى على ذي مسكة؛ وهو أدلّ على القدرة؛ لأنّ بدائع الصنع فيه أكثر وغرائب الفطرة فيه أكمل، إذ الاختلاف هنا في كلّ شخص من الأشخاص وهناك في كلّ فرقة من الفرق وطائفة من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دخل للآية فيما نحن فيه، لكنّه مخالف للظاهر، إذ لا شبهة في بُعد إرادة هذا المعنى والتفاوت من الاختلاف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أَلْسِنَتِكُمْ</w:t>
      </w:r>
      <w:r>
        <w:rPr>
          <w:rStyle w:val="FootnoteAnchor"/>
          <w:rtl w:val="true"/>
        </w:rPr>
        <w:footnoteReference w:id="490"/>
      </w:r>
      <w:r>
        <w:rPr>
          <w:rFonts w:ascii="Amiri" w:hAnsi="Amiri" w:eastAsia="Amiri" w:cs="Amiri"/>
          <w:color w:val="111111"/>
          <w:sz w:val="28"/>
          <w:sz w:val="28"/>
          <w:szCs w:val="28"/>
          <w:rtl w:val="true"/>
          <w:lang w:bidi="ar-SA"/>
        </w:rPr>
        <w:t>، فلا يقدح مثل هذا الاحتمال في الاستدلال</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3734682_1280447820"/>
      <w:bookmarkStart w:id="536" w:name="_Toc207"/>
      <w:bookmarkEnd w:id="535"/>
      <w:r>
        <w:rPr>
          <w:rtl w:val="true"/>
        </w:rPr>
        <w:t>الاستدلالات الّتي ذكرها في النهاية عن أصحاب التوقيف والجواب عنها</w:t>
      </w:r>
      <w:bookmarkEnd w:id="536"/>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تكن اللغات توقيفيّة؛ لما توجّه الذمّ في التسمية من غير جهة التوقيف، والتالي باطل، أمّا الشرطيّة فظاهرة، وأمّا بطلان التالي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أَسْمَاءٌ سَمَّيْتُمُوهَا أَنْتُمْ وَآبَاؤُكُمْ مَا أَنْزَلَ الله بِهَا مِنْ سُلْطَانٍ</w:t>
      </w:r>
      <w:r>
        <w:rPr>
          <w:rStyle w:val="FootnoteAnchor"/>
          <w:rtl w:val="true"/>
        </w:rPr>
        <w:footnoteReference w:id="491"/>
      </w:r>
      <w:r>
        <w:rPr>
          <w:rFonts w:ascii="Amiri" w:hAnsi="Amiri" w:eastAsia="Amiri" w:cs="Amiri"/>
          <w:color w:val="111111"/>
          <w:sz w:val="28"/>
          <w:sz w:val="28"/>
          <w:szCs w:val="28"/>
          <w:rtl w:val="true"/>
          <w:lang w:bidi="ar-SA"/>
        </w:rPr>
        <w:t>، حيث يفهم منه المذمّة في التسمية من قبل أنفسهم، فلو لم تكن توقيفيّة لما توجّه ذلك؛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المذمّة مفهومة من الآية في تسمية مسمّيات معيّنة من غير جهة التوقيف، فلو لم تكن التسمية توقيفيّة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لذلك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 الْإِنْسَانَ مَا لَمْ يَعْلَمْ</w:t>
      </w:r>
      <w:r>
        <w:rPr>
          <w:rStyle w:val="FootnoteAnchor"/>
          <w:rtl w:val="true"/>
        </w:rPr>
        <w:footnoteReference w:id="492"/>
      </w:r>
      <w:r>
        <w:rPr>
          <w:rFonts w:ascii="Amiri" w:hAnsi="Amiri" w:eastAsia="Amiri" w:cs="Amiri"/>
          <w:color w:val="111111"/>
          <w:sz w:val="28"/>
          <w:sz w:val="28"/>
          <w:szCs w:val="28"/>
          <w:rtl w:val="true"/>
          <w:lang w:bidi="ar-SA"/>
        </w:rPr>
        <w:t>، 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p>
    <w:p>
      <w:pPr>
        <w:pStyle w:val="BookText"/>
        <w:rPr/>
      </w:pPr>
      <w:r>
        <w:rPr>
          <w:rFonts w:ascii="Amiri" w:hAnsi="Amiri" w:eastAsia="Amiri" w:cs="Amiri"/>
          <w:color w:val="111111"/>
          <w:sz w:val="28"/>
          <w:sz w:val="28"/>
          <w:szCs w:val="28"/>
          <w:rtl w:val="true"/>
          <w:lang w:bidi="ar-SA"/>
        </w:rPr>
        <w:t>الموصول للعموم، فمدلول الآية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معلومات الإنسان إنّما هو بتعليم الله سبحانه، فيثبت منه المرام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فَرَّطْنَا فِي الْكِتَابِ مِنْ شَيْءٍ</w:t>
      </w:r>
      <w:r>
        <w:rPr>
          <w:rStyle w:val="FootnoteAnchor"/>
          <w:rtl w:val="true"/>
        </w:rPr>
        <w:footnoteReference w:id="493"/>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تِبْيَانًا لِكُلِّ شَيْءٍ</w:t>
      </w:r>
      <w:r>
        <w:rPr>
          <w:rStyle w:val="FootnoteAnchor"/>
          <w:rtl w:val="true"/>
        </w:rPr>
        <w:footnoteReference w:id="494"/>
      </w:r>
      <w:r>
        <w:rPr>
          <w:rFonts w:ascii="Amiri" w:hAnsi="Amiri" w:eastAsia="Amiri" w:cs="Amiri"/>
          <w:color w:val="111111"/>
          <w:sz w:val="28"/>
          <w:sz w:val="28"/>
          <w:szCs w:val="28"/>
          <w:rtl w:val="true"/>
          <w:lang w:bidi="ar-SA"/>
        </w:rPr>
        <w:t>، والعموم في الآيتين يشمل اللغات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الآيات الثلاث قد نقل العلّامة في النهاية</w:t>
      </w:r>
      <w:r>
        <w:rPr>
          <w:rStyle w:val="FootnoteAnchor"/>
          <w:rtl w:val="true"/>
        </w:rPr>
        <w:footnoteReference w:id="495"/>
      </w:r>
      <w:r>
        <w:rPr>
          <w:rFonts w:ascii="Amiri" w:hAnsi="Amiri" w:eastAsia="Amiri" w:cs="Amiri"/>
          <w:color w:val="111111"/>
          <w:sz w:val="28"/>
          <w:sz w:val="28"/>
          <w:szCs w:val="28"/>
          <w:rtl w:val="true"/>
          <w:lang w:bidi="ar-SA"/>
        </w:rPr>
        <w:t>الاستدلال بها عن أصحاب هذا القول، وفيه من الضعف ما لا يفتقر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 فلأنّ المراد إمّا مطلق التسمية، أو تسمية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فالشرطيّة مسلّمة، لكن بطلان التالي ممنوع، والآية غير دالّة على ذلك كما ستقف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نمنع الشرطيّة؛ لجواز أن لا يكون مطلق اللغات توقيفيّة، ومع ذلك لم يجز إطلاق بعض الأسماء على بعض المسمّيات كما لا يخفى، والذمّ في الآية الشريفة إنّما هو في إطلاق اسم الإله ونحوه على الأصنام، وأين ذلك من المرام؟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تقدير تسليم أن لا يكون المراد من الأسماء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أَسْمَاءٌ</w:t>
      </w:r>
      <w:r>
        <w:rPr>
          <w:rStyle w:val="FootnoteAnchor"/>
          <w:rtl w:val="true"/>
        </w:rPr>
        <w:footnoteReference w:id="496"/>
      </w:r>
      <w:r>
        <w:rPr>
          <w:rFonts w:ascii="Amiri" w:hAnsi="Amiri" w:eastAsia="Amiri" w:cs="Amiri"/>
          <w:color w:val="111111"/>
          <w:sz w:val="28"/>
          <w:sz w:val="28"/>
          <w:szCs w:val="28"/>
          <w:rtl w:val="true"/>
          <w:lang w:bidi="ar-SA"/>
        </w:rPr>
        <w:t xml:space="preserve">إلخ ما ذكر، نمنع توجّه المذمّة باعتبار التسمية، بل إنّما هي لعبادة تلك </w:t>
      </w:r>
    </w:p>
    <w:p>
      <w:pPr>
        <w:pStyle w:val="BookText"/>
        <w:rPr/>
      </w:pPr>
      <w:r>
        <w:rPr>
          <w:rFonts w:ascii="Amiri" w:hAnsi="Amiri" w:eastAsia="Amiri" w:cs="Amiri"/>
          <w:color w:val="111111"/>
          <w:sz w:val="28"/>
          <w:sz w:val="28"/>
          <w:szCs w:val="28"/>
          <w:rtl w:val="true"/>
          <w:lang w:bidi="ar-SA"/>
        </w:rPr>
        <w:t>المسمّيات واعتقاد إلهيّتهم، كما يظهر ذلك من صدر الآية وقبلها،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صَاحِبَيِ السِّجْنِ أَأَرْبَابٌ مُتَفَرِّقُونَ خَيْرٌ أَمِ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تَعْبُدُونَ مِنْ دُونِهِ إِلَّا أَسْمَاءً سَمَّيْتُمُوهَا</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لا نسلّم أنّ مدلوله أنّ كلّ معلومات الإنسان إنّما هو بتعليم الله سبحانه، بل ما لا يعلم من قبل نفسه؛ لوضوح أنّ عموم الموصول إنّما هو في صلته، فالاستدلال إنّما يتمّ إذا علمنا أنّ العلم باللغات ليس ممّا علمه الإنسان بنفسه؛ وكونها كذلك متوقّف على الاستدلال بالآية، بناءً على جعلها دليلًا للمطلوب، فيلزم الدور،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فللقطع بعدم شمول الآيتين للّغات؛ لعدم تحقّق لغة الترك ونحوها في الكتاب، وأيضًا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w:t>
      </w:r>
      <w:r>
        <w:rPr>
          <w:rStyle w:val="FootnoteAnchor"/>
          <w:rtl w:val="true"/>
        </w:rPr>
        <w:footnoteReference w:id="498"/>
      </w:r>
      <w:r>
        <w:rPr>
          <w:rFonts w:ascii="Amiri" w:hAnsi="Amiri" w:eastAsia="Amiri" w:cs="Amiri"/>
          <w:color w:val="111111"/>
          <w:sz w:val="28"/>
          <w:sz w:val="28"/>
          <w:szCs w:val="28"/>
          <w:rtl w:val="true"/>
          <w:lang w:bidi="ar-SA"/>
        </w:rPr>
        <w:t>إلخ، عبارة عن القرآن، فلو كانت اللغات داخلة فيه بحيث يثبت التوقيف، يلزم أن لا يكونوا</w:t>
      </w:r>
      <w:r>
        <w:rPr>
          <w:rStyle w:val="FootnoteAnchor"/>
          <w:rtl w:val="true"/>
        </w:rPr>
        <w:footnoteReference w:id="499"/>
      </w:r>
      <w:r>
        <w:rPr>
          <w:rFonts w:ascii="Amiri" w:hAnsi="Amiri" w:eastAsia="Amiri" w:cs="Amiri"/>
          <w:color w:val="111111"/>
          <w:sz w:val="28"/>
          <w:sz w:val="28"/>
          <w:szCs w:val="28"/>
          <w:rtl w:val="true"/>
          <w:lang w:bidi="ar-SA"/>
        </w:rPr>
        <w:t>قبل نزول القرآن عالمين بتلك اللغات، وفساده غنيّ عن البيان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ضعف التمسّك بالآيات المذكورة ممّا لا ارتياب فيه ولا شكّ يعتريه</w:t>
      </w:r>
      <w:r>
        <w:rPr>
          <w:rFonts w:eastAsia="Amiri" w:cs="Amiri" w:ascii="Amiri" w:hAnsi="Amiri"/>
          <w:color w:val="111111"/>
          <w:sz w:val="28"/>
          <w:szCs w:val="28"/>
          <w:rtl w:val="true"/>
          <w:lang w:bidi="ar-SA"/>
        </w:rPr>
        <w:t xml:space="preserve">. </w:t>
      </w:r>
      <w:bookmarkStart w:id="537" w:name="pg16224_170555"/>
    </w:p>
    <w:p>
      <w:pPr>
        <w:pStyle w:val="Heading6"/>
        <w:numPr>
          <w:ilvl w:val="5"/>
          <w:numId w:val="1"/>
        </w:numPr>
        <w:rPr/>
      </w:pPr>
      <w:bookmarkStart w:id="538" w:name="__RefHeading___Toc3734684_1280447820"/>
      <w:bookmarkStart w:id="539" w:name="_Toc208"/>
      <w:bookmarkEnd w:id="537"/>
      <w:bookmarkEnd w:id="538"/>
      <w:r>
        <w:rPr>
          <w:rtl w:val="true"/>
        </w:rPr>
        <w:t>استدلالٌ آخر للقول بالتوقيف</w:t>
      </w:r>
      <w:bookmarkEnd w:id="539"/>
    </w:p>
    <w:p>
      <w:pPr>
        <w:pStyle w:val="BookText"/>
        <w:rPr/>
      </w:pPr>
      <w:r>
        <w:rPr>
          <w:rFonts w:ascii="Amiri" w:hAnsi="Amiri" w:eastAsia="Amiri" w:cs="Amiri"/>
          <w:color w:val="111111"/>
          <w:sz w:val="28"/>
          <w:sz w:val="28"/>
          <w:szCs w:val="28"/>
          <w:rtl w:val="true"/>
          <w:lang w:bidi="ar-SA"/>
        </w:rPr>
        <w:t>واستدلّ لذلك أيضًا بأنّ اللغات لو كانت اصطلاحيّة؛ لامتنع العلم بشيء منها، وبطلان التالي ممّا يشهد به الوجدان، وظهوره أغنى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الشرطيّة فلأنّه على تقدير اصطلاحيّة الجميع لو أريد تعليم بعض منها؛ لافتقر إلى التوصّل بلفظ آخر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اللفظ موضوع لذلك المعنى، أو وضعته لذلك، أو معناه ذلك، وهذه الألفاظ الّتي قد ذكرت في مقام البيان أيضًا اصطلاحيّة، بناءً على القول ببطلان الدلالة الذاتيّة، ففهم المعاني منها إمّا بواسطة اللفظ الأوّل الّذي ذكرت في بيانه، أو بواسطة لفظ آخر وهكذا إلى غير النهاية، فيلزم إمّا الدور أو التسلسل، وكلاهما مستحيل، والمتوقّف على المستحيل مستحيل</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0" w:name="__RefHeading___Toc3734686_1280447820"/>
      <w:bookmarkStart w:id="541" w:name="_Toc209"/>
      <w:bookmarkEnd w:id="540"/>
      <w:r>
        <w:rPr>
          <w:rtl w:val="true"/>
        </w:rPr>
        <w:t>الجواب عنه</w:t>
      </w:r>
      <w:bookmarkEnd w:id="541"/>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يلزم إذا كان طريق الاستفادة والإفادة منحصرًا في الألفاظ، وفساده ممّا لا يخفى؛ لحصولهما بالترديد والتكرير بالقرائن والإشارة، كتعليم الأطفال لغة الآباء</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الإيراد على تقدير تسليمه لا اختصاص له باصطلاحيّة اللغات؛ لوروده على التوقيف أيضًا، وتعليم العباد بوضع الألفاظ إمّا بطريق الوحي، أو بخلق الأصوات في بعض الأجسام ليصوّت بذلك، وعلى التقديرين يتوجّه </w:t>
      </w:r>
      <w:bookmarkStart w:id="542" w:name="pg16224_170556"/>
    </w:p>
    <w:p>
      <w:pPr>
        <w:pStyle w:val="BookText"/>
        <w:rPr/>
      </w:pPr>
      <w:bookmarkEnd w:id="542"/>
      <w:r>
        <w:rPr>
          <w:rFonts w:ascii="Amiri" w:hAnsi="Amiri" w:eastAsia="Amiri" w:cs="Amiri"/>
          <w:color w:val="111111"/>
          <w:sz w:val="28"/>
          <w:sz w:val="28"/>
          <w:szCs w:val="28"/>
          <w:rtl w:val="true"/>
          <w:lang w:bidi="ar-SA"/>
        </w:rPr>
        <w:t>الإيراد المذكور، فيجاب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التخلّص هنا بنحو آخر أيضًا، وهو أنّه تعالى يخلق علمًا ضروريًّا في قلوبهم ليحصل منه التفاهم</w:t>
      </w:r>
      <w:r>
        <w:rPr>
          <w:rFonts w:eastAsia="Amiri" w:cs="Amiri" w:ascii="Amiri" w:hAnsi="Amiri"/>
          <w:color w:val="111111"/>
          <w:sz w:val="28"/>
          <w:szCs w:val="28"/>
          <w:rtl w:val="true"/>
          <w:lang w:bidi="ar-SA"/>
        </w:rPr>
        <w:t>.</w:t>
      </w:r>
    </w:p>
    <w:p>
      <w:pPr>
        <w:pStyle w:val="Heading6"/>
        <w:numPr>
          <w:ilvl w:val="5"/>
          <w:numId w:val="1"/>
        </w:numPr>
        <w:rPr/>
      </w:pPr>
      <w:bookmarkStart w:id="543" w:name="__RefHeading___Toc3734688_1280447820"/>
      <w:bookmarkStart w:id="544" w:name="_Toc210"/>
      <w:bookmarkEnd w:id="543"/>
      <w:r>
        <w:rPr>
          <w:rtl w:val="true"/>
        </w:rPr>
        <w:t>دليل القائلين باصطلاحيّة اللغات</w:t>
      </w:r>
      <w:bookmarkEnd w:id="544"/>
    </w:p>
    <w:p>
      <w:pPr>
        <w:pStyle w:val="Heading6"/>
        <w:numPr>
          <w:ilvl w:val="5"/>
          <w:numId w:val="1"/>
        </w:numPr>
        <w:rPr/>
      </w:pPr>
      <w:bookmarkStart w:id="545" w:name="__RefHeading___Toc3734690_1280447820"/>
      <w:bookmarkStart w:id="546" w:name="_Toc211"/>
      <w:bookmarkEnd w:id="545"/>
      <w:r>
        <w:rPr>
          <w:rtl w:val="true"/>
        </w:rPr>
        <w:t>اشارة</w:t>
      </w:r>
      <w:bookmarkEnd w:id="546"/>
    </w:p>
    <w:p>
      <w:pPr>
        <w:pStyle w:val="BookText"/>
        <w:rPr/>
      </w:pPr>
      <w:r>
        <w:rPr>
          <w:rFonts w:ascii="Amiri" w:hAnsi="Amiri" w:eastAsia="Amiri" w:cs="Amiri"/>
          <w:color w:val="111111"/>
          <w:sz w:val="28"/>
          <w:sz w:val="28"/>
          <w:szCs w:val="28"/>
          <w:rtl w:val="true"/>
          <w:lang w:bidi="ar-SA"/>
        </w:rPr>
        <w:t>واستدلّ القائلون باصطلاحيّة اللغات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نقليّ وعقليّ</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3734692_1280447820"/>
      <w:bookmarkStart w:id="548" w:name="_Toc212"/>
      <w:bookmarkEnd w:id="547"/>
      <w:r>
        <w:rPr>
          <w:rtl w:val="true"/>
        </w:rPr>
        <w:t>الدليل الأوّل</w:t>
      </w:r>
      <w:bookmarkEnd w:id="548"/>
    </w:p>
    <w:p>
      <w:pPr>
        <w:pStyle w:val="Heading6"/>
        <w:numPr>
          <w:ilvl w:val="5"/>
          <w:numId w:val="1"/>
        </w:numPr>
        <w:rPr/>
      </w:pPr>
      <w:bookmarkStart w:id="549" w:name="__RefHeading___Toc3734694_1280447820"/>
      <w:bookmarkStart w:id="550" w:name="_Toc213"/>
      <w:bookmarkEnd w:id="549"/>
      <w:r>
        <w:rPr>
          <w:rtl w:val="true"/>
        </w:rPr>
        <w:t>اشارة</w:t>
      </w:r>
      <w:bookmarkEnd w:id="550"/>
    </w:p>
    <w:p>
      <w:pPr>
        <w:pStyle w:val="BookText"/>
        <w:rPr/>
      </w:pPr>
      <w:r>
        <w:rPr>
          <w:rFonts w:ascii="IRNazanin" w:hAnsi="IRNazanin" w:eastAsia="IRNazanin"/>
          <w:color w:val="111111"/>
          <w:sz w:val="28"/>
          <w:sz w:val="28"/>
          <w:szCs w:val="28"/>
          <w:rtl w:val="true"/>
          <w:lang w:bidi="fa-IR"/>
        </w:rPr>
        <w:t>أمّا الأوّل فهو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أَرْسَلْنَا مِنْ رَسُولٍ إِلَّا بِلِسَانِ قَوْمِهِ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أنّ المراد باللسان اللغة، فمدلول الآية 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 إلى كلّ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بلغتهم، ومقتضى ذلك سبق لغة كلّ قوم على إرسال الرسول إليهم، فلو كانت اللغات توقيفيّة يلزم أن يكون مسبوقة به؛ لأنّ العلم بالأمور التوقيفيّة لا يتحصّل إلّا بالإرسال، فيلزم أن يكون الشيء الواحد سابقًا على شيء ومسبوقًا به، وهو محال</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1" w:name="__RefHeading___Toc3734696_1280447820"/>
      <w:bookmarkStart w:id="552" w:name="_Toc214"/>
      <w:bookmarkEnd w:id="551"/>
      <w:r>
        <w:rPr>
          <w:rtl w:val="true"/>
        </w:rPr>
        <w:t>الجواب عن الدليل الأوّل</w:t>
      </w:r>
      <w:bookmarkEnd w:id="55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مقتضى الآية ما ذكر؛ لوضوح أنّ من جملة الرسل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ومعلوم أنّه حين الإرسال لم يكن له قوم، فضلًا عن لغتهم المتفرّعة على </w:t>
      </w:r>
    </w:p>
    <w:p>
      <w:pPr>
        <w:pStyle w:val="BookText"/>
        <w:rPr/>
      </w:pPr>
      <w:r>
        <w:rPr>
          <w:rFonts w:ascii="Amiri" w:hAnsi="Amiri" w:eastAsia="Amiri" w:cs="Amiri"/>
          <w:color w:val="111111"/>
          <w:sz w:val="28"/>
          <w:sz w:val="28"/>
          <w:szCs w:val="28"/>
          <w:rtl w:val="true"/>
          <w:lang w:bidi="ar-SA"/>
        </w:rPr>
        <w:t>وجودهم، فتحمل الآية على أنّ المراد منها انتفاء المغايرة بين لغة الرسول وقومه، سواء كانت تلك اللغة من الأمور التوقيفيّة، أم لا؛ فعلى هذا لا تكون الآية منافية للتوقيف ومثبتة للاصطلاح كما لا يخفى</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الآية ظاهرين،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النكرة الواقعة في سياق النفي،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إرسال كلّ رسول مسبوق بلغة قومه؛ وإبقاؤهما على حالهما غير ممكن؛ لما مرّ من أنّ من جملتهم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حين الإرسال لم يكن له قوم فضلًا عن مسبوقيّته بلغتهم، فلا بدّ لدفع المحذور من صرف أحدهما والحمل على خلاف الظاهر، وهو كما يمكن بما ذكر يمكن بتخصيص الرسول بغير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بل الثاني أولى لأولويّة التخصيص من المجاز، ولعلّ الاستدلال مبنيّ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وإن كان مسلّمًا، لكنّه لا يجدي في مقام الاستدلال، إذ مع تخصيص الرسول بغير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أمكن إرادة الظاهر الثاني بأنت تكون لغة كلّ قوم سابقة على إرسال الرسول إليهم، إلّا أنّ اللغات على تقدير توقيفيّتها لا يلزم أن تكون مسبوقة بالنسبة إلى ذلك الرسول المرسل إليهم، بل بالرسول في الجملة، فلا يلزم توقّف الشيء على نفسه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ذلك أنّه على تقدير توقيفيّة اللغات يمكن أن يكون قد أوقفها الله تعالى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 في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وَعَلَّمَ آدَمَ الْأَسْمَاءَ كُلَّهَا</w:t>
      </w:r>
      <w:r>
        <w:rPr>
          <w:rStyle w:val="FootnoteAnchor"/>
          <w:rtl w:val="true"/>
        </w:rPr>
        <w:footnoteReference w:id="504"/>
      </w:r>
      <w:r>
        <w:rPr>
          <w:rFonts w:ascii="Amiri" w:hAnsi="Amiri" w:eastAsia="Amiri" w:cs="Amiri"/>
          <w:color w:val="111111"/>
          <w:sz w:val="28"/>
          <w:sz w:val="28"/>
          <w:szCs w:val="28"/>
          <w:rtl w:val="true"/>
          <w:lang w:bidi="ar-SA"/>
        </w:rPr>
        <w:t xml:space="preserve">، ثمّ تعلّم ولده منه </w:t>
      </w:r>
      <w:bookmarkStart w:id="553" w:name="pg16224_170558"/>
    </w:p>
    <w:p>
      <w:pPr>
        <w:pStyle w:val="BookText"/>
        <w:rPr/>
      </w:pPr>
      <w:bookmarkEnd w:id="553"/>
      <w:r>
        <w:rPr>
          <w:rFonts w:ascii="Amiri" w:hAnsi="Amiri" w:eastAsia="Amiri" w:cs="Amiri"/>
          <w:color w:val="111111"/>
          <w:sz w:val="28"/>
          <w:sz w:val="28"/>
          <w:szCs w:val="28"/>
          <w:rtl w:val="true"/>
          <w:lang w:bidi="ar-SA"/>
        </w:rPr>
        <w:t>بتعليمه إيّاهم، فتكلّم كلّ طائفة منهم بلغة اختاروها من بين اللغات، ثمّ أرسل الله تعالى رسولًا بلسان القوم المرسل إليهم، فلا يكون إرسال الرسول إلى قوم بلسانهم منافيًا للتوقيف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المنافي للتوقيف على فرض التسليم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على عمومه بحيث يشمل آدم وغيره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ممكن، والممكن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حمله 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أنّه يمكن منع التنافي على تقدير العموم أيضًا، أمّا بالنسبة إلى غير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وأمّا بالنسبة إليه فبأن يكون الله تعالى أوقفه على اللغات كلّها، ثمّ خلق الله تعالى حوّا وأولادهما وهم يتكلّمون بتلك اللغات، ثمّ صار رسولًا إليهم، فعلى هذا تكون الآية محمولة على ظاهرها، ومع ذلك لا يثبت منه اصطلاحيّة اللغات ولا بطلان توقيفيّتها</w:t>
      </w:r>
      <w:r>
        <w:rPr>
          <w:rFonts w:eastAsia="IRNazanin" w:cs="IRNazanin"/>
          <w:color w:val="111111"/>
          <w:sz w:val="28"/>
          <w:szCs w:val="28"/>
          <w:rtl w:val="true"/>
          <w:lang w:bidi="fa-IR"/>
        </w:rPr>
        <w:t>.</w:t>
      </w:r>
    </w:p>
    <w:p>
      <w:pPr>
        <w:pStyle w:val="Heading6"/>
        <w:numPr>
          <w:ilvl w:val="5"/>
          <w:numId w:val="1"/>
        </w:numPr>
        <w:rPr/>
      </w:pPr>
      <w:bookmarkStart w:id="554" w:name="__RefHeading___Toc3734698_1280447820"/>
      <w:bookmarkStart w:id="555" w:name="_Toc215"/>
      <w:bookmarkEnd w:id="554"/>
      <w:r>
        <w:rPr>
          <w:rtl w:val="true"/>
        </w:rPr>
        <w:t>الدليل الثاني</w:t>
      </w:r>
      <w:bookmarkEnd w:id="555"/>
    </w:p>
    <w:p>
      <w:pPr>
        <w:pStyle w:val="Heading6"/>
        <w:numPr>
          <w:ilvl w:val="5"/>
          <w:numId w:val="1"/>
        </w:numPr>
        <w:rPr/>
      </w:pPr>
      <w:bookmarkStart w:id="556" w:name="__RefHeading___Toc3734700_1280447820"/>
      <w:bookmarkStart w:id="557" w:name="_Toc216"/>
      <w:bookmarkEnd w:id="556"/>
      <w:r>
        <w:rPr>
          <w:rtl w:val="true"/>
        </w:rPr>
        <w:t>اشارة</w:t>
      </w:r>
      <w:bookmarkEnd w:id="557"/>
    </w:p>
    <w:p>
      <w:pPr>
        <w:pStyle w:val="BookText"/>
        <w:rPr/>
      </w:pPr>
      <w:r>
        <w:rPr>
          <w:rFonts w:ascii="Amiri" w:hAnsi="Amiri" w:eastAsia="Amiri" w:cs="Amiri"/>
          <w:color w:val="111111"/>
          <w:sz w:val="28"/>
          <w:sz w:val="28"/>
          <w:szCs w:val="28"/>
          <w:rtl w:val="true"/>
          <w:lang w:bidi="ar-SA"/>
        </w:rPr>
        <w:t xml:space="preserve">وأمّا الثاني فهو ما نقله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Style w:val="FootnoteAnchor"/>
          <w:rtl w:val="true"/>
        </w:rPr>
        <w:footnoteReference w:id="505"/>
      </w:r>
      <w:r>
        <w:rPr>
          <w:rFonts w:ascii="Amiri" w:hAnsi="Amiri" w:eastAsia="Amiri" w:cs="Amiri"/>
          <w:color w:val="111111"/>
          <w:sz w:val="28"/>
          <w:sz w:val="28"/>
          <w:szCs w:val="28"/>
          <w:rtl w:val="true"/>
          <w:lang w:bidi="ar-SA"/>
        </w:rPr>
        <w:t>من أنّ اللغات لو كانت توقيفيّة لكان إيقافه إلى المخلوق إمّا بخلق العلم الضروريّ بأنّه تعالى وضع تلك الألفاظ لمعانيها، أو لا؛ وكلاهما فاسد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فلأنّ خلق ذلك العلم الضروريّ إمّا في العاقل أو غيره، والأوّل باطل لاستلزامه أن يكون العلم به تعالى ضروريًّا</w:t>
      </w:r>
      <w:r>
        <w:rPr>
          <w:rFonts w:eastAsia="Amiri" w:cs="Amiri" w:ascii="Amiri" w:hAnsi="Amiri"/>
          <w:color w:val="111111"/>
          <w:sz w:val="28"/>
          <w:szCs w:val="28"/>
          <w:rtl w:val="true"/>
          <w:lang w:bidi="ar-SA"/>
        </w:rPr>
        <w:t xml:space="preserve">. </w:t>
      </w:r>
      <w:bookmarkStart w:id="558" w:name="pg16224_170559"/>
    </w:p>
    <w:p>
      <w:pPr>
        <w:pStyle w:val="BookText"/>
        <w:rPr/>
      </w:pPr>
      <w:bookmarkEnd w:id="558"/>
      <w:r>
        <w:rPr>
          <w:rFonts w:ascii="Amiri" w:hAnsi="Amiri" w:eastAsia="Amiri" w:cs="Amiri"/>
          <w:color w:val="111111"/>
          <w:sz w:val="28"/>
          <w:sz w:val="28"/>
          <w:szCs w:val="28"/>
          <w:rtl w:val="true"/>
          <w:lang w:bidi="ar-SA"/>
        </w:rPr>
        <w:t>أمّا الملازمة فلأنّ وضعه تعالى اللغات وصف له والعلم بالصفة مسبوق بالعلم بالموصوف وفرع له، فالعلم الضروريّ بالوصف يستلزم أن يكون العلم بالموصوف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التالي فلاستلزامه أن لا تكون المعرفة مكلّفًا بها، وبطلانه ممّا يشهد به العيان وضرورته كفت عن إقامة البرهان؛ وكذلك الثاني لامتناع أن يخلق في غير العاقل علمًا ضروريًّا بالألفاظ ومناسبتها وتراكيبها العجيبة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فلافتقار السامع حينئذٍ في كون ما سمعه موضوعًا بإزاء معناه إلى طريق وننقل الكلام إليه، فإمّا أن يدور، أو يتسلسل، وكلاهما فاسد</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3734702_1280447820"/>
      <w:bookmarkStart w:id="560" w:name="_Toc217"/>
      <w:bookmarkEnd w:id="559"/>
      <w:r>
        <w:rPr>
          <w:rtl w:val="true"/>
        </w:rPr>
        <w:t>الجواب عن الدليل الثاني</w:t>
      </w:r>
      <w:bookmarkEnd w:id="560"/>
    </w:p>
    <w:p>
      <w:pPr>
        <w:pStyle w:val="BookText"/>
        <w:rPr/>
      </w:pPr>
      <w:r>
        <w:rPr>
          <w:rFonts w:ascii="Amiri" w:hAnsi="Amiri" w:eastAsia="Amiri" w:cs="Amiri"/>
          <w:color w:val="111111"/>
          <w:sz w:val="28"/>
          <w:sz w:val="28"/>
          <w:szCs w:val="28"/>
          <w:rtl w:val="true"/>
          <w:lang w:bidi="ar-SA"/>
        </w:rPr>
        <w:t>ولعمري إنّ هذا الاستدلال أوهن من بيت العنكبوت وإنّه لأوهن البيوت؛ لأنّا نختار أنّ إيقافه تعالى بخلقٍ علمٌ ضروريٌّ في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يستلزم العلم الضروريّ بالله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أريد استلزامه العلم الضروريّ بحقيقة الله تعالى وكنه ذاته الأقدس، ففساده ممّا لا يفتقر إلى البيان ووضوحه يعوق أن ينعطف إليه صوب العنان؛ وإن أريد استلزامه العلم الضروريّ بوجوده تعالى وتحقّقه سبحانه، فهو مسلّم، وما ذكر في إبطاله مغالطة منشؤها الخبط في الحيثيّات والخلط في اختلاف الجهات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أردت أن يظهر لك حقيقة الحال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نقول بناءً على التوقيف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اللغات بإيقافه سبحانه، ولو سلّم أنّ علمه بها بخلق علم ضروريّ فيه </w:t>
      </w:r>
    </w:p>
    <w:p>
      <w:pPr>
        <w:pStyle w:val="BookText"/>
        <w:rPr/>
      </w:pPr>
      <w:r>
        <w:rPr>
          <w:rFonts w:ascii="IRNazanin" w:hAnsi="IRNazanin" w:eastAsia="IRNazanin"/>
          <w:color w:val="111111"/>
          <w:sz w:val="28"/>
          <w:sz w:val="28"/>
          <w:szCs w:val="28"/>
          <w:rtl w:val="true"/>
          <w:lang w:bidi="fa-IR"/>
        </w:rPr>
        <w:t xml:space="preserve">بأنّ واضعها الله سبحانه واستلزامه العلم الضروريّ بوجوده سبحانه، فغاية ما يلزم من ذلك العلم الضروريّ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بوجوده تعالى، وهو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يستلزم انتفاء التكليف بالمعرفة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إمّا أن يكون المراد استلزامه انتفاء التكليف بالنسبة إلى غير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بالنسبة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ضروريّ البطلان بديهيّ الفساد؛ ضرورة أنّ العلم الضروريّ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بوجوده سبحانه لا يستلزم أن لا يتوجّه الأمر بالمعرفة إلى غيره ممّن لا يحصل لهم معرفة أصلًا كما لا يخفى؛ نعم، إنّ ذلك إنّما يتوجّه إذا قيل بخلق العلم الضروريّ في كلّ أحد، لكنّه ممّا لا يقول به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 لا يخلو إمّا أن يكون المراد انتفاء التكليف بالنسبة إلى غير الوجه المعلوم، فكذلك أيضًا؛ لوضوح أنّ العلم على الوجه المعلوم إنّما يكون مستلزمًا لانتفاء التكليف بالنسبة إلى ذلك الوجه، لا بالنسبة إلى غيره، أو انتفاؤه بالنسبة إلى ذلك الوجه، فهو مسلّم حذرًا عن تحصيل الحاصل، ولا مفسدة فيه أصلًا ولا خصوصيّة له بالنسبة إلى هذا المقام؛ لتحقّقه في كلّ ما كان على هذا المنوال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انتفاء التكليف بالمعرفة بالنسبة إلى 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لازم، واللازم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انتفاؤه بالنسبة إلى من خلق فيه العلم 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محذور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يمكن منع الملازمة مطلقًا؛ لأنّه بناءً على أنّ اللازم على تقدير كون الإيقاف بخلق علم ضروريّ؛ ضروريّة كون هذا المعنى معنى لهذا اللفظ واللفظ موضوعًا له، ويمكن حصول ذلك مع عدم الالتفات إلى الواضع، فضلًا عن العلم به، فضلًا عن كونه ضروريًّا كما لا يخفى؛ ثمّ نختار أنّ إيقافه تعالى بغير </w:t>
      </w:r>
      <w:bookmarkStart w:id="561" w:name="pg16224_170561"/>
    </w:p>
    <w:p>
      <w:pPr>
        <w:pStyle w:val="BookText"/>
        <w:rPr/>
      </w:pPr>
      <w:bookmarkEnd w:id="561"/>
      <w:r>
        <w:rPr>
          <w:rFonts w:ascii="Amiri" w:hAnsi="Amiri" w:eastAsia="Amiri" w:cs="Amiri"/>
          <w:color w:val="111111"/>
          <w:sz w:val="28"/>
          <w:sz w:val="28"/>
          <w:szCs w:val="28"/>
          <w:rtl w:val="true"/>
          <w:lang w:bidi="ar-SA"/>
        </w:rPr>
        <w:t>علم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يفتقر السامع حينئذٍ في كون ما سمعه موضوعًا بإزاء معناه إلى طريق وننقل الكلام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له بالتوقيف؛ لوروده على القول بالاصطلاح أيضًا كما علمت ممّا أسلفناه؛ والجواب عنها واحد، وهو ما تقدّم من إمكان حصول التعريف بالقرائن والإشارة كما في الأطفال</w:t>
      </w:r>
      <w:r>
        <w:rPr>
          <w:rFonts w:eastAsia="Amiri" w:cs="Amiri" w:ascii="Amiri" w:hAnsi="Amiri"/>
          <w:color w:val="111111"/>
          <w:sz w:val="28"/>
          <w:szCs w:val="28"/>
          <w:rtl w:val="true"/>
          <w:lang w:bidi="ar-SA"/>
        </w:rPr>
        <w:t>.</w:t>
      </w:r>
    </w:p>
    <w:p>
      <w:pPr>
        <w:pStyle w:val="Heading6"/>
        <w:numPr>
          <w:ilvl w:val="5"/>
          <w:numId w:val="1"/>
        </w:numPr>
        <w:rPr/>
      </w:pPr>
      <w:bookmarkStart w:id="562" w:name="__RefHeading___Toc3734704_1280447820"/>
      <w:bookmarkStart w:id="563" w:name="_Toc218"/>
      <w:bookmarkEnd w:id="562"/>
      <w:r>
        <w:rPr>
          <w:rtl w:val="true"/>
        </w:rPr>
        <w:t>مستند القائلين بالتفصيل</w:t>
      </w:r>
      <w:bookmarkEnd w:id="563"/>
    </w:p>
    <w:p>
      <w:pPr>
        <w:pStyle w:val="BookText"/>
        <w:rPr/>
      </w:pPr>
      <w:r>
        <w:rPr>
          <w:rFonts w:ascii="Amiri" w:hAnsi="Amiri" w:eastAsia="Amiri" w:cs="Amiri"/>
          <w:color w:val="111111"/>
          <w:sz w:val="28"/>
          <w:sz w:val="28"/>
          <w:szCs w:val="28"/>
          <w:rtl w:val="true"/>
          <w:lang w:bidi="ar-SA"/>
        </w:rPr>
        <w:t>والمستند للقول بالتفصيل على الوجه الأوّل من كون الضروريّ المفتقر إليه في التعريف توقيفيًّا والباقي اصطلاحيًّا، أمّا بالنسبة إلى ذلك المقدار، فهو أنّه لو لم يكن ذلك توقيفيًّا، بل يكون الجميع اصطلاحيًّا، يلزم الدور؛ إذ معرفة الباقي متوقّفة على معرفة ذلك المقدار، ومعرفته على تقدير اصطلاحيّته متوقّفة على الباقي، فيلزم توقّف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الباقي، فلعلّه الدليل</w:t>
      </w:r>
      <w:r>
        <w:rPr>
          <w:rStyle w:val="FootnoteAnchor"/>
          <w:rtl w:val="true"/>
        </w:rPr>
        <w:footnoteReference w:id="506"/>
      </w:r>
      <w:r>
        <w:rPr>
          <w:rFonts w:ascii="Amiri" w:hAnsi="Amiri" w:eastAsia="Amiri" w:cs="Amiri"/>
          <w:color w:val="111111"/>
          <w:sz w:val="28"/>
          <w:sz w:val="28"/>
          <w:szCs w:val="28"/>
          <w:rtl w:val="true"/>
          <w:lang w:bidi="ar-SA"/>
        </w:rPr>
        <w:t>الأوّل للقول الثاني،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رَسُولٍ إِلَّا بِلِسَانِ قَوْمِهِ</w:t>
      </w:r>
      <w:r>
        <w:rPr>
          <w:rStyle w:val="FootnoteAnchor"/>
          <w:rtl w:val="true"/>
        </w:rPr>
        <w:footnoteReference w:id="507"/>
      </w:r>
      <w:r>
        <w:rPr>
          <w:rFonts w:ascii="Amiri" w:hAnsi="Amiri" w:eastAsia="Amiri" w:cs="Amiri"/>
          <w:color w:val="111111"/>
          <w:sz w:val="28"/>
          <w:sz w:val="28"/>
          <w:szCs w:val="28"/>
          <w:rtl w:val="true"/>
          <w:lang w:bidi="ar-SA"/>
        </w:rPr>
        <w:t>، وهو وإن كان أعمّ يشمل الجميع، لكن استثنى ذلك المقدار لما مرّ في بيانه، لكنّك قد عرفت ممّا ذكر ضعف الوجهين، فلا حاجة إلى الإعادة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الوجه الثاني من كون المفتقر إليه في التعريف اصطلاحيًّا والباقي توقيفيًّا، </w:t>
      </w:r>
      <w:bookmarkStart w:id="564" w:name="pg16224_170562"/>
    </w:p>
    <w:p>
      <w:pPr>
        <w:pStyle w:val="BookText"/>
        <w:rPr/>
      </w:pPr>
      <w:bookmarkEnd w:id="564"/>
      <w:r>
        <w:rPr>
          <w:rFonts w:ascii="Amiri" w:hAnsi="Amiri" w:eastAsia="Amiri" w:cs="Amiri"/>
          <w:color w:val="111111"/>
          <w:sz w:val="28"/>
          <w:sz w:val="28"/>
          <w:szCs w:val="28"/>
          <w:rtl w:val="true"/>
          <w:lang w:bidi="ar-SA"/>
        </w:rPr>
        <w:t>أمّا بالنسبة إلى ذلك المقدار فهو أنّه لو لم يكن ذلك المقدار اصطلاحيًّا، بل يكون توقيفيًّا أيضًا لزم الدور أو التسلسل، إذ العلم بالجميع حينئذٍ يكون بالوحي، والعلم بذلك الوحي لكونه بطريق الألفاظ يفتقر إلى وحي آخر، وهكذا إمّا أن يعود أو يذهب إلى غير النهاية، فيدور أو 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توقيفيّة الباقي فلما ذكر في القول الأوّل؛ وهو وإن كان شاملًا للجميع، لكنّه استثني ذلك المقدار لما مرّ في بيانه، وحيث قد عرفت ممّا قدّمنا الجواب عن وجه الإستثناء، ظهر لك ضعفه، فلا بدّ من القول بتوقيفيّة الجميع، وهو القول الأوّل</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5" w:name="__RefHeading___Toc3734706_1280447820"/>
      <w:bookmarkStart w:id="566" w:name="_Toc219"/>
      <w:bookmarkEnd w:id="565"/>
      <w:r>
        <w:rPr>
          <w:rtl w:val="true"/>
        </w:rPr>
        <w:t>مستند القائلين بالتوقّف</w:t>
      </w:r>
      <w:bookmarkEnd w:id="566"/>
    </w:p>
    <w:p>
      <w:pPr>
        <w:pStyle w:val="BookText"/>
        <w:rPr/>
      </w:pPr>
      <w:r>
        <w:rPr>
          <w:rFonts w:ascii="Amiri" w:hAnsi="Amiri" w:eastAsia="Amiri" w:cs="Amiri"/>
          <w:color w:val="111111"/>
          <w:sz w:val="28"/>
          <w:sz w:val="28"/>
          <w:szCs w:val="28"/>
          <w:rtl w:val="true"/>
          <w:lang w:bidi="ar-SA"/>
        </w:rPr>
        <w:t>وأمّا المستند للقول بالتوقّف، فقد ظهر ممّا تقدّم في تقريره؛ وهو أنّ المذكور في بيان الأقوال الثلاثة غير مفيد للعلم مع إمكان الجميع عقلًا، فيجب التوقّف في ذلك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العلم في هذا المقام إمّا معناه الظاهر، وهو المانع عن</w:t>
      </w:r>
      <w:r>
        <w:rPr>
          <w:rStyle w:val="FootnoteAnchor"/>
          <w:rtl w:val="true"/>
        </w:rPr>
        <w:footnoteReference w:id="509"/>
      </w:r>
      <w:r>
        <w:rPr>
          <w:rFonts w:ascii="Amiri" w:hAnsi="Amiri" w:eastAsia="Amiri" w:cs="Amiri"/>
          <w:color w:val="111111"/>
          <w:sz w:val="28"/>
          <w:sz w:val="28"/>
          <w:szCs w:val="28"/>
          <w:rtl w:val="true"/>
          <w:lang w:bidi="ar-SA"/>
        </w:rPr>
        <w:t>النقيض، فعدم استفادته من الأدلّة المذكورة وإن كان مسلّمًا لما تقدّم من قيام الاحتمالات المتكثّرة فيها، لكنّ الافتقار</w:t>
      </w:r>
      <w:r>
        <w:rPr>
          <w:rStyle w:val="FootnoteAnchor"/>
          <w:rtl w:val="true"/>
        </w:rPr>
        <w:footnoteReference w:id="510"/>
      </w:r>
      <w:r>
        <w:rPr>
          <w:rFonts w:ascii="Amiri" w:hAnsi="Amiri" w:eastAsia="Amiri" w:cs="Amiri"/>
          <w:color w:val="111111"/>
          <w:sz w:val="28"/>
          <w:sz w:val="28"/>
          <w:szCs w:val="28"/>
          <w:rtl w:val="true"/>
          <w:lang w:bidi="ar-SA"/>
        </w:rPr>
        <w:t xml:space="preserve">إليه في أمثال المقام ممنوع، وكما أنّه </w:t>
      </w:r>
      <w:bookmarkStart w:id="567" w:name="pg16224_170563"/>
    </w:p>
    <w:p>
      <w:pPr>
        <w:pStyle w:val="BookText"/>
        <w:rPr/>
      </w:pPr>
      <w:bookmarkEnd w:id="567"/>
      <w:r>
        <w:rPr>
          <w:rFonts w:ascii="Amiri" w:hAnsi="Amiri" w:eastAsia="Amiri" w:cs="Amiri"/>
          <w:color w:val="111111"/>
          <w:sz w:val="28"/>
          <w:sz w:val="28"/>
          <w:szCs w:val="28"/>
          <w:rtl w:val="true"/>
          <w:lang w:bidi="ar-SA"/>
        </w:rPr>
        <w:t>يكتفى في وضع اللفظ لمعنى بالظنّ ولا يقدح في ذلك قيام الاحتمال وغيره، فكذلك في الواضع، والفرق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معناه الأعمّ الشامل للظنّ أيضًا، فعدم استفادته ممّا ذكر في غير القول الأوّل وإن كان مسلّمًا، لكنّه لما ظهر مشروحًا لا يوجب عدم المصير إلى القول الأوّل، إذ ما ذكر في بيانه أوّلًا يستفاد منه الظنّ بصحّته، وقد علم وجهه فيما سلف، ويؤيّد ذلك بعد اهتداء الناس إلى هذه الاختراعات الغريبة واللغات المختلفة المتكثّرة</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3734708_1280447820"/>
      <w:bookmarkStart w:id="569" w:name="_Toc220"/>
      <w:bookmarkEnd w:id="568"/>
      <w:r>
        <w:rPr>
          <w:rtl w:val="true"/>
        </w:rPr>
        <w:t>في أنّ استناد الوضع إلى الله لا ينافي القول بعدم ثبوت الحقيقة الشرعيّة</w:t>
      </w:r>
      <w:bookmarkEnd w:id="569"/>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في اللغات لو كان مستندًا إلى الله تعالى؛ لكانت جميعها حقائق شرعيّة، فلا معنى للنزاع في ثبوتها وعدمها في جملة من الألفاظ العربيّة، وكذا تقسيم الحقائق إلى الأقسام الثلاثة الّتي هي اللغويّة والشرعيّة والعرفيّة، للزوم تقسيمها حينئذٍ إلى الشرعيّة والعرفيّة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أن يكون النزاع في ثبوت الحقيقة الشرعيّة وعدمه مبنيًّا على النزاع في هذه المسألة بأن يكون المثبتون للحقيقة الشرعيّة هم الّذين ذهبوا إلى أنّ </w:t>
      </w:r>
    </w:p>
    <w:p>
      <w:pPr>
        <w:pStyle w:val="BookText"/>
        <w:rPr/>
      </w:pPr>
      <w:r>
        <w:rPr>
          <w:rFonts w:ascii="Amiri" w:hAnsi="Amiri" w:eastAsia="Amiri" w:cs="Amiri"/>
          <w:color w:val="111111"/>
          <w:sz w:val="28"/>
          <w:sz w:val="28"/>
          <w:szCs w:val="28"/>
          <w:rtl w:val="true"/>
          <w:lang w:bidi="ar-SA"/>
        </w:rPr>
        <w:t>واضع اللغات هو الله تعالى، والنافون لها هم الّذين ذهبوا إلى خلافه، وأنّ تقسيم الحقائق إلى الأقسام المذكورة أيضًا مبنيٌّ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فاسد،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صحّته في نفسه؛ إذ من النافين متوقّفٌ في المسألة، وكذا بعض المثبتين، بل اختار بعضٌ منهم اصطلاحيّة اللغات، فلو كان الأمر كما ذكر،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للتوقّف لكلّ من النافي والمثبت في هذه المسألة؛ لتعيّن المصير إلى الاصطلاحيّة للأوّل والتوقيفيّة للثاني، ولا يمكن للمثبت القول باصطلاحيّة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النزاع في مسألة الحقيقة الشرعيّة إنّما هو في جملة من الألفاظ العربيّة، وهذه المسألة إنّما هي في جميع اللغات، فلو كان النزاع في الحقيقة الشرعيّة مبنيًّا على هذا النزاع، لزم القول بثبوت الحقيقة الشرعيّة لأرباب التوقيف في جميع الألفاظ العربيّة، بل في جميع اللغات، مع أنّه لم يتفوّه به أحد</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أنّ تقسيم الحقائق إلى الأقسام الثلاثة ممّا اتّفقت عليه الآراء، ولا أحد خالف في ذلك، فلو كان الأمر كما ذكر، لا يكون عند كلّ طائفة من القائلين بالتوقيف والاصطلاح إلّا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الشرعيّة والعرفيّة عند القائلين بالتوقيف، واللغويّة والعرفيّة عند القائلين بالاصطلاح، وفساده ممّا لا يكاد يلتبس على من له أدنى اطّلاع بمباحث الفنّ</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فيما أسلفناه في الحقيقة الشرعيّة أنّ الشارع الّذي يستند إليه الوضع في الحقيقة الشرعيّة في اصطلاحهم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يستند إليه الوضع في هذه المسألة بناءً على التوقيف هو الله تعالى، فلا ارتباط لإحدى المسألتين بالأخرى، فلا معنى لجعل إحداهما مبنى الأخرى</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تقدير أن يكون الوضع في الحقيقة الشرعيّة مستندًا إلى الله تعالى ويكون هو المراد من الشارع في تلك المسألة أيضًا، يمكن الجواب بأنّ الحقيقة الشرعيّة في الاصطلاح عبارة عن الألفاظ الخاصّة الّتي نقلها الشارع الحقيقيّ عن معانيها الأصليّة إلى المعاني المعلومة، فعلى هذا لا يلزم أن تكون جميع اللغات حقائق شرعيّة بالمعنى المذكور وإن كان الوضع فيها مستندًا إلى الله تعالى، فتكون الحقائق اللغويّة في الاصطلاح الألفاظ المستعملة في معانيها الابتدائيّة مطلقًا ولو كان واضعها الله سبحانه</w:t>
      </w:r>
      <w:r>
        <w:rPr>
          <w:rFonts w:eastAsia="Amiri" w:cs="Amiri" w:ascii="Amiri" w:hAnsi="Amiri"/>
          <w:color w:val="111111"/>
          <w:sz w:val="28"/>
          <w:szCs w:val="28"/>
          <w:rtl w:val="true"/>
          <w:lang w:bidi="ar-SA"/>
        </w:rPr>
        <w:t xml:space="preserve">. </w:t>
      </w:r>
      <w:bookmarkStart w:id="570" w:name="pg16224_170566"/>
    </w:p>
    <w:p>
      <w:pPr>
        <w:pStyle w:val="Heading6"/>
        <w:numPr>
          <w:ilvl w:val="5"/>
          <w:numId w:val="1"/>
        </w:numPr>
        <w:rPr/>
      </w:pPr>
      <w:bookmarkStart w:id="571" w:name="__RefHeading___Toc3734710_1280447820"/>
      <w:bookmarkStart w:id="572" w:name="_Toc221"/>
      <w:bookmarkEnd w:id="570"/>
      <w:bookmarkEnd w:id="571"/>
      <w:r>
        <w:rPr>
          <w:rtl w:val="true"/>
        </w:rPr>
        <w:t>ذكر كلام لإفضاح مقال</w:t>
      </w:r>
      <w:bookmarkEnd w:id="572"/>
    </w:p>
    <w:p>
      <w:pPr>
        <w:pStyle w:val="BookText"/>
        <w:rPr/>
      </w:pPr>
      <w:r>
        <w:rPr>
          <w:rFonts w:ascii="Amiri" w:hAnsi="Amiri" w:eastAsia="Amiri" w:cs="Amiri"/>
          <w:color w:val="111111"/>
          <w:sz w:val="28"/>
          <w:sz w:val="28"/>
          <w:szCs w:val="28"/>
          <w:rtl w:val="true"/>
          <w:lang w:bidi="ar-SA"/>
        </w:rPr>
        <w:t>ذكر كلام لإفضاح مقال</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ومن العجائب ما صدر من بعض في هذا المقام من تفريعه على</w:t>
      </w:r>
      <w:r>
        <w:rPr>
          <w:rStyle w:val="FootnoteAnchor"/>
          <w:rtl w:val="true"/>
        </w:rPr>
        <w:footnoteReference w:id="516"/>
      </w:r>
      <w:r>
        <w:rPr>
          <w:rFonts w:ascii="Amiri" w:hAnsi="Amiri" w:eastAsia="Amiri" w:cs="Amiri"/>
          <w:color w:val="111111"/>
          <w:sz w:val="28"/>
          <w:sz w:val="28"/>
          <w:szCs w:val="28"/>
          <w:rtl w:val="true"/>
          <w:lang w:bidi="ar-SA"/>
        </w:rPr>
        <w:t>هذه المسألة المسألة المعروفة بمسألة مهر السرّ والعلانية؛ وهي ما إذا تزوّج رجل امرأة بألف درهم مثلًا واصطلحا على تسمية الألف بالألفين،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الواجب ألف، وهو ما يقتضيه الاصطلاح اللغويّ، أو ألفان نظرًا إلى الوضع الحادث؟ فيه وجهان، مبنيّان</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لا يخفى،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التفريع على فرض صحّته على عكس ما ذكره، فينبغي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الواجب ألفان؛ نظرًا إلى الوضع اللغويّ، أو ألف نظرًا إلى الوضع الحادث؟ كما لا يخفى على المتأمّل؛ ولعلّه لهذا عدل بعضهم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واصطلحا على تسمية</w:t>
      </w:r>
      <w:r>
        <w:rPr>
          <w:rStyle w:val="FootnoteAnchor"/>
          <w:rtl w:val="true"/>
        </w:rPr>
        <w:footnoteReference w:id="518"/>
      </w:r>
      <w:r>
        <w:rPr>
          <w:rFonts w:ascii="Amiri" w:hAnsi="Amiri" w:eastAsia="Amiri" w:cs="Amiri"/>
          <w:color w:val="111111"/>
          <w:sz w:val="28"/>
          <w:sz w:val="28"/>
          <w:szCs w:val="28"/>
          <w:rtl w:val="true"/>
          <w:lang w:bidi="ar-SA"/>
        </w:rPr>
        <w:t>الألفين بالألف</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فبناءً على التوقيف يلزم الألف ولا مدخليّة لاصطلاح المتعاقدين في ذلك، وعلى القول بالاصطلاح تصير المسألة خلافيّة، بناءً على أنّ المناط هل الاصطلاح </w:t>
      </w:r>
      <w:bookmarkStart w:id="573" w:name="pg16224_170567"/>
    </w:p>
    <w:p>
      <w:pPr>
        <w:pStyle w:val="BookText"/>
        <w:rPr/>
      </w:pPr>
      <w:bookmarkEnd w:id="573"/>
      <w:r>
        <w:rPr>
          <w:rFonts w:ascii="Amiri" w:hAnsi="Amiri" w:eastAsia="Amiri" w:cs="Amiri"/>
          <w:color w:val="111111"/>
          <w:sz w:val="28"/>
          <w:sz w:val="28"/>
          <w:szCs w:val="28"/>
          <w:rtl w:val="true"/>
          <w:lang w:bidi="ar-SA"/>
        </w:rPr>
        <w:t>اللغويّ السابق فيلزم الألف أيضًا، أو الاصطلاح اللاحق فيلزم الألفان؟</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أنّ النزاع في انّ المعتبر في الألفاظ الصادرة من أهل اصطلاح خاصّ هل المعاني اللغويّة أو الاصطلاحيّة؟ أعمّ من أن تكون اللغات توقيفيّة أو اصطلاحيّة؛ إذ على التقديرين تكون الألفاظ حقائق لغويّة كما عرفت، والنزاع في أنّ المعتبر المعاني اللغويّة أو الاصطلاحيّة، فلا وجه لهذا التفريع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النزاع في المسألة إنّما هو عند عدم معلوميّة قصد المتكلّم من أهل الاصطلاح، فهناك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المحمل في كلامه المعنى اللغويّ أو الاصطلاحيّ؟ وأمّا عند المعلوميّة، فلا معنى للنزاع أصلًا؛ لوضوح أنّه بعد معلوميّة قصده ومخالفته للوضع</w:t>
      </w:r>
      <w:r>
        <w:rPr>
          <w:rStyle w:val="FootnoteAnchor"/>
          <w:rtl w:val="true"/>
        </w:rPr>
        <w:footnoteReference w:id="520"/>
      </w:r>
      <w:r>
        <w:rPr>
          <w:rFonts w:ascii="Amiri" w:hAnsi="Amiri" w:eastAsia="Amiri" w:cs="Amiri"/>
          <w:color w:val="111111"/>
          <w:sz w:val="28"/>
          <w:sz w:val="28"/>
          <w:szCs w:val="28"/>
          <w:rtl w:val="true"/>
          <w:lang w:bidi="ar-SA"/>
        </w:rPr>
        <w:t>اللغويّ كيف يمكن احتمال حمله على المعنى اللغويّ الّذي يقطع بعدم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إذ المفروض إرادة المتعاقدين الألف من الألفين وتسميته به</w:t>
      </w:r>
      <w:r>
        <w:rPr>
          <w:rStyle w:val="FootnoteAnchor"/>
          <w:rtl w:val="true"/>
        </w:rPr>
        <w:footnoteReference w:id="521"/>
      </w:r>
      <w:r>
        <w:rPr>
          <w:rFonts w:ascii="Amiri" w:hAnsi="Amiri" w:eastAsia="Amiri" w:cs="Amiri"/>
          <w:color w:val="111111"/>
          <w:sz w:val="28"/>
          <w:sz w:val="28"/>
          <w:szCs w:val="28"/>
          <w:rtl w:val="true"/>
          <w:lang w:bidi="ar-SA"/>
        </w:rPr>
        <w:t>، فلا وجه للنزاع، بل ينبغي الحكم بتعيّن الألف؛ لوضوح أنّ العقود تابعة للقصود</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3734712_1280447820"/>
      <w:bookmarkStart w:id="575" w:name="_Toc222"/>
      <w:bookmarkEnd w:id="574"/>
      <w:r>
        <w:rPr>
          <w:rtl w:val="true"/>
        </w:rPr>
        <w:t>رأي المؤلّف في المسألة</w:t>
      </w:r>
      <w:bookmarkEnd w:id="57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إذا أحطت خبرًا بما ذكرناه تعلم أنّه لا وجه لهذا التفريع، بل الحقّ أنّ المسألة من المسائل العلميّة الّتي لا يترتّب عليها ثمرة مهمّة في شيء من الفروع </w:t>
      </w:r>
    </w:p>
    <w:p>
      <w:pPr>
        <w:pStyle w:val="BookText"/>
        <w:rPr/>
      </w:pPr>
      <w:r>
        <w:rPr>
          <w:rFonts w:ascii="Amiri" w:hAnsi="Amiri" w:eastAsia="Amiri" w:cs="Amiri"/>
          <w:color w:val="111111"/>
          <w:sz w:val="28"/>
          <w:sz w:val="28"/>
          <w:szCs w:val="28"/>
          <w:rtl w:val="true"/>
          <w:lang w:bidi="ar-SA"/>
        </w:rPr>
        <w:t>والمطالب العلميّة؛ لأنّ اللازم في الألفاظ الّتي ثبتت فيها الحقائق الشرعيّة الحمل على معانيها الشرعيّة دون اللغويّة، سواء كان الوضع في اللغات مستندًا إلى الله تعالى، أو البشر كما يظهر وجهه ممّا سلف،؛ وفي غيرها الحمل على المعاني اللغويّة مطلقًا فيما إذا لم يكن لها معانٍ عرفيّة، ومعها يرجع إلى النزاع المعروف الآتي في تقديم اللغة أو العرف</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فيما إذا كانت لها معانٍ شرعيّة وتعذّرت إرادتها لقيام القرينة؛ ولا يختلف الحال في شيء من ذلك، سواء كان الوضع مستندًا إلى الله تعالى أو البشر، كما لا يخفى على من لاحظ</w:t>
      </w:r>
      <w:r>
        <w:rPr>
          <w:rStyle w:val="FootnoteAnchor"/>
          <w:rtl w:val="true"/>
        </w:rPr>
        <w:footnoteReference w:id="522"/>
      </w:r>
      <w:r>
        <w:rPr>
          <w:rFonts w:ascii="Amiri" w:hAnsi="Amiri" w:eastAsia="Amiri" w:cs="Amiri"/>
          <w:color w:val="111111"/>
          <w:sz w:val="28"/>
          <w:sz w:val="28"/>
          <w:szCs w:val="28"/>
          <w:rtl w:val="true"/>
          <w:lang w:bidi="ar-SA"/>
        </w:rPr>
        <w:t>مباحث الفنّ وتدبّر</w:t>
      </w:r>
      <w:r>
        <w:rPr>
          <w:rFonts w:eastAsia="Amiri" w:cs="Amiri" w:ascii="Amiri" w:hAnsi="Amiri"/>
          <w:color w:val="111111"/>
          <w:sz w:val="28"/>
          <w:szCs w:val="28"/>
          <w:rtl w:val="true"/>
          <w:lang w:bidi="ar-SA"/>
        </w:rPr>
        <w:t xml:space="preserve">. </w:t>
      </w:r>
      <w:bookmarkStart w:id="576" w:name="pg16224_170569"/>
    </w:p>
    <w:p>
      <w:pPr>
        <w:pStyle w:val="Heading3"/>
        <w:numPr>
          <w:ilvl w:val="2"/>
          <w:numId w:val="1"/>
        </w:numPr>
        <w:rPr/>
      </w:pPr>
      <w:bookmarkStart w:id="577" w:name="__RefHeading___Toc3734714_1280447820"/>
      <w:bookmarkStart w:id="578" w:name="_Toc223"/>
      <w:bookmarkEnd w:id="576"/>
      <w:bookmarkEnd w:id="577"/>
      <w:r>
        <w:rPr>
          <w:rtl w:val="true"/>
        </w:rPr>
        <w:t>الفصل الثالث</w:t>
      </w:r>
      <w:r>
        <w:rPr>
          <w:rtl w:val="true"/>
        </w:rPr>
        <w:t xml:space="preserve">: </w:t>
      </w:r>
      <w:r>
        <w:rPr>
          <w:rtl w:val="true"/>
        </w:rPr>
        <w:t>في الحقيقة العرفيّة</w:t>
      </w:r>
      <w:bookmarkEnd w:id="578"/>
    </w:p>
    <w:p>
      <w:pPr>
        <w:pStyle w:val="Heading4"/>
        <w:numPr>
          <w:ilvl w:val="3"/>
          <w:numId w:val="1"/>
        </w:numPr>
        <w:rPr/>
      </w:pPr>
      <w:bookmarkStart w:id="579" w:name="__RefHeading___Toc3734716_1280447820"/>
      <w:bookmarkStart w:id="580" w:name="_Toc224"/>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تحقيق الحال في ذلك يستدعي التكلّم في حدّها، وتقسيمها إلى العامّة والخاصّة</w:t>
      </w:r>
      <w:r>
        <w:rPr>
          <w:rStyle w:val="FootnoteAnchor"/>
          <w:rtl w:val="true"/>
        </w:rPr>
        <w:footnoteReference w:id="523"/>
      </w:r>
      <w:r>
        <w:rPr>
          <w:rFonts w:ascii="Amiri" w:hAnsi="Amiri" w:eastAsia="Amiri" w:cs="Amiri"/>
          <w:color w:val="111111"/>
          <w:sz w:val="28"/>
          <w:sz w:val="28"/>
          <w:szCs w:val="28"/>
          <w:rtl w:val="true"/>
          <w:lang w:bidi="ar-SA"/>
        </w:rPr>
        <w:t>، وبيان الفرق بينها وبين الشرعيّة واللغويّة</w:t>
      </w:r>
      <w:r>
        <w:rPr>
          <w:rStyle w:val="FootnoteAnchor"/>
          <w:rtl w:val="true"/>
        </w:rPr>
        <w:footnoteReference w:id="524"/>
      </w:r>
      <w:r>
        <w:rPr>
          <w:rFonts w:ascii="IRNazanin" w:hAnsi="IRNazanin" w:eastAsia="IRNazanin"/>
          <w:color w:val="111111"/>
          <w:sz w:val="28"/>
          <w:sz w:val="28"/>
          <w:szCs w:val="28"/>
          <w:rtl w:val="true"/>
          <w:lang w:bidi="fa-IR"/>
        </w:rPr>
        <w:t>، وثبوتها، فهنا مباحث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تعريف الحقيقة العرفيّة وبيان الفرق بينها وبين اللغويّة والشرعيّة</w:t>
      </w:r>
    </w:p>
    <w:p>
      <w:pPr>
        <w:pStyle w:val="Heading4"/>
        <w:numPr>
          <w:ilvl w:val="3"/>
          <w:numId w:val="1"/>
        </w:numPr>
        <w:rPr/>
      </w:pPr>
      <w:bookmarkStart w:id="581" w:name="__RefHeading___Toc3734718_1280447820"/>
      <w:bookmarkStart w:id="582" w:name="_Toc225"/>
      <w:bookmarkEnd w:id="581"/>
      <w:r>
        <w:rPr>
          <w:rtl w:val="true"/>
        </w:rPr>
        <w:t>المبحث الأوّل</w:t>
      </w:r>
      <w:r>
        <w:rPr>
          <w:rtl w:val="true"/>
        </w:rPr>
        <w:t xml:space="preserve">: </w:t>
      </w:r>
      <w:r>
        <w:rPr>
          <w:rtl w:val="true"/>
        </w:rPr>
        <w:t>في تحديدها وتعريفها</w:t>
      </w:r>
      <w:bookmarkEnd w:id="582"/>
    </w:p>
    <w:p>
      <w:pPr>
        <w:pStyle w:val="Heading5"/>
        <w:numPr>
          <w:ilvl w:val="4"/>
          <w:numId w:val="1"/>
        </w:numPr>
        <w:rPr/>
      </w:pPr>
      <w:bookmarkStart w:id="583" w:name="__RefHeading___Toc3734720_1280447820"/>
      <w:bookmarkStart w:id="584" w:name="_Toc226"/>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تضاعيف كلماتهم</w:t>
      </w:r>
      <w:r>
        <w:rPr>
          <w:rStyle w:val="FootnoteAnchor"/>
          <w:rtl w:val="true"/>
        </w:rPr>
        <w:footnoteReference w:id="525"/>
      </w:r>
      <w:r>
        <w:rPr>
          <w:rFonts w:ascii="Amiri" w:hAnsi="Amiri" w:eastAsia="Amiri" w:cs="Amiri"/>
          <w:color w:val="111111"/>
          <w:sz w:val="28"/>
          <w:sz w:val="28"/>
          <w:szCs w:val="28"/>
          <w:rtl w:val="true"/>
          <w:lang w:bidi="ar-SA"/>
        </w:rPr>
        <w:t>في ذلك يرجع إلى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هي الّتي استفيد منها المعنى في العرف، سواء بقيت الاستفادة بالفعل، أم لا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اعتبر فيه</w:t>
      </w:r>
      <w:r>
        <w:rPr>
          <w:rStyle w:val="FootnoteAnchor"/>
          <w:rtl w:val="true"/>
        </w:rPr>
        <w:footnoteReference w:id="526"/>
      </w:r>
      <w:r>
        <w:rPr>
          <w:rFonts w:ascii="Amiri" w:hAnsi="Amiri" w:eastAsia="Amiri" w:cs="Amiri"/>
          <w:color w:val="111111"/>
          <w:sz w:val="28"/>
          <w:sz w:val="28"/>
          <w:szCs w:val="28"/>
          <w:rtl w:val="true"/>
          <w:lang w:bidi="ar-SA"/>
        </w:rPr>
        <w:t>الاستفادة الفعليّة، فهي ما يستفاد منه المعنى في العرف بالفعل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اللفظ المستعمل في غير المعنى الأصليّ الابتدائيّ بوضع طارٍ له، بشرط أن لا يكون الواضع فيه الواضع الأوّل ولا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الحال في إظهار المختار من هذه الأقوال يستدعي بيان الفرق بينها ليظهر حقيقة المقال،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بين الأوّل والثاني فعموم مطلقًا؛ لوضوح أنّ كلّما يصدق عليه التعريف الثاني يصدق عليه الأوّل ولا عكس كلّيّة؛ لصدق الأوّل في الموضوعات الطارئة المهجورة، بل الموضوعات الأصليّة المهجورة أيضًا فيما إذا استفيد منها المعنى في العرف ثمّ هجر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بينه وبين الثالث فكذلك، فكلّما يصدق عليه الثالث يصدق عليه الأوّل من غير عكس؛ لصدق الأوّل على الحقيقة اللغويّة، كالماء والنار والبارد والحارّ وغيرها ممّا يكون على هذا المنوال، بخلاف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بين الأخيرين فعموم من وجه؛ لتصادقهما في الموضوعات الطارئة غير المهجورة وتفارق الثاني عن الثالث في الموضوعات الابتدائيّة غير المهجورة، والثالث عنه في الموضوعات الطارئة المهجورة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 ظهر النسبة بين العرفيّة بالتفاسير الثلاثة وبين اللغويّة بأنّ النسبة بينها وبين العرفيّة بالتفسير الأوّل عموم مطلقًا؛ لأنّه كلّما يصدق عليه اللغويّة يصدق عليه العرفيّة بهذا التفسير ولا عكس؛ لصدقه على الموضوعات الطارئة دونها، مع احتمال العموم من وجه؛ لاحتمال أن يكون بعض اللغويّة ممّا لم يستفد منه المعنى في العرف</w:t>
      </w:r>
      <w:r>
        <w:rPr>
          <w:rFonts w:eastAsia="Amiri" w:cs="Amiri" w:ascii="Amiri" w:hAnsi="Amiri"/>
          <w:color w:val="111111"/>
          <w:sz w:val="28"/>
          <w:szCs w:val="28"/>
          <w:rtl w:val="true"/>
          <w:lang w:bidi="ar-SA"/>
        </w:rPr>
        <w:t xml:space="preserve">. </w:t>
      </w:r>
      <w:bookmarkStart w:id="585" w:name="pg16224_170571"/>
    </w:p>
    <w:p>
      <w:pPr>
        <w:pStyle w:val="BookText"/>
        <w:rPr/>
      </w:pPr>
      <w:bookmarkEnd w:id="585"/>
      <w:r>
        <w:rPr>
          <w:rFonts w:ascii="Amiri" w:hAnsi="Amiri" w:eastAsia="Amiri" w:cs="Amiri"/>
          <w:color w:val="111111"/>
          <w:sz w:val="28"/>
          <w:sz w:val="28"/>
          <w:szCs w:val="28"/>
          <w:rtl w:val="true"/>
          <w:lang w:bidi="ar-SA"/>
        </w:rPr>
        <w:t>وبينها وبين العرفيّة بالتفسير الثاني عموم من وجه؛ لتصادقهما في الموضوعات الابتدائيّة الغير المهجورة وتفارق اللغويّة عن العرفيّة بهذا التفسير في الموضوعات الابتدائيّة المهجورة والعرفيّة عن اللغويّة في الموضوعات الطارئة الباقية، وبينهما وبين العرفيّة بالتفسير الثالث تباين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يظهر النسبة بين الشرعيّة والعرفيّة بتلك التفاسير بأن يكون النسبة بينهما وبين العرفيّة بالتفسير الأوّل عمومًا مطلقًا؛ إذ كلّما يصدق عليه الشرعيّة يصدق عليه العرفيّة بهذا التفسير ولا عكس؛ لما عرفت من صدقه على الموضوعات الابتدائيّة والطارئة الّتي يكون الوضع فيها مستندًا إلى غير الشارع، وعدم صدق الشرعيّة عليهما بيّن؛ وهكذا الحال بينها وبين العرفيّة بالتفسير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إن أريد بالعرف المأخوذ في هذين التفسيرين أعمّ من العامّ وغيره؛ وأمّا إذا أريد منه الأوّل، فيكون بينهما تباين؛ إذ استفادة المعاني الشرعيّة في الألفاظ الشرعيّة إنّما هي بالنسبة إلى المتشرّعين بشريعة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بالنسبة إلى كلّ أهل اللسان،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النسبة بينها وبين العرفيّة بالتفسير الثالث، فتباين كما لا يخفى</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3734722_1280447820"/>
      <w:bookmarkStart w:id="587" w:name="_Toc227"/>
      <w:bookmarkEnd w:id="586"/>
      <w:r>
        <w:rPr>
          <w:rtl w:val="true"/>
        </w:rPr>
        <w:t>مختار المصنّف في المسألة</w:t>
      </w:r>
      <w:bookmarkEnd w:id="58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بعد اطّلاعك على ما ذكرنا يظهر لك أنّ الحقّ هو التفسير الثالث، إذ كما تكون الحقيقة اللغويّة الألفاظ الّتي تكون استفادة المعاني منها بمعونة وضع واضع اللغة، والشرعيّة الألفاظ الّتي تكون استفادة المعاني منها بمعونة وضع الشارع على </w:t>
      </w:r>
    </w:p>
    <w:p>
      <w:pPr>
        <w:pStyle w:val="BookText"/>
        <w:rPr/>
      </w:pPr>
      <w:r>
        <w:rPr>
          <w:rFonts w:ascii="Amiri" w:hAnsi="Amiri" w:eastAsia="Amiri" w:cs="Amiri"/>
          <w:color w:val="111111"/>
          <w:sz w:val="28"/>
          <w:sz w:val="28"/>
          <w:szCs w:val="28"/>
          <w:rtl w:val="true"/>
          <w:lang w:bidi="ar-SA"/>
        </w:rPr>
        <w:t>ما مرّ الكلام في كلّ منهما بما لا مزيد عليه، ينبغي أن يكون الحال في الحقيقة العرفيّة أيضًا كذلك بأن تكون الألفاظ الّتي تكون استفادة المعاني منها بمعونة وضع العرف، لا أهل اللغة والشارع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مقتضى ذلك مباينتها لكلّ منهما وأنّ محض فهم المعنى من بعض الألفاظ في العرف تبعًا لوضع أهل اللغة لا يقتضي أن يكون ذلك حقيقة عرفيّة كما لا يخفى؛ ولمّا لم تكن النسبة بين العرفيّة بغير التفسير الثالث واللغويّة والشرعيّة مبائنة كلّيّة، ظهر أنّ الحقّ بين التفاسير المذكورة هو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قد اتّفقوا على تقسيم الحقائق إلى الأقسام الثلاثة، ومقتضى ذلك أن يكون كلّ واحد منها قسيمًا لآخر، وهو إنّما يتحقّق على التفسير الثالث،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الحقائق العرفيّة لو كانت موضوعات طارئة؛ لما كانت الألفاظ المخترعة من ذلك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الحقيقة العرفيّة المتحقّقة، ومعلوم أنّها من الموضوعات الطارئة، لا المخترعة؛ وعلى فرض تحقّقها نقول باندارجها تحت العرفيّة بناءً على استناد الوضع في الحقائق اللغويّة إلى الله سبحانه وتحت اللغويّة بناءً على اصطلاحيّة اللغات، ويمكن القول باندراجها تحت العرفيّة على الحالين، ولا يتفاوت الحال في ذلك على التقديرين</w:t>
      </w:r>
      <w:r>
        <w:rPr>
          <w:rFonts w:eastAsia="Amiri" w:cs="Amiri" w:ascii="Amiri" w:hAnsi="Amiri"/>
          <w:color w:val="111111"/>
          <w:sz w:val="28"/>
          <w:szCs w:val="28"/>
          <w:rtl w:val="true"/>
          <w:lang w:bidi="ar-SA"/>
        </w:rPr>
        <w:t xml:space="preserve">. </w:t>
      </w:r>
      <w:bookmarkStart w:id="588" w:name="pg16224_170573"/>
    </w:p>
    <w:p>
      <w:pPr>
        <w:pStyle w:val="BookText"/>
        <w:rPr/>
      </w:pPr>
      <w:bookmarkEnd w:id="588"/>
      <w:r>
        <w:rPr>
          <w:rFonts w:ascii="Amiri" w:hAnsi="Amiri" w:eastAsia="Amiri" w:cs="Amiri"/>
          <w:color w:val="111111"/>
          <w:sz w:val="28"/>
          <w:sz w:val="28"/>
          <w:szCs w:val="28"/>
          <w:rtl w:val="true"/>
          <w:lang w:bidi="ar-SA"/>
        </w:rPr>
        <w:t>في تقسيم الحقيقة العرفيّة إلى العامّة والخاصّة</w:t>
      </w:r>
    </w:p>
    <w:p>
      <w:pPr>
        <w:pStyle w:val="Heading4"/>
        <w:numPr>
          <w:ilvl w:val="3"/>
          <w:numId w:val="1"/>
        </w:numPr>
        <w:rPr/>
      </w:pPr>
      <w:bookmarkStart w:id="589" w:name="__RefHeading___Toc3734724_1280447820"/>
      <w:bookmarkStart w:id="590" w:name="_Toc228"/>
      <w:bookmarkEnd w:id="589"/>
      <w:r>
        <w:rPr>
          <w:rtl w:val="true"/>
        </w:rPr>
        <w:t>والمبحث الثاني</w:t>
      </w:r>
      <w:r>
        <w:rPr>
          <w:rtl w:val="true"/>
        </w:rPr>
        <w:t xml:space="preserve">: </w:t>
      </w:r>
      <w:r>
        <w:rPr>
          <w:rtl w:val="true"/>
        </w:rPr>
        <w:t>في تقسيمها إلى العامّة والخاصّة</w:t>
      </w:r>
      <w:bookmarkEnd w:id="590"/>
    </w:p>
    <w:p>
      <w:pPr>
        <w:pStyle w:val="Heading5"/>
        <w:numPr>
          <w:ilvl w:val="4"/>
          <w:numId w:val="1"/>
        </w:numPr>
        <w:rPr/>
      </w:pPr>
      <w:bookmarkStart w:id="591" w:name="__RefHeading___Toc3734726_1280447820"/>
      <w:bookmarkStart w:id="592" w:name="_Toc229"/>
      <w:bookmarkEnd w:id="591"/>
      <w:r>
        <w:rPr>
          <w:rtl w:val="true"/>
        </w:rPr>
        <w:t>اشارة</w:t>
      </w:r>
      <w:bookmarkEnd w:id="592"/>
    </w:p>
    <w:p>
      <w:pPr>
        <w:pStyle w:val="BookText"/>
        <w:rPr/>
      </w:pPr>
      <w:r>
        <w:rPr>
          <w:rFonts w:ascii="IRNazanin" w:hAnsi="IRNazanin" w:eastAsia="IRNazanin"/>
          <w:color w:val="111111"/>
          <w:sz w:val="28"/>
          <w:sz w:val="28"/>
          <w:szCs w:val="28"/>
          <w:rtl w:val="true"/>
          <w:lang w:bidi="fa-IR"/>
        </w:rPr>
        <w:t>والمبحث</w:t>
      </w:r>
      <w:r>
        <w:rPr>
          <w:rStyle w:val="FootnoteAnchor"/>
          <w:rtl w:val="true"/>
        </w:rPr>
        <w:footnoteReference w:id="527"/>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تقسيمها إلى العامّة والخاصّة</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سلف أنّ الحقيقة العرفيّة هي الموضوعات الطارئة، أي الّتي تكون استفادة المعاني منها بوضع 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الوضع إمّا يتعيّن فيه الواضع كالفقيه والأصوليّ والمنطقيّ والنحويّ والصرفيّ وغيرهم، كالطهارة والنجاسة والخلع والمبارات بناءً على عدم ثبوت الحقيقة الشرعيّة، والحقيقة والمجاز والعلاقة وتنقيح المناط والصغرى والكبرى والموضوع والمحمول والفاعل والمفعول والحال والتميز والصحيح والمعتلّ والمضاعف والأجوف، وغيرها من الاصطلاحات المتكرّرة في أنواع العلوم وأنحاء الرسوم الّتي قد عيّنت لغير معانيها الأصليّة قطعًا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لا يتعيّن فيه الواضع، كالدابّة والقارورة والغائط وغيرها من الألفاظ الّتي عيّنت في غير معانيها اللغويّة من غير أن يكون التعيين فيها مستندًا إلى طائفة مخصوصة، فالأوّل يسمّى بالعرف الخاصّ والعرفيّة الخاصّة، والثاني بالعرف العامّ والعرفيّة العامّة، فتقسيمها</w:t>
      </w:r>
      <w:r>
        <w:rPr>
          <w:rStyle w:val="FootnoteAnchor"/>
          <w:rtl w:val="true"/>
        </w:rPr>
        <w:footnoteReference w:id="529"/>
      </w:r>
      <w:r>
        <w:rPr>
          <w:rFonts w:ascii="Amiri" w:hAnsi="Amiri" w:eastAsia="Amiri" w:cs="Amiri"/>
          <w:color w:val="111111"/>
          <w:sz w:val="28"/>
          <w:sz w:val="28"/>
          <w:szCs w:val="28"/>
          <w:rtl w:val="true"/>
          <w:lang w:bidi="ar-SA"/>
        </w:rPr>
        <w:t>إلى القسمين باعتبار تعيين الواضع وعدمه</w:t>
      </w:r>
      <w:r>
        <w:rPr>
          <w:rFonts w:eastAsia="Amiri" w:cs="Amiri" w:ascii="Amiri" w:hAnsi="Amiri"/>
          <w:color w:val="111111"/>
          <w:sz w:val="28"/>
          <w:szCs w:val="28"/>
          <w:rtl w:val="true"/>
          <w:lang w:bidi="ar-SA"/>
        </w:rPr>
        <w:t xml:space="preserve">. </w:t>
      </w:r>
      <w:bookmarkStart w:id="593" w:name="pg16224_170574"/>
    </w:p>
    <w:p>
      <w:pPr>
        <w:pStyle w:val="Heading5"/>
        <w:numPr>
          <w:ilvl w:val="4"/>
          <w:numId w:val="1"/>
        </w:numPr>
        <w:rPr/>
      </w:pPr>
      <w:bookmarkStart w:id="594" w:name="__RefHeading___Toc3734728_1280447820"/>
      <w:bookmarkStart w:id="595" w:name="_Toc230"/>
      <w:bookmarkEnd w:id="593"/>
      <w:bookmarkEnd w:id="594"/>
      <w:r>
        <w:rPr>
          <w:rtl w:val="true"/>
        </w:rPr>
        <w:t>إيراد مقال لدفع إشكال</w:t>
      </w:r>
      <w:bookmarkEnd w:id="595"/>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يتوهّم في المقام إيرادان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ما ذكر في هذا المقام في وجه تقسيم العرفيّة إلى القسمين المذكورين أن تكون الحقيقة الشرعيّة من العرفيّة الخاصّة، فكيف يجعل فرد الشيء قسيمًا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مع عدم تعيين الواضع فاسد؛ لأنّ الوضع عبارة عن تعيين اللفظ للدلالة على المعنى، والتعيين لا يتصوّر من غير معيّن؛ لوضوح أنّ التعيين فعلٌ لا يمكن اجتماع قاطبة أهل اللسان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الأمر وإن كان كذلك، إلّا أنّهم أفردوا ذلك النوع من العرفيّة الخاصّة بالذكر؛ لاختصاصه بمزيد الأحكام بالنسبة إلى الأنواع</w:t>
      </w:r>
      <w:r>
        <w:rPr>
          <w:rStyle w:val="FootnoteAnchor"/>
          <w:rtl w:val="true"/>
        </w:rPr>
        <w:footnoteReference w:id="530"/>
      </w:r>
      <w:r>
        <w:rPr>
          <w:rFonts w:ascii="Amiri" w:hAnsi="Amiri" w:eastAsia="Amiri" w:cs="Amiri"/>
          <w:color w:val="111111"/>
          <w:sz w:val="28"/>
          <w:sz w:val="28"/>
          <w:szCs w:val="28"/>
          <w:rtl w:val="true"/>
          <w:lang w:bidi="ar-SA"/>
        </w:rPr>
        <w:t>الأخر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أن يقال بمنع كون الحقيقة الشرعيّة من الحقيقة العرفيّة؛ لجريان الاصطلاح في تسمية العرفيّة ما لا يكون واضعه الشارع وتسمية الشرعيّة ما يكون كذلك، فعلى هذا لا تكون الحقيقة الشرعيّة نوعًا من العرفيّة الخاصّة حتّى يورد أنّه كيف جعل قسم الشيء قسيمًا له، بل هو قسم آخر مقابل لكلٍّ من اللغويّة والعرفيّة، ولهذا قيّدنا العرفيّة بما لا يكون واضعه الشارع</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الحقائق العرفيّة بأسرها منقولات، والإيراد إنّما يتوجّه </w:t>
      </w:r>
    </w:p>
    <w:p>
      <w:pPr>
        <w:pStyle w:val="BookText"/>
        <w:rPr/>
      </w:pPr>
      <w:r>
        <w:rPr>
          <w:rFonts w:ascii="Amiri" w:hAnsi="Amiri" w:eastAsia="Amiri" w:cs="Amiri"/>
          <w:color w:val="111111"/>
          <w:sz w:val="28"/>
          <w:sz w:val="28"/>
          <w:szCs w:val="28"/>
          <w:rtl w:val="true"/>
          <w:lang w:bidi="ar-SA"/>
        </w:rPr>
        <w:t>إذا كان طريق النقل منحصرًا في التعيينيّ منه، وهو غير مسلّم؛ لما عرفت في مقدّمة الكتاب من أنّه كما يكون بالتعيين كذا يكون بالتعيّن، وهو أن يكون اللفظ مستعملًا في غير معناه الأصليّ مجازًا، ثمّ غلب استعماله فيه بحيث يفهم منه ذلك المعنى من غير افتقار إلى قرينة وهجر المعنى الأوّل بحيث تكون إرادته متوقّفة على القرينة؛ ولمّا كان البلوغ إلى هذا الحدّ لكثرة الاستعمال الّذي صدر من كثير من المستعملين، فلا يمكن الاستناد إلى بعض معيّن، فلذا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الواضع فيه غير معيّن، ومقتضى ذلك انحصار طريق الحقيقة العرفيّة في النقل التعيّني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بكون الواضع فيها غير معيّن في مقابلة العرفيّة الخاصّة، حيث إنّ الواضع فيها طائفة مخصوصة مشخّصة وتكون تلك الألفاظ حقائق في تلك المعاني بالنسبة إلى مكالماتهم ومكالمات من يخاطب باصطلاحهم دون غيرهم، بخلاف العرفيّة العامّة، فإنّها حقائق في مخاطبات قاطبة أهل اللسان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يمكن أن يكون الناقل فيها معيّنًا، لكن لمّا تبعه قاطبة أهل اللسان في ذلك ويكون اللفظ حقيقة في ذلك المعنى المنقول إليه عند الجميع،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الواضع فيه غير معيّن، أي حقيقيّته</w:t>
      </w:r>
      <w:r>
        <w:rPr>
          <w:rStyle w:val="FootnoteAnchor"/>
          <w:rtl w:val="true"/>
        </w:rPr>
        <w:footnoteReference w:id="531"/>
      </w:r>
      <w:r>
        <w:rPr>
          <w:rFonts w:ascii="Amiri" w:hAnsi="Amiri" w:eastAsia="Amiri" w:cs="Amiri"/>
          <w:color w:val="111111"/>
          <w:sz w:val="28"/>
          <w:sz w:val="28"/>
          <w:szCs w:val="28"/>
          <w:rtl w:val="true"/>
          <w:lang w:bidi="ar-SA"/>
        </w:rPr>
        <w:t>في ذلك المعنى غير مختصّة عند طائفة دون أخرى، كما في العرفيّة الخاصّة،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كون الواضع فيها غير معيّن، أنّها مجهولة الواضع في الأنظار وإن كان معيّنًا في نفس الأمر، لكن فيه تأمّل لا يخفى على المتأمّل</w:t>
      </w:r>
      <w:r>
        <w:rPr>
          <w:rFonts w:eastAsia="Amiri" w:cs="Amiri" w:ascii="Amiri" w:hAnsi="Amiri"/>
          <w:color w:val="111111"/>
          <w:sz w:val="28"/>
          <w:szCs w:val="28"/>
          <w:rtl w:val="true"/>
          <w:lang w:bidi="ar-SA"/>
        </w:rPr>
        <w:t xml:space="preserve">. </w:t>
      </w:r>
      <w:bookmarkStart w:id="596" w:name="pg16224_170576"/>
    </w:p>
    <w:p>
      <w:pPr>
        <w:pStyle w:val="BookText"/>
        <w:rPr/>
      </w:pPr>
      <w:bookmarkEnd w:id="596"/>
      <w:r>
        <w:rPr>
          <w:rFonts w:ascii="Amiri" w:hAnsi="Amiri" w:eastAsia="Amiri" w:cs="Amiri"/>
          <w:color w:val="111111"/>
          <w:sz w:val="28"/>
          <w:sz w:val="28"/>
          <w:szCs w:val="28"/>
          <w:rtl w:val="true"/>
          <w:lang w:bidi="ar-SA"/>
        </w:rPr>
        <w:t>في ثبوت الحقيقة العرفيّة</w:t>
      </w:r>
    </w:p>
    <w:p>
      <w:pPr>
        <w:pStyle w:val="Heading4"/>
        <w:numPr>
          <w:ilvl w:val="3"/>
          <w:numId w:val="1"/>
        </w:numPr>
        <w:rPr/>
      </w:pPr>
      <w:bookmarkStart w:id="597" w:name="__RefHeading___Toc3734730_1280447820"/>
      <w:bookmarkStart w:id="598" w:name="_Toc231"/>
      <w:bookmarkEnd w:id="597"/>
      <w:r>
        <w:rPr>
          <w:rtl w:val="true"/>
        </w:rPr>
        <w:t>المبحث الثالث</w:t>
      </w:r>
      <w:r>
        <w:rPr>
          <w:rtl w:val="true"/>
        </w:rPr>
        <w:t xml:space="preserve">: </w:t>
      </w:r>
      <w:r>
        <w:rPr>
          <w:rtl w:val="true"/>
        </w:rPr>
        <w:t>في ثبوت الحقيقة العرفيّة وما يناسب تلك المقالة</w:t>
      </w:r>
      <w:bookmarkEnd w:id="598"/>
    </w:p>
    <w:p>
      <w:pPr>
        <w:pStyle w:val="Heading5"/>
        <w:numPr>
          <w:ilvl w:val="4"/>
          <w:numId w:val="1"/>
        </w:numPr>
        <w:rPr/>
      </w:pPr>
      <w:bookmarkStart w:id="599" w:name="__RefHeading___Toc3734732_1280447820"/>
      <w:bookmarkStart w:id="600" w:name="_Toc232"/>
      <w:bookmarkEnd w:id="599"/>
      <w:r>
        <w:rPr>
          <w:rtl w:val="true"/>
        </w:rPr>
        <w:t>اشارة</w:t>
      </w:r>
      <w:bookmarkEnd w:id="600"/>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الخاصّة منها فثبوتها في العيان بحيث لا يفتقر إلى البيان ولم ينازع فيها أحد من الأعلام، والاصطلاحات المتداولة في أنواع العلوم والرسوم شاهد صدق على هذا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العامّة منها فالّذي يظهر من تصريح جماعة ممّن عثرنا على كلامهم في هذا المقام أنّها أيضًا كذلك، لكنّ الّذي يظهر من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تحقّق الخلاف في ذلك، حيث قال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نزاع في إمكان الحقيقة العرفيّة، وإنّما الخلاف في الوقوع</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ترقّى بعض من لا يعتنى بمقالته عن عدم الوقوع وادّعى الاستحالة في ذلك</w:t>
      </w:r>
      <w:r>
        <w:rPr>
          <w:rStyle w:val="FootnoteAnchor"/>
          <w:rtl w:val="true"/>
        </w:rPr>
        <w:footnoteReference w:id="533"/>
      </w:r>
      <w:r>
        <w:rPr>
          <w:rFonts w:ascii="Amiri" w:hAnsi="Amiri" w:eastAsia="Amiri" w:cs="Amiri"/>
          <w:color w:val="111111"/>
          <w:sz w:val="28"/>
          <w:sz w:val="28"/>
          <w:szCs w:val="28"/>
          <w:rtl w:val="true"/>
          <w:lang w:bidi="ar-SA"/>
        </w:rPr>
        <w:t>، وكيف كان، والحقّ أنّ ثبوتها ممّا لا ينبغي النزاع فيه؛ للقطع بأنّ ههنا ألفاظًا متكثّرة يستفاد</w:t>
      </w:r>
      <w:r>
        <w:rPr>
          <w:rStyle w:val="FootnoteAnchor"/>
          <w:rtl w:val="true"/>
        </w:rPr>
        <w:footnoteReference w:id="534"/>
      </w:r>
      <w:r>
        <w:rPr>
          <w:rFonts w:ascii="Amiri" w:hAnsi="Amiri" w:eastAsia="Amiri" w:cs="Amiri"/>
          <w:color w:val="111111"/>
          <w:sz w:val="28"/>
          <w:sz w:val="28"/>
          <w:szCs w:val="28"/>
          <w:rtl w:val="true"/>
          <w:lang w:bidi="ar-SA"/>
        </w:rPr>
        <w:t>منها المعاني المغايرة للمعاني اللغويّة من غير افتقار في ذلك إلى قرينة، ولا يتفاوت الحال فيه عند طائفة دون طائفة، وهذا هو شأن الحقيقة، كالدابّة، فإنّها موضوعة في اللغة لكلّ ما يدبّ على الأرض، واختصّت</w:t>
      </w:r>
      <w:r>
        <w:rPr>
          <w:rStyle w:val="FootnoteAnchor"/>
          <w:rtl w:val="true"/>
        </w:rPr>
        <w:footnoteReference w:id="535"/>
      </w:r>
      <w:r>
        <w:rPr>
          <w:rFonts w:ascii="Amiri" w:hAnsi="Amiri" w:eastAsia="Amiri" w:cs="Amiri"/>
          <w:color w:val="111111"/>
          <w:sz w:val="28"/>
          <w:sz w:val="28"/>
          <w:szCs w:val="28"/>
          <w:rtl w:val="true"/>
          <w:lang w:bidi="ar-SA"/>
        </w:rPr>
        <w:t xml:space="preserve">في العرف ببعض </w:t>
      </w:r>
      <w:bookmarkStart w:id="601" w:name="pg16224_170577"/>
    </w:p>
    <w:p>
      <w:pPr>
        <w:pStyle w:val="BookText"/>
        <w:rPr/>
      </w:pPr>
      <w:bookmarkEnd w:id="601"/>
      <w:r>
        <w:rPr>
          <w:rFonts w:ascii="Amiri" w:hAnsi="Amiri" w:eastAsia="Amiri" w:cs="Amiri"/>
          <w:color w:val="111111"/>
          <w:sz w:val="28"/>
          <w:sz w:val="28"/>
          <w:szCs w:val="28"/>
          <w:rtl w:val="true"/>
          <w:lang w:bidi="ar-SA"/>
        </w:rPr>
        <w:t>البهائم؛ والقارورة فإنّها اسم لكلّ ما يستقرّ فيه الشيء، واختصّت فيه بالزجاج؛ والملك فإنّها مأخوذة من الألُوكَة، وهي الرسالة</w:t>
      </w:r>
      <w:r>
        <w:rPr>
          <w:rStyle w:val="FootnoteAnchor"/>
          <w:rtl w:val="true"/>
        </w:rPr>
        <w:footnoteReference w:id="536"/>
      </w:r>
      <w:r>
        <w:rPr>
          <w:rFonts w:ascii="Amiri" w:hAnsi="Amiri" w:eastAsia="Amiri" w:cs="Amiri"/>
          <w:color w:val="111111"/>
          <w:sz w:val="28"/>
          <w:sz w:val="28"/>
          <w:szCs w:val="28"/>
          <w:rtl w:val="true"/>
          <w:lang w:bidi="ar-SA"/>
        </w:rPr>
        <w:t>، واختصّ فيه ببعض الرسل؛ والخابية فإنّها موضوعة لما يخبّأ فيه، واختصّت بالبعض، وغيرها</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الألفاظ المذكورة إمّا عيّنت للمعاني المسطورة في أوّل الأمر والبداية، أو استعملت في بداية الأمر فيها مجازًا، ثمّ بكثرة الاستعمال صار الأمر فيها على الوجه المذكور، أو الأمر في بعضها على النحو الأوّل وفي الآخر منها على النحو الثاني، وأيّ منها كان يثبت المرام؛ إذ على الأوّل تكون الألفاظ كلّها منقولات بالنقل التعييني، وعلى الثاني بالنقل التعيّني، وعلى الثالث بالوجهين، وعلى جميع التقادير يثبت المرام</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3734734_1280447820"/>
      <w:bookmarkStart w:id="603" w:name="_Toc233"/>
      <w:bookmarkEnd w:id="602"/>
      <w:r>
        <w:rPr>
          <w:rtl w:val="true"/>
        </w:rPr>
        <w:t>في الداعي لتغيير اللغة وثبوت الحقيقة العرفيّة</w:t>
      </w:r>
      <w:bookmarkEnd w:id="603"/>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الألفاظ لإبراز ما في الضمائر والقلوب وإظهار الحوائج والمطلوب، وهذا يحصل باللغة، فما الداعي لتغييرها حتّى تثبت الحقيقة العرفيّة؟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إحاطةَ الألفاظ لجميع المعاني بأن يكون بإزاء كلّ معنى لفظ غيرُ ثابتة، وكيف؟ مع أنّ الألفاظ متناهية؛ لتركّبها من الحروف المتناهية، والمعاني غير متناهية، وامتناع إحاطة المتناهي لغير المتناهي بيّن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قد تكون الحاجة ماسّة إلى التعبير عن بعض المعاني الّتي لم يتحقّق لها </w:t>
      </w:r>
    </w:p>
    <w:p>
      <w:pPr>
        <w:pStyle w:val="BookText"/>
        <w:rPr/>
      </w:pPr>
      <w:r>
        <w:rPr>
          <w:rFonts w:ascii="Amiri" w:hAnsi="Amiri" w:eastAsia="Amiri" w:cs="Amiri"/>
          <w:color w:val="111111"/>
          <w:sz w:val="28"/>
          <w:sz w:val="28"/>
          <w:szCs w:val="28"/>
          <w:rtl w:val="true"/>
          <w:lang w:bidi="ar-SA"/>
        </w:rPr>
        <w:t>وضع، وذلك المعنى إمّا أن يكون من المعاني المناسبة لما وضع له في اللغة، أم لا، وعلى التقديرين إمّا أن يكون التعبير عن ذلك المعنى المفتقر إليه باللفظ المخترع، أو بالموضوع لغة، فهنا احتمالات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اختراع اللفظ غير معهود منهم؛ لكراهتهم مخالفة اللغة والخروج عن قانونها مطلقًا، فبقى من الاحتمالات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 المعنى غير الموضوع له في اللغة ولا المناسب له؛ والمعنى غير الموضوع له في اللغة المناسب له باللفظ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ذلك على طريق المجاز؛ لانتفاء العلاقة كما هو المفروض، فتعيّن أن يكون ذلك بتعيين اللفظ له، وهذا ممّا سمّاه أئمّة الأصول والبيان بالمرتجل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الاستعمال حقيقة، كما يمكن أن يكون مجازًا، لكن فرط الحاجة إلى التعبير عنه صار موجبًا لكثرة استعماله فيه حتّى بلغ إلى حدّ الحقيقة، فهذا هو الداعي لتغيير اللغة وثبوت الحقيقة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الحقائق العرفيّة بقسميها تكون لبعض أفراد مسمّياتها اللغويّة، والمذكور لا يصلح وجهًا</w:t>
      </w:r>
      <w:r>
        <w:rPr>
          <w:rStyle w:val="FootnoteAnchor"/>
          <w:rtl w:val="true"/>
        </w:rPr>
        <w:footnoteReference w:id="538"/>
      </w:r>
      <w:r>
        <w:rPr>
          <w:rFonts w:ascii="Amiri" w:hAnsi="Amiri" w:eastAsia="Amiri" w:cs="Amiri"/>
          <w:color w:val="111111"/>
          <w:sz w:val="28"/>
          <w:sz w:val="28"/>
          <w:szCs w:val="28"/>
          <w:rtl w:val="true"/>
          <w:lang w:bidi="ar-SA"/>
        </w:rPr>
        <w:t>إلّا لثبوتها في المعاني المغايرة لمسمّياتها كما لا يخفى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إنّما هو لشدّة الحاجة إلى التعبير عن ذلك البعض دون الآخر، وهي موجبة لكثرة استعمال اللفظ هناك دونه، أو لتعيينه في أوّل الأمر </w:t>
      </w:r>
      <w:bookmarkStart w:id="604" w:name="pg16224_170579"/>
    </w:p>
    <w:p>
      <w:pPr>
        <w:pStyle w:val="BookText"/>
        <w:rPr/>
      </w:pPr>
      <w:bookmarkEnd w:id="604"/>
      <w:r>
        <w:rPr>
          <w:rFonts w:ascii="Amiri" w:hAnsi="Amiri" w:eastAsia="Amiri" w:cs="Amiri"/>
          <w:color w:val="111111"/>
          <w:sz w:val="28"/>
          <w:sz w:val="28"/>
          <w:szCs w:val="28"/>
          <w:rtl w:val="true"/>
          <w:lang w:bidi="ar-SA"/>
        </w:rPr>
        <w:t>للأوّل، وهو ما تقدّم</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3734736_1280447820"/>
      <w:bookmarkStart w:id="606" w:name="_Toc234"/>
      <w:bookmarkEnd w:id="605"/>
      <w:r>
        <w:rPr>
          <w:rtl w:val="true"/>
        </w:rPr>
        <w:t>استدلال القائل باستحالة الحقيقة العرفيّة</w:t>
      </w:r>
      <w:bookmarkEnd w:id="606"/>
    </w:p>
    <w:p>
      <w:pPr>
        <w:pStyle w:val="BookText"/>
        <w:rPr/>
      </w:pPr>
      <w:r>
        <w:rPr>
          <w:rFonts w:ascii="Amiri" w:hAnsi="Amiri" w:eastAsia="Amiri" w:cs="Amiri"/>
          <w:color w:val="111111"/>
          <w:sz w:val="28"/>
          <w:sz w:val="28"/>
          <w:szCs w:val="28"/>
          <w:rtl w:val="true"/>
          <w:lang w:bidi="ar-SA"/>
        </w:rPr>
        <w:t>هذا، واستدلّ القائل باستحالة الحقيقة العرفيّة بأنّه يمتنع اتّفاق الخلق الكثير على نقل اللفظ</w:t>
      </w:r>
      <w:r>
        <w:rPr>
          <w:rStyle w:val="FootnoteAnchor"/>
          <w:rtl w:val="true"/>
        </w:rPr>
        <w:footnoteReference w:id="539"/>
      </w:r>
      <w:r>
        <w:rPr>
          <w:rFonts w:ascii="Amiri" w:hAnsi="Amiri" w:eastAsia="Amiri" w:cs="Amiri"/>
          <w:color w:val="111111"/>
          <w:sz w:val="28"/>
          <w:sz w:val="28"/>
          <w:szCs w:val="28"/>
          <w:rtl w:val="true"/>
          <w:lang w:bidi="ar-SA"/>
        </w:rPr>
        <w:t>، وكأنّه توهّم انحصار طريق ثبوت الحقيقة العرفيّة في التعيين، وإلّا فالحكم بامتناع تحقّق غلبة الاستعمال من الكثير ممّا لا وجه له ولا برهان عليه، وكيف؟ مع أنّ تحقّق الغلبة من الكثير أظهر من تحقّقها من القليل، كما لا يخفى على من ليس له حظّ من العلم إلّا قليل، ولا يكاد يشتبه على من لا يكون له نصيب من الدرك إلّا يسير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استحالة التعيين من الكثير على فرض التسليم إنّما تكون</w:t>
      </w:r>
      <w:r>
        <w:rPr>
          <w:rStyle w:val="FootnoteAnchor"/>
          <w:rtl w:val="true"/>
        </w:rPr>
        <w:footnoteReference w:id="540"/>
      </w:r>
      <w:r>
        <w:rPr>
          <w:rFonts w:ascii="Amiri" w:hAnsi="Amiri" w:eastAsia="Amiri" w:cs="Amiri"/>
          <w:color w:val="111111"/>
          <w:sz w:val="28"/>
          <w:sz w:val="28"/>
          <w:szCs w:val="28"/>
          <w:rtl w:val="true"/>
          <w:lang w:bidi="ar-SA"/>
        </w:rPr>
        <w:t>مسلّمة عند استناده إلى جميعهم في نفس الأمر، وأمّا إذا استند إلى بعض وتبعه الباقي في ذلك ويكون الاستناد إلى الجميع لذلك فلا، كما ظهر حقّيّته لك ممّا أسلفناه</w:t>
      </w:r>
      <w:r>
        <w:rPr>
          <w:rFonts w:eastAsia="Amiri" w:cs="Amiri" w:ascii="Amiri" w:hAnsi="Amiri"/>
          <w:color w:val="111111"/>
          <w:sz w:val="28"/>
          <w:szCs w:val="28"/>
          <w:rtl w:val="true"/>
          <w:lang w:bidi="ar-SA"/>
        </w:rPr>
        <w:t xml:space="preserve">. </w:t>
      </w:r>
      <w:bookmarkStart w:id="607" w:name="pg16224_170580"/>
    </w:p>
    <w:p>
      <w:pPr>
        <w:pStyle w:val="Heading5"/>
        <w:numPr>
          <w:ilvl w:val="4"/>
          <w:numId w:val="1"/>
        </w:numPr>
        <w:rPr/>
      </w:pPr>
      <w:bookmarkStart w:id="608" w:name="__RefHeading___Toc3734738_1280447820"/>
      <w:bookmarkStart w:id="609" w:name="_Toc235"/>
      <w:bookmarkEnd w:id="607"/>
      <w:bookmarkEnd w:id="608"/>
      <w:r>
        <w:rPr>
          <w:rtl w:val="true"/>
        </w:rPr>
        <w:t>في أنّه هل يصحّ حصر الحقائق في الأقسام الثلاثة أم لا؟</w:t>
      </w:r>
      <w:bookmarkEnd w:id="609"/>
    </w:p>
    <w:p>
      <w:pPr>
        <w:pStyle w:val="BookText"/>
        <w:rPr/>
      </w:pPr>
      <w:r>
        <w:rPr>
          <w:rFonts w:ascii="Amiri" w:hAnsi="Amiri" w:eastAsia="Amiri" w:cs="Amiri"/>
          <w:color w:val="111111"/>
          <w:sz w:val="28"/>
          <w:sz w:val="28"/>
          <w:szCs w:val="28"/>
          <w:rtl w:val="true"/>
          <w:lang w:bidi="ar-SA"/>
        </w:rPr>
        <w:t>ذكر كلام لختم مقام</w:t>
      </w:r>
    </w:p>
    <w:p>
      <w:pPr>
        <w:pStyle w:val="BookText"/>
        <w:rPr/>
      </w:pPr>
      <w:r>
        <w:rPr>
          <w:rFonts w:ascii="Amiri" w:hAnsi="Amiri" w:eastAsia="Amiri" w:cs="Amiri"/>
          <w:color w:val="111111"/>
          <w:sz w:val="28"/>
          <w:sz w:val="28"/>
          <w:szCs w:val="28"/>
          <w:rtl w:val="true"/>
          <w:lang w:bidi="ar-SA"/>
        </w:rPr>
        <w:t>بقي الكلام في هذا المقام في أنّ حصر الحقائق في هذه الأقسام هل يكون صحيحًا، فلا توجد حقيقة إلّا وقد اندرجت تحت واحد منها، أو لا بل هنا قسم آخر غير مندرج تحت شيء منها؟</w:t>
      </w:r>
    </w:p>
    <w:p>
      <w:pPr>
        <w:pStyle w:val="BookText"/>
        <w:rPr/>
      </w:pPr>
      <w:r>
        <w:rPr>
          <w:rFonts w:ascii="IRNazanin" w:hAnsi="IRNazanin" w:eastAsia="IRNazanin"/>
          <w:color w:val="111111"/>
          <w:sz w:val="28"/>
          <w:sz w:val="28"/>
          <w:szCs w:val="28"/>
          <w:rtl w:val="true"/>
          <w:lang w:bidi="fa-IR"/>
        </w:rPr>
        <w:t>ظاهر</w:t>
      </w:r>
      <w:r>
        <w:rPr>
          <w:rStyle w:val="FootnoteAnchor"/>
          <w:rtl w:val="true"/>
        </w:rPr>
        <w:footnoteReference w:id="541"/>
      </w:r>
      <w:r>
        <w:rPr>
          <w:rFonts w:ascii="Amiri" w:hAnsi="Amiri" w:eastAsia="Amiri" w:cs="Amiri"/>
          <w:color w:val="111111"/>
          <w:sz w:val="28"/>
          <w:sz w:val="28"/>
          <w:szCs w:val="28"/>
          <w:rtl w:val="true"/>
          <w:lang w:bidi="ar-SA"/>
        </w:rPr>
        <w:t>جماعة</w:t>
      </w:r>
      <w:r>
        <w:rPr>
          <w:rStyle w:val="FootnoteAnchor"/>
          <w:rtl w:val="true"/>
        </w:rPr>
        <w:footnoteReference w:id="542"/>
      </w:r>
      <w:r>
        <w:rPr>
          <w:rFonts w:ascii="Amiri" w:hAnsi="Amiri" w:eastAsia="Amiri" w:cs="Amiri"/>
          <w:color w:val="111111"/>
          <w:sz w:val="28"/>
          <w:sz w:val="28"/>
          <w:szCs w:val="28"/>
          <w:rtl w:val="true"/>
          <w:lang w:bidi="ar-SA"/>
        </w:rPr>
        <w:t>بل صريحهم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لأنّ الأعلام الشخصيّة غير مندرجة تحت شيء من الأقسام المذكورة مع كونها حقائق؛ لاستعمالها فيما عيّنت لها وإفادتها إيّاها من غير افتقار إلى قرينة، أمّا عدم اندراجها تحت الشرعيّة واللغويّة، فلظهوره غنيّ عن البيان؛ وكذلك الحال بالنسبة إلى العامّة من العرفيّة؛ وأمّا عدم اندراجها في العرفيّة الخاصّة، فلتصريحهم بأنّ الوضع فيها من فريق أو قوم، والأعلام ليست كذلك؛ لاختصاص الوضع فيها بواحد</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3734740_1280447820"/>
      <w:bookmarkStart w:id="611" w:name="_Toc236"/>
      <w:bookmarkEnd w:id="610"/>
      <w:r>
        <w:rPr>
          <w:rtl w:val="true"/>
        </w:rPr>
        <w:t>ردّ على من زعم أنّ الأعلام ليست بحقيقة ولا مجازًا</w:t>
      </w:r>
      <w:bookmarkEnd w:id="61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وأفرط بعضٌ في هذا المقام، فادّعى أنّها ليست بحقائق ولا مجازات، قال العلّامة في النهاية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الأعلام ليست حقيقة ولا مجازًا؛ لكونها من الألقاب، والحقيقة استعمال اللفظ فيما وضع له، والمجاز في غير ما وضع له، وذلك</w:t>
      </w:r>
      <w:r>
        <w:rPr>
          <w:rStyle w:val="FootnoteAnchor"/>
          <w:rtl w:val="true"/>
        </w:rPr>
        <w:footnoteReference w:id="543"/>
      </w:r>
      <w:r>
        <w:rPr>
          <w:rFonts w:ascii="Amiri" w:hAnsi="Amiri" w:eastAsia="Amiri" w:cs="Amiri"/>
          <w:color w:val="111111"/>
          <w:sz w:val="28"/>
          <w:sz w:val="28"/>
          <w:szCs w:val="28"/>
          <w:rtl w:val="true"/>
          <w:lang w:bidi="ar-SA"/>
        </w:rPr>
        <w:t>يستدعي كونهما قد وضعا قبل هذا</w:t>
      </w:r>
      <w:r>
        <w:rPr>
          <w:rStyle w:val="FootnoteAnchor"/>
          <w:rtl w:val="true"/>
        </w:rPr>
        <w:footnoteReference w:id="544"/>
      </w:r>
      <w:r>
        <w:rPr>
          <w:rFonts w:ascii="Amiri" w:hAnsi="Amiri" w:eastAsia="Amiri" w:cs="Amiri"/>
          <w:color w:val="111111"/>
          <w:sz w:val="28"/>
          <w:sz w:val="28"/>
          <w:szCs w:val="28"/>
          <w:rtl w:val="true"/>
          <w:lang w:bidi="ar-SA"/>
        </w:rPr>
        <w:t>الاستعمال لغة، وأسماء الأعلام ليست كذلك؛ فإنّ مستعملها لم يستعملها فيما وضعها</w:t>
      </w:r>
      <w:r>
        <w:rPr>
          <w:rStyle w:val="FootnoteAnchor"/>
          <w:rtl w:val="true"/>
        </w:rPr>
        <w:footnoteReference w:id="545"/>
      </w:r>
      <w:r>
        <w:rPr>
          <w:rFonts w:ascii="Amiri" w:hAnsi="Amiri" w:eastAsia="Amiri" w:cs="Amiri"/>
          <w:color w:val="111111"/>
          <w:sz w:val="28"/>
          <w:sz w:val="28"/>
          <w:szCs w:val="28"/>
          <w:rtl w:val="true"/>
          <w:lang w:bidi="ar-SA"/>
        </w:rPr>
        <w:t>أهل اللغة له</w:t>
      </w:r>
      <w:r>
        <w:rPr>
          <w:rStyle w:val="FootnoteAnchor"/>
          <w:rtl w:val="true"/>
        </w:rPr>
        <w:footnoteReference w:id="546"/>
      </w:r>
      <w:r>
        <w:rPr>
          <w:rFonts w:ascii="Amiri" w:hAnsi="Amiri" w:eastAsia="Amiri" w:cs="Amiri"/>
          <w:color w:val="111111"/>
          <w:sz w:val="28"/>
          <w:sz w:val="28"/>
          <w:szCs w:val="28"/>
          <w:rtl w:val="true"/>
          <w:lang w:bidi="ar-SA"/>
        </w:rPr>
        <w:t>ولا في غيره؛ لأنّها لم تكن من وضعهم، فلا تكون</w:t>
      </w:r>
      <w:r>
        <w:rPr>
          <w:rStyle w:val="FootnoteAnchor"/>
          <w:rtl w:val="true"/>
        </w:rPr>
        <w:footnoteReference w:id="547"/>
      </w:r>
      <w:r>
        <w:rPr>
          <w:rFonts w:ascii="Amiri" w:hAnsi="Amiri" w:eastAsia="Amiri" w:cs="Amiri"/>
          <w:color w:val="111111"/>
          <w:sz w:val="28"/>
          <w:sz w:val="28"/>
          <w:szCs w:val="28"/>
          <w:rtl w:val="true"/>
          <w:lang w:bidi="ar-SA"/>
        </w:rPr>
        <w:t>حقيقة ولا مجازًا</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وفساد هذا الاستدلال ممّا لا يفتقر إلى البيان؛ إذ المراد من الموضوع 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الحقيقة إنّما تكون عند استعمال اللفظ فيما وضع له</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إمّا أن يكون الموضوع له اللغويّ أو الأعمّ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الأوّل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انتفاء ذلك بالنسبة إلى المعنى العَلَميّ وإن كان</w:t>
      </w:r>
      <w:r>
        <w:rPr>
          <w:rStyle w:val="FootnoteAnchor"/>
          <w:rtl w:val="true"/>
        </w:rPr>
        <w:footnoteReference w:id="550"/>
      </w:r>
      <w:r>
        <w:rPr>
          <w:rFonts w:ascii="Amiri" w:hAnsi="Amiri" w:eastAsia="Amiri" w:cs="Amiri"/>
          <w:color w:val="111111"/>
          <w:sz w:val="28"/>
          <w:sz w:val="28"/>
          <w:szCs w:val="28"/>
          <w:rtl w:val="true"/>
          <w:lang w:bidi="ar-SA"/>
        </w:rPr>
        <w:t>مسلّمًا، لكنّ الّذي يلزم من ذلك أن لا تكون الأعلام حقيقةً لغويّةً بالنسبة إلى المعاني العَلَميّة، وهو مسلّم ولا يلزم منه انتفاء الحقيقيّة</w:t>
      </w:r>
      <w:r>
        <w:rPr>
          <w:rStyle w:val="FootnoteAnchor"/>
          <w:rtl w:val="true"/>
        </w:rPr>
        <w:footnoteReference w:id="551"/>
      </w:r>
      <w:r>
        <w:rPr>
          <w:rFonts w:ascii="Amiri" w:hAnsi="Amiri" w:eastAsia="Amiri" w:cs="Amiri"/>
          <w:color w:val="111111"/>
          <w:sz w:val="28"/>
          <w:sz w:val="28"/>
          <w:szCs w:val="28"/>
          <w:rtl w:val="true"/>
          <w:lang w:bidi="ar-SA"/>
        </w:rPr>
        <w:t xml:space="preserve">مطلقًا، ضرورة أنّ نفي </w:t>
      </w:r>
    </w:p>
    <w:p>
      <w:pPr>
        <w:pStyle w:val="BookText"/>
        <w:rPr/>
      </w:pPr>
      <w:r>
        <w:rPr>
          <w:rFonts w:ascii="Amiri" w:hAnsi="Amiri" w:eastAsia="Amiri" w:cs="Amiri"/>
          <w:color w:val="111111"/>
          <w:sz w:val="28"/>
          <w:sz w:val="28"/>
          <w:szCs w:val="28"/>
          <w:rtl w:val="true"/>
          <w:lang w:bidi="ar-SA"/>
        </w:rPr>
        <w:t>الأخصّ غير مستلزم لنفي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وإن كان مسلّمًا، لكن استلزامه أن لا تكون الأعلام حقائق بالنسبة إلى المعاني العَلَميّة ممنوع، وكيف؟ مع أنّها قد عيّنت بإزاء تلك المعاني وليس المراد من الوضع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يستدعي كونهما قد وضعا قبل هذا الاستعمال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لا يخفى ما فيه؛ لأنّه على التقدير الأوّل وإن كان مسلّمًا، ضرورة أنّ استعمال اللفظ في الموضوع له اللغويّ مسبوقٌ بالوضع اللغويّ، لكن على تقدير تسليم انتفاء ذلك في الأعلام لا يلزم أن لا تكون</w:t>
      </w:r>
      <w:r>
        <w:rPr>
          <w:rStyle w:val="FootnoteAnchor"/>
          <w:rtl w:val="true"/>
        </w:rPr>
        <w:footnoteReference w:id="552"/>
      </w:r>
      <w:r>
        <w:rPr>
          <w:rFonts w:ascii="Amiri" w:hAnsi="Amiri" w:eastAsia="Amiri" w:cs="Amiri"/>
          <w:color w:val="111111"/>
          <w:sz w:val="28"/>
          <w:sz w:val="28"/>
          <w:szCs w:val="28"/>
          <w:rtl w:val="true"/>
          <w:lang w:bidi="ar-SA"/>
        </w:rPr>
        <w:t>حقيقة مطلقًا كما تقدّم، وعلى التقدير الثاني نمنع الملازمة، ضرورة أنّ استعمال اللفظ في الموضوع له غير اللغويّ إنّما يستدعي تحقّق ذلك الوضع، لا الوضع اللغويّ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لم تكن من وضعهم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أريد أنّ الأعلام ليست من الموضوعات اللغويّة بالنسبة إلى المعاني العَلَميّة، فهو مسلّم، لكن لا اختصاص له بالأعلام، بل كلّ من الحقائق العرفيّة والشرعيّة كذلك، فكما لا يمنع ذلك من اتّصافهما بوصف الحقيقة، فليكن غير مانع بالنسبة إلى الأعلام لانتفاء الفارق</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أنّها ليست من موضوعاتهم مطلقًا، فهو ممنوع، وكيف؟ مع أنّ عَمرًا وزيدًا ونحوهما من الأسماء المتكثّرة موضوعةٌ في اللغة لغير المعاني العَلَميّة، وذلك ممّا لا يرتاب فيه ولا شكّ يعتريه، فالحقّ أنّها في المعاني العَلَميّة حقائق </w:t>
      </w:r>
      <w:bookmarkStart w:id="612" w:name="pg16224_170583"/>
    </w:p>
    <w:p>
      <w:pPr>
        <w:pStyle w:val="BookText"/>
        <w:rPr/>
      </w:pPr>
      <w:bookmarkEnd w:id="612"/>
      <w:r>
        <w:rPr>
          <w:rFonts w:ascii="Amiri" w:hAnsi="Amiri" w:eastAsia="Amiri" w:cs="Amiri"/>
          <w:color w:val="111111"/>
          <w:sz w:val="28"/>
          <w:sz w:val="28"/>
          <w:szCs w:val="28"/>
          <w:rtl w:val="true"/>
          <w:lang w:bidi="ar-SA"/>
        </w:rPr>
        <w:t>بالنسبة إلى مكالمات واضعها ومن يخاطب باصطلاحه؛ لصدق حدّ الحقيقة عليه، وإنكاره ممّا لا وجه له</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3734742_1280447820"/>
      <w:bookmarkStart w:id="614" w:name="_Toc237"/>
      <w:bookmarkEnd w:id="613"/>
      <w:r>
        <w:rPr>
          <w:rtl w:val="true"/>
        </w:rPr>
        <w:t>الأعلام مندرجة تحت العرفيّة الخاصّة</w:t>
      </w:r>
      <w:bookmarkEnd w:id="614"/>
    </w:p>
    <w:p>
      <w:pPr>
        <w:pStyle w:val="BookText"/>
        <w:rPr/>
      </w:pPr>
      <w:r>
        <w:rPr>
          <w:rFonts w:ascii="Amiri" w:hAnsi="Amiri" w:eastAsia="Amiri" w:cs="Amiri"/>
          <w:color w:val="111111"/>
          <w:sz w:val="28"/>
          <w:sz w:val="28"/>
          <w:szCs w:val="28"/>
          <w:rtl w:val="true"/>
          <w:lang w:bidi="ar-SA"/>
        </w:rPr>
        <w:t>بقي الكلام في أنّها هل تكون مندرجة تحت واحد من الأقسام المذكورة، أو لا بل هي قسم آخر على حدة، فلا يصحّ حصر الحقائق في الأقسام المتقدّمة؟</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اندراجها تحت العرفيّة الخاصّة، والظاهر أنّ مرادهم من كون الوضع فيها</w:t>
      </w:r>
      <w:r>
        <w:rPr>
          <w:rStyle w:val="FootnoteAnchor"/>
          <w:rtl w:val="true"/>
        </w:rPr>
        <w:footnoteReference w:id="553"/>
      </w:r>
      <w:r>
        <w:rPr>
          <w:rFonts w:ascii="Amiri" w:hAnsi="Amiri" w:eastAsia="Amiri" w:cs="Amiri"/>
          <w:color w:val="111111"/>
          <w:sz w:val="28"/>
          <w:sz w:val="28"/>
          <w:szCs w:val="28"/>
          <w:rtl w:val="true"/>
          <w:lang w:bidi="ar-SA"/>
        </w:rPr>
        <w:t>من فريقٍ أو طائفةٍ أنّها حقيقة عندهم، لا لزوم صدور الوضع منهم؛ لبعد أن تكون الاصطلاحات المتكرّرة في العلوم وغيرها بأسرها ممّا اتّفق عليه طائفة، ثمّ عيّنوا بإزاء معانيها، بل الظاهر صدوره من بعض، ثمّ تبعه غيره ممّن دخل معه في فنّه، سواء كان ذلك البعض واحدًا أو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الأعلام أيضًا كذلك؛ لأنّها حقيقة في المعاني العَلَميّة عند كلّ من يوافق الواضع في ذلك، على أنّ دعوى حصر الوضع في الأعلام من واحد ممنوعة، إذ ربّما يتّفق مشاركة جمع في تعيين اسم لبعض المسمّيات، والحمد لخالق الأرضين والسماوات</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3734744_1280447820"/>
      <w:bookmarkStart w:id="616" w:name="_Toc238"/>
      <w:bookmarkEnd w:id="615"/>
      <w:r>
        <w:rPr>
          <w:rtl w:val="true"/>
        </w:rPr>
        <w:t>استقصاء عقليّ</w:t>
      </w:r>
      <w:bookmarkEnd w:id="61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الأقسام المتصوّرة للنقل بملاحظة أقسام الحقائق من اللغويّة </w:t>
      </w:r>
    </w:p>
    <w:p>
      <w:pPr>
        <w:pStyle w:val="BookText"/>
        <w:rPr/>
      </w:pPr>
      <w:r>
        <w:rPr>
          <w:rFonts w:ascii="Amiri" w:hAnsi="Amiri" w:eastAsia="Amiri" w:cs="Amiri"/>
          <w:color w:val="111111"/>
          <w:sz w:val="28"/>
          <w:sz w:val="28"/>
          <w:szCs w:val="28"/>
          <w:rtl w:val="true"/>
          <w:lang w:bidi="ar-SA"/>
        </w:rPr>
        <w:t>والشرعيّة والعرفيّة والاصطلاحيّة ستّة عشر، يحصل من ملاحظة كلّ من الأقسام معه ومع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اللغويّة من اللغويّة والشرعيّة والعرفيّة والاصطلاحيّة؛ ونقل الشرعيّة من الشرعيّة واللغويّة والعرفيّة والاصطلاحيّة؛ ونقل العرفيّة من العرفيّة واللغويّة والشرعيّة والاصطلاحيّة؛ ونقل الاصطلاحيّة من الاصطلاحيّة واللغويّة والشرعيّة والعرفيّة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بعضًا من هذه الأقسام معلومُ التحقّق وبعضها معلوم العدم وبعضها محتمل الأمرين، والتفصيل يظهر بعد الإحاطة بما ذكرنا في هذه الأقسام الثلاثة، فخذ ما آتيتك وكن من الشاكرين</w:t>
      </w:r>
      <w:r>
        <w:rPr>
          <w:rFonts w:eastAsia="Amiri" w:cs="Amiri" w:ascii="Amiri" w:hAnsi="Amiri"/>
          <w:color w:val="111111"/>
          <w:sz w:val="28"/>
          <w:szCs w:val="28"/>
          <w:rtl w:val="true"/>
          <w:lang w:bidi="ar-SA"/>
        </w:rPr>
        <w:t xml:space="preserve">. </w:t>
      </w:r>
      <w:bookmarkStart w:id="617" w:name="pg16224_170585"/>
    </w:p>
    <w:p>
      <w:pPr>
        <w:pStyle w:val="Heading3"/>
        <w:numPr>
          <w:ilvl w:val="2"/>
          <w:numId w:val="1"/>
        </w:numPr>
        <w:rPr/>
      </w:pPr>
      <w:bookmarkStart w:id="618" w:name="__RefHeading___Toc3734746_1280447820"/>
      <w:bookmarkStart w:id="619" w:name="_Toc239"/>
      <w:bookmarkEnd w:id="617"/>
      <w:bookmarkEnd w:id="618"/>
      <w:r>
        <w:rPr>
          <w:rtl w:val="true"/>
        </w:rPr>
        <w:t>الفصل الرابع</w:t>
      </w:r>
      <w:r>
        <w:rPr>
          <w:rtl w:val="true"/>
        </w:rPr>
        <w:t xml:space="preserve">: </w:t>
      </w:r>
      <w:r>
        <w:rPr>
          <w:rtl w:val="true"/>
        </w:rPr>
        <w:t>في الأمور المتعلّقة بالأقسام المذكورة للحقائق</w:t>
      </w:r>
      <w:bookmarkEnd w:id="619"/>
    </w:p>
    <w:p>
      <w:pPr>
        <w:pStyle w:val="Heading4"/>
        <w:numPr>
          <w:ilvl w:val="3"/>
          <w:numId w:val="1"/>
        </w:numPr>
        <w:rPr/>
      </w:pPr>
      <w:bookmarkStart w:id="620" w:name="__RefHeading___Toc3734748_1280447820"/>
      <w:bookmarkStart w:id="621" w:name="_Toc240"/>
      <w:bookmarkEnd w:id="620"/>
      <w:r>
        <w:rPr>
          <w:rtl w:val="true"/>
        </w:rPr>
        <w:t>اشارة</w:t>
      </w:r>
      <w:bookmarkEnd w:id="621"/>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3734750_1280447820"/>
      <w:bookmarkStart w:id="623" w:name="_Toc241"/>
      <w:bookmarkEnd w:id="622"/>
      <w:r>
        <w:rPr>
          <w:rtl w:val="true"/>
        </w:rPr>
        <w:t>المبحث الأوّل</w:t>
      </w:r>
      <w:r>
        <w:rPr>
          <w:rtl w:val="true"/>
        </w:rPr>
        <w:t xml:space="preserve">: </w:t>
      </w:r>
      <w:r>
        <w:rPr>
          <w:rtl w:val="true"/>
        </w:rPr>
        <w:t>في تعيين الموضوع له</w:t>
      </w:r>
      <w:bookmarkEnd w:id="623"/>
    </w:p>
    <w:p>
      <w:pPr>
        <w:pStyle w:val="Heading5"/>
        <w:numPr>
          <w:ilvl w:val="4"/>
          <w:numId w:val="1"/>
        </w:numPr>
        <w:rPr/>
      </w:pPr>
      <w:bookmarkStart w:id="624" w:name="__RefHeading___Toc3734752_1280447820"/>
      <w:bookmarkStart w:id="625" w:name="_Toc242"/>
      <w:bookmarkEnd w:id="624"/>
      <w:r>
        <w:rPr>
          <w:rtl w:val="true"/>
        </w:rPr>
        <w:t>في أنّ الألفاظ موضوعة بإزاء المعاني الذهنيّة أو الخارجيّة</w:t>
      </w:r>
      <w:bookmarkEnd w:id="625"/>
    </w:p>
    <w:p>
      <w:pPr>
        <w:pStyle w:val="Heading6"/>
        <w:numPr>
          <w:ilvl w:val="5"/>
          <w:numId w:val="1"/>
        </w:numPr>
        <w:rPr/>
      </w:pPr>
      <w:bookmarkStart w:id="626" w:name="__RefHeading___Toc3734754_1280447820"/>
      <w:bookmarkStart w:id="627" w:name="_Toc243"/>
      <w:bookmarkEnd w:id="626"/>
      <w:r>
        <w:rPr>
          <w:rtl w:val="true"/>
        </w:rPr>
        <w:t>اشارة</w:t>
      </w:r>
      <w:bookmarkEnd w:id="627"/>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اختلفوا في ذلك على أقوال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الألفاظ بأسرها موضوعة للأمور الخارجيّة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موضوعة للمعاني الذهنيّة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موضوعة للماهيّات من حيث هي هي، أي مع قطع النظر عن كونها موجودة في الخارج، أو مُرتسمة في الذهن</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bookmarkStart w:id="628" w:name="pg16224_170586"/>
    </w:p>
    <w:p>
      <w:pPr>
        <w:pStyle w:val="BookText"/>
        <w:rPr/>
      </w:pPr>
      <w:bookmarkEnd w:id="628"/>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بأنّ الألفاظ في الجزئيّات الخارجيّة موضوعة للأشخاص الخارجيّة، وفي الجزئيّات الذهنيّة للأشخاص الذهنيّة، وفي الكلّيّات للماهيّات من حيث هي، فهو قول بالأقوال الثلاثة كلٌّ في مورد</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9" w:name="__RefHeading___Toc3734756_1280447820"/>
      <w:bookmarkStart w:id="630" w:name="_Toc244"/>
      <w:bookmarkEnd w:id="629"/>
      <w:r>
        <w:rPr>
          <w:rtl w:val="true"/>
        </w:rPr>
        <w:t>مستند القول الأوّل</w:t>
      </w:r>
      <w:r>
        <w:rPr>
          <w:rtl w:val="true"/>
        </w:rPr>
        <w:t xml:space="preserve">: </w:t>
      </w:r>
      <w:r>
        <w:rPr>
          <w:rtl w:val="true"/>
        </w:rPr>
        <w:t>مستند القول بكون الألفاظ موضوعة للمعاني الخارجيّة مع الجواب عنه</w:t>
      </w:r>
      <w:bookmarkEnd w:id="630"/>
    </w:p>
    <w:p>
      <w:pPr>
        <w:pStyle w:val="Heading6"/>
        <w:numPr>
          <w:ilvl w:val="5"/>
          <w:numId w:val="1"/>
        </w:numPr>
        <w:rPr/>
      </w:pPr>
      <w:bookmarkStart w:id="631" w:name="__RefHeading___Toc3734758_1280447820"/>
      <w:bookmarkStart w:id="632" w:name="_Toc245"/>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واستدلّ من ذهب إلى الأوّل بأنّها لو لم تكن موضوعة للحقائق الخارجيّة؛ لما كانت متبادرة منها عند الإطلاق،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الشرطيّة فلأنّها حينئذٍ لم تكن من المعاني الحقيقيّة، والتبادر على ما تقدّم تحقيقه من خواصّ الحقيقة، وخاصّة الشيء ما لا يوجد في غيره وإلّا لم تكن خاصّة 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بطلان التالي فلظهور أنّ المتبادر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السوق، وبعت العبد، وأخذت الدراهم، واشتريت الإدام، ودخلت الدار، وأكلت الخبز، وشربت الماء وغير ذلك، الحقائق الخارجيّة بحيث لا يمكن إنكاره، فلو لم تكن الألفاظ موضوعة بإزائها لم يكن الأمر كذلك</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633" w:name="pg16224_170587"/>
    </w:p>
    <w:p>
      <w:pPr>
        <w:pStyle w:val="Heading6"/>
        <w:numPr>
          <w:ilvl w:val="5"/>
          <w:numId w:val="1"/>
        </w:numPr>
        <w:rPr/>
      </w:pPr>
      <w:bookmarkStart w:id="634" w:name="__RefHeading___Toc3734760_1280447820"/>
      <w:bookmarkStart w:id="635" w:name="_Toc246"/>
      <w:bookmarkEnd w:id="633"/>
      <w:bookmarkEnd w:id="634"/>
      <w:r>
        <w:rPr>
          <w:rtl w:val="true"/>
        </w:rPr>
        <w:t>الجواب عن مستند القول الأوّل بالمعارضة</w:t>
      </w:r>
      <w:bookmarkEnd w:id="635"/>
    </w:p>
    <w:p>
      <w:pPr>
        <w:pStyle w:val="Heading6"/>
        <w:numPr>
          <w:ilvl w:val="5"/>
          <w:numId w:val="1"/>
        </w:numPr>
        <w:rPr/>
      </w:pPr>
      <w:bookmarkStart w:id="636" w:name="__RefHeading___Toc3734762_1280447820"/>
      <w:bookmarkStart w:id="637" w:name="_Toc247"/>
      <w:bookmarkEnd w:id="636"/>
      <w:r>
        <w:rPr>
          <w:rtl w:val="true"/>
        </w:rPr>
        <w:t>اشارة</w:t>
      </w:r>
      <w:bookmarkEnd w:id="637"/>
    </w:p>
    <w:p>
      <w:pPr>
        <w:pStyle w:val="BookText"/>
        <w:rPr/>
      </w:pPr>
      <w:r>
        <w:rPr>
          <w:rFonts w:ascii="Amiri" w:hAnsi="Amiri" w:eastAsia="Amiri" w:cs="Amiri"/>
          <w:color w:val="111111"/>
          <w:sz w:val="28"/>
          <w:sz w:val="28"/>
          <w:szCs w:val="28"/>
          <w:rtl w:val="true"/>
          <w:lang w:bidi="ar-SA"/>
        </w:rPr>
        <w:t>ويمكن الجواب عنه بالمعارضة والمناقضة، أمّا الأوّل فمن وجوه</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3734764_1280447820"/>
      <w:bookmarkStart w:id="639" w:name="_Toc248"/>
      <w:bookmarkEnd w:id="638"/>
      <w:r>
        <w:rPr>
          <w:rtl w:val="true"/>
        </w:rPr>
        <w:t>الوجه الأوّل</w:t>
      </w:r>
      <w:bookmarkEnd w:id="63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الألفاظ لو كانت بأسرها موضوعات للأمور الخارجيّة؛ لامتنع إطلاق شيء منها حقيقة على المعدومات في الخارج</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والشرطيّة ظاهرة، أمّا بطلان التالي فللقطع بأنّ شريك الباري والمعدوم والمنفي وما ضاهاها حقيقة في معانيها المفهومة منها، مع أنّه لا تحقّق لشيء منها في الخارج، وكذا الكلام في الألفاظ المستعملة في المعاني الكلّيّة والصور الذهنيّة الجزئيّة</w:t>
      </w:r>
      <w:r>
        <w:rPr>
          <w:rFonts w:eastAsia="Amiri" w:cs="Amiri" w:ascii="Amiri" w:hAnsi="Amiri"/>
          <w:color w:val="111111"/>
          <w:sz w:val="28"/>
          <w:szCs w:val="28"/>
          <w:rtl w:val="true"/>
          <w:lang w:bidi="ar-SA"/>
        </w:rPr>
        <w:t>.</w:t>
      </w:r>
    </w:p>
    <w:p>
      <w:pPr>
        <w:pStyle w:val="Heading6"/>
        <w:numPr>
          <w:ilvl w:val="5"/>
          <w:numId w:val="1"/>
        </w:numPr>
        <w:rPr/>
      </w:pPr>
      <w:bookmarkStart w:id="640" w:name="__RefHeading___Toc3734766_1280447820"/>
      <w:bookmarkStart w:id="641" w:name="_Toc249"/>
      <w:bookmarkEnd w:id="640"/>
      <w:r>
        <w:rPr>
          <w:rtl w:val="true"/>
        </w:rPr>
        <w:t>الوجه الثاني</w:t>
      </w:r>
      <w:bookmarkEnd w:id="64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كانت كذلك، لزم امتناع الكذب في الأخبار؛ وبطلان التالي غنيّ عن البيان، إذ الضرورة قاضية بانقسامها إلى الصادقة والكاذبة، أمّا الشرطيّة فلأنّه بناءً على هذا التقدير يلزم أن يكون كلّ خبر موضوعًا للموجود في الخارج ودالًّا عليه، فالتكلّم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لقيام زيد الموجود في الخارج إنّما يمكن عند تحقّق القيام له في الخارج، وحينئذٍ لا يكون الكلام إلّا صادقًا</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642" w:name="pg16224_170588"/>
    </w:p>
    <w:p>
      <w:pPr>
        <w:pStyle w:val="Heading6"/>
        <w:numPr>
          <w:ilvl w:val="5"/>
          <w:numId w:val="1"/>
        </w:numPr>
        <w:rPr/>
      </w:pPr>
      <w:bookmarkStart w:id="643" w:name="__RefHeading___Toc3734768_1280447820"/>
      <w:bookmarkStart w:id="644" w:name="_Toc250"/>
      <w:bookmarkEnd w:id="642"/>
      <w:bookmarkEnd w:id="643"/>
      <w:r>
        <w:rPr>
          <w:rtl w:val="true"/>
        </w:rPr>
        <w:t>الجواب عن الوجه الثاني</w:t>
      </w:r>
      <w:bookmarkEnd w:id="644"/>
    </w:p>
    <w:p>
      <w:pPr>
        <w:pStyle w:val="BookText"/>
        <w:rPr/>
      </w:pPr>
      <w:r>
        <w:rPr>
          <w:rFonts w:ascii="Amiri" w:hAnsi="Amiri" w:eastAsia="Amiri" w:cs="Amiri"/>
          <w:color w:val="111111"/>
          <w:sz w:val="28"/>
          <w:sz w:val="28"/>
          <w:szCs w:val="28"/>
          <w:rtl w:val="true"/>
          <w:lang w:bidi="ar-SA"/>
        </w:rPr>
        <w:t>أجيب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إنّما يتوجّه إذا كانت دلالة الألفاظ على معانيها عقليّة، إذ حينئذٍ يمتنع تخلّف المدلول عن الدالّ، فيلزم من الدالّ على النسبة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تحقّقها في الخارج، كما يلزم من اللفظ المسموع وجود لافظه، لكنّه فاسد، بل دلالتها وضعيّة، وتخلّف المدلول عن الدالّ بالدلالة الوضعيّة ممّا لا شبهة فيه، فحينئذٍ لا يلزم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تحقّق النسبة في الخارج تحقّقها فيه، 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تقسيم الخبر إلى الصدق والكذب باعتبار تحقّق النسبة في الخارج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القول بكون الألفاظ موضوعة بإزاء المعاني الخارجيّة، استعمال الخبر في الموضوع له إنّما يكون عند تحقّق النسبة في الخارج، وحينئذٍ لا يحتمل الكلام غير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وحكاية جواز تخلّف المدلول لا تنفع، وعند الاستعمال في غير الموضوع له وإن كان محتملًا، لكنّ القسمة حينئذٍ غير واردة على مقسم واحد؛ لكون الأخبار المستعملة فيما وضعت له صادقة أبدًا، والأخبار المستعملة في المعاني المغايرة لما وضعت لها كاذبة كذلك</w:t>
      </w:r>
      <w:r>
        <w:rPr>
          <w:rFonts w:eastAsia="Amiri" w:cs="Amiri" w:ascii="Amiri" w:hAnsi="Amiri"/>
          <w:color w:val="111111"/>
          <w:sz w:val="28"/>
          <w:szCs w:val="28"/>
          <w:rtl w:val="true"/>
          <w:lang w:bidi="ar-SA"/>
        </w:rPr>
        <w:t>.</w:t>
      </w:r>
    </w:p>
    <w:p>
      <w:pPr>
        <w:pStyle w:val="Heading6"/>
        <w:numPr>
          <w:ilvl w:val="5"/>
          <w:numId w:val="1"/>
        </w:numPr>
        <w:rPr/>
      </w:pPr>
      <w:bookmarkStart w:id="645" w:name="__RefHeading___Toc3734770_1280447820"/>
      <w:bookmarkStart w:id="646" w:name="_Toc251"/>
      <w:bookmarkEnd w:id="645"/>
      <w:r>
        <w:rPr>
          <w:rtl w:val="true"/>
        </w:rPr>
        <w:t>الجواب عن المعارضة بنحوٍ آخر</w:t>
      </w:r>
      <w:bookmarkEnd w:id="64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يجاب عن المعارضة بنحوٍ آخر، وهو أنّها إنّما تكون متوجّهة لو كان القائل بكون الألفاظ موضوعة بإزاء المعاني الخارجيّة قائلًا بكونها موضوعة </w:t>
      </w:r>
      <w:bookmarkStart w:id="647" w:name="pg16224_170589"/>
    </w:p>
    <w:p>
      <w:pPr>
        <w:pStyle w:val="BookText"/>
        <w:rPr/>
      </w:pPr>
      <w:bookmarkEnd w:id="647"/>
      <w:r>
        <w:rPr>
          <w:rFonts w:ascii="Amiri" w:hAnsi="Amiri" w:eastAsia="Amiri" w:cs="Amiri"/>
          <w:color w:val="111111"/>
          <w:sz w:val="28"/>
          <w:sz w:val="28"/>
          <w:szCs w:val="28"/>
          <w:rtl w:val="true"/>
          <w:lang w:bidi="ar-SA"/>
        </w:rPr>
        <w:t>للمعاني الخارجيّة المطابقة لنفس الأمر بحسب الواقع، وليس الأمر كذلك؛ لما ستقف عليه في حكاية تغيّر التسمية بتغيّر الصور الذهنيّة من كونها موضوعة للمعاني الخارجيّة المطابقة لنفس الأمر بحسب اعتقاد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موضوعٌ عنده لقيام زيد الموجود في الخارج باعتقاده، فعند مطابقة الاعتقاد للواقع يكون صادقًا وعند مخالفته يكون كاذبًا، ويمكن حمل الجواب المذكور على ذلك</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8" w:name="__RefHeading___Toc3734772_1280447820"/>
      <w:bookmarkStart w:id="649" w:name="_Toc252"/>
      <w:bookmarkEnd w:id="648"/>
      <w:r>
        <w:rPr>
          <w:rtl w:val="true"/>
        </w:rPr>
        <w:t>الوجه الثالث</w:t>
      </w:r>
      <w:bookmarkEnd w:id="649"/>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الألفاظ بأسرها لو كانت موضوعة للمعاني الخارجيّة، لزم امتناع تحقّق الوضع في المركّبات والحروف؛ لأنّ معانيها أمور نسبيّة والنسبة لا وجود لها في الخارج، والتالي باطل؛ للقطع بتحقّقه في الجميع، كما حقّقناه في المقدّمة بحيث لا يبقى معه شكّ وريبة، ومنه يظهر أنّ المعارضة المذكورة مبنيّة على التسليم وغمض العين عن الحقيقة</w:t>
      </w:r>
      <w:r>
        <w:rPr>
          <w:rFonts w:eastAsia="Amiri" w:cs="Amiri" w:ascii="Amiri" w:hAnsi="Amiri"/>
          <w:color w:val="111111"/>
          <w:sz w:val="28"/>
          <w:szCs w:val="28"/>
          <w:rtl w:val="true"/>
          <w:lang w:bidi="ar-SA"/>
        </w:rPr>
        <w:t>.</w:t>
      </w:r>
    </w:p>
    <w:p>
      <w:pPr>
        <w:pStyle w:val="Heading6"/>
        <w:numPr>
          <w:ilvl w:val="5"/>
          <w:numId w:val="1"/>
        </w:numPr>
        <w:rPr/>
      </w:pPr>
      <w:bookmarkStart w:id="650" w:name="__RefHeading___Toc3734774_1280447820"/>
      <w:bookmarkStart w:id="651" w:name="_Toc253"/>
      <w:bookmarkEnd w:id="650"/>
      <w:r>
        <w:rPr>
          <w:rtl w:val="true"/>
        </w:rPr>
        <w:t>الجواب عن الوجه الثالث</w:t>
      </w:r>
      <w:bookmarkEnd w:id="65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 ذلك بأنّ الظاهر أنّ من قال بكونها موضوعة للمعاني الخارجيّة، أراد ما يكون موجودًا في الخارج بنفسه، أو بواسطة الغير؛ والمنتفي في النسبة الوجود على الطرز الأوّل لا الثاني</w:t>
      </w:r>
      <w:r>
        <w:rPr>
          <w:rFonts w:eastAsia="Amiri" w:cs="Amiri" w:ascii="Amiri" w:hAnsi="Amiri"/>
          <w:color w:val="111111"/>
          <w:sz w:val="28"/>
          <w:szCs w:val="28"/>
          <w:rtl w:val="true"/>
          <w:lang w:bidi="ar-SA"/>
        </w:rPr>
        <w:t xml:space="preserve">. </w:t>
      </w:r>
      <w:bookmarkStart w:id="652" w:name="pg16224_170590"/>
    </w:p>
    <w:p>
      <w:pPr>
        <w:pStyle w:val="Heading6"/>
        <w:numPr>
          <w:ilvl w:val="5"/>
          <w:numId w:val="1"/>
        </w:numPr>
        <w:rPr/>
      </w:pPr>
      <w:bookmarkStart w:id="653" w:name="__RefHeading___Toc3734776_1280447820"/>
      <w:bookmarkStart w:id="654" w:name="_Toc254"/>
      <w:bookmarkEnd w:id="652"/>
      <w:bookmarkEnd w:id="653"/>
      <w:r>
        <w:rPr>
          <w:rtl w:val="true"/>
        </w:rPr>
        <w:t>الجواب عن مستند القول الأوّل بالمناقضة</w:t>
      </w:r>
      <w:bookmarkEnd w:id="654"/>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أنّا لا نسلّم تبادر المعاني الخارجيّة عند انتفاء القرينة، واستفادتها من الألفاظ المذكورة في الأمثلة المتقدّمة وإن كانت مسلّمة، لكنّها مقرونة بالقرائن الدالّة على الخارجيّة، كالدخول والبيع والشراء والأكل والشرب؛ والفهم الّذي له مدخليّة في إثبات الحقيقة إنّما هو الفهم من غير معونة القرينة</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3734778_1280447820"/>
      <w:bookmarkStart w:id="656" w:name="_Toc255"/>
      <w:bookmarkEnd w:id="655"/>
      <w:r>
        <w:rPr>
          <w:rtl w:val="true"/>
        </w:rPr>
        <w:t>الجواب عن المناقضة</w:t>
      </w:r>
      <w:bookmarkEnd w:id="656"/>
    </w:p>
    <w:p>
      <w:pPr>
        <w:pStyle w:val="BookText"/>
        <w:rPr/>
      </w:pPr>
      <w:r>
        <w:rPr>
          <w:rFonts w:ascii="Amiri" w:hAnsi="Amiri" w:eastAsia="Amiri" w:cs="Amiri"/>
          <w:color w:val="111111"/>
          <w:sz w:val="28"/>
          <w:sz w:val="28"/>
          <w:szCs w:val="28"/>
          <w:rtl w:val="true"/>
          <w:lang w:bidi="ar-SA"/>
        </w:rPr>
        <w:t>لكنّه خلاف الإنصاف،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شبهة في تبادر المعاني الخارجيّة من الألفاظ المتقدّمة وإن تجرّدت عن القرائن المذكورة، 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الألفاظ المذكورة إنّما تصلح للقرينة لاستفادة المعاني الخارجيّة منها؛ لوضوح أنّه لو أريد منها المعاني الذهنيّة لا تكون صالحة لذلك، واستفادتها إنّما هو لتبادرها منها، فلا يكون ذلك إلّا لوضعها، فالحقّ الّذي لا محيص عنه تسليم تبادرها منها، لكن غاية ما يلزم من ذلك كونها حقيقة في تلك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فيما يكون الأمر فيه على تلك المثابة ولا يثبت منه الكلّيّة الّتي ادّعاها المستدلّ من وضع الألفاظ بأسرها للمعاني الخارجيّة، وستعرف حقيقة الحال وتفصيل المقال عند إبراز الحقّ من بين الأقوال</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3734780_1280447820"/>
      <w:bookmarkStart w:id="658" w:name="_Toc256"/>
      <w:bookmarkEnd w:id="657"/>
      <w:r>
        <w:rPr>
          <w:rtl w:val="true"/>
        </w:rPr>
        <w:t>مستند القول الثاني</w:t>
      </w:r>
      <w:r>
        <w:rPr>
          <w:rtl w:val="true"/>
        </w:rPr>
        <w:t xml:space="preserve">: </w:t>
      </w:r>
      <w:r>
        <w:rPr>
          <w:rtl w:val="true"/>
        </w:rPr>
        <w:t>حجّة القول بأنّ الألفاظ موضوعة للمعاني الذهنيّة دون الخارجيّة</w:t>
      </w:r>
      <w:bookmarkEnd w:id="658"/>
    </w:p>
    <w:p>
      <w:pPr>
        <w:pStyle w:val="Heading6"/>
        <w:numPr>
          <w:ilvl w:val="5"/>
          <w:numId w:val="1"/>
        </w:numPr>
        <w:rPr/>
      </w:pPr>
      <w:bookmarkStart w:id="659" w:name="__RefHeading___Toc3734782_1280447820"/>
      <w:bookmarkStart w:id="660" w:name="_Toc257"/>
      <w:bookmarkEnd w:id="659"/>
      <w:r>
        <w:rPr>
          <w:rtl w:val="true"/>
        </w:rPr>
        <w:t>اشارة</w:t>
      </w:r>
      <w:bookmarkEnd w:id="66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القائلون بالثاني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لم تكن موضوعة للصور الذهنيّة لما </w:t>
      </w:r>
    </w:p>
    <w:p>
      <w:pPr>
        <w:pStyle w:val="BookText"/>
        <w:rPr/>
      </w:pPr>
      <w:r>
        <w:rPr>
          <w:rFonts w:ascii="Amiri" w:hAnsi="Amiri" w:eastAsia="Amiri" w:cs="Amiri"/>
          <w:color w:val="111111"/>
          <w:sz w:val="28"/>
          <w:sz w:val="28"/>
          <w:szCs w:val="28"/>
          <w:rtl w:val="true"/>
          <w:lang w:bidi="ar-SA"/>
        </w:rPr>
        <w:t>دارت معها وجودًا وعدمًا،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أنّها لو لم يكن كذلك، لما تغيّرت تسمية الشيء الواحد الخارجيّ بتغيّر الصور الذهنيّة، والتالي باطل</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الملازمة؛ فلأنّ الصور الذهنيّة حينئذٍ إمّا معانٍ مجازيّة للألفاظ، أو ليست هي أيضًا، وعلى التقديرين لا وجه لعدم إمكان الإطلاق عند انتفائها، أمّا على الثاني فغير مفتقر إلى البيان، وأمّا على الأوّل فلأنّ المعاني الحقيقيّة للألفاظ حينئذٍ غير الصور الذهنيّة، أي الأمور الخارجيّة، والضرورة قاضية بأنّ انتفاء المعاني المجازيّة غير صالح لسلب إطلاق الألفاظ على المعاني الحقيقيّة،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يؤكّد ذلك، وأنّ وضع الألفاظ للاستعمال في المعاني الحقيقيّة وانتفاء غيرها كيف يصير مانعًا عن ترتّب تلك</w:t>
      </w:r>
      <w:r>
        <w:rPr>
          <w:rStyle w:val="FootnoteAnchor"/>
          <w:rtl w:val="true"/>
        </w:rPr>
        <w:footnoteReference w:id="563"/>
      </w:r>
      <w:r>
        <w:rPr>
          <w:rFonts w:ascii="Amiri" w:hAnsi="Amiri" w:eastAsia="Amiri" w:cs="Amiri"/>
          <w:color w:val="111111"/>
          <w:sz w:val="28"/>
          <w:sz w:val="28"/>
          <w:szCs w:val="28"/>
          <w:rtl w:val="true"/>
          <w:lang w:bidi="ar-SA"/>
        </w:rPr>
        <w:t>الفائدة، وكذا إطلاق اللفظ على المعنى المجازيّ لا يسلب صحّة إطلاقه على معناه الحقيقيّ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التالي؛ فلأنّ مَن رأى شبحًا من بعيد وظنّه حجرًا ترتسم الصورة الحجريّة في ذهنه فسمّاه به، فإذا تغيّر ذلك بظنّه شجرًا ترتسم صورته الشجريّة في ذهنه فسمّاه به، وإذا تغيّر ذلك بظنّه إنسانًا ترتسم صورته في ذهنه فسمّاه به، ولا يطلق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في نفس الأمر واحدًا منهما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فانتفاء المعنى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الصورة الحجريّة مثلًا وتغيّره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سببًا لعدم </w:t>
      </w:r>
    </w:p>
    <w:p>
      <w:pPr>
        <w:pStyle w:val="BookText"/>
        <w:rPr/>
      </w:pPr>
      <w:r>
        <w:rPr>
          <w:rFonts w:ascii="Amiri" w:hAnsi="Amiri" w:eastAsia="Amiri" w:cs="Amiri"/>
          <w:color w:val="111111"/>
          <w:sz w:val="28"/>
          <w:sz w:val="28"/>
          <w:szCs w:val="28"/>
          <w:rtl w:val="true"/>
          <w:lang w:bidi="ar-SA"/>
        </w:rPr>
        <w:t xml:space="preserve">صحّة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معناه الحقيقيّ على فرض وضعه للمعنى الخارجيّ، وكذا إطلاق اللفظ على المعنى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الصورة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سببًا لعدم إطلاق اللفظ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الحجر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التسمية بتغيّر الصور الذهنيّة مع كون المسمّى في الخارج واحدًا، وكذا عدم تغيّرها لعدم تغيّرها مع كون المسمّى فيه مختلفًا، دليلٌ ظاهر على كون الوضع للصور الذهنيّة، لا الأمور الخارجيّة،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مَن رأى أشباحًا مختلفة في نفس الأمر كالشجر والحجر والإنسان، وظنّ الجميع إنسانًا مثلًا، لا يرتسم في ذهنه إلّا الصورة الإنسانيّة ولا يصحّ عنده الإطلاق على الجميع إلّا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فعلى هذا فالمناسب</w:t>
      </w:r>
      <w:r>
        <w:rPr>
          <w:rStyle w:val="FootnoteAnchor"/>
          <w:rtl w:val="true"/>
        </w:rPr>
        <w:footnoteReference w:id="564"/>
      </w:r>
      <w:r>
        <w:rPr>
          <w:rFonts w:ascii="Amiri" w:hAnsi="Amiri" w:eastAsia="Amiri" w:cs="Amiri"/>
          <w:color w:val="111111"/>
          <w:sz w:val="28"/>
          <w:sz w:val="28"/>
          <w:szCs w:val="28"/>
          <w:rtl w:val="true"/>
          <w:lang w:bidi="ar-SA"/>
        </w:rPr>
        <w:t>أن يُقرّر الدليل هكذا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يكن</w:t>
      </w:r>
      <w:r>
        <w:rPr>
          <w:rStyle w:val="FootnoteAnchor"/>
          <w:rtl w:val="true"/>
        </w:rPr>
        <w:footnoteReference w:id="565"/>
      </w:r>
      <w:r>
        <w:rPr>
          <w:rFonts w:ascii="Amiri" w:hAnsi="Amiri" w:eastAsia="Amiri" w:cs="Amiri"/>
          <w:color w:val="111111"/>
          <w:sz w:val="28"/>
          <w:sz w:val="28"/>
          <w:szCs w:val="28"/>
          <w:rtl w:val="true"/>
          <w:lang w:bidi="ar-SA"/>
        </w:rPr>
        <w:t>الألفاظ موضوعة للصور الذهنيّة؛ لما تغيّرت التسمية بتغيّر الصورة مع كون المسمّى في الخارج واحدًا، وكذا لما اتّحدت التسمية لأشياء متعدّدة عند وحدة الصورة مع كون المسمّى مختلفًا؛ واللزوم وكذا بطلان التالي قد ظهر ممّا ذكر</w:t>
      </w:r>
      <w:r>
        <w:rPr>
          <w:rFonts w:eastAsia="Amiri" w:cs="Amiri" w:ascii="Amiri" w:hAnsi="Amiri"/>
          <w:color w:val="111111"/>
          <w:sz w:val="28"/>
          <w:szCs w:val="28"/>
          <w:rtl w:val="true"/>
          <w:lang w:bidi="ar-SA"/>
        </w:rPr>
        <w:t xml:space="preserve">.  </w:t>
      </w:r>
      <w:bookmarkStart w:id="661" w:name="pg16224_170593"/>
    </w:p>
    <w:p>
      <w:pPr>
        <w:pStyle w:val="Heading6"/>
        <w:numPr>
          <w:ilvl w:val="5"/>
          <w:numId w:val="1"/>
        </w:numPr>
        <w:rPr/>
      </w:pPr>
      <w:bookmarkStart w:id="662" w:name="__RefHeading___Toc3734784_1280447820"/>
      <w:bookmarkStart w:id="663" w:name="_Toc258"/>
      <w:bookmarkEnd w:id="661"/>
      <w:bookmarkEnd w:id="662"/>
      <w:r>
        <w:rPr>
          <w:rtl w:val="true"/>
        </w:rPr>
        <w:t>الجواب عن مستند القول الثاني بالمنع</w:t>
      </w:r>
      <w:bookmarkEnd w:id="663"/>
    </w:p>
    <w:p>
      <w:pPr>
        <w:pStyle w:val="BookText"/>
        <w:rPr/>
      </w:pPr>
      <w:r>
        <w:rPr>
          <w:rFonts w:ascii="Amiri" w:hAnsi="Amiri" w:eastAsia="Amiri" w:cs="Amiri"/>
          <w:color w:val="111111"/>
          <w:sz w:val="28"/>
          <w:sz w:val="28"/>
          <w:szCs w:val="28"/>
          <w:rtl w:val="true"/>
          <w:lang w:bidi="ar-SA"/>
        </w:rPr>
        <w:t>في إبطال</w:t>
      </w:r>
      <w:r>
        <w:rPr>
          <w:rStyle w:val="FootnoteAnchor"/>
          <w:rtl w:val="true"/>
        </w:rPr>
        <w:footnoteReference w:id="566"/>
      </w:r>
      <w:r>
        <w:rPr>
          <w:rFonts w:ascii="Amiri" w:hAnsi="Amiri" w:eastAsia="Amiri" w:cs="Amiri"/>
          <w:color w:val="111111"/>
          <w:sz w:val="28"/>
          <w:sz w:val="28"/>
          <w:szCs w:val="28"/>
          <w:rtl w:val="true"/>
          <w:lang w:bidi="ar-SA"/>
        </w:rPr>
        <w:t xml:space="preserve">حجّة القول بكون الألفاظ موضوعة للمعاني الذهنيّة والجواب عنه بالمنع والمعارضة، أمّا الأوّل فلأنّا لا نسلّم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التسمية إنّما هو بتغيّر الصورة ودوران الألفاظ معها، بل إنّما هو لتغيّر الشيء الخارجيّ باعتقاده، فلمّا اعتقد ذلك الشيء الخارج حجرًا سمّاه به، ثمّ لمّا تبيّن له فساد ذلك الاعتقاد باعتقاد كونه شجرًا سمّاه به وهكذا؛ فتسميته حجرًا إنّما هو باعتقاده حجرًا في الخارج، وكذا الحال في الشجر، فدوران الألفاظ إنّما هو مع الشيء الخارجيّ باعتقاده</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w:t>
      </w:r>
      <w:r>
        <w:rPr>
          <w:rStyle w:val="FootnoteAnchor"/>
          <w:rtl w:val="true"/>
        </w:rPr>
        <w:footnoteReference w:id="568"/>
      </w:r>
      <w:r>
        <w:rPr>
          <w:rFonts w:ascii="Amiri" w:hAnsi="Amiri" w:eastAsia="Amiri" w:cs="Amiri"/>
          <w:color w:val="111111"/>
          <w:sz w:val="28"/>
          <w:sz w:val="28"/>
          <w:szCs w:val="28"/>
          <w:rtl w:val="true"/>
          <w:lang w:bidi="ar-SA"/>
        </w:rPr>
        <w:t xml:space="preserve">الخارج في الواقع ونفس الأمر غير مختلف، فلو كان اللفظ موضوعًا بإزائه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لاختلافه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بناءً على هذا القول وإن كان موضوعًا للشيء الخارجيّ النفس الأمريّ، لكن الشيء الخارجيّ النفس الأمريّ الّذي يكون باعتقاد المستعمل كذلك، وحيث اعتقد أنّه الحجر النفس الأمريّ أطلق عليه اللفظ الموضوع للشيء النفس الأمريّ، ثمّ لمّا تبيّن له فساده ظهر أنّه ما أصاب نفس الأمر وأخطأ في التسمية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ذلك إنّما يتوجّه لو قلنا بأنّ اللفظ موضوع للشيء الخارج</w:t>
      </w:r>
      <w:r>
        <w:rPr>
          <w:rStyle w:val="FootnoteAnchor"/>
          <w:rtl w:val="true"/>
        </w:rPr>
        <w:footnoteReference w:id="569"/>
      </w:r>
      <w:r>
        <w:rPr>
          <w:rFonts w:ascii="IRNazanin" w:hAnsi="IRNazanin" w:eastAsia="IRNazanin"/>
          <w:color w:val="111111"/>
          <w:sz w:val="28"/>
          <w:sz w:val="28"/>
          <w:szCs w:val="28"/>
          <w:rtl w:val="true"/>
          <w:lang w:bidi="fa-IR"/>
        </w:rPr>
        <w:t xml:space="preserve">النفس </w:t>
      </w:r>
      <w:bookmarkStart w:id="664" w:name="pg16224_170594"/>
    </w:p>
    <w:p>
      <w:pPr>
        <w:pStyle w:val="BookText"/>
        <w:rPr/>
      </w:pPr>
      <w:bookmarkEnd w:id="664"/>
      <w:r>
        <w:rPr>
          <w:rFonts w:ascii="Amiri" w:hAnsi="Amiri" w:eastAsia="Amiri" w:cs="Amiri"/>
          <w:color w:val="111111"/>
          <w:sz w:val="28"/>
          <w:sz w:val="28"/>
          <w:szCs w:val="28"/>
          <w:rtl w:val="true"/>
          <w:lang w:bidi="ar-SA"/>
        </w:rPr>
        <w:t>الأمريّ بشرط مطابقته للواقع، لكنّه فاسد، إذ لا شبهة في أنّ وضع الألفاظ للاستعمال في المعاني؛ ولو كان الأمر على ما ذكر؛ لما أمكن ذلك إلّا بعد العلم بمطابقته للواقع بحيث لا يحتمل المخالفة، وهو ممّا يقطع بفساده، بل ربّما يمكن دعوى استحالته؛ لاحتمال الاشتباه وتطرّق الغلط إلى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يتفاوت الحال في ذلك بين كونه موضوعًا للشيء الخارجيّ والصورة الذهنيّة؛ لأنّ مقتضاه أن يكون موضوعًا للصورة الذهنيّة النفس الأمريّ بشرط مطابقتها للواقع، فحينئذٍ ينبغي أن لا يطلق عليه إلّا اللفظ الموضوع بإزاء الصورة الواحدة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هذا الاشتراط في الشيء الخارجي</w:t>
      </w:r>
      <w:r>
        <w:rPr>
          <w:rStyle w:val="FootnoteAnchor"/>
          <w:rtl w:val="true"/>
        </w:rPr>
        <w:footnoteReference w:id="570"/>
      </w:r>
      <w:r>
        <w:rPr>
          <w:rFonts w:ascii="Amiri" w:hAnsi="Amiri" w:eastAsia="Amiri" w:cs="Amiri"/>
          <w:color w:val="111111"/>
          <w:sz w:val="28"/>
          <w:sz w:val="28"/>
          <w:szCs w:val="28"/>
          <w:rtl w:val="true"/>
          <w:lang w:bidi="ar-SA"/>
        </w:rPr>
        <w:t>دون الصورة من الأمور التحكميّة الّتي لا يرضى التفوّه بها إلّا مَن لم يكن له من العقل حظّ ومن الفهم نصيب</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3734786_1280447820"/>
      <w:bookmarkStart w:id="666" w:name="_Toc259"/>
      <w:bookmarkEnd w:id="665"/>
      <w:r>
        <w:rPr>
          <w:rtl w:val="true"/>
        </w:rPr>
        <w:t>الجواب عن مستند القول الثاني بالمعارضة</w:t>
      </w:r>
      <w:bookmarkEnd w:id="666"/>
    </w:p>
    <w:p>
      <w:pPr>
        <w:pStyle w:val="Heading6"/>
        <w:numPr>
          <w:ilvl w:val="5"/>
          <w:numId w:val="1"/>
        </w:numPr>
        <w:rPr/>
      </w:pPr>
      <w:bookmarkStart w:id="667" w:name="__RefHeading___Toc3734788_1280447820"/>
      <w:bookmarkStart w:id="668" w:name="_Toc260"/>
      <w:bookmarkEnd w:id="667"/>
      <w:r>
        <w:rPr>
          <w:rtl w:val="true"/>
        </w:rPr>
        <w:t>اشارة</w:t>
      </w:r>
      <w:bookmarkEnd w:id="668"/>
    </w:p>
    <w:p>
      <w:pPr>
        <w:pStyle w:val="BookText"/>
        <w:rPr/>
      </w:pPr>
      <w:r>
        <w:rPr>
          <w:rFonts w:ascii="Amiri" w:hAnsi="Amiri" w:eastAsia="Amiri" w:cs="Amiri"/>
          <w:color w:val="111111"/>
          <w:sz w:val="28"/>
          <w:sz w:val="28"/>
          <w:szCs w:val="28"/>
          <w:rtl w:val="true"/>
          <w:lang w:bidi="ar-SA"/>
        </w:rPr>
        <w:t>وأمّا الثاني فمن وجوه</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3734790_1280447820"/>
      <w:bookmarkStart w:id="670" w:name="_Toc261"/>
      <w:bookmarkEnd w:id="669"/>
      <w:r>
        <w:rPr>
          <w:rtl w:val="true"/>
        </w:rPr>
        <w:t>الوجه الأوّل</w:t>
      </w:r>
      <w:bookmarkEnd w:id="67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لا يجوز أن يكون الألفاظ بأسرها موضوعة بإزاء الصور</w:t>
      </w:r>
      <w:r>
        <w:rPr>
          <w:rStyle w:val="FootnoteAnchor"/>
          <w:rtl w:val="true"/>
        </w:rPr>
        <w:footnoteReference w:id="571"/>
      </w:r>
      <w:r>
        <w:rPr>
          <w:rFonts w:ascii="Amiri" w:hAnsi="Amiri" w:eastAsia="Amiri" w:cs="Amiri"/>
          <w:color w:val="111111"/>
          <w:sz w:val="28"/>
          <w:sz w:val="28"/>
          <w:szCs w:val="28"/>
          <w:rtl w:val="true"/>
          <w:lang w:bidi="ar-SA"/>
        </w:rPr>
        <w:t>الذهنيّة، إذ لو كان الأمر كذلك لما أمكن استعمال شيء من الألفاظ في المعاني الخارجيّة إلّا على وجه المجاز دون الحقيقة، والتالي باطل</w:t>
      </w:r>
      <w:r>
        <w:rPr>
          <w:rFonts w:eastAsia="Amiri" w:cs="Amiri" w:ascii="Amiri" w:hAnsi="Amiri"/>
          <w:color w:val="111111"/>
          <w:sz w:val="28"/>
          <w:szCs w:val="28"/>
          <w:rtl w:val="true"/>
          <w:lang w:bidi="ar-SA"/>
        </w:rPr>
        <w:t xml:space="preserve">. </w:t>
      </w:r>
      <w:bookmarkStart w:id="671" w:name="pg16224_170595"/>
    </w:p>
    <w:p>
      <w:pPr>
        <w:pStyle w:val="BookText"/>
        <w:rPr/>
      </w:pPr>
      <w:bookmarkEnd w:id="671"/>
      <w:r>
        <w:rPr>
          <w:rFonts w:ascii="Amiri" w:hAnsi="Amiri" w:eastAsia="Amiri" w:cs="Amiri"/>
          <w:color w:val="111111"/>
          <w:sz w:val="28"/>
          <w:sz w:val="28"/>
          <w:szCs w:val="28"/>
          <w:rtl w:val="true"/>
          <w:lang w:bidi="ar-SA"/>
        </w:rPr>
        <w:t>أمّا الشرطيّة فظاهر، إذ على هذا التقدير لا يكون الموضوع له إلّا الصور الذهنيّة، فيكون المعاني الخارجيّة غير الموضوع لها، فاستعمال الألفاظ فيها لا يكون في الموضوع له، فلا يكون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التالي فللقطع بتحقّق أمارة الحقيقة من التبادر وعدم صحّة السلب والاطّراد في كثير من الألفاظ بالنسبة إلى الخارجيّة كما مرّت إلى جملة منها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إرادة الصور الذهنيّة في كثير منها غير ممكنة،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مريض، وعمرو شاعر، وبكر فاضل، ونحوها، واحتمال استعمالها في المعاني الخارجيّة مجازًا لعلاقة المشاكلة ممّا لا يحتمله مَن له أدنى اطّلاع على مباحث الفنّ، وقد عرفت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بمجازيّة الألفاظ بأسرها في المعاني الخارجيّة ممّا يقطع بفساده، بل خلاف الضرورة</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3734792_1280447820"/>
      <w:bookmarkStart w:id="673" w:name="_Toc262"/>
      <w:bookmarkEnd w:id="672"/>
      <w:r>
        <w:rPr>
          <w:rtl w:val="true"/>
        </w:rPr>
        <w:t>الوجه الثاني</w:t>
      </w:r>
      <w:bookmarkEnd w:id="67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لو كانت الألفاظ بأسرها موضوعة للصور</w:t>
      </w:r>
      <w:r>
        <w:rPr>
          <w:rStyle w:val="FootnoteAnchor"/>
          <w:rtl w:val="true"/>
        </w:rPr>
        <w:footnoteReference w:id="572"/>
      </w:r>
      <w:r>
        <w:rPr>
          <w:rFonts w:ascii="Amiri" w:hAnsi="Amiri" w:eastAsia="Amiri" w:cs="Amiri"/>
          <w:color w:val="111111"/>
          <w:sz w:val="28"/>
          <w:sz w:val="28"/>
          <w:szCs w:val="28"/>
          <w:rtl w:val="true"/>
          <w:lang w:bidi="ar-SA"/>
        </w:rPr>
        <w:t xml:space="preserve">الذهنيّة؛ لوجب الانتقال عند سماع الألفاظ إليها، والتالي باطل، والملازمة بيّنة، أمّا بطلان التالي فللقطع بأنّ من سمع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لا ينتقل منه إلّا إلى زيد المعلوم المرتسم صورته في الذهن من غير التفات إلى تلك الصورة، بل مع إنكارها، كما للمتكلّمين النافين للصور الذهنيّة</w:t>
      </w:r>
      <w:r>
        <w:rPr>
          <w:rFonts w:eastAsia="Amiri" w:cs="Amiri" w:ascii="Amiri" w:hAnsi="Amiri"/>
          <w:color w:val="111111"/>
          <w:sz w:val="28"/>
          <w:szCs w:val="28"/>
          <w:rtl w:val="true"/>
          <w:lang w:bidi="ar-SA"/>
        </w:rPr>
        <w:t xml:space="preserve">. </w:t>
      </w:r>
      <w:bookmarkStart w:id="674" w:name="pg16224_170596"/>
    </w:p>
    <w:p>
      <w:pPr>
        <w:pStyle w:val="Heading6"/>
        <w:numPr>
          <w:ilvl w:val="5"/>
          <w:numId w:val="1"/>
        </w:numPr>
        <w:rPr/>
      </w:pPr>
      <w:bookmarkStart w:id="675" w:name="__RefHeading___Toc3734794_1280447820"/>
      <w:bookmarkStart w:id="676" w:name="_Toc263"/>
      <w:bookmarkEnd w:id="674"/>
      <w:bookmarkEnd w:id="675"/>
      <w:r>
        <w:rPr>
          <w:rtl w:val="true"/>
        </w:rPr>
        <w:t>الوجه الثالث</w:t>
      </w:r>
      <w:bookmarkEnd w:id="676"/>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يمكن أن يكون الألفاظ بأسرها موضوعة للصور الذهنيّة، إذ من الألفاظ ما لا صور ذهنيّة لمفاهيمها، كلاشيء واللاموجود ونحوهما، ضرورة أنّ كلّ ما يفرض في الذهن فهو شيء وموجود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غمض العين عمّا يرد في البين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يلزم من الدليل المذكور انتفاء الوضع في الألفاظ للمعاني الخارجيّة، ولا يلزم من ذلك أن يكون الوضع فيها للصور الذهنيّة؛ لاحتمال الواسطة بأن يكون الوضع للماهيّة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الإيراد ونحوه إنّما يتوجّه إذا كان هذا القول ممّن قال بحصول الأشياء بأشباحها في الذهن، وأمّا إذا كان ممّن يقول بحصول الأشياء بأنفسها فيه فلا، إذ المراد بالصورة بناءً عليه الماهيّة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لا الماهيّة المطلقة، بل الماهيّة باعتبار الوجود في الذهن، فلا ينتهض الدليل لإثبات المدّعى أيضًا؛ لوضوح أنّه لا يلزم من عدم وضع اللفظ للمعاني الخارجيّة وضعه للماهيّة الموجودة في الذهن؛ لاحتمال الوضع للماهيّة من حيث هي مع قطع النظر عن تحقّقها في أحد الطرفين، كما هو القول الثالث في المسألة</w:t>
      </w:r>
      <w:r>
        <w:rPr>
          <w:rFonts w:eastAsia="Amiri" w:cs="Amiri" w:ascii="Amiri" w:hAnsi="Amiri"/>
          <w:color w:val="111111"/>
          <w:sz w:val="28"/>
          <w:szCs w:val="28"/>
          <w:rtl w:val="true"/>
          <w:lang w:bidi="ar-SA"/>
        </w:rPr>
        <w:t xml:space="preserve">. </w:t>
      </w:r>
      <w:bookmarkStart w:id="677" w:name="pg16224_170597"/>
    </w:p>
    <w:p>
      <w:pPr>
        <w:pStyle w:val="Heading6"/>
        <w:numPr>
          <w:ilvl w:val="5"/>
          <w:numId w:val="1"/>
        </w:numPr>
        <w:rPr/>
      </w:pPr>
      <w:bookmarkStart w:id="678" w:name="__RefHeading___Toc3734796_1280447820"/>
      <w:bookmarkStart w:id="679" w:name="_Toc264"/>
      <w:bookmarkEnd w:id="677"/>
      <w:bookmarkEnd w:id="678"/>
      <w:r>
        <w:rPr>
          <w:rtl w:val="true"/>
        </w:rPr>
        <w:t>في أنّ النزاع في وضع الألفاظ مبنيٌّ على النزاع في مسألة المعلوم بالذات على ما ذكره بعضهم</w:t>
      </w:r>
      <w:bookmarkEnd w:id="679"/>
    </w:p>
    <w:p>
      <w:pPr>
        <w:pStyle w:val="BookText"/>
        <w:rPr/>
      </w:pPr>
      <w:r>
        <w:rPr>
          <w:rFonts w:ascii="Amiri" w:hAnsi="Amiri" w:eastAsia="Amiri" w:cs="Amiri"/>
          <w:color w:val="111111"/>
          <w:sz w:val="28"/>
          <w:sz w:val="28"/>
          <w:szCs w:val="28"/>
          <w:rtl w:val="true"/>
          <w:lang w:bidi="ar-SA"/>
        </w:rPr>
        <w:t>ثمّ إنّ الفاضل الباغنوي في حاشيته على متعلّقات الأمور العامّة من التجريد، جعل النزاع في هذه المسألة مبنيًّا على النزاع المعروف بين أرباب المعقول في المعلوم بالذات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w:t>
      </w:r>
      <w:r>
        <w:rPr>
          <w:rStyle w:val="FootnoteAnchor"/>
          <w:rtl w:val="true"/>
        </w:rPr>
        <w:footnoteReference w:id="573"/>
      </w:r>
      <w:r>
        <w:rPr>
          <w:rFonts w:ascii="Amiri" w:hAnsi="Amiri" w:eastAsia="Amiri" w:cs="Amiri"/>
          <w:color w:val="111111"/>
          <w:sz w:val="28"/>
          <w:sz w:val="28"/>
          <w:szCs w:val="28"/>
          <w:rtl w:val="true"/>
          <w:lang w:bidi="ar-SA"/>
        </w:rPr>
        <w:t>الصورة الذهنيّة، بناءً على أنّها الحاصلة في الذهن حقيقة، وذا الصورة إنّما يحصل فيه بواسطتها، فتكون</w:t>
      </w:r>
      <w:r>
        <w:rPr>
          <w:rStyle w:val="FootnoteAnchor"/>
          <w:rtl w:val="true"/>
        </w:rPr>
        <w:footnoteReference w:id="574"/>
      </w:r>
      <w:r>
        <w:rPr>
          <w:rFonts w:ascii="Amiri" w:hAnsi="Amiri" w:eastAsia="Amiri" w:cs="Amiri"/>
          <w:color w:val="111111"/>
          <w:sz w:val="28"/>
          <w:sz w:val="28"/>
          <w:szCs w:val="28"/>
          <w:rtl w:val="true"/>
          <w:lang w:bidi="ar-SA"/>
        </w:rPr>
        <w:t xml:space="preserve">تلك الصور معلومة بالذات وذو الصور معلومًا بالتبع، أو الأمر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أفضل الحكماء المحقّق الطوسيّ والإمام الرازيّ والمحقّق الشريف ومن يحذو حذوهم</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هو الملتفت إليه بالذات، وأنّ الصورة إنّما هي مرآة لملاحظته وآلة لدركه، ولذا قد يحصل الالتفات إلى الأمر الخارجيّ من دون شعور بالصورة، بل مع إنكارها، كما للمتكلّمين النافين للوجود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من قال بالأوّل في تلك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كالشيخين الفارابيّ والرئيس وأضرابهما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يلزمهم القول بوضع الألفاظ للصور الذهنيّة فيما نحن فيه، ومن قال بالثاني كمن تقدّم ذكرهم، يلزمهم القول بوضعها للأمور الخارجيّة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 في الحاشية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أنّهم قد اختلفوا أنّ الألفاظ إمّا موضوعة للصور الذهنيّة، أو للمعلوم الخارجيّ؟ وقد اختلفوا أيضًا في أنّ المعلوم بالذات هل هو الصورة الذهنيّة، أو المعلوم الخارجيّ؟ والظاهر أنّ الخلاف الأوّل يتفرّع على الخلاف الثاني، إذ لا شكّ أنّ الألفاظ موضوعة لما هو معلوم بالذات، انتهى</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الأمر كذلك، إذ لا بدّ للواضع حين الوضع من العلم بالموضوع له، واختصاص المعلوم بالتبع بالوضع وإهمال المعلوم بالذات بعيد جدًّا،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كلام صاحب المحاكمات في مسألة المعلوم بالذات أنّ المعلوم بالذات في الموجودات الخارجيّة هو الموجود الخارجيّ، وفي غيرها الصور الذهنيّة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هذا التفصيل هو مراد المحقّق الطوسيّ ومشاركوه وإن كانت كلماتهم مطلقة، إذ كيف يتوهّم في شأن أمثالهم أنّ المعلوم بالذات في غير الموجودات الخارجيّة أيضًا هو الموجود الخارجيّ عندهم، مع أنّ ذلك ممّا لا يتفوّه به مَن له أدنى فطنة، فضلًا عن هؤلآء الأجلّة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ما ذكره الفاضل الباغنوي في حاشيته على المحاكمات</w:t>
      </w:r>
      <w:r>
        <w:rPr>
          <w:rStyle w:val="FootnoteAnchor"/>
          <w:rtl w:val="true"/>
        </w:rPr>
        <w:footnoteReference w:id="578"/>
      </w:r>
      <w:r>
        <w:rPr>
          <w:rFonts w:ascii="Amiri" w:hAnsi="Amiri" w:eastAsia="Amiri" w:cs="Amiri"/>
          <w:color w:val="111111"/>
          <w:sz w:val="28"/>
          <w:sz w:val="28"/>
          <w:szCs w:val="28"/>
          <w:rtl w:val="true"/>
          <w:lang w:bidi="ar-SA"/>
        </w:rPr>
        <w:t>بعد نقل القولين في المعلوم بالذات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 يذهب أحدٌ إلى أنّ المعلوم في الموجودات </w:t>
      </w:r>
    </w:p>
    <w:p>
      <w:pPr>
        <w:pStyle w:val="BookText"/>
        <w:rPr/>
      </w:pPr>
      <w:r>
        <w:rPr>
          <w:rFonts w:ascii="Amiri" w:hAnsi="Amiri" w:eastAsia="Amiri" w:cs="Amiri"/>
          <w:color w:val="111111"/>
          <w:sz w:val="28"/>
          <w:sz w:val="28"/>
          <w:szCs w:val="28"/>
          <w:rtl w:val="true"/>
          <w:lang w:bidi="ar-SA"/>
        </w:rPr>
        <w:t>الخارجيّة هو الموجود الخارجيّ وفي غيرها هو الصور الذهنيّة، كما يستفاد من كلام صاحب المحاكمات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لا وجه له، منشؤه إطلاق القولين في بادي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البناء المذكور من كون النزاع فيما نحن فيه مبنيًّا على النزاع في مسألة المعلوم بالذات، يكون وضع الألفاظ عند هؤلاء الأعلام للأمور الخارجيّة في الموجودات الخارجيّة، والذهنيّة في الموجودات الذهنيّة، فهذا القول إمّا يكون قولًا خامسًا في المسألة، أو لا، بل يرجع إطلاق القول الأوّل إليه، وهو الظاهر؛ لأنّ احتمال وضع اللفظ للأمر الخارجيّ في غير الموجودات الخارجيّة ممّا لا يصدر من عاقل، فحينئذٍ يندفع عنه بعض ما أوردنا عليه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إمكان إرادة الإطلاق من مقالة القائلين بأنّ المعلوم بالذات هو الأمر الخارجيّ، إنّما هو إذا حمل الأمر الخارجيّ في كلامهم على معناه المعلوم لما تقدّم، لكنّه ليس بلازم؛ لجواز أن يكون المراد بالأمر الخارجيّ مقابل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الماهيّة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الموجود في نفس الأمر، بناءً على أنّ جميع المفهومات موجودة في نفس الأمر؛ لأنّها تصلح أن تصير موضوعات لقضايا إيجابيّة صادقة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ما فيه من شدّة مخالفته للظاهر، إنّما يصحّ في الكلّيّات، وأمّا الأشخاص فلا؛ لوضوح أنّه ليس المعلوم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الماهيّة الإنسانيّة، بل شخصه، والموجود في نفس الأمر يصدق على الماهيّة والصورة، فجعله في مقابل</w:t>
      </w:r>
      <w:r>
        <w:rPr>
          <w:rStyle w:val="FootnoteAnchor"/>
          <w:rtl w:val="true"/>
        </w:rPr>
        <w:footnoteReference w:id="579"/>
      </w:r>
      <w:r>
        <w:rPr>
          <w:rFonts w:ascii="Amiri" w:hAnsi="Amiri" w:eastAsia="Amiri" w:cs="Amiri"/>
          <w:color w:val="111111"/>
          <w:sz w:val="28"/>
          <w:sz w:val="28"/>
          <w:szCs w:val="28"/>
          <w:rtl w:val="true"/>
          <w:lang w:bidi="ar-SA"/>
        </w:rPr>
        <w:t xml:space="preserve">الصورة لما عرفت من أنّ المعلوم بالذات بناءً على القول الأوّل الصور غيرُ </w:t>
      </w:r>
    </w:p>
    <w:p>
      <w:pPr>
        <w:pStyle w:val="BookText"/>
        <w:rPr/>
      </w:pPr>
      <w:r>
        <w:rPr>
          <w:rFonts w:ascii="Amiri" w:hAnsi="Amiri" w:eastAsia="Amiri" w:cs="Amiri"/>
          <w:color w:val="111111"/>
          <w:sz w:val="28"/>
          <w:sz w:val="28"/>
          <w:szCs w:val="28"/>
          <w:rtl w:val="true"/>
          <w:lang w:bidi="ar-SA"/>
        </w:rPr>
        <w:t>صحيح، بل لا يصحّ جعله في مقابل</w:t>
      </w:r>
      <w:r>
        <w:rPr>
          <w:rStyle w:val="FootnoteAnchor"/>
          <w:rtl w:val="true"/>
        </w:rPr>
        <w:footnoteReference w:id="580"/>
      </w:r>
      <w:r>
        <w:rPr>
          <w:rFonts w:ascii="Amiri" w:hAnsi="Amiri" w:eastAsia="Amiri" w:cs="Amiri"/>
          <w:color w:val="111111"/>
          <w:sz w:val="28"/>
          <w:sz w:val="28"/>
          <w:szCs w:val="28"/>
          <w:rtl w:val="true"/>
          <w:lang w:bidi="ar-SA"/>
        </w:rPr>
        <w:t>شيء أصلًا؛ لأنّ كلّ شيء موجود في نفس الأمر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مرادهم بالأمر الخارجيّ ذا الصورة، فيشمل الماهيّة من حيث هي والشخص الخارجيّ والذهنيّ، فمرجع القولين حينئذٍ أنّ المعلوم بالذات إمّا الصور</w:t>
      </w:r>
      <w:r>
        <w:rPr>
          <w:rStyle w:val="FootnoteAnchor"/>
          <w:rtl w:val="true"/>
        </w:rPr>
        <w:footnoteReference w:id="581"/>
      </w:r>
      <w:r>
        <w:rPr>
          <w:rFonts w:ascii="Amiri" w:hAnsi="Amiri" w:eastAsia="Amiri" w:cs="Amiri"/>
          <w:color w:val="111111"/>
          <w:sz w:val="28"/>
          <w:sz w:val="28"/>
          <w:szCs w:val="28"/>
          <w:rtl w:val="true"/>
          <w:lang w:bidi="ar-SA"/>
        </w:rPr>
        <w:t>الذهنيّة، أو ذو الصور؛ وهو في الكلّيّات والجزئيّات الذهنيّة الماهيّة الّتي يلتفت إليها في ضمن الصورة الحاصلة في الذهن وفي الجزئيّات الخارجيّة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البناء المذكور يكون وضع الألفاظ عند أرباب هذا القول لذي الصور، فعلى هذا يمكن إرادة هذا المعنى من الأمر الخارج في القول الأوّل فيما نحن فيه؛ وهو أنّ الألفاظ موضوعة للأمور الخارجيّة، فلا يكون القائل بالقولين في المسألتين</w:t>
      </w:r>
      <w:r>
        <w:rPr>
          <w:rStyle w:val="FootnoteAnchor"/>
          <w:rtl w:val="true"/>
        </w:rPr>
        <w:footnoteReference w:id="582"/>
      </w:r>
      <w:r>
        <w:rPr>
          <w:rFonts w:ascii="Amiri" w:hAnsi="Amiri" w:eastAsia="Amiri" w:cs="Amiri"/>
          <w:color w:val="111111"/>
          <w:sz w:val="28"/>
          <w:sz w:val="28"/>
          <w:szCs w:val="28"/>
          <w:rtl w:val="true"/>
          <w:lang w:bidi="ar-SA"/>
        </w:rPr>
        <w:t>مختلفًا، بل يكون القول الأوّل حينئذٍ بالمآل هو القول الرابع، فيقلّ النزاع في المسألة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والفاضل المحقّق الخوانساريّ</w:t>
      </w:r>
      <w:r>
        <w:rPr>
          <w:rStyle w:val="FootnoteAnchor"/>
          <w:rtl w:val="true"/>
        </w:rPr>
        <w:footnoteReference w:id="583"/>
      </w:r>
      <w:r>
        <w:rPr>
          <w:rFonts w:ascii="Amiri" w:hAnsi="Amiri" w:eastAsia="Amiri" w:cs="Amiri"/>
          <w:color w:val="111111"/>
          <w:sz w:val="28"/>
          <w:sz w:val="28"/>
          <w:szCs w:val="28"/>
          <w:rtl w:val="true"/>
          <w:lang w:bidi="ar-SA"/>
        </w:rPr>
        <w:t xml:space="preserve">جعل النزاع بين القولين المذكورين فيما نحن فيه وفي مسألة المعلوم بالذات لفظيًّا عند صحّة البناء المذكور من كون النزاع في </w:t>
      </w:r>
    </w:p>
    <w:p>
      <w:pPr>
        <w:pStyle w:val="BookText"/>
        <w:rPr/>
      </w:pPr>
      <w:r>
        <w:rPr>
          <w:rFonts w:ascii="Amiri" w:hAnsi="Amiri" w:eastAsia="Amiri" w:cs="Amiri"/>
          <w:color w:val="111111"/>
          <w:sz w:val="28"/>
          <w:sz w:val="28"/>
          <w:szCs w:val="28"/>
          <w:rtl w:val="true"/>
          <w:lang w:bidi="ar-SA"/>
        </w:rPr>
        <w:t>هذه المسألة مبنيًّا على النزاع في تلك، بناءً على أنّ مراد المحقّق الطوسيّ ومشاركوه من كون الأمر الخارجيّ معلومًا بالذات إنّما هو في الموجودات الخارجيّة، وأمّا في غيرها فالصور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البناء المذكور أن يكون الوضع في الأوّل للأمر الخارجيّ، وفي الثاني للصور، ومقتضاه أيضًا أنّ الشيخ الرئيس والفارابيّ ممّن ذهب</w:t>
      </w:r>
      <w:r>
        <w:rPr>
          <w:rStyle w:val="FootnoteAnchor"/>
          <w:rtl w:val="true"/>
        </w:rPr>
        <w:footnoteReference w:id="584"/>
      </w:r>
      <w:r>
        <w:rPr>
          <w:rFonts w:ascii="Amiri" w:hAnsi="Amiri" w:eastAsia="Amiri" w:cs="Amiri"/>
          <w:color w:val="111111"/>
          <w:sz w:val="28"/>
          <w:sz w:val="28"/>
          <w:szCs w:val="28"/>
          <w:rtl w:val="true"/>
          <w:lang w:bidi="ar-SA"/>
        </w:rPr>
        <w:t>إلى أنّ الوضع للصور الذهنيّة؛ ولمّا استبعد من مثلهما المصير إلى وضع اللفظ للصورة في الموجودات الخارجيّة أيضًا، يجعل مذهبهما أنّ الوضع للصورة في غيرها، وأمّا فيها فلها، وهو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المفروض أنّ هذا النزاع متفرّع على النزاع في مسألة المعلوم بالذات، يلزم أن يكون مذهبهما فيها التفصيل المذكور في كلام المحقّق الطوسيّ، فرجع مآل القولين في مسألة الوضع إلى شيء واحد؛ وهو أنّ الوضع في الموجود الخارجيّ للأمر الخارجيّ، وفي الموجود الذهنيّ للصورة؛ وهو مآل القولين في مسألة المعلوم بالذات، فجعل فساد الحكم بكون المعلوم بالذات الأمر الخارجيّ بعنوان الإطلاق دليلًا على التفصيل المتقدّم، ومنه اهتدي بمعونة البناء المذكور إلى تشخيص المذهب في مسألة الوضع</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علم مذهب الشيخين أنّ المعلوم بالذات هو الصور، علم بمعونة البناء أنّ وضع الألفاظ للصور؛ ولمّا كان القول بوضعها للصور مطلقًا ولو في الموجودات </w:t>
      </w:r>
    </w:p>
    <w:p>
      <w:pPr>
        <w:pStyle w:val="BookText"/>
        <w:rPr/>
      </w:pPr>
      <w:r>
        <w:rPr>
          <w:rFonts w:ascii="Amiri" w:hAnsi="Amiri" w:eastAsia="Amiri" w:cs="Amiri"/>
          <w:color w:val="111111"/>
          <w:sz w:val="28"/>
          <w:sz w:val="28"/>
          <w:szCs w:val="28"/>
          <w:rtl w:val="true"/>
          <w:lang w:bidi="ar-SA"/>
        </w:rPr>
        <w:t>الخارجيّة فاسدًا، جعل ذلك دليلًا على أنّ مذهبهما ليس الإطلاق، بل التفصيل، ومنه اهتدي بمعونة البناء المذكور أنّ ما يفهم من ظاهر كلامهما من كون المعلوم بالذات هو الصور مطلقًا، ليس ممّا يقولان به، بل المراد ما عدا الموجودات الخارجيّة، فيصير النزاع بين الفريقين لفظيًّا في كلتا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لو فتحت أبواب أمثال التكلّفات المذكورة لرفع النزاع في المسائل الخلافيّة؛ لأمكن رفعه</w:t>
      </w:r>
      <w:r>
        <w:rPr>
          <w:rStyle w:val="FootnoteAnchor"/>
          <w:rtl w:val="true"/>
        </w:rPr>
        <w:footnoteReference w:id="585"/>
      </w:r>
      <w:r>
        <w:rPr>
          <w:rFonts w:ascii="Amiri" w:hAnsi="Amiri" w:eastAsia="Amiri" w:cs="Amiri"/>
          <w:color w:val="111111"/>
          <w:sz w:val="28"/>
          <w:sz w:val="28"/>
          <w:szCs w:val="28"/>
          <w:rtl w:val="true"/>
          <w:lang w:bidi="ar-SA"/>
        </w:rPr>
        <w:t>في كثير من المواقع المختلفة لو لم يمكن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أنّ القول بكون الألفاظ بأسرها موضوعة للصور الذهنيّة ممّا لا شبهة في فساده ما دام محمولًا على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مرادهم التنبيه على ما أشرنا إليه سابقًا من أنّها لم يكن موضوعة للمعاني النفس الأمريّة الخارجيّة الّتي غير محتملة للمخالفة، بل للمعاني الخارجيّة الّتي علم في الذهن أنّها كذلك، فالفرس مثلًا ليس موضوعًا لما هو فرس في الخارج ونفس الأمر بحيث لا يحتمل المخالفة، بل للفرس الّذي علم بعنوان الفرسيّة وتمثّلت منه صورة الفرسيّة في الذهن ولو مع مخالفته للواقع، فيكون مآل هذا القول على هذا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الألفاظ موضوعة للمعاني الخارجيّة الّتي علمت انّها كذلك، لا المعاني الخارجيّة الّتي طابقت للواقع غير محتملة للمخالفة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مقالتهم على هذا المعنى وإن كان مخالفًا للظاهر في نفسه، لكن لا يبعد أن يجعل ما تمسّكوا به في إثبات المرام من تغيّر تسمية الأشباح عند تغيّر الصور على ما </w:t>
      </w:r>
    </w:p>
    <w:p>
      <w:pPr>
        <w:pStyle w:val="BookText"/>
        <w:rPr/>
      </w:pPr>
      <w:r>
        <w:rPr>
          <w:rFonts w:ascii="Amiri" w:hAnsi="Amiri" w:eastAsia="Amiri" w:cs="Amiri"/>
          <w:color w:val="111111"/>
          <w:sz w:val="28"/>
          <w:sz w:val="28"/>
          <w:szCs w:val="28"/>
          <w:rtl w:val="true"/>
          <w:lang w:bidi="ar-SA"/>
        </w:rPr>
        <w:t>تقدّم مؤيّدًا لإرادة هذا المطلب ومؤكّدًا في إعانة هذا المقصد، فيكون مرامهم على هذا أنّه ليس وضع الألفاظ للمعاني الخارجيّة الواقعيّة، وإلّا يلزم أن لا يمكن</w:t>
      </w:r>
      <w:r>
        <w:rPr>
          <w:rStyle w:val="FootnoteAnchor"/>
          <w:rtl w:val="true"/>
        </w:rPr>
        <w:footnoteReference w:id="586"/>
      </w:r>
      <w:r>
        <w:rPr>
          <w:rFonts w:ascii="Amiri" w:hAnsi="Amiri" w:eastAsia="Amiri" w:cs="Amiri"/>
          <w:color w:val="111111"/>
          <w:sz w:val="28"/>
          <w:sz w:val="28"/>
          <w:szCs w:val="28"/>
          <w:rtl w:val="true"/>
          <w:lang w:bidi="ar-SA"/>
        </w:rPr>
        <w:t>التسمية في الشيء الخارج</w:t>
      </w:r>
      <w:r>
        <w:rPr>
          <w:rStyle w:val="FootnoteAnchor"/>
          <w:rtl w:val="true"/>
        </w:rPr>
        <w:footnoteReference w:id="587"/>
      </w:r>
      <w:r>
        <w:rPr>
          <w:rFonts w:ascii="Amiri" w:hAnsi="Amiri" w:eastAsia="Amiri" w:cs="Amiri"/>
          <w:color w:val="111111"/>
          <w:sz w:val="28"/>
          <w:sz w:val="28"/>
          <w:szCs w:val="28"/>
          <w:rtl w:val="true"/>
          <w:lang w:bidi="ar-SA"/>
        </w:rPr>
        <w:t>عند تخيّلنا إيّاه خلاف ما هو في الواقع، وأن لا يتغيّر التسمية بتعقّلنا إيّاه أمورًا متغايرة، بل هي موضوعة للأمور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يرد عليه إلّا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مطالبة اطّراد هذا المعنى في جميع الألفاظ، مع أنّ من الألفاظ ما لا خارج لمسمّياتها، كالألفاظ الموضوعة للأمور الكلّيّة،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الموضوعة للمعاني المعدومة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يتصدّى في إثباته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مرامهم من وضع الألفاظ للصور الذهنيّة أنّه للأمور المعلومة، لا للأمور المطابقة في الواقع، فعلى هذا لا شبهة في إمكان اطّراده في جميع الألفاظ، أمّا في الموجودات الخارجيّة فقد عرفت، وأمّا في غيرها فبأن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ألفاظ الكلّيّات موضوعة لما علمناه كلّيًّا، لا لما يكون كلّيًّا في نفس الأمر والواقع</w:t>
      </w:r>
      <w:r>
        <w:rPr>
          <w:rStyle w:val="FootnoteAnchor"/>
          <w:rtl w:val="true"/>
        </w:rPr>
        <w:footnoteReference w:id="588"/>
      </w:r>
      <w:r>
        <w:rPr>
          <w:rFonts w:ascii="Amiri" w:hAnsi="Amiri" w:eastAsia="Amiri" w:cs="Amiri"/>
          <w:color w:val="111111"/>
          <w:sz w:val="28"/>
          <w:sz w:val="28"/>
          <w:szCs w:val="28"/>
          <w:rtl w:val="true"/>
          <w:lang w:bidi="ar-SA"/>
        </w:rPr>
        <w:t>، وهكذا في الجزئيّات الذهنيّة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الاحتمال يمكن رجوع النزاع بين القولين من وضع الألفاظ للأمور الخارجيّة والأمور الذهنيّة لفظيًّا بأن يكون المراد من</w:t>
      </w:r>
      <w:r>
        <w:rPr>
          <w:rStyle w:val="FootnoteAnchor"/>
          <w:rtl w:val="true"/>
        </w:rPr>
        <w:footnoteReference w:id="589"/>
      </w:r>
      <w:r>
        <w:rPr>
          <w:rFonts w:ascii="Amiri" w:hAnsi="Amiri" w:eastAsia="Amiri" w:cs="Amiri"/>
          <w:color w:val="111111"/>
          <w:sz w:val="28"/>
          <w:sz w:val="28"/>
          <w:szCs w:val="28"/>
          <w:rtl w:val="true"/>
          <w:lang w:bidi="ar-SA"/>
        </w:rPr>
        <w:t xml:space="preserve">الأمور الخارجيّة خلاف </w:t>
      </w:r>
      <w:bookmarkStart w:id="680" w:name="pg16224_170604"/>
    </w:p>
    <w:p>
      <w:pPr>
        <w:pStyle w:val="BookText"/>
        <w:rPr/>
      </w:pPr>
      <w:bookmarkEnd w:id="680"/>
      <w:r>
        <w:rPr>
          <w:rFonts w:ascii="Amiri" w:hAnsi="Amiri" w:eastAsia="Amiri" w:cs="Amiri"/>
          <w:color w:val="111111"/>
          <w:sz w:val="28"/>
          <w:sz w:val="28"/>
          <w:szCs w:val="28"/>
          <w:rtl w:val="true"/>
          <w:lang w:bidi="ar-SA"/>
        </w:rPr>
        <w:t>الصور الذهنيّة من حيث إنّها علم، ومن</w:t>
      </w:r>
      <w:r>
        <w:rPr>
          <w:rStyle w:val="FootnoteAnchor"/>
          <w:rtl w:val="true"/>
        </w:rPr>
        <w:footnoteReference w:id="590"/>
      </w:r>
      <w:r>
        <w:rPr>
          <w:rFonts w:ascii="Amiri" w:hAnsi="Amiri" w:eastAsia="Amiri" w:cs="Amiri"/>
          <w:color w:val="111111"/>
          <w:sz w:val="28"/>
          <w:sz w:val="28"/>
          <w:szCs w:val="28"/>
          <w:rtl w:val="true"/>
          <w:lang w:bidi="ar-SA"/>
        </w:rPr>
        <w:t>الصور الذهنيّة الأمور المعلومة،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انتهاض حجّتهم في إثبات هذا المرام؛ وهذا حقّ قد أومأنا إليه فيما سلف ونصرف زمام الكلام إليه فيما غبر مع زيادة تحقيق بمعونة فيّاض التحقيق وربّ التوفيق</w:t>
      </w:r>
      <w:r>
        <w:rPr>
          <w:rFonts w:eastAsia="Amiri" w:cs="Amiri" w:ascii="Amiri" w:hAnsi="Amiri"/>
          <w:color w:val="111111"/>
          <w:sz w:val="28"/>
          <w:szCs w:val="28"/>
          <w:rtl w:val="true"/>
          <w:lang w:bidi="ar-SA"/>
        </w:rPr>
        <w:t>.</w:t>
      </w:r>
    </w:p>
    <w:p>
      <w:pPr>
        <w:pStyle w:val="Heading6"/>
        <w:numPr>
          <w:ilvl w:val="5"/>
          <w:numId w:val="1"/>
        </w:numPr>
        <w:rPr/>
      </w:pPr>
      <w:bookmarkStart w:id="681" w:name="__RefHeading___Toc3734798_1280447820"/>
      <w:bookmarkStart w:id="682" w:name="_Toc265"/>
      <w:bookmarkEnd w:id="681"/>
      <w:r>
        <w:rPr>
          <w:rtl w:val="true"/>
        </w:rPr>
        <w:t>القول الثالث ومستنده</w:t>
      </w:r>
      <w:r>
        <w:rPr>
          <w:rtl w:val="true"/>
        </w:rPr>
        <w:t>:</w:t>
      </w:r>
      <w:bookmarkEnd w:id="682"/>
    </w:p>
    <w:p>
      <w:pPr>
        <w:pStyle w:val="Heading6"/>
        <w:numPr>
          <w:ilvl w:val="5"/>
          <w:numId w:val="1"/>
        </w:numPr>
        <w:rPr/>
      </w:pPr>
      <w:bookmarkStart w:id="683" w:name="__RefHeading___Toc3734800_1280447820"/>
      <w:bookmarkStart w:id="684" w:name="_Toc266"/>
      <w:bookmarkEnd w:id="683"/>
      <w:r>
        <w:rPr>
          <w:rtl w:val="true"/>
        </w:rPr>
        <w:t>اشارة</w:t>
      </w:r>
      <w:bookmarkEnd w:id="68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أنّ الألفاظ بأسرها موضوعة للماهيّة من حيث هي، مع قطع النظر عن تحقّقها في أحد الظرفين</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جماعة من المتأخّرين</w:t>
      </w:r>
      <w:r>
        <w:rPr>
          <w:rStyle w:val="FootnoteAnchor"/>
          <w:rtl w:val="true"/>
        </w:rPr>
        <w:footnoteReference w:id="592"/>
      </w:r>
      <w:r>
        <w:rPr>
          <w:rFonts w:ascii="Amiri" w:hAnsi="Amiri" w:eastAsia="Amiri" w:cs="Amiri"/>
          <w:color w:val="111111"/>
          <w:sz w:val="28"/>
          <w:sz w:val="28"/>
          <w:szCs w:val="28"/>
          <w:rtl w:val="true"/>
          <w:lang w:bidi="ar-SA"/>
        </w:rPr>
        <w:t>،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الباغنوي، لتوهّمه أنّ ما ذكر في إثبات القول الثاني إنّما يتمّ إذا كان المراد من الصورة الذهنيّة الماهيّة من حيث هي، فإنّه قد يطلق</w:t>
      </w:r>
      <w:r>
        <w:rPr>
          <w:rStyle w:val="FootnoteAnchor"/>
          <w:rtl w:val="true"/>
        </w:rPr>
        <w:footnoteReference w:id="593"/>
      </w:r>
      <w:r>
        <w:rPr>
          <w:rFonts w:ascii="Amiri" w:hAnsi="Amiri" w:eastAsia="Amiri" w:cs="Amiri"/>
          <w:color w:val="111111"/>
          <w:sz w:val="28"/>
          <w:sz w:val="28"/>
          <w:szCs w:val="28"/>
          <w:rtl w:val="true"/>
          <w:lang w:bidi="ar-SA"/>
        </w:rPr>
        <w:t>الصورة على الماهيّة على ما ذكره في حاشيته على الإشارات</w:t>
      </w:r>
      <w:r>
        <w:rPr>
          <w:rStyle w:val="FootnoteAnchor"/>
          <w:rtl w:val="true"/>
        </w:rPr>
        <w:footnoteReference w:id="594"/>
      </w:r>
      <w:r>
        <w:rPr>
          <w:rFonts w:ascii="Amiri" w:hAnsi="Amiri" w:eastAsia="Amiri" w:cs="Amiri"/>
          <w:color w:val="111111"/>
          <w:sz w:val="28"/>
          <w:sz w:val="28"/>
          <w:szCs w:val="28"/>
          <w:rtl w:val="true"/>
          <w:lang w:bidi="ar-SA"/>
        </w:rPr>
        <w:t xml:space="preserve">، بخلاف ما إذا كان المراد من الصورة الذهنيّة معناها الظاهر، فإنّه لا يلزم من عدم كونها موضوعة للأمور الخارجيّة وضعها </w:t>
      </w:r>
      <w:bookmarkStart w:id="685" w:name="pg16224_170605"/>
    </w:p>
    <w:p>
      <w:pPr>
        <w:pStyle w:val="BookText"/>
        <w:rPr/>
      </w:pPr>
      <w:bookmarkEnd w:id="685"/>
      <w:r>
        <w:rPr>
          <w:rFonts w:ascii="Amiri" w:hAnsi="Amiri" w:eastAsia="Amiri" w:cs="Amiri"/>
          <w:color w:val="111111"/>
          <w:sz w:val="28"/>
          <w:sz w:val="28"/>
          <w:szCs w:val="28"/>
          <w:rtl w:val="true"/>
          <w:lang w:bidi="ar-SA"/>
        </w:rPr>
        <w:t>للصور الذهنيّة؛ لجواز وضعها للماهيّة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استدلّ عليه بأنّه لمّا لم يكن القول بوضع الألفاظ للموجودات الخارجيّة ولا للصور الذهنيّة، تعيّن القول بوضعها للماهيّة</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3734802_1280447820"/>
      <w:bookmarkStart w:id="687" w:name="_Toc267"/>
      <w:bookmarkEnd w:id="686"/>
      <w:r>
        <w:rPr>
          <w:rtl w:val="true"/>
        </w:rPr>
        <w:t>الجواب عن مستند القول الثالث</w:t>
      </w:r>
      <w:bookmarkEnd w:id="687"/>
    </w:p>
    <w:p>
      <w:pPr>
        <w:pStyle w:val="BookText"/>
        <w:rPr/>
      </w:pPr>
      <w:r>
        <w:rPr>
          <w:rFonts w:ascii="Amiri" w:hAnsi="Amiri" w:eastAsia="Amiri" w:cs="Amiri"/>
          <w:color w:val="111111"/>
          <w:sz w:val="28"/>
          <w:sz w:val="28"/>
          <w:szCs w:val="28"/>
          <w:rtl w:val="true"/>
          <w:lang w:bidi="ar-SA"/>
        </w:rPr>
        <w:t>وفي كليهما نظر، 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لا نسلّم أنّ مقتضى ما ذكر في إثبات القول الثاني الوضع للماهيّة من حيث هي</w:t>
      </w:r>
      <w:r>
        <w:rPr>
          <w:rStyle w:val="FootnoteAnchor"/>
          <w:rtl w:val="true"/>
        </w:rPr>
        <w:footnoteReference w:id="595"/>
      </w:r>
      <w:r>
        <w:rPr>
          <w:rFonts w:ascii="Amiri" w:hAnsi="Amiri" w:eastAsia="Amiri" w:cs="Amiri"/>
          <w:color w:val="111111"/>
          <w:sz w:val="28"/>
          <w:sz w:val="28"/>
          <w:szCs w:val="28"/>
          <w:rtl w:val="true"/>
          <w:lang w:bidi="ar-SA"/>
        </w:rPr>
        <w:t>وعلى فرض التسليم نمنع أن يكون مقتضاه انحصار الوضع في الألفاظ للماهيّة من حيث هي؛ لتماميّته ولو بوضع بعض الألفاظ لها، كما يظهر وجهه للمتأمّل</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إطلاق الصورة الذهنيّة على الماهيّة من حيث هي لا يخفى ما فيه، والّذي يظهر من كلام صاحب المحاكمات</w:t>
      </w:r>
      <w:r>
        <w:rPr>
          <w:rStyle w:val="FootnoteAnchor"/>
          <w:rtl w:val="true"/>
        </w:rPr>
        <w:footnoteReference w:id="597"/>
      </w:r>
      <w:r>
        <w:rPr>
          <w:rFonts w:ascii="Amiri" w:hAnsi="Amiri" w:eastAsia="Amiri" w:cs="Amiri"/>
          <w:color w:val="111111"/>
          <w:sz w:val="28"/>
          <w:sz w:val="28"/>
          <w:szCs w:val="28"/>
          <w:rtl w:val="true"/>
          <w:lang w:bidi="ar-SA"/>
        </w:rPr>
        <w:t xml:space="preserve">في مسألة الوجود الذهنيّ إطلاق الصورة على </w:t>
      </w:r>
    </w:p>
    <w:p>
      <w:pPr>
        <w:pStyle w:val="BookText"/>
        <w:rPr/>
      </w:pPr>
      <w:r>
        <w:rPr>
          <w:rFonts w:ascii="Amiri" w:hAnsi="Amiri" w:eastAsia="Amiri" w:cs="Amiri"/>
          <w:color w:val="111111"/>
          <w:sz w:val="28"/>
          <w:sz w:val="28"/>
          <w:szCs w:val="28"/>
          <w:rtl w:val="true"/>
          <w:lang w:bidi="ar-SA"/>
        </w:rPr>
        <w:t>الماهيّة المعلومة، أي باعتبار وجودها الذهنيّ، لا إطلاقها على الماهيّة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الّذي ظهر من المباحث السالفة فساد القول بوضع الألفاظ بأسرها للموجودات الخارجيّة أو الذهنيّة، ولا يلزم منه انحصار الوضع للماهيّة من حيث هي؛ لجواز أن يكون الوضع في البعض للموجود الخارجيّ، وفي بعض للموجود الذهنيّ، وفي آخر للماهيّة من حيث هي، كما هو القول الرابع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مع أنّ وضع الألفاظ للماهيّة من حيث هي إنّما يكون مسلّمًا في الكلّيّات، وأمّا في الأشخاص فلا؛ لوضوح أنّ اللفظ الدالّ على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موضوعًا للماهيّة من حيث هي؛ لكانت تلك الماهيّة إمّا ماهيّة الإنسان، أو غيرها، وكلاهما بيّن الفساد ضروريّ البطلان، والملازمة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بطلان الشقّ الأوّل من التالي، فلأنّه حينئذٍ يكون المفهوم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عين المفهوم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وفساده من فرط الظهور كالنور في ليلة الديجور؛ لاستلزامه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 الحقيقيّ كلّيًّا ويلزم منه انحصار الألفاظ في الكلّيّات، وهو ممّا يشهد اتّفاقهم، بل الضرورة على خلافه، وكيف مع أنّ نفس تصوّر مفهومه يمنع عن الشركة بين كثيرين، ومفهوم الإنسان غير مانع عنها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بطلان الشقّ الثاني منه فكذلك، إذ لا ماهيّة لزيد غير ماهيّة الإنسان مع قطع النظر عن وجوده في الذهن أو في الخارج حتّى يكون هي الموضوع لها، بل ماهيّته هي ماهيّة الإنسان، إذ الحقّ عند أرباب التحقيق أنّه ليس في هويّة كلّ شخص سوى ماهيّته الكلّيّة، فإنّها إذا وجدت في أيّ من الظرفين المعلومين صارت متشخّصة بدون انضمام شيء إليها، فإن كان الخارج كانت شخصًا </w:t>
      </w:r>
    </w:p>
    <w:p>
      <w:pPr>
        <w:pStyle w:val="BookText"/>
        <w:rPr/>
      </w:pPr>
      <w:r>
        <w:rPr>
          <w:rFonts w:ascii="Amiri" w:hAnsi="Amiri" w:eastAsia="Amiri" w:cs="Amiri"/>
          <w:color w:val="111111"/>
          <w:sz w:val="28"/>
          <w:sz w:val="28"/>
          <w:szCs w:val="28"/>
          <w:rtl w:val="true"/>
          <w:lang w:bidi="ar-SA"/>
        </w:rPr>
        <w:t>خارجيًّا، وإن كان الذهن كانت شخصًا ذهنيًّا، وتشخّص كلّ شخص بنحو وجوده الخاصّ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بأنّه يدخل في هويّة كلّ شخص أمرٌ سوى الماهيّة الكلّيّة، يكون نسبته إلى الماهيّة النوعيّة نسبة الفصل إلى الجنس، خلاف التحقيق كما بيّن في محلّه، فظهر ممّا ذكر أنّه ليس للأشخاص ماهيّة سوى ماهيّاتها الكلّيّة، وقد علمت أنّ الألفاظ الدالّة على الأشخاص ليست موضوعة بإزاء تلك الماهيّات،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حاصل بأنّ الأعلام الشخصيّة موضوعة لمسمّياتها الخارجيّة، فالحكم بوضع الألفاظ بأسرها للماهيّات من حيث هي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لو كان موضوعًا للشخص، لزم أن لا يصدق على ذلك المسمّى في غير حالة الوضع؛ لعدم بقاء ذلك الشخص بعينه، فينبغي أن يكون موضوعًا للمعنى العامّ الصادق عليه حين الوضع وبعده، وهو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 لذلك الشخص على وجه يمتاز به عن ما عداه، بمعنى أنّه لوحظ منه في الوضع بالميزة</w:t>
      </w:r>
      <w:r>
        <w:rPr>
          <w:rStyle w:val="FootnoteAnchor"/>
          <w:rtl w:val="true"/>
        </w:rPr>
        <w:footnoteReference w:id="598"/>
      </w:r>
      <w:r>
        <w:rPr>
          <w:rFonts w:ascii="Amiri" w:hAnsi="Amiri" w:eastAsia="Amiri" w:cs="Amiri"/>
          <w:color w:val="111111"/>
          <w:sz w:val="28"/>
          <w:sz w:val="28"/>
          <w:szCs w:val="28"/>
          <w:rtl w:val="true"/>
          <w:lang w:bidi="ar-SA"/>
        </w:rPr>
        <w:t>عن غيره، وهذا المعنى متحقّق معه في جميع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المرام أنّ زيدًا لو كان موضوعًا للماهيّة من حيث هي، لزم صدقه على كلّ ما تحقّقت فيه الماهيّة، بل عليها نفسها، وبطلانه غنيّ عن البيان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 للماهيّة مع ذلك التشخّص، فلهذا لا يصدق على غيره؛ لأنّ الوضع حينئذٍ ليس للماهيّة من حيث هي، والماهيّة مع التشخّص هو الشخص</w:t>
      </w:r>
      <w:r>
        <w:rPr>
          <w:rFonts w:eastAsia="Amiri" w:cs="Amiri" w:ascii="Amiri" w:hAnsi="Amiri"/>
          <w:color w:val="111111"/>
          <w:sz w:val="28"/>
          <w:szCs w:val="28"/>
          <w:rtl w:val="true"/>
          <w:lang w:bidi="ar-SA"/>
        </w:rPr>
        <w:t xml:space="preserve">. </w:t>
      </w:r>
      <w:bookmarkStart w:id="688" w:name="pg16224_170608"/>
    </w:p>
    <w:p>
      <w:pPr>
        <w:pStyle w:val="Heading6"/>
        <w:numPr>
          <w:ilvl w:val="5"/>
          <w:numId w:val="1"/>
        </w:numPr>
        <w:rPr/>
      </w:pPr>
      <w:bookmarkStart w:id="689" w:name="__RefHeading___Toc3734804_1280447820"/>
      <w:bookmarkStart w:id="690" w:name="_Toc268"/>
      <w:bookmarkEnd w:id="688"/>
      <w:bookmarkEnd w:id="689"/>
      <w:r>
        <w:rPr>
          <w:rtl w:val="true"/>
        </w:rPr>
        <w:t>المختار من بين الأقوال</w:t>
      </w:r>
      <w:r>
        <w:rPr>
          <w:rtl w:val="true"/>
        </w:rPr>
        <w:t xml:space="preserve">: </w:t>
      </w:r>
      <w:r>
        <w:rPr>
          <w:rtl w:val="true"/>
        </w:rPr>
        <w:t>القول الرابع</w:t>
      </w:r>
      <w:bookmarkEnd w:id="690"/>
    </w:p>
    <w:p>
      <w:pPr>
        <w:pStyle w:val="Heading6"/>
        <w:numPr>
          <w:ilvl w:val="5"/>
          <w:numId w:val="1"/>
        </w:numPr>
        <w:rPr/>
      </w:pPr>
      <w:bookmarkStart w:id="691" w:name="__RefHeading___Toc3734806_1280447820"/>
      <w:bookmarkStart w:id="692" w:name="_Toc269"/>
      <w:bookmarkEnd w:id="691"/>
      <w:r>
        <w:rPr>
          <w:rtl w:val="true"/>
        </w:rPr>
        <w:t>اشارة</w:t>
      </w:r>
      <w:bookmarkEnd w:id="692"/>
    </w:p>
    <w:p>
      <w:pPr>
        <w:pStyle w:val="BookText"/>
        <w:rPr/>
      </w:pPr>
      <w:r>
        <w:rPr>
          <w:rFonts w:ascii="Amiri" w:hAnsi="Amiri" w:eastAsia="Amiri" w:cs="Amiri"/>
          <w:color w:val="111111"/>
          <w:sz w:val="28"/>
          <w:sz w:val="28"/>
          <w:szCs w:val="28"/>
          <w:rtl w:val="true"/>
          <w:lang w:bidi="ar-SA"/>
        </w:rPr>
        <w:t>فالحقّ بين الأقوال هو القول الرابع، وهو أنّ الوضع في الجزئيّات الخارجيّة للموجودات الخارجيّة، وفي الذهنيّة للذهنيّة، وفي الكلّيّات للماهيّة من حيث هي، وممّا ذكر في الأقوال المذكورة من النقض والإبرام، يظهر الوجه في ذلك، فلاحظه بعين البصيرة حتّى يظهر لك حقّيّة</w:t>
      </w:r>
      <w:r>
        <w:rPr>
          <w:rStyle w:val="FootnoteAnchor"/>
          <w:rtl w:val="true"/>
        </w:rPr>
        <w:footnoteReference w:id="599"/>
      </w:r>
      <w:r>
        <w:rPr>
          <w:rFonts w:ascii="IRNazanin" w:hAnsi="IRNazanin" w:eastAsia="IRNazanin"/>
          <w:color w:val="111111"/>
          <w:sz w:val="28"/>
          <w:sz w:val="28"/>
          <w:szCs w:val="28"/>
          <w:rtl w:val="true"/>
          <w:lang w:bidi="fa-IR"/>
        </w:rPr>
        <w:t>المقال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يؤكّد ذلك ما سيجيء من أنّ الوضع في الضمائر وأسماء الإشارة والمبهمات عامّ والموضوع له خاصّ، والأدلّة الدالّة على ذلك وفساد القول بأنّ الموضوع له فيها عامّ أدلّة على فساد القول بأنّ وضع الألفاظ للماهيّة من حيث هي كما لا يخفى</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3734808_1280447820"/>
      <w:bookmarkStart w:id="694" w:name="_Toc270"/>
      <w:bookmarkEnd w:id="693"/>
      <w:r>
        <w:rPr>
          <w:rtl w:val="true"/>
        </w:rPr>
        <w:t>تنقيح المقام</w:t>
      </w:r>
      <w:bookmarkEnd w:id="694"/>
    </w:p>
    <w:p>
      <w:pPr>
        <w:pStyle w:val="Heading6"/>
        <w:numPr>
          <w:ilvl w:val="5"/>
          <w:numId w:val="1"/>
        </w:numPr>
        <w:rPr/>
      </w:pPr>
      <w:bookmarkStart w:id="695" w:name="__RefHeading___Toc3734810_1280447820"/>
      <w:bookmarkStart w:id="696" w:name="_Toc271"/>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ثمّ إنّ تنقيح المقام يستدعي بيان أمور</w:t>
      </w:r>
      <w:r>
        <w:rPr>
          <w:rFonts w:eastAsia="Amiri" w:cs="Amiri" w:ascii="Amiri" w:hAnsi="Amiri"/>
          <w:color w:val="111111"/>
          <w:sz w:val="28"/>
          <w:szCs w:val="28"/>
          <w:rtl w:val="true"/>
          <w:lang w:bidi="ar-SA"/>
        </w:rPr>
        <w:t>:</w:t>
      </w:r>
    </w:p>
    <w:p>
      <w:pPr>
        <w:pStyle w:val="Heading6"/>
        <w:numPr>
          <w:ilvl w:val="5"/>
          <w:numId w:val="1"/>
        </w:numPr>
        <w:rPr/>
      </w:pPr>
      <w:bookmarkStart w:id="697" w:name="__RefHeading___Toc3734812_1280447820"/>
      <w:bookmarkStart w:id="698" w:name="_Toc272"/>
      <w:bookmarkEnd w:id="697"/>
      <w:r>
        <w:rPr>
          <w:rtl w:val="true"/>
        </w:rPr>
        <w:t>الأمر الأوّل</w:t>
      </w:r>
      <w:r>
        <w:rPr>
          <w:rtl w:val="true"/>
        </w:rPr>
        <w:t xml:space="preserve">: </w:t>
      </w:r>
      <w:r>
        <w:rPr>
          <w:rtl w:val="true"/>
        </w:rPr>
        <w:t>فيما يتوجّه على المختار من الإيراد ودفعه</w:t>
      </w:r>
      <w:bookmarkEnd w:id="698"/>
    </w:p>
    <w:p>
      <w:pPr>
        <w:pStyle w:val="Heading6"/>
        <w:numPr>
          <w:ilvl w:val="5"/>
          <w:numId w:val="1"/>
        </w:numPr>
        <w:rPr/>
      </w:pPr>
      <w:bookmarkStart w:id="699" w:name="__RefHeading___Toc3734814_1280447820"/>
      <w:bookmarkStart w:id="700" w:name="_Toc273"/>
      <w:bookmarkEnd w:id="699"/>
      <w:r>
        <w:rPr>
          <w:rtl w:val="true"/>
        </w:rPr>
        <w:t>الإيراد الأوّل</w:t>
      </w:r>
      <w:bookmarkEnd w:id="70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الإيراد فهو أنّه لو كانت الألفاظ في الجزئيّات الخارجيّة موضوعة للأمور الموجودة، لما صحّ الحكم عليها بالوجود والعدم الخارجين</w:t>
      </w:r>
      <w:r>
        <w:rPr>
          <w:rStyle w:val="FootnoteAnchor"/>
          <w:rtl w:val="true"/>
        </w:rPr>
        <w:footnoteReference w:id="600"/>
      </w:r>
      <w:r>
        <w:rPr>
          <w:rFonts w:ascii="Amiri" w:hAnsi="Amiri" w:eastAsia="Amiri" w:cs="Amiri"/>
          <w:color w:val="111111"/>
          <w:sz w:val="28"/>
          <w:sz w:val="28"/>
          <w:szCs w:val="28"/>
          <w:rtl w:val="true"/>
          <w:lang w:bidi="ar-SA"/>
        </w:rPr>
        <w:t>ولما جاز التردّد في كونها موجودة في الخارج أو لا، والتالي باطل</w:t>
      </w:r>
      <w:r>
        <w:rPr>
          <w:rFonts w:eastAsia="Amiri" w:cs="Amiri" w:ascii="Amiri" w:hAnsi="Amiri"/>
          <w:color w:val="111111"/>
          <w:sz w:val="28"/>
          <w:szCs w:val="28"/>
          <w:rtl w:val="true"/>
          <w:lang w:bidi="ar-SA"/>
        </w:rPr>
        <w:t xml:space="preserve">. </w:t>
      </w:r>
      <w:bookmarkStart w:id="701" w:name="pg16224_170609"/>
    </w:p>
    <w:p>
      <w:pPr>
        <w:pStyle w:val="BookText"/>
        <w:rPr/>
      </w:pPr>
      <w:bookmarkEnd w:id="701"/>
      <w:r>
        <w:rPr>
          <w:rFonts w:ascii="Amiri" w:hAnsi="Amiri" w:eastAsia="Amiri" w:cs="Amiri"/>
          <w:color w:val="111111"/>
          <w:sz w:val="28"/>
          <w:sz w:val="28"/>
          <w:szCs w:val="28"/>
          <w:rtl w:val="true"/>
          <w:lang w:bidi="ar-SA"/>
        </w:rPr>
        <w:t>أمّا الملازمة فلأنّه يلزم بناءً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يكون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موجود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مفيدًا أصلًا؛ لكونه بمنزلة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الموجود في الخارج موجود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والتناقض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بموجود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هو بمنزلة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الموجود في الخارج ليس بموجود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والتردّد في الشيء المعلوم الوجود بين وجوده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لما جاز الاستفهام عن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هل موجود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استفهامًا فيما علم وجوده عن وجوده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التوالي فمعلوم بالوجدان وغنيّ عن البيان</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3734816_1280447820"/>
      <w:bookmarkStart w:id="703" w:name="_Toc274"/>
      <w:bookmarkEnd w:id="702"/>
      <w:r>
        <w:rPr>
          <w:rtl w:val="true"/>
        </w:rPr>
        <w:t>الإيراد الثاني</w:t>
      </w:r>
      <w:bookmarkEnd w:id="703"/>
    </w:p>
    <w:p>
      <w:pPr>
        <w:pStyle w:val="BookText"/>
        <w:rPr/>
      </w:pPr>
      <w:r>
        <w:rPr>
          <w:rFonts w:ascii="Amiri" w:hAnsi="Amiri" w:eastAsia="Amiri" w:cs="Amiri"/>
          <w:color w:val="111111"/>
          <w:sz w:val="28"/>
          <w:sz w:val="28"/>
          <w:szCs w:val="28"/>
          <w:rtl w:val="true"/>
          <w:lang w:bidi="ar-SA"/>
        </w:rPr>
        <w:t>ولو كان الوضع في الكلّيّات للماهيّات من حيث هي؛ لما كانت عند استعمالها في الجزئيّات حقيقة، والملازمة ظاهرة؛ لكون المستعمل فيه غير الموضوع له والموضوع له غير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التالي فلوضوح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ضاهاها مع استعمالها في الجزئيّات حقائق كما عرفت سابقًا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أنّ كثيرًا من أشباه تلك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والزكاة والصوم وأشباهها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علّق طلب الشارع بها، والماهيّة من حيث هي غير مقدور عليها، فلو كان الوضع فيها للماهيّات من حيث هي، لزم أن يكون متعلّق طلب الشارع ما لا </w:t>
      </w:r>
      <w:bookmarkStart w:id="704" w:name="pg16224_170610"/>
    </w:p>
    <w:p>
      <w:pPr>
        <w:pStyle w:val="BookText"/>
        <w:rPr/>
      </w:pPr>
      <w:bookmarkEnd w:id="704"/>
      <w:r>
        <w:rPr>
          <w:rFonts w:ascii="Amiri" w:hAnsi="Amiri" w:eastAsia="Amiri" w:cs="Amiri"/>
          <w:color w:val="111111"/>
          <w:sz w:val="28"/>
          <w:sz w:val="28"/>
          <w:szCs w:val="28"/>
          <w:rtl w:val="true"/>
          <w:lang w:bidi="ar-SA"/>
        </w:rPr>
        <w:t>يكون مقدورًا عليه</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3734818_1280447820"/>
      <w:bookmarkStart w:id="706" w:name="_Toc275"/>
      <w:bookmarkEnd w:id="705"/>
      <w:r>
        <w:rPr>
          <w:rtl w:val="true"/>
        </w:rPr>
        <w:t>الدفع عن الإيراد الأوّل</w:t>
      </w:r>
      <w:bookmarkEnd w:id="706"/>
    </w:p>
    <w:p>
      <w:pPr>
        <w:pStyle w:val="Heading6"/>
        <w:numPr>
          <w:ilvl w:val="5"/>
          <w:numId w:val="1"/>
        </w:numPr>
        <w:rPr/>
      </w:pPr>
      <w:bookmarkStart w:id="707" w:name="__RefHeading___Toc3734820_1280447820"/>
      <w:bookmarkStart w:id="708" w:name="_Toc276"/>
      <w:bookmarkEnd w:id="707"/>
      <w:r>
        <w:rPr>
          <w:rtl w:val="true"/>
        </w:rPr>
        <w:t>اشارة</w:t>
      </w:r>
      <w:bookmarkEnd w:id="708"/>
    </w:p>
    <w:p>
      <w:pPr>
        <w:pStyle w:val="BookText"/>
        <w:rPr/>
      </w:pPr>
      <w:r>
        <w:rPr>
          <w:rFonts w:ascii="Amiri" w:hAnsi="Amiri" w:eastAsia="Amiri" w:cs="Amiri"/>
          <w:color w:val="111111"/>
          <w:sz w:val="28"/>
          <w:sz w:val="28"/>
          <w:szCs w:val="28"/>
          <w:rtl w:val="true"/>
          <w:lang w:bidi="ar-SA"/>
        </w:rPr>
        <w:t>وأمّا الدفع عن الإيراد الأوّل، فيمكن من وجهين</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3734822_1280447820"/>
      <w:bookmarkStart w:id="710" w:name="_Toc277"/>
      <w:bookmarkEnd w:id="709"/>
      <w:r>
        <w:rPr>
          <w:rtl w:val="true"/>
        </w:rPr>
        <w:t>الوجه الأوّل</w:t>
      </w:r>
      <w:bookmarkEnd w:id="71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يلزم من وضع اللفظ للموجود في الخارج أن يكون الخارج ظرفًا لوجوده، ومن المعلوم أنّه لا يلزم من ظرفيّة شيء لآخر دوامها واستمرارها؛ لعدم كون المظروف واجب الوجود الّذي امتنع انتفاؤه، فيكون انقطاع الظرفيّة في كلّ آنٍ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يكون الإخبار عمّا وضع للموجود في الخارج بالوجود فيه إنّما هو لرفع هذا الاحتمال والتنبيه على بقاء الظرفيّة حال الخطاب، وبالعدم إنّما هو لتحقّق الاحتمال وانقطاع الظرفيّة، ولا شبهة أنّه فائدةٌ عظيمةٌ لم تكن حاصلة للمخاطب، وكلّ من التردّد في الوجود والعدم والاستفهام عنهما إنّما هو لذلك، ومن الأمور المعتبرة في التناقض وحدة الزمان، وهي منتفية في المقام، إذ 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الخارج في الماضي ليس بموجود في الحال</w:t>
      </w:r>
      <w:r>
        <w:rPr>
          <w:rFonts w:eastAsia="Amiri" w:cs="Amiri" w:ascii="Amiri" w:hAnsi="Amiri"/>
          <w:color w:val="111111"/>
          <w:sz w:val="28"/>
          <w:szCs w:val="28"/>
          <w:rtl w:val="true"/>
          <w:lang w:bidi="ar-SA"/>
        </w:rPr>
        <w:t>.</w:t>
      </w:r>
    </w:p>
    <w:p>
      <w:pPr>
        <w:pStyle w:val="Heading6"/>
        <w:numPr>
          <w:ilvl w:val="5"/>
          <w:numId w:val="1"/>
        </w:numPr>
        <w:rPr/>
      </w:pPr>
      <w:bookmarkStart w:id="711" w:name="__RefHeading___Toc3734824_1280447820"/>
      <w:bookmarkStart w:id="712" w:name="_Toc278"/>
      <w:bookmarkEnd w:id="711"/>
      <w:r>
        <w:rPr>
          <w:rtl w:val="true"/>
        </w:rPr>
        <w:t>الوجه الثاني</w:t>
      </w:r>
      <w:bookmarkEnd w:id="71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المحذور إنّما يتوجّه إذا كان الوجود الخارجيّ مثلًا جزءًا للموضوع له، فإنّ العلم بالموضوع له حينئذٍ يستلزم العلم بجزئه، فيلزم أن لا يكون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مفيدًا، والتناقض وهكذا إلى آخر ما قدّمناه؛ أو كان وصفًا محقّقًا له، </w:t>
      </w:r>
      <w:bookmarkStart w:id="713" w:name="pg16224_170611"/>
    </w:p>
    <w:p>
      <w:pPr>
        <w:pStyle w:val="BookText"/>
        <w:rPr/>
      </w:pPr>
      <w:bookmarkEnd w:id="713"/>
      <w:r>
        <w:rPr>
          <w:rFonts w:ascii="Amiri" w:hAnsi="Amiri" w:eastAsia="Amiri" w:cs="Amiri"/>
          <w:color w:val="111111"/>
          <w:sz w:val="28"/>
          <w:sz w:val="28"/>
          <w:szCs w:val="28"/>
          <w:rtl w:val="true"/>
          <w:lang w:bidi="ar-SA"/>
        </w:rPr>
        <w:t>فإنّ الحكم بالوجود حينئذٍ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أن يكون لغوًا وغير مفيد، وبالعدم يوجب التناقض والتردّد بينهما، والاستفهام عنهما بمنزلة التردّد والاستفهام عن اللازم مع القطع بوجود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ليس كذلك، بل هو وصف تقديريّ، بمعنى أنّ وضع الألفاظ للذوات المعيّنة الّتي لو وجدت لكانت موجودة في الخارج، فعلى هذا يمكن أن يكون اللفظ موضوعًا للمعنى الخارجيّ ولا يكون موجودًا في الخارج، إمّا بأن لم يوجد أصلًا، أو وجد وطرأ عليه العدم؛ وحينئذٍ يمكن الإخبار بالوجود والعدم والتردّد بينهما والاستفهام عنهما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الأوّل أولى، يظهر وجهه للمتأمّل فيهما</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3734826_1280447820"/>
      <w:bookmarkStart w:id="715" w:name="_Toc279"/>
      <w:bookmarkEnd w:id="714"/>
      <w:r>
        <w:rPr>
          <w:rtl w:val="true"/>
        </w:rPr>
        <w:t>الدفع عن الإيراد الثاني</w:t>
      </w:r>
      <w:bookmarkEnd w:id="715"/>
    </w:p>
    <w:p>
      <w:pPr>
        <w:pStyle w:val="BookText"/>
        <w:rPr/>
      </w:pPr>
      <w:r>
        <w:rPr>
          <w:rFonts w:ascii="Amiri" w:hAnsi="Amiri" w:eastAsia="Amiri" w:cs="Amiri"/>
          <w:color w:val="111111"/>
          <w:sz w:val="28"/>
          <w:sz w:val="28"/>
          <w:szCs w:val="28"/>
          <w:rtl w:val="true"/>
          <w:lang w:bidi="ar-SA"/>
        </w:rPr>
        <w:t>وأمّا عن الإيراد الثاني فبالمعارضة والمنع، أمّا الأوّل فبأن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الوضع في الكلّيّات للماهيّات، لزم أن لا يكون استعمالها فيها على وجه الحقيقة، والملازمة ظاهرة، وبطلان التالي أظهر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ذلك إنّما يكون متوجّهًا إذا لم يمكن استعمال اللفظ الموضوع للماهيّة في أفرادها إلّا على وجه المجاز، وهو غير صحيح؛ لأنّ المسلّم عند أئمّة الأصول والعربيّة أنّ لفظ العامّ والكلّي إذا أُطلق على الخاصّ والجزئيّ لا باعتبار الخصوصيّة والجزئيّة، بل باعتبار العموم، فهو ليس من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وتحقيقه على ما لا مزيد عليه يُطلب من حواشينا على معالم الأصول</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الحكم بناءً على القول بوجود الكلّيّ الطبيعيّ وأنّ وجوده بعين وجود أفراده بأن يكونا موجودين بوجود واحد، ظاهرٌ، وأمّا على القول بعدم وجوده فمشكل؛ إذ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المعنى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 في ضمن الفرد وبوجوده؛ وحينئذٍ لا يكون المستعمل فيه إلّا الفرد، وهو غير الموضوع له، فلا يمكن حينئذٍ أن يكون الاستعمال في الفرد إلّا على وجه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يندفع أصل الإيراد من أنّ الوضع في الكلّيّات لو كان للماهيّات لما كان استعمالها في الأفراد إلّا على وجه المجاز، وهو باطل لما تقدّم، فلا يكون الوضع فيها بإزائها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إمكان الاستعمالين مبنيٌّ على القول الأوّل، وهو الصحيح، فلمّا كان القول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نفي الوجود الطبيعيّ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فاسدًا، فلا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ذلك، لكن مقتضاه إمكان كلّ من الاستعمالين، وفيما نحن فيه ليس الاستعمال إلّا على الحقيقة، إذ لا يمكن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ضاهاها في الفرد على وجه المجاز؛ لتحقّق أمارة الحقيقة في كلّ موضع</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ما ذكر أنّه لو استعمل الكلّيّ وأريد منه المعنى العامّ في </w:t>
      </w:r>
      <w:bookmarkStart w:id="716" w:name="pg16224_170613"/>
    </w:p>
    <w:p>
      <w:pPr>
        <w:pStyle w:val="BookText"/>
        <w:rPr/>
      </w:pPr>
      <w:bookmarkEnd w:id="716"/>
      <w:r>
        <w:rPr>
          <w:rFonts w:ascii="Amiri" w:hAnsi="Amiri" w:eastAsia="Amiri" w:cs="Amiri"/>
          <w:color w:val="111111"/>
          <w:sz w:val="28"/>
          <w:sz w:val="28"/>
          <w:szCs w:val="28"/>
          <w:rtl w:val="true"/>
          <w:lang w:bidi="ar-SA"/>
        </w:rPr>
        <w:t>ضمن الفرد كان حقيقة، ولو استعمل في خصوص الفرد كان مجازًا؛ ومن المعلوم أنّ الألفاظ الّتي كلامنا فيها حين استعمالها في الخصوص تحقّقت فيها أمارة الحقيقة من التبادر وعدم صحّة السلب والاطّراد، فاستعمالها</w:t>
      </w:r>
      <w:r>
        <w:rPr>
          <w:rStyle w:val="FootnoteAnchor"/>
          <w:rtl w:val="true"/>
        </w:rPr>
        <w:footnoteReference w:id="602"/>
      </w:r>
      <w:r>
        <w:rPr>
          <w:rFonts w:ascii="Amiri" w:hAnsi="Amiri" w:eastAsia="Amiri" w:cs="Amiri"/>
          <w:color w:val="111111"/>
          <w:sz w:val="28"/>
          <w:sz w:val="28"/>
          <w:szCs w:val="28"/>
          <w:rtl w:val="true"/>
          <w:lang w:bidi="ar-SA"/>
        </w:rPr>
        <w:t>في خصوص الأفراد لا يكون إلّا على وجه الحقيقة، فلا يتمّ الجواب</w:t>
      </w:r>
      <w:r>
        <w:rPr>
          <w:rFonts w:eastAsia="Amiri" w:cs="Amiri" w:ascii="Amiri" w:hAnsi="Amiri"/>
          <w:color w:val="111111"/>
          <w:sz w:val="28"/>
          <w:szCs w:val="28"/>
          <w:rtl w:val="true"/>
          <w:lang w:bidi="ar-SA"/>
        </w:rPr>
        <w:t>.</w:t>
      </w:r>
    </w:p>
    <w:p>
      <w:pPr>
        <w:pStyle w:val="Heading6"/>
        <w:numPr>
          <w:ilvl w:val="5"/>
          <w:numId w:val="1"/>
        </w:numPr>
        <w:rPr/>
      </w:pPr>
      <w:bookmarkStart w:id="717" w:name="__RefHeading___Toc3734828_1280447820"/>
      <w:bookmarkStart w:id="718" w:name="_Toc280"/>
      <w:bookmarkEnd w:id="717"/>
      <w:r>
        <w:rPr>
          <w:rtl w:val="true"/>
        </w:rPr>
        <w:t>فيما يمكن أن يقال في دفع الإيراد</w:t>
      </w:r>
      <w:bookmarkEnd w:id="718"/>
    </w:p>
    <w:p>
      <w:pPr>
        <w:pStyle w:val="BookText"/>
        <w:rPr/>
      </w:pPr>
      <w:r>
        <w:rPr>
          <w:rFonts w:ascii="Amiri" w:hAnsi="Amiri" w:eastAsia="Amiri" w:cs="Amiri"/>
          <w:color w:val="111111"/>
          <w:sz w:val="28"/>
          <w:sz w:val="28"/>
          <w:szCs w:val="28"/>
          <w:rtl w:val="true"/>
          <w:lang w:bidi="ar-SA"/>
        </w:rPr>
        <w:t>ويمكن أن يقال في دفع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 الألفاظ في الجزئيّات الخارجيّة لها إلخ، وهذه الأفراد الخارجيّة هي الجزئيّات المذكورة، إذ كلّ واحد منها يمتنع صدقه على غيره فضلًا عن صدقه على كثيرين، فتكون تلك الألفاظ موضوعة بإزائها، كما أنّها موضوعة للمعاني الكلّيّة أيضًا، فعدم كون الاستعمال في تلك الأفراد إلّا على وجه الحقيقة غير منافٍ للمطلوب، بل يؤكّده</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3734830_1280447820"/>
      <w:bookmarkStart w:id="720" w:name="_Toc281"/>
      <w:bookmarkEnd w:id="719"/>
      <w:r>
        <w:rPr>
          <w:rtl w:val="true"/>
        </w:rPr>
        <w:t>فيما يتوجّه عليه</w:t>
      </w:r>
      <w:bookmarkEnd w:id="720"/>
    </w:p>
    <w:p>
      <w:pPr>
        <w:pStyle w:val="BookText"/>
        <w:rPr/>
      </w:pPr>
      <w:r>
        <w:rPr>
          <w:rFonts w:ascii="Amiri" w:hAnsi="Amiri" w:eastAsia="Amiri" w:cs="Amiri"/>
          <w:color w:val="111111"/>
          <w:sz w:val="28"/>
          <w:sz w:val="28"/>
          <w:szCs w:val="28"/>
          <w:rtl w:val="true"/>
          <w:lang w:bidi="ar-SA"/>
        </w:rPr>
        <w:t>لكن يتوجّه عليه شيئان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ذلك لا معنى للحكم بأنّ استعمال الكلّيّ في الفرد يكون على وجهين؛ لما عرفت من أنّ استعمال اللفظ حينئذٍ في الفرد على وجه الحقيقة أبدًا، كما أنّ استعماله في الماهيّة من حيث هي كذلك</w:t>
      </w:r>
      <w:r>
        <w:rPr>
          <w:rFonts w:eastAsia="Amiri" w:cs="Amiri" w:ascii="Amiri" w:hAnsi="Amiri"/>
          <w:color w:val="111111"/>
          <w:sz w:val="28"/>
          <w:szCs w:val="28"/>
          <w:rtl w:val="true"/>
          <w:lang w:bidi="ar-SA"/>
        </w:rPr>
        <w:t xml:space="preserve">. </w:t>
      </w:r>
      <w:bookmarkStart w:id="721" w:name="pg16224_170614"/>
    </w:p>
    <w:p>
      <w:pPr>
        <w:pStyle w:val="BookText"/>
        <w:rPr/>
      </w:pPr>
      <w:bookmarkEnd w:id="721"/>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بناءً على ما ذكر أن تكون الألفاظ الموضوعة للماهيّات الّتي لها أفراد خارجيّة أو ذهنيّة مشتركة، فيلزم اشتراك أكثر الألفاظ، وهو غير صحيح؛ لأنّ تتبّع الكتب المصنّفة في اللغة مكذّب إيّاه، وانتفاء أمارة الاشتراك فيها من عدم الحمل إلّا على البعض المدلول عليه بالقرينة مبطل له، وقضيّة أكثريّة المجاز من الاشتراك كما صدرت من فحول الأعلام مفسدة فيه</w:t>
      </w:r>
      <w:r>
        <w:rPr>
          <w:rFonts w:eastAsia="Amiri" w:cs="Amiri" w:ascii="Amiri" w:hAnsi="Amiri"/>
          <w:color w:val="111111"/>
          <w:sz w:val="28"/>
          <w:szCs w:val="28"/>
          <w:rtl w:val="true"/>
          <w:lang w:bidi="ar-SA"/>
        </w:rPr>
        <w:t>.</w:t>
      </w:r>
    </w:p>
    <w:p>
      <w:pPr>
        <w:pStyle w:val="Heading6"/>
        <w:numPr>
          <w:ilvl w:val="5"/>
          <w:numId w:val="1"/>
        </w:numPr>
        <w:rPr/>
      </w:pPr>
      <w:bookmarkStart w:id="722" w:name="__RefHeading___Toc3734832_1280447820"/>
      <w:bookmarkStart w:id="723" w:name="_Toc282"/>
      <w:bookmarkEnd w:id="722"/>
      <w:r>
        <w:rPr>
          <w:rtl w:val="true"/>
        </w:rPr>
        <w:t>الحقّ في الجواب عن الإيراد الأوّل</w:t>
      </w:r>
      <w:bookmarkEnd w:id="723"/>
    </w:p>
    <w:p>
      <w:pPr>
        <w:pStyle w:val="BookText"/>
        <w:rPr/>
      </w:pPr>
      <w:r>
        <w:rPr>
          <w:rFonts w:ascii="Amiri" w:hAnsi="Amiri" w:eastAsia="Amiri" w:cs="Amiri"/>
          <w:color w:val="111111"/>
          <w:sz w:val="28"/>
          <w:sz w:val="28"/>
          <w:szCs w:val="28"/>
          <w:rtl w:val="true"/>
          <w:lang w:bidi="ar-SA"/>
        </w:rPr>
        <w:t>والحقّ في الجواب هو ما تقدّم،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الألفاظ عند استعمالها في الأفراد إنّما تكون حقيقة في الصورة المفروضة، وأمّا عند استعمالها في خصوص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الأفراد ويكون الخصوصيّة مرادة منها بأن يكون الدالّ واحدًا والمدلول متعدّدَ المعنى العامّ والخصوصيّة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تحقّق خواصّ الحقيقة فيها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دعوى تبادر الجزئيّات الخارجيّة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إمّا أن يكون عند اقترانها بالقرائن الدالّة عليها،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أو مطلقًا حتّى يكون المتبادر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الأفراد الخارجيّة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التبادر مسلّمًا، لكنّه ليس من خواصّ الحقيقة؛ لاستلزامه انسداد باب المجاز بالمرّة؛ لوضوح أنّ المعاني المجازيّة بأسرها متبادرة عند الاقتران بالقرائن الدالّة عليها، وقد مرّ تحقيق الحال في ذلك مشروحًا في بحث التبادر، من أراد أن يظهر له حقيقة الحال ولِمُّ المقال، فعليه بتدقيق النظر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w:t>
      </w:r>
      <w:r>
        <w:rPr>
          <w:rStyle w:val="FootnoteAnchor"/>
          <w:rtl w:val="true"/>
        </w:rPr>
        <w:footnoteReference w:id="604"/>
      </w:r>
      <w:r>
        <w:rPr>
          <w:rFonts w:ascii="Amiri" w:hAnsi="Amiri" w:eastAsia="Amiri" w:cs="Amiri"/>
          <w:color w:val="111111"/>
          <w:sz w:val="28"/>
          <w:sz w:val="28"/>
          <w:szCs w:val="28"/>
          <w:rtl w:val="true"/>
          <w:lang w:bidi="ar-SA"/>
        </w:rPr>
        <w:t>دعوى تبادر الخصوصيّات عند انتفاء العهديّة، فالتبادر المعتبر في إثبات الحقيقة غير متحقّق فيها، والمتحقّق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كان مسلّمًا؛ لوضوح 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الفرد</w:t>
      </w:r>
      <w:r>
        <w:rPr>
          <w:rStyle w:val="FootnoteAnchor"/>
          <w:rtl w:val="true"/>
        </w:rPr>
        <w:footnoteReference w:id="605"/>
      </w:r>
      <w:r>
        <w:rPr>
          <w:rFonts w:ascii="Amiri" w:hAnsi="Amiri" w:eastAsia="Amiri" w:cs="Amiri"/>
          <w:color w:val="111111"/>
          <w:sz w:val="28"/>
          <w:sz w:val="28"/>
          <w:szCs w:val="28"/>
          <w:rtl w:val="true"/>
          <w:lang w:bidi="ar-SA"/>
        </w:rPr>
        <w:t xml:space="preserve">المعهود إنّما هو لتحقّق المعنى المعلوم فيه، وهو يصحّ في كلّ ما يتحقّق فيه ذلك؛ وهكذا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لكن قد عرفت ممّا أسلفناه في بحثه أنّه غير ناهض في إثبات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لم يكن صحيحًا؛ لظهور أنّه لا يصحّ في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بخبز، ولمن 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يأكل خبزًا، وهكذا في أمثاله، لكنّه لم يثبت منه كون اللفظ حقيقة في خصوص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ذلك يستدعي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موجودًا بوجود الفرد بأن يكونا موجودين بوجود واحد، صحّ حمل العامّ عليه بحمل هو هو،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خبز، وهذه دار، وزيد إنسان، وما ضاهاها، مع أنّ المعتبر في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الذاتيّ والتغاير الاعتباريّ، فلو لم يكونا متّحدين بالذات لما صحّ الحمل، وصحّة الحمل الإيجابيّ مستلزمة لأن لا يصحّ الحمل السلبيّ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بخبز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لاستلزامه اجتماع النقيضين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الوجه في الحمل كونهما موجودين بوجود واحد، فسلب الحمل يستلزم </w:t>
      </w:r>
    </w:p>
    <w:p>
      <w:pPr>
        <w:pStyle w:val="BookText"/>
        <w:rPr/>
      </w:pPr>
      <w:r>
        <w:rPr>
          <w:rFonts w:ascii="Amiri" w:hAnsi="Amiri" w:eastAsia="Amiri" w:cs="Amiri"/>
          <w:color w:val="111111"/>
          <w:sz w:val="28"/>
          <w:sz w:val="28"/>
          <w:szCs w:val="28"/>
          <w:rtl w:val="true"/>
          <w:lang w:bidi="ar-SA"/>
        </w:rPr>
        <w:t>سلبه، فيلزم اجتماع النقيضين، لكنّ الّذي يلزم من ذلك أنّ انتفاء السلب إنّما هو بالنسبة إلى المعنى العامّ الّذي بتحقّقه في ضمن الخاصّ وبوجوده صحّ حمله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عدم السلب إنّما يقتضي حقيقيّة اللفظ فيما لا يصحّ سلبه عنه، وهو فيما نحن فيه المعنى الكلّيّ، وحقيقيّة اللفظ بالنسبة إليه ممّا لا تنكر، وهو ما قدّمنا من أنّه إذا استعمل لفظ الكلّيّ في الخاصّ باعتبار العموم لا باعتبار الخصوص لا يكون مجازًا، ولا يلزم منه أن يكون لفظ الكلّيّ حقيقة في خصوص الجزئيّات، إذ عدم السلب لم يثبت بالنسبة إليها، بل خلافه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بإنسان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يصدق ذلك فليصدق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ليست بدار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ليس بخبز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افتراق بينهما من هذه الجهة؛ غاية ما في الباب أنّ الفرد الإنسانيّ عيّن له اسم بخصوصه وراء الإنسان، بخلاف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إليه، وهو لا يصلح فارقًا فيما نحن بصدد بيانه، بل ذلك إنّما هو لتحقّق الدواعي في ذلك التعيين من المخاطب</w:t>
      </w:r>
      <w:r>
        <w:rPr>
          <w:rStyle w:val="FootnoteAnchor"/>
          <w:rtl w:val="true"/>
        </w:rPr>
        <w:footnoteReference w:id="606"/>
      </w:r>
      <w:r>
        <w:rPr>
          <w:rFonts w:ascii="Amiri" w:hAnsi="Amiri" w:eastAsia="Amiri" w:cs="Amiri"/>
          <w:color w:val="111111"/>
          <w:sz w:val="28"/>
          <w:sz w:val="28"/>
          <w:szCs w:val="28"/>
          <w:rtl w:val="true"/>
          <w:lang w:bidi="ar-SA"/>
        </w:rPr>
        <w:t>، وغيره هناك وانتفائها فيما نحن فيه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 ظهر أنّ المراد من كون الوضع في الجزئيّات الخارجيّة للموجودات الخارجيّة إنّما هو بالنسبة إلى الألفاظ الّتي عيّنت لها بخصوصها، كزيد وعمرو ونحوهما من أيّ نوع كان، لا بالنسبة إلى اللفظ الكلّيّ عند استعماله في الجزئيّات من حيث إنّها جزئيّاته</w:t>
      </w:r>
      <w:r>
        <w:rPr>
          <w:rFonts w:eastAsia="Amiri" w:cs="Amiri" w:ascii="Amiri" w:hAnsi="Amiri"/>
          <w:color w:val="111111"/>
          <w:sz w:val="28"/>
          <w:szCs w:val="28"/>
          <w:rtl w:val="true"/>
          <w:lang w:bidi="ar-SA"/>
        </w:rPr>
        <w:t xml:space="preserve">. </w:t>
      </w:r>
      <w:bookmarkStart w:id="724" w:name="pg16224_170617"/>
    </w:p>
    <w:p>
      <w:pPr>
        <w:pStyle w:val="BookText"/>
        <w:rPr/>
      </w:pPr>
      <w:bookmarkEnd w:id="724"/>
      <w:r>
        <w:rPr>
          <w:rFonts w:ascii="Amiri" w:hAnsi="Amiri" w:eastAsia="Amiri" w:cs="Amiri"/>
          <w:color w:val="111111"/>
          <w:sz w:val="28"/>
          <w:sz w:val="28"/>
          <w:szCs w:val="28"/>
          <w:rtl w:val="true"/>
          <w:lang w:bidi="ar-SA"/>
        </w:rPr>
        <w:t>هذا كلّه بالنسبة إلى الإيراد الأوّل على تقدير كون الوضع في الكلّيّات للماهيّات من حيث هي</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3734834_1280447820"/>
      <w:bookmarkStart w:id="726" w:name="_Toc283"/>
      <w:bookmarkEnd w:id="725"/>
      <w:r>
        <w:rPr>
          <w:rtl w:val="true"/>
        </w:rPr>
        <w:t>الحقّ في الجواب عن الإيراد الثاني</w:t>
      </w:r>
      <w:bookmarkEnd w:id="726"/>
    </w:p>
    <w:p>
      <w:pPr>
        <w:pStyle w:val="BookText"/>
        <w:rPr/>
      </w:pPr>
      <w:r>
        <w:rPr>
          <w:rFonts w:ascii="Amiri" w:hAnsi="Amiri" w:eastAsia="Amiri" w:cs="Amiri"/>
          <w:color w:val="111111"/>
          <w:sz w:val="28"/>
          <w:sz w:val="28"/>
          <w:szCs w:val="28"/>
          <w:rtl w:val="true"/>
          <w:lang w:bidi="ar-SA"/>
        </w:rPr>
        <w:t>وأمّا الإيراد الثاني، فهو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الماهيّة غير المقدورة إنّما هي الماهيّة بشرط لا، لا الماهيّة اللابشرطيّة</w:t>
      </w:r>
      <w:r>
        <w:rPr>
          <w:rStyle w:val="FootnoteAnchor"/>
          <w:rtl w:val="true"/>
        </w:rPr>
        <w:footnoteReference w:id="607"/>
      </w:r>
      <w:r>
        <w:rPr>
          <w:rFonts w:ascii="Amiri" w:hAnsi="Amiri" w:eastAsia="Amiri" w:cs="Amiri"/>
          <w:color w:val="111111"/>
          <w:sz w:val="28"/>
          <w:sz w:val="28"/>
          <w:szCs w:val="28"/>
          <w:rtl w:val="true"/>
          <w:lang w:bidi="ar-SA"/>
        </w:rPr>
        <w:t>لظهور إمكان إيجادها في ضمن بعض الأفراد، وما نحن فيه من هذا القبيل، فامتناع تعلّق طلب الشارع بمطلق الماهيّات غير مسلّم</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3734836_1280447820"/>
      <w:bookmarkStart w:id="728" w:name="_Toc284"/>
      <w:bookmarkEnd w:id="727"/>
      <w:r>
        <w:rPr>
          <w:rtl w:val="true"/>
        </w:rPr>
        <w:t>تنبيه</w:t>
      </w:r>
      <w:bookmarkEnd w:id="728"/>
    </w:p>
    <w:p>
      <w:pPr>
        <w:pStyle w:val="BookText"/>
        <w:rPr/>
      </w:pPr>
      <w:r>
        <w:rPr>
          <w:rFonts w:ascii="Amiri" w:hAnsi="Amiri" w:eastAsia="Amiri" w:cs="Amiri"/>
          <w:color w:val="111111"/>
          <w:sz w:val="28"/>
          <w:sz w:val="28"/>
          <w:szCs w:val="28"/>
          <w:rtl w:val="true"/>
          <w:lang w:bidi="ar-SA"/>
        </w:rPr>
        <w:t>وممّا يتوهّم</w:t>
      </w:r>
      <w:r>
        <w:rPr>
          <w:rStyle w:val="FootnoteAnchor"/>
          <w:rtl w:val="true"/>
        </w:rPr>
        <w:footnoteReference w:id="608"/>
      </w:r>
      <w:r>
        <w:rPr>
          <w:rFonts w:ascii="Amiri" w:hAnsi="Amiri" w:eastAsia="Amiri" w:cs="Amiri"/>
          <w:color w:val="111111"/>
          <w:sz w:val="28"/>
          <w:sz w:val="28"/>
          <w:szCs w:val="28"/>
          <w:rtl w:val="true"/>
          <w:lang w:bidi="ar-SA"/>
        </w:rPr>
        <w:t>تفريعه على هذه المسألة هو النظر إلى صورة الأجنبيّة للرجل</w:t>
      </w:r>
      <w:r>
        <w:rPr>
          <w:rStyle w:val="FootnoteAnchor"/>
          <w:rtl w:val="true"/>
        </w:rPr>
        <w:footnoteReference w:id="609"/>
      </w:r>
      <w:r>
        <w:rPr>
          <w:rFonts w:ascii="Amiri" w:hAnsi="Amiri" w:eastAsia="Amiri" w:cs="Amiri"/>
          <w:color w:val="111111"/>
          <w:sz w:val="28"/>
          <w:sz w:val="28"/>
          <w:szCs w:val="28"/>
          <w:rtl w:val="true"/>
          <w:lang w:bidi="ar-SA"/>
        </w:rPr>
        <w:t>والأجنبيّ للمرأة المرتسمة في الماء والمرآة والجدار والخشب ونحوها، فإنّه بناءً على القول بأنّ وضع الألفاظ للأمور الخارجيّة ينبغي أن يجوز النظر إليها، بخلافه على القول بأنّ وضعها للصور؛ وكذلك الحال في الأدعية والأذكار الموظّفة وغيرها، فإنّه على القول بوضع الألفاظ للصور ينبغي أن يتأتّى الامتثال بتخيّلها، بخلافه على القول الآخر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غير صحيح، إذ القائل بأنّ وضع الألفاظ للصور لم يقل بوضعها لها مطلقًا، بل للصور الذهنيّة، والصور المنقوشة فيما ذكر ليست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ربّما يتخيّل له وجه، بناءً على القول بحصول الأشياء بأشباحها في الذهن، فإنّ تلك الصور أيضًا أشباح، لكنّه أيضًا ليس بشيء؛ إذ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 الذهنيّة ما كانت مرتسمة في الذهن، مضافًا إلى أنّه منبئٌ أنّ ذلك القائل ممّن يقول بحصول الأشياء بأشباحها في الذهن، وهو غير معلوم، وأمّا حكاية الأدعية والأذكار فلا بأس بها</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الأذكار ممّا كان مستنده مثل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فله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فنلتزم ذلك، وما الدليل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ممّا يكون مستنده مثل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فله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نسلّم أنّه يلزم بناءً على القول المذكور ما ذكر؛ لوضوح أنّ القول لا يتحقّق إلّا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بعد غمض العين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المفروض أنّ الألفاظ بأسرها موضوعة للصور الذهنيّة، ومنها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فيلزم المحذور، بل يلزمه الحكم بعدم الامتثال فيما إذا قرأها مع الغفلة عن صورها الذهنيّة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 أن تقول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بناءً على ظاهر القول المذكور جواز النظر إلى المرأة الخارجيّة، إذ مقتضى كون الأصل في الاستعمال الحقيقة حمل الألفاظ على معانيها الحقيقيّة، والمفروض أنّ الموضوع له الصورُ الذهنيّة، لا الأمور الخارجيّة، فبعد حمل الأدلّة الدالّة على الحرمة على حقيقتها يلزم ما ذكر، وهكذا الحال في أمثاله، بخلافه على القول بوضعها للأمور الخارجيّة إمّا مطلقًا، أو على التفصيل المتقدّم</w:t>
      </w:r>
      <w:r>
        <w:rPr>
          <w:rFonts w:eastAsia="Amiri" w:cs="Amiri" w:ascii="Amiri" w:hAnsi="Amiri"/>
          <w:color w:val="111111"/>
          <w:sz w:val="28"/>
          <w:szCs w:val="28"/>
          <w:rtl w:val="true"/>
          <w:lang w:bidi="ar-SA"/>
        </w:rPr>
        <w:t xml:space="preserve">. </w:t>
      </w:r>
      <w:bookmarkStart w:id="729" w:name="pg16224_170619"/>
    </w:p>
    <w:p>
      <w:pPr>
        <w:pStyle w:val="BookText"/>
        <w:rPr/>
      </w:pPr>
      <w:bookmarkEnd w:id="729"/>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لهذا القائل إمّا أن يلتزم ما ذكر، أو يقول بمجازيّة الألفاظ بأسرها، وشيء منهما ممّا لا يلتزم؛ وهو دليل آخر على فساد القول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ممّا سلف كما لا يخفى على من تدبّر وتفطّن</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3734838_1280447820"/>
      <w:bookmarkStart w:id="731" w:name="_Toc285"/>
      <w:bookmarkEnd w:id="730"/>
      <w:r>
        <w:rPr>
          <w:rtl w:val="true"/>
        </w:rPr>
        <w:t>والأمر الثاني</w:t>
      </w:r>
      <w:r>
        <w:rPr>
          <w:rtl w:val="true"/>
        </w:rPr>
        <w:t xml:space="preserve">: </w:t>
      </w:r>
      <w:r>
        <w:rPr>
          <w:rtl w:val="true"/>
        </w:rPr>
        <w:t>هو أنّ وضع الألفاظ للمعاني ما كانت معانٍ باعتقاد المستعمل والمكلّف، أو في نفس الأمر والواقع</w:t>
      </w:r>
      <w:bookmarkEnd w:id="731"/>
    </w:p>
    <w:p>
      <w:pPr>
        <w:pStyle w:val="Heading6"/>
        <w:numPr>
          <w:ilvl w:val="5"/>
          <w:numId w:val="1"/>
        </w:numPr>
        <w:rPr/>
      </w:pPr>
      <w:bookmarkStart w:id="732" w:name="__RefHeading___Toc3734840_1280447820"/>
      <w:bookmarkStart w:id="733" w:name="_Toc286"/>
      <w:bookmarkEnd w:id="732"/>
      <w:r>
        <w:rPr>
          <w:rtl w:val="true"/>
        </w:rPr>
        <w:t>اشارة</w:t>
      </w:r>
      <w:bookmarkEnd w:id="733"/>
    </w:p>
    <w:p>
      <w:p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وضع الألفاظ للمعاني ما كانت معانٍ باعتقاد المستعمل والمكلّف، أو</w:t>
      </w:r>
      <w:r>
        <w:rPr>
          <w:rStyle w:val="FootnoteAnchor"/>
          <w:rtl w:val="true"/>
        </w:rPr>
        <w:footnoteReference w:id="611"/>
      </w:r>
      <w:r>
        <w:rPr>
          <w:rFonts w:ascii="Amiri" w:hAnsi="Amiri" w:eastAsia="Amiri" w:cs="Amiri"/>
          <w:color w:val="111111"/>
          <w:sz w:val="28"/>
          <w:sz w:val="28"/>
          <w:szCs w:val="28"/>
          <w:rtl w:val="true"/>
          <w:lang w:bidi="ar-SA"/>
        </w:rPr>
        <w:t>في نفس الأمر والواقع</w:t>
      </w:r>
    </w:p>
    <w:p>
      <w:pPr>
        <w:pStyle w:val="BookText"/>
        <w:rPr/>
      </w:pPr>
      <w:r>
        <w:rPr>
          <w:rFonts w:ascii="IRNazanin" w:hAnsi="IRNazanin" w:eastAsia="IRNazanin"/>
          <w:color w:val="111111"/>
          <w:sz w:val="28"/>
          <w:sz w:val="28"/>
          <w:szCs w:val="28"/>
          <w:rtl w:val="true"/>
          <w:lang w:bidi="fa-IR"/>
        </w:rPr>
        <w:t>وهذا المبحث</w:t>
      </w:r>
      <w:r>
        <w:rPr>
          <w:rStyle w:val="FootnoteAnchor"/>
          <w:rtl w:val="true"/>
        </w:rPr>
        <w:footnoteReference w:id="612"/>
      </w:r>
      <w:r>
        <w:rPr>
          <w:rFonts w:ascii="Amiri" w:hAnsi="Amiri" w:eastAsia="Amiri" w:cs="Amiri"/>
          <w:color w:val="111111"/>
          <w:sz w:val="28"/>
          <w:sz w:val="28"/>
          <w:szCs w:val="28"/>
          <w:rtl w:val="true"/>
          <w:lang w:bidi="ar-SA"/>
        </w:rPr>
        <w:t>من أهمّ المباحث في الباب، وكم قد يتفرّع عليه من الثمرات، مثلًا أنّ الشارع أمر بإيقاع الصلوات في مواقيتها وإلى القبلة، واجتناب النجاسات فيها، وترك المحرّمات، وغير ذلك ممّا يكون على هذا المنوال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المعاني الموضوع لها هي ما يكون باعتقاد المكلّف، يلزم صحّة الصلاة فيما إذا اعتقد الوقتيّة ما لم يكن كذلك، والفساد فيما إذا أوقعها في الوقت النفس الأمريّ مع اعتقاد خلافه، بل مع عدم الاعتقاد، وصحّة الصلاة فيما إذا أتاها مع النجاسة النفس الأمريّة مع عدم اعتقادها، وفسادها فيما إذا أتاها مع اعتقاد النجاسة ما لم يكن كذلك في نفس الأمر؛ وجواز النظر إلى امرأة يعتقدها من محارمه وإن لم تكن</w:t>
      </w:r>
      <w:r>
        <w:rPr>
          <w:rStyle w:val="FootnoteAnchor"/>
          <w:rtl w:val="true"/>
        </w:rPr>
        <w:footnoteReference w:id="613"/>
      </w:r>
      <w:r>
        <w:rPr>
          <w:rFonts w:ascii="Amiri" w:hAnsi="Amiri" w:eastAsia="Amiri" w:cs="Amiri"/>
          <w:color w:val="111111"/>
          <w:sz w:val="28"/>
          <w:sz w:val="28"/>
          <w:szCs w:val="28"/>
          <w:rtl w:val="true"/>
          <w:lang w:bidi="ar-SA"/>
        </w:rPr>
        <w:t>كذلك في الواقع، وعدمه فيما إذا اعتقد خلافه كذلك</w:t>
      </w:r>
      <w:r>
        <w:rPr>
          <w:rFonts w:eastAsia="Amiri" w:cs="Amiri" w:ascii="Amiri" w:hAnsi="Amiri"/>
          <w:color w:val="111111"/>
          <w:sz w:val="28"/>
          <w:szCs w:val="28"/>
          <w:rtl w:val="true"/>
          <w:lang w:bidi="ar-SA"/>
        </w:rPr>
        <w:t xml:space="preserve">. </w:t>
      </w:r>
      <w:bookmarkStart w:id="734" w:name="pg16224_170620"/>
    </w:p>
    <w:p>
      <w:pPr>
        <w:pStyle w:val="Heading6"/>
        <w:numPr>
          <w:ilvl w:val="5"/>
          <w:numId w:val="1"/>
        </w:numPr>
        <w:rPr/>
      </w:pPr>
      <w:bookmarkStart w:id="735" w:name="__RefHeading___Toc3734842_1280447820"/>
      <w:bookmarkStart w:id="736" w:name="_Toc287"/>
      <w:bookmarkEnd w:id="734"/>
      <w:bookmarkEnd w:id="735"/>
      <w:r>
        <w:rPr>
          <w:rtl w:val="true"/>
        </w:rPr>
        <w:t>مختار المؤلّف</w:t>
      </w:r>
      <w:bookmarkEnd w:id="736"/>
    </w:p>
    <w:p>
      <w:pPr>
        <w:pStyle w:val="BookText"/>
        <w:rPr/>
      </w:pPr>
      <w:r>
        <w:rPr>
          <w:rFonts w:ascii="Amiri" w:hAnsi="Amiri" w:eastAsia="Amiri" w:cs="Amiri"/>
          <w:color w:val="111111"/>
          <w:sz w:val="28"/>
          <w:sz w:val="28"/>
          <w:szCs w:val="28"/>
          <w:rtl w:val="true"/>
          <w:lang w:bidi="ar-SA"/>
        </w:rPr>
        <w:t>والتحقيق في هذا المقام هو ما أومأنا إليه سابقًا من أنّها موضوعة للمعاني الواقعيّة النفس الأمريّة، وذلك ممّا لا ينبغي التأمّل فيه؛ لوضوح أنّ الواضع حين الوضع لا بدّ له من تعقّل المعنى وملاحظته ثمّ يضع اللفظ بإزائه، والقطع حاصل بأنّه لا التفات له إلى ما يعتقده المخاطب والمستعمل وإن كان مخالفًا للواقع، وإنّما التفاته إلى ما يكون في الواقع ونفس الأمر، وذلك معلوم بالعيان ويشهد له الرجوع إلى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من استعمل لفظًا في مورد على اعتقاد أنّه معناه وتبيّن مخالفته للواقع ومغايرته لنفس الأمر،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خابط في ذلك، ويحكم عليه بأنّه غالط هنالك، ولا أحد يتأمّل في ذلك، وليس ذلك إلّا لعدم إصابته بالواقع؛ فلو كان وضع الألفاظ لما يعتقده المستعمل أنّه معناه، لما كان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يعمّ اللغويّة والشرعيّة والعرفيّة، لكن لمّا كان المقصود من وضع الألفاظ استعمالها في المحاورات والداعي لإيرادها في الخطابات الامتثال لتحصيل القربات، يجوز الاستعمال لكلّ مستعمل فيما اعتقد أنّه معناه في نفس الأمر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الأخذ في الامتثال فيما اعتقد ذلك، ثمّ بعد الإتيان لا يخلو إمّا أن يظهر عليه المطابقة للواقع، أو المخالفة، أو لا هذا ولا ذاك؛ وفي الأوّل والثالث لا ينبغي التأمّل في حصول الامتثال؛ أمّا على الأوّل فظاهر، وأمّا على الثالث فلأنّه لم يثبت من الأدلّة المقرّرة للتكاليف أزيد من ذلك؛ على أنّ العلم بالمطابقة في كثير من الموارد من الأمور المستحيلة، فالتكليف بها خارج عن حدّ الطاقة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 إلى النظر في الأدلّة الدالّة على اعتباره، فإن دلّ عليه جزئيّة كانت أو شرطيّة على العموم والإطلاق، كأركان الصلاة والطهارة والوقت مثلًا، ينبغي الحكم بالبطلان، فلا يحصل له الامتثال؛ وإلّا فلا، كالنجاسة، فإنّ ما دلّ على لزوم الاجتناب عنها في الصلاة إنّما هو بعد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بطلان الصلاة بها إنّما هو بعد العلم بها، فمطلق مصاحبة النجاسة لم يثبت إفسادها للصلاة، وهكذا الحال في غيرها ممّا يكون بهذا المنوال، وهذه قاعدة متقنة، وكم يترتّب عليها من الفروعات الجليلة، والتفرقة بين الموارد لا يكون إلّا بالنظر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التقرير لا يلزم صحّة الصلاة مثلًا فيما إذا أتاها في الوقت النفس الأمريّ مثلًا مع اعتقاده خلافه؛ لأنّه منهيٌّ عن الصلاة إلّا إذا اعتقد الوقتيّة، فمع عدمه يكون الأخذ بها منهيًّا عنه، والنهي في العبادة</w:t>
      </w:r>
      <w:r>
        <w:rPr>
          <w:rStyle w:val="FootnoteAnchor"/>
          <w:rtl w:val="true"/>
        </w:rPr>
        <w:footnoteReference w:id="614"/>
      </w:r>
      <w:r>
        <w:rPr>
          <w:rFonts w:ascii="Amiri" w:hAnsi="Amiri" w:eastAsia="Amiri" w:cs="Amiri"/>
          <w:color w:val="111111"/>
          <w:sz w:val="28"/>
          <w:sz w:val="28"/>
          <w:szCs w:val="28"/>
          <w:rtl w:val="true"/>
          <w:lang w:bidi="ar-SA"/>
        </w:rPr>
        <w:t>يستدعي الفساد، وهكذا الكلام في القبلة وأشباههما، فلاحظ وتتبّع وتأمّل ولا تختبط ولا تخلط بعض الأقسام بالآخر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أنّه هل يجوز الرجوع في الألفاظ الواردة في الكتاب والسنّة إلى الحقيقة العرفيّة أو اللغويّة، أم لا؟ </w:t>
      </w:r>
      <w:bookmarkStart w:id="737" w:name="pg16224_170622"/>
    </w:p>
    <w:p>
      <w:pPr>
        <w:pStyle w:val="Heading4"/>
        <w:numPr>
          <w:ilvl w:val="3"/>
          <w:numId w:val="1"/>
        </w:numPr>
        <w:rPr/>
      </w:pPr>
      <w:bookmarkStart w:id="738" w:name="__RefHeading___Toc3734844_1280447820"/>
      <w:bookmarkStart w:id="739" w:name="_Toc288"/>
      <w:bookmarkEnd w:id="737"/>
      <w:bookmarkEnd w:id="738"/>
      <w:r>
        <w:rPr>
          <w:rtl w:val="true"/>
        </w:rPr>
        <w:t>المبحث الثاني</w:t>
      </w:r>
      <w:r>
        <w:rPr>
          <w:rtl w:val="true"/>
        </w:rPr>
        <w:t xml:space="preserve">: </w:t>
      </w:r>
      <w:r>
        <w:rPr>
          <w:rtl w:val="true"/>
        </w:rPr>
        <w:t>في أنّ المناط في حمل الألفاظ الواردة في الكتاب والسنّة على ماذا؟</w:t>
      </w:r>
      <w:bookmarkEnd w:id="739"/>
    </w:p>
    <w:p>
      <w:pPr>
        <w:pStyle w:val="Heading5"/>
        <w:numPr>
          <w:ilvl w:val="4"/>
          <w:numId w:val="1"/>
        </w:numPr>
        <w:rPr/>
      </w:pPr>
      <w:bookmarkStart w:id="740" w:name="__RefHeading___Toc3734846_1280447820"/>
      <w:bookmarkStart w:id="741" w:name="_Toc289"/>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اللازم حمل الألفاظ الصادرة من الشارع على مراده، فإن تبيّن ذلك فلا كلام فيه، سواء كان ذلك معنى حقيقيًّا أم مجازيًّا،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يعلم ذلك، فهل يجوز الرجوع في تشخيصه</w:t>
      </w:r>
      <w:r>
        <w:rPr>
          <w:rStyle w:val="FootnoteAnchor"/>
          <w:rtl w:val="true"/>
        </w:rPr>
        <w:footnoteReference w:id="615"/>
      </w:r>
      <w:r>
        <w:rPr>
          <w:rFonts w:ascii="Amiri" w:hAnsi="Amiri" w:eastAsia="Amiri" w:cs="Amiri"/>
          <w:color w:val="111111"/>
          <w:sz w:val="28"/>
          <w:sz w:val="28"/>
          <w:szCs w:val="28"/>
          <w:rtl w:val="true"/>
          <w:lang w:bidi="ar-SA"/>
        </w:rPr>
        <w:t>إلى العرف أو اللغة، فيحمل على الحقيقة العرفيّة أو اللغويّة؟ فيه تفصيل معروف، وهو أنّ ذلك اللفظ إن كان من أسام العبادات</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يتوقّف صحّتها على النيّة، كالوضوء والغسل والتيمّم والصلاة وأشباهها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وإن كان من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لا يتوقّف صحّتها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3734848_1280447820"/>
      <w:bookmarkStart w:id="743" w:name="_Toc290"/>
      <w:bookmarkEnd w:id="742"/>
      <w:r>
        <w:rPr>
          <w:rtl w:val="true"/>
        </w:rPr>
        <w:t>في أنّ الأحكام الشرعيّة بأسرها توقيفيّة</w:t>
      </w:r>
      <w:bookmarkEnd w:id="743"/>
    </w:p>
    <w:p>
      <w:pPr>
        <w:pStyle w:val="BookText"/>
        <w:rPr/>
      </w:pPr>
      <w:r>
        <w:rPr>
          <w:rFonts w:ascii="Amiri" w:hAnsi="Amiri" w:eastAsia="Amiri" w:cs="Amiri"/>
          <w:color w:val="111111"/>
          <w:sz w:val="28"/>
          <w:sz w:val="28"/>
          <w:szCs w:val="28"/>
          <w:rtl w:val="true"/>
          <w:lang w:bidi="ar-SA"/>
        </w:rPr>
        <w:t>تحقيق الحال في هذا المرام يستدعي بسطًا في الكلام،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 نفس الأحكام الشرعيّة، سواء كانت تكليفيّة، وهي الوجوب والحرمة والندب والكراهة والإباحة، أي إثباتها لموضوعاتها، أم وضعيّة، ككون الشيء نجسًا وطاهرًا وشرطًا وسببًا ومانعًا وصحيحًا وفاسدًا وجزءًا، هو الشارع</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موضوعاتها فقد اشتهر أنّها إن كانت من نفس العبادات بالمعنى المذكور </w:t>
      </w:r>
    </w:p>
    <w:p>
      <w:pPr>
        <w:pStyle w:val="BookText"/>
        <w:rPr/>
      </w:pPr>
      <w:r>
        <w:rPr>
          <w:rFonts w:ascii="Amiri" w:hAnsi="Amiri" w:eastAsia="Amiri" w:cs="Amiri"/>
          <w:color w:val="111111"/>
          <w:sz w:val="28"/>
          <w:sz w:val="28"/>
          <w:szCs w:val="28"/>
          <w:rtl w:val="true"/>
          <w:lang w:bidi="ar-SA"/>
        </w:rPr>
        <w:t>فكذلك، وإلّا فيرجع فيه إلى العرف أو اللغة، سواء كانت من المعاملات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الألفاظ المستعملة في كلام الشارع لإفادة الأحكام، كلفظ الوجوب والحرمة وغيرهما، وبيان ماهيّة العبادات كما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غَسل الوجه واليدين ومسح الرأس والرجلين،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المرجع في الألفاظ الواردة في الكتاب والسنّة بأسرها العرف أو اللغة، إلّا الألفاظ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 لنفس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كون الشرع المرجع في الأحكام يظهر من الإضافة؛ لأنّ الشيء ما لم يحكم به الشارع لا يكون حكمًا شرعيًّا، فإطلاق الحكم الشرعيّ على شيء إنّما يمكن بعد حكم الشارع بذلك، فالتوصّل إليه من غير جهته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يقال في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ما أوجب فعله الثواب والفوز بمعارج الرضوان، والإخلال به العقاب والوصلة إلى درك النيران، والحرام على عكس ذلك، وكذلك الحال في المندوب والمكروه والمباح، والإخبار بتلك الغايات إنّما يمكن في حقّ العالِم بعواقب الأمور والمطّلع بحقائق الأشياء البري عن رين الجهول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الحال في جعل الشيء مانعًا، أو جزءًا، أو شرطًا، أو سببًا، ونحوها؛ ومعلوم انحصاره في الشارع العليم، ولا يمكن التوصّل بذلك إلّا بإيقافه وإعلامه، فلذلك</w:t>
      </w:r>
      <w:r>
        <w:rPr>
          <w:rStyle w:val="FootnoteAnchor"/>
          <w:rtl w:val="true"/>
        </w:rPr>
        <w:footnoteReference w:id="617"/>
      </w:r>
      <w:r>
        <w:rPr>
          <w:rFonts w:ascii="Amiri" w:hAnsi="Amiri" w:eastAsia="Amiri" w:cs="Amiri"/>
          <w:color w:val="111111"/>
          <w:sz w:val="28"/>
          <w:sz w:val="28"/>
          <w:szCs w:val="28"/>
          <w:rtl w:val="true"/>
          <w:lang w:bidi="ar-SA"/>
        </w:rPr>
        <w:t>يكون</w:t>
      </w:r>
      <w:r>
        <w:rPr>
          <w:rStyle w:val="FootnoteAnchor"/>
          <w:rtl w:val="true"/>
        </w:rPr>
        <w:footnoteReference w:id="618"/>
      </w:r>
      <w:r>
        <w:rPr>
          <w:rFonts w:ascii="Amiri" w:hAnsi="Amiri" w:eastAsia="Amiri" w:cs="Amiri"/>
          <w:color w:val="111111"/>
          <w:sz w:val="28"/>
          <w:sz w:val="28"/>
          <w:szCs w:val="28"/>
          <w:rtl w:val="true"/>
          <w:lang w:bidi="ar-SA"/>
        </w:rPr>
        <w:t xml:space="preserve">الأحكام بأسرها توقيفيّة، وفي الموضوعات الّتي هي </w:t>
      </w:r>
      <w:bookmarkStart w:id="744" w:name="pg16224_170624"/>
    </w:p>
    <w:p>
      <w:pPr>
        <w:pStyle w:val="BookText"/>
        <w:rPr/>
      </w:pPr>
      <w:bookmarkEnd w:id="744"/>
      <w:r>
        <w:rPr>
          <w:rFonts w:ascii="Amiri" w:hAnsi="Amiri" w:eastAsia="Amiri" w:cs="Amiri"/>
          <w:color w:val="111111"/>
          <w:sz w:val="28"/>
          <w:sz w:val="28"/>
          <w:szCs w:val="28"/>
          <w:rtl w:val="true"/>
          <w:lang w:bidi="ar-SA"/>
        </w:rPr>
        <w:t>العبادات وأنّها كيفيّات وحقائق محدثة من الشارع، فلا تكون معلومة إلّا له، فالتوصّل إليها من</w:t>
      </w:r>
      <w:r>
        <w:rPr>
          <w:rStyle w:val="FootnoteAnchor"/>
          <w:rtl w:val="true"/>
        </w:rPr>
        <w:footnoteReference w:id="619"/>
      </w:r>
      <w:r>
        <w:rPr>
          <w:rFonts w:ascii="Amiri" w:hAnsi="Amiri" w:eastAsia="Amiri" w:cs="Amiri"/>
          <w:color w:val="111111"/>
          <w:sz w:val="28"/>
          <w:sz w:val="28"/>
          <w:szCs w:val="28"/>
          <w:rtl w:val="true"/>
          <w:lang w:bidi="ar-SA"/>
        </w:rPr>
        <w:t>غير إيقافه وإعلامه غير ممكن أيضًا، ولذا تراهم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والعبادات توقيفيّة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الحكم المذكور من توقيفيّة ماهيّات العبادات غيرُ متوقّف على القول بثبوت الحقيقة الشرعيّة، ولذا قال بها مَن لم يقل بها، إذ الظاهر أنّ الحكم المذكور اتّفاقيٌّ بينهم، والنزاع في الحقيقة الشرعيّة معلوم، بل متوقّف على استعمال الشارع الألفاظ المعهودة في المعاني المغايرة للمعاني اللغويّة، وهو ممّا لا شكّ فيه ولا ريب يعتريه إلّا على القول المعزى إلى القاضي</w:t>
      </w:r>
      <w:r>
        <w:rPr>
          <w:rStyle w:val="FootnoteAnchor"/>
          <w:rtl w:val="true"/>
        </w:rPr>
        <w:footnoteReference w:id="620"/>
      </w:r>
      <w:r>
        <w:rPr>
          <w:rFonts w:ascii="Amiri" w:hAnsi="Amiri" w:eastAsia="Amiri" w:cs="Amiri"/>
          <w:color w:val="111111"/>
          <w:sz w:val="28"/>
          <w:sz w:val="28"/>
          <w:szCs w:val="28"/>
          <w:rtl w:val="true"/>
          <w:lang w:bidi="ar-SA"/>
        </w:rPr>
        <w:t>، ويلزمه عدم تسليم ذلك، لكنّه ممّا لا شبهة في فساده، وقد مرّ الكلام عليه في مباحث الحقيقة الشرعيّة، فلاحظ</w:t>
      </w:r>
      <w:r>
        <w:rPr>
          <w:rFonts w:eastAsia="Amiri" w:cs="Amiri" w:ascii="Amiri" w:hAnsi="Amiri"/>
          <w:color w:val="111111"/>
          <w:sz w:val="28"/>
          <w:szCs w:val="28"/>
          <w:rtl w:val="true"/>
          <w:lang w:bidi="ar-SA"/>
        </w:rPr>
        <w:t>.</w:t>
      </w:r>
    </w:p>
    <w:p>
      <w:pPr>
        <w:pStyle w:val="Heading5"/>
        <w:numPr>
          <w:ilvl w:val="4"/>
          <w:numId w:val="1"/>
        </w:numPr>
        <w:rPr/>
      </w:pPr>
      <w:bookmarkStart w:id="745" w:name="__RefHeading___Toc3734850_1280447820"/>
      <w:bookmarkStart w:id="746" w:name="_Toc291"/>
      <w:bookmarkEnd w:id="745"/>
      <w:r>
        <w:rPr>
          <w:rtl w:val="true"/>
        </w:rPr>
        <w:t>وجوه الإيراد في المقام</w:t>
      </w:r>
      <w:bookmarkEnd w:id="746"/>
    </w:p>
    <w:p>
      <w:pPr>
        <w:pStyle w:val="Heading6"/>
        <w:numPr>
          <w:ilvl w:val="5"/>
          <w:numId w:val="1"/>
        </w:numPr>
        <w:rPr/>
      </w:pPr>
      <w:bookmarkStart w:id="747" w:name="__RefHeading___Toc3734852_1280447820"/>
      <w:bookmarkStart w:id="748" w:name="_Toc292"/>
      <w:bookmarkEnd w:id="747"/>
      <w:r>
        <w:rPr>
          <w:rtl w:val="true"/>
        </w:rPr>
        <w:t>اشارة</w:t>
      </w:r>
      <w:bookmarkEnd w:id="748"/>
    </w:p>
    <w:p>
      <w:pPr>
        <w:pStyle w:val="BookText"/>
        <w:rPr/>
      </w:pPr>
      <w:r>
        <w:rPr>
          <w:rFonts w:ascii="Amiri" w:hAnsi="Amiri" w:eastAsia="Amiri" w:cs="Amiri"/>
          <w:color w:val="111111"/>
          <w:sz w:val="28"/>
          <w:sz w:val="28"/>
          <w:szCs w:val="28"/>
          <w:rtl w:val="true"/>
          <w:lang w:bidi="ar-SA"/>
        </w:rPr>
        <w:t>لكن يتوجّه في المقام وجوه من الإيرادات</w:t>
      </w:r>
      <w:r>
        <w:rPr>
          <w:rFonts w:eastAsia="Amiri" w:cs="Amiri" w:ascii="Amiri" w:hAnsi="Amiri"/>
          <w:color w:val="111111"/>
          <w:sz w:val="28"/>
          <w:szCs w:val="28"/>
          <w:rtl w:val="true"/>
          <w:lang w:bidi="ar-SA"/>
        </w:rPr>
        <w:t>:</w:t>
      </w:r>
    </w:p>
    <w:p>
      <w:pPr>
        <w:pStyle w:val="Heading6"/>
        <w:numPr>
          <w:ilvl w:val="5"/>
          <w:numId w:val="1"/>
        </w:numPr>
        <w:rPr/>
      </w:pPr>
      <w:bookmarkStart w:id="749" w:name="__RefHeading___Toc3734854_1280447820"/>
      <w:bookmarkStart w:id="750" w:name="_Toc293"/>
      <w:bookmarkEnd w:id="749"/>
      <w:r>
        <w:rPr>
          <w:rtl w:val="true"/>
        </w:rPr>
        <w:t>الإيراد الأوّل</w:t>
      </w:r>
      <w:bookmarkEnd w:id="75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عندهم معدودٌ من أدلّة الأحكام الشرعيّة، ومقتضاه كون الحكم المستند إليه شرعيًّا كما لا يخفى</w:t>
      </w:r>
      <w:r>
        <w:rPr>
          <w:rFonts w:eastAsia="Amiri" w:cs="Amiri" w:ascii="Amiri" w:hAnsi="Amiri"/>
          <w:color w:val="111111"/>
          <w:sz w:val="28"/>
          <w:szCs w:val="28"/>
          <w:rtl w:val="true"/>
          <w:lang w:bidi="ar-SA"/>
        </w:rPr>
        <w:t xml:space="preserve">. </w:t>
      </w:r>
      <w:bookmarkStart w:id="751" w:name="pg16224_170625"/>
    </w:p>
    <w:p>
      <w:pPr>
        <w:pStyle w:val="Heading6"/>
        <w:numPr>
          <w:ilvl w:val="5"/>
          <w:numId w:val="1"/>
        </w:numPr>
        <w:rPr/>
      </w:pPr>
      <w:bookmarkStart w:id="752" w:name="__RefHeading___Toc3734856_1280447820"/>
      <w:bookmarkStart w:id="753" w:name="_Toc294"/>
      <w:bookmarkEnd w:id="751"/>
      <w:bookmarkEnd w:id="752"/>
      <w:r>
        <w:rPr>
          <w:rtl w:val="true"/>
        </w:rPr>
        <w:t>الإيراد الثاني</w:t>
      </w:r>
      <w:bookmarkEnd w:id="753"/>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الأحكام الوضعيّة الصحّة والفساد، والعلم بهما لا يتوقّف على الشرع؛ لوضوح أنّ المأمور به إذا أُوقع على الوجه المطلوب يكون صحيحًا وإلّا فاسدًا، فلا يصحّ إطلاق القول بكون الأحكام تكليفيّة أم وضعيّة توقيفيّة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توقيفيّة العبادات دون المعاملات</w:t>
      </w:r>
    </w:p>
    <w:p>
      <w:pPr>
        <w:pStyle w:val="Heading6"/>
        <w:numPr>
          <w:ilvl w:val="5"/>
          <w:numId w:val="1"/>
        </w:numPr>
        <w:rPr/>
      </w:pPr>
      <w:bookmarkStart w:id="754" w:name="__RefHeading___Toc3734858_1280447820"/>
      <w:bookmarkStart w:id="755" w:name="_Toc295"/>
      <w:bookmarkEnd w:id="754"/>
      <w:r>
        <w:rPr>
          <w:rtl w:val="true"/>
        </w:rPr>
        <w:t>الإيراد الثالث</w:t>
      </w:r>
      <w:bookmarkEnd w:id="755"/>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المذكور في توقيفيّة العبادات يستدعي توقيفيّة المعاملات أيضًا، إذ القول بالمعاني الشرعيّة غير مختصّ بالعبادات كما لا يخفى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القول بذلك أنّ الشارع</w:t>
      </w:r>
      <w:r>
        <w:rPr>
          <w:rStyle w:val="FootnoteAnchor"/>
          <w:rtl w:val="true"/>
        </w:rPr>
        <w:footnoteReference w:id="621"/>
      </w:r>
      <w:r>
        <w:rPr>
          <w:rFonts w:ascii="Amiri" w:hAnsi="Amiri" w:eastAsia="Amiri" w:cs="Amiri"/>
          <w:color w:val="111111"/>
          <w:sz w:val="28"/>
          <w:sz w:val="28"/>
          <w:szCs w:val="28"/>
          <w:rtl w:val="true"/>
          <w:lang w:bidi="ar-SA"/>
        </w:rPr>
        <w:t>جعل تلك الألفاظ أسامي</w:t>
      </w:r>
      <w:r>
        <w:rPr>
          <w:rStyle w:val="FootnoteAnchor"/>
          <w:rtl w:val="true"/>
        </w:rPr>
        <w:footnoteReference w:id="622"/>
      </w:r>
      <w:r>
        <w:rPr>
          <w:rFonts w:ascii="Amiri" w:hAnsi="Amiri" w:eastAsia="Amiri" w:cs="Amiri"/>
          <w:color w:val="111111"/>
          <w:sz w:val="28"/>
          <w:sz w:val="28"/>
          <w:szCs w:val="28"/>
          <w:rtl w:val="true"/>
          <w:lang w:bidi="ar-SA"/>
        </w:rPr>
        <w:t>لمعانٍ معلومة عنده، أو</w:t>
      </w:r>
      <w:r>
        <w:rPr>
          <w:rStyle w:val="FootnoteAnchor"/>
          <w:rtl w:val="true"/>
        </w:rPr>
        <w:footnoteReference w:id="623"/>
      </w:r>
      <w:r>
        <w:rPr>
          <w:rFonts w:ascii="Amiri" w:hAnsi="Amiri" w:eastAsia="Amiri" w:cs="Amiri"/>
          <w:color w:val="111111"/>
          <w:sz w:val="28"/>
          <w:sz w:val="28"/>
          <w:szCs w:val="28"/>
          <w:rtl w:val="true"/>
          <w:lang w:bidi="ar-SA"/>
        </w:rPr>
        <w:t>استعملها فيها، ومن المعلوم أنّ العلم بوضع الألفاظ مثلًا لا يتيسّر إلّا من جهة الواضع، وهذا لا اختصاص له بموضوعات الشارع؛ لوضوح عدم إمكان الاطّلاع بأيّ اصطلاح كان إلّا من أهله، سواء فيه الشارع وغيره، ولهذا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اللغات توقيفيّة وأنّها لا تثبت</w:t>
      </w:r>
      <w:r>
        <w:rPr>
          <w:rStyle w:val="FootnoteAnchor"/>
          <w:rtl w:val="true"/>
        </w:rPr>
        <w:footnoteReference w:id="624"/>
      </w:r>
      <w:r>
        <w:rPr>
          <w:rFonts w:ascii="Amiri" w:hAnsi="Amiri" w:eastAsia="Amiri" w:cs="Amiri"/>
          <w:color w:val="111111"/>
          <w:sz w:val="28"/>
          <w:sz w:val="28"/>
          <w:szCs w:val="28"/>
          <w:rtl w:val="true"/>
          <w:lang w:bidi="ar-SA"/>
        </w:rPr>
        <w:t>بالترجيح</w:t>
      </w:r>
      <w:r>
        <w:rPr>
          <w:rFonts w:eastAsia="Amiri" w:cs="Amiri" w:ascii="Amiri" w:hAnsi="Amiri"/>
          <w:color w:val="111111"/>
          <w:sz w:val="28"/>
          <w:szCs w:val="28"/>
          <w:rtl w:val="true"/>
          <w:lang w:bidi="ar-SA"/>
        </w:rPr>
        <w:t xml:space="preserve">. </w:t>
      </w:r>
      <w:bookmarkStart w:id="756" w:name="pg16224_170626"/>
    </w:p>
    <w:p>
      <w:pPr>
        <w:pStyle w:val="Heading6"/>
        <w:numPr>
          <w:ilvl w:val="5"/>
          <w:numId w:val="1"/>
        </w:numPr>
        <w:rPr/>
      </w:pPr>
      <w:bookmarkStart w:id="757" w:name="__RefHeading___Toc3734860_1280447820"/>
      <w:bookmarkStart w:id="758" w:name="_Toc296"/>
      <w:bookmarkEnd w:id="756"/>
      <w:bookmarkEnd w:id="757"/>
      <w:r>
        <w:rPr>
          <w:rtl w:val="true"/>
        </w:rPr>
        <w:t>الجواب عن الإيراد الأوّل</w:t>
      </w:r>
      <w:bookmarkEnd w:id="758"/>
    </w:p>
    <w:p>
      <w:pPr>
        <w:pStyle w:val="BookText"/>
        <w:rPr/>
      </w:pPr>
      <w:r>
        <w:rPr>
          <w:rFonts w:ascii="Amiri" w:hAnsi="Amiri" w:eastAsia="Amiri" w:cs="Amiri"/>
          <w:color w:val="111111"/>
          <w:sz w:val="28"/>
          <w:sz w:val="28"/>
          <w:szCs w:val="28"/>
          <w:rtl w:val="true"/>
          <w:lang w:bidi="ar-SA"/>
        </w:rPr>
        <w:t>ويمكن الجواب عن الأوّل بأنّ الأحكام الشرعيّة لها إطلاقان،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الشارع،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يؤخذ من الشارع، ومرادهم من الأحكام الشرعيّة في هذا المقام المعنى الأوّل، وفيما عدّ العقل من أدلّتها المعنى الثاني؛ لوضوح أنّ حكم العقل بشيء لا يجعله ممّا حكم به الشارع كما لا يخفى، ونحن قد حرّرنا في حاشيتنا على المعالم</w:t>
      </w:r>
      <w:r>
        <w:rPr>
          <w:rStyle w:val="FootnoteAnchor"/>
          <w:rtl w:val="true"/>
        </w:rPr>
        <w:footnoteReference w:id="625"/>
      </w:r>
      <w:r>
        <w:rPr>
          <w:rFonts w:ascii="Amiri" w:hAnsi="Amiri" w:eastAsia="Amiri" w:cs="Amiri"/>
          <w:color w:val="111111"/>
          <w:sz w:val="28"/>
          <w:sz w:val="28"/>
          <w:szCs w:val="28"/>
          <w:rtl w:val="true"/>
          <w:lang w:bidi="ar-SA"/>
        </w:rPr>
        <w:t>في تعريف الفقه ما ينفعك ملاحظته في المقام، فلا تنافي، فتأمّل</w:t>
      </w:r>
      <w:r>
        <w:rPr>
          <w:rFonts w:eastAsia="Amiri" w:cs="Amiri" w:ascii="Amiri" w:hAnsi="Amiri"/>
          <w:color w:val="111111"/>
          <w:sz w:val="28"/>
          <w:szCs w:val="28"/>
          <w:rtl w:val="true"/>
          <w:lang w:bidi="ar-SA"/>
        </w:rPr>
        <w:t>.</w:t>
      </w:r>
    </w:p>
    <w:p>
      <w:pPr>
        <w:pStyle w:val="Heading6"/>
        <w:numPr>
          <w:ilvl w:val="5"/>
          <w:numId w:val="1"/>
        </w:numPr>
        <w:rPr/>
      </w:pPr>
      <w:bookmarkStart w:id="759" w:name="__RefHeading___Toc3734862_1280447820"/>
      <w:bookmarkStart w:id="760" w:name="_Toc297"/>
      <w:bookmarkEnd w:id="759"/>
      <w:r>
        <w:rPr>
          <w:rtl w:val="true"/>
        </w:rPr>
        <w:t>الجواب عن الإيراد الثاني</w:t>
      </w:r>
      <w:bookmarkEnd w:id="760"/>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الصحّة لها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الأمر، وإسقاط القضاء، ويطلب تحقيق الحال في التفسيرين من حاشيتنا على تهذيب الأصول</w:t>
      </w:r>
      <w:r>
        <w:rPr>
          <w:rStyle w:val="FootnoteAnchor"/>
          <w:rtl w:val="true"/>
        </w:rPr>
        <w:footnoteReference w:id="626"/>
      </w:r>
      <w:r>
        <w:rPr>
          <w:rFonts w:ascii="Amiri" w:hAnsi="Amiri" w:eastAsia="Amiri" w:cs="Amiri"/>
          <w:color w:val="111111"/>
          <w:sz w:val="28"/>
          <w:sz w:val="28"/>
          <w:szCs w:val="28"/>
          <w:rtl w:val="true"/>
          <w:lang w:bidi="ar-SA"/>
        </w:rPr>
        <w:t>، وسنتعرّض لهما فيما بعد إن شاء الله سبحانه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والإيراد إنّما يتوجّه على الأوّل دون الثاني؛ ولعلّ بناء مَن عدّ الصحّة والفساد من الأحكام الوضعيّة على الثاني، فلا يكونان منها</w:t>
      </w:r>
      <w:r>
        <w:rPr>
          <w:rStyle w:val="FootnoteAnchor"/>
          <w:rtl w:val="true"/>
        </w:rPr>
        <w:footnoteReference w:id="627"/>
      </w:r>
      <w:r>
        <w:rPr>
          <w:rFonts w:ascii="Amiri" w:hAnsi="Amiri" w:eastAsia="Amiri" w:cs="Amiri"/>
          <w:color w:val="111111"/>
          <w:sz w:val="28"/>
          <w:sz w:val="28"/>
          <w:szCs w:val="28"/>
          <w:rtl w:val="true"/>
          <w:lang w:bidi="ar-SA"/>
        </w:rPr>
        <w:t>على الأوّل، وستقف على مزيد تحقيق في ذلك</w:t>
      </w:r>
      <w:r>
        <w:rPr>
          <w:rFonts w:eastAsia="Amiri" w:cs="Amiri" w:ascii="Amiri" w:hAnsi="Amiri"/>
          <w:color w:val="111111"/>
          <w:sz w:val="28"/>
          <w:szCs w:val="28"/>
          <w:rtl w:val="true"/>
          <w:lang w:bidi="ar-SA"/>
        </w:rPr>
        <w:t xml:space="preserve">. </w:t>
      </w:r>
      <w:bookmarkStart w:id="761" w:name="pg16224_170627"/>
    </w:p>
    <w:p>
      <w:pPr>
        <w:pStyle w:val="Heading6"/>
        <w:numPr>
          <w:ilvl w:val="5"/>
          <w:numId w:val="1"/>
        </w:numPr>
        <w:rPr/>
      </w:pPr>
      <w:bookmarkStart w:id="762" w:name="__RefHeading___Toc3734864_1280447820"/>
      <w:bookmarkStart w:id="763" w:name="_Toc298"/>
      <w:bookmarkEnd w:id="761"/>
      <w:bookmarkEnd w:id="762"/>
      <w:r>
        <w:rPr>
          <w:rtl w:val="true"/>
        </w:rPr>
        <w:t>الجواب عن الإيراد الثالث</w:t>
      </w:r>
      <w:bookmarkEnd w:id="763"/>
    </w:p>
    <w:p>
      <w:pPr>
        <w:pStyle w:val="BookText"/>
        <w:rPr/>
      </w:pPr>
      <w:r>
        <w:rPr>
          <w:rFonts w:ascii="IRNazanin" w:hAnsi="IRNazanin" w:eastAsia="IRNazanin"/>
          <w:color w:val="111111"/>
          <w:sz w:val="28"/>
          <w:sz w:val="28"/>
          <w:szCs w:val="28"/>
          <w:rtl w:val="true"/>
          <w:lang w:bidi="fa-IR"/>
        </w:rPr>
        <w:t>وأمّا الجواب عن الثالث</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في بادي الرأي إلّا بتخصيص القول بالحقيقة الشرعيّة بالعبادات، إذ لو عمّ المعاملات تكون ألفاظها كالعبادات منقولات عن المعاني اللغويّة والعرفيّة إلى المعاني المستحدثة، فتكون معانيها الشرعيّة مغايرة لهما جميعًا كالعبادات، فلا وجه للرجوع في تشخيصها وتعيينها إليهما قطعًا، أو بدعوى توافق الوضع الشرعيّ مع واحد منهما في المعاملات، فحيث لم يعلم المعنى الشرعيّ يرجع إلى العرف أو اللغة لثبوت الموافقة كما هو المفروض، فبالعلم بأحد الأمرين المتوافقين يعلم الآخر المجهول</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3734866_1280447820"/>
      <w:bookmarkStart w:id="765" w:name="_Toc299"/>
      <w:bookmarkEnd w:id="764"/>
      <w:r>
        <w:rPr>
          <w:rtl w:val="true"/>
        </w:rPr>
        <w:t>فيما يتوجّه على الوجهين</w:t>
      </w:r>
      <w:bookmarkEnd w:id="76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ويتوجّه على الوجهين، 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منافاته لظواهر كثير من كلماتهم، بل تصريحات جماعة منهم، حيث لم يكتفوا في مقام التمثيل للحقائق الشرعيّة بذكر ألفاظ</w:t>
      </w:r>
      <w:r>
        <w:rPr>
          <w:rStyle w:val="FootnoteAnchor"/>
          <w:rtl w:val="true"/>
        </w:rPr>
        <w:footnoteReference w:id="629"/>
      </w:r>
      <w:r>
        <w:rPr>
          <w:rFonts w:ascii="Amiri" w:hAnsi="Amiri" w:eastAsia="Amiri" w:cs="Amiri"/>
          <w:color w:val="111111"/>
          <w:sz w:val="28"/>
          <w:sz w:val="28"/>
          <w:szCs w:val="28"/>
          <w:rtl w:val="true"/>
          <w:lang w:bidi="ar-SA"/>
        </w:rPr>
        <w:t>العبادات، بل أضافوا إليها جملة من ألفاظ</w:t>
      </w:r>
      <w:r>
        <w:rPr>
          <w:rStyle w:val="FootnoteAnchor"/>
          <w:rtl w:val="true"/>
        </w:rPr>
        <w:footnoteReference w:id="630"/>
      </w:r>
      <w:r>
        <w:rPr>
          <w:rFonts w:ascii="IRNazanin" w:hAnsi="IRNazanin" w:eastAsia="IRNazanin"/>
          <w:color w:val="111111"/>
          <w:sz w:val="28"/>
          <w:sz w:val="28"/>
          <w:szCs w:val="28"/>
          <w:rtl w:val="true"/>
          <w:lang w:bidi="fa-IR"/>
        </w:rPr>
        <w:t xml:space="preserve">المعاملات، </w:t>
      </w:r>
      <w:bookmarkStart w:id="766" w:name="pg16224_170628"/>
    </w:p>
    <w:p>
      <w:pPr>
        <w:pStyle w:val="BookText"/>
        <w:rPr/>
      </w:pPr>
      <w:bookmarkEnd w:id="766"/>
      <w:r>
        <w:rPr>
          <w:rFonts w:ascii="Amiri" w:hAnsi="Amiri" w:eastAsia="Amiri" w:cs="Amiri"/>
          <w:color w:val="111111"/>
          <w:sz w:val="28"/>
          <w:sz w:val="28"/>
          <w:szCs w:val="28"/>
          <w:rtl w:val="true"/>
          <w:lang w:bidi="ar-SA"/>
        </w:rPr>
        <w:t>ينافيه</w:t>
      </w:r>
      <w:r>
        <w:rPr>
          <w:rStyle w:val="FootnoteAnchor"/>
          <w:rtl w:val="true"/>
        </w:rPr>
        <w:footnoteReference w:id="631"/>
      </w:r>
      <w:r>
        <w:rPr>
          <w:rFonts w:ascii="Amiri" w:hAnsi="Amiri" w:eastAsia="Amiri" w:cs="Amiri"/>
          <w:color w:val="111111"/>
          <w:sz w:val="28"/>
          <w:sz w:val="28"/>
          <w:szCs w:val="28"/>
          <w:rtl w:val="true"/>
          <w:lang w:bidi="ar-SA"/>
        </w:rPr>
        <w:t>قول الفقهاء في كتبهم الفقهيّة مطلقًا ولو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اللفظ لغةً كذا وشرعًا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منه أنّ معناه الشرعيّ مقابل للمعنى اللغويّ، بل العرفيّ أيضًا، سواء كان استعمال الشارع على سبيل الحقيقة كما هو الظاهر من هذا التعبير ومقتضى القول بالحقيقة الشرعيّة، أو على سبيل المجاز كما يقتضيه القول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اختصاص القول بالحقيقة الشرعيّة بالعبادات، مع أنّ قولهم في بيان المعنى الشرعيّ وجعله مقابلًا للمعنى اللغويّ مشترك بين القسمين على حدّ سواء، بل كيف يمكن الرجوع إلى العرف واللغة في تشخيص المعنى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ما ذكر والتكلّف والتعسّف الظاهرين منافاته لقولهم في كتبهم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الحقائق الشرعيّة منقولات، من غير تفرقة بين العبادات والمعاملات</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3734868_1280447820"/>
      <w:bookmarkStart w:id="768" w:name="_Toc300"/>
      <w:bookmarkEnd w:id="767"/>
      <w:r>
        <w:rPr>
          <w:rtl w:val="true"/>
        </w:rPr>
        <w:t>الجواب عمّا يتوجّه على الوجهين</w:t>
      </w:r>
      <w:bookmarkEnd w:id="76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تعميم القول بالحقيقة الشرعيّة في القسمين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الألفاظ المعهودة في المعاملات مستعملة عند الشارع في معانيها اللغويّة مثلًا، لكن لا مطلقًا، بل مقيّدة بالقيود والشروط المعتبرة المعهودة، فيتحقّق النقل في الألفاظ بأسرها وصحّت المقابلة بينهما من حيث العموم والخصوص، كما هو </w:t>
      </w:r>
    </w:p>
    <w:p>
      <w:pPr>
        <w:pStyle w:val="BookText"/>
        <w:rPr/>
      </w:pPr>
      <w:r>
        <w:rPr>
          <w:rFonts w:ascii="Amiri" w:hAnsi="Amiri" w:eastAsia="Amiri" w:cs="Amiri"/>
          <w:color w:val="111111"/>
          <w:sz w:val="28"/>
          <w:sz w:val="28"/>
          <w:szCs w:val="28"/>
          <w:rtl w:val="true"/>
          <w:lang w:bidi="ar-SA"/>
        </w:rPr>
        <w:t>المعروف عن القاضي في العبادات، حيث نقلوا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ألفاظ العبادات مستعملة في معانيها اللغويّة، والأمور المعتبرة فيها شرعًا ليست بداخلة في المستعمل فيه، بل زوائد خارجة وشرائط معتبرة، والشرط خارج عن المشروط</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أسلفنا المقال فيه وفي ردّه</w:t>
      </w:r>
      <w:r>
        <w:rPr>
          <w:rStyle w:val="FootnoteAnchor"/>
          <w:rtl w:val="true"/>
        </w:rPr>
        <w:footnoteReference w:id="633"/>
      </w:r>
      <w:r>
        <w:rPr>
          <w:rFonts w:ascii="Amiri" w:hAnsi="Amiri" w:eastAsia="Amiri" w:cs="Amiri"/>
          <w:color w:val="111111"/>
          <w:sz w:val="28"/>
          <w:sz w:val="28"/>
          <w:szCs w:val="28"/>
          <w:rtl w:val="true"/>
          <w:lang w:bidi="ar-SA"/>
        </w:rPr>
        <w:t>، فيكون مناط الفرق بين العبادات والمعاملات عدم تسليم ذلك في الأوّل، بل هي مستعملة فيها في المعاني المحدثة من الشارع، ولهذا لا يمكن الرجوع في تشخيصها إلى اللغة،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توقيفيّة كما عرفت، وتسليمه في المعاملات</w:t>
      </w:r>
      <w:r>
        <w:rPr>
          <w:rStyle w:val="FootnoteAnchor"/>
          <w:rtl w:val="true"/>
        </w:rPr>
        <w:footnoteReference w:id="634"/>
      </w:r>
      <w:r>
        <w:rPr>
          <w:rFonts w:ascii="Amiri" w:hAnsi="Amiri" w:eastAsia="Amiri" w:cs="Amiri"/>
          <w:color w:val="111111"/>
          <w:sz w:val="28"/>
          <w:sz w:val="28"/>
          <w:szCs w:val="28"/>
          <w:rtl w:val="true"/>
          <w:lang w:bidi="ar-SA"/>
        </w:rPr>
        <w:t>، ولهذا يتوصّل في مقام التشخيص إلى اللغة، وكلّما ظهر اعتباره من الشارع يكون ذلك تقييدًا للمعنى اللغويّ وشرط الصحّة للمعنى الشرعيّ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والثمرة بين الاحتمالين من كون الألفاظ المتردّدة في المعاملات مستعملة في معانيها اللغويّة أو غيرها، تظهر فيما لم يظهر اعتباره شرعًا مع احتماله، فإنّه على الأوّل يدفع بالأصل، للشكّ في اشتراط المكلّف به بشيء خارج، فما لم يثبت يدفع بالأصل، بخلافه على الثاني فيما احتمل أنّه من جزء المستعمل فيه والمكلّف به، فإنّ الأصل عدم حصوله إلّا بإتيان جميع الأمور المحتملة، فلا يحصل الامتثال إلّا </w:t>
      </w:r>
    </w:p>
    <w:p>
      <w:pPr>
        <w:pStyle w:val="BookText"/>
        <w:rPr/>
      </w:pPr>
      <w:r>
        <w:rPr>
          <w:rFonts w:ascii="Amiri" w:hAnsi="Amiri" w:eastAsia="Amiri" w:cs="Amiri"/>
          <w:color w:val="111111"/>
          <w:sz w:val="28"/>
          <w:sz w:val="28"/>
          <w:szCs w:val="28"/>
          <w:rtl w:val="true"/>
          <w:lang w:bidi="ar-SA"/>
        </w:rPr>
        <w:t>بذلك، وقد أسلفنا المقال في مثله في الحقيقة الشرعيّة، وستقف على مزيد تحقيق في نظير المسألة إن شاء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أيضًا غير صحيح؛ لأنّ الحكم بأنّ ألفاظ المعاملات بأسرها مستعملة في معانيها اللغويّة ممّا يشهد على فساده العيان وينطق بخلافه البرهان؛ لظهور أنّ الظهار والخلع والمباراة والإيلاء واللعان والتدبير والمكاتبة وأشباهها لم تكن</w:t>
      </w:r>
      <w:r>
        <w:rPr>
          <w:rStyle w:val="FootnoteAnchor"/>
          <w:rtl w:val="true"/>
        </w:rPr>
        <w:footnoteReference w:id="635"/>
      </w:r>
      <w:r>
        <w:rPr>
          <w:rFonts w:ascii="Amiri" w:hAnsi="Amiri" w:eastAsia="Amiri" w:cs="Amiri"/>
          <w:color w:val="111111"/>
          <w:sz w:val="28"/>
          <w:sz w:val="28"/>
          <w:szCs w:val="28"/>
          <w:rtl w:val="true"/>
          <w:lang w:bidi="ar-SA"/>
        </w:rPr>
        <w:t>موضوعة في اللغة بإزاء معانيها المعهودة من الشارع، وكذلك الحال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والكفر والعدالة والفسق والطهارة والنجاسة والحدث، بل معانيها المعهودة معيّنة في الكلّ من الشارع، فلا يمكن التوصّل إليها إلّا من قبله، فالحكم بأنّ الموضوعات بأسرها في المعاملات مرجعها العرف أو اللغة، فاسد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تصحّ هذه الدعوى على الإيجاب الكلّيّ في المعاملات، كذا لم تصحّ على السلب الكلّىّ في العبادات، بل القدر المسلّم الجزئيّ في كليهما إيجابًا في الأوّل وسلبًا في الثاني، بل كلاهما في كليهما، أمّا في الأوّل فلما عرفت، وأمّا في الثاني فلأنّ الظاهر أنّ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 والسجود والطواف ونحوها، لم تنقل عن معانيها اللغويّة مطلقًا، بل التغاير بينهما من حيث الإطلاق والتقييد على نحو ما مرّ الكلام في المعاملات، فالحكم بعدم جواز الرجوع في موضوعات</w:t>
      </w:r>
      <w:r>
        <w:rPr>
          <w:rStyle w:val="FootnoteAnchor"/>
          <w:rtl w:val="true"/>
        </w:rPr>
        <w:footnoteReference w:id="636"/>
      </w:r>
      <w:r>
        <w:rPr>
          <w:rFonts w:ascii="Amiri" w:hAnsi="Amiri" w:eastAsia="Amiri" w:cs="Amiri"/>
          <w:color w:val="111111"/>
          <w:sz w:val="28"/>
          <w:sz w:val="28"/>
          <w:szCs w:val="28"/>
          <w:rtl w:val="true"/>
          <w:lang w:bidi="ar-SA"/>
        </w:rPr>
        <w:t>العبادات إلى اللغة على الإطلاق غير صحيح أيضًا</w:t>
      </w:r>
      <w:r>
        <w:rPr>
          <w:rFonts w:eastAsia="Amiri" w:cs="Amiri" w:ascii="Amiri" w:hAnsi="Amiri"/>
          <w:color w:val="111111"/>
          <w:sz w:val="28"/>
          <w:szCs w:val="28"/>
          <w:rtl w:val="true"/>
          <w:lang w:bidi="ar-SA"/>
        </w:rPr>
        <w:t xml:space="preserve">. </w:t>
      </w:r>
      <w:bookmarkStart w:id="769" w:name="pg16224_170631"/>
    </w:p>
    <w:p>
      <w:pPr>
        <w:pStyle w:val="Heading5"/>
        <w:numPr>
          <w:ilvl w:val="4"/>
          <w:numId w:val="1"/>
        </w:numPr>
        <w:rPr/>
      </w:pPr>
      <w:bookmarkStart w:id="770" w:name="__RefHeading___Toc3734870_1280447820"/>
      <w:bookmarkStart w:id="771" w:name="_Toc301"/>
      <w:bookmarkEnd w:id="769"/>
      <w:bookmarkEnd w:id="770"/>
      <w:r>
        <w:rPr>
          <w:rtl w:val="true"/>
        </w:rPr>
        <w:t>التخلّص عن ذلك بوجوه</w:t>
      </w:r>
      <w:bookmarkEnd w:id="771"/>
    </w:p>
    <w:p>
      <w:pPr>
        <w:pStyle w:val="Heading6"/>
        <w:numPr>
          <w:ilvl w:val="5"/>
          <w:numId w:val="1"/>
        </w:numPr>
        <w:rPr/>
      </w:pPr>
      <w:bookmarkStart w:id="772" w:name="__RefHeading___Toc3734872_1280447820"/>
      <w:bookmarkStart w:id="773" w:name="_Toc302"/>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ويمكن التخلّص عن ذلك بوجوه</w:t>
      </w:r>
      <w:r>
        <w:rPr>
          <w:rFonts w:eastAsia="Amiri" w:cs="Amiri" w:ascii="Amiri" w:hAnsi="Amiri"/>
          <w:color w:val="111111"/>
          <w:sz w:val="28"/>
          <w:szCs w:val="28"/>
          <w:rtl w:val="true"/>
          <w:lang w:bidi="ar-SA"/>
        </w:rPr>
        <w:t>:</w:t>
      </w:r>
    </w:p>
    <w:p>
      <w:pPr>
        <w:pStyle w:val="Heading6"/>
        <w:numPr>
          <w:ilvl w:val="5"/>
          <w:numId w:val="1"/>
        </w:numPr>
        <w:rPr/>
      </w:pPr>
      <w:bookmarkStart w:id="774" w:name="__RefHeading___Toc3734874_1280447820"/>
      <w:bookmarkStart w:id="775" w:name="_Toc303"/>
      <w:bookmarkEnd w:id="774"/>
      <w:r>
        <w:rPr>
          <w:rtl w:val="true"/>
        </w:rPr>
        <w:t>الوجه الأوّل</w:t>
      </w:r>
      <w:bookmarkEnd w:id="77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w:t>
      </w:r>
      <w:r>
        <w:rPr>
          <w:rStyle w:val="FootnoteAnchor"/>
          <w:rtl w:val="true"/>
        </w:rPr>
        <w:footnoteReference w:id="637"/>
      </w:r>
      <w:r>
        <w:rPr>
          <w:rFonts w:ascii="Amiri" w:hAnsi="Amiri" w:eastAsia="Amiri" w:cs="Amiri"/>
          <w:color w:val="111111"/>
          <w:sz w:val="28"/>
          <w:sz w:val="28"/>
          <w:szCs w:val="28"/>
          <w:rtl w:val="true"/>
          <w:lang w:bidi="ar-SA"/>
        </w:rPr>
        <w:t>على ما أومأنا إليه فيما إذا لم يظهر مخالفة اصطلاح الشارع فيه للّغة، وأمّا إذا ظهرت فلا يكون المرجع فيه إلّا الشرع، وهو ظاهر غير مفتقر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الألفاظ الواردة في كلام الشارع ممّا لم يظهر فيه اصطلاحه إن كانت من العبادات فلا يجوز الرجوع في تشخيص معانيها إلى غير الشرع، بخلافه إن كانت من المعاملات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أسلفت أنّ مخالفة اصطلاح الشارع للّغة وعدمها قد ثبت في كلّ من النوعين، فما لم تظهر فيه المخالفة كما يمكن أن يكون في العبادات ممّا ثبتت وفي المعاملات ممّا لم تثبت، كذا يمكن العكس، وكذا يمكن أن يكون في كلّ منهما ممّا ثبتت، كما يمكن أن يكون فيهما ممّا لم تثبت، فالاحتمالات أربعة، مقتضى الأوّل الحمل على ما ثبتت المخالفة في العبادات وعلى ما لم تثبت في المعاملات، فتعيّن الرجوع في الأوّل إلى الشرع دون الثاني، ومقتضى الثاني عكسه؛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الرجوع في النوعين إلى الشرع، والرابع عدمه كذلك إليه؛ والمدّعى إنّما يتمّ على الأوّل، دون الثلاثة الباقية، فما وجه ترجيحه عليها؟ </w:t>
      </w:r>
      <w:bookmarkStart w:id="776" w:name="pg16224_170632"/>
    </w:p>
    <w:p>
      <w:pPr>
        <w:pStyle w:val="BookText"/>
        <w:rPr/>
      </w:pPr>
      <w:bookmarkEnd w:id="776"/>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w:t>
      </w:r>
      <w:r>
        <w:rPr>
          <w:rStyle w:val="FootnoteAnchor"/>
          <w:rtl w:val="true"/>
        </w:rPr>
        <w:footnoteReference w:id="638"/>
      </w:r>
      <w:r>
        <w:rPr>
          <w:rFonts w:ascii="Amiri" w:hAnsi="Amiri" w:eastAsia="Amiri" w:cs="Amiri"/>
          <w:color w:val="111111"/>
          <w:sz w:val="28"/>
          <w:sz w:val="28"/>
          <w:szCs w:val="28"/>
          <w:rtl w:val="true"/>
          <w:lang w:bidi="ar-SA"/>
        </w:rPr>
        <w:t>إلحاقُ الظنِّ الشيءَ المشتبهَ بالأغلب؛ ولمّا كان الغالب في ألفاظ العبادات كونها من المنقولات عن المعاني اللغويّة إلى المعاني المحدثة المخترعة الّتي لا يتوصّل إليها إلّا ببيان الشارع، يلحق غيره به؛ ولمّا كان الغالب في المعاملات خلاف ذلك، يلحق غيره به أيضًا؛ وهذا أولى من الحمل في الكلّ على غير الغالب كما في الثاني، أو في البعض عليه كما في الأخيرين، فتأمّل</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3734876_1280447820"/>
      <w:bookmarkStart w:id="778" w:name="_Toc304"/>
      <w:bookmarkEnd w:id="777"/>
      <w:r>
        <w:rPr>
          <w:rtl w:val="true"/>
        </w:rPr>
        <w:t>الوجه الثاني</w:t>
      </w:r>
      <w:bookmarkEnd w:id="778"/>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المذكور من الإيجاب والسلب الكلّيّين إنّما هو بالنظر إلى الأغلب في النوعين، فلمّا كان الغالب في العبادات توقّف العلم بماهيّاتها على بيان الشرع دون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الغالب فيها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أطلقوا القول بأنّ العبادات توقيفيّة دون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الجوابين مع كونهما متقاربين يظهر بعد التأمّل في البين</w:t>
      </w:r>
      <w:r>
        <w:rPr>
          <w:rFonts w:eastAsia="Amiri" w:cs="Amiri" w:ascii="Amiri" w:hAnsi="Amiri"/>
          <w:color w:val="111111"/>
          <w:sz w:val="28"/>
          <w:szCs w:val="28"/>
          <w:rtl w:val="true"/>
          <w:lang w:bidi="ar-SA"/>
        </w:rPr>
        <w:t>.</w:t>
      </w:r>
    </w:p>
    <w:p>
      <w:pPr>
        <w:pStyle w:val="Heading6"/>
        <w:numPr>
          <w:ilvl w:val="5"/>
          <w:numId w:val="1"/>
        </w:numPr>
        <w:rPr/>
      </w:pPr>
      <w:bookmarkStart w:id="779" w:name="__RefHeading___Toc3734878_1280447820"/>
      <w:bookmarkStart w:id="780" w:name="_Toc305"/>
      <w:bookmarkEnd w:id="779"/>
      <w:r>
        <w:rPr>
          <w:rtl w:val="true"/>
        </w:rPr>
        <w:t>الوجه الثالث</w:t>
      </w:r>
      <w:bookmarkEnd w:id="78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 والسجود، فبالمنع من اتّحاد المنع الشرعيّ مع اللغويّ؛ لوضوح اعتبار الإخلاص في مطلق العبادات، فالإخلاص داخل في المعنى الشرعيّ، بخلاف اللغويّ، فهما متغايران؛ لأنّ السجود مثلًا على الأوّل عبارة عن الفعل مع الإخلاص، وعلى الثاني عن الفعل فقط، فلا يمكن تشخيص السجود الشرعيّ بالرجوع إلى اللغة، بل يتوقّف على بيان الشارع، فلا انتقاض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بالنسبة إلى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 والإيلاء وأشباههما، فبأنّ</w:t>
      </w:r>
      <w:r>
        <w:rPr>
          <w:rStyle w:val="FootnoteAnchor"/>
          <w:rtl w:val="true"/>
        </w:rPr>
        <w:footnoteReference w:id="639"/>
      </w:r>
      <w:r>
        <w:rPr>
          <w:rFonts w:ascii="Amiri" w:hAnsi="Amiri" w:eastAsia="Amiri" w:cs="Amiri"/>
          <w:color w:val="111111"/>
          <w:sz w:val="28"/>
          <w:sz w:val="28"/>
          <w:szCs w:val="28"/>
          <w:rtl w:val="true"/>
          <w:lang w:bidi="ar-SA"/>
        </w:rPr>
        <w:t>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الموضوعات في المعاملات يُرجع فيها إلى العرف أو اللغة ليس الإيجاب الكلّيّ، أي كلّ الموضوعات في المعاملات كذلك، بل الظاهر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العبادات توقيفيّة دون المعاملات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المراد رفع الإيجاب الكلّيّ، أي ليس كلّ الموضوعات في المعاملات توقيفيًّا كالعبادات، فلا ينافيه توقيفيّة بعض الموضوعات منها</w:t>
      </w:r>
      <w:r>
        <w:rPr>
          <w:rStyle w:val="FootnoteAnchor"/>
          <w:rtl w:val="true"/>
        </w:rPr>
        <w:footnoteReference w:id="640"/>
      </w:r>
      <w:r>
        <w:rPr>
          <w:rFonts w:ascii="Amiri" w:hAnsi="Amiri" w:eastAsia="Amiri" w:cs="Amiri"/>
          <w:color w:val="111111"/>
          <w:sz w:val="28"/>
          <w:sz w:val="28"/>
          <w:szCs w:val="28"/>
          <w:rtl w:val="true"/>
          <w:lang w:bidi="ar-SA"/>
        </w:rPr>
        <w:t>،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تعيّن الرجوع في العبادات إلى الشارع، بخلاف المعاملات، فأنّه لم يتعيّن فيها ذلك، ومقتضاه إمكان الرجوع فيها إلى غير الشرع في الجملة، لا إمكانه مطلقًا، فلا ينافيه عدم الإمكان في البعض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الجواب لا بأس به بالنسبة إلى النقض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العبادات فإنّه مبنيٌّ على القول بدخول الإخلاص في حقيقة العبادة؛ وأمّا على القول بالعدم فلا؛ لأنّه حينئذٍ يكون شرطًا لها، ومعلوم أنّ الشرط خارج عن المشروط، فيكون المعنى الشرعيّ واللغويّ متّحدًا، فلا تفاوت بينهما إلّا بالإطلاق والتقييد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مبنيٌّ على تعميم القول بالحقيقة الشرعيّة في العبادات والمعاملات بأسرها، كما هو الظاهر من قولهم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اللفظ في اللغة كذا وفي الشرع كذا على نهج واحد؛ ويظهر من المحقّق في الشرائع والعلّامة في القواعد وغيره والشهيدين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والمسالك، وستقف على عباراتهم إن </w:t>
      </w:r>
    </w:p>
    <w:p>
      <w:pPr>
        <w:pStyle w:val="BookText"/>
        <w:rPr/>
      </w:pPr>
      <w:r>
        <w:rPr>
          <w:rFonts w:ascii="IRNazanin" w:hAnsi="IRNazanin" w:eastAsia="IRNazanin"/>
          <w:color w:val="111111"/>
          <w:sz w:val="28"/>
          <w:sz w:val="28"/>
          <w:szCs w:val="28"/>
          <w:rtl w:val="true"/>
          <w:lang w:bidi="fa-IR"/>
        </w:rPr>
        <w:t>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التفصيل في المعاملات بأن يقال بثبوتها فيما علم التغاير بين المعنى اللغويّ والشرعيّ، كما تقدّم من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والخلع والمباراة وأشباهها؛ وبالعدم فيما لم يعلم ذلك؛ أو علم عدمه وهو الأكثر، كالبيع والصلح والإجارة والدين والهبة والرهن والوديعة والعارية والغصب والميراث والرضاع والقصاص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ويحمل قولهم المذكور في القسم الأوّل على ظاهره، وفي الثاني على أنّ المراد بيان المعاملات الصحيحة شرعًا المترتّبة عليها الآثار الثابتة في الشرع، أو المراد من</w:t>
      </w:r>
      <w:r>
        <w:rPr>
          <w:rStyle w:val="FootnoteAnchor"/>
          <w:rtl w:val="true"/>
        </w:rPr>
        <w:footnoteReference w:id="641"/>
      </w:r>
      <w:r>
        <w:rPr>
          <w:rFonts w:ascii="Amiri" w:hAnsi="Amiri" w:eastAsia="Amiri" w:cs="Amiri"/>
          <w:color w:val="111111"/>
          <w:sz w:val="28"/>
          <w:sz w:val="28"/>
          <w:szCs w:val="28"/>
          <w:rtl w:val="true"/>
          <w:lang w:bidi="ar-SA"/>
        </w:rPr>
        <w:t>الشرع في ذلك المقام أعمّ من الشارع وأهل الشرع، فيحمل على أنّ المراد فيما نحن فيه أنّ اصطلاح المتشرّعة كذا، أو أنّ المراد المستعمل فيه أعمّ من أن يكون حقيقة بناءً على القول بالحقيقة الشرعيّة، أو مجازًا بناءً على القول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نظر، 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كان المراد تحديد المعاملات الصحيحة شرعًا، لزم استقصاء الشرائط في تعريفاتها مع أنّه ليس كذلك قطعًا، بل لم يتعرّضوا فيها إلّا للقليل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ما فيه من البعد، سيّما بعد إرادة معناه في العبادات وفي بعض المعاملات،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للمتشرّعة اصطلاحات كثيرة، فما وجه إطلاق الشرع في أمثال هذه المقامات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يأتي في الثالث</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إنّما يصحّ بعد المغايرة بين المعنى اللغويّ والشرعيّ، </w:t>
      </w:r>
      <w:bookmarkStart w:id="781" w:name="pg16224_170635"/>
    </w:p>
    <w:p>
      <w:pPr>
        <w:pStyle w:val="BookText"/>
        <w:rPr/>
      </w:pPr>
      <w:bookmarkEnd w:id="781"/>
      <w:r>
        <w:rPr>
          <w:rFonts w:ascii="Amiri" w:hAnsi="Amiri" w:eastAsia="Amiri" w:cs="Amiri"/>
          <w:color w:val="111111"/>
          <w:sz w:val="28"/>
          <w:sz w:val="28"/>
          <w:szCs w:val="28"/>
          <w:rtl w:val="true"/>
          <w:lang w:bidi="ar-SA"/>
        </w:rPr>
        <w:t>والمفروض خلافه، وإلّا كانت المعاملات توقيفيّة كالعبادات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اختيار الثالث والتزام التغاير على النحو المتقدّم من الإطلاق والتقييد، فالمغايرة على هذا النحو لا تنافي الرجوع في تشخيص المعاني إلى العرف أو اللغة كما عرفت، نعم، يتوجّه عليه ما مرّ في الأوّل من أنّه لو كان المراد ذلك؛ لكان اللازم استقصاء الشروط المعتبرة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هنا بمنع اللزوم؛ إذ الاقتصار في البعض يكفي للتنبيه على التغاير في الجملة؛ على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على النحو المذكور في مجموع أبواب المعاملات ليس بمجمع عليه، بل ولا ما أطبق عليه الأكثر وإنّما ذكره البعض، ويمكن أن يكون منشؤه الغفلة، أو بناؤه</w:t>
      </w:r>
      <w:r>
        <w:rPr>
          <w:rStyle w:val="FootnoteAnchor"/>
          <w:rtl w:val="true"/>
        </w:rPr>
        <w:footnoteReference w:id="642"/>
      </w:r>
      <w:r>
        <w:rPr>
          <w:rFonts w:ascii="Amiri" w:hAnsi="Amiri" w:eastAsia="Amiri" w:cs="Amiri"/>
          <w:color w:val="111111"/>
          <w:sz w:val="28"/>
          <w:sz w:val="28"/>
          <w:szCs w:val="28"/>
          <w:rtl w:val="true"/>
          <w:lang w:bidi="ar-SA"/>
        </w:rPr>
        <w:t>على ثبوت الحقيقة الشرعيّة على النحو الّذي سبقت إليه الإشارة</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3734880_1280447820"/>
      <w:bookmarkStart w:id="783" w:name="_Toc306"/>
      <w:bookmarkEnd w:id="782"/>
      <w:r>
        <w:rPr>
          <w:rtl w:val="true"/>
        </w:rPr>
        <w:t>إيراد آخر في المقام</w:t>
      </w:r>
      <w:bookmarkEnd w:id="78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يتوجّه في المقام إيراد آخر، وهو أنّ هذا التغاير متحقّق في العبادات أيضًا؛ لما تقدّم من مثل الركوع والسجود؛ ولما ذكر في بعض كتب الأصول وغيرها من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لمطلق الإمساك وفي الشرع لإمساك مخصوص،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لمطلق القصد وفي الشرع لقصد مخصوص، ونحوهما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فعلى التوجيه السالف يمكن الرجوع في تشخيص بعض العبادات أيضًا إلى العرف أو اللغة، فلا يصحّ الحكم بتوقيفيّة العبادات بأسرها </w:t>
      </w:r>
      <w:bookmarkStart w:id="784" w:name="pg16224_170636"/>
    </w:p>
    <w:p>
      <w:pPr>
        <w:pStyle w:val="BookText"/>
        <w:rPr/>
      </w:pPr>
      <w:bookmarkEnd w:id="784"/>
      <w:r>
        <w:rPr>
          <w:rFonts w:ascii="Amiri" w:hAnsi="Amiri" w:eastAsia="Amiri" w:cs="Amiri"/>
          <w:color w:val="111111"/>
          <w:sz w:val="28"/>
          <w:sz w:val="28"/>
          <w:szCs w:val="28"/>
          <w:rtl w:val="true"/>
          <w:lang w:bidi="ar-SA"/>
        </w:rPr>
        <w:t>دون المعاملات، مع اشتراكهما فيما ذكر</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3734882_1280447820"/>
      <w:bookmarkStart w:id="786" w:name="_Toc307"/>
      <w:bookmarkEnd w:id="785"/>
      <w:r>
        <w:rPr>
          <w:rtl w:val="true"/>
        </w:rPr>
        <w:t>الجواب عن الإيراد</w:t>
      </w:r>
      <w:bookmarkEnd w:id="786"/>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بما أومأنا إليه من أنّ الحكم المذكور أغلبيٌّ لا كلّي؛ ولمّا كان الغالب في العبادات تحقّق المعاني الحادثة الملتئمة من الأجزاء الشرعيّة المخترعة من الشارع دون المعاملات، حكموا بذلك، وإلّا فقد عرفت تحقّق المعاني المغايرة المذكورة في بعض المعاملات أيضًا وعدم إمكان الرجوع فيها إلى غير الشرع، ومن اعتبار الإخلاص في المعنى الشرعيّ دون اللغويّ، مع ما عرفت ممّا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 العبادات وركنها وأصل الطاعات وعمدتها كالصلاة لمّا كان كذلك، حكموا بعنوان الإطلاق، أو بمنع كون المعاني المذكورة للألفاظ السابقة شرعيّة، لكنّه بالنسبة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لإمكان أن يكون معناه الشرعيّ الأفعال المعهودة على النهج المقرّر كما هو الظاهر، وعرّفه بها بعض المحدّدين لمعناه الشرعيّ، وإليه أشار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في الشرع</w:t>
      </w:r>
      <w:r>
        <w:rPr>
          <w:rStyle w:val="FootnoteAnchor"/>
          <w:rtl w:val="true"/>
        </w:rPr>
        <w:footnoteReference w:id="643"/>
      </w:r>
      <w:r>
        <w:rPr>
          <w:rFonts w:ascii="Amiri" w:hAnsi="Amiri" w:eastAsia="Amiri" w:cs="Amiri"/>
          <w:color w:val="111111"/>
          <w:sz w:val="28"/>
          <w:sz w:val="28"/>
          <w:szCs w:val="28"/>
          <w:rtl w:val="true"/>
          <w:lang w:bidi="ar-SA"/>
        </w:rPr>
        <w:t>للأفعال المخصوصة عند البيت</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الموضوع في اللغة للقصد، ونقله الشارع إلى المناسك المؤدّاة في المشاعر</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bookmarkStart w:id="787" w:name="pg16224_170637"/>
    </w:p>
    <w:p>
      <w:pPr>
        <w:pStyle w:val="BookText"/>
        <w:rPr/>
      </w:pPr>
      <w:bookmarkEnd w:id="787"/>
      <w:r>
        <w:rPr>
          <w:rFonts w:ascii="Amiri" w:hAnsi="Amiri" w:eastAsia="Amiri" w:cs="Amiri"/>
          <w:color w:val="111111"/>
          <w:sz w:val="28"/>
          <w:sz w:val="28"/>
          <w:szCs w:val="28"/>
          <w:rtl w:val="true"/>
          <w:lang w:bidi="ar-SA"/>
        </w:rPr>
        <w:t>وكذا كثير من العلماء الأعلام؛ وأمّا في نحو الصوم والخمس فمستبعد جدًّا، فالتعويل على 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توقيفيّة الأحكام الشرعيّة وماهيّات العبادات على بيان الشارع، دون المعاملات بالمعنى المتقدّم</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3734884_1280447820"/>
      <w:bookmarkStart w:id="789" w:name="_Toc308"/>
      <w:bookmarkEnd w:id="788"/>
      <w:r>
        <w:rPr>
          <w:rtl w:val="true"/>
        </w:rPr>
        <w:t>تذييل فيه تكميل</w:t>
      </w:r>
      <w:bookmarkEnd w:id="789"/>
    </w:p>
    <w:p>
      <w:pPr>
        <w:pStyle w:val="Heading6"/>
        <w:numPr>
          <w:ilvl w:val="5"/>
          <w:numId w:val="1"/>
        </w:numPr>
        <w:rPr/>
      </w:pPr>
      <w:bookmarkStart w:id="790" w:name="__RefHeading___Toc3734886_1280447820"/>
      <w:bookmarkStart w:id="791" w:name="_Toc309"/>
      <w:bookmarkEnd w:id="790"/>
      <w:r>
        <w:rPr>
          <w:rtl w:val="true"/>
        </w:rPr>
        <w:t>اشارة</w:t>
      </w:r>
      <w:bookmarkEnd w:id="791"/>
    </w:p>
    <w:p>
      <w:pPr>
        <w:pStyle w:val="BookText"/>
        <w:rPr/>
      </w:pPr>
      <w:r>
        <w:rPr>
          <w:rFonts w:ascii="Amiri" w:hAnsi="Amiri" w:eastAsia="Amiri" w:cs="Amiri"/>
          <w:color w:val="111111"/>
          <w:sz w:val="28"/>
          <w:sz w:val="28"/>
          <w:szCs w:val="28"/>
          <w:rtl w:val="true"/>
          <w:lang w:bidi="ar-SA"/>
        </w:rPr>
        <w:t>ومن المهمّ في هذا المقام البحث عن ثلاثة مطالب</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3734888_1280447820"/>
      <w:bookmarkStart w:id="793" w:name="_Toc310"/>
      <w:bookmarkEnd w:id="792"/>
      <w:r>
        <w:rPr>
          <w:rtl w:val="true"/>
        </w:rPr>
        <w:t>المطلب الأوّل</w:t>
      </w:r>
      <w:r>
        <w:rPr>
          <w:rtl w:val="true"/>
        </w:rPr>
        <w:t xml:space="preserve">: </w:t>
      </w:r>
      <w:r>
        <w:rPr>
          <w:rtl w:val="true"/>
        </w:rPr>
        <w:t>لكلّ من لفظ العبادات والمعاملات إطلاقان</w:t>
      </w:r>
      <w:bookmarkEnd w:id="793"/>
    </w:p>
    <w:p>
      <w:pPr>
        <w:pStyle w:val="Heading6"/>
        <w:numPr>
          <w:ilvl w:val="5"/>
          <w:numId w:val="1"/>
        </w:numPr>
        <w:rPr/>
      </w:pPr>
      <w:bookmarkStart w:id="794" w:name="__RefHeading___Toc3734890_1280447820"/>
      <w:bookmarkStart w:id="795" w:name="_Toc311"/>
      <w:bookmarkEnd w:id="794"/>
      <w:r>
        <w:rPr>
          <w:rtl w:val="true"/>
        </w:rPr>
        <w:t>اشارة</w:t>
      </w:r>
      <w:bookmarkEnd w:id="795"/>
    </w:p>
    <w:p>
      <w:pPr>
        <w:pStyle w:val="BookText"/>
        <w:rPr/>
      </w:pP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معنيين،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صحّته على النيّة كما مرّ،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الثواب عليه، وهو أعمّ من الأوّل؛ إذ كلّ ما يتوقّف صحّته على النيّة يترتّب الثواب عليه، ولا عكس؛ إذ جميع الأفعال المباحة إذا قصد به التقرّب يترتّب الثواب عليه، مع أنّ عند انتفاء الخلوص والقربة لم ينتف عنها وصف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تطلق على معنيين أيضًا،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المعروف بين الناس من المعاوضات الجارية بينهم،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العبادة بالمعنى الأوّل، أي ما لا يتوقّف صحّته على النيّة كما تقدّم، وهي أيضًا بالتفسير الثاني أعمّ من الأوّل كما لا يخفى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العبادة فيما نحن فيه معناها الأخصّ، ومن المعاملة الأعمّ، فلا يرد </w:t>
      </w:r>
    </w:p>
    <w:p>
      <w:pPr>
        <w:pStyle w:val="BookText"/>
        <w:rPr/>
      </w:pPr>
      <w:r>
        <w:rPr>
          <w:rFonts w:ascii="Amiri" w:hAnsi="Amiri" w:eastAsia="Amiri" w:cs="Amiri"/>
          <w:color w:val="111111"/>
          <w:sz w:val="28"/>
          <w:sz w:val="28"/>
          <w:szCs w:val="28"/>
          <w:rtl w:val="true"/>
          <w:lang w:bidi="ar-SA"/>
        </w:rPr>
        <w:t>أنّ حكمهم بتوقيفيّة العبادات غير صحيح على الإطلاق</w:t>
      </w:r>
      <w:r>
        <w:rPr>
          <w:rStyle w:val="FootnoteAnchor"/>
          <w:rtl w:val="true"/>
        </w:rPr>
        <w:footnoteReference w:id="646"/>
      </w:r>
      <w:r>
        <w:rPr>
          <w:rFonts w:ascii="Amiri" w:hAnsi="Amiri" w:eastAsia="Amiri" w:cs="Amiri"/>
          <w:color w:val="111111"/>
          <w:sz w:val="28"/>
          <w:sz w:val="28"/>
          <w:szCs w:val="28"/>
          <w:rtl w:val="true"/>
          <w:lang w:bidi="ar-SA"/>
        </w:rPr>
        <w:t>، بناءً على أنّ كلّ فعل إذا قصد به التقرّب إليه سبحانه يكون عبادة</w:t>
      </w:r>
      <w:r>
        <w:rPr>
          <w:rStyle w:val="FootnoteAnchor"/>
          <w:rtl w:val="true"/>
        </w:rPr>
        <w:footnoteReference w:id="647"/>
      </w:r>
      <w:r>
        <w:rPr>
          <w:rFonts w:ascii="Amiri" w:hAnsi="Amiri" w:eastAsia="Amiri" w:cs="Amiri"/>
          <w:color w:val="111111"/>
          <w:sz w:val="28"/>
          <w:sz w:val="28"/>
          <w:szCs w:val="28"/>
          <w:rtl w:val="true"/>
          <w:lang w:bidi="ar-SA"/>
        </w:rPr>
        <w:t>، مع أنّ كثيرًا منها لم يتوقّف بيانه على الشرع قطعًا؛ لأنّ مبناه على حمل العبادة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العبادات توقيفيّة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 فساده في نفسه ينافيه تصريح جماعة منهم، وأنّ المتبادر من العبادة ما يكون كذلك بالذات، فيخرج</w:t>
      </w:r>
      <w:r>
        <w:rPr>
          <w:rStyle w:val="FootnoteAnchor"/>
          <w:rtl w:val="true"/>
        </w:rPr>
        <w:footnoteReference w:id="648"/>
      </w:r>
      <w:r>
        <w:rPr>
          <w:rFonts w:ascii="Amiri" w:hAnsi="Amiri" w:eastAsia="Amiri" w:cs="Amiri"/>
          <w:color w:val="111111"/>
          <w:sz w:val="28"/>
          <w:sz w:val="28"/>
          <w:szCs w:val="28"/>
          <w:rtl w:val="true"/>
          <w:lang w:bidi="ar-SA"/>
        </w:rPr>
        <w:t>العبادة العرضيّة الّتي يعرضها وصف العبادة بسبب قصد القربة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وقولهم في مقابله بعدم توقيفيّة المعاملات، إذ لا يبقى حينئذٍ لهذا القول مصداق؛ لعدم إمكان حملها على شيء من المعنيين المذكورين، أمّا على المعنى الأعمّ فظاهر، وأمّا على الأخصّ فلأنّه أيضًا عند قصد التقرّب مندرج</w:t>
      </w:r>
      <w:r>
        <w:rPr>
          <w:rStyle w:val="FootnoteAnchor"/>
          <w:rtl w:val="true"/>
        </w:rPr>
        <w:footnoteReference w:id="649"/>
      </w:r>
      <w:r>
        <w:rPr>
          <w:rFonts w:ascii="Amiri" w:hAnsi="Amiri" w:eastAsia="Amiri" w:cs="Amiri"/>
          <w:color w:val="111111"/>
          <w:sz w:val="28"/>
          <w:sz w:val="28"/>
          <w:szCs w:val="28"/>
          <w:rtl w:val="true"/>
          <w:lang w:bidi="ar-SA"/>
        </w:rPr>
        <w:t>تحت العبادة؛ والحمل على الأعمّ بتخصيصه فيما إذا لم ينو التقرّب يفسده عدم معقوليّة توقّف ماهيّة معيّنة على بيان الشارع تارةً وعدم توقّفها عليه أخرى كما لا يخفى، فتأمّل</w:t>
      </w:r>
      <w:r>
        <w:rPr>
          <w:rFonts w:eastAsia="Amiri" w:cs="Amiri" w:ascii="Amiri" w:hAnsi="Amiri"/>
          <w:color w:val="111111"/>
          <w:sz w:val="28"/>
          <w:szCs w:val="28"/>
          <w:rtl w:val="true"/>
          <w:lang w:bidi="ar-SA"/>
        </w:rPr>
        <w:t xml:space="preserve">. </w:t>
      </w:r>
      <w:bookmarkStart w:id="796" w:name="pg16224_170639"/>
    </w:p>
    <w:p>
      <w:pPr>
        <w:pStyle w:val="Heading6"/>
        <w:numPr>
          <w:ilvl w:val="5"/>
          <w:numId w:val="1"/>
        </w:numPr>
        <w:rPr/>
      </w:pPr>
      <w:bookmarkStart w:id="797" w:name="__RefHeading___Toc3734892_1280447820"/>
      <w:bookmarkStart w:id="798" w:name="_Toc312"/>
      <w:bookmarkEnd w:id="796"/>
      <w:bookmarkEnd w:id="797"/>
      <w:r>
        <w:rPr>
          <w:rtl w:val="true"/>
        </w:rPr>
        <w:t>في تفسير الصحّة والفساد</w:t>
      </w:r>
      <w:bookmarkEnd w:id="798"/>
    </w:p>
    <w:p>
      <w:pPr>
        <w:pStyle w:val="BookText"/>
        <w:rPr/>
      </w:pPr>
      <w:r>
        <w:rPr>
          <w:rFonts w:ascii="Amiri" w:hAnsi="Amiri" w:eastAsia="Amiri" w:cs="Amiri"/>
          <w:color w:val="111111"/>
          <w:sz w:val="28"/>
          <w:sz w:val="28"/>
          <w:szCs w:val="28"/>
          <w:rtl w:val="true"/>
          <w:lang w:bidi="ar-SA"/>
        </w:rPr>
        <w:t>تبيين تفسير</w:t>
      </w:r>
    </w:p>
    <w:p>
      <w:pPr>
        <w:pStyle w:val="BookText"/>
        <w:rPr/>
      </w:pPr>
      <w:r>
        <w:rPr>
          <w:rFonts w:ascii="Amiri" w:hAnsi="Amiri" w:eastAsia="Amiri" w:cs="Amiri"/>
          <w:color w:val="111111"/>
          <w:sz w:val="28"/>
          <w:sz w:val="28"/>
          <w:szCs w:val="28"/>
          <w:rtl w:val="true"/>
          <w:lang w:bidi="ar-SA"/>
        </w:rPr>
        <w:t xml:space="preserve">لمّا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مأخوذًا في تفسير كلّ من العبادات والمعاملات، فلا بأس للتعرّض إلى كشف الحال فيها،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اختلفوا في الصحّة في العبادات، فالمحكيّ عن المتكلّمين أنّها موافقة الأمر أو</w:t>
      </w:r>
      <w:r>
        <w:rPr>
          <w:rStyle w:val="FootnoteAnchor"/>
          <w:rtl w:val="true"/>
        </w:rPr>
        <w:footnoteReference w:id="650"/>
      </w:r>
      <w:r>
        <w:rPr>
          <w:rFonts w:ascii="Amiri" w:hAnsi="Amiri" w:eastAsia="Amiri" w:cs="Amiri"/>
          <w:color w:val="111111"/>
          <w:sz w:val="28"/>
          <w:sz w:val="28"/>
          <w:szCs w:val="28"/>
          <w:rtl w:val="true"/>
          <w:lang w:bidi="ar-SA"/>
        </w:rPr>
        <w:t>الشريعة، وعن الفقهاء أنّها كون الفعل مسقطًا للقضاء؛ ويعلم البطلان والفساد بالمقابلة</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ثمرة الخلاف في الصلاة بظنّ الطهارة مع انكشاف الفساد بعد الصلاة، أو شكّها فيما إذا جاز التعويل عليهما، فإنّها على الأوّل ينبغي أن تكون</w:t>
      </w:r>
      <w:r>
        <w:rPr>
          <w:rStyle w:val="FootnoteAnchor"/>
          <w:rtl w:val="true"/>
        </w:rPr>
        <w:footnoteReference w:id="652"/>
      </w:r>
      <w:r>
        <w:rPr>
          <w:rFonts w:ascii="Amiri" w:hAnsi="Amiri" w:eastAsia="Amiri" w:cs="Amiri"/>
          <w:color w:val="111111"/>
          <w:sz w:val="28"/>
          <w:sz w:val="28"/>
          <w:szCs w:val="28"/>
          <w:rtl w:val="true"/>
          <w:lang w:bidi="ar-SA"/>
        </w:rPr>
        <w:t>صحيحة، بخلافه على الثاني؛ لعدم إسقاطها القضاء، وكذا في الصلاة إلى جهة بظنّ أنّها القبلة، ثمّ تبيّن الخلاف وهو في الوقت، وغيرهما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 من التفسيرين كلام، 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موافقة أمر الشارع من صفات المأمور، ومن المعلوم أنّ الصحّة من أوصاف المأمور به، فكيف يجعل أحدهما حدًّا </w:t>
      </w:r>
    </w:p>
    <w:p>
      <w:pPr>
        <w:pStyle w:val="BookText"/>
        <w:rPr/>
      </w:pPr>
      <w:r>
        <w:rPr>
          <w:rFonts w:ascii="Amiri" w:hAnsi="Amiri" w:eastAsia="Amiri" w:cs="Amiri"/>
          <w:color w:val="111111"/>
          <w:sz w:val="28"/>
          <w:sz w:val="28"/>
          <w:szCs w:val="28"/>
          <w:rtl w:val="true"/>
          <w:lang w:bidi="ar-SA"/>
        </w:rPr>
        <w:t>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وانتقاض طرده بدخول الختان، فإنّ موافقة أمر الشارع متحقّق فيه مع عدم اتّصافه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يتوجّه إذا حمل الموافقة على معناه المتعدّي، وأمّا إذا حمل على المعنى اللازم فلا؛ لوضوح أنّه حينئذٍ من أوصاف الفعل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عدم اتّصاف الختان بالصحّة، فإنّه إذا أوقع على النهج الّذي أمر به الشارع يقال إنّه صحيح، وإلّا يقال إنّه غير صحيح، وعلى فرض التسليم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الصحّة والفساد فيما يمكن اتّصافه بهما لا مطلقًا، فما لا يتّصف بهما خارج عن أصله،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القضاء حينئذٍ لم يثبت، فكيف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كون الفعل بحيث يمنع تعلّق الأمر بالقضاء على المكلّف، لكن ينتقض عكسه بصلاة العيد وما وقته العمر، كالنذر المطلق وصلاة الزلزلة والقضاء نفسه والنوافل غير الراتبة، فإنّ كلًّا منها إذا أُتي على الوجه الّذي ينبغي أن يُؤتى يتّصف بالصحّة مع عدم القضاء لشيء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أيضًا على النحو المذكور في التفسير الأوّل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في العبادات كون الفعل مسقطًا للقضاء فيما له قضاء، لكنّه مع ما فيه من التكلّف الّذي ينبغي الاحتراز عنه في الحدود، تبقى الصحّة فيما لم يكن له قضاء من دون تحديد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الصحّة فيها عبارة عن كون الفعل على نهج يسقط القضاء على تقدير </w:t>
      </w:r>
    </w:p>
    <w:p>
      <w:pPr>
        <w:pStyle w:val="BookText"/>
        <w:rPr/>
      </w:pPr>
      <w:r>
        <w:rPr>
          <w:rFonts w:ascii="Amiri" w:hAnsi="Amiri" w:eastAsia="Amiri" w:cs="Amiri"/>
          <w:color w:val="111111"/>
          <w:sz w:val="28"/>
          <w:sz w:val="28"/>
          <w:szCs w:val="28"/>
          <w:rtl w:val="true"/>
          <w:lang w:bidi="ar-SA"/>
        </w:rPr>
        <w:t>أن يكون له قضاء، وهو أيضًا لا يخلو عن تكلّف، فالأولى بين التفسيرين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اتّفقوا على أنّ الصحّة فيها عبارة عن ترتّب الأثر المطلوب منها كزوال النجاسة من الغسل، وانتقال الثمن إلى البائع والمثمن إلى المشتري في البيع، ووجه الإجارة والمنافع إلى المؤجر والمستأجر في الإجارة، وحلّيّة البضع والنظر مثلًا في النكاح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احتمالات، جعل الصحّة في النوعين معًا مفسّرة بالتفسير المذكور في العبادات، أو في المعاملات، أو في العبادات مفسّرة بما ذكر في المعاملات وبالعكس؛ وما وجه اختيار ما ذكر على الاحتمالات المذكورة؟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الاشتراك بينهما بما ذكر في العبادات فغير ممكن؛ لأنّ غسل النجاسة لو أوقع على النهج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كالغسل بماء 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 وجاز مع ذلك الثوب مثلًا الدخول في الصلاة، مع أنّ موافقة أمر الشارع غير متحقّقة فيه، وهكذا البيع في وقت النداء وغيره، ومنه يعلم الحال في الاحتمال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اشترك بينهما بالتفسير السالف من الفقهاء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مطلقًا عبارة عن كون الفعل مسقطًا للقضاء وأريد من القضاء أعمّ من المعنى المصطلح عليه والإتيان ثانيًا، لجاز، بل لا يرد حينئذٍ شيء ممّا سلف</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الاشتراك بينهما بما ذكر في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الفاضل العضديّ وشيخنا البهائيّ</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الصحّة مطلقًا عبارة عن ترتّب الأثر، </w:t>
      </w:r>
    </w:p>
    <w:p>
      <w:pPr>
        <w:pStyle w:val="BookText"/>
        <w:rPr/>
      </w:pPr>
      <w:r>
        <w:rPr>
          <w:rFonts w:ascii="Amiri" w:hAnsi="Amiri" w:eastAsia="Amiri" w:cs="Amiri"/>
          <w:color w:val="111111"/>
          <w:sz w:val="28"/>
          <w:sz w:val="28"/>
          <w:szCs w:val="28"/>
          <w:rtl w:val="true"/>
          <w:lang w:bidi="ar-SA"/>
        </w:rPr>
        <w:t>لكنّ الأثر مختلف، فهو في المعاملات ما تقدّم وفي العبادات إمّا الثواب أو الامتثال والإطاعة، فعلى هذا لا يرد الانتقاض بمثل الختان وغيره ممّا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يتوجّه على جميع التفاسير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الصحّة ليست نفس الموافقة ولا إسقاط القضاء ولا ترتّب الأثر، بل هو وصف يتّصف الفعل به باعتبار الموافقة ويسقط القضاء لثبوت ذلك الوصف له ويترتّب عليه الأثر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جعل التفاسير للفعل الصحيح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الصحيح ما يكون موافقًا لأمر الشارع، أو يكون مسقطًا للقضاء، أو يترتّب عليه الأثر، سلم من ذلك، لكن لم يعلم الصحّة نفسها؛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أمور اصطلاحيّة، فلا مشاحّة فيها</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عرفت الصحّة في العبادات والمعاملات، يظهر عليك حال الفساد فيهما، إذ هو في مقابلها؛ ويرادفه البطلان، خلافًا للحنفيّة حيث فرّقوا بينهما بأنّ الباطل ما لم يكن مشروعًا بأصله كبيع الملاقيح، والفاسد ما كان مشروعًا بأصله دون وصفه كالربا</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bookmarkStart w:id="799" w:name="pg16224_170643"/>
    </w:p>
    <w:p>
      <w:pPr>
        <w:pStyle w:val="Heading6"/>
        <w:numPr>
          <w:ilvl w:val="5"/>
          <w:numId w:val="1"/>
        </w:numPr>
        <w:rPr/>
      </w:pPr>
      <w:bookmarkStart w:id="800" w:name="__RefHeading___Toc3734894_1280447820"/>
      <w:bookmarkStart w:id="801" w:name="_Toc313"/>
      <w:bookmarkEnd w:id="799"/>
      <w:bookmarkEnd w:id="800"/>
      <w:r>
        <w:rPr>
          <w:rtl w:val="true"/>
        </w:rPr>
        <w:t>كلامٌ في عدّ الصحّة والفساد من الأحكام التوقيفيّة</w:t>
      </w:r>
      <w:bookmarkEnd w:id="801"/>
    </w:p>
    <w:p>
      <w:pPr>
        <w:pStyle w:val="Heading6"/>
        <w:numPr>
          <w:ilvl w:val="5"/>
          <w:numId w:val="1"/>
        </w:numPr>
        <w:rPr/>
      </w:pPr>
      <w:bookmarkStart w:id="802" w:name="__RefHeading___Toc3734896_1280447820"/>
      <w:bookmarkStart w:id="803" w:name="_Toc314"/>
      <w:bookmarkEnd w:id="802"/>
      <w:r>
        <w:rPr>
          <w:rtl w:val="true"/>
        </w:rPr>
        <w:t>تنبيه</w:t>
      </w:r>
      <w:bookmarkEnd w:id="803"/>
    </w:p>
    <w:p>
      <w:pPr>
        <w:pStyle w:val="BookText"/>
        <w:rPr/>
      </w:pPr>
      <w:r>
        <w:rPr>
          <w:rFonts w:ascii="Amiri" w:hAnsi="Amiri" w:eastAsia="Amiri" w:cs="Amiri"/>
          <w:color w:val="111111"/>
          <w:sz w:val="28"/>
          <w:sz w:val="28"/>
          <w:szCs w:val="28"/>
          <w:rtl w:val="true"/>
          <w:lang w:bidi="ar-SA"/>
        </w:rPr>
        <w:t>قد علمت ممّا سلف أنّ من جملة ما عدّ من الأحكام الوضعيّة الصحّة والفساد؛ ويمكن المناقشة في توقيفيّتهما بجميع التفاسير المذكورة، 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المأمور به إذا أُتي على النهج الّذي أمر به ولم يظهر إخلال شيء من أجزائه وشرائطه، يحكم العقل بعدم افتقار إعادته وإتيانه ثاني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الشارع جعل العقود مثلًا أسبابًا لترتّب الآثار المعهودة، فالحكم الشرعيّ هناك سببيّة العقود، وهو مسلّم، وأمّا ترتّب الآثار فهو معلول لتلك الأسباب والعلامات، فالعلم بها يكفي للعلم به، فلا يكون العلم بترتّب الآثار متوقّفًا على بيان من الشارع على حدة، فلا بدّ إمّا من القول بعدم اندراجهما في الأحكام الوضعيّة، أو بعدم توقيفيّة مطلقِها،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التوقيف بالواسطة كافٍ فيما نحن فيه، فتدبّر</w:t>
      </w:r>
      <w:r>
        <w:rPr>
          <w:rFonts w:eastAsia="Amiri" w:cs="Amiri" w:ascii="Amiri" w:hAnsi="Amiri"/>
          <w:color w:val="111111"/>
          <w:sz w:val="28"/>
          <w:szCs w:val="28"/>
          <w:rtl w:val="true"/>
          <w:lang w:bidi="ar-SA"/>
        </w:rPr>
        <w:t>.</w:t>
      </w:r>
    </w:p>
    <w:p>
      <w:pPr>
        <w:pStyle w:val="Heading6"/>
        <w:numPr>
          <w:ilvl w:val="5"/>
          <w:numId w:val="1"/>
        </w:numPr>
        <w:rPr/>
      </w:pPr>
      <w:bookmarkStart w:id="804" w:name="__RefHeading___Toc3734898_1280447820"/>
      <w:bookmarkStart w:id="805" w:name="_Toc315"/>
      <w:bookmarkEnd w:id="804"/>
      <w:r>
        <w:rPr>
          <w:rtl w:val="true"/>
        </w:rPr>
        <w:t>والمطلب الثاني</w:t>
      </w:r>
      <w:bookmarkEnd w:id="805"/>
    </w:p>
    <w:p>
      <w:pPr>
        <w:pStyle w:val="Heading6"/>
        <w:numPr>
          <w:ilvl w:val="5"/>
          <w:numId w:val="1"/>
        </w:numPr>
        <w:rPr/>
      </w:pPr>
      <w:bookmarkStart w:id="806" w:name="__RefHeading___Toc3734900_1280447820"/>
      <w:bookmarkStart w:id="807" w:name="_Toc316"/>
      <w:bookmarkEnd w:id="806"/>
      <w:r>
        <w:rPr>
          <w:rtl w:val="true"/>
        </w:rPr>
        <w:t>اشارة</w:t>
      </w:r>
      <w:bookmarkEnd w:id="80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ظهر ممّا سلف توقيفيّة ماهيّات العبادات على بيان الشارع دون المعاملات بالمعنى السالف، لكن بيان ماهيّاتها في النصوص بعنوان التحديد لا يكاد يوجد، بل المعهود بيانها ببيان الأجزاء، لكن لا بلفظ الجزئيّة، بل على النهج الّذي يستفاد منه الجزئيّة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إلّا أنّه قد يدلّ النصّ على جميع الأجزاء، ولا إشكال حينئذٍ كما في الأذان حيث روى أبو بكر الحضرميّ وكليب الأسديّ عن مولانا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حكى لهما الأذان،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حيّ على خير العمل، حيّ على خير العمل، الله أكبر، الله أكبر، لا إله إلّا الله، لا إله إلّا الله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لا يكون كذلك، وهو الغالب؛ فهل اللازم حينئذٍ في مقام الامتثال الإتيان بجميع ما احتمل أنّ له مدخليّة في المأمور به بحيث ينعقد الإجماع على تحقّق المطلوب الشرعيّ في ضمنه وعدم احتمال مدخليّة غيره فيه، نظرًا إلى أنّ اشتغال الذمّة يقينيّ، فلا يحصل</w:t>
      </w:r>
      <w:r>
        <w:rPr>
          <w:rStyle w:val="FootnoteAnchor"/>
          <w:rtl w:val="true"/>
        </w:rPr>
        <w:footnoteReference w:id="657"/>
      </w:r>
      <w:r>
        <w:rPr>
          <w:rFonts w:ascii="Amiri" w:hAnsi="Amiri" w:eastAsia="Amiri" w:cs="Amiri"/>
          <w:color w:val="111111"/>
          <w:sz w:val="28"/>
          <w:sz w:val="28"/>
          <w:szCs w:val="28"/>
          <w:rtl w:val="true"/>
          <w:lang w:bidi="ar-SA"/>
        </w:rPr>
        <w:t>البراءة اليقينيّة إلّا بما ذكر وأنّ الأصل عدم كونها العبادة المطلوبة؛ أو لا، بل يجوز الاقتصار</w:t>
      </w:r>
      <w:r>
        <w:rPr>
          <w:rStyle w:val="FootnoteAnchor"/>
          <w:rtl w:val="true"/>
        </w:rPr>
        <w:footnoteReference w:id="658"/>
      </w:r>
      <w:r>
        <w:rPr>
          <w:rFonts w:ascii="Amiri" w:hAnsi="Amiri" w:eastAsia="Amiri" w:cs="Amiri"/>
          <w:color w:val="111111"/>
          <w:sz w:val="28"/>
          <w:sz w:val="28"/>
          <w:szCs w:val="28"/>
          <w:rtl w:val="true"/>
          <w:lang w:bidi="ar-SA"/>
        </w:rPr>
        <w:t>على ما علم مدخليّته فيه وانعقد الإجماع على وجوبه، فيدفع غيره بأصالة عدم المدخليّة وأصالة البراءة؟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إشكال وخلاف بين الأعلام مبنيٌّ على الخلاف في أنّ ألفاظ العبادات أسامٍ للصحيحة منها أو الأعمّ؛ وحيث قد كانت المسألة من مهمّات المسائل الأصوليّة وكانت في أكثر كتب الأصول غير منقّحة، بل غير مذكورة إلّا على وجه الإيماء </w:t>
      </w:r>
      <w:bookmarkStart w:id="808" w:name="pg16224_170645"/>
    </w:p>
    <w:p>
      <w:pPr>
        <w:pStyle w:val="BookText"/>
        <w:rPr/>
      </w:pPr>
      <w:bookmarkEnd w:id="808"/>
      <w:r>
        <w:rPr>
          <w:rFonts w:ascii="Amiri" w:hAnsi="Amiri" w:eastAsia="Amiri" w:cs="Amiri"/>
          <w:color w:val="111111"/>
          <w:sz w:val="28"/>
          <w:sz w:val="28"/>
          <w:szCs w:val="28"/>
          <w:rtl w:val="true"/>
          <w:lang w:bidi="ar-SA"/>
        </w:rPr>
        <w:t>والإشارة، فبالحريّ أن نصرف زمام الكلام إلى تحقيقها وتنقيحها ورفع جلباب الجهل عن مناهجها ومداركها</w:t>
      </w:r>
      <w:r>
        <w:rPr>
          <w:rFonts w:eastAsia="Amiri" w:cs="Amiri" w:ascii="Amiri" w:hAnsi="Amiri"/>
          <w:color w:val="111111"/>
          <w:sz w:val="28"/>
          <w:szCs w:val="28"/>
          <w:rtl w:val="true"/>
          <w:lang w:bidi="ar-SA"/>
        </w:rPr>
        <w:t>.</w:t>
      </w:r>
    </w:p>
    <w:p>
      <w:pPr>
        <w:pStyle w:val="Heading6"/>
        <w:numPr>
          <w:ilvl w:val="5"/>
          <w:numId w:val="1"/>
        </w:numPr>
        <w:rPr/>
      </w:pPr>
      <w:bookmarkStart w:id="809" w:name="__RefHeading___Toc3734902_1280447820"/>
      <w:bookmarkStart w:id="810" w:name="_Toc317"/>
      <w:bookmarkEnd w:id="809"/>
      <w:r>
        <w:rPr>
          <w:rtl w:val="true"/>
        </w:rPr>
        <w:t>في أنّ ألفاظ العبادات أسامٍ للصحيحة أو الأعمّ</w:t>
      </w:r>
      <w:bookmarkEnd w:id="810"/>
    </w:p>
    <w:p>
      <w:pPr>
        <w:pStyle w:val="BookText"/>
        <w:rPr/>
      </w:pPr>
      <w:r>
        <w:rPr>
          <w:rFonts w:ascii="Amiri" w:hAnsi="Amiri" w:eastAsia="Amiri" w:cs="Amiri"/>
          <w:color w:val="111111"/>
          <w:sz w:val="28"/>
          <w:sz w:val="28"/>
          <w:szCs w:val="28"/>
          <w:rtl w:val="true"/>
          <w:lang w:bidi="ar-SA"/>
        </w:rPr>
        <w:t>فنقول بعد الاستمداد من الموفّق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أنّ ماهيّة الصلاة مثلًا مركّبة من أجزاء متعدّدة</w:t>
      </w:r>
      <w:r>
        <w:rPr>
          <w:rStyle w:val="FootnoteAnchor"/>
          <w:rtl w:val="true"/>
        </w:rPr>
        <w:footnoteReference w:id="659"/>
      </w:r>
      <w:r>
        <w:rPr>
          <w:rFonts w:ascii="Amiri" w:hAnsi="Amiri" w:eastAsia="Amiri" w:cs="Amiri"/>
          <w:color w:val="111111"/>
          <w:sz w:val="28"/>
          <w:sz w:val="28"/>
          <w:szCs w:val="28"/>
          <w:rtl w:val="true"/>
          <w:lang w:bidi="ar-SA"/>
        </w:rPr>
        <w:t>وأنّ لها شروطًا معدودة، كالطهارة والاستقبال وإباحة المكان وستر العورة وغيرها؛ وأنّ تلك الماهيّة إذا أتيت مع مراعاة تلك الشروط تكون</w:t>
      </w:r>
      <w:r>
        <w:rPr>
          <w:rStyle w:val="FootnoteAnchor"/>
          <w:rtl w:val="true"/>
        </w:rPr>
        <w:footnoteReference w:id="660"/>
      </w:r>
      <w:r>
        <w:rPr>
          <w:rFonts w:ascii="Amiri" w:hAnsi="Amiri" w:eastAsia="Amiri" w:cs="Amiri"/>
          <w:color w:val="111111"/>
          <w:sz w:val="28"/>
          <w:sz w:val="28"/>
          <w:szCs w:val="28"/>
          <w:rtl w:val="true"/>
          <w:lang w:bidi="ar-SA"/>
        </w:rPr>
        <w:t>متّصفة بوصف الصحّة؛ وأنّ متعلّق طلب الشارع وأوامره ليس إلّا المعنى الصحيح</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الكلام في أنّه كما كان</w:t>
      </w:r>
      <w:r>
        <w:rPr>
          <w:rStyle w:val="FootnoteAnchor"/>
          <w:rtl w:val="true"/>
        </w:rPr>
        <w:footnoteReference w:id="661"/>
      </w:r>
      <w:r>
        <w:rPr>
          <w:rFonts w:ascii="Amiri" w:hAnsi="Amiri" w:eastAsia="Amiri" w:cs="Amiri"/>
          <w:color w:val="111111"/>
          <w:sz w:val="28"/>
          <w:sz w:val="28"/>
          <w:szCs w:val="28"/>
          <w:rtl w:val="true"/>
          <w:lang w:bidi="ar-SA"/>
        </w:rPr>
        <w:t>متعلّقات الأوامر الشرعيّة المعاني الصحيحة، هل يكون</w:t>
      </w:r>
      <w:r>
        <w:rPr>
          <w:rStyle w:val="FootnoteAnchor"/>
          <w:rtl w:val="true"/>
        </w:rPr>
        <w:footnoteReference w:id="662"/>
      </w:r>
      <w:r>
        <w:rPr>
          <w:rFonts w:ascii="Amiri" w:hAnsi="Amiri" w:eastAsia="Amiri" w:cs="Amiri"/>
          <w:color w:val="111111"/>
          <w:sz w:val="28"/>
          <w:sz w:val="28"/>
          <w:szCs w:val="28"/>
          <w:rtl w:val="true"/>
          <w:lang w:bidi="ar-SA"/>
        </w:rPr>
        <w:t>المعاني الّتي عيّن الشارع تلك الألفاظ بإزائها بناءً على ثبوت الحقيقة الشرعيّة، أو استعمل فيها بناءً على العدم هي المعاني الصحيحة؟ لا بمعنى أنّه وضع اللفظ مثلًا بإزاء الماهيّة مع تلك الشرائط حتّى يكون</w:t>
      </w:r>
      <w:r>
        <w:rPr>
          <w:rStyle w:val="FootnoteAnchor"/>
          <w:rtl w:val="true"/>
        </w:rPr>
        <w:footnoteReference w:id="663"/>
      </w:r>
      <w:r>
        <w:rPr>
          <w:rFonts w:ascii="Amiri" w:hAnsi="Amiri" w:eastAsia="Amiri" w:cs="Amiri"/>
          <w:color w:val="111111"/>
          <w:sz w:val="28"/>
          <w:sz w:val="28"/>
          <w:szCs w:val="28"/>
          <w:rtl w:val="true"/>
          <w:lang w:bidi="ar-SA"/>
        </w:rPr>
        <w:t xml:space="preserve">الشرائط داخلة في الموضوع له وجزءً له، وإلّا يكون الكلّ أجزاءً ويلزم الانتقال من اللفظ إلى الشرائط أيضًا كالانتقال إلى الأجزاء، بل المراد أنّ الموضوع له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p>
    <w:p>
      <w:pPr>
        <w:pStyle w:val="BookText"/>
        <w:rPr/>
      </w:pPr>
      <w:r>
        <w:rPr>
          <w:rFonts w:ascii="Amiri" w:hAnsi="Amiri" w:eastAsia="Amiri" w:cs="Amiri"/>
          <w:color w:val="111111"/>
          <w:sz w:val="28"/>
          <w:sz w:val="28"/>
          <w:szCs w:val="28"/>
          <w:rtl w:val="true"/>
          <w:lang w:bidi="ar-SA"/>
        </w:rPr>
        <w:t>عند الشارع المعنى الّذي إذا أوجده</w:t>
      </w:r>
      <w:r>
        <w:rPr>
          <w:rStyle w:val="FootnoteAnchor"/>
          <w:rtl w:val="true"/>
        </w:rPr>
        <w:footnoteReference w:id="664"/>
      </w:r>
      <w:r>
        <w:rPr>
          <w:rFonts w:ascii="Amiri" w:hAnsi="Amiri" w:eastAsia="Amiri" w:cs="Amiri"/>
          <w:color w:val="111111"/>
          <w:sz w:val="28"/>
          <w:sz w:val="28"/>
          <w:szCs w:val="28"/>
          <w:rtl w:val="true"/>
          <w:lang w:bidi="ar-SA"/>
        </w:rPr>
        <w:t>المكلّف في الخارج يحصل له الامتثال ويحكم بأنّه صحيح، كما أنّك تعيّن اسمًا لمسمّى له أوصاف كثيرة من العلم والورع والكتابة والتجارة والخياطة وغيرها، بمعنى أنّ مسمّى هذا اللفظ في الخارج له تلك الصفات، لا بأن يندرج</w:t>
      </w:r>
      <w:r>
        <w:rPr>
          <w:rStyle w:val="FootnoteAnchor"/>
          <w:rtl w:val="true"/>
        </w:rPr>
        <w:footnoteReference w:id="665"/>
      </w:r>
      <w:r>
        <w:rPr>
          <w:rFonts w:ascii="Amiri" w:hAnsi="Amiri" w:eastAsia="Amiri" w:cs="Amiri"/>
          <w:color w:val="111111"/>
          <w:sz w:val="28"/>
          <w:sz w:val="28"/>
          <w:szCs w:val="28"/>
          <w:rtl w:val="true"/>
          <w:lang w:bidi="ar-SA"/>
        </w:rPr>
        <w:t>تلك الصفات تحت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بل الموضوع له أعمّ من الصحيح والفاسد بأن يكون الموضوع له تلك الماهيّة، فإن أتيت مع مراعاة تلك الشرائط تكون صحيحة، وإلّا ففاسدة، كما في المعاملات كالبيع مثلًا، فإنّه في اللغة موضوع لمعناه وجعل الشارع له شرائط، كمعلوميّة العوض والمعوّض وطهارتهما وكمال المتعاقدين وتراضي الطرفين وكونهما مقبوضين في الصرف غير متفاضلين مع التجانس ونحوها، فإن أُتي مع مراعاة تلك الشرائط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صحيح، وإلّا ففاسد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التقرير ظهر أنّ ما تقدّم من ابتناء إمكان التمسّك بأصالة العدم في رفع مشكوك الجزئيّة وعدمه على القولين غير صحيح؛ إذ التكليف بإيجاد الماهيّة قطعيّ وأنّها توقيفيّة</w:t>
      </w:r>
      <w:r>
        <w:rPr>
          <w:rStyle w:val="FootnoteAnchor"/>
          <w:rtl w:val="true"/>
        </w:rPr>
        <w:footnoteReference w:id="666"/>
      </w:r>
      <w:r>
        <w:rPr>
          <w:rFonts w:ascii="Amiri" w:hAnsi="Amiri" w:eastAsia="Amiri" w:cs="Amiri"/>
          <w:color w:val="111111"/>
          <w:sz w:val="28"/>
          <w:sz w:val="28"/>
          <w:szCs w:val="28"/>
          <w:rtl w:val="true"/>
          <w:lang w:bidi="ar-SA"/>
        </w:rPr>
        <w:t>، وهو مع عدم إتيان ذلك المشكوك فيه غير معلوم، فالبراءة إنّما تحصل بإتيان جميع ما له احتمال الجزئيّة؛ لوضوح أنّ مع عدم تحقّقها مشكوك فيه وإن قلنا بأنّها أسامٍ للأعمّ من الصحيحة</w:t>
      </w:r>
      <w:r>
        <w:rPr>
          <w:rStyle w:val="FootnoteAnchor"/>
          <w:rtl w:val="true"/>
        </w:rPr>
        <w:footnoteReference w:id="667"/>
      </w:r>
      <w:r>
        <w:rPr>
          <w:rFonts w:ascii="Amiri" w:hAnsi="Amiri" w:eastAsia="Amiri" w:cs="Amiri"/>
          <w:color w:val="111111"/>
          <w:sz w:val="28"/>
          <w:sz w:val="28"/>
          <w:szCs w:val="28"/>
          <w:rtl w:val="true"/>
          <w:lang w:bidi="ar-SA"/>
        </w:rPr>
        <w:t xml:space="preserve">، إذ التكليف بإيجاد </w:t>
      </w:r>
      <w:bookmarkStart w:id="811" w:name="pg16224_170647"/>
    </w:p>
    <w:p>
      <w:pPr>
        <w:pStyle w:val="BookText"/>
        <w:rPr/>
      </w:pPr>
      <w:bookmarkEnd w:id="811"/>
      <w:r>
        <w:rPr>
          <w:rFonts w:ascii="Amiri" w:hAnsi="Amiri" w:eastAsia="Amiri" w:cs="Amiri"/>
          <w:color w:val="111111"/>
          <w:sz w:val="28"/>
          <w:sz w:val="28"/>
          <w:szCs w:val="28"/>
          <w:rtl w:val="true"/>
          <w:lang w:bidi="ar-SA"/>
        </w:rPr>
        <w:t>الماهيّة ممّا اتّفق عليه الفريقان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عدم جواز التمسّك به على القول الصحيحيّ الجهلُ في تحقّق الماهيّة والموضوع له، وهو متحقّق على القول بالأعمّ أيضًا فيما نحن فيه، فالقول بجواز التمسّك به على أحدهما دون الآخر مع اشتراك الموجب بينهما من غير افتراق ممّا لا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الشكّ في تحقّق الماهيّة بناءً على القول بالأعمّ؛ لأنّ ماهيّة الصلاة مثلًا على هذا القول الأركان الخمسة أو الأربعة، فتحقّق الماهيّة بإتيانها معلومٌ بناءً على هذا القول والشكّ إنّما هو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وجه له،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يخرج الحال عن محلّ الكلام، إذ الفرض أنّ مشكوك الجزئيّة يمكن اندفاعه بالأصل بناءً على القول بالأعمّ دون غيره، والمشكوك فيه على التقدير المذكور لم يكن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تفرقتهم في الكتب الفقهيّة بين الأجزاء المنسيّة بعدم لزوم التدارك في بعض ولزومه في الآخر ينافي ذلك؛ لظهور أنّه على الاحتمال المذكور لا جزء سوى الأركان؛ واحتمال إطلاق الجزء في المقامين نظرًا إلى القول الآخر ممّا لا شبهة في بُعده، بل فساده، ضرورة قيام الفرق بين ستر العورة مثلًا والقراءة</w:t>
      </w:r>
      <w:r>
        <w:rPr>
          <w:rFonts w:eastAsia="Amiri" w:cs="Amiri" w:ascii="Amiri" w:hAnsi="Amiri"/>
          <w:color w:val="111111"/>
          <w:sz w:val="28"/>
          <w:szCs w:val="28"/>
          <w:rtl w:val="true"/>
          <w:lang w:bidi="ar-SA"/>
        </w:rPr>
        <w:t>.</w:t>
      </w:r>
    </w:p>
    <w:p>
      <w:pPr>
        <w:pStyle w:val="Heading6"/>
        <w:numPr>
          <w:ilvl w:val="5"/>
          <w:numId w:val="1"/>
        </w:numPr>
        <w:rPr/>
      </w:pPr>
      <w:bookmarkStart w:id="812" w:name="__RefHeading___Toc3734904_1280447820"/>
      <w:bookmarkStart w:id="813" w:name="_Toc318"/>
      <w:bookmarkEnd w:id="812"/>
      <w:r>
        <w:rPr>
          <w:rtl w:val="true"/>
        </w:rPr>
        <w:t>في دفع الشروط المشكوكة بالأصل على القول بالأعمّ دون الصحيح</w:t>
      </w:r>
      <w:bookmarkEnd w:id="81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فانحصرت الثمرة بين القولين في الشروط، فإنّه إذا شكّ في شرطيّة شيء مع انتفاء احتمال الجزئيّة بالنسبة إليه، يدفع ذلك بالأصل بناءً على القول بالأعمّ؛ لأنّ </w:t>
      </w:r>
    </w:p>
    <w:p>
      <w:pPr>
        <w:pStyle w:val="BookText"/>
        <w:rPr/>
      </w:pPr>
      <w:r>
        <w:rPr>
          <w:rFonts w:ascii="Amiri" w:hAnsi="Amiri" w:eastAsia="Amiri" w:cs="Amiri"/>
          <w:color w:val="111111"/>
          <w:sz w:val="28"/>
          <w:sz w:val="28"/>
          <w:szCs w:val="28"/>
          <w:rtl w:val="true"/>
          <w:lang w:bidi="ar-SA"/>
        </w:rPr>
        <w:t>الأمر قد تعلّق بإيجاد الماهيّة والموضوع له، وتحقّقها حينئذٍ مقطوع به، وإنّما الشكّ في اشتراطها بالمشكوك فيه، والأصل عدمه؛ إذ القدر المعلوم ثبوت التكليف بإيجاد الماهيّة، فقد حصل، وأمّا اشتراطها به، فغير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بخلافه على القول بالصحيح؛ لأنّ الموضوع له لمّا كان المعنى الصحيح وحصوله مع عدم ذلك المشكوك فيه غير معلوم؛ والبراءة إنّما يعلم بحصول العلم بصحّة المأتيّ به، وهو إنّما يحصل بعد الإتيان بجميع ما له احتمال الشرطيّة أيضًا؛ ولقائل أن يقول بمثل ذلك على القول بالأعمّ أيضًا، بناءً على ما مرّ من أنّ إرادة الماهيّة الصحيحة من الشارع ممّا لا شكّ فيه ولا ريب يعتريه، فلا نسلّم أنّ متعلّق الأوامر مطلق الماهيّة حتّى يحصل الامتثال بإيجادها، بل الماهيّة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عدم الإتيان بالمشكوك الشرطيّة يكون المعلوم ايجاد مطلق الماهيّة لا الصحيحة، والتكليف قد علم بالنسبة إلى الثاني لا الأوّل، فالبراءة إنّما تحصل بالعلم بكون المأتيّ به الماهيّة الصحيحة، وهو لا يتيسّر إلّا بالإتيان بجميع ما له احتمال الشرطيّة على هذا القول أيضًا، فلا يحصل الافتراق بين القولين بذلك أيضًا؛ وغاية ما في البين أنّ الصحّة على القول بالصحيح وصفٌ للموضوع له، وعلى الأعمّ وصف للمراد، وهو لا يوجب الافتراق المذكور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العبادة الصحيحة بناءً على القول بالأعمّ الماهيّة مع الشرائط المعلومة؛ لأنّ غاية ما هناك تحقّق العلم بأنّ مراد الشارع ليس الماهيّة بشرط لا، ولا من حيث هي هي المعبّر عنها بالماهيّة اللابشرطيّة، بل الماهيّة بشرط شيء، والعلاوة على ذلك غير مسلّمة؛ ويكفي في الامتثال للأوامر المتعلّقة بالماهيّة </w:t>
      </w:r>
      <w:bookmarkStart w:id="814" w:name="pg16224_170649"/>
    </w:p>
    <w:p>
      <w:pPr>
        <w:pStyle w:val="BookText"/>
        <w:rPr/>
      </w:pPr>
      <w:bookmarkEnd w:id="814"/>
      <w:r>
        <w:rPr>
          <w:rFonts w:ascii="Amiri" w:hAnsi="Amiri" w:eastAsia="Amiri" w:cs="Amiri"/>
          <w:color w:val="111111"/>
          <w:sz w:val="28"/>
          <w:sz w:val="28"/>
          <w:szCs w:val="28"/>
          <w:rtl w:val="true"/>
          <w:lang w:bidi="ar-SA"/>
        </w:rPr>
        <w:t>بشرط شيء إتيانها مع مراعاة الشروط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المعلوم بناءً على هذا القول إيجاد الماهيّة مع مراعاة الشروط في الجملة لمعلوميّة مسمّى الألفاظ ومدلولها؛ والبراءة تحصل بإيجادها مع الشروط الثابتة، وأمّا المشكوكة فلا حاجة إلى إتيانها لذلك؛ لأصالة عدم اشتراط الماهيّة بها وبراءة الذمّة عنها، بخلافه على القول بالصحيح، إذ التكليف بإيجاد مدلول اللفظ ممّا لا شبهة فيه؛ وهو مع عدم مراعاة الشروط ولو كانت مشكوكة غير معلوم؛ للجهل بمدلول اللفظ، فتحصيل البراءة يستدعي مراعاة الشروط المشكوكة أيضًا، فعلى هذا تكون الثمرة بين القولين إمكان إجراء الأصل في الشروط بناءً على القول بالأعمّ، وعدمه بناءً على القول بالصحيح، وأمّا في الأجزاء فعدم إجرائه مشترك بين القولين</w:t>
      </w:r>
      <w:r>
        <w:rPr>
          <w:rFonts w:eastAsia="Amiri" w:cs="Amiri" w:ascii="Amiri" w:hAnsi="Amiri"/>
          <w:color w:val="111111"/>
          <w:sz w:val="28"/>
          <w:szCs w:val="28"/>
          <w:rtl w:val="true"/>
          <w:lang w:bidi="ar-SA"/>
        </w:rPr>
        <w:t>.</w:t>
      </w:r>
    </w:p>
    <w:p>
      <w:pPr>
        <w:pStyle w:val="Heading6"/>
        <w:numPr>
          <w:ilvl w:val="5"/>
          <w:numId w:val="1"/>
        </w:numPr>
        <w:rPr/>
      </w:pPr>
      <w:bookmarkStart w:id="815" w:name="__RefHeading___Toc3734906_1280447820"/>
      <w:bookmarkStart w:id="816" w:name="_Toc319"/>
      <w:bookmarkEnd w:id="815"/>
      <w:r>
        <w:rPr>
          <w:rtl w:val="true"/>
        </w:rPr>
        <w:t>في دفع الأجزاء المشكوكة بالأصل على القول بالأعمّ وأنّ انتفاء أيّ جزء لا يوجب انتفاء الكلّ في العرف</w:t>
      </w:r>
      <w:bookmarkEnd w:id="816"/>
    </w:p>
    <w:p>
      <w:pPr>
        <w:pStyle w:val="BookText"/>
        <w:rPr/>
      </w:pPr>
      <w:r>
        <w:rPr>
          <w:rFonts w:ascii="Amiri" w:hAnsi="Amiri" w:eastAsia="Amiri" w:cs="Amiri"/>
          <w:color w:val="111111"/>
          <w:sz w:val="28"/>
          <w:sz w:val="28"/>
          <w:szCs w:val="28"/>
          <w:rtl w:val="true"/>
          <w:lang w:bidi="ar-SA"/>
        </w:rPr>
        <w:t>إيراد مقالة لازمة للتنبيه على ثمرة مهمّة</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الجزء على قسمين، قسمٌ ممّا ينتفي الكلّ بانتفائه في العرف والعادة، كالأركان المعروفة فيما نحن فيه والرأس والرقبة بالنسبة إلى زيد مثلًا؛ وقسمٌ لا يكون كذلك، كالذكر والركوع والسجود والطمأنينة ونحوهما في الأوّل، والأذن والأنف والإصبع في الثاني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جزئيّة شيء وعلم أنّه على فرض ثبوته من القسم </w:t>
      </w:r>
    </w:p>
    <w:p>
      <w:pPr>
        <w:pStyle w:val="BookText"/>
        <w:rPr/>
      </w:pPr>
      <w:r>
        <w:rPr>
          <w:rFonts w:ascii="Amiri" w:hAnsi="Amiri" w:eastAsia="Amiri" w:cs="Amiri"/>
          <w:color w:val="111111"/>
          <w:sz w:val="28"/>
          <w:sz w:val="28"/>
          <w:szCs w:val="28"/>
          <w:rtl w:val="true"/>
          <w:lang w:bidi="ar-SA"/>
        </w:rPr>
        <w:t>الثاني لا الأوّل، يجوز دفعه بالأصل على القول بالأعمّ، بخلافه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الأوامر المتوجّهة بالصلاة لمّا كان</w:t>
      </w:r>
      <w:r>
        <w:rPr>
          <w:rStyle w:val="FootnoteAnchor"/>
          <w:rtl w:val="true"/>
        </w:rPr>
        <w:footnoteReference w:id="668"/>
      </w:r>
      <w:r>
        <w:rPr>
          <w:rFonts w:ascii="Amiri" w:hAnsi="Amiri" w:eastAsia="Amiri" w:cs="Amiri"/>
          <w:color w:val="111111"/>
          <w:sz w:val="28"/>
          <w:sz w:val="28"/>
          <w:szCs w:val="28"/>
          <w:rtl w:val="true"/>
          <w:lang w:bidi="ar-SA"/>
        </w:rPr>
        <w:t>مقتضاها إيجاد الماهيّة، ينبغي أن يحصل الامتثال كلّما يصدق عليه أنّه أتى بالماهيّة؛ ولمّا كان القسم الأوّل ممّا تنتفي بانتفائه الماهيّة، لا معنى لإجراء الأصل فيه لثبوت التكليف بإيجادها؛ 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يكن انتفائه موجبًا لانتفاء الماهيّة ولم يعلم من الأدلّة المثبتة للتكليف أزيد من إيجادها، والمفروض أنّه يتحقّق ولو مع عدم الإتيان بالمشكوك الجزئيّة، فالتكليف بالنسبة إليه مشكوك فيه، فالأصل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المعلوم إيجاد الماهيّة على النحو المتقدّم، فكلّما يكون انتفاؤه في العرف موجبًا لانتفائها يجب إتيانه ولا معنى لدفعه بالأصل، وكلّما لم يكن كذلك ولم يثبت من الأدلّة وجوبه لم يجب إتيانه لأصالة البراءة عنه؛ فعلى هذا لا يرد جواز الإخلال متعمّدًا بمثل الذكر والطمأنينة ونحوهما ممّا لم يكن انتفاؤه موجبًا لانتفاء الماهيّة؛ لثبوت التكليف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يستفاد وجه ما ذكروه من أنّ الإخلال بشيء من الأركان مطلقًا ولو سهوًا مبطل؛ وأمّا غيرها من الأمور الواجبة، فلا يكون الإخلال به ساهيًا مبطلًا؛ لأنّ الأركان لمّا كان الإخلال بشيء منها موجبًا لانتفاء الماهيّة، فلم يحصل الامتثال بالنسبة إلى الأوامر الموجبة لإيجادها، فيجب الإتيان تحصيلًا لذلك</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غيرها فلمّا لم يكن انتفاؤه موجبًا لانتفائها ولم يثبت من الأدلّة الموجبة له إلّا </w:t>
      </w:r>
      <w:bookmarkStart w:id="817" w:name="pg16224_170651"/>
    </w:p>
    <w:p>
      <w:pPr>
        <w:pStyle w:val="BookText"/>
        <w:rPr/>
      </w:pPr>
      <w:bookmarkEnd w:id="817"/>
      <w:r>
        <w:rPr>
          <w:rFonts w:ascii="Amiri" w:hAnsi="Amiri" w:eastAsia="Amiri" w:cs="Amiri"/>
          <w:color w:val="111111"/>
          <w:sz w:val="28"/>
          <w:sz w:val="28"/>
          <w:szCs w:val="28"/>
          <w:rtl w:val="true"/>
          <w:lang w:bidi="ar-SA"/>
        </w:rPr>
        <w:t>وجوب إتيانه في أثناء الصلاة حال الشعور لا غير، يحصل الامتثال بالنسبة إلى الأوامر المتوجّهة إلى ماهيّة الصلاة بإتيان ما به يتحقّق، فيخرج عن عهدة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أقلّ ما يكفي لتحقّق الماهيّة هو الأركان</w:t>
      </w:r>
      <w:r>
        <w:rPr>
          <w:rStyle w:val="FootnoteAnchor"/>
          <w:rtl w:val="true"/>
        </w:rPr>
        <w:footnoteReference w:id="669"/>
      </w:r>
      <w:r>
        <w:rPr>
          <w:rFonts w:ascii="Amiri" w:hAnsi="Amiri" w:eastAsia="Amiri" w:cs="Amiri"/>
          <w:color w:val="111111"/>
          <w:sz w:val="28"/>
          <w:sz w:val="28"/>
          <w:szCs w:val="28"/>
          <w:rtl w:val="true"/>
          <w:lang w:bidi="ar-SA"/>
        </w:rPr>
        <w:t>المعهودة وأنّه لا يوجب أن لا يتّصف غيرها بوصف الجزئيّة، فيصحّ الحكم بدفع الجزء المشكوك فيه بالأصل بلفظ الجزئيّة ولو على القول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إنّما هو على القول بالأعمّ، وأمّا القول الآخر فلمّا كان الموضوع له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الصحيحة ولم يعلم عدم مدخليّة الجزء المشكوك فيه فيها والمفروض ثبوت التكليف بإيجاد الموضوع له وهي الماهيّة الصحيحة، فلا يحصل العلم بالامتثال إلّا بإتيان الجميع، فلا يمكن دفع المشكوك فيه بالأصل</w:t>
      </w:r>
      <w:r>
        <w:rPr>
          <w:rFonts w:eastAsia="Amiri" w:cs="Amiri" w:ascii="Amiri" w:hAnsi="Amiri"/>
          <w:color w:val="111111"/>
          <w:sz w:val="28"/>
          <w:szCs w:val="28"/>
          <w:rtl w:val="true"/>
          <w:lang w:bidi="ar-SA"/>
        </w:rPr>
        <w:t>.</w:t>
      </w:r>
    </w:p>
    <w:p>
      <w:pPr>
        <w:pStyle w:val="Heading6"/>
        <w:numPr>
          <w:ilvl w:val="5"/>
          <w:numId w:val="1"/>
        </w:numPr>
        <w:rPr/>
      </w:pPr>
      <w:bookmarkStart w:id="818" w:name="__RefHeading___Toc3734908_1280447820"/>
      <w:bookmarkStart w:id="819" w:name="_Toc320"/>
      <w:bookmarkEnd w:id="818"/>
      <w:r>
        <w:rPr>
          <w:rtl w:val="true"/>
        </w:rPr>
        <w:t>ذكر مقال لدفع سؤال</w:t>
      </w:r>
      <w:bookmarkEnd w:id="819"/>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بعدم انتفاء الماهيّة بانتفاء ذلك الشيء إمّا من قبل الشرع، أو من العرف، كما هو الظاهر من التقرير المذكور، وكلاهما غير صحيح؛ أمّا الأوّل فلعدم ثبوته كما لا يخفى، وأمّا الثاني فلأنّه حينئذٍ لا تكون ماهيّة العبادة توقيفيّة بناءً على القول بالأعمّ، وهم غير ملتزمين لذلك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بكلّ من الاحتمالين،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المراد من عدم الثبوت من الشرع إمّا عدمه صريحًا، أو الأعمّ؛ وانتفاء الأوّل وإن كان مسلّمًا، لكنّه غير مضرّ؛ لكفاية مطلق البيان والظهور من كلماته، وانتفاء الثاني غير مسلّم؛ لأنّ </w:t>
      </w:r>
      <w:bookmarkStart w:id="820" w:name="pg16224_170652"/>
    </w:p>
    <w:p>
      <w:pPr>
        <w:pStyle w:val="BookText"/>
        <w:rPr/>
      </w:pPr>
      <w:bookmarkEnd w:id="820"/>
      <w:r>
        <w:rPr>
          <w:rFonts w:ascii="Amiri" w:hAnsi="Amiri" w:eastAsia="Amiri" w:cs="Amiri"/>
          <w:color w:val="111111"/>
          <w:sz w:val="28"/>
          <w:sz w:val="28"/>
          <w:szCs w:val="28"/>
          <w:rtl w:val="true"/>
          <w:lang w:bidi="ar-SA"/>
        </w:rPr>
        <w:t>الظاهر من التفرقة بين الأجزاء بكون</w:t>
      </w:r>
      <w:r>
        <w:rPr>
          <w:rStyle w:val="FootnoteAnchor"/>
          <w:rtl w:val="true"/>
        </w:rPr>
        <w:footnoteReference w:id="670"/>
      </w:r>
      <w:r>
        <w:rPr>
          <w:rFonts w:ascii="Amiri" w:hAnsi="Amiri" w:eastAsia="Amiri" w:cs="Amiri"/>
          <w:color w:val="111111"/>
          <w:sz w:val="28"/>
          <w:sz w:val="28"/>
          <w:szCs w:val="28"/>
          <w:rtl w:val="true"/>
          <w:lang w:bidi="ar-SA"/>
        </w:rPr>
        <w:t>اختلال بعضها مطلقًا ولو سهوًا موجبًا لعدم الامتثال بخلاف الآخر، ولهذا صحّ الصلاة من الآتي بالأركان مع نسيان غيرها مطلقًا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من العرف ليس العامّ لينافي التوقيفيّة، بل عرف المتشرّعة؛ وعرفهم إنّما يعلم من الشارع للقطع بأنّ معاني المتشرّعة هي الّتي استعمل الشارع اللفظ فيها، وعلمهم بها إنّما هو باستعماله فيها وبيانه إيّاها، فالرجوع إلى عرفهم بهذا المعنى غير منافٍ للتوقيفيّة كما لا يخفى، فتأمّل</w:t>
      </w:r>
      <w:r>
        <w:rPr>
          <w:rFonts w:eastAsia="Amiri" w:cs="Amiri" w:ascii="Amiri" w:hAnsi="Amiri"/>
          <w:color w:val="111111"/>
          <w:sz w:val="28"/>
          <w:szCs w:val="28"/>
          <w:rtl w:val="true"/>
          <w:lang w:bidi="ar-SA"/>
        </w:rPr>
        <w:t>.</w:t>
      </w:r>
    </w:p>
    <w:p>
      <w:pPr>
        <w:pStyle w:val="Heading6"/>
        <w:numPr>
          <w:ilvl w:val="5"/>
          <w:numId w:val="1"/>
        </w:numPr>
        <w:rPr/>
      </w:pPr>
      <w:bookmarkStart w:id="821" w:name="__RefHeading___Toc3734910_1280447820"/>
      <w:bookmarkStart w:id="822" w:name="_Toc321"/>
      <w:bookmarkEnd w:id="821"/>
      <w:r>
        <w:rPr>
          <w:rtl w:val="true"/>
        </w:rPr>
        <w:t>في دفع الأمور المشكوكة بالأصل على القول بالصحيح أيضًا</w:t>
      </w:r>
      <w:bookmarkEnd w:id="822"/>
    </w:p>
    <w:p>
      <w:pPr>
        <w:pStyle w:val="BookText"/>
        <w:rPr/>
      </w:pPr>
      <w:r>
        <w:rPr>
          <w:rFonts w:ascii="Amiri" w:hAnsi="Amiri" w:eastAsia="Amiri" w:cs="Amiri"/>
          <w:color w:val="111111"/>
          <w:sz w:val="28"/>
          <w:sz w:val="28"/>
          <w:szCs w:val="28"/>
          <w:rtl w:val="true"/>
          <w:lang w:bidi="ar-SA"/>
        </w:rPr>
        <w:t>إعادة كلام لكشف مرام</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بين القولين في الحقيقة يؤول إلى أنّ تلك الألفاظ هل هي موضوعة لما يتأتّى به الامتثال، أو الأعمّ؟ فالقائلون بالصحيح على الأوّل والأعمّ على الثاني، فالقول بالصحيح مآله أنّ الشارع أوجب شيئًا معيّنًا وعيّن اللفظ بإزائه لينتقل المكلّف منه إليه كلّما رآه في كلامه، أو سمعه من المخاطب باصطلاحه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لو حصل العلم بالموضوع له يعلم أنّه ما يتأتّى به الامتثال،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حصل العلم بأنّه ما يتأتّى به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أنّه الموضوع له؛ والعلم بأنّه ممّا يحصل به الامتثال يحصل ببيان الشارع إمّا أنّه من ذلك، أو من الموضوع له، لكنّه معلوم الانتفاء في كثير من العبادات لو لم يدّع انتفاؤه في الكلّ، أو بصدور الأمر </w:t>
      </w:r>
    </w:p>
    <w:p>
      <w:pPr>
        <w:pStyle w:val="BookText"/>
        <w:rPr/>
      </w:pPr>
      <w:r>
        <w:rPr>
          <w:rFonts w:ascii="Amiri" w:hAnsi="Amiri" w:eastAsia="Amiri" w:cs="Amiri"/>
          <w:color w:val="111111"/>
          <w:sz w:val="28"/>
          <w:sz w:val="28"/>
          <w:szCs w:val="28"/>
          <w:rtl w:val="true"/>
          <w:lang w:bidi="ar-SA"/>
        </w:rPr>
        <w:t>منه إلى جزئيّات على كيفيّة</w:t>
      </w:r>
      <w:r>
        <w:rPr>
          <w:rStyle w:val="FootnoteAnchor"/>
          <w:rtl w:val="true"/>
        </w:rPr>
        <w:footnoteReference w:id="671"/>
      </w:r>
      <w:r>
        <w:rPr>
          <w:rFonts w:ascii="Amiri" w:hAnsi="Amiri" w:eastAsia="Amiri" w:cs="Amiri"/>
          <w:color w:val="111111"/>
          <w:sz w:val="28"/>
          <w:sz w:val="28"/>
          <w:szCs w:val="28"/>
          <w:rtl w:val="true"/>
          <w:lang w:bidi="ar-SA"/>
        </w:rPr>
        <w:t>مخصوصة وشرائط معدودة وعلم أنّها من أجزاء ذلك المأمور به، وهذا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عثرنا بعد التتبّع التامّ والتصفّح الكامل في كلامه وطريقته على صدور الأمر منه بجزئيّات على كيفيّة خاصّة ولم نعثر على غيرها من الشرائط والأجزاء، يظهر علينا أنّ ماهيّة ذلك المأمور به ملتئمة من تلك الأجزاء بتلك الشرائط لا غير، إذ لو كان غيرها لعثرنا عليه كغيره؛ ووجوده مع عدم النقل مع تحقّق دواعيه بالنسبة إلى الكلّ وتوفّر الحاجة لعموم البلوى في غاية البعد، فحينئذٍ نحكم بأنّ المتحصّل من تلك الأجزاء والشرائط هو ما يتأتّى به الامتثال، فهو الموضوع له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تحقّق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أحدٌ شرطيّة شيء من غير أن يقيم عليه ما يطمئن النفس إليه، يمكن دفعه بالأصل ولو على القول بالصحيح، بل لو ادّعى جزئيّة شيء أيضًا لما ذكر، فعلى هذا التحقيق يظهر لك عدم اختصاص دفع الأمور المشكوكة بالأصل بالقول بالأعمّ كما اشتهر في الألسنة، فعليك ثمّ عليك بالتأمّل التامّ فيما ذكر والخوض الكامل فيه وفي أطرافه، عسى أن يظهر لك حقيقة الحال ويفاض عليك صدق المقال؛ وإيّاك ثمّ إيّاك عن ملازمة ربقة التقليد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مقالة لا يوافقك عليها أحد؛ لأنّ القائلين بالصحيح إنّما </w:t>
      </w:r>
    </w:p>
    <w:p>
      <w:pPr>
        <w:pStyle w:val="BookText"/>
        <w:rPr/>
      </w:pPr>
      <w:r>
        <w:rPr>
          <w:rFonts w:ascii="Amiri" w:hAnsi="Amiri" w:eastAsia="Amiri" w:cs="Amiri"/>
          <w:color w:val="111111"/>
          <w:sz w:val="28"/>
          <w:sz w:val="28"/>
          <w:szCs w:val="28"/>
          <w:rtl w:val="true"/>
          <w:lang w:bidi="ar-SA"/>
        </w:rPr>
        <w:t>اختلفوا في إجراء الأصل وعدمه في الشرائط، وأمّا الأجزاء فقد اتّفقوا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حكاية قد اشتهرت في الألسنة وصدرت من جماعة من المتأخّرة</w:t>
      </w:r>
      <w:r>
        <w:rPr>
          <w:rStyle w:val="FootnoteAnchor"/>
          <w:rtl w:val="true"/>
        </w:rPr>
        <w:footnoteReference w:id="673"/>
      </w:r>
      <w:r>
        <w:rPr>
          <w:rFonts w:ascii="Amiri" w:hAnsi="Amiri" w:eastAsia="Amiri" w:cs="Amiri"/>
          <w:color w:val="111111"/>
          <w:sz w:val="28"/>
          <w:sz w:val="28"/>
          <w:szCs w:val="28"/>
          <w:rtl w:val="true"/>
          <w:lang w:bidi="ar-SA"/>
        </w:rPr>
        <w:t>، وهي مخالفة للواقع؛ ويدلّك على ذلك أنّ القول بالصحيح ممّا ذهب إليه أكثر الأصوليّين في كتبهم الأصوليّة</w:t>
      </w:r>
      <w:r>
        <w:rPr>
          <w:rStyle w:val="FootnoteAnchor"/>
          <w:rtl w:val="true"/>
        </w:rPr>
        <w:footnoteReference w:id="674"/>
      </w:r>
      <w:r>
        <w:rPr>
          <w:rFonts w:ascii="Amiri" w:hAnsi="Amiri" w:eastAsia="Amiri" w:cs="Amiri"/>
          <w:color w:val="111111"/>
          <w:sz w:val="28"/>
          <w:sz w:val="28"/>
          <w:szCs w:val="28"/>
          <w:rtl w:val="true"/>
          <w:lang w:bidi="ar-SA"/>
        </w:rPr>
        <w:t>، كما ننبّهك عليه إن شاء الله سبحانه، مع أنّ تتبّع كتبهم الفقهيّة يكشف عن عدم تفرقتهم في الدفع بالأصل</w:t>
      </w:r>
      <w:r>
        <w:rPr>
          <w:rStyle w:val="FootnoteAnchor"/>
          <w:rtl w:val="true"/>
        </w:rPr>
        <w:footnoteReference w:id="675"/>
      </w:r>
      <w:r>
        <w:rPr>
          <w:rFonts w:ascii="Amiri" w:hAnsi="Amiri" w:eastAsia="Amiri" w:cs="Amiri"/>
          <w:color w:val="111111"/>
          <w:sz w:val="28"/>
          <w:sz w:val="28"/>
          <w:szCs w:val="28"/>
          <w:rtl w:val="true"/>
          <w:lang w:bidi="ar-SA"/>
        </w:rPr>
        <w:t>بين الأجزاء والشرائط، إلّا من بعض من المتأخّرين، فلا يبعد دعوى اتّفاقهم على ذلك</w:t>
      </w:r>
      <w:r>
        <w:rPr>
          <w:rStyle w:val="FootnoteAnchor"/>
          <w:rtl w:val="true"/>
        </w:rPr>
        <w:footnoteReference w:id="676"/>
      </w:r>
      <w:r>
        <w:rPr>
          <w:rFonts w:ascii="Amiri" w:hAnsi="Amiri" w:eastAsia="Amiri" w:cs="Amiri"/>
          <w:color w:val="111111"/>
          <w:sz w:val="28"/>
          <w:sz w:val="28"/>
          <w:szCs w:val="28"/>
          <w:rtl w:val="true"/>
          <w:lang w:bidi="ar-SA"/>
        </w:rPr>
        <w:t>، مع أنّ الظاهر أنّ القول بالصحيح قول الأكثر لو لم نقل إنّه قول علمائنا كما ستقف عليه، والظاهر أنّ وجهه ما نبّهنا عليه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التقدير المذكور لا يصحّ الحكم بدفع الأمور المشكوكة بالأصل، إذ عليه يكون عدم اعتبارها مظنونًا، فلا تكون</w:t>
      </w:r>
      <w:r>
        <w:rPr>
          <w:rStyle w:val="FootnoteAnchor"/>
          <w:rtl w:val="true"/>
        </w:rPr>
        <w:footnoteReference w:id="677"/>
      </w:r>
      <w:r>
        <w:rPr>
          <w:rFonts w:ascii="Amiri" w:hAnsi="Amiri" w:eastAsia="Amiri" w:cs="Amiri"/>
          <w:color w:val="111111"/>
          <w:sz w:val="28"/>
          <w:sz w:val="28"/>
          <w:szCs w:val="28"/>
          <w:rtl w:val="true"/>
          <w:lang w:bidi="ar-SA"/>
        </w:rPr>
        <w:t>من الأمور المشكوكة</w:t>
      </w:r>
      <w:r>
        <w:rPr>
          <w:rFonts w:eastAsia="Amiri" w:cs="Amiri" w:ascii="Amiri" w:hAnsi="Amiri"/>
          <w:color w:val="111111"/>
          <w:sz w:val="28"/>
          <w:szCs w:val="28"/>
          <w:rtl w:val="true"/>
          <w:lang w:bidi="ar-SA"/>
        </w:rPr>
        <w:t xml:space="preserve">. </w:t>
      </w:r>
      <w:bookmarkStart w:id="823" w:name="pg16224_170655"/>
    </w:p>
    <w:p>
      <w:pPr>
        <w:pStyle w:val="BookText"/>
        <w:rPr/>
      </w:pPr>
      <w:bookmarkEnd w:id="823"/>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بداية الأمر متحقّق، وأمّا بعد التتبّع في كلمات الشارع والالتفات إلى مقتضى الأصل، فيؤول الحال إلى الوهم، فإطلاق الشكّ بالنظر إلى أوّل الأمر؛ وهذا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تيقّن الحدث وشكّ في الطهارة، أو بالعكس، مع أنّ الشكّ لا يجتمع مع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التعبير بالاحتمال يكفي في المقام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المحتملة يمكن دفعها بالأصل، مع أنّه لا اختصاص له بالقول بالصحيح؛ لتحقّقه ولو على القول بالأعمّ أيضًا؛ والجواب 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تحقّقت ذلك، ظهر لك أنّ دفع الأمور المحتملة مطلقًا بالأصل ليس من خواصّ القول بالأعمّ كما شاعت في الألسنة، فلا تظهر الثمرة لهذا الخلاف من هذه الجهة</w:t>
      </w:r>
      <w:r>
        <w:rPr>
          <w:rFonts w:eastAsia="Amiri" w:cs="Amiri" w:ascii="Amiri" w:hAnsi="Amiri"/>
          <w:color w:val="111111"/>
          <w:sz w:val="28"/>
          <w:szCs w:val="28"/>
          <w:rtl w:val="true"/>
          <w:lang w:bidi="ar-SA"/>
        </w:rPr>
        <w:t>.</w:t>
      </w:r>
    </w:p>
    <w:p>
      <w:pPr>
        <w:pStyle w:val="Heading6"/>
        <w:numPr>
          <w:ilvl w:val="5"/>
          <w:numId w:val="1"/>
        </w:numPr>
        <w:rPr/>
      </w:pPr>
      <w:bookmarkStart w:id="824" w:name="__RefHeading___Toc3734912_1280447820"/>
      <w:bookmarkStart w:id="825" w:name="_Toc322"/>
      <w:bookmarkEnd w:id="824"/>
      <w:r>
        <w:rPr>
          <w:rtl w:val="true"/>
        </w:rPr>
        <w:t>في الثمرة بين القول بالصحيح والأعمّ</w:t>
      </w:r>
      <w:bookmarkEnd w:id="825"/>
    </w:p>
    <w:p>
      <w:pPr>
        <w:pStyle w:val="BookText"/>
        <w:rPr/>
      </w:pPr>
      <w:r>
        <w:rPr>
          <w:rFonts w:ascii="Amiri" w:hAnsi="Amiri" w:eastAsia="Amiri" w:cs="Amiri"/>
          <w:color w:val="111111"/>
          <w:sz w:val="28"/>
          <w:sz w:val="28"/>
          <w:szCs w:val="28"/>
          <w:rtl w:val="true"/>
          <w:lang w:bidi="ar-SA"/>
        </w:rPr>
        <w:t>نعم، يمكن دعوى الثمرة من هذه الجهة في بداية الأمر بأنّه على القول بالأعمّ لو شكّ في شرطيّة شيء يمكن دفعه بالأصل في أوّل الأمر من غير افتقار إلى غاية الفحص، بخلافه على القول بالصحيح؛ ويظهر وجهه ممّا تقدّم مع تأمّل فيه أيضًا، بناءً على أنّ التمسّك بالأصول قبل الفحص عن المخصّص غير مجوّز، إلّا أن يبني الافتراق في مبلغ الفحص مع الكلام فيه أيضًا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تظهر الثمرة بين القولين في مقام النذر ونحوه، كما إذا نذر أحدٌ أن يصلّي صلاة الظهر مثلًا كلّ يوم جماعة، أو في الروضات المشرّفة، أو المساجد المتبرّكة؛ وصلّى، ثمّ انكشف عليه اختلال بعض الأمور الموجبة للفساد والإعادة، فعلى </w:t>
      </w:r>
      <w:bookmarkStart w:id="826" w:name="pg16224_170656"/>
    </w:p>
    <w:p>
      <w:pPr>
        <w:pStyle w:val="BookText"/>
        <w:rPr/>
      </w:pPr>
      <w:bookmarkEnd w:id="826"/>
      <w:r>
        <w:rPr>
          <w:rFonts w:ascii="Amiri" w:hAnsi="Amiri" w:eastAsia="Amiri" w:cs="Amiri"/>
          <w:color w:val="111111"/>
          <w:sz w:val="28"/>
          <w:sz w:val="28"/>
          <w:szCs w:val="28"/>
          <w:rtl w:val="true"/>
          <w:lang w:bidi="ar-SA"/>
        </w:rPr>
        <w:t>القول بالأعمّ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وفي بنذره، فيجوز له الصلاة ثانيًا من غير جماعة وفي غير تلك الأماكن العالية، بخلافه على القول الآخر</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7" w:name="__RefHeading___Toc3734914_1280447820"/>
      <w:bookmarkStart w:id="828" w:name="_Toc323"/>
      <w:bookmarkEnd w:id="827"/>
      <w:r>
        <w:rPr>
          <w:rtl w:val="true"/>
        </w:rPr>
        <w:t>إيراد مقال لإبراز مختار</w:t>
      </w:r>
      <w:bookmarkEnd w:id="828"/>
    </w:p>
    <w:p>
      <w:pPr>
        <w:pStyle w:val="BookText"/>
        <w:rPr/>
      </w:pPr>
      <w:r>
        <w:rPr>
          <w:rFonts w:ascii="Amiri" w:hAnsi="Amiri" w:eastAsia="Amiri" w:cs="Amiri"/>
          <w:color w:val="111111"/>
          <w:sz w:val="28"/>
          <w:sz w:val="28"/>
          <w:szCs w:val="28"/>
          <w:rtl w:val="true"/>
          <w:lang w:bidi="ar-SA"/>
        </w:rPr>
        <w:t>لمّا كانت عمدة الثمرة لهذا النزاع إمكان إجراء الأصل في الأمور المحتملة وعدمه، وتبيّن لك ممّا قرّرنا انتفاؤها من هذه الجهة وتحقّقه على القولين واشتراكهما فيه، فلا يهمّنا البحث عن تحقيق الحال في الطرفين وإبراز الحقّ في البين، لكن لمّا كانت الثمرة الّتي أشرنا إليها أيضًا لا تخلو عن اهتمام بشأنها كما لا يخفى، فلا بأس بصرف زمام الكلام إلى تحقيق الحال وإبراز المختار في الجانبين،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أنّها أسامٍ للصحيحة، لا الأعمّ</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3734916_1280447820"/>
      <w:bookmarkStart w:id="830" w:name="_Toc324"/>
      <w:bookmarkEnd w:id="829"/>
      <w:r>
        <w:rPr>
          <w:rtl w:val="true"/>
        </w:rPr>
        <w:t>في أدلّة القول بالصحيح</w:t>
      </w:r>
      <w:bookmarkEnd w:id="830"/>
    </w:p>
    <w:p>
      <w:pPr>
        <w:pStyle w:val="Heading6"/>
        <w:numPr>
          <w:ilvl w:val="5"/>
          <w:numId w:val="1"/>
        </w:numPr>
        <w:rPr/>
      </w:pPr>
      <w:bookmarkStart w:id="831" w:name="__RefHeading___Toc3734918_1280447820"/>
      <w:bookmarkStart w:id="832" w:name="_Toc325"/>
      <w:bookmarkEnd w:id="831"/>
      <w:r>
        <w:rPr>
          <w:rtl w:val="true"/>
        </w:rPr>
        <w:t>اشارة</w:t>
      </w:r>
      <w:bookmarkEnd w:id="832"/>
    </w:p>
    <w:p>
      <w:pPr>
        <w:pStyle w:val="BookText"/>
        <w:rPr/>
      </w:pPr>
      <w:r>
        <w:rPr>
          <w:rFonts w:ascii="IRNazanin" w:hAnsi="IRNazanin" w:eastAsia="IRNazanin"/>
          <w:color w:val="111111"/>
          <w:sz w:val="28"/>
          <w:sz w:val="28"/>
          <w:szCs w:val="28"/>
          <w:rtl w:val="true"/>
          <w:lang w:bidi="fa-IR"/>
        </w:rPr>
        <w:t>لنا وجوه</w:t>
      </w:r>
      <w:r>
        <w:rPr>
          <w:rFonts w:eastAsia="IRNazanin" w:cs="IRNazanin"/>
          <w:color w:val="111111"/>
          <w:sz w:val="28"/>
          <w:szCs w:val="28"/>
          <w:rtl w:val="true"/>
          <w:lang w:bidi="fa-IR"/>
        </w:rPr>
        <w:t>:</w:t>
      </w:r>
    </w:p>
    <w:p>
      <w:pPr>
        <w:pStyle w:val="Heading6"/>
        <w:numPr>
          <w:ilvl w:val="5"/>
          <w:numId w:val="1"/>
        </w:numPr>
        <w:rPr/>
      </w:pPr>
      <w:bookmarkStart w:id="833" w:name="__RefHeading___Toc3734920_1280447820"/>
      <w:bookmarkStart w:id="834" w:name="_Toc326"/>
      <w:bookmarkEnd w:id="833"/>
      <w:r>
        <w:rPr>
          <w:rtl w:val="true"/>
        </w:rPr>
        <w:t>الدليل الأوّل</w:t>
      </w:r>
      <w:bookmarkEnd w:id="83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إلى الوجدان شاهد صدق وقاضٍ بالحقّ على أنّ الداعي لوضع اصطلاح من أيّ شخص كان، إنّما دعاه إلى وضعه وتقريره بحيث يترتّب عليه ذلك الداعي، كما لا يخفى على من لاحظ الاصطلاحات المختلفة وتأمّل الصناعات المتفرّقة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فالداعي للنحويّ إلى وضع الفاعل والمفعول لمسمّاهما المعهود إنّما هو لتمييز أحوالهما المختلفة والانتقال</w:t>
      </w:r>
      <w:r>
        <w:rPr>
          <w:rStyle w:val="FootnoteAnchor"/>
          <w:rtl w:val="true"/>
        </w:rPr>
        <w:footnoteReference w:id="679"/>
      </w:r>
      <w:r>
        <w:rPr>
          <w:rFonts w:ascii="Amiri" w:hAnsi="Amiri" w:eastAsia="Amiri" w:cs="Amiri"/>
          <w:color w:val="111111"/>
          <w:sz w:val="28"/>
          <w:sz w:val="28"/>
          <w:szCs w:val="28"/>
          <w:rtl w:val="true"/>
          <w:lang w:bidi="ar-SA"/>
        </w:rPr>
        <w:t>منهما إلى مسمّاهما فيما إذا رآهما في كلامه، أو سمعهما من المخاطب باصطلاحه؛ وهذا إنّما يوجب وضعهما لما يترتّب منه ذلك، لا لشيء آخر وإن كانت المغايرة بالعموم والخصوص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أيّ اصطلاح كان كما لا يخفى على من سلك جادّة الإنصاف وعدل عن طريق الجور والاعتساف ونظر إلى الاصطلاحات المتداولة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الداعي لوضع مسالك العبادات وتقرير التكاليف والطاعات إنّما هو تحصيل الامتثال والاستعداد للمثوبات الإلهيّة والمواهب السبحانيّة والعطايا الجزيلة؛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الناس إلى ما به تنتظم أمورهم الدنيويّة والأخرويّة وتترقّى النفس من حضيض المراتب الهيولانيّة إلى معارج الكمالات الروحانيّة؛ وهذا إمّا يوجب وضع الألفاظ للمعاني الّتي يحصل منها تلك الغاية والمفاهيم الّتي يترتّب عليها تلك السعادة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أوجب إيجاد ماهيّات مخصوصة على كيفيّة مخصوصة بحيث لو أوجدها المكلّف في الخارج يكون ممتثلًا، والظاهر المتاخّم للقطع أنّه عيّن الألفاظ بإزاء تلك المعاني بالحيثيّة المذكورة لينتقل المكلّفون منها إليها ويحاورونها في مخاطباتهم ويبلّغ الشاهد منهم الغائب بواسطتها، والقول بالأعمّ مقتضاه أنّ الشارع وإن أوجب شيئًا معيّنًا يحصل بإيجاده الامتثال، لكنّه لم يعيّن اللفظ بإزاء </w:t>
      </w:r>
    </w:p>
    <w:p>
      <w:pPr>
        <w:pStyle w:val="BookText"/>
        <w:rPr/>
      </w:pPr>
      <w:r>
        <w:rPr>
          <w:rFonts w:ascii="Amiri" w:hAnsi="Amiri" w:eastAsia="Amiri" w:cs="Amiri"/>
          <w:color w:val="111111"/>
          <w:sz w:val="28"/>
          <w:sz w:val="28"/>
          <w:szCs w:val="28"/>
          <w:rtl w:val="true"/>
          <w:lang w:bidi="ar-SA"/>
        </w:rPr>
        <w:t>ذلك المعنى الّذي يتأتّى به الامتثال، بل بإزاء شيء آخر أعمّ منه، وهذا في الظاهر ممّا لا يرتضيه الراجع إلى الوجدان والمتأمّل في الدواعي الموجبة لوضع الاصطلاحات وإحداث الصناعات كما لا يخفى</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انحصار الفائدة في وضع تلك الماهيّات وإحداثها فيما ذكر؛ لجواز أن تكون فائدته مع ذلك تمييز المسلم عن غيره ومزيد شوكة الإسلام وتقويته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عمدة الفائدة ما ذكر، فإذا أوجدها المكلّف على الوجه الصحيح يترتّب عليها الفوائد بأسرها؛ وإن أوجدها لا على الوجه لا ينتفي منها مطلق الفائدة؛ لتحقّق الامتياز المذكور وتقوية الإسلام لكثرة آثاره؛ وإنّما المنتفي بعضها، فيجوز أن يكون وضع الألفاظ لمطلق الماهيّة نظرًا إلى مطلق الفائدة ويكون الأمر قرينة لإرادة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من هذا الكلام أنّ وضع الماهيّات واختراعها لترتّب الفوائد بأسرها، فنحن لا ننكره، فهو غير مضرّ؛ لوضوح أنّه يستدعي وضع الألفاظ للمعاني الصحيحة الّتي يترتّب منها تلك الفوائد بأجمعها كما لا يخفى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أنّ وضعها لا لذلك، بل لترتّب مطلق الفائدة، بمعنى أنّه لمّا كانت مراتب الفوائد مختلفة بالكمال والنقصان، يكون وضع أصل الماهيّات لأجل مطلق الفائدة، والأمر بالفرد الكامل لتحصيل</w:t>
      </w:r>
      <w:r>
        <w:rPr>
          <w:rStyle w:val="FootnoteAnchor"/>
          <w:rtl w:val="true"/>
        </w:rPr>
        <w:footnoteReference w:id="681"/>
      </w:r>
      <w:r>
        <w:rPr>
          <w:rFonts w:ascii="Amiri" w:hAnsi="Amiri" w:eastAsia="Amiri" w:cs="Amiri"/>
          <w:color w:val="111111"/>
          <w:sz w:val="28"/>
          <w:sz w:val="28"/>
          <w:szCs w:val="28"/>
          <w:rtl w:val="true"/>
          <w:lang w:bidi="ar-SA"/>
        </w:rPr>
        <w:t>الفائدة الكاملة،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الفائدة </w:t>
      </w:r>
      <w:bookmarkStart w:id="835" w:name="pg16224_170659"/>
    </w:p>
    <w:p>
      <w:pPr>
        <w:pStyle w:val="BookText"/>
        <w:rPr/>
      </w:pPr>
      <w:bookmarkEnd w:id="835"/>
      <w:r>
        <w:rPr>
          <w:rFonts w:ascii="Amiri" w:hAnsi="Amiri" w:eastAsia="Amiri" w:cs="Amiri"/>
          <w:color w:val="111111"/>
          <w:sz w:val="28"/>
          <w:sz w:val="28"/>
          <w:szCs w:val="28"/>
          <w:rtl w:val="true"/>
          <w:lang w:bidi="ar-SA"/>
        </w:rPr>
        <w:t>المقتضية لوضع اللفظ بإزاء مطلق الماهيّة</w:t>
      </w:r>
      <w:r>
        <w:rPr>
          <w:rStyle w:val="FootnoteAnchor"/>
          <w:rtl w:val="true"/>
        </w:rPr>
        <w:footnoteReference w:id="682"/>
      </w:r>
      <w:r>
        <w:rPr>
          <w:rFonts w:ascii="Amiri" w:hAnsi="Amiri" w:eastAsia="Amiri" w:cs="Amiri"/>
          <w:color w:val="111111"/>
          <w:sz w:val="28"/>
          <w:sz w:val="28"/>
          <w:szCs w:val="28"/>
          <w:rtl w:val="true"/>
          <w:lang w:bidi="ar-SA"/>
        </w:rPr>
        <w:t>إمّا حصولها مطلوب من المكلّف حال التعمّد والاختيار، أو في غيرها، أو غير مطلوب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فساده، إذ مقتضاه أنّ وضع اللفظ من الشارع بإزاء تلك الماهيّة لأجل تلك الفائدة، مع أنّه نهى عن إتيانها وأوعد عليه غاية الإيعاد ويعاقب عليه أشدّ العقاب؛ وهذا ممّا لا يصدر عن العاقل فضلًا عن الشارع الحكيم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تحصّيل</w:t>
      </w:r>
      <w:r>
        <w:rPr>
          <w:rStyle w:val="FootnoteAnchor"/>
          <w:rtl w:val="true"/>
        </w:rPr>
        <w:footnoteReference w:id="683"/>
      </w:r>
      <w:r>
        <w:rPr>
          <w:rFonts w:ascii="Amiri" w:hAnsi="Amiri" w:eastAsia="Amiri" w:cs="Amiri"/>
          <w:color w:val="111111"/>
          <w:sz w:val="28"/>
          <w:sz w:val="28"/>
          <w:szCs w:val="28"/>
          <w:rtl w:val="true"/>
          <w:lang w:bidi="ar-SA"/>
        </w:rPr>
        <w:t>تلك الفائدة لا يوجب العدول عمّا ذكرنا ووضع اللفظ بإزاء الأعمّ؛ لحصولها على تقدير الوضع للصحيحة؛ إذ المكلّف اشتغل بإيجاد الماهيّة</w:t>
      </w:r>
      <w:r>
        <w:rPr>
          <w:rStyle w:val="FootnoteAnchor"/>
          <w:rtl w:val="true"/>
        </w:rPr>
        <w:footnoteReference w:id="684"/>
      </w:r>
      <w:r>
        <w:rPr>
          <w:rFonts w:ascii="Amiri" w:hAnsi="Amiri" w:eastAsia="Amiri" w:cs="Amiri"/>
          <w:color w:val="111111"/>
          <w:sz w:val="28"/>
          <w:sz w:val="28"/>
          <w:szCs w:val="28"/>
          <w:rtl w:val="true"/>
          <w:lang w:bidi="ar-SA"/>
        </w:rPr>
        <w:t>على إرادة إيجاد الصحيحة، فيترتّب عليه جميع تلك الفوائد إلّا الامتثال بعد أن ظهر عليه إخلاله لبعض ما يوجب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تلك الفائدة الاشتغال بتلك الأفعال وإن كان اللفظ موضوعًا للمعنى الصحيح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يلزم اللغويّة؛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صدور فعل من فاعل لأجل غاية مع عدم كونها مطلوبة الحصول، أو كونها ممنوعًا عنها؟</w:t>
      </w:r>
      <w:r>
        <w:rPr>
          <w:rFonts w:eastAsia="Amiri" w:cs="Amiri" w:ascii="Amiri" w:hAnsi="Amiri"/>
          <w:color w:val="111111"/>
          <w:sz w:val="28"/>
          <w:szCs w:val="28"/>
          <w:rtl w:val="true"/>
          <w:lang w:bidi="ar-SA"/>
        </w:rPr>
        <w:t>!</w:t>
      </w:r>
    </w:p>
    <w:p>
      <w:pPr>
        <w:pStyle w:val="Heading6"/>
        <w:numPr>
          <w:ilvl w:val="5"/>
          <w:numId w:val="1"/>
        </w:numPr>
        <w:rPr/>
      </w:pPr>
      <w:bookmarkStart w:id="836" w:name="__RefHeading___Toc3734922_1280447820"/>
      <w:bookmarkStart w:id="837" w:name="_Toc327"/>
      <w:bookmarkEnd w:id="836"/>
      <w:r>
        <w:rPr>
          <w:rtl w:val="true"/>
        </w:rPr>
        <w:t>الدليل الثاني</w:t>
      </w:r>
      <w:bookmarkEnd w:id="83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إذا خُلّينا وأنفسنا يتبادر في أذهاننا ويستبق إلى أفهامنا بمجرّد استماع </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ورد في سياق الطلب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الّذي أوجبه الشارع وأمر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الّذي يحصل به الامتثال من دون شائبة وريبة؛ وأمّا غيره فغير متبادر؛ والتبادر من أمارات الحقيقة، وعدمه أو تبادر الغير من علامة المجاز، فثبت أنّها أسامٍ للصحيحة لا الأعمّ</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التبادر من هذه الألفاظ فيما إذا وردت في كلام المتشرّعة، أو الشارع، وعلى الثاني إمّا أن يكون المراد تبادر ما ذكر في زمان المتشرّعة كما هو الظاهر من التقرير، أو في زمان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والثاني لا ينفع، أمّا الأوّل فظاهر؛ لأنّ تبادر كلّ قوم أمارة الوضع عندهم، فاللازم أنّ الصلاة مثلًا عند المتشرّعة اسم للمعنى المذكور ولا يلزم منه أن يكون اسمًا له عند الشارع، وليس الكلام إلّا فيه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فكذلك،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التبادر على ما عرفت فيما سلف عبارة عن فهم المعنى من مجرّد اللفظ مع قطع النظر عن ملاحظة ما سواه؛ وهذا المعنى إذا تحقّق في لفظ بالنسبة إلى طائفة لا يختلف الحال فيه بالنسبة إليهم ولو لم يكن المتكلّم </w:t>
      </w:r>
    </w:p>
    <w:p>
      <w:pPr>
        <w:pStyle w:val="BookText"/>
        <w:rPr/>
      </w:pPr>
      <w:r>
        <w:rPr>
          <w:rFonts w:ascii="Amiri" w:hAnsi="Amiri" w:eastAsia="Amiri" w:cs="Amiri"/>
          <w:color w:val="111111"/>
          <w:sz w:val="28"/>
          <w:sz w:val="28"/>
          <w:szCs w:val="28"/>
          <w:rtl w:val="true"/>
          <w:lang w:bidi="ar-SA"/>
        </w:rPr>
        <w:t xml:space="preserve">من أهل ذلك الاصطلاح؛ لأنّ فهم المعنى من اللفظ حالة لو استقرّت لا يختلف باختلاف المتكلّمين وإنّما يختلف باختلاف السامعين؛ ولهذا لو استمع النحويّ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شخص كان ولو كان المتكلّم من المخاطب بعرف اللغة، ينصرف ذهنه إلى المعنى المعهود عنده مع علمه بعدم إرادته ذلك المعنى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يكون صدوره عمّن ليس من أهل الاصطلاح موجبًا لصرفه عن الحمل على المعنى المصطلح عند السامع، لا عن فهمه إيّاه؛ إذ الواجب حمل اللفظ الصادر من أيّ متكلّم كان على اصطلاحه إلّا مع القرينة، فعلى هذا لم يثبت من التبادر المذكور إلّا كون تلك الألفاظ أساميًا للمعاني الصحيحة عند المتشرّعة، لا عند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يثبت به المرام، لكنّه ممنوع؛ لأنّ تبادر المعنى المذكور بحكم الوجدان ليس إلّا التبادر في زمان المتشرّعة، وأمّا أنّ هذا التبادر كان ثابتًا في زمان الشارع فغير معلوم، وأنّى يتأتّى لنا 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التبادر عند المتشرّعة كافٍ لإثبات المرام؛ لما أسلفنا من القطع بأنّ المعاني عند المتشرّعة هي المعاني الّتي استعملها الشارع فيها، وأمّا كون استعماله على سبيل الحقيقة أو المجاز، فلا يهمّنا التعرّض له في هذا المبحث؛ إذ الثمرة المترتّبة على هذه المسألة غير موقوفة على القول بالحقيقة الشرعيّة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النزاع لتحقّقهما على القولين كما لا يخفى على من أجاد النظر في البين، بل على استعمال الشارع تلك الألفاظ في المعاني المغايرة للّغويّة، ففي الحقيقة مآل النزاع أنّ المعنى المستعمل فيه للشارع هل المعاني الّتي يحصل بها الامتثال المعبّرة </w:t>
      </w:r>
    </w:p>
    <w:p>
      <w:pPr>
        <w:pStyle w:val="BookText"/>
        <w:rPr/>
      </w:pPr>
      <w:r>
        <w:rPr>
          <w:rFonts w:ascii="Amiri" w:hAnsi="Amiri" w:eastAsia="Amiri" w:cs="Amiri"/>
          <w:color w:val="111111"/>
          <w:sz w:val="28"/>
          <w:sz w:val="28"/>
          <w:szCs w:val="28"/>
          <w:rtl w:val="true"/>
          <w:lang w:bidi="ar-SA"/>
        </w:rPr>
        <w:t>عنها على المشهور بالمعاني الصحيحة أو الأعمّ؟</w:t>
      </w:r>
    </w:p>
    <w:p>
      <w:pPr>
        <w:pStyle w:val="BookText"/>
        <w:rPr/>
      </w:pPr>
      <w:r>
        <w:rPr>
          <w:rFonts w:ascii="Amiri" w:hAnsi="Amiri" w:eastAsia="Amiri" w:cs="Amiri"/>
          <w:color w:val="111111"/>
          <w:sz w:val="28"/>
          <w:sz w:val="28"/>
          <w:szCs w:val="28"/>
          <w:rtl w:val="true"/>
          <w:lang w:bidi="ar-SA"/>
        </w:rPr>
        <w:t>ومنه يظهر أنّ عنوان المسألة على النحو المتقدّم من كون ألفاظ العبادات أساميًا للصحيحة أو الأعمّ؛ إنّما يلائم بظاهره القول بالحقيقة الشرعيّة كما لا يخفى؛ ولعلّه منهم وتبعهم القائلون بالعدم في هذا العنوان وعوّلوا على ما اختاروه في تلك المسألة قرينة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وجه آخر لِبُعد كون المعاني الشرعيّة أعمّ من الصحيحة والفاسدة بالنسبة إلى القول بعدم ثبوت الحقيقة الشرعيّة أشدّ ممّا سلف؛ لأنّ مقتضى القول بالأعمّ بناءً على ثبوت الحقيقة الشرعيّة أنّ الشارع وضع الألفاظ للمعنى الأعمّ أوّلًا، ثمّ استعمل في متعلّقات أوامره في المعنى الصحيح، فيكون مقتضاه بناءً على القول بالعدم أنّه استعملها أوّلًا في المعنى الأعمّ، ثمّ استعملها في متعلّقات أوامره في المعنى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متوقّفٌ على كون الخطابات الآمرة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كأقيموا الصلاة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مسبوقة بغيرها؛ ومن أين يتأتّى إثبات ذلك، أو يكون المنكر للحقيقة الشرعيّة قائلًا بالصحيح لا الأعمّ، أو يقول بثبوت الاستعمال تارةً في الصحيح وأخرى في الأعمّ؟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والاحتمالات المذكورة بأسرها لا تخلو من بعد، مضافًا إلى ما قدّمنا في الوجه الأوّل؛ على أنّه يمكن أن يقال بعد تسليم التغاير بين المعنى المستعمل فيه الشرعيّ ومعنى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تنتفي الثمرة مطلقًا؛ لأنّ ثمرة المسألة غير منحصرة في كلام الشارع؛ لتحقّقها في الأوقاف والأيمان والنذور ونحوها على ما ظهر لك ممّا أسلفنا، فيختلف الحال على تقدير كونها أساميًا للصحيحة أو الأعمّ عند المتشرّعة </w:t>
      </w:r>
      <w:bookmarkStart w:id="838" w:name="pg16224_170663"/>
    </w:p>
    <w:p>
      <w:pPr>
        <w:pStyle w:val="BookText"/>
        <w:rPr/>
      </w:pPr>
      <w:bookmarkEnd w:id="838"/>
      <w:r>
        <w:rPr>
          <w:rFonts w:ascii="Amiri" w:hAnsi="Amiri" w:eastAsia="Amiri" w:cs="Amiri"/>
          <w:color w:val="111111"/>
          <w:sz w:val="28"/>
          <w:sz w:val="28"/>
          <w:szCs w:val="28"/>
          <w:rtl w:val="true"/>
          <w:lang w:bidi="ar-SA"/>
        </w:rPr>
        <w:t>كما يظهر للمتأمّل ممّا مرّ، فتأمّل</w:t>
      </w:r>
      <w:r>
        <w:rPr>
          <w:rFonts w:eastAsia="Amiri" w:cs="Amiri" w:ascii="Amiri" w:hAnsi="Amiri"/>
          <w:color w:val="111111"/>
          <w:sz w:val="28"/>
          <w:szCs w:val="28"/>
          <w:rtl w:val="true"/>
          <w:lang w:bidi="ar-SA"/>
        </w:rPr>
        <w:t>.</w:t>
      </w:r>
    </w:p>
    <w:p>
      <w:pPr>
        <w:pStyle w:val="Heading6"/>
        <w:numPr>
          <w:ilvl w:val="5"/>
          <w:numId w:val="1"/>
        </w:numPr>
        <w:rPr/>
      </w:pPr>
      <w:bookmarkStart w:id="839" w:name="__RefHeading___Toc3734924_1280447820"/>
      <w:bookmarkStart w:id="840" w:name="_Toc328"/>
      <w:bookmarkEnd w:id="839"/>
      <w:r>
        <w:rPr>
          <w:rtl w:val="true"/>
        </w:rPr>
        <w:t>الدليل الثالث</w:t>
      </w:r>
      <w:bookmarkEnd w:id="840"/>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عن العاري عن بعض الشرائط والأجزاء</w:t>
      </w:r>
      <w:r>
        <w:rPr>
          <w:rStyle w:val="FootnoteAnchor"/>
          <w:rtl w:val="true"/>
        </w:rPr>
        <w:footnoteReference w:id="687"/>
      </w:r>
      <w:r>
        <w:rPr>
          <w:rFonts w:ascii="Amiri" w:hAnsi="Amiri" w:eastAsia="Amiri" w:cs="Amiri"/>
          <w:color w:val="111111"/>
          <w:sz w:val="28"/>
          <w:sz w:val="28"/>
          <w:szCs w:val="28"/>
          <w:rtl w:val="true"/>
          <w:lang w:bidi="ar-SA"/>
        </w:rPr>
        <w:t>، ويمكن تقريره من العرف والنصّ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شبهة في أنّ من اشتغل بأفعال الصلاة مستدبرًا للقبلة عند معلوميّتها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بصلاة، وكذا من ترك الطهارة وتكلّم في الأثناء بكلّ كلام واشتغل بكلّ فعل، وهكذا</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3734926_1280447820"/>
      <w:bookmarkStart w:id="842" w:name="_Toc329"/>
      <w:bookmarkEnd w:id="841"/>
      <w:r>
        <w:rPr>
          <w:rtl w:val="true"/>
        </w:rPr>
        <w:t>في النصوص الدالّة على صحّة السلب عن العاري عن بعض الشرائط والأجزاء</w:t>
      </w:r>
      <w:bookmarkEnd w:id="84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فكالنبويّ المذكور في المعتبر والمنتهى والتذكرة ونهاية الإحكام وغيرها</w:t>
      </w:r>
      <w:r>
        <w:rPr>
          <w:rStyle w:val="FootnoteAnchor"/>
          <w:rtl w:val="true"/>
        </w:rPr>
        <w:footnoteReference w:id="6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رجلًا دخل المسجد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في ناحية المسجد، فصلّى، ثمّ جاء فسلّم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ارجع فصلّ، فإنّك لم تصلّ، فرجع ثمّ جاء فقال له مثل تلك، فقال له الرجل في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 إلى الصلاة فاسبغ الوضوء، ثمّ استقبل القبلة، ثمّ اقرأ ما تيسّر معك من القرآن، ثمّ اركع حتّى تطمئنّ راكعًا، ثمّ ارفع رأسك حتّى تعدل قائمًا، ثمّ اسجد حتّى </w:t>
      </w:r>
    </w:p>
    <w:p>
      <w:pPr>
        <w:pStyle w:val="BookText"/>
        <w:rPr/>
      </w:pPr>
      <w:r>
        <w:rPr>
          <w:rFonts w:ascii="Amiri" w:hAnsi="Amiri" w:eastAsia="Amiri" w:cs="Amiri"/>
          <w:color w:val="111111"/>
          <w:sz w:val="28"/>
          <w:sz w:val="28"/>
          <w:szCs w:val="28"/>
          <w:rtl w:val="true"/>
          <w:lang w:bidi="ar-SA"/>
        </w:rPr>
        <w:t>تطمئنّ ساجدًا، ثمّ ارفع رأسك حتّى تستوي قائمًا، ثمّ افعل ذلك في صلواتك كلّها</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والصحاح المستفيضة عن زرارة،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الكافي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في المسجد إذ دخل رجل، فقام يصلّي، فلم يتمّ ركوعه ولا سجوده،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 كنقر الغراب، لئن مات هذا وهكذا صلاته ليموتنّ على غير ديني</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أي ليس بصلاة؛ ولا يتوهّم معارضته بإطلاق الصلاة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الأوّل محمول على إرادة الصلاة كما لا يخفى، والثاني معناه أنّه لو أتى صلاته النفس الأمري</w:t>
      </w:r>
      <w:r>
        <w:rPr>
          <w:rStyle w:val="FootnoteAnchor"/>
          <w:rtl w:val="true"/>
        </w:rPr>
        <w:footnoteReference w:id="691"/>
      </w:r>
      <w:r>
        <w:rPr>
          <w:rFonts w:ascii="Amiri" w:hAnsi="Amiri" w:eastAsia="Amiri" w:cs="Amiri"/>
          <w:color w:val="111111"/>
          <w:sz w:val="28"/>
          <w:sz w:val="28"/>
          <w:szCs w:val="28"/>
          <w:rtl w:val="true"/>
          <w:lang w:bidi="ar-SA"/>
        </w:rPr>
        <w:t>على هذه الهيئة؛ ولا يلزم منه إطلاق الصلاة على ما أتاه،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الفقيه من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إلى القبلة</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فيه أيضًا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منتصبًا،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يقم صلبه، فلا صلاة له</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التهذيب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فيه أيضًا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صلّى ولم يصلّ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 ذلك متعمّدًا فلا صلاة له</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وكصحيحة محمّد بن مسلم عن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الّذي لا يقرأ بفاتحة الكتاب في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له</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وكما رواه أبو بصير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رفعت رأسك من الركوع فأقم صلبك، فإنّه لا صلاة لمن لا يقيم</w:t>
      </w:r>
      <w:r>
        <w:rPr>
          <w:rStyle w:val="FootnoteAnchor"/>
          <w:rtl w:val="true"/>
        </w:rPr>
        <w:footnoteReference w:id="697"/>
      </w:r>
      <w:r>
        <w:rPr>
          <w:rFonts w:ascii="IRNazanin" w:hAnsi="IRNazanin" w:eastAsia="IRNazanin"/>
          <w:color w:val="111111"/>
          <w:sz w:val="28"/>
          <w:sz w:val="28"/>
          <w:szCs w:val="28"/>
          <w:rtl w:val="true"/>
          <w:lang w:bidi="fa-IR"/>
        </w:rPr>
        <w:t>صلبه</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غير وقت فلا صلاة له</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أبو بكر الحضرميّ بعد أن 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شيء حدّ الركوع والسجود؟ إلى </w:t>
      </w:r>
    </w:p>
    <w:p>
      <w:pPr>
        <w:pStyle w:val="BookText"/>
        <w:rPr/>
      </w:pP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يسبّح فلا صلاة له</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وأشباه ما ذكر من النصوص، فإنّها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اسمًا للأعمّ من الصحيحة والفاسدة؛ لما صحّ الحكم بانتفاء جنسها لانتفاء بعض الأمور المعتبرة فيها، والتالي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الملازمة؛ فلوضوح أنّ تحقّق جنسها حينئذٍ في ضمن 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والفاسدة؛ وغاية ما هناك انتفاء أحد الفردين، وهو غير مستلزم لانتفاء الأعمّ، ضرورة عدم استلزام انتفاء الأخصّ لانتفاء الأعمّ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بطلان التالي؛ فللنصوص المذكورة؛ وجه دلالتها عليه أنّ الظاهر من أئمّة اللغة والعربيّة اتّفاقهم 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المقام لنفي الجنس، وقد مرّ مرارًا وجوب حمل الألفاظ على المعاني الظاهرة عند انتفاء القرينة</w:t>
      </w:r>
      <w:r>
        <w:rPr>
          <w:rFonts w:eastAsia="Amiri" w:cs="Amiri" w:ascii="Amiri" w:hAnsi="Amiri"/>
          <w:color w:val="111111"/>
          <w:sz w:val="28"/>
          <w:szCs w:val="28"/>
          <w:rtl w:val="true"/>
          <w:lang w:bidi="ar-SA"/>
        </w:rPr>
        <w:t xml:space="preserve">. </w:t>
      </w:r>
      <w:bookmarkStart w:id="843" w:name="pg16224_170667"/>
    </w:p>
    <w:p>
      <w:pPr>
        <w:pStyle w:val="Heading5"/>
        <w:numPr>
          <w:ilvl w:val="4"/>
          <w:numId w:val="1"/>
        </w:numPr>
        <w:rPr/>
      </w:pPr>
      <w:bookmarkStart w:id="844" w:name="__RefHeading___Toc3734928_1280447820"/>
      <w:bookmarkStart w:id="845" w:name="_Toc330"/>
      <w:bookmarkEnd w:id="843"/>
      <w:bookmarkEnd w:id="844"/>
      <w:r>
        <w:rPr>
          <w:rtl w:val="true"/>
        </w:rPr>
        <w:t>إيرادات وتفصّيات</w:t>
      </w:r>
      <w:bookmarkEnd w:id="845"/>
    </w:p>
    <w:p>
      <w:pPr>
        <w:pStyle w:val="Heading6"/>
        <w:numPr>
          <w:ilvl w:val="5"/>
          <w:numId w:val="1"/>
        </w:numPr>
        <w:rPr/>
      </w:pPr>
      <w:bookmarkStart w:id="846" w:name="__RefHeading___Toc3734930_1280447820"/>
      <w:bookmarkStart w:id="847" w:name="_Toc331"/>
      <w:bookmarkEnd w:id="846"/>
      <w:r>
        <w:rPr>
          <w:rtl w:val="true"/>
        </w:rPr>
        <w:t>اشارة</w:t>
      </w:r>
      <w:bookmarkEnd w:id="847"/>
    </w:p>
    <w:p>
      <w:pPr>
        <w:pStyle w:val="BookText"/>
        <w:rPr/>
      </w:pPr>
      <w:r>
        <w:rPr>
          <w:rFonts w:ascii="Amiri" w:hAnsi="Amiri" w:eastAsia="Amiri" w:cs="Amiri"/>
          <w:color w:val="111111"/>
          <w:sz w:val="28"/>
          <w:sz w:val="28"/>
          <w:szCs w:val="28"/>
          <w:rtl w:val="true"/>
          <w:lang w:bidi="ar-SA"/>
        </w:rPr>
        <w:t>وقد يناقش في المقام بوجوه</w:t>
      </w:r>
      <w:r>
        <w:rPr>
          <w:rFonts w:eastAsia="Amiri" w:cs="Amiri" w:ascii="Amiri" w:hAnsi="Amiri"/>
          <w:color w:val="111111"/>
          <w:sz w:val="28"/>
          <w:szCs w:val="28"/>
          <w:rtl w:val="true"/>
          <w:lang w:bidi="ar-SA"/>
        </w:rPr>
        <w:t>:</w:t>
      </w:r>
    </w:p>
    <w:p>
      <w:pPr>
        <w:pStyle w:val="Heading6"/>
        <w:numPr>
          <w:ilvl w:val="5"/>
          <w:numId w:val="1"/>
        </w:numPr>
        <w:rPr/>
      </w:pPr>
      <w:bookmarkStart w:id="848" w:name="__RefHeading___Toc3734932_1280447820"/>
      <w:bookmarkStart w:id="849" w:name="_Toc332"/>
      <w:bookmarkEnd w:id="848"/>
      <w:r>
        <w:rPr>
          <w:rtl w:val="true"/>
        </w:rPr>
        <w:t>الإيراد الأوّل</w:t>
      </w:r>
      <w:bookmarkEnd w:id="84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مثل هذا التركيب قد وجد في كثيرٍ من الموارد،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 إلّا في المسجد</w:t>
      </w:r>
      <w:r>
        <w:rPr>
          <w:rFonts w:eastAsia="IRNazanin" w:cs="IRNazanin"/>
          <w:color w:val="111111"/>
          <w:sz w:val="28"/>
          <w:szCs w:val="28"/>
          <w:rtl w:val="true"/>
          <w:lang w:bidi="fa-IR"/>
        </w:rPr>
        <w:t>»</w:t>
      </w:r>
      <w:r>
        <w:rPr>
          <w:rStyle w:val="FootnoteAnchor"/>
          <w:rtl w:val="true"/>
        </w:rPr>
        <w:footnoteReference w:id="70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 ونحوهما، ولا يمكن إرادة الجنس هناك كما لا يخفى، فليكن ما نحن فيه أيضًا كذلك</w:t>
      </w:r>
      <w:r>
        <w:rPr>
          <w:rFonts w:eastAsia="Amiri" w:cs="Amiri" w:ascii="Amiri" w:hAnsi="Amiri"/>
          <w:color w:val="111111"/>
          <w:sz w:val="28"/>
          <w:szCs w:val="28"/>
          <w:rtl w:val="true"/>
          <w:lang w:bidi="ar-SA"/>
        </w:rPr>
        <w:t>.</w:t>
      </w:r>
    </w:p>
    <w:p>
      <w:pPr>
        <w:pStyle w:val="Heading6"/>
        <w:numPr>
          <w:ilvl w:val="5"/>
          <w:numId w:val="1"/>
        </w:numPr>
        <w:rPr/>
      </w:pPr>
      <w:bookmarkStart w:id="850" w:name="__RefHeading___Toc3734934_1280447820"/>
      <w:bookmarkStart w:id="851" w:name="_Toc333"/>
      <w:bookmarkEnd w:id="850"/>
      <w:r>
        <w:rPr>
          <w:rtl w:val="true"/>
        </w:rPr>
        <w:t>الإيراد الثاني</w:t>
      </w:r>
      <w:bookmarkEnd w:id="85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بها فيما نحن فيه يستلزم الدور؛ لأنّ نفي الجنس و</w:t>
      </w:r>
      <w:r>
        <w:rPr>
          <w:rStyle w:val="FootnoteAnchor"/>
          <w:rtl w:val="true"/>
        </w:rPr>
        <w:footnoteReference w:id="703"/>
      </w:r>
      <w:r>
        <w:rPr>
          <w:rFonts w:ascii="Amiri" w:hAnsi="Amiri" w:eastAsia="Amiri" w:cs="Amiri"/>
          <w:color w:val="111111"/>
          <w:sz w:val="28"/>
          <w:sz w:val="28"/>
          <w:szCs w:val="28"/>
          <w:rtl w:val="true"/>
          <w:lang w:bidi="ar-SA"/>
        </w:rPr>
        <w:t>الماهيّة يتوقّف على كون تلك الألفاظ أسامي</w:t>
      </w:r>
      <w:r>
        <w:rPr>
          <w:rStyle w:val="FootnoteAnchor"/>
          <w:rtl w:val="true"/>
        </w:rPr>
        <w:footnoteReference w:id="704"/>
      </w:r>
      <w:r>
        <w:rPr>
          <w:rFonts w:ascii="Amiri" w:hAnsi="Amiri" w:eastAsia="Amiri" w:cs="Amiri"/>
          <w:color w:val="111111"/>
          <w:sz w:val="28"/>
          <w:sz w:val="28"/>
          <w:szCs w:val="28"/>
          <w:rtl w:val="true"/>
          <w:lang w:bidi="ar-SA"/>
        </w:rPr>
        <w:t>للصحيحة؛ لوضوح أنّها لو كانت أسامي</w:t>
      </w:r>
      <w:r>
        <w:rPr>
          <w:rStyle w:val="FootnoteAnchor"/>
          <w:rtl w:val="true"/>
        </w:rPr>
        <w:footnoteReference w:id="705"/>
      </w:r>
      <w:r>
        <w:rPr>
          <w:rFonts w:ascii="Amiri" w:hAnsi="Amiri" w:eastAsia="Amiri" w:cs="Amiri"/>
          <w:color w:val="111111"/>
          <w:sz w:val="28"/>
          <w:sz w:val="28"/>
          <w:szCs w:val="28"/>
          <w:rtl w:val="true"/>
          <w:lang w:bidi="ar-SA"/>
        </w:rPr>
        <w:t>للأعمّ لما أمكن الحكم بانتفاء الماهيّة بمحض انتفاء بعض أفراده؛ والمفروض أنّ كون الألفاظ اسمًا</w:t>
      </w:r>
      <w:r>
        <w:rPr>
          <w:rStyle w:val="FootnoteAnchor"/>
          <w:rtl w:val="true"/>
        </w:rPr>
        <w:footnoteReference w:id="706"/>
      </w:r>
      <w:r>
        <w:rPr>
          <w:rFonts w:ascii="Amiri" w:hAnsi="Amiri" w:eastAsia="Amiri" w:cs="Amiri"/>
          <w:color w:val="111111"/>
          <w:sz w:val="28"/>
          <w:sz w:val="28"/>
          <w:szCs w:val="28"/>
          <w:rtl w:val="true"/>
          <w:lang w:bidi="ar-SA"/>
        </w:rPr>
        <w:t>للصحيحة متوقّفٌ على نفي الماهيّة؛ لكونه دليلًا عليه</w:t>
      </w:r>
      <w:r>
        <w:rPr>
          <w:rFonts w:eastAsia="Amiri" w:cs="Amiri" w:ascii="Amiri" w:hAnsi="Amiri"/>
          <w:color w:val="111111"/>
          <w:sz w:val="28"/>
          <w:szCs w:val="28"/>
          <w:rtl w:val="true"/>
          <w:lang w:bidi="ar-SA"/>
        </w:rPr>
        <w:t xml:space="preserve">. </w:t>
      </w:r>
      <w:bookmarkStart w:id="852" w:name="pg16224_170668"/>
    </w:p>
    <w:p>
      <w:pPr>
        <w:pStyle w:val="Heading6"/>
        <w:numPr>
          <w:ilvl w:val="5"/>
          <w:numId w:val="1"/>
        </w:numPr>
        <w:rPr/>
      </w:pPr>
      <w:bookmarkStart w:id="853" w:name="__RefHeading___Toc3734936_1280447820"/>
      <w:bookmarkStart w:id="854" w:name="_Toc334"/>
      <w:bookmarkEnd w:id="852"/>
      <w:bookmarkEnd w:id="853"/>
      <w:r>
        <w:rPr>
          <w:rtl w:val="true"/>
        </w:rPr>
        <w:t>الإيراد الثالث</w:t>
      </w:r>
      <w:bookmarkEnd w:id="854"/>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غاية ما يلزم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70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مثلًا على تقدير التسليم أنّ الصلاة الّتي لا طهور لها ولا فاتحة فيها ليست بصلاة، ولا يدلّ على أنّ الصلاة اسم للصحيحة كما لا يخفى، إذ لو حصل الطهور والفاتحة وشككنا أنّ السورة أيضًا واجبة مع الفاتحة أم لا، فهذا الحديث لا ينفي كون الصلاة الخالية عنها صلاة، ولا يدلّ على أنّ الصلاة اسم لما جامع جميع الشرائط</w:t>
      </w:r>
      <w:r>
        <w:rPr>
          <w:rFonts w:eastAsia="Amiri" w:cs="Amiri" w:ascii="Amiri" w:hAnsi="Amiri"/>
          <w:color w:val="111111"/>
          <w:sz w:val="28"/>
          <w:szCs w:val="28"/>
          <w:rtl w:val="true"/>
          <w:lang w:bidi="ar-SA"/>
        </w:rPr>
        <w:t>.</w:t>
      </w:r>
    </w:p>
    <w:p>
      <w:pPr>
        <w:pStyle w:val="Heading6"/>
        <w:numPr>
          <w:ilvl w:val="5"/>
          <w:numId w:val="1"/>
        </w:numPr>
        <w:rPr/>
      </w:pPr>
      <w:bookmarkStart w:id="855" w:name="__RefHeading___Toc3734938_1280447820"/>
      <w:bookmarkStart w:id="856" w:name="_Toc335"/>
      <w:bookmarkEnd w:id="855"/>
      <w:r>
        <w:rPr>
          <w:rtl w:val="true"/>
        </w:rPr>
        <w:t>الإيراد الرابع</w:t>
      </w:r>
      <w:bookmarkEnd w:id="856"/>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مثل هذه التراكيب لو كانت ظاهرًا في نفي الحقيقة والماهيّة، لكان نفى الإجمال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لظهوره فيما ذكر؛ والتالي باطل؛ لأنّ أحدًا من العلماء لم يتمسّك في مباحث المجمل لنفي الإجمال في أمثال هذه التراكيب بذلك،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ظاهرة في نفي الصفة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لم يحتمل أحدٌ من العلماء الفحول في ذلك المبحث دلالتها على نفي الحقيقة إلّا على تقدير كون تلك الألفاظ أسامي للصحيحة، فإثبات كونها أسامي لها بهذه التراكيب يوجب الدور</w:t>
      </w:r>
      <w:r>
        <w:rPr>
          <w:rFonts w:eastAsia="Amiri" w:cs="Amiri" w:ascii="Amiri" w:hAnsi="Amiri"/>
          <w:color w:val="111111"/>
          <w:sz w:val="28"/>
          <w:szCs w:val="28"/>
          <w:rtl w:val="true"/>
          <w:lang w:bidi="ar-SA"/>
        </w:rPr>
        <w:t xml:space="preserve">. </w:t>
      </w:r>
      <w:bookmarkStart w:id="857" w:name="pg16224_170669"/>
    </w:p>
    <w:p>
      <w:pPr>
        <w:pStyle w:val="Heading6"/>
        <w:numPr>
          <w:ilvl w:val="5"/>
          <w:numId w:val="1"/>
        </w:numPr>
        <w:rPr/>
      </w:pPr>
      <w:bookmarkStart w:id="858" w:name="__RefHeading___Toc3734940_1280447820"/>
      <w:bookmarkStart w:id="859" w:name="_Toc336"/>
      <w:bookmarkEnd w:id="857"/>
      <w:bookmarkEnd w:id="858"/>
      <w:r>
        <w:rPr>
          <w:rtl w:val="true"/>
        </w:rPr>
        <w:t>الجواب عن الإيراد الأوّل</w:t>
      </w:r>
      <w:bookmarkEnd w:id="859"/>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لوضوح أنّ صرف اللفظ عن الظاهر لموجب لا يوجب صرفه عنه مع انتفائه كما لا يخفى، إلّا أن يدّعى ثبوت الوضع الشرعيّ أو العرفيّ لمثل هذه التراكيب في انتفاء الصفة لا الذات، لكنّه ممنوع وعلى من ادّعاه الإثبات، وللمانع يكفي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المناقشة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آخر، أمّا على القول بركنيّة النيّة فظاهر؛ لأنّ انتفاء النيّة حينئذٍ مستلزم لانتفاء أصل العمل كما لا يخفى، وأمّا على القول بالعدم؛ فلأنّ التمسّك به لكون هذا التركيب لنفي الصفة لا لنفي الذات إنّما يمكن</w:t>
      </w:r>
      <w:r>
        <w:rPr>
          <w:rStyle w:val="FootnoteAnchor"/>
          <w:rtl w:val="true"/>
        </w:rPr>
        <w:footnoteReference w:id="709"/>
      </w:r>
      <w:r>
        <w:rPr>
          <w:rFonts w:ascii="Amiri" w:hAnsi="Amiri" w:eastAsia="Amiri" w:cs="Amiri"/>
          <w:color w:val="111111"/>
          <w:sz w:val="28"/>
          <w:sz w:val="28"/>
          <w:szCs w:val="28"/>
          <w:rtl w:val="true"/>
          <w:lang w:bidi="ar-SA"/>
        </w:rPr>
        <w:t>إذا لم تكن الألفاظ أساميًا للصحيحة، إذ على تقديره تنتفي الذات بانتفاء النيّة؛ لأنّ استلزامه لانتفاء الصحّة ممّا لا كلام فيه، فالتمسّك به لذلك يوجب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في المسألة إمّا هو في الألفاظ الّتي تطلق على العبادات، كالصلاة والصوم ونحوهما، لا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أنّ معناه ما يفهم منه لغة وعرفًا، ومعلوم أنّ انتفاء النيّة لا يوجب انتفاؤه قطعًا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منصب الشارع إنّما هو لبيان الأعمال الشرعيّة المترتّب عليها الآثار المعهودة، فعلى هذا يندرج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في محلّ النزاع؛ على أنّه ربّما يمكن دعوى التعيّن في ذلك؛ إذ لا شبهة في تقدير الصحّة بناءً على </w:t>
      </w:r>
      <w:bookmarkStart w:id="860" w:name="pg16224_170670"/>
    </w:p>
    <w:p>
      <w:pPr>
        <w:pStyle w:val="BookText"/>
        <w:rPr/>
      </w:pPr>
      <w:bookmarkEnd w:id="860"/>
      <w:r>
        <w:rPr>
          <w:rFonts w:ascii="Amiri" w:hAnsi="Amiri" w:eastAsia="Amiri" w:cs="Amiri"/>
          <w:color w:val="111111"/>
          <w:sz w:val="28"/>
          <w:sz w:val="28"/>
          <w:szCs w:val="28"/>
          <w:rtl w:val="true"/>
          <w:lang w:bidi="ar-SA"/>
        </w:rPr>
        <w:t>القول بالأعمّ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صحيحًا إلّا بالنيّة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والعمل اللغويّ والعرفيّ لم يتوقّف صحّته عليها</w:t>
      </w:r>
      <w:r>
        <w:rPr>
          <w:rFonts w:eastAsia="Amiri" w:cs="Amiri" w:ascii="Amiri" w:hAnsi="Amiri"/>
          <w:color w:val="111111"/>
          <w:sz w:val="28"/>
          <w:szCs w:val="28"/>
          <w:rtl w:val="true"/>
          <w:lang w:bidi="ar-SA"/>
        </w:rPr>
        <w:t>.</w:t>
      </w:r>
    </w:p>
    <w:p>
      <w:pPr>
        <w:pStyle w:val="Heading6"/>
        <w:numPr>
          <w:ilvl w:val="5"/>
          <w:numId w:val="1"/>
        </w:numPr>
        <w:rPr/>
      </w:pPr>
      <w:bookmarkStart w:id="861" w:name="__RefHeading___Toc3734942_1280447820"/>
      <w:bookmarkStart w:id="862" w:name="_Toc337"/>
      <w:bookmarkEnd w:id="861"/>
      <w:r>
        <w:rPr>
          <w:rtl w:val="true"/>
        </w:rPr>
        <w:t>الجواب عن الإيراد الثاني</w:t>
      </w:r>
      <w:bookmarkEnd w:id="862"/>
    </w:p>
    <w:p>
      <w:pPr>
        <w:pStyle w:val="BookText"/>
        <w:rPr/>
      </w:pPr>
      <w:r>
        <w:rPr>
          <w:rFonts w:ascii="Amiri" w:hAnsi="Amiri" w:eastAsia="Amiri" w:cs="Amiri"/>
          <w:color w:val="111111"/>
          <w:sz w:val="28"/>
          <w:sz w:val="28"/>
          <w:szCs w:val="28"/>
          <w:rtl w:val="true"/>
          <w:lang w:bidi="ar-SA"/>
        </w:rPr>
        <w:t>وأمّا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مغالطة لعدم تكرّر الأوسط؛ لأنّ النفي من الشارع وإن كان متوقّفًا على كونه اسمًا للصحيح، لكن كون الاسم للصحيح غير متوقّف له على نفي الماهيّة كما لا يخفى، بل متوقّف على وضعه</w:t>
      </w:r>
      <w:r>
        <w:rPr>
          <w:rStyle w:val="FootnoteAnchor"/>
          <w:rtl w:val="true"/>
        </w:rPr>
        <w:footnoteReference w:id="710"/>
      </w:r>
      <w:r>
        <w:rPr>
          <w:rFonts w:ascii="Amiri" w:hAnsi="Amiri" w:eastAsia="Amiri" w:cs="Amiri"/>
          <w:color w:val="111111"/>
          <w:sz w:val="28"/>
          <w:sz w:val="28"/>
          <w:szCs w:val="28"/>
          <w:rtl w:val="true"/>
          <w:lang w:bidi="ar-SA"/>
        </w:rPr>
        <w:t>للصحيح، وعلمنا بكون الاسم للصحيح متوقّف على حكم الشارع بانتفاء الماهيّة بانتفائها، لا على حكمنا بانتفائها بذلك كما لا يخفى، فلا دور</w:t>
      </w:r>
      <w:r>
        <w:rPr>
          <w:rFonts w:eastAsia="Amiri" w:cs="Amiri" w:ascii="Amiri" w:hAnsi="Amiri"/>
          <w:color w:val="111111"/>
          <w:sz w:val="28"/>
          <w:szCs w:val="28"/>
          <w:rtl w:val="true"/>
          <w:lang w:bidi="ar-SA"/>
        </w:rPr>
        <w:t>.</w:t>
      </w:r>
    </w:p>
    <w:p>
      <w:pPr>
        <w:pStyle w:val="Heading6"/>
        <w:numPr>
          <w:ilvl w:val="5"/>
          <w:numId w:val="1"/>
        </w:numPr>
        <w:rPr/>
      </w:pPr>
      <w:bookmarkStart w:id="863" w:name="__RefHeading___Toc3734944_1280447820"/>
      <w:bookmarkStart w:id="864" w:name="_Toc338"/>
      <w:bookmarkEnd w:id="863"/>
      <w:r>
        <w:rPr>
          <w:rtl w:val="true"/>
        </w:rPr>
        <w:t>الجواب عن الإيراد الثالث</w:t>
      </w:r>
      <w:bookmarkEnd w:id="864"/>
    </w:p>
    <w:p>
      <w:pPr>
        <w:pStyle w:val="BookText"/>
        <w:rPr/>
      </w:pPr>
      <w:r>
        <w:rPr>
          <w:rFonts w:ascii="IRNazanin" w:hAnsi="IRNazanin" w:eastAsia="IRNazanin"/>
          <w:color w:val="111111"/>
          <w:sz w:val="28"/>
          <w:sz w:val="28"/>
          <w:szCs w:val="28"/>
          <w:rtl w:val="true"/>
          <w:lang w:bidi="fa-IR"/>
        </w:rPr>
        <w:t>وأمّا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لأنّهم مفترقون</w:t>
      </w:r>
      <w:r>
        <w:rPr>
          <w:rStyle w:val="FootnoteAnchor"/>
          <w:rtl w:val="true"/>
        </w:rPr>
        <w:footnoteReference w:id="711"/>
      </w:r>
      <w:r>
        <w:rPr>
          <w:rFonts w:ascii="Amiri" w:hAnsi="Amiri" w:eastAsia="Amiri" w:cs="Amiri"/>
          <w:color w:val="111111"/>
          <w:sz w:val="28"/>
          <w:sz w:val="28"/>
          <w:szCs w:val="28"/>
          <w:rtl w:val="true"/>
          <w:lang w:bidi="ar-SA"/>
        </w:rPr>
        <w:t>على فرقتين، فرقة منهم قالوا بكونها أساميًا للأعمّ ويلزمهم عدم إمكان الحكم بانتفاء الماهيّة؛ لانتفاء شيء من الشرائط المعتبرة كائنًا ما كان، فإذا ثبت الحكم بانتفائها لانتفاء بعض الشروط مثلًا، علم أن لا تكون الصلاة اسمًا للأعمّ ويلزم منه أن تكون اسمًا للصحيح لانتفاء الفارق</w:t>
      </w:r>
      <w:r>
        <w:rPr>
          <w:rFonts w:eastAsia="Amiri" w:cs="Amiri" w:ascii="Amiri" w:hAnsi="Amiri"/>
          <w:color w:val="111111"/>
          <w:sz w:val="28"/>
          <w:szCs w:val="28"/>
          <w:rtl w:val="true"/>
          <w:lang w:bidi="ar-SA"/>
        </w:rPr>
        <w:t>.</w:t>
      </w:r>
    </w:p>
    <w:p>
      <w:pPr>
        <w:pStyle w:val="Heading6"/>
        <w:numPr>
          <w:ilvl w:val="5"/>
          <w:numId w:val="1"/>
        </w:numPr>
        <w:rPr/>
      </w:pPr>
      <w:bookmarkStart w:id="865" w:name="__RefHeading___Toc3734946_1280447820"/>
      <w:bookmarkStart w:id="866" w:name="_Toc339"/>
      <w:bookmarkEnd w:id="865"/>
      <w:r>
        <w:rPr>
          <w:rtl w:val="true"/>
        </w:rPr>
        <w:t>الجواب عن الإيراد الرابع</w:t>
      </w:r>
      <w:bookmarkEnd w:id="86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مخالف للواقع؛ وإن شئت أن يظهر عليك حقيقة الحال </w:t>
      </w:r>
      <w:bookmarkStart w:id="867" w:name="pg16224_170671"/>
    </w:p>
    <w:p>
      <w:pPr>
        <w:pStyle w:val="BookText"/>
        <w:rPr/>
      </w:pPr>
      <w:bookmarkEnd w:id="867"/>
      <w:r>
        <w:rPr>
          <w:rFonts w:ascii="Amiri" w:hAnsi="Amiri" w:eastAsia="Amiri" w:cs="Amiri"/>
          <w:color w:val="111111"/>
          <w:sz w:val="28"/>
          <w:sz w:val="28"/>
          <w:szCs w:val="28"/>
          <w:rtl w:val="true"/>
          <w:lang w:bidi="ar-SA"/>
        </w:rPr>
        <w:t xml:space="preserve">فاستمع لما أتلو عليك،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 جوابًا عنه ودليلًا على أنّ منشأه عدم الرجوع إلى كتب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شاهدًا لما ادّعيناه فيما سلف من كون القول بالصحيح قول أكثر علماء الأصول ومختار أعظم العلماء الفحول</w:t>
      </w:r>
      <w:r>
        <w:rPr>
          <w:rFonts w:eastAsia="Amiri" w:cs="Amiri" w:ascii="Amiri" w:hAnsi="Amiri"/>
          <w:color w:val="111111"/>
          <w:sz w:val="28"/>
          <w:szCs w:val="28"/>
          <w:rtl w:val="true"/>
          <w:lang w:bidi="ar-SA"/>
        </w:rPr>
        <w:t>.</w:t>
      </w:r>
    </w:p>
    <w:p>
      <w:pPr>
        <w:pStyle w:val="Heading5"/>
        <w:numPr>
          <w:ilvl w:val="4"/>
          <w:numId w:val="1"/>
        </w:numPr>
        <w:rPr/>
      </w:pPr>
      <w:bookmarkStart w:id="868" w:name="__RefHeading___Toc3734948_1280447820"/>
      <w:bookmarkStart w:id="869" w:name="_Toc340"/>
      <w:bookmarkEnd w:id="868"/>
      <w:r>
        <w:rPr>
          <w:rtl w:val="true"/>
        </w:rPr>
        <w:t>نقل الكلمات الواصلة إلينا من علمائنا الدالّة على أنّ الألفاظ عندهم أسامٍ للصحيحة</w:t>
      </w:r>
      <w:bookmarkEnd w:id="869"/>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أحلّه الله تعالى دار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اختلف الناس في الأفعال المنفية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الكتاب</w:t>
      </w:r>
      <w:r>
        <w:rPr>
          <w:rFonts w:eastAsia="IRNazanin" w:cs="IRNazanin"/>
          <w:color w:val="111111"/>
          <w:sz w:val="28"/>
          <w:szCs w:val="28"/>
          <w:rtl w:val="true"/>
          <w:lang w:bidi="fa-IR"/>
        </w:rPr>
        <w:t>»</w:t>
      </w:r>
      <w:r>
        <w:rPr>
          <w:rStyle w:val="FootnoteAnchor"/>
          <w:rtl w:val="true"/>
        </w:rPr>
        <w:footnoteReference w:id="71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بنيّة</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صيام لمن لا يبيّت الصيام من الليل</w:t>
      </w:r>
      <w:r>
        <w:rPr>
          <w:rFonts w:eastAsia="Amiri" w:cs="Amiri" w:ascii="Amiri" w:hAnsi="Amiri"/>
          <w:color w:val="111111"/>
          <w:sz w:val="28"/>
          <w:szCs w:val="28"/>
          <w:rtl w:val="true"/>
          <w:lang w:bidi="ar-SA"/>
        </w:rPr>
        <w:t>»</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 الكلّ إلى نفي الإجمال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القاضي أبو بكر</w:t>
      </w:r>
      <w:r>
        <w:rPr>
          <w:rStyle w:val="FootnoteAnchor"/>
          <w:rtl w:val="true"/>
        </w:rPr>
        <w:footnoteReference w:id="716"/>
      </w:r>
      <w:r>
        <w:rPr>
          <w:rFonts w:ascii="Amiri" w:hAnsi="Amiri" w:eastAsia="Amiri" w:cs="Amiri"/>
          <w:color w:val="111111"/>
          <w:sz w:val="28"/>
          <w:sz w:val="28"/>
          <w:szCs w:val="28"/>
          <w:rtl w:val="true"/>
          <w:lang w:bidi="ar-SA"/>
        </w:rPr>
        <w:t>وأبو عبد الله البصريّ</w:t>
      </w:r>
      <w:r>
        <w:rPr>
          <w:rStyle w:val="FootnoteAnchor"/>
          <w:rtl w:val="true"/>
        </w:rPr>
        <w:footnoteReference w:id="7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مجمل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وقسّم أبو الحسين الفعل الّذي دخل عليه حرف النفي إذا لم يكن على صفة من الصفات إلى قسمين،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انتفاء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لم تحصل تلك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ممكنًا، بأن يكون النفي داخلًا على اسم شرعيّ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على معانيه الشرعيّة، فظاهره يقتضي نفي الصلاة </w:t>
      </w:r>
    </w:p>
    <w:p>
      <w:pPr>
        <w:pStyle w:val="BookText"/>
        <w:rPr/>
      </w:pPr>
      <w:r>
        <w:rPr>
          <w:rFonts w:ascii="IRNazanin" w:hAnsi="IRNazanin" w:eastAsia="IRNazanin"/>
          <w:color w:val="111111"/>
          <w:sz w:val="28"/>
          <w:sz w:val="28"/>
          <w:szCs w:val="28"/>
          <w:rtl w:val="true"/>
          <w:lang w:bidi="fa-IR"/>
        </w:rPr>
        <w:t>الشرعيّة، وهو يقتضي كون القراءة شرطًا، ويقتضي أن يكون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 وصفنا لها بأنّها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ويكون المراد أنّها على صورة الصلاة؛ وكذا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صيام لمن لا يبيّت الصيام من الليل</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أبو عبد الله البصريّ</w:t>
      </w:r>
      <w:r>
        <w:rPr>
          <w:rStyle w:val="FootnoteAnchor"/>
          <w:rtl w:val="true"/>
        </w:rPr>
        <w:footnoteReference w:id="719"/>
      </w:r>
      <w:r>
        <w:rPr>
          <w:rFonts w:ascii="Amiri" w:hAnsi="Amiri" w:eastAsia="Amiri" w:cs="Amiri"/>
          <w:color w:val="111111"/>
          <w:sz w:val="28"/>
          <w:sz w:val="28"/>
          <w:szCs w:val="28"/>
          <w:rtl w:val="true"/>
          <w:lang w:bidi="ar-SA"/>
        </w:rPr>
        <w:t>على الإجمال بأنّ الصلاة والعمل موجودان، فلا يمكن صرف النفي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لا إجمال هنا، أمّا فيما له مسمّى شرعيّ؛ فلإمكان نفيه، والشرع أخبر عن انتفاء ذلك المسمّى عند انتفاء الوصف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صلاة فاسدة، فدلّ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المسمّى مع الفساد، والفاسد ليس صلاة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بين الدليلين أن يصرف</w:t>
      </w:r>
      <w:r>
        <w:rPr>
          <w:rStyle w:val="FootnoteAnchor"/>
          <w:rtl w:val="true"/>
        </w:rPr>
        <w:footnoteReference w:id="720"/>
      </w:r>
      <w:r>
        <w:rPr>
          <w:rFonts w:ascii="Amiri" w:hAnsi="Amiri" w:eastAsia="Amiri" w:cs="Amiri"/>
          <w:color w:val="111111"/>
          <w:sz w:val="28"/>
          <w:sz w:val="28"/>
          <w:szCs w:val="28"/>
          <w:rtl w:val="true"/>
          <w:lang w:bidi="ar-SA"/>
        </w:rPr>
        <w:t>ذلك إلى المسمّى الشرعيّ وهذا إلى المسمّى اللغويّ، وليس بجيّد؛ إذ ليس المراد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فاسدة، أي دعاء فاسد، ولا غيره من المحامل اللغويّة، بل الوجه قول أبي الحسين أنّه مجاز</w:t>
      </w:r>
      <w:r>
        <w:rPr>
          <w:rStyle w:val="FootnoteAnchor"/>
          <w:rtl w:val="true"/>
        </w:rPr>
        <w:footnoteReference w:id="721"/>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مواضع من هذا الكلام دلالة على كون اللفظ اسمًا للصحيح عند الشارع، </w:t>
      </w:r>
    </w:p>
    <w:p>
      <w:pPr>
        <w:pStyle w:val="BookText"/>
        <w:rPr/>
      </w:pPr>
      <w:r>
        <w:rPr>
          <w:rFonts w:ascii="Amiri" w:hAnsi="Amiri" w:eastAsia="Amiri" w:cs="Amiri"/>
          <w:color w:val="111111"/>
          <w:sz w:val="28"/>
          <w:sz w:val="28"/>
          <w:szCs w:val="28"/>
          <w:rtl w:val="true"/>
          <w:lang w:bidi="ar-SA"/>
        </w:rPr>
        <w:t>إذ لو كان اسمًا للأعمّ بأن يكون المعنى الشرعيّ أعمّ من الصحيح والفاسد لما انتفى مطلق المعنى الشرعيّ بانتفاء ذلك الشيء، بل القسم الواحد منه، ويكون إطلاق الصلاة على الفاسدة حقيقة أيضًا 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النفي إذا دخل على المصدر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عبد الله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مجمل،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الفعل شرعيًّا انتفى عند انتفاء الصفة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لأنّ الشرع أخبرنا بانتفاء ذلك</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القول البصريّ مبنيٌّ على القول بالأعمّ، والقول الثاني على القول بالصحيح؛ ونسبة الأوّل إلى البصريّ فقط والثاني إلى قوم يرشدك إلى ما ادّعيناه من كون هذا القول قول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كتاب الأيمان من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العقد ينصرف إلى العقد الصحيح دون الفاسد ولا يبرّ بالبيع الفاسد لو حلف ليبيعنّ، وكذا غيره من العقود</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العدّة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قومٌ إلى أنّ 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صلاة إلّا بطهور</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w:t>
      </w:r>
      <w:r>
        <w:rPr>
          <w:rStyle w:val="FootnoteAnchor"/>
          <w:rtl w:val="true"/>
        </w:rPr>
        <w:footnoteReference w:id="726"/>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عبد الجبّار بن أحمد إلى أنّ ذلك ليس بمجمل،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حرف النفي يدخل في الفعل الشرعيّ، وما يقع منه مع عدم الشرط المذكور لا يكون شرعيًّا،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شرعيّة إلّا بطهور، فإذا وقعت من غير طهور لم تكن شرعيّة، فحرف النفي قد استعمل في الحقيقة فيما 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ذكرناه أنّما يصحّ إذا دخل حرف النفي في الفعل الشرعيّ، وأمّا</w:t>
      </w:r>
      <w:r>
        <w:rPr>
          <w:rStyle w:val="FootnoteAnchor"/>
          <w:rtl w:val="true"/>
        </w:rPr>
        <w:footnoteReference w:id="727"/>
      </w:r>
      <w:r>
        <w:rPr>
          <w:rFonts w:ascii="IRNazanin" w:hAnsi="IRNazanin" w:eastAsia="IRNazanin"/>
          <w:color w:val="111111"/>
          <w:sz w:val="28"/>
          <w:sz w:val="28"/>
          <w:szCs w:val="28"/>
          <w:rtl w:val="true"/>
          <w:lang w:bidi="fa-IR"/>
        </w:rPr>
        <w:t>إذا دخل</w:t>
      </w:r>
      <w:r>
        <w:rPr>
          <w:rStyle w:val="FootnoteAnchor"/>
          <w:rtl w:val="true"/>
        </w:rPr>
        <w:footnoteReference w:id="728"/>
      </w:r>
      <w:r>
        <w:rPr>
          <w:rFonts w:ascii="Amiri" w:hAnsi="Amiri" w:eastAsia="Amiri" w:cs="Amiri"/>
          <w:color w:val="111111"/>
          <w:sz w:val="28"/>
          <w:sz w:val="28"/>
          <w:szCs w:val="28"/>
          <w:rtl w:val="true"/>
          <w:lang w:bidi="ar-SA"/>
        </w:rPr>
        <w:t>فيما عداه فيجب أن ينظر فيه، فإن دخل على الحكم في الحقيقة قضي بنفيه إذا لم يحصل الشرط المذكور، وإن دخل على الفعل والمعلوم من حاله أن</w:t>
      </w:r>
      <w:r>
        <w:rPr>
          <w:rStyle w:val="FootnoteAnchor"/>
          <w:rtl w:val="true"/>
        </w:rPr>
        <w:footnoteReference w:id="729"/>
      </w:r>
      <w:r>
        <w:rPr>
          <w:rFonts w:ascii="Amiri" w:hAnsi="Amiri" w:eastAsia="Amiri" w:cs="Amiri"/>
          <w:color w:val="111111"/>
          <w:sz w:val="28"/>
          <w:sz w:val="28"/>
          <w:szCs w:val="28"/>
          <w:rtl w:val="true"/>
          <w:lang w:bidi="ar-SA"/>
        </w:rPr>
        <w:t>يقع فعلًا صحيحًا مع عدم الشرط، فيجب أن يكون مجازًا</w:t>
      </w:r>
      <w:r>
        <w:rPr>
          <w:rStyle w:val="FootnoteAnchor"/>
          <w:rtl w:val="true"/>
        </w:rPr>
        <w:footnoteReference w:id="730"/>
      </w:r>
      <w:r>
        <w:rPr>
          <w:rFonts w:ascii="Amiri" w:hAnsi="Amiri" w:eastAsia="Amiri" w:cs="Amiri"/>
          <w:color w:val="111111"/>
          <w:sz w:val="28"/>
          <w:sz w:val="28"/>
          <w:szCs w:val="28"/>
          <w:rtl w:val="true"/>
          <w:lang w:bidi="ar-SA"/>
        </w:rPr>
        <w:t>على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ألفاظه بعينها ذكرها في كتاب العمد، وهي قريبة إلى الصواب</w:t>
      </w:r>
      <w:r>
        <w:rPr>
          <w:rStyle w:val="FootnoteAnchor"/>
          <w:rtl w:val="true"/>
        </w:rPr>
        <w:footnoteReference w:id="731"/>
      </w:r>
      <w:r>
        <w:rPr>
          <w:rFonts w:ascii="Amiri" w:hAnsi="Amiri" w:eastAsia="Amiri" w:cs="Amiri"/>
          <w:color w:val="111111"/>
          <w:sz w:val="28"/>
          <w:sz w:val="28"/>
          <w:szCs w:val="28"/>
          <w:rtl w:val="true"/>
          <w:lang w:bidi="ar-SA"/>
        </w:rPr>
        <w:t>، انتهى كلامه أعلى الله مقامه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الأجلّ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ألحقه قوم </w:t>
      </w:r>
    </w:p>
    <w:p>
      <w:pPr>
        <w:pStyle w:val="BookText"/>
        <w:rPr/>
      </w:pPr>
      <w:r>
        <w:rPr>
          <w:rFonts w:ascii="IRNazanin" w:hAnsi="IRNazanin" w:eastAsia="IRNazanin"/>
          <w:color w:val="111111"/>
          <w:sz w:val="28"/>
          <w:sz w:val="28"/>
          <w:szCs w:val="28"/>
          <w:rtl w:val="true"/>
          <w:lang w:bidi="fa-IR"/>
        </w:rPr>
        <w:t xml:space="preserve">بالمجمل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يكن مع التأمّل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نكاح إلّا بوليّ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واعتمدوا على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أن تكون نافية</w:t>
      </w:r>
      <w:r>
        <w:rPr>
          <w:rStyle w:val="FootnoteAnchor"/>
          <w:rtl w:val="true"/>
        </w:rPr>
        <w:footnoteReference w:id="732"/>
      </w:r>
      <w:r>
        <w:rPr>
          <w:rFonts w:ascii="IRNazanin" w:hAnsi="IRNazanin" w:eastAsia="IRNazanin"/>
          <w:color w:val="111111"/>
          <w:sz w:val="28"/>
          <w:sz w:val="28"/>
          <w:szCs w:val="28"/>
          <w:rtl w:val="true"/>
          <w:lang w:bidi="fa-IR"/>
        </w:rPr>
        <w:t>للفعل مع علمنا بوقوعه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نقوله في هذا الباب أنّ الّذي ذكروه وإن كان في اللفظ نفيًا، فهو في القصد</w:t>
      </w:r>
      <w:r>
        <w:rPr>
          <w:rStyle w:val="FootnoteAnchor"/>
          <w:rtl w:val="true"/>
        </w:rPr>
        <w:footnoteReference w:id="734"/>
      </w:r>
      <w:r>
        <w:rPr>
          <w:rFonts w:ascii="Amiri" w:hAnsi="Amiri" w:eastAsia="Amiri" w:cs="Amiri"/>
          <w:color w:val="111111"/>
          <w:sz w:val="28"/>
          <w:sz w:val="28"/>
          <w:szCs w:val="28"/>
          <w:rtl w:val="true"/>
          <w:lang w:bidi="ar-SA"/>
        </w:rPr>
        <w:t xml:space="preserve">والغرض إثبات؛ والغرض أنّ من شرط الصلاة الطهور وقراءة 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والوليّ في النكاح</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فجعلوا النفي منبئًا عن الإثبات، وهو أوكد منه؛ لأنّ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شرط الصلاة الطهور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والنفي واقع في الحقيقة على الصلاة؛ لأنّ فقد الطهارة ينفي كونها صلاة مشروعة، وكذلك الظاهر في كلّ ما دخل عليه هذا الحرف من نكاح و</w:t>
      </w:r>
      <w:r>
        <w:rPr>
          <w:rStyle w:val="FootnoteAnchor"/>
          <w:rtl w:val="true"/>
        </w:rPr>
        <w:footnoteReference w:id="736"/>
      </w:r>
      <w:r>
        <w:rPr>
          <w:rFonts w:ascii="Amiri" w:hAnsi="Amiri" w:eastAsia="Amiri" w:cs="Amiri"/>
          <w:color w:val="111111"/>
          <w:sz w:val="28"/>
          <w:sz w:val="28"/>
          <w:szCs w:val="28"/>
          <w:rtl w:val="true"/>
          <w:lang w:bidi="ar-SA"/>
        </w:rPr>
        <w:t>صيام و</w:t>
      </w:r>
      <w:r>
        <w:rPr>
          <w:rStyle w:val="FootnoteAnchor"/>
          <w:rtl w:val="true"/>
        </w:rPr>
        <w:footnoteReference w:id="737"/>
      </w:r>
      <w:r>
        <w:rPr>
          <w:rFonts w:ascii="Amiri" w:hAnsi="Amiri" w:eastAsia="Amiri" w:cs="Amiri"/>
          <w:color w:val="111111"/>
          <w:sz w:val="28"/>
          <w:sz w:val="28"/>
          <w:szCs w:val="28"/>
          <w:rtl w:val="true"/>
          <w:lang w:bidi="ar-SA"/>
        </w:rPr>
        <w:t>غير ذلك</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السيّد السند عميد الدين</w:t>
      </w:r>
      <w:r>
        <w:rPr>
          <w:rStyle w:val="FootnoteAnchor"/>
          <w:rtl w:val="true"/>
        </w:rPr>
        <w:footnoteReference w:id="739"/>
      </w:r>
      <w:r>
        <w:rPr>
          <w:rFonts w:ascii="Amiri" w:hAnsi="Amiri" w:eastAsia="Amiri" w:cs="Amiri"/>
          <w:color w:val="111111"/>
          <w:sz w:val="28"/>
          <w:sz w:val="28"/>
          <w:szCs w:val="28"/>
          <w:rtl w:val="true"/>
          <w:lang w:bidi="ar-SA"/>
        </w:rPr>
        <w:t>في شرحه على تهذيب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الناس على أنّه لا إجمال في اللفظ الدالّ على نفي الفعل،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صيام لمن لم يبيّت الصيام من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لأبي عبدالله البصريّ؛ لأنّ اللفظ إن كان له مسمّى 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كالصلاة 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على ظاهره من نفي مسمّاه عند انتفاء الأمور المذكورة، كالقراءة في الصلاة وتبيت</w:t>
      </w:r>
      <w:r>
        <w:rPr>
          <w:rStyle w:val="FootnoteAnchor"/>
          <w:rtl w:val="true"/>
        </w:rPr>
        <w:footnoteReference w:id="740"/>
      </w:r>
      <w:r>
        <w:rPr>
          <w:rFonts w:ascii="Amiri" w:hAnsi="Amiri" w:eastAsia="Amiri" w:cs="Amiri"/>
          <w:color w:val="111111"/>
          <w:sz w:val="28"/>
          <w:sz w:val="28"/>
          <w:szCs w:val="28"/>
          <w:rtl w:val="true"/>
          <w:lang w:bidi="ar-SA"/>
        </w:rPr>
        <w:t>النيّة في الصيام، وهو يقتضي</w:t>
      </w:r>
      <w:r>
        <w:rPr>
          <w:rStyle w:val="FootnoteAnchor"/>
          <w:rtl w:val="true"/>
        </w:rPr>
        <w:footnoteReference w:id="741"/>
      </w:r>
      <w:r>
        <w:rPr>
          <w:rFonts w:ascii="Amiri" w:hAnsi="Amiri" w:eastAsia="Amiri" w:cs="Amiri"/>
          <w:color w:val="111111"/>
          <w:sz w:val="28"/>
          <w:sz w:val="28"/>
          <w:szCs w:val="28"/>
          <w:rtl w:val="true"/>
          <w:lang w:bidi="ar-SA"/>
        </w:rPr>
        <w:t>كونها أجزاء من تلك الأفعال المنفيّة، أو شرائط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مسمّى شرعيّ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على نفي الصحّة؛ لأنّ نفي الذات غير مقصود لتحقّقها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المخالف بأنّ الصلاة والعمل مثلًا موجودان، فامتنع صرف النفي إليهما، إلى آخره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بالمنع</w:t>
      </w:r>
      <w:r>
        <w:rPr>
          <w:rStyle w:val="FootnoteAnchor"/>
          <w:rtl w:val="true"/>
        </w:rPr>
        <w:footnoteReference w:id="742"/>
      </w:r>
      <w:r>
        <w:rPr>
          <w:rFonts w:ascii="Amiri" w:hAnsi="Amiri" w:eastAsia="Amiri" w:cs="Amiri"/>
          <w:color w:val="111111"/>
          <w:sz w:val="28"/>
          <w:sz w:val="28"/>
          <w:szCs w:val="28"/>
          <w:rtl w:val="true"/>
          <w:lang w:bidi="ar-SA"/>
        </w:rPr>
        <w:t>من وجود ما له مسمّى شرعيّ، كالصلاة والصيام عند عدم القراءة</w:t>
      </w:r>
      <w:r>
        <w:rPr>
          <w:rStyle w:val="FootnoteAnchor"/>
          <w:rtl w:val="true"/>
        </w:rPr>
        <w:footnoteReference w:id="743"/>
      </w:r>
      <w:r>
        <w:rPr>
          <w:rFonts w:ascii="Amiri" w:hAnsi="Amiri" w:eastAsia="Amiri" w:cs="Amiri"/>
          <w:color w:val="111111"/>
          <w:sz w:val="28"/>
          <w:sz w:val="28"/>
          <w:szCs w:val="28"/>
          <w:rtl w:val="true"/>
          <w:lang w:bidi="ar-SA"/>
        </w:rPr>
        <w:t>وتبيت</w:t>
      </w:r>
      <w:r>
        <w:rPr>
          <w:rStyle w:val="FootnoteAnchor"/>
          <w:rtl w:val="true"/>
        </w:rPr>
        <w:footnoteReference w:id="744"/>
      </w:r>
      <w:r>
        <w:rPr>
          <w:rFonts w:ascii="Amiri" w:hAnsi="Amiri" w:eastAsia="Amiri" w:cs="Amiri"/>
          <w:color w:val="111111"/>
          <w:sz w:val="28"/>
          <w:sz w:val="28"/>
          <w:szCs w:val="28"/>
          <w:rtl w:val="true"/>
          <w:lang w:bidi="ar-SA"/>
        </w:rPr>
        <w:t xml:space="preserve">النيّة؛ لأنّهما إنّما يصدقان حقيقة على </w:t>
      </w:r>
    </w:p>
    <w:p>
      <w:pPr>
        <w:pStyle w:val="BookText"/>
        <w:rPr/>
      </w:pPr>
      <w:r>
        <w:rPr>
          <w:rFonts w:ascii="Amiri" w:hAnsi="Amiri" w:eastAsia="Amiri" w:cs="Amiri"/>
          <w:color w:val="111111"/>
          <w:sz w:val="28"/>
          <w:sz w:val="28"/>
          <w:szCs w:val="28"/>
          <w:rtl w:val="true"/>
          <w:lang w:bidi="ar-SA"/>
        </w:rPr>
        <w:t>الصحيح منهما</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 الفاضل جمال الدين في شرحه على التهذيب بعد نقل الخلاف في المسألة،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منه إرادة نفي الذات بلا شبهة؛ لأنّ الصلاة موضوعة شرعًا للصحيحة، فالصلاة الباطلة ليست بصلاة البتّة، فلا يحتاج إلى اختيار المجاز</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قال 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من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شرح مزجيّ، فرغ منه مؤلّفه في أواسط ربيع الثاني سنة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تهذيب الوصول، للسيّد جمال الدين محمّد الحسينيّ الاسترآباديّ، ذكره في كشف الحجب مع ذكره لشرح السيّد جمال الدين بن عبد الله الجرجانيّ الصريح في تعدّدهما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الماهيّات الجعليّة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كالصلاة والصوم وسائر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 على الفاسد إلّا الحجّ؛ لوجوب المضيّ فيه، فلو حلف على ترك الصلاة</w:t>
      </w:r>
      <w:r>
        <w:rPr>
          <w:rStyle w:val="FootnoteAnchor"/>
          <w:rtl w:val="true"/>
        </w:rPr>
        <w:footnoteReference w:id="747"/>
      </w:r>
      <w:r>
        <w:rPr>
          <w:rFonts w:ascii="Amiri" w:hAnsi="Amiri" w:eastAsia="Amiri" w:cs="Amiri"/>
          <w:color w:val="111111"/>
          <w:sz w:val="28"/>
          <w:sz w:val="28"/>
          <w:szCs w:val="28"/>
          <w:rtl w:val="true"/>
          <w:lang w:bidi="ar-SA"/>
        </w:rPr>
        <w:t xml:space="preserve">أو الصوم اكتفى بمسمّى الصحّة، وهو الدخول فيهما، فلو أفسدهما بعد ذلك لم يزل الحنث، ويحتمل عدمه؛ لأنّها لا تسمّى صلاة شرعًا ولا صومًا مع الفساد، أمّا لو تحرّم في الصلاة، أو دخل </w:t>
      </w:r>
    </w:p>
    <w:p>
      <w:pPr>
        <w:pStyle w:val="BookText"/>
        <w:rPr/>
      </w:pPr>
      <w:r>
        <w:rPr>
          <w:rFonts w:ascii="Amiri" w:hAnsi="Amiri" w:eastAsia="Amiri" w:cs="Amiri"/>
          <w:color w:val="111111"/>
          <w:sz w:val="28"/>
          <w:sz w:val="28"/>
          <w:szCs w:val="28"/>
          <w:rtl w:val="true"/>
          <w:lang w:bidi="ar-SA"/>
        </w:rPr>
        <w:t>في الصوم مع مانع من الدخول لم يحنث قطعًا</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في شرح العبارة السالفة من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البيع وغيره من العقود حقيقة في الصحيح مجاز في الفاسد؛ لوجود خواصّ الحقيقة والمجاز فيهما، كمبادرة المعنى إلى ذهن السامع عند إطلاق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فلان داره وغيره؛ ومن ثمّ حمل الإقرار به عليه حتّى لو ادّعى إرادة الفاسد لم يسمع</w:t>
      </w:r>
      <w:r>
        <w:rPr>
          <w:rStyle w:val="FootnoteAnchor"/>
          <w:rtl w:val="true"/>
        </w:rPr>
        <w:footnoteReference w:id="749"/>
      </w:r>
      <w:r>
        <w:rPr>
          <w:rFonts w:ascii="Amiri" w:hAnsi="Amiri" w:eastAsia="Amiri" w:cs="Amiri"/>
          <w:color w:val="111111"/>
          <w:sz w:val="28"/>
          <w:sz w:val="28"/>
          <w:szCs w:val="28"/>
          <w:rtl w:val="true"/>
          <w:lang w:bidi="ar-SA"/>
        </w:rPr>
        <w:t>إجماعًا؛ وعدم صحّة السلب وغير ذلك من خواصّه، فلو</w:t>
      </w:r>
      <w:r>
        <w:rPr>
          <w:rStyle w:val="FootnoteAnchor"/>
          <w:rtl w:val="true"/>
        </w:rPr>
        <w:footnoteReference w:id="750"/>
      </w:r>
      <w:r>
        <w:rPr>
          <w:rFonts w:ascii="Amiri" w:hAnsi="Amiri" w:eastAsia="Amiri" w:cs="Amiri"/>
          <w:color w:val="111111"/>
          <w:sz w:val="28"/>
          <w:sz w:val="28"/>
          <w:szCs w:val="28"/>
          <w:rtl w:val="true"/>
          <w:lang w:bidi="ar-SA"/>
        </w:rPr>
        <w:t>كان مشتركًا بين الصحيح والفاسد لقبل تفسيره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 الألفاظ المشتركة</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إنكار القائل بالأعمّ كونه حقيقة في الصحيح، الظاهر أنّه أراد به أنّ القائل بالأعمّ لمّا كان ظاهره أنّه يكون موضوعًا للمعنى المشترك بين القسمين، فيكون اللفظ عنده من المشترك المعنويّ، فعلى هذا ينبغي أن يصحّ السلب عن الصحيح بخصوصه مع أنّه ليس كذلك، وستقف على مزيد توضيح لذلك</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كتاب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تسميته على تقدير فساد الشراء مشتريًا مجاز بحسب </w:t>
      </w:r>
    </w:p>
    <w:p>
      <w:pPr>
        <w:pStyle w:val="BookText"/>
        <w:rPr/>
      </w:pPr>
      <w:r>
        <w:rPr>
          <w:rFonts w:ascii="Amiri" w:hAnsi="Amiri" w:eastAsia="Amiri" w:cs="Amiri"/>
          <w:color w:val="111111"/>
          <w:sz w:val="28"/>
          <w:sz w:val="28"/>
          <w:szCs w:val="28"/>
          <w:rtl w:val="true"/>
          <w:lang w:bidi="ar-SA"/>
        </w:rPr>
        <w:t>الصورة، وإلّا فالبيع حقيقة لا يطلق إلّا على الصحيح</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كتاب الصلاة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صحّة كلّ من الصلاتين لولا الاجتماع المذكور، فلا تؤثّر</w:t>
      </w:r>
      <w:r>
        <w:rPr>
          <w:rStyle w:val="FootnoteAnchor"/>
          <w:rtl w:val="true"/>
        </w:rPr>
        <w:footnoteReference w:id="753"/>
      </w:r>
      <w:r>
        <w:rPr>
          <w:rFonts w:ascii="Amiri" w:hAnsi="Amiri" w:eastAsia="Amiri" w:cs="Amiri"/>
          <w:color w:val="111111"/>
          <w:sz w:val="28"/>
          <w:sz w:val="28"/>
          <w:szCs w:val="28"/>
          <w:rtl w:val="true"/>
          <w:lang w:bidi="ar-SA"/>
        </w:rPr>
        <w:t>الفاسدة في صحّة الأخرى، والإطلاق منزّل على الصحيحة</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كتاب الوقف منه في مقام بيان أنّ القبض المعتبر في الوقف يتحقّق في المسجد الموقوف بصلاة واحدة فيه، ما 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الصلاة بين الواجبة والمندوبة ولا بين الواقعة من الواقف وغيره، ويشترط كونها صحيحة ليتحقّق مسمّاها شرعًا</w:t>
      </w:r>
      <w:r>
        <w:rPr>
          <w:rStyle w:val="FootnoteAnchor"/>
          <w:rtl w:val="true"/>
        </w:rPr>
        <w:footnoteReference w:id="755"/>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ويقرب منه ما ذكره صاحب التنقيح،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في المسجد صلاة مسلم صلاة صحيحة</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كشف اللثام في مبحث صلاة كلّ من الرجل والمرأة بحذاء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الصلاة الفاسدة ليست بصلاة حقيقة، فلا يفهم من لفظها إلّا بقرينة</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الفاضل المحقّق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 في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المعالم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أثبتنا في الفوائد</w:t>
      </w:r>
      <w:r>
        <w:rPr>
          <w:rStyle w:val="FootnoteAnchor"/>
          <w:rtl w:val="true"/>
        </w:rPr>
        <w:footnoteReference w:id="759"/>
      </w:r>
      <w:r>
        <w:rPr>
          <w:rFonts w:ascii="Amiri" w:hAnsi="Amiri" w:eastAsia="Amiri" w:cs="Amiri"/>
          <w:color w:val="111111"/>
          <w:sz w:val="28"/>
          <w:sz w:val="28"/>
          <w:szCs w:val="28"/>
          <w:rtl w:val="true"/>
          <w:lang w:bidi="ar-SA"/>
        </w:rPr>
        <w:t>كون الصلاة حقيقة عند المتشرّعة في خصوص الصحيحة، وكذا غيرها من العبادات؛ للتبادر وصحّة السلب عن الفاسد وأصالة عدم التقدير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الآمدي في إحكامه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اختلفوا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صيام لمن لم يبيّت الصيام من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والمختار أنّه لا إجمال في هذه الصور؛ لأنّه لا يخلو إمّا أن يقال بأنّ الشارع له في هذه الأسماء عرف، أو لا عرف له فيها، بل هي منزّلة على الوضع اللغويّ، فإن قيل بالأوّل فيجب تنزيل كلام الشارع على عرفه، إذ الغالب منه أنّه إنّما يناطقنا فيما له فيه عرف بعرفه، فيكون لفظه منزّلًا على نفي الحقيقة الشرعيّة من هذه الأمور، ونفي الحقيقة الشرعيّة ممكن، والأصل حمل الكلام على ما هو حقيقة فيه، وعلى هذا فلا إجمال</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إذا أحطت خبرًا بما ذكرنا، ظهر لك صحّة ما ادّعينا من كون المناقشة المذكورة مخالفة للواقع؛ لوضوح أنّ بناء جميع المقالات المذكورة على أنّ انتفاء الإجمال فيما نحن فيه لظهوره في نفي الجنس والحقيقة وإمكان إرادته بناءً على ثبوت المعنى الشرعيّ، مضافًا إلى تصريحات كثير منهم عليه أيضًا، لكن ما ذكرنا </w:t>
      </w:r>
    </w:p>
    <w:p>
      <w:pPr>
        <w:pStyle w:val="BookText"/>
        <w:rPr/>
      </w:pPr>
      <w:r>
        <w:rPr>
          <w:rFonts w:ascii="Amiri" w:hAnsi="Amiri" w:eastAsia="Amiri" w:cs="Amiri"/>
          <w:color w:val="111111"/>
          <w:sz w:val="28"/>
          <w:sz w:val="28"/>
          <w:szCs w:val="28"/>
          <w:rtl w:val="true"/>
          <w:lang w:bidi="ar-SA"/>
        </w:rPr>
        <w:t>يغني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ظهر</w:t>
      </w:r>
      <w:r>
        <w:rPr>
          <w:rStyle w:val="FootnoteAnchor"/>
          <w:rtl w:val="true"/>
        </w:rPr>
        <w:footnoteReference w:id="762"/>
      </w:r>
      <w:r>
        <w:rPr>
          <w:rFonts w:ascii="Amiri" w:hAnsi="Amiri" w:eastAsia="Amiri" w:cs="Amiri"/>
          <w:color w:val="111111"/>
          <w:sz w:val="28"/>
          <w:sz w:val="28"/>
          <w:szCs w:val="28"/>
          <w:rtl w:val="true"/>
          <w:lang w:bidi="ar-SA"/>
        </w:rPr>
        <w:t>أنّ الحكم بأنّه لم يحتمل أحد من العلماء الفحول دلالة تلك الهيئة على نفي الحقيقة إلّا على تقدير كون الألفاظ أساميًا للصحيحة، غيرُ صحيح جزمًا؛ وكأنّ منشأه كلام صاحب المعالم تبعًا لشارح المختصر حيث قال بعد الحكم بعدم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ثبت أنّها</w:t>
      </w:r>
      <w:r>
        <w:rPr>
          <w:rStyle w:val="FootnoteAnchor"/>
          <w:rtl w:val="true"/>
        </w:rPr>
        <w:footnoteReference w:id="763"/>
      </w:r>
      <w:r>
        <w:rPr>
          <w:rFonts w:ascii="Amiri" w:hAnsi="Amiri" w:eastAsia="Amiri" w:cs="Amiri"/>
          <w:color w:val="111111"/>
          <w:sz w:val="28"/>
          <w:sz w:val="28"/>
          <w:szCs w:val="28"/>
          <w:rtl w:val="true"/>
          <w:lang w:bidi="ar-SA"/>
        </w:rPr>
        <w:t>حقيقة شرعيّة في الصحيحة منها</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يثبت لها</w:t>
      </w:r>
      <w:r>
        <w:rPr>
          <w:rStyle w:val="FootnoteAnchor"/>
          <w:rtl w:val="true"/>
        </w:rPr>
        <w:footnoteReference w:id="765"/>
      </w:r>
      <w:r>
        <w:rPr>
          <w:rFonts w:ascii="Amiri" w:hAnsi="Amiri" w:eastAsia="Amiri" w:cs="Amiri"/>
          <w:color w:val="111111"/>
          <w:sz w:val="28"/>
          <w:sz w:val="28"/>
          <w:szCs w:val="28"/>
          <w:rtl w:val="true"/>
          <w:lang w:bidi="ar-SA"/>
        </w:rPr>
        <w:t>حقيقة شرعيّة كما مرّ، إلى آخره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ما في كلامه من الحزازة، إذ المناسب بالترديد المذكور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يثبت أنّها حقيقة شرعيّة في الصحيحة، بل أعمّ منها ومن الفاسدة،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لها حقيقة شرعيّة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عدم الالتفات إليه لعدم الافتقار إليه؛ لإمكان أن يدّعى أنّه ممّا لا قائل به من علمائنا على ما ظهر لك ممّا نقلنا من مقالاتهم</w:t>
      </w:r>
      <w:r>
        <w:rPr>
          <w:rStyle w:val="FootnoteAnchor"/>
          <w:rtl w:val="true"/>
        </w:rPr>
        <w:footnoteReference w:id="767"/>
      </w:r>
      <w:r>
        <w:rPr>
          <w:rFonts w:ascii="Amiri" w:hAnsi="Amiri" w:eastAsia="Amiri" w:cs="Amiri"/>
          <w:color w:val="111111"/>
          <w:sz w:val="28"/>
          <w:sz w:val="28"/>
          <w:szCs w:val="28"/>
          <w:rtl w:val="true"/>
          <w:lang w:bidi="ar-SA"/>
        </w:rPr>
        <w:t xml:space="preserve">، وعلى تقدير </w:t>
      </w:r>
    </w:p>
    <w:p>
      <w:pPr>
        <w:pStyle w:val="BookText"/>
        <w:rPr/>
      </w:pPr>
      <w:r>
        <w:rPr>
          <w:rFonts w:ascii="Amiri" w:hAnsi="Amiri" w:eastAsia="Amiri" w:cs="Amiri"/>
          <w:color w:val="111111"/>
          <w:sz w:val="28"/>
          <w:sz w:val="28"/>
          <w:szCs w:val="28"/>
          <w:rtl w:val="true"/>
          <w:lang w:bidi="ar-SA"/>
        </w:rPr>
        <w:t>وجوده لا شبهة في ندرته وشذوذه</w:t>
      </w:r>
      <w:r>
        <w:rPr>
          <w:rStyle w:val="FootnoteAnchor"/>
          <w:rtl w:val="true"/>
        </w:rPr>
        <w:footnoteReference w:id="768"/>
      </w:r>
      <w:r>
        <w:rPr>
          <w:rFonts w:ascii="Amiri" w:hAnsi="Amiri" w:eastAsia="Amiri" w:cs="Amiri"/>
          <w:color w:val="111111"/>
          <w:sz w:val="28"/>
          <w:sz w:val="28"/>
          <w:szCs w:val="28"/>
          <w:rtl w:val="true"/>
          <w:lang w:bidi="ar-SA"/>
        </w:rPr>
        <w:t>، فلا حاجة إلى التعرّض إليه، بل حكمهم بعدم الإجمال لتصريحهم بأنّ الهيئة المذكورة ظاهرة في نفي الجنس</w:t>
      </w:r>
      <w:r>
        <w:rPr>
          <w:rStyle w:val="FootnoteAnchor"/>
          <w:rtl w:val="true"/>
        </w:rPr>
        <w:footnoteReference w:id="769"/>
      </w:r>
      <w:r>
        <w:rPr>
          <w:rFonts w:ascii="Amiri" w:hAnsi="Amiri" w:eastAsia="Amiri" w:cs="Amiri"/>
          <w:color w:val="111111"/>
          <w:sz w:val="28"/>
          <w:sz w:val="28"/>
          <w:szCs w:val="28"/>
          <w:rtl w:val="true"/>
          <w:lang w:bidi="ar-SA"/>
        </w:rPr>
        <w:t>والحمل عليه عند المسمّى الشرعيّ ممكن، فيلزم منه أنّ المسمّى الشرعيّ عندهم المعنى الصحيح، إذ لو كان أعمّ منه لما أمكن ذلك، كما لا يخفى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دعوى ظهور تلك الهيئة في نفي الصفة لا الجنس ممّا لم يقل به أحد؛ ويدلّك مضافًا إلى تصريحات كثير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للمتتبّع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ترجيحهم تقدير </w:t>
      </w:r>
    </w:p>
    <w:p>
      <w:pPr>
        <w:pStyle w:val="BookText"/>
        <w:rPr/>
      </w:pPr>
      <w:r>
        <w:rPr>
          <w:rFonts w:ascii="Amiri" w:hAnsi="Amiri" w:eastAsia="Amiri" w:cs="Amiri"/>
          <w:color w:val="111111"/>
          <w:sz w:val="28"/>
          <w:sz w:val="28"/>
          <w:szCs w:val="28"/>
          <w:rtl w:val="true"/>
          <w:lang w:bidi="ar-SA"/>
        </w:rPr>
        <w:t>نفي الصحّة على نفي الكمال؛ لكون الأوّل أقرب إلى الحقيقة من الثاني، ومعلوم أنّ ذلك إنّما يتمّ إذا كانت الهيئة حقيقة وظاهرة في نفي الحقيقة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الحكم بأنّ القول بالأعمّ ممّا لم يذهب إليه إلّا قليل من علمائنا، مع أنّ كتبهم الفقهيّة مشحونة بأنّ تلك الصلاة باطلة، بل ربّما قسّمت إلى الصحيحة والفاسدة، والمقسم مشترك في أقسامه ومتحقّق فيها؛ وأيضًا أنّ دفع الأمور المحتملة بالأصل ممّا أطبقت عليه كلماتهم، وهو إنّما يتمّ على القول بالأعمّ لا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الجواب عن الثاني فقد عرفت ممّا أسلفنا، وأمّا عن الأوّل فلأنّ الإطلاق أعمّ من الحقيقة والمجاز، وظهور القسمة على فرض تحقّقها</w:t>
      </w:r>
      <w:r>
        <w:rPr>
          <w:rStyle w:val="FootnoteAnchor"/>
          <w:rtl w:val="true"/>
        </w:rPr>
        <w:footnoteReference w:id="770"/>
      </w:r>
      <w:r>
        <w:rPr>
          <w:rFonts w:ascii="Amiri" w:hAnsi="Amiri" w:eastAsia="Amiri" w:cs="Amiri"/>
          <w:color w:val="111111"/>
          <w:sz w:val="28"/>
          <w:sz w:val="28"/>
          <w:szCs w:val="28"/>
          <w:rtl w:val="true"/>
          <w:lang w:bidi="ar-SA"/>
        </w:rPr>
        <w:t>لا يلتفت إليه بعد تحقّق التصريح على خلافه، وستقف على زيادة 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صرّح السيّد الشارح عميد الدين في شرحه على التهذيب في مبحث دلالة النهي على الفساد بكون الصلاة اسمًا للصحيحة والفاسدة، حيث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w:t>
      </w:r>
      <w:r>
        <w:rPr>
          <w:rStyle w:val="FootnoteAnchor"/>
          <w:rtl w:val="true"/>
        </w:rPr>
        <w:footnoteReference w:id="771"/>
      </w:r>
      <w:r>
        <w:rPr>
          <w:rFonts w:ascii="Amiri" w:hAnsi="Amiri" w:eastAsia="Amiri" w:cs="Amiri"/>
          <w:color w:val="111111"/>
          <w:sz w:val="28"/>
          <w:sz w:val="28"/>
          <w:szCs w:val="28"/>
          <w:rtl w:val="true"/>
          <w:lang w:bidi="ar-SA"/>
        </w:rPr>
        <w:t xml:space="preserve">أنّ الصلاة مثلًا تصدق شرعًا على الصحيحة والفاسدة؛ لصحّة تقسيمها إليهما، فهي أعمّ منهما، والعامّ لا يدلّ على الخاصّ، وكذا البيع والنكاح وغيرهما، ونمنع كون المعنى الشرعيّ هو الصحيح دون غيره، وإلّا لما صحّ أن </w:t>
      </w:r>
      <w:bookmarkStart w:id="870" w:name="pg16224_170684"/>
    </w:p>
    <w:p>
      <w:pPr>
        <w:pStyle w:val="BookText"/>
        <w:rPr/>
      </w:pPr>
      <w:bookmarkEnd w:id="870"/>
      <w:r>
        <w:rPr>
          <w:rFonts w:ascii="Amiri" w:hAnsi="Amiri" w:eastAsia="Amiri" w:cs="Amiri"/>
          <w:color w:val="111111"/>
          <w:sz w:val="28"/>
          <w:sz w:val="28"/>
          <w:szCs w:val="28"/>
          <w:rtl w:val="true"/>
          <w:lang w:bidi="ar-SA"/>
        </w:rPr>
        <w:t>يقال لمن صلّى صلاة فاسدة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صلواتك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وحمله على المجاز</w:t>
      </w:r>
      <w:r>
        <w:rPr>
          <w:rStyle w:val="FootnoteAnchor"/>
          <w:rtl w:val="true"/>
        </w:rPr>
        <w:footnoteReference w:id="772"/>
      </w:r>
      <w:r>
        <w:rPr>
          <w:rFonts w:ascii="IRNazanin" w:hAnsi="IRNazanin" w:eastAsia="IRNazanin"/>
          <w:color w:val="111111"/>
          <w:sz w:val="28"/>
          <w:sz w:val="28"/>
          <w:szCs w:val="28"/>
          <w:rtl w:val="true"/>
          <w:lang w:bidi="fa-IR"/>
        </w:rPr>
        <w:t>مخالف للأصل</w:t>
      </w:r>
      <w:r>
        <w:rPr>
          <w:rStyle w:val="FootnoteAnchor"/>
          <w:rtl w:val="true"/>
        </w:rPr>
        <w:footnoteReference w:id="77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كلام بعض آخر في ذلك المبحث إيماء أو ظهور إليه، بل تصريح به أيضًا، لكنّ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التصريح فيما بعد ذلك المبحث بالمجازيّة والاختصاص بالصحيحة دليلٌ على العدول عن ذلك كما لا يخفى</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3734950_1280447820"/>
      <w:bookmarkStart w:id="872" w:name="_Toc341"/>
      <w:bookmarkEnd w:id="871"/>
      <w:r>
        <w:rPr>
          <w:rtl w:val="true"/>
        </w:rPr>
        <w:t>المناقشة في بعض النصوص بوجه آخر</w:t>
      </w:r>
      <w:bookmarkEnd w:id="872"/>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يمكن أن يناقش في بعض هذه النصوص بوجه آخر غير ما ذكر، تقريرها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لا شبهة في عدم إمكان حمله على ظاهره؛ لوضوح أنّ انتفاء الحمد ساهيًا لا يوجب انتفاء ماهيّة الصلاة، فلا بدّ فيه من التقييد، فكما يمكن تقييده بحالة التعمّد فيصحّ الاستدلال به حينئذٍ لما نحن فيه، يمكن التقييد بحالة السهو والنسيان، فلا يصحّ لما عرفت، بل لا بدّ حينئذٍ من تقدير الكمال، فلا يتمّ الاستدلال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وإن كان كما ذكر، لكن الحمل على حال التعمّد أولى، إذ لا يلزم معه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ظاهره، بخلاف الحمل على حالة السهو والنسيان؛ هذا مع أنّ في تقدير الكمال كلامًا، 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انتفاء الحمد ساهيًا لا يوجب انحطاطها عن درجة الكمال، فتأمّل</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 مناقشة أخرى أصعب ممّا ذكر مختصّة ببعض تلك النصوص، وهي أنّ بعض النصوص المذكورة صدره معارض لذيله،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صلّى ولم يصلّ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صلاة له</w:t>
      </w:r>
      <w:r>
        <w:rPr>
          <w:rFonts w:eastAsia="IRNazanin" w:cs="IRNazanin"/>
          <w:color w:val="111111"/>
          <w:sz w:val="28"/>
          <w:szCs w:val="28"/>
          <w:rtl w:val="true"/>
          <w:lang w:bidi="fa-IR"/>
        </w:rPr>
        <w:t>»</w:t>
      </w:r>
      <w:r>
        <w:rPr>
          <w:rStyle w:val="FootnoteAnchor"/>
          <w:rtl w:val="true"/>
        </w:rPr>
        <w:footnoteReference w:id="774"/>
      </w:r>
      <w:r>
        <w:rPr>
          <w:rFonts w:ascii="Amiri" w:hAnsi="Amiri" w:eastAsia="Amiri" w:cs="Amiri"/>
          <w:color w:val="111111"/>
          <w:sz w:val="28"/>
          <w:sz w:val="28"/>
          <w:szCs w:val="28"/>
          <w:rtl w:val="true"/>
          <w:lang w:bidi="ar-SA"/>
        </w:rPr>
        <w:t>لأنّ مقتضى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ماهيّة الصلاة مع عدم ذلك الشيء، ومقتضى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انتفاؤها، ويجيء الكلام فيه عن قريب إن شاء الله تعالى</w:t>
      </w:r>
      <w:r>
        <w:rPr>
          <w:rFonts w:eastAsia="Amiri" w:cs="Amiri" w:ascii="Amiri" w:hAnsi="Amiri"/>
          <w:color w:val="111111"/>
          <w:sz w:val="28"/>
          <w:szCs w:val="28"/>
          <w:rtl w:val="true"/>
          <w:lang w:bidi="ar-SA"/>
        </w:rPr>
        <w:t xml:space="preserve">. </w:t>
      </w:r>
      <w:bookmarkStart w:id="873" w:name="pg16224_170686"/>
    </w:p>
    <w:p>
      <w:pPr>
        <w:pStyle w:val="Heading5"/>
        <w:numPr>
          <w:ilvl w:val="4"/>
          <w:numId w:val="1"/>
        </w:numPr>
        <w:rPr/>
      </w:pPr>
      <w:bookmarkStart w:id="874" w:name="__RefHeading___Toc3734952_1280447820"/>
      <w:bookmarkStart w:id="875" w:name="_Toc342"/>
      <w:bookmarkEnd w:id="873"/>
      <w:bookmarkEnd w:id="874"/>
      <w:r>
        <w:rPr>
          <w:rtl w:val="true"/>
        </w:rPr>
        <w:t>في أدلّة القول بالأعمّ</w:t>
      </w:r>
      <w:bookmarkEnd w:id="875"/>
    </w:p>
    <w:p>
      <w:pPr>
        <w:pStyle w:val="Heading6"/>
        <w:numPr>
          <w:ilvl w:val="5"/>
          <w:numId w:val="1"/>
        </w:numPr>
        <w:rPr/>
      </w:pPr>
      <w:bookmarkStart w:id="876" w:name="__RefHeading___Toc3734954_1280447820"/>
      <w:bookmarkStart w:id="877" w:name="_Toc343"/>
      <w:bookmarkEnd w:id="876"/>
      <w:r>
        <w:rPr>
          <w:rtl w:val="true"/>
        </w:rPr>
        <w:t>اشارة</w:t>
      </w:r>
      <w:bookmarkEnd w:id="877"/>
    </w:p>
    <w:p>
      <w:pPr>
        <w:pStyle w:val="BookText"/>
        <w:rPr/>
      </w:pPr>
      <w:r>
        <w:rPr>
          <w:rFonts w:ascii="Amiri" w:hAnsi="Amiri" w:eastAsia="Amiri" w:cs="Amiri"/>
          <w:color w:val="111111"/>
          <w:sz w:val="28"/>
          <w:sz w:val="28"/>
          <w:szCs w:val="28"/>
          <w:rtl w:val="true"/>
          <w:lang w:bidi="ar-SA"/>
        </w:rPr>
        <w:t>إعادة مقال لنقل استدلال</w:t>
      </w:r>
    </w:p>
    <w:p>
      <w:pPr>
        <w:pStyle w:val="BookText"/>
        <w:rPr/>
      </w:pPr>
      <w:r>
        <w:rPr>
          <w:rFonts w:ascii="Amiri" w:hAnsi="Amiri" w:eastAsia="Amiri" w:cs="Amiri"/>
          <w:color w:val="111111"/>
          <w:sz w:val="28"/>
          <w:sz w:val="28"/>
          <w:szCs w:val="28"/>
          <w:rtl w:val="true"/>
          <w:lang w:bidi="ar-SA"/>
        </w:rPr>
        <w:t>وحيث قد انقضى الكلام في تحقيق أدلّة القول بالصحيح، فبالحريّ أن نصرف زمام الكلام إلى تحقيق أدلّة القول بالأعمّ،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وجوه أيضًا</w:t>
      </w:r>
      <w:r>
        <w:rPr>
          <w:rFonts w:eastAsia="Amiri" w:cs="Amiri" w:ascii="Amiri" w:hAnsi="Amiri"/>
          <w:color w:val="111111"/>
          <w:sz w:val="28"/>
          <w:szCs w:val="28"/>
          <w:rtl w:val="true"/>
          <w:lang w:bidi="ar-SA"/>
        </w:rPr>
        <w:t>:</w:t>
      </w:r>
    </w:p>
    <w:p>
      <w:pPr>
        <w:pStyle w:val="Heading6"/>
        <w:numPr>
          <w:ilvl w:val="5"/>
          <w:numId w:val="1"/>
        </w:numPr>
        <w:rPr/>
      </w:pPr>
      <w:bookmarkStart w:id="878" w:name="__RefHeading___Toc3734956_1280447820"/>
      <w:bookmarkStart w:id="879" w:name="_Toc344"/>
      <w:bookmarkEnd w:id="878"/>
      <w:r>
        <w:rPr>
          <w:rtl w:val="true"/>
        </w:rPr>
        <w:t>الدليل الأوّل</w:t>
      </w:r>
      <w:bookmarkEnd w:id="879"/>
    </w:p>
    <w:p>
      <w:pPr>
        <w:pStyle w:val="Heading6"/>
        <w:numPr>
          <w:ilvl w:val="5"/>
          <w:numId w:val="1"/>
        </w:numPr>
        <w:rPr/>
      </w:pPr>
      <w:bookmarkStart w:id="880" w:name="__RefHeading___Toc3734958_1280447820"/>
      <w:bookmarkStart w:id="881" w:name="_Toc345"/>
      <w:bookmarkEnd w:id="880"/>
      <w:r>
        <w:rPr>
          <w:rtl w:val="true"/>
        </w:rPr>
        <w:t>اشارة</w:t>
      </w:r>
      <w:bookmarkEnd w:id="88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كون الفاسدة صلاة أيضًا، وهي على أنواع</w:t>
      </w:r>
      <w:r>
        <w:rPr>
          <w:rFonts w:eastAsia="Amiri" w:cs="Amiri" w:ascii="Amiri" w:hAnsi="Amiri"/>
          <w:color w:val="111111"/>
          <w:sz w:val="28"/>
          <w:szCs w:val="28"/>
          <w:rtl w:val="true"/>
          <w:lang w:bidi="ar-SA"/>
        </w:rPr>
        <w:t>:</w:t>
      </w:r>
    </w:p>
    <w:p>
      <w:pPr>
        <w:pStyle w:val="Heading6"/>
        <w:numPr>
          <w:ilvl w:val="5"/>
          <w:numId w:val="1"/>
        </w:numPr>
        <w:rPr/>
      </w:pPr>
      <w:bookmarkStart w:id="882" w:name="__RefHeading___Toc3734960_1280447820"/>
      <w:bookmarkStart w:id="883" w:name="_Toc346"/>
      <w:bookmarkEnd w:id="882"/>
      <w:r>
        <w:rPr>
          <w:rtl w:val="true"/>
        </w:rPr>
        <w:t>النوع الأوّل</w:t>
      </w:r>
      <w:bookmarkEnd w:id="883"/>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التهذيب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في غير وقت فلا صلاة له</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والنصوص بهذه الكيفيّة كثيرة</w:t>
      </w:r>
      <w:r>
        <w:rPr>
          <w:rFonts w:eastAsia="Amiri" w:cs="Amiri" w:ascii="Amiri" w:hAnsi="Amiri"/>
          <w:color w:val="111111"/>
          <w:sz w:val="28"/>
          <w:szCs w:val="28"/>
          <w:rtl w:val="true"/>
          <w:lang w:bidi="ar-SA"/>
        </w:rPr>
        <w:t>.</w:t>
      </w:r>
    </w:p>
    <w:p>
      <w:pPr>
        <w:pStyle w:val="Heading6"/>
        <w:numPr>
          <w:ilvl w:val="5"/>
          <w:numId w:val="1"/>
        </w:numPr>
        <w:rPr/>
      </w:pPr>
      <w:bookmarkStart w:id="884" w:name="__RefHeading___Toc3734962_1280447820"/>
      <w:bookmarkStart w:id="885" w:name="_Toc347"/>
      <w:bookmarkEnd w:id="884"/>
      <w:r>
        <w:rPr>
          <w:rtl w:val="true"/>
        </w:rPr>
        <w:t>النوع الثاني</w:t>
      </w:r>
      <w:bookmarkEnd w:id="88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المرويّ فيه عن عبد الرّحمن بن أبي عبدالله،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صلّيت وأنت على غير القبلة واستبان</w:t>
      </w:r>
      <w:r>
        <w:rPr>
          <w:rStyle w:val="FootnoteAnchor"/>
          <w:rtl w:val="true"/>
        </w:rPr>
        <w:footnoteReference w:id="776"/>
      </w:r>
      <w:r>
        <w:rPr>
          <w:rFonts w:ascii="Amiri" w:hAnsi="Amiri" w:eastAsia="Amiri" w:cs="Amiri"/>
          <w:color w:val="111111"/>
          <w:sz w:val="28"/>
          <w:sz w:val="28"/>
          <w:szCs w:val="28"/>
          <w:rtl w:val="true"/>
          <w:lang w:bidi="ar-SA"/>
        </w:rPr>
        <w:t>لك أنّك صلّيت وأنت</w:t>
      </w:r>
      <w:r>
        <w:rPr>
          <w:rStyle w:val="FootnoteAnchor"/>
          <w:rtl w:val="true"/>
        </w:rPr>
        <w:footnoteReference w:id="777"/>
      </w:r>
      <w:r>
        <w:rPr>
          <w:rFonts w:ascii="Amiri" w:hAnsi="Amiri" w:eastAsia="Amiri" w:cs="Amiri"/>
          <w:color w:val="111111"/>
          <w:sz w:val="28"/>
          <w:sz w:val="28"/>
          <w:szCs w:val="28"/>
          <w:rtl w:val="true"/>
          <w:lang w:bidi="ar-SA"/>
        </w:rPr>
        <w:t xml:space="preserve">على غير </w:t>
      </w:r>
    </w:p>
    <w:p>
      <w:pPr>
        <w:pStyle w:val="BookText"/>
        <w:rPr/>
      </w:pPr>
      <w:r>
        <w:rPr>
          <w:rFonts w:ascii="Amiri" w:hAnsi="Amiri" w:eastAsia="Amiri" w:cs="Amiri"/>
          <w:color w:val="111111"/>
          <w:sz w:val="28"/>
          <w:sz w:val="28"/>
          <w:szCs w:val="28"/>
          <w:rtl w:val="true"/>
          <w:lang w:bidi="ar-SA"/>
        </w:rPr>
        <w:t>القبلة وأنت في وقت فأعد، وإن فاتك الوقت فلا تعد</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779"/>
      </w:r>
      <w:r>
        <w:rPr>
          <w:rFonts w:ascii="IRNazanin" w:hAnsi="IRNazanin" w:eastAsia="IRNazanin"/>
          <w:color w:val="111111"/>
          <w:sz w:val="28"/>
          <w:sz w:val="28"/>
          <w:szCs w:val="28"/>
          <w:rtl w:val="true"/>
          <w:lang w:bidi="fa-IR"/>
        </w:rPr>
        <w:t xml:space="preserve">الموثّق المرويّ فيه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صلّى الغداة بليل غرّه من ذلك القمر ونام حتّى طلعت</w:t>
      </w:r>
      <w:r>
        <w:rPr>
          <w:rStyle w:val="FootnoteAnchor"/>
          <w:rtl w:val="true"/>
        </w:rPr>
        <w:footnoteReference w:id="780"/>
      </w:r>
      <w:r>
        <w:rPr>
          <w:rFonts w:ascii="Amiri" w:hAnsi="Amiri" w:eastAsia="Amiri" w:cs="Amiri"/>
          <w:color w:val="111111"/>
          <w:sz w:val="28"/>
          <w:sz w:val="28"/>
          <w:szCs w:val="28"/>
          <w:rtl w:val="true"/>
          <w:lang w:bidi="ar-SA"/>
        </w:rPr>
        <w:t>الشمس، فأخبر أنّه صلّى بليل،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والموثّق المرويّ فيه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سها الرجل في الركعتين الأوليين</w:t>
      </w:r>
      <w:r>
        <w:rPr>
          <w:rStyle w:val="FootnoteAnchor"/>
          <w:rtl w:val="true"/>
        </w:rPr>
        <w:footnoteReference w:id="782"/>
      </w:r>
      <w:r>
        <w:rPr>
          <w:rFonts w:ascii="Amiri" w:hAnsi="Amiri" w:eastAsia="Amiri" w:cs="Amiri"/>
          <w:color w:val="111111"/>
          <w:sz w:val="28"/>
          <w:sz w:val="28"/>
          <w:szCs w:val="28"/>
          <w:rtl w:val="true"/>
          <w:lang w:bidi="ar-SA"/>
        </w:rPr>
        <w:t xml:space="preserve">من الظهر والعصر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يدر</w:t>
      </w:r>
      <w:r>
        <w:rPr>
          <w:rStyle w:val="FootnoteAnchor"/>
          <w:rtl w:val="true"/>
        </w:rPr>
        <w:footnoteReference w:id="783"/>
      </w:r>
      <w:r>
        <w:rPr>
          <w:rFonts w:ascii="Amiri" w:hAnsi="Amiri" w:eastAsia="Amiri" w:cs="Amiri"/>
          <w:color w:val="111111"/>
          <w:sz w:val="28"/>
          <w:sz w:val="28"/>
          <w:szCs w:val="28"/>
          <w:rtl w:val="true"/>
          <w:lang w:bidi="ar-SA"/>
        </w:rPr>
        <w:t>واحدة</w:t>
      </w:r>
      <w:r>
        <w:rPr>
          <w:rStyle w:val="FootnoteAnchor"/>
          <w:rtl w:val="true"/>
        </w:rPr>
        <w:footnoteReference w:id="784"/>
      </w:r>
      <w:r>
        <w:rPr>
          <w:rFonts w:ascii="Amiri" w:hAnsi="Amiri" w:eastAsia="Amiri" w:cs="Amiri"/>
          <w:color w:val="111111"/>
          <w:sz w:val="28"/>
          <w:sz w:val="28"/>
          <w:szCs w:val="28"/>
          <w:rtl w:val="true"/>
          <w:lang w:bidi="ar-SA"/>
        </w:rPr>
        <w:t>صلّى أم ثنتين، فعليه أن يعيد الصلاة</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المرويّ فيه عن الفضل بن عبد الملك،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تحفظ الركعتين الأوليين</w:t>
      </w:r>
      <w:r>
        <w:rPr>
          <w:rStyle w:val="FootnoteAnchor"/>
          <w:rtl w:val="true"/>
        </w:rPr>
        <w:footnoteReference w:id="786"/>
      </w:r>
      <w:r>
        <w:rPr>
          <w:rFonts w:ascii="Amiri" w:hAnsi="Amiri" w:eastAsia="Amiri" w:cs="Amiri"/>
          <w:color w:val="111111"/>
          <w:sz w:val="28"/>
          <w:sz w:val="28"/>
          <w:szCs w:val="28"/>
          <w:rtl w:val="true"/>
          <w:lang w:bidi="ar-SA"/>
        </w:rPr>
        <w:t>فأعد صلواتك</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والنصوص المشاركة لها أكثر من أن تحصى</w:t>
      </w:r>
      <w:r>
        <w:rPr>
          <w:rFonts w:eastAsia="Amiri" w:cs="Amiri" w:ascii="Amiri" w:hAnsi="Amiri"/>
          <w:color w:val="111111"/>
          <w:sz w:val="28"/>
          <w:szCs w:val="28"/>
          <w:rtl w:val="true"/>
          <w:lang w:bidi="ar-SA"/>
        </w:rPr>
        <w:t xml:space="preserve">. </w:t>
      </w:r>
      <w:bookmarkStart w:id="886" w:name="pg16224_170688"/>
    </w:p>
    <w:p>
      <w:pPr>
        <w:pStyle w:val="Heading6"/>
        <w:numPr>
          <w:ilvl w:val="5"/>
          <w:numId w:val="1"/>
        </w:numPr>
        <w:rPr/>
      </w:pPr>
      <w:bookmarkStart w:id="887" w:name="__RefHeading___Toc3734964_1280447820"/>
      <w:bookmarkStart w:id="888" w:name="_Toc348"/>
      <w:bookmarkEnd w:id="886"/>
      <w:bookmarkEnd w:id="887"/>
      <w:r>
        <w:rPr>
          <w:rtl w:val="true"/>
        </w:rPr>
        <w:t>النوع الثالث</w:t>
      </w:r>
      <w:bookmarkEnd w:id="888"/>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في الموثّق أو الصحيح عن المفضّل</w:t>
      </w:r>
      <w:r>
        <w:rPr>
          <w:rStyle w:val="FootnoteAnchor"/>
          <w:rtl w:val="true"/>
        </w:rPr>
        <w:footnoteReference w:id="788"/>
      </w:r>
      <w:r>
        <w:rPr>
          <w:rFonts w:ascii="IRNazanin" w:hAnsi="IRNazanin" w:eastAsia="IRNazanin"/>
          <w:color w:val="111111"/>
          <w:sz w:val="28"/>
          <w:sz w:val="28"/>
          <w:szCs w:val="28"/>
          <w:rtl w:val="true"/>
          <w:lang w:bidi="fa-IR"/>
        </w:rPr>
        <w:t xml:space="preserve">بن يسار،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 على خمسة</w:t>
      </w:r>
      <w:r>
        <w:rPr>
          <w:rStyle w:val="FootnoteAnchor"/>
          <w:rtl w:val="true"/>
        </w:rPr>
        <w:footnoteReference w:id="789"/>
      </w:r>
      <w:r>
        <w:rPr>
          <w:rFonts w:ascii="Amiri" w:hAnsi="Amiri" w:eastAsia="Amiri" w:cs="Amiri"/>
          <w:color w:val="111111"/>
          <w:sz w:val="28"/>
          <w:sz w:val="28"/>
          <w:szCs w:val="28"/>
          <w:rtl w:val="true"/>
          <w:lang w:bidi="ar-SA"/>
        </w:rPr>
        <w:t>، على الصلاة والزكاة والحجّ والصوم</w:t>
      </w:r>
      <w:r>
        <w:rPr>
          <w:rStyle w:val="FootnoteAnchor"/>
          <w:rtl w:val="true"/>
        </w:rPr>
        <w:footnoteReference w:id="790"/>
      </w:r>
      <w:r>
        <w:rPr>
          <w:rFonts w:ascii="Amiri" w:hAnsi="Amiri" w:eastAsia="Amiri" w:cs="Amiri"/>
          <w:color w:val="111111"/>
          <w:sz w:val="28"/>
          <w:sz w:val="28"/>
          <w:szCs w:val="28"/>
          <w:rtl w:val="true"/>
          <w:lang w:bidi="ar-SA"/>
        </w:rPr>
        <w:t>والولاية، ولم يناد بشيء كما نودي بالولاية، فأخذ</w:t>
      </w:r>
      <w:r>
        <w:rPr>
          <w:rStyle w:val="FootnoteAnchor"/>
          <w:rtl w:val="true"/>
        </w:rPr>
        <w:footnoteReference w:id="791"/>
      </w:r>
      <w:r>
        <w:rPr>
          <w:rFonts w:ascii="Amiri" w:hAnsi="Amiri" w:eastAsia="Amiri" w:cs="Amiri"/>
          <w:color w:val="111111"/>
          <w:sz w:val="28"/>
          <w:sz w:val="28"/>
          <w:szCs w:val="28"/>
          <w:rtl w:val="true"/>
          <w:lang w:bidi="ar-SA"/>
        </w:rPr>
        <w:t xml:space="preserve">الناس بأربع وتركوا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الولاية</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9" w:name="__RefHeading___Toc3734966_1280447820"/>
      <w:bookmarkStart w:id="890" w:name="_Toc349"/>
      <w:bookmarkEnd w:id="889"/>
      <w:r>
        <w:rPr>
          <w:rtl w:val="true"/>
        </w:rPr>
        <w:t>وجه الاستدلال بالنسبة إلى النوع الأوّل</w:t>
      </w:r>
      <w:bookmarkEnd w:id="890"/>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كما يكون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من أوجد حقيقة الضرب والكتابة، كذا يكون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 غير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أوجد حقيقة الصلاة فيه؛ ومعلوم أنّ ذلك إنّما يمكن عند تحقّقها في ضمن الفاسد، وهو إنّما يتمّ على تقدير كون الصلاة اسمًا للأعمّ كما لا يخفى</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منه وإن كان كما ذكر، لكن يعارضه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مدلوله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آتيًا لحقيقة الصلاة وجنسها؛ ودفعه</w:t>
      </w:r>
      <w:r>
        <w:rPr>
          <w:rStyle w:val="FootnoteAnchor"/>
          <w:rtl w:val="true"/>
        </w:rPr>
        <w:footnoteReference w:id="793"/>
      </w:r>
      <w:r>
        <w:rPr>
          <w:rFonts w:ascii="Amiri" w:hAnsi="Amiri" w:eastAsia="Amiri" w:cs="Amiri"/>
          <w:color w:val="111111"/>
          <w:sz w:val="28"/>
          <w:sz w:val="28"/>
          <w:szCs w:val="28"/>
          <w:rtl w:val="true"/>
          <w:lang w:bidi="ar-SA"/>
        </w:rPr>
        <w:t>كما يمكن بصرف اليد عن ظاهر الثاني فيتمّ الاستدلال، كذا يمكن بالعكس بأن يقال</w:t>
      </w:r>
      <w:r>
        <w:rPr>
          <w:rFonts w:eastAsia="Amiri" w:cs="Amiri" w:ascii="Amiri" w:hAnsi="Amiri"/>
          <w:color w:val="111111"/>
          <w:sz w:val="28"/>
          <w:szCs w:val="28"/>
          <w:rtl w:val="true"/>
          <w:lang w:bidi="ar-SA"/>
        </w:rPr>
        <w:t xml:space="preserve">: </w:t>
      </w:r>
      <w:bookmarkStart w:id="891" w:name="pg16224_170689"/>
    </w:p>
    <w:p>
      <w:pPr>
        <w:pStyle w:val="BookText"/>
        <w:rPr/>
      </w:pPr>
      <w:bookmarkEnd w:id="891"/>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أوجد مشابه الصلاة وصورتها، فلا يتمّ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بل مدلوله بقرينة اللام الدالّة على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لانتفاعه، ومعلوم أنّ الصلاة الّتي للانتفاع هي الصحيحة، وظاهرٌ أنّ نفي الجنس في ضمن معيّن لا ينافي الحكم بإثبات مطلق الحقيقة، ضرورة أنّ انتفاء الأخصّ لا يستلزم انتفاء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تسليم أن لا يكون مدلول اللام فيما نحن فيه الانتفاع</w:t>
      </w:r>
      <w:r>
        <w:rPr>
          <w:rStyle w:val="FootnoteAnchor"/>
          <w:rtl w:val="true"/>
        </w:rPr>
        <w:footnoteReference w:id="794"/>
      </w:r>
      <w:r>
        <w:rPr>
          <w:rFonts w:ascii="Amiri" w:hAnsi="Amiri" w:eastAsia="Amiri" w:cs="Amiri"/>
          <w:color w:val="111111"/>
          <w:sz w:val="28"/>
          <w:sz w:val="28"/>
          <w:szCs w:val="28"/>
          <w:rtl w:val="true"/>
          <w:lang w:bidi="ar-SA"/>
        </w:rPr>
        <w:t>بأن يحمل على مطلق الملكيّة،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مدلوله حينئذٍ أنّه لا يكون مالكًا لجنس الصلاة؛ وهو على فرض تسليم أن يكون مستلزمًا لأن لا يكون آتيًا لجنس الصلاة، فيتحقّق التنافي بين صدر الحديث وذيله، لكنّ الترجيح للتجوّز في الذيل بحمل الصلاة المنفيّة على الصلاة المحصّلة للامتثال والصحيحة، لأولويّة التقييد من المجاز</w:t>
      </w:r>
      <w:r>
        <w:rPr>
          <w:rFonts w:eastAsia="Amiri" w:cs="Amiri" w:ascii="Amiri" w:hAnsi="Amiri"/>
          <w:color w:val="111111"/>
          <w:sz w:val="28"/>
          <w:szCs w:val="28"/>
          <w:rtl w:val="true"/>
          <w:lang w:bidi="ar-SA"/>
        </w:rPr>
        <w:t>.</w:t>
      </w:r>
    </w:p>
    <w:p>
      <w:pPr>
        <w:pStyle w:val="Heading6"/>
        <w:numPr>
          <w:ilvl w:val="5"/>
          <w:numId w:val="1"/>
        </w:numPr>
        <w:rPr/>
      </w:pPr>
      <w:bookmarkStart w:id="892" w:name="__RefHeading___Toc3734968_1280447820"/>
      <w:bookmarkStart w:id="893" w:name="_Toc350"/>
      <w:bookmarkEnd w:id="892"/>
      <w:r>
        <w:rPr>
          <w:rtl w:val="true"/>
        </w:rPr>
        <w:t>وجه الاستدلال بالنسبة إلى النوع الثاني</w:t>
      </w:r>
      <w:bookmarkEnd w:id="893"/>
    </w:p>
    <w:p>
      <w:pPr>
        <w:pStyle w:val="BookText"/>
        <w:rPr/>
      </w:pPr>
      <w:r>
        <w:rPr>
          <w:rFonts w:ascii="Amiri" w:hAnsi="Amiri" w:eastAsia="Amiri" w:cs="Amiri"/>
          <w:color w:val="111111"/>
          <w:sz w:val="28"/>
          <w:sz w:val="28"/>
          <w:szCs w:val="28"/>
          <w:rtl w:val="true"/>
          <w:lang w:bidi="ar-SA"/>
        </w:rPr>
        <w:t>وأمّا بالنسبة إلى الثاني فظاهرٌ؛ لأنّ الإعادة عبارة عن إتيان الشيء ثانيًا، وهو إنّما يتحقّق إذا كانت السابقة الفاسدة صلاة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ممّا لا اختصاص له بالقول بالصحيح؛ لتحقّقه على القولين، إذ الصلاة السابقة فاسدة والمأتيّ بها ثانيًا صحيحة، فلا يصحّ أنّ ذلك إتيان ذلك الشيء ثانيًا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بهذا المقدار ممّا لا بدّ منه في معنى الإعادة؛ لأنّها عبارة عن </w:t>
      </w:r>
      <w:bookmarkStart w:id="894" w:name="pg16224_170690"/>
    </w:p>
    <w:p>
      <w:pPr>
        <w:pStyle w:val="BookText"/>
        <w:rPr/>
      </w:pPr>
      <w:bookmarkEnd w:id="894"/>
      <w:r>
        <w:rPr>
          <w:rFonts w:ascii="Amiri" w:hAnsi="Amiri" w:eastAsia="Amiri" w:cs="Amiri"/>
          <w:color w:val="111111"/>
          <w:sz w:val="28"/>
          <w:sz w:val="28"/>
          <w:szCs w:val="28"/>
          <w:rtl w:val="true"/>
          <w:lang w:bidi="ar-SA"/>
        </w:rPr>
        <w:t>الإتيان ثانيًا لوقوع خلل في الأوّل، وهو متحقّق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الاختلاف على القول بالأعمّ في الوصف، وهو ممّا لا بدّ منه في تحقّق الإعادة؛ وأمّا على القول بالصحيح فهو بحسب الذات والحقيقة، وهو ممّا يأباه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الإعادة</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3734970_1280447820"/>
      <w:bookmarkStart w:id="896" w:name="_Toc351"/>
      <w:bookmarkEnd w:id="895"/>
      <w:r>
        <w:rPr>
          <w:rtl w:val="true"/>
        </w:rPr>
        <w:t>وجه الاستدلال بالنسبة إلى النوع الثالث</w:t>
      </w:r>
      <w:bookmarkEnd w:id="896"/>
    </w:p>
    <w:p>
      <w:pPr>
        <w:pStyle w:val="BookText"/>
        <w:rPr/>
      </w:pPr>
      <w:r>
        <w:rPr>
          <w:rFonts w:ascii="IRNazanin" w:hAnsi="IRNazanin" w:eastAsia="IRNazanin"/>
          <w:color w:val="111111"/>
          <w:sz w:val="28"/>
          <w:sz w:val="28"/>
          <w:szCs w:val="28"/>
          <w:rtl w:val="true"/>
          <w:lang w:bidi="fa-IR"/>
        </w:rPr>
        <w:t xml:space="preserve">وأمّا بالنسبة إلى الثالث، فلأنّ المراد بالناس العامّة، وإطباق أصحابنا منعقد على فساد عباداتهم، ونصوصنا مستفيضة بذلك، فلو لم تكن الصلاة مثلًا اسمًا للأعمّ من الصحيحة، لزم تركهم الخمسة بأسرها كما لا يخفى، والتالي باطل، لحكمه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بأخذ الأربع وترك الواحد، فيلزم منه أن تكون كلّ من الصلاة والزكاة والحجّ والصوم أساميًا للأعمّ من الصحيحة والفاسدة، وكذا غيرها؛ لانتفاء الفارق، فثبت المدّعى</w:t>
      </w:r>
      <w:r>
        <w:rPr>
          <w:rFonts w:eastAsia="IRNazanin" w:cs="IRNazanin"/>
          <w:color w:val="111111"/>
          <w:sz w:val="28"/>
          <w:szCs w:val="28"/>
          <w:rtl w:val="true"/>
          <w:lang w:bidi="fa-IR"/>
        </w:rPr>
        <w:t>.</w:t>
      </w:r>
    </w:p>
    <w:p>
      <w:pPr>
        <w:pStyle w:val="Heading6"/>
        <w:numPr>
          <w:ilvl w:val="5"/>
          <w:numId w:val="1"/>
        </w:numPr>
        <w:rPr/>
      </w:pPr>
      <w:bookmarkStart w:id="897" w:name="__RefHeading___Toc3734972_1280447820"/>
      <w:bookmarkStart w:id="898" w:name="_Toc352"/>
      <w:bookmarkEnd w:id="897"/>
      <w:r>
        <w:rPr>
          <w:rtl w:val="true"/>
        </w:rPr>
        <w:t>الجواب عن الاستدلال بالنسبة إلى النوع الأوّل</w:t>
      </w:r>
      <w:bookmarkEnd w:id="898"/>
    </w:p>
    <w:p>
      <w:pPr>
        <w:pStyle w:val="BookText"/>
        <w:rPr/>
      </w:pPr>
      <w:r>
        <w:rPr>
          <w:rFonts w:ascii="Amiri" w:hAnsi="Amiri" w:eastAsia="Amiri" w:cs="Amiri"/>
          <w:color w:val="111111"/>
          <w:sz w:val="28"/>
          <w:sz w:val="28"/>
          <w:szCs w:val="28"/>
          <w:rtl w:val="true"/>
          <w:lang w:bidi="ar-SA"/>
        </w:rPr>
        <w:t>ويمكن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صلّى معتقدًا لدخول الوقت، ثمّ انكشف الخلاف وظهر وقوع صلاته بأسرها خارج الوقت؛ إنّما يمكن حينئذٍ الحكم بانتفاء الصلاة لانتفاعه بناءً على القول بالصحيح لا الأعمّ، إذ بناءً عليه لا شبهة في تحقّق ماهيّة الصلاة منه؛ والظاهر القريب من القطع أنّه ممّا يوجب الثواب والأجر؛ لاشتغاله بها عازمًا للامتثال والخلوص ومتقرّبًا إلى ربّ الأرباب</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ما هناك أنّه لم يحصل له الامتثال بالنسبة إلى الأمر المتوجّه بالصلاة في </w:t>
      </w:r>
      <w:bookmarkStart w:id="899" w:name="pg16224_170691"/>
    </w:p>
    <w:p>
      <w:pPr>
        <w:pStyle w:val="BookText"/>
        <w:rPr/>
      </w:pPr>
      <w:bookmarkEnd w:id="899"/>
      <w:r>
        <w:rPr>
          <w:rFonts w:ascii="Amiri" w:hAnsi="Amiri" w:eastAsia="Amiri" w:cs="Amiri"/>
          <w:color w:val="111111"/>
          <w:sz w:val="28"/>
          <w:sz w:val="28"/>
          <w:szCs w:val="28"/>
          <w:rtl w:val="true"/>
          <w:lang w:bidi="ar-SA"/>
        </w:rPr>
        <w:t>وقتها المعيّن، وهو لا يوجب انتفاء الأجر للصلاة الّتي صدرت منه بقصد الخلوص والإطاعة، فالصلاة لانتفاعها على القول بالأعمّ متحقّقة، فكيف يمكن الحكم بانتفائها؟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إنّما يصحّ ذلك بناءً على القول بالصحيح؛ لأنّ الصلاة للانتفاع حينئذٍ غير موجودة، وإنّما الموجب للنفع فعل آخر غيرها مشابه لها، فالحمل على هذا المعنى مفسد للقول بالأعمّ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له ودليلٌ للقول بالصحيح، لا دليلٌ عليه، إلّا أن يقيّد الانتفاع بالامتثال أو الكامل، أو يقيّد المصلّي بما إذا أتى الصلاة خارج الوقت مع عدم اعتقاده دخوله، أو اعتقاده عدم دخوله، وكلّ ذلك مخالفٌ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الحكم بأولويّة التقييد من التجوّز غير صحيح على إطلاقه، بل إنّما يسلم إذا لم يترجّح التجوّز بمرجّح؛ وما تقدّم من الأدلّة وموافقة 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يدّع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يرجّحه عليه في الغاية</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3734974_1280447820"/>
      <w:bookmarkStart w:id="901" w:name="_Toc353"/>
      <w:bookmarkEnd w:id="900"/>
      <w:r>
        <w:rPr>
          <w:rtl w:val="true"/>
        </w:rPr>
        <w:t>الجواب عن الاستدلال بالنسبة إلى النوع الثاني</w:t>
      </w:r>
      <w:bookmarkEnd w:id="901"/>
    </w:p>
    <w:p>
      <w:pPr>
        <w:pStyle w:val="BookText"/>
        <w:rPr/>
      </w:pPr>
      <w:r>
        <w:rPr>
          <w:rFonts w:ascii="Amiri" w:hAnsi="Amiri" w:eastAsia="Amiri" w:cs="Amiri"/>
          <w:color w:val="111111"/>
          <w:sz w:val="28"/>
          <w:sz w:val="28"/>
          <w:szCs w:val="28"/>
          <w:rtl w:val="true"/>
          <w:lang w:bidi="ar-SA"/>
        </w:rPr>
        <w:t>وأمّا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ذلك مبنيٌّ على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المعنى المذكور في اللغة، أو عند الشارع، وكلاهما محلّ المنع، فعلى هذا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صلواتك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صلواتك، وهكذا، فسقط الاستدلال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التسليم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التجوّز في كثير</w:t>
      </w:r>
      <w:r>
        <w:rPr>
          <w:rStyle w:val="FootnoteAnchor"/>
          <w:rtl w:val="true"/>
        </w:rPr>
        <w:footnoteReference w:id="795"/>
      </w:r>
      <w:r>
        <w:rPr>
          <w:rFonts w:ascii="Amiri" w:hAnsi="Amiri" w:eastAsia="Amiri" w:cs="Amiri"/>
          <w:color w:val="111111"/>
          <w:sz w:val="28"/>
          <w:sz w:val="28"/>
          <w:szCs w:val="28"/>
          <w:rtl w:val="true"/>
          <w:lang w:bidi="ar-SA"/>
        </w:rPr>
        <w:t xml:space="preserve">من تلك النصوص ممّا لا بدّ </w:t>
      </w:r>
    </w:p>
    <w:p>
      <w:pPr>
        <w:pStyle w:val="BookText"/>
        <w:rPr/>
      </w:pPr>
      <w:r>
        <w:rPr>
          <w:rFonts w:ascii="Amiri" w:hAnsi="Amiri" w:eastAsia="Amiri" w:cs="Amiri"/>
          <w:color w:val="111111"/>
          <w:sz w:val="28"/>
          <w:sz w:val="28"/>
          <w:szCs w:val="28"/>
          <w:rtl w:val="true"/>
          <w:lang w:bidi="ar-SA"/>
        </w:rPr>
        <w:t>منه، إذ الإعادة بناءً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الشيء ثانيًا لوقوع خلل ونقص في الأوّل؛ وهذا المعنى في النصوص المشتملة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صلواتك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ممّا علّق فيه الإعادة بالصلاة إنّما يتحقّق إذا كان ظهور مقتضى الإعادة بعد الفراغ من العمل؛ لأنّ الصلاة أفعال مفتتحة بالتكبير ومختتمة</w:t>
      </w:r>
      <w:r>
        <w:rPr>
          <w:rStyle w:val="FootnoteAnchor"/>
          <w:rtl w:val="true"/>
        </w:rPr>
        <w:footnoteReference w:id="796"/>
      </w:r>
      <w:r>
        <w:rPr>
          <w:rFonts w:ascii="Amiri" w:hAnsi="Amiri" w:eastAsia="Amiri" w:cs="Amiri"/>
          <w:color w:val="111111"/>
          <w:sz w:val="28"/>
          <w:sz w:val="28"/>
          <w:szCs w:val="28"/>
          <w:rtl w:val="true"/>
          <w:lang w:bidi="ar-SA"/>
        </w:rPr>
        <w:t>بالتسليم إمّا مطلقًا كما يقتضيه القول بالأعمّ، أو على وجه الصحّة كما يقتضيه القول الآخر، فهي بالنسبة إلى الركعات ليست من قبيل اللفظ الموضوع للمعنى العامّ المتحقّق في ضمن كلّ أبعاضه، كالماء الموضوع للجسم السيّال المخصوص المتحقّق في ضمن كلّ أبعاضه؛ ولهذا يكون كلّ بعض من أبعاضه جزئيًّا من جزئيّاته وفردًا من أفراده، بل هي موضوعة للمعنى المجموع والمركّب الّذي يكون كلّ بعض منه جزءًا من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لا يقال لمن صلّى صلاة الظهر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أوجد ماهيّات متعدّدة من الصلاة في ضمن جزئيّات متعدّدة،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أوجد ماهيّة الصلاة في ضمن فرد واحد، فعلى هذا إذا علم مقتضى الإعادة قبل الفراغ مطلقًا ولو كان في الركعة الأخيرة، 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صلوتك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الحقيقة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وكثير من النصوص من هذا القبيل، بل لا بدّ حينئذٍ إمّا رفع اليد عن ظاهر الإعادة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منها إتيان العمل، أو عن ظاهر الصلاة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إطلاقها في ذلك المقام على التجوّز، وعلى التقديرين لا يتمّ 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بناءً عليه لم يثبت منه إطلاق الصلاة على الفاسدة حتّى يتمسّك بأنّ الأصل في الاستعمال الحقيقة؛ لأنّ المراد حينئذٍ الأمر بإتيان الصلاة المأمور 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فلكونه مبنيًّا على أنّ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الفاسد على وجه التجوّز، فلا يتمّ التقريب، فتأمّل في المقام حتّى يظهر لك عدم اختصاص هذا المرام بالقول بالحقيقة الشرعيّة وتماميّته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على التقدير الأوّل وإن كانت مسلّمة، لكنّها على الثاني غير مسلّمة؛ لأنّ إطلاق الصلاة على ذلك الجزء إنّما هو لكونه جزءًا، فيطلق اسم الكلّ عليه؛ وهذا إنّما يتمّ إذا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للكلّ الفاسد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المسلّم أنّ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على التجوّز، وأمّا كون العلاقة ما ذكر فممنوع، فمن أين يتأتّى 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تكون المشابهة في الصورة،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تلك الأفعال مشابهة في الصورة للصلاة الصحيحة أطلق عليها اسمها، فإذا قام الاحتمال بطل الاستدلال، فعلى ما ذكر يكون المدلول في النصوص الّتي على هذا المنوال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تلك الأفعال مثلًا</w:t>
      </w:r>
      <w:r>
        <w:rPr>
          <w:rStyle w:val="FootnoteAnchor"/>
          <w:rtl w:val="true"/>
        </w:rPr>
        <w:footnoteReference w:id="797"/>
      </w:r>
      <w:r>
        <w:rPr>
          <w:rFonts w:ascii="Amiri" w:hAnsi="Amiri" w:eastAsia="Amiri" w:cs="Amiri"/>
          <w:color w:val="111111"/>
          <w:sz w:val="28"/>
          <w:sz w:val="28"/>
          <w:szCs w:val="28"/>
          <w:rtl w:val="true"/>
          <w:lang w:bidi="ar-SA"/>
        </w:rPr>
        <w:t>، فلا دخل لها فيما نحن فيه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النصوص الّتي لم تكن كذلك، بل يكون ظهور المقتضي للإعادة بعد الفراغ، فإطلاق الصلاة على الفاسدة وإن كان مسلّمًا، لكنّه لا يثبت منه المدّعى، </w:t>
      </w:r>
    </w:p>
    <w:p>
      <w:pPr>
        <w:pStyle w:val="BookText"/>
        <w:rPr/>
      </w:pPr>
      <w:r>
        <w:rPr>
          <w:rFonts w:ascii="Amiri" w:hAnsi="Amiri" w:eastAsia="Amiri" w:cs="Amiri"/>
          <w:color w:val="111111"/>
          <w:sz w:val="28"/>
          <w:sz w:val="28"/>
          <w:szCs w:val="28"/>
          <w:rtl w:val="true"/>
          <w:lang w:bidi="ar-SA"/>
        </w:rPr>
        <w:t xml:space="preserve">إمّا للمنع من أصالة الحقيقة فيما نحن فيه، بناءً على دوران الأمر بين الاشتراك والمجاز، إذ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للصحيحة ممّا لا شبهة فيه، فلو كان اسمًا للفاسدة أيضًا يلزم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مبنيّ على كون الصحيحة بخصوصها مسمّى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ممّا لا يلتزمه</w:t>
      </w:r>
      <w:r>
        <w:rPr>
          <w:rStyle w:val="FootnoteAnchor"/>
          <w:rtl w:val="true"/>
        </w:rPr>
        <w:footnoteReference w:id="798"/>
      </w:r>
      <w:r>
        <w:rPr>
          <w:rFonts w:ascii="Amiri" w:hAnsi="Amiri" w:eastAsia="Amiri" w:cs="Amiri"/>
          <w:color w:val="111111"/>
          <w:sz w:val="28"/>
          <w:sz w:val="28"/>
          <w:szCs w:val="28"/>
          <w:rtl w:val="true"/>
          <w:lang w:bidi="ar-SA"/>
        </w:rPr>
        <w:t>القائل بالأعمّ،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اسم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خصوص الصحيحة مسمّى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لزم أن يكون استعماله في خصوص الصحيحة بأن يراد الخصوصيّة من ذلك اللفظ مجازًا، وهو ممّا لا شبهة في فساده؛ وعدم صحّة سلب الصلاة عن الصحيحة بخصوصها دليل عليه، فإذا ثبت وضعه لخصوص الصحيحة بالتبادر وعدم صحّة السلب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اسمًا أيضًا للأعمّ أو الفاسدة</w:t>
      </w:r>
      <w:r>
        <w:rPr>
          <w:rStyle w:val="FootnoteAnchor"/>
          <w:rtl w:val="true"/>
        </w:rPr>
        <w:footnoteReference w:id="799"/>
      </w:r>
      <w:r>
        <w:rPr>
          <w:rFonts w:ascii="Amiri" w:hAnsi="Amiri" w:eastAsia="Amiri" w:cs="Amiri"/>
          <w:color w:val="111111"/>
          <w:sz w:val="28"/>
          <w:sz w:val="28"/>
          <w:szCs w:val="28"/>
          <w:rtl w:val="true"/>
          <w:lang w:bidi="ar-SA"/>
        </w:rPr>
        <w:t>فقط يلزم الاشتراك المرجوح بالنسبة إلى المجاز</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لأنّ حمله على مقتضى الأصل يوجب التجوّز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وأشباهه، وحملها على ظاهرها يوجب التجوّز فيما نحن فيه، وهو أولى، بل متعيّن لما تقدّم</w:t>
      </w:r>
      <w:r>
        <w:rPr>
          <w:rFonts w:eastAsia="IRNazanin" w:cs="IRNazanin"/>
          <w:color w:val="111111"/>
          <w:sz w:val="28"/>
          <w:szCs w:val="28"/>
          <w:rtl w:val="true"/>
          <w:lang w:bidi="fa-IR"/>
        </w:rPr>
        <w:t xml:space="preserve">. </w:t>
      </w:r>
      <w:bookmarkStart w:id="902" w:name="pg16224_170695"/>
    </w:p>
    <w:p>
      <w:pPr>
        <w:pStyle w:val="Heading6"/>
        <w:numPr>
          <w:ilvl w:val="5"/>
          <w:numId w:val="1"/>
        </w:numPr>
        <w:rPr/>
      </w:pPr>
      <w:bookmarkStart w:id="903" w:name="__RefHeading___Toc3734976_1280447820"/>
      <w:bookmarkStart w:id="904" w:name="_Toc354"/>
      <w:bookmarkEnd w:id="902"/>
      <w:bookmarkEnd w:id="903"/>
      <w:r>
        <w:rPr>
          <w:rtl w:val="true"/>
        </w:rPr>
        <w:t>الجواب عن الاستدلال بالنسبة إلى النوع الثالث</w:t>
      </w:r>
      <w:bookmarkEnd w:id="904"/>
    </w:p>
    <w:p>
      <w:pPr>
        <w:pStyle w:val="BookText"/>
        <w:rPr/>
      </w:pPr>
      <w:r>
        <w:rPr>
          <w:rFonts w:ascii="Amiri" w:hAnsi="Amiri" w:eastAsia="Amiri" w:cs="Amiri"/>
          <w:color w:val="111111"/>
          <w:sz w:val="28"/>
          <w:sz w:val="28"/>
          <w:szCs w:val="28"/>
          <w:rtl w:val="true"/>
          <w:lang w:bidi="ar-SA"/>
        </w:rPr>
        <w:t>وأمّا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المعرفة إذا أعيدت نكرة كان الثاني غير الأوّل، وكذا النكرة إذا أعيدت نكرة</w:t>
      </w:r>
      <w:r>
        <w:rPr>
          <w:rStyle w:val="FootnoteAnchor"/>
          <w:rtl w:val="true"/>
        </w:rPr>
        <w:footnoteReference w:id="800"/>
      </w:r>
      <w:r>
        <w:rPr>
          <w:rFonts w:ascii="Amiri" w:hAnsi="Amiri" w:eastAsia="Amiri" w:cs="Amiri"/>
          <w:color w:val="111111"/>
          <w:sz w:val="28"/>
          <w:sz w:val="28"/>
          <w:szCs w:val="28"/>
          <w:rtl w:val="true"/>
          <w:lang w:bidi="ar-SA"/>
        </w:rPr>
        <w:t xml:space="preserve">، فلو كانت الصلاة اسمًا للأعمّ من الصحيحة، مقتضى 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نكرة أن تتكون غير الأربع المذكورة؛ وهو إنّما يتحقّق على هذا التقدير أن تكون الأربع الّتي أخذها الناس مشاركة مع تلك الأربعة المذكورة في الصورة، لا في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نظر، للقطع بأنّ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 على خمسة،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ليس إلّا الصحيحة، لا الفاسدة ولا الأعمّ، فلو كان ما أخذه الناس فاسدًا تتحقّق المغايرة، مع كون الصلاة حقيقة فيهما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فالحقّ في الجواب هو ما تقدّم من الوجهين المذكورين آنفًا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ثبت من ذلك إطلاق الصلاة على الفاسدة، وهو ممّا لا ينكر، لكنّه لا يثبت منه المدّعى إلّا بعد أن يضمّ به أنّ الأصل في الاستعمال الحقيقة؛ وهذه الضميمة فيما نحن فيه غير صحيحة؛ لما عرفت من دوران الأمر بين المجاز والاشتراك، بل الأصل فيه التجوّز على ما مرّ تحقيق الحال بحيث لا مزيد عليه</w:t>
      </w:r>
      <w:r>
        <w:rPr>
          <w:rFonts w:eastAsia="Amiri" w:cs="Amiri" w:ascii="Amiri" w:hAnsi="Amiri"/>
          <w:color w:val="111111"/>
          <w:sz w:val="28"/>
          <w:szCs w:val="28"/>
          <w:rtl w:val="true"/>
          <w:lang w:bidi="ar-SA"/>
        </w:rPr>
        <w:t xml:space="preserve">. </w:t>
      </w:r>
      <w:bookmarkStart w:id="905" w:name="pg16224_170696"/>
    </w:p>
    <w:p>
      <w:pPr>
        <w:pStyle w:val="BookText"/>
        <w:rPr/>
      </w:pPr>
      <w:bookmarkEnd w:id="905"/>
      <w:r>
        <w:rPr>
          <w:rFonts w:ascii="Amiri" w:hAnsi="Amiri" w:eastAsia="Amiri" w:cs="Amiri"/>
          <w:color w:val="111111"/>
          <w:sz w:val="28"/>
          <w:sz w:val="28"/>
          <w:szCs w:val="28"/>
          <w:rtl w:val="true"/>
          <w:lang w:bidi="ar-SA"/>
        </w:rPr>
        <w:t>والثاني بعد الإغماض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بالأصل المذكور إنّما يتوجّه إذا لم يعارضه مخالفة الأصل من وجه آخر؛ وما نحن فيه ليس منه؛ لأنّ العمل بمقتضى الأصل فيما نحن فيه يستلزم صرف النصوص السالفة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وأشباهها عن ظواهرها وبالعكس، واللازم في مقام التعارض اختيار الراجح من المتعارضين والعدول عن المرجوح في البين، وقد ظهر ممّا سلف وجه الرجحان والمرجوحيّة، فلاحظ</w:t>
      </w:r>
      <w:r>
        <w:rPr>
          <w:rFonts w:eastAsia="Amiri" w:cs="Amiri" w:ascii="Amiri" w:hAnsi="Amiri"/>
          <w:color w:val="111111"/>
          <w:sz w:val="28"/>
          <w:szCs w:val="28"/>
          <w:rtl w:val="true"/>
          <w:lang w:bidi="ar-SA"/>
        </w:rPr>
        <w:t>.</w:t>
      </w:r>
    </w:p>
    <w:p>
      <w:pPr>
        <w:pStyle w:val="Heading6"/>
        <w:numPr>
          <w:ilvl w:val="5"/>
          <w:numId w:val="1"/>
        </w:numPr>
        <w:rPr/>
      </w:pPr>
      <w:bookmarkStart w:id="906" w:name="__RefHeading___Toc3734978_1280447820"/>
      <w:bookmarkStart w:id="907" w:name="_Toc355"/>
      <w:bookmarkEnd w:id="906"/>
      <w:r>
        <w:rPr>
          <w:rtl w:val="true"/>
        </w:rPr>
        <w:t>الدليل الثاني</w:t>
      </w:r>
      <w:bookmarkEnd w:id="907"/>
    </w:p>
    <w:p>
      <w:pPr>
        <w:pStyle w:val="Heading6"/>
        <w:numPr>
          <w:ilvl w:val="5"/>
          <w:numId w:val="1"/>
        </w:numPr>
        <w:rPr/>
      </w:pPr>
      <w:bookmarkStart w:id="908" w:name="__RefHeading___Toc3734980_1280447820"/>
      <w:bookmarkStart w:id="909" w:name="_Toc356"/>
      <w:bookmarkEnd w:id="908"/>
      <w:r>
        <w:rPr>
          <w:rtl w:val="true"/>
        </w:rPr>
        <w:t>اشارة</w:t>
      </w:r>
      <w:bookmarkEnd w:id="909"/>
    </w:p>
    <w:p>
      <w:pPr>
        <w:pStyle w:val="BookText"/>
        <w:rPr/>
      </w:pPr>
      <w:r>
        <w:rPr>
          <w:rFonts w:ascii="Amiri" w:hAnsi="Amiri" w:eastAsia="Amiri" w:cs="Amiri"/>
          <w:color w:val="111111"/>
          <w:sz w:val="28"/>
          <w:sz w:val="28"/>
          <w:szCs w:val="28"/>
          <w:rtl w:val="true"/>
          <w:lang w:bidi="ar-SA"/>
        </w:rPr>
        <w:t>والثاني من الوجوه الّتي يتمسّك بها لإثبات أنّ الألفاظ أسامٍ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الصلاة ونحوها إلى الصحيحة والفاسدة، ومعلوم أنّ المقسم معتبر في الأقسام ومشترك بينها، إذ القسمة عبارة عن ضمّ قيود متباينة أو المتغايرة بالمقسم، فبانضمام كلّ قيد إليه يحصل قسم</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0" w:name="__RefHeading___Toc3734982_1280447820"/>
      <w:bookmarkStart w:id="911" w:name="_Toc357"/>
      <w:bookmarkEnd w:id="910"/>
      <w:r>
        <w:rPr>
          <w:rtl w:val="true"/>
        </w:rPr>
        <w:t>الجواب عن الدليل الثاني</w:t>
      </w:r>
      <w:bookmarkEnd w:id="911"/>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دعوى التقسيم في النصوص أو في كتب الفقهاء إليهما، فهي ممنوعة؛ لأنّا لم نجده في شيء من النصوص والكتب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دعوى صحّة القسمة إليهما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مبنيّةٌ على كون اللفظ اسمًا للأعمّ من الصحيحة والفاسدة، فالاستدلال به عليه يوجب الدور</w:t>
      </w:r>
      <w:r>
        <w:rPr>
          <w:rFonts w:eastAsia="Amiri" w:cs="Amiri" w:ascii="Amiri" w:hAnsi="Amiri"/>
          <w:color w:val="111111"/>
          <w:sz w:val="28"/>
          <w:szCs w:val="28"/>
          <w:rtl w:val="true"/>
          <w:lang w:bidi="ar-SA"/>
        </w:rPr>
        <w:t xml:space="preserve">. </w:t>
      </w:r>
      <w:bookmarkStart w:id="912" w:name="pg16224_170697"/>
    </w:p>
    <w:p>
      <w:pPr>
        <w:pStyle w:val="BookText"/>
        <w:rPr/>
      </w:pPr>
      <w:bookmarkEnd w:id="912"/>
      <w:r>
        <w:rPr>
          <w:rFonts w:ascii="Amiri" w:hAnsi="Amiri" w:eastAsia="Amiri" w:cs="Amiri"/>
          <w:color w:val="111111"/>
          <w:sz w:val="28"/>
          <w:sz w:val="28"/>
          <w:szCs w:val="28"/>
          <w:rtl w:val="true"/>
          <w:lang w:bidi="ar-SA"/>
        </w:rPr>
        <w:t>وإن أريد صحّتها</w:t>
      </w:r>
      <w:r>
        <w:rPr>
          <w:rStyle w:val="FootnoteAnchor"/>
          <w:rtl w:val="true"/>
        </w:rPr>
        <w:footnoteReference w:id="803"/>
      </w:r>
      <w:r>
        <w:rPr>
          <w:rFonts w:ascii="Amiri" w:hAnsi="Amiri" w:eastAsia="Amiri" w:cs="Amiri"/>
          <w:color w:val="111111"/>
          <w:sz w:val="28"/>
          <w:sz w:val="28"/>
          <w:szCs w:val="28"/>
          <w:rtl w:val="true"/>
          <w:lang w:bidi="ar-SA"/>
        </w:rPr>
        <w:t>في العرف والعادة إليهما</w:t>
      </w:r>
      <w:r>
        <w:rPr>
          <w:rStyle w:val="FootnoteAnchor"/>
          <w:rtl w:val="true"/>
        </w:rPr>
        <w:footnoteReference w:id="804"/>
      </w:r>
      <w:r>
        <w:rPr>
          <w:rFonts w:ascii="Amiri" w:hAnsi="Amiri" w:eastAsia="Amiri" w:cs="Amiri"/>
          <w:color w:val="111111"/>
          <w:sz w:val="28"/>
          <w:sz w:val="28"/>
          <w:szCs w:val="28"/>
          <w:rtl w:val="true"/>
          <w:lang w:bidi="ar-SA"/>
        </w:rPr>
        <w:t>، فيستدلّ بها على كون اللفظ اسمًا للأعمّ، نمنع ذلك أوّلًا ودلالتها ثانيًا؛ لأنّ كثرة استعمال اللفظ في المعنى المجازيّ قد يوجب المسامحة في أمثال ذلك؛ ولهذا تجد القبح والوحشة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وفاسدة؛ لعدم تحقّق الكثرة في هذا اللفظ، وكذا الخمس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التسليم في الكلّ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هناك ظهور القسمة في ذلك، والظهور ممّا يجب رفع اليد عنه عند معارضته بأقوى منه، وقد عرفت الحال مفصّلًا وستقف على ما ينفعك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الشهيد الثاني في المسالك في كتاب الأيمان بعد الحكم بأنّ عقد البيع وغيره من العقود حقيقة في الصحيح مجاز في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وانقسامه إلى الصحيح والفاسد أعمّ من الحقيقة</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3" w:name="__RefHeading___Toc3734984_1280447820"/>
      <w:bookmarkStart w:id="914" w:name="_Toc358"/>
      <w:bookmarkEnd w:id="913"/>
      <w:r>
        <w:rPr>
          <w:rtl w:val="true"/>
        </w:rPr>
        <w:t>الدليل الثالث</w:t>
      </w:r>
      <w:bookmarkEnd w:id="914"/>
    </w:p>
    <w:p>
      <w:pPr>
        <w:pStyle w:val="Heading6"/>
        <w:numPr>
          <w:ilvl w:val="5"/>
          <w:numId w:val="1"/>
        </w:numPr>
        <w:rPr/>
      </w:pPr>
      <w:bookmarkStart w:id="915" w:name="__RefHeading___Toc3734986_1280447820"/>
      <w:bookmarkStart w:id="916" w:name="_Toc359"/>
      <w:bookmarkEnd w:id="915"/>
      <w:r>
        <w:rPr>
          <w:rtl w:val="true"/>
        </w:rPr>
        <w:t>اشارة</w:t>
      </w:r>
      <w:bookmarkEnd w:id="91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عدم صحّة السلب من الفاسدة، فيعلم منه أنّ الاستعمال على الحقيقة</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bookmarkStart w:id="917" w:name="pg16224_170698"/>
    </w:p>
    <w:p>
      <w:pPr>
        <w:pStyle w:val="Heading6"/>
        <w:numPr>
          <w:ilvl w:val="5"/>
          <w:numId w:val="1"/>
        </w:numPr>
        <w:rPr/>
      </w:pPr>
      <w:bookmarkStart w:id="918" w:name="__RefHeading___Toc3734988_1280447820"/>
      <w:bookmarkStart w:id="919" w:name="_Toc360"/>
      <w:bookmarkEnd w:id="917"/>
      <w:bookmarkEnd w:id="918"/>
      <w:r>
        <w:rPr>
          <w:rtl w:val="true"/>
        </w:rPr>
        <w:t>الجواب عن الدليل الثالث</w:t>
      </w:r>
      <w:bookmarkEnd w:id="919"/>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عدم صحّة السلب في النصوص، فهو ممنوع،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قد عرفت خلافه فيها</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المراد في غيرها نقول بمثل ما تقدّم من ابتنائه على القول بالأعمّ، فالاستدلال به عليه يوجب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في العرف غير الفقهاء، نمنع ذلك أوّلًا؛ لأنّ من صلّى الفريضة إلى غير القبلة مع عدم الطهارة، مع علمه بكلّ منهما وكذا علم العرف، ويخرج كلّ ساعة ألف ضرطة، ويتكلّم كلّ آن بألف كلام، ويشتغل بالحمد والسورة والركوع والسجود وغيرها،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حكمهم بأنّها ليس بصلاة من دون أن يتأمّل أحد منهم في ذلك، وكذلك بالنسبة إلى من أتى جميع أفعال الصلاة والشرائط، لكن مع قصد الاستهزاء والسخريّة واللعب والمضحكة، ولا يتأمّل واحد</w:t>
      </w:r>
      <w:r>
        <w:rPr>
          <w:rStyle w:val="FootnoteAnchor"/>
          <w:rtl w:val="true"/>
        </w:rPr>
        <w:footnoteReference w:id="808"/>
      </w:r>
      <w:r>
        <w:rPr>
          <w:rFonts w:ascii="Amiri" w:hAnsi="Amiri" w:eastAsia="Amiri" w:cs="Amiri"/>
          <w:color w:val="111111"/>
          <w:sz w:val="28"/>
          <w:sz w:val="28"/>
          <w:szCs w:val="28"/>
          <w:rtl w:val="true"/>
          <w:lang w:bidi="ar-SA"/>
        </w:rPr>
        <w:t>منهم في صحّة الحكم بأنّها ليست صلاة، وهكذا الحال في غير ما ذكر، فلو كان اسمًا للأعمّ من الصحيحة والفاسدة لما أمكن ذلك في شيء من الموارد؛ لتحقّق الأركان فيها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ونمنع صحّة الاستدلال ثانيًا؛ لأنّ علم العوامّ من المتشرّعين بالمعاني الشرعيّة التوقيفيّة إنّما هو بواسطة علمائهم وهم مختلفون في المسألة، ولا يجوز مزيّة الفرع على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علم العوامّ من المتشرّعين بواسطة علمائهم؛ لوضوح أنّ الشارع أوقف الحاضرين المكلّفين على المعاني الشرعيّة قطعًا وبقيت تلك المعاني بينهم خلفًا عن سلف وحديثًا عن قديم إلى هذا الزمان وهكذا إلى يوم القيامة؛ ومنه يظهر الوجه في رجوع العلماء في تشخيص المعاني اللغويّة والعرفيّة إلى أهل اللسان ولو كانوا من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شبهة في فساده فيما نحن فيه؛ إذ القدر المسلّم تحقّق العلم في الجملة بالمعاني الشرعيّة، وأمّا على التفصيل فليس بحاصل قطعًا، وإلّا كانت المعاني الشرعيّة بأسرها معلومة تفصيلًا لكلّ أحد؛ وهل حيرة</w:t>
      </w:r>
      <w:r>
        <w:rPr>
          <w:rStyle w:val="FootnoteAnchor"/>
          <w:rtl w:val="true"/>
        </w:rPr>
        <w:footnoteReference w:id="809"/>
      </w:r>
      <w:r>
        <w:rPr>
          <w:rFonts w:ascii="Amiri" w:hAnsi="Amiri" w:eastAsia="Amiri" w:cs="Amiri"/>
          <w:color w:val="111111"/>
          <w:sz w:val="28"/>
          <w:sz w:val="28"/>
          <w:szCs w:val="28"/>
          <w:rtl w:val="true"/>
          <w:lang w:bidi="ar-SA"/>
        </w:rPr>
        <w:t>العلماء إلّا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المسلّم</w:t>
      </w:r>
      <w:r>
        <w:rPr>
          <w:rStyle w:val="FootnoteAnchor"/>
          <w:rtl w:val="true"/>
        </w:rPr>
        <w:footnoteReference w:id="810"/>
      </w:r>
      <w:r>
        <w:rPr>
          <w:rFonts w:ascii="Amiri" w:hAnsi="Amiri" w:eastAsia="Amiri" w:cs="Amiri"/>
          <w:color w:val="111111"/>
          <w:sz w:val="28"/>
          <w:sz w:val="28"/>
          <w:szCs w:val="28"/>
          <w:rtl w:val="true"/>
          <w:lang w:bidi="ar-SA"/>
        </w:rPr>
        <w:t>لا يكفي فيما نحن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نحن نقطع بأنّ استعمالات العوامّ وطريق محاوراتهم في الألفاظ الشرعيّة غير منحصرة على نهج في طريق استعمالات الشارع، بل حصل التغيير والتبديل بحيث لا يوافق شيئًا من القولين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أردت أن يظهر لك حقيقة الحال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العوام إذا رأوا المتوضّئ يغسل الوجه لا بتمام أجزائه واليدين إلى الزند مثلًا، يحكمون بأنّه توضّأ ولا يرضون بالسلب، مع أنّ تحقّق الماهيّة على القولين ممّا لا بدّ منه في تحقّق</w:t>
      </w:r>
      <w:r>
        <w:rPr>
          <w:rStyle w:val="FootnoteAnchor"/>
          <w:rtl w:val="true"/>
        </w:rPr>
        <w:footnoteReference w:id="811"/>
      </w:r>
      <w:r>
        <w:rPr>
          <w:rFonts w:ascii="Amiri" w:hAnsi="Amiri" w:eastAsia="Amiri" w:cs="Amiri"/>
          <w:color w:val="111111"/>
          <w:sz w:val="28"/>
          <w:sz w:val="28"/>
          <w:szCs w:val="28"/>
          <w:rtl w:val="true"/>
          <w:lang w:bidi="ar-SA"/>
        </w:rPr>
        <w:t xml:space="preserve">المسمّى </w:t>
      </w:r>
    </w:p>
    <w:p>
      <w:pPr>
        <w:pStyle w:val="BookText"/>
        <w:rPr/>
      </w:pPr>
      <w:r>
        <w:rPr>
          <w:rFonts w:ascii="Amiri" w:hAnsi="Amiri" w:eastAsia="Amiri" w:cs="Amiri"/>
          <w:color w:val="111111"/>
          <w:sz w:val="28"/>
          <w:sz w:val="28"/>
          <w:szCs w:val="28"/>
          <w:rtl w:val="true"/>
          <w:lang w:bidi="ar-SA"/>
        </w:rPr>
        <w:t>الشرعيّ</w:t>
      </w:r>
      <w:r>
        <w:rPr>
          <w:rStyle w:val="FootnoteAnchor"/>
          <w:rtl w:val="true"/>
        </w:rPr>
        <w:footnoteReference w:id="812"/>
      </w:r>
      <w:r>
        <w:rPr>
          <w:rFonts w:ascii="Amiri" w:hAnsi="Amiri" w:eastAsia="Amiri" w:cs="Amiri"/>
          <w:color w:val="111111"/>
          <w:sz w:val="28"/>
          <w:sz w:val="28"/>
          <w:szCs w:val="28"/>
          <w:rtl w:val="true"/>
          <w:lang w:bidi="ar-SA"/>
        </w:rPr>
        <w:t>، وهي في الوضوء عبارة عن غسل الأعضاء مثلًا بحيث تكون مستوعبة، والسلب عن الوضوء بالطريق المذكور متحقّق ولو على القول بالأعمّ؛ لانتفاء الماهيّة، مع أنّهم لا يرضون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حصل الإخلال ببعض أركان الصلاة، مع أنّ انتفاءه يوجب انتفاء الماهيّة والمسمّى ولو على القول بالأعمّ، مع أنّهم لا يحكمون بذلك، بل ربّما يحكمون بالصحّة؛ ولهذا تراهم قاطبتهم إلّا الشاذّ منهم أنّ أعمالهم ليست على النهج المعتبر في الشريعة</w:t>
      </w:r>
      <w:r>
        <w:rPr>
          <w:rStyle w:val="FootnoteAnchor"/>
          <w:rtl w:val="true"/>
        </w:rPr>
        <w:footnoteReference w:id="813"/>
      </w:r>
      <w:r>
        <w:rPr>
          <w:rFonts w:ascii="Amiri" w:hAnsi="Amiri" w:eastAsia="Amiri" w:cs="Amiri"/>
          <w:color w:val="111111"/>
          <w:sz w:val="28"/>
          <w:sz w:val="28"/>
          <w:szCs w:val="28"/>
          <w:rtl w:val="true"/>
          <w:lang w:bidi="ar-SA"/>
        </w:rPr>
        <w:t>مع أنّهم معتقدون شرعيّتها وصحّتها، فيعلم منه انتفاء التعويل على محاوراتهم وعدم الاعتماد على مقتضى استعمالاتهم فيما نحن فيه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دعوى علمهم</w:t>
      </w:r>
      <w:r>
        <w:rPr>
          <w:rStyle w:val="FootnoteAnchor"/>
          <w:rtl w:val="true"/>
        </w:rPr>
        <w:footnoteReference w:id="814"/>
      </w:r>
      <w:r>
        <w:rPr>
          <w:rFonts w:ascii="Amiri" w:hAnsi="Amiri" w:eastAsia="Amiri" w:cs="Amiri"/>
          <w:color w:val="111111"/>
          <w:sz w:val="28"/>
          <w:sz w:val="28"/>
          <w:szCs w:val="28"/>
          <w:rtl w:val="true"/>
          <w:lang w:bidi="ar-SA"/>
        </w:rPr>
        <w:t>بالمعاني الشرعيّة على الوجه المذكور ممّا لا شبهة فيه ولا ريب يعتريه،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مع مخالفته للواقع كما هو ظاهر عند كلّ أحد، يستلزم انسداد باب التقليد والاجتهاد</w:t>
      </w:r>
      <w:r>
        <w:rPr>
          <w:rFonts w:eastAsia="Amiri" w:cs="Amiri" w:ascii="Amiri" w:hAnsi="Amiri"/>
          <w:color w:val="111111"/>
          <w:sz w:val="28"/>
          <w:szCs w:val="28"/>
          <w:rtl w:val="true"/>
          <w:lang w:bidi="ar-SA"/>
        </w:rPr>
        <w:t xml:space="preserve">. </w:t>
      </w:r>
      <w:bookmarkStart w:id="920" w:name="pg16224_170701"/>
    </w:p>
    <w:p>
      <w:pPr>
        <w:pStyle w:val="Heading5"/>
        <w:numPr>
          <w:ilvl w:val="4"/>
          <w:numId w:val="1"/>
        </w:numPr>
        <w:rPr/>
      </w:pPr>
      <w:bookmarkStart w:id="921" w:name="__RefHeading___Toc3734990_1280447820"/>
      <w:bookmarkStart w:id="922" w:name="_Toc361"/>
      <w:bookmarkEnd w:id="920"/>
      <w:bookmarkEnd w:id="921"/>
      <w:r>
        <w:rPr>
          <w:rtl w:val="true"/>
        </w:rPr>
        <w:t>في المؤيّدات الّتي ذكرت للقول بالأعمّ مع الجواب عنها</w:t>
      </w:r>
      <w:bookmarkEnd w:id="922"/>
    </w:p>
    <w:p>
      <w:pPr>
        <w:pStyle w:val="Heading5"/>
        <w:numPr>
          <w:ilvl w:val="4"/>
          <w:numId w:val="1"/>
        </w:numPr>
        <w:rPr/>
      </w:pPr>
      <w:bookmarkStart w:id="923" w:name="__RefHeading___Toc3734992_1280447820"/>
      <w:bookmarkStart w:id="924" w:name="_Toc362"/>
      <w:bookmarkEnd w:id="923"/>
      <w:r>
        <w:rPr>
          <w:rtl w:val="true"/>
        </w:rPr>
        <w:t>إيراد كلمات للتفصّي عن مؤيّدات</w:t>
      </w:r>
      <w:bookmarkEnd w:id="924"/>
    </w:p>
    <w:p>
      <w:pPr>
        <w:pStyle w:val="Heading6"/>
        <w:numPr>
          <w:ilvl w:val="5"/>
          <w:numId w:val="1"/>
        </w:numPr>
        <w:rPr/>
      </w:pPr>
      <w:bookmarkStart w:id="925" w:name="__RefHeading___Toc3734994_1280447820"/>
      <w:bookmarkStart w:id="926" w:name="_Toc363"/>
      <w:bookmarkEnd w:id="925"/>
      <w:r>
        <w:rPr>
          <w:rtl w:val="true"/>
        </w:rPr>
        <w:t>اشارة</w:t>
      </w:r>
      <w:bookmarkEnd w:id="926"/>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أيّد القول بالأعمّ بوجوه</w:t>
      </w:r>
      <w:r>
        <w:rPr>
          <w:rFonts w:eastAsia="Amiri" w:cs="Amiri" w:ascii="Amiri" w:hAnsi="Amiri"/>
          <w:color w:val="111111"/>
          <w:sz w:val="28"/>
          <w:szCs w:val="28"/>
          <w:rtl w:val="true"/>
          <w:lang w:bidi="ar-SA"/>
        </w:rPr>
        <w:t>:</w:t>
      </w:r>
    </w:p>
    <w:p>
      <w:pPr>
        <w:pStyle w:val="Heading6"/>
        <w:numPr>
          <w:ilvl w:val="5"/>
          <w:numId w:val="1"/>
        </w:numPr>
        <w:rPr/>
      </w:pPr>
      <w:bookmarkStart w:id="927" w:name="__RefHeading___Toc3734996_1280447820"/>
      <w:bookmarkStart w:id="928" w:name="_Toc364"/>
      <w:bookmarkEnd w:id="927"/>
      <w:r>
        <w:rPr>
          <w:rtl w:val="true"/>
        </w:rPr>
        <w:t>التأييد الأوّل</w:t>
      </w:r>
      <w:bookmarkEnd w:id="928"/>
    </w:p>
    <w:p>
      <w:pPr>
        <w:pStyle w:val="Heading6"/>
        <w:numPr>
          <w:ilvl w:val="5"/>
          <w:numId w:val="1"/>
        </w:numPr>
        <w:rPr/>
      </w:pPr>
      <w:bookmarkStart w:id="929" w:name="__RefHeading___Toc3734998_1280447820"/>
      <w:bookmarkStart w:id="930" w:name="_Toc365"/>
      <w:bookmarkEnd w:id="929"/>
      <w:r>
        <w:rPr>
          <w:rtl w:val="true"/>
        </w:rPr>
        <w:t>اشارة</w:t>
      </w:r>
      <w:bookmarkEnd w:id="93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الفقهاء على أنّ أركان الصلاة هي ما تبطل الصلاة بزيادتها ونقصانها عمدًا أو سهوًا؛ ومعلوم أنّ زيادة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كالركوع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منهيّ عنه، والنهي في العبادات يدلّ على الفساد، ومع ذلك يعدّ ركوعًا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مرادهم صورة الركوع، لا الركوع الحقيقيّ؛ لأنّ مقتضى ذلك القول ببطلان الصلاة بزيادة صورة الركوع، وهو غير صحيح؛ لأنّ من انحنى في الصلاة بمقدار الركوع لأجل أخذ شيء من الأرض سيّما مع وضع اليد على الركبة بحيث يحسب الناظر أنّه قد ركع، لا يحكم ببطلان الصلاة مع زيادة صورة الركوع، فيعلم أنّ مرادهم ليس صورة الركوع، بل الركوع الحقيقيّ، وهو لا يمكن إلّا مع كون الركوع اسمًا للأعمّ من الصحيحة والفاسدة</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1" w:name="__RefHeading___Toc3735000_1280447820"/>
      <w:bookmarkStart w:id="932" w:name="_Toc366"/>
      <w:bookmarkEnd w:id="931"/>
      <w:r>
        <w:rPr>
          <w:rtl w:val="true"/>
        </w:rPr>
        <w:t>الجواب عن التأييد الأوّل</w:t>
      </w:r>
      <w:bookmarkEnd w:id="932"/>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نسلّم تعميم النزاع في المسألة بحيث يشمل الأسامي الّتي لأجزاء الصلاة</w:t>
      </w:r>
      <w:r>
        <w:rPr>
          <w:rStyle w:val="FootnoteAnchor"/>
          <w:rtl w:val="true"/>
        </w:rPr>
        <w:footnoteReference w:id="816"/>
      </w:r>
      <w:r>
        <w:rPr>
          <w:rFonts w:ascii="IRNazanin" w:hAnsi="IRNazanin" w:eastAsia="IRNazanin"/>
          <w:color w:val="111111"/>
          <w:sz w:val="28"/>
          <w:sz w:val="28"/>
          <w:szCs w:val="28"/>
          <w:rtl w:val="true"/>
          <w:lang w:bidi="fa-IR"/>
        </w:rPr>
        <w:t>، إذ الظاهر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ألفاظ العبادات أسامٍ </w:t>
      </w:r>
    </w:p>
    <w:p>
      <w:pPr>
        <w:pStyle w:val="BookText"/>
        <w:rPr/>
      </w:pPr>
      <w:r>
        <w:rPr>
          <w:rFonts w:ascii="Amiri" w:hAnsi="Amiri" w:eastAsia="Amiri" w:cs="Amiri"/>
          <w:color w:val="111111"/>
          <w:sz w:val="28"/>
          <w:sz w:val="28"/>
          <w:szCs w:val="28"/>
          <w:rtl w:val="true"/>
          <w:lang w:bidi="ar-SA"/>
        </w:rPr>
        <w:t>للصحيحة،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الّتي للعبادة المستقلّة كالصلاة مثلًا، فلا تشمل أسامي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انّك قد عرفت أنّ القول بالصحيح قول الأكثر، بل الكلّ، والمفروض أنّ ما ذكروه من أنّ زيادة الأركان ولو متعمّدًا توجب البطلان، لا يجوز أن يكون مرادهم صورتها، بل ما يسمّى أركانًا حقيقة، فلو عمّم النزاع يلزم التناقض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التسليم نمنع أن لا يكون مرادهم صورتها، وما ذكر في بيانه غير صحيح؛ لكونه أخصّ من المدّعى، إذ غاية ما يلزم منه عدم إرادتهم صورة الركوع مطلقًا بحيث يندرج تحتها الانحناء الّذي يكون بصورته إذا لم يكن لأجل الركوع وقصده،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مرادهم صورة الركوع الّتي تكون مشابهة معه في جميع الأمور المعتبرة فيه، ومن جملتها كون الانحناء بقصد الركوع، وزيادة الصورة على هذا الوجه مبطلة قطعًا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هذا يكون إطلاق الركوع مجازًا إطلاقًا للشيء على مشابهه في الصورة، وهو غير صحيح؛ لانتفاء خواصّه، وإلّا أمكن السلب، فينبغي أن يقال لمن فعل كذلك في ركعة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أتى ركعتين فيها، أو ما زاد </w:t>
      </w:r>
      <w:bookmarkStart w:id="933" w:name="pg16224_170703"/>
    </w:p>
    <w:p>
      <w:pPr>
        <w:pStyle w:val="BookText"/>
        <w:rPr/>
      </w:pPr>
      <w:bookmarkEnd w:id="933"/>
      <w:r>
        <w:rPr>
          <w:rFonts w:ascii="Amiri" w:hAnsi="Amiri" w:eastAsia="Amiri" w:cs="Amiri"/>
          <w:color w:val="111111"/>
          <w:sz w:val="28"/>
          <w:sz w:val="28"/>
          <w:szCs w:val="28"/>
          <w:rtl w:val="true"/>
          <w:lang w:bidi="ar-SA"/>
        </w:rPr>
        <w:t>ركعة؛ لأنّ صورة الشيء غيره مع أنّه غير ممكن، فتأمّل</w:t>
      </w:r>
      <w:r>
        <w:rPr>
          <w:rFonts w:eastAsia="Amiri" w:cs="Amiri" w:ascii="Amiri" w:hAnsi="Amiri"/>
          <w:color w:val="111111"/>
          <w:sz w:val="28"/>
          <w:szCs w:val="28"/>
          <w:rtl w:val="true"/>
          <w:lang w:bidi="ar-SA"/>
        </w:rPr>
        <w:t>.</w:t>
      </w:r>
    </w:p>
    <w:p>
      <w:pPr>
        <w:pStyle w:val="Heading6"/>
        <w:numPr>
          <w:ilvl w:val="5"/>
          <w:numId w:val="1"/>
        </w:numPr>
        <w:rPr/>
      </w:pPr>
      <w:bookmarkStart w:id="934" w:name="__RefHeading___Toc3735002_1280447820"/>
      <w:bookmarkStart w:id="935" w:name="_Toc367"/>
      <w:bookmarkEnd w:id="934"/>
      <w:r>
        <w:rPr>
          <w:rtl w:val="true"/>
        </w:rPr>
        <w:t>التأييد الثاني مع الجواب عنه</w:t>
      </w:r>
      <w:bookmarkEnd w:id="935"/>
    </w:p>
    <w:p>
      <w:pPr>
        <w:pStyle w:val="Heading6"/>
        <w:numPr>
          <w:ilvl w:val="5"/>
          <w:numId w:val="1"/>
        </w:numPr>
        <w:rPr/>
      </w:pPr>
      <w:bookmarkStart w:id="936" w:name="__RefHeading___Toc3735004_1280447820"/>
      <w:bookmarkStart w:id="937" w:name="_Toc368"/>
      <w:bookmarkEnd w:id="936"/>
      <w:r>
        <w:rPr>
          <w:rtl w:val="true"/>
        </w:rPr>
        <w:t>اشارة</w:t>
      </w:r>
      <w:bookmarkEnd w:id="937"/>
    </w:p>
    <w:p>
      <w:pPr>
        <w:pStyle w:val="BookText"/>
        <w:rPr/>
      </w:pPr>
      <w:r>
        <w:rPr>
          <w:rFonts w:ascii="Amiri" w:hAnsi="Amiri" w:eastAsia="Amiri" w:cs="Amiri"/>
          <w:color w:val="111111"/>
          <w:sz w:val="28"/>
          <w:sz w:val="28"/>
          <w:szCs w:val="28"/>
          <w:rtl w:val="true"/>
          <w:lang w:bidi="ar-SA"/>
        </w:rPr>
        <w:t>والتأييد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يلزم على القول بكونها أساميًا للصحيحة أن يفتّش أحوال المصلّي إذا أراد أن يعطيه شيئًا لأجل النذر إذا لم يعلم مذهبه وصحّة صلاته في نفس الأمر، فإنّ حمل فعل المسلم على الصحّة لا يكفي هنا، فإنّ غاية ذلك حمل فعل المسلم على الصحيح عنده، والصحّة</w:t>
      </w:r>
      <w:r>
        <w:rPr>
          <w:rStyle w:val="FootnoteAnchor"/>
          <w:rtl w:val="true"/>
        </w:rPr>
        <w:footnoteReference w:id="817"/>
      </w:r>
      <w:r>
        <w:rPr>
          <w:rFonts w:ascii="Amiri" w:hAnsi="Amiri" w:eastAsia="Amiri" w:cs="Amiri"/>
          <w:color w:val="111111"/>
          <w:sz w:val="28"/>
          <w:sz w:val="28"/>
          <w:szCs w:val="28"/>
          <w:rtl w:val="true"/>
          <w:lang w:bidi="ar-SA"/>
        </w:rPr>
        <w:t>قد تختلف باختلاف الآراء، فإذا رأى من نذر شيئًا للمصلّي رجلًا صالحًا يصلّي بجميع الأركان والأجزاء، ولكن لا يدري أنّه هل صلّى بغسل غير الجنابة بلا وضوء، أم</w:t>
      </w:r>
      <w:r>
        <w:rPr>
          <w:rStyle w:val="FootnoteAnchor"/>
          <w:rtl w:val="true"/>
        </w:rPr>
        <w:footnoteReference w:id="818"/>
      </w:r>
      <w:r>
        <w:rPr>
          <w:rFonts w:ascii="Amiri" w:hAnsi="Amiri" w:eastAsia="Amiri" w:cs="Amiri"/>
          <w:color w:val="111111"/>
          <w:sz w:val="28"/>
          <w:sz w:val="28"/>
          <w:szCs w:val="28"/>
          <w:rtl w:val="true"/>
          <w:lang w:bidi="ar-SA"/>
        </w:rPr>
        <w:t>مع الوضوء، وهو يرى بطلان الصلاة به؛ وذلك الصالح قد يكون رأيه أو رأي مجتهده الصحّة، والمفروض أنّ المعتبر في وفاء الناذر على تكليفه ملاحظة الصحيح عنده المطابق لنفس الأمر بظنّه، وكذلك ملاحظة غيره من الاختلافات في الأجزاء وسائر الشرائط</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الصحيح من العبادة ليس شيئًا واحدًا حتّى يبنى عليه في المجهول الحال على حمل فعل المسلم على الصحّة، ولم نقف إلى الآن على مَنْ التزم هذه التفحّصات والتدقيقات ويعطون إلى</w:t>
      </w:r>
      <w:r>
        <w:rPr>
          <w:rStyle w:val="FootnoteAnchor"/>
          <w:rtl w:val="true"/>
        </w:rPr>
        <w:footnoteReference w:id="820"/>
      </w:r>
      <w:r>
        <w:rPr>
          <w:rFonts w:ascii="Amiri" w:hAnsi="Amiri" w:eastAsia="Amiri" w:cs="Amiri"/>
          <w:color w:val="111111"/>
          <w:sz w:val="28"/>
          <w:sz w:val="28"/>
          <w:szCs w:val="28"/>
          <w:rtl w:val="true"/>
          <w:lang w:bidi="ar-SA"/>
        </w:rPr>
        <w:t xml:space="preserve">من ظاهره الوفاء، وليس ذلك إلّا لأجل كونها أساميًا للأعمّ؛ ولعلّه لأجل ذلك لا يتفحّص المؤمنون في الأعصار والأمصار </w:t>
      </w:r>
      <w:bookmarkStart w:id="938" w:name="pg16224_170704"/>
    </w:p>
    <w:p>
      <w:pPr>
        <w:pStyle w:val="BookText"/>
        <w:rPr/>
      </w:pPr>
      <w:bookmarkEnd w:id="938"/>
      <w:r>
        <w:rPr>
          <w:rFonts w:ascii="Amiri" w:hAnsi="Amiri" w:eastAsia="Amiri" w:cs="Amiri"/>
          <w:color w:val="111111"/>
          <w:sz w:val="28"/>
          <w:sz w:val="28"/>
          <w:szCs w:val="28"/>
          <w:rtl w:val="true"/>
          <w:lang w:bidi="ar-SA"/>
        </w:rPr>
        <w:t>عن مذهب الإمام في جزئيّات مسائل الصلاة، مثل أنّه هل يعتقد وجوب السورة أو ندبها، أو وجوب القنوت أو ندبه، ويأتمّون به بعد ثبوت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علم المخالفة، فلا يصحّ الاقتداء فيما يعتقده باطلًا، مثل ما لو ترك الإمام السورة أو نحو ذلك، فما لم يعلم بطلانه يجوز الاقتداء به ويصحّ صلاته؛ لأنّه ائْتمّ بمن يحكم بصحّة صلاته شرعًا، والقدر الثابت من المنع هو ما علم بطلانه وإن كان صحيحًا عند الإمام، فليس هذا إلّا من جهة كفاية مسمّى الصلاة ما لم يعلم المأموم بطلانها على مذهبه، لا أنّه</w:t>
      </w:r>
      <w:r>
        <w:rPr>
          <w:rStyle w:val="FootnoteAnchor"/>
          <w:rtl w:val="true"/>
        </w:rPr>
        <w:footnoteReference w:id="821"/>
      </w:r>
      <w:r>
        <w:rPr>
          <w:rFonts w:ascii="Amiri" w:hAnsi="Amiri" w:eastAsia="Amiri" w:cs="Amiri"/>
          <w:color w:val="111111"/>
          <w:sz w:val="28"/>
          <w:sz w:val="28"/>
          <w:szCs w:val="28"/>
          <w:rtl w:val="true"/>
          <w:lang w:bidi="ar-SA"/>
        </w:rPr>
        <w:t>لا يصحّ الاقتداء حتّى يعلم أنّه صحيح على مذهبه</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انتهى كلام</w:t>
      </w:r>
      <w:r>
        <w:rPr>
          <w:rStyle w:val="FootnoteAnchor"/>
          <w:rtl w:val="true"/>
        </w:rPr>
        <w:footnoteReference w:id="823"/>
      </w:r>
      <w:r>
        <w:rPr>
          <w:rFonts w:ascii="Amiri" w:hAnsi="Amiri" w:eastAsia="Amiri" w:cs="Amiri"/>
          <w:color w:val="111111"/>
          <w:sz w:val="28"/>
          <w:sz w:val="28"/>
          <w:szCs w:val="28"/>
          <w:rtl w:val="true"/>
          <w:lang w:bidi="ar-SA"/>
        </w:rPr>
        <w:t xml:space="preserve">المؤيّد الفاضل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يرجع إلى أمرين متقاربين</w:t>
      </w:r>
      <w:r>
        <w:rPr>
          <w:rFonts w:eastAsia="Amiri" w:cs="Amiri" w:ascii="Amiri" w:hAnsi="Amiri"/>
          <w:color w:val="111111"/>
          <w:sz w:val="28"/>
          <w:szCs w:val="28"/>
          <w:rtl w:val="true"/>
          <w:lang w:bidi="ar-SA"/>
        </w:rPr>
        <w:t>:</w:t>
      </w:r>
    </w:p>
    <w:p>
      <w:pPr>
        <w:pStyle w:val="Heading6"/>
        <w:numPr>
          <w:ilvl w:val="5"/>
          <w:numId w:val="1"/>
        </w:numPr>
        <w:rPr/>
      </w:pPr>
      <w:bookmarkStart w:id="939" w:name="__RefHeading___Toc3735006_1280447820"/>
      <w:bookmarkStart w:id="940" w:name="_Toc369"/>
      <w:bookmarkEnd w:id="939"/>
      <w:r>
        <w:rPr>
          <w:rtl w:val="true"/>
        </w:rPr>
        <w:t>الأمر الأوّل</w:t>
      </w:r>
      <w:bookmarkEnd w:id="940"/>
    </w:p>
    <w:p>
      <w:pPr>
        <w:pStyle w:val="BookText"/>
        <w:rPr/>
      </w:pPr>
      <w:r>
        <w:rPr>
          <w:rFonts w:ascii="Amiri" w:hAnsi="Amiri" w:eastAsia="Amiri" w:cs="Amiri"/>
          <w:color w:val="111111"/>
          <w:sz w:val="28"/>
          <w:sz w:val="28"/>
          <w:szCs w:val="28"/>
          <w:rtl w:val="true"/>
          <w:lang w:bidi="ar-SA"/>
        </w:rPr>
        <w:t>الأوّل بالنسبة إلى الناذر،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الألفاظ لو كانت أساميًا للصحيحة؛ لزم على الناذر التفتيش في أحوال المصلّي ليظهر عليه صحّة صلاته باعتقاده، والتالي باطل، فالمقدّم مثله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 بمنع الملازمة على المعنى الّذي بناء الكلام عليه، وما ذكره في بيانها غير تامّ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أنّك قد عرفت ممّا أسلفنا أنّ المراد بالصحيح المعنى المحصّل للامتثال، فالناذر فيما نحن فيه يرجع نذره على القول بالصحيح إلى أنّ من أتى بالمعنى الّذي يحصل به الامتثال له عليّ كذا؛ ولا شبهة في تحقّق هذا المعنى بعد تسليم حمل أفعال المسلم على الصحّة، كما هو بناء المورد بالنسبة إلى كلّ مصلّ، فيحصل له الوفاء بالنذر بالنسبة إلى كلّ أحد؛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استند إليه من أنّ المفروض في وفاء الناذر على تكليفه ملاحظة الصحيح عنده إلى آخره، إن أريد به المعنى المحصّل للامتثال لذلك المصلّي باعتقاد الناذر، فهو مسلّم، لكن انتفاؤه ممنوع؛ لوضوح أنّ كلّ مجتهد يتعيّن عليه العمل باجتهاده عند كلّ أحد، بل الناذر المجتهد يعتقد أنّه لو ترك المصلّي الصلاة على مقتضى اجتهاده وأتى على وفق اجتهاد الناذر لم يحصل له الامتثال؛ والمقلّد لا يتعيّن عليه تقليد معيّن عند انتفاء الأمور الخارجة، ومعها يخرج المقام عن محلّ الكلام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به المعنى المحصّل للامتثال للناذر كما هو ظاهر الكلام، فهو ممنوع؛ وكيف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قولك للمصلّي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مدلوله جزمًا إلّا أنّه للاتي</w:t>
      </w:r>
      <w:r>
        <w:rPr>
          <w:rStyle w:val="FootnoteAnchor"/>
          <w:rtl w:val="true"/>
        </w:rPr>
        <w:footnoteReference w:id="824"/>
      </w:r>
      <w:r>
        <w:rPr>
          <w:rFonts w:ascii="Amiri" w:hAnsi="Amiri" w:eastAsia="Amiri" w:cs="Amiri"/>
          <w:color w:val="111111"/>
          <w:sz w:val="28"/>
          <w:sz w:val="28"/>
          <w:szCs w:val="28"/>
          <w:rtl w:val="true"/>
          <w:lang w:bidi="ar-SA"/>
        </w:rPr>
        <w:t>بالمعنى الصحيح المحصّل للامتثال مطلقًا، كذا على هذا القول كما مرّ، فيحصل له الامتثال بالنسبة إليه؛ لعدم إيجاب</w:t>
      </w:r>
      <w:r>
        <w:rPr>
          <w:rStyle w:val="FootnoteAnchor"/>
          <w:rtl w:val="true"/>
        </w:rPr>
        <w:footnoteReference w:id="825"/>
      </w:r>
      <w:r>
        <w:rPr>
          <w:rFonts w:ascii="Amiri" w:hAnsi="Amiri" w:eastAsia="Amiri" w:cs="Amiri"/>
          <w:color w:val="111111"/>
          <w:sz w:val="28"/>
          <w:sz w:val="28"/>
          <w:szCs w:val="28"/>
          <w:rtl w:val="true"/>
          <w:lang w:bidi="ar-SA"/>
        </w:rPr>
        <w:t>النذر أزيد منه؛ وأمّا كونه محصّلًا للامتثال للناذر فمن أين؟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تقييد خارج عن مدلول اللفظ يفتقر إلى دليل، ألا ترى أنّك إذا صرّحت بالصحّة وقلت للمصلّي بالصلاة الصحيحة كذا، لا يفهم منه المعنى المحصّل للامتثال للناذر، بل مطلقًا، وبناء على ما ذكر يلزم على القول بالأعمّ حينئذٍ التفحّص عن مراتب الصحّة، مع أنّ انتفاء التفتيش على تقديره مشترك بين الصورتين، والاكتفاء بما يحصل الامتثال متحقّق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w:t>
      </w:r>
      <w:r>
        <w:rPr>
          <w:rStyle w:val="FootnoteAnchor"/>
          <w:rtl w:val="true"/>
        </w:rPr>
        <w:footnoteReference w:id="826"/>
      </w:r>
      <w:r>
        <w:rPr>
          <w:rFonts w:ascii="Amiri" w:hAnsi="Amiri" w:eastAsia="Amiri" w:cs="Amiri"/>
          <w:color w:val="111111"/>
          <w:sz w:val="28"/>
          <w:sz w:val="28"/>
          <w:szCs w:val="28"/>
          <w:rtl w:val="true"/>
          <w:lang w:bidi="ar-SA"/>
        </w:rPr>
        <w:t>يزيدك بيانًا هو أنّا مكلّفون بالمعاملة بمن كانت معاملته صحيحة، ولا شبهة أنّ الصحّة في المعاملات أيضًا تختلف باختلاف الآراء، فربّ معاملة تكون صحيحة عند مجتهد وفاسدة عند آخر، ومقتضى ما ذكر لزوم التفتيش عن صحّتها، فإن ظهر عليه صحّتها عنده أو عند مجتهده تجوز، وإلّا فلا، مع أنّ انتفاءه ممّا لا شبهة فيه، والاكتفاء بمطلق حمل أفعال المسلمين على الصحّة ممّا لا شكّ يعتريه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بأنّا لم نقف إلى الآن على من التزم هذه التفحّصات والتدقيقات، إلى آخره، على تقدير تسليمه ليس مبنيًّا على ما بناه المورد من أنّ ذلك لأجل كونها أساميًا للأعمّ، بل لأنّ النذر على الوجه المذكور لا يوجب ذلك، إذ مقتضاه ليس إلّا ما سلف</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أنّ انتفاء هذه التفحّصات والتدقيقات لانتفاء أصل النذر؛ لأنّا لم نقف إلى الآن على مَنْ نذر بذلك، وعلى تقدير فرض الوقوع مع كونه خلاف ظاهر العبارة نقول بمثل ذلك فيما لو صرّح في مقام النذر بالصحّة كما عرفت</w:t>
      </w:r>
      <w:r>
        <w:rPr>
          <w:rFonts w:eastAsia="Amiri" w:cs="Amiri" w:ascii="Amiri" w:hAnsi="Amiri"/>
          <w:color w:val="111111"/>
          <w:sz w:val="28"/>
          <w:szCs w:val="28"/>
          <w:rtl w:val="true"/>
          <w:lang w:bidi="ar-SA"/>
        </w:rPr>
        <w:t xml:space="preserve">. </w:t>
      </w:r>
      <w:bookmarkStart w:id="941" w:name="pg16224_170707"/>
    </w:p>
    <w:p>
      <w:pPr>
        <w:pStyle w:val="Heading6"/>
        <w:numPr>
          <w:ilvl w:val="5"/>
          <w:numId w:val="1"/>
        </w:numPr>
        <w:rPr/>
      </w:pPr>
      <w:bookmarkStart w:id="942" w:name="__RefHeading___Toc3735008_1280447820"/>
      <w:bookmarkStart w:id="943" w:name="_Toc370"/>
      <w:bookmarkEnd w:id="941"/>
      <w:bookmarkEnd w:id="942"/>
      <w:r>
        <w:rPr>
          <w:rtl w:val="true"/>
        </w:rPr>
        <w:t>الأمر الثاني</w:t>
      </w:r>
      <w:bookmarkEnd w:id="943"/>
    </w:p>
    <w:p>
      <w:pPr>
        <w:pStyle w:val="BookText"/>
        <w:rPr/>
      </w:pPr>
      <w:r>
        <w:rPr>
          <w:rFonts w:ascii="Amiri" w:hAnsi="Amiri" w:eastAsia="Amiri" w:cs="Amiri"/>
          <w:color w:val="111111"/>
          <w:sz w:val="28"/>
          <w:sz w:val="28"/>
          <w:szCs w:val="28"/>
          <w:rtl w:val="true"/>
          <w:lang w:bidi="ar-SA"/>
        </w:rPr>
        <w:t>والثاني بالنسبة إلى المأموم، محصّله كما تقدّم من أنّه لو كانت الألفاظ أساميًا للصحيحة، لزم التفتيش والتفحّص عن مذهب الإمام في جزئيّات المسائل، والتالي باطل، فالمقدّم مثله، فعدم التفتيش قرينة كونها أساميًا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بمنع الملازمة أيضًا؛ لما تقدّم مرارًا من أنّ مرادنا بالصحيح ليس إلّا المحصّل للامتثال، وقد دلّت الأدلّة الشرعيّة على جواز الاقتداء وفضيلته بعد ثبوت عدالة الإمام مطلقًا، إلّا إذا علم المخالفة بين اعتقاد الإمام والمأموم بحيث تكون مبطلة على اعتقاد المأموم دون الإمام، كما إذا اعتقد الإمام جواز قراءة العزيمة في الصلاة فيقرؤها لذلك واعتقد المأموم حرمتها، أو اعتقد الإمام عدم وجوب السورة فيها فيتركها لذلك والمأموم وجوبها، وهكذا، فما لم تظهر المخالفة على الوجه المذكور، يجوز الاقتداء لعموم الأدلّة، وهو يستلزم أن تكون تلك الصلاة مجزية، ولا نعني بالصحيح إلّا ذلك، فمن أين استلزم القول بالصحيح التفحّص المذكور؟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المأمور به ومطلوب الشارع ليس إلّا الصحيح ولو على القول بالأعمّ كما لا يخفى، فما ذكر من كون الاختلاف في الصحّة باختلاف الآراء موجبًا للتفحّص المذكور على تقدير تسليمه لا اختصاص له بالقول بالصحيح، بل مشترك بين القولين؛ لتحقّق الموجب على التقديرين، وكون أصل الاسم للأعمّ بعد القطع بإرادة الصحيح، لا يوجب الافتراق المذكور كما لا يخفى، فالتمسّك بذلك تأييدًا للقول بالأعمّ بعد القطع بما ذكرنا غير سديد</w:t>
      </w:r>
      <w:r>
        <w:rPr>
          <w:rFonts w:eastAsia="Amiri" w:cs="Amiri" w:ascii="Amiri" w:hAnsi="Amiri"/>
          <w:color w:val="111111"/>
          <w:sz w:val="28"/>
          <w:szCs w:val="28"/>
          <w:rtl w:val="true"/>
          <w:lang w:bidi="ar-SA"/>
        </w:rPr>
        <w:t xml:space="preserve">. </w:t>
      </w:r>
      <w:bookmarkStart w:id="944" w:name="pg16224_170708"/>
    </w:p>
    <w:p>
      <w:pPr>
        <w:pStyle w:val="BookText"/>
        <w:rPr/>
      </w:pPr>
      <w:bookmarkEnd w:id="944"/>
      <w:r>
        <w:rPr>
          <w:rFonts w:ascii="Amiri" w:hAnsi="Amiri" w:eastAsia="Amiri" w:cs="Amiri"/>
          <w:color w:val="111111"/>
          <w:sz w:val="28"/>
          <w:sz w:val="28"/>
          <w:szCs w:val="28"/>
          <w:rtl w:val="true"/>
          <w:lang w:bidi="ar-SA"/>
        </w:rPr>
        <w:t>نعم، لو تمسّك به متمسّك في أنّ المطلوب ليس الصحيح وإلّا لوجب التفحّص، أو للقول بالأعمّ مع عدم تسليمه</w:t>
      </w:r>
      <w:r>
        <w:rPr>
          <w:rStyle w:val="FootnoteAnchor"/>
          <w:rtl w:val="true"/>
        </w:rPr>
        <w:footnoteReference w:id="827"/>
      </w:r>
      <w:r>
        <w:rPr>
          <w:rFonts w:ascii="Amiri" w:hAnsi="Amiri" w:eastAsia="Amiri" w:cs="Amiri"/>
          <w:color w:val="111111"/>
          <w:sz w:val="28"/>
          <w:sz w:val="28"/>
          <w:szCs w:val="28"/>
          <w:rtl w:val="true"/>
          <w:lang w:bidi="ar-SA"/>
        </w:rPr>
        <w:t>، لسلم عن ذلك، لكنّه ممّا لا شبهة في فساده؛ وهذا يتوجّه على الأوّل أيضًا؛ لوضوح أنّ مقصود الناذر الصلاة الّتي أمر بها الشارع، ولا شبهة في أنّها صحيحة ولو على القول بالأعمّ، فلا يتفاوت الحال في ذلك بين القولين، فتأمّل</w:t>
      </w:r>
      <w:r>
        <w:rPr>
          <w:rFonts w:eastAsia="Amiri" w:cs="Amiri" w:ascii="Amiri" w:hAnsi="Amiri"/>
          <w:color w:val="111111"/>
          <w:sz w:val="28"/>
          <w:szCs w:val="28"/>
          <w:rtl w:val="true"/>
          <w:lang w:bidi="ar-SA"/>
        </w:rPr>
        <w:t>.</w:t>
      </w:r>
    </w:p>
    <w:p>
      <w:pPr>
        <w:pStyle w:val="Heading6"/>
        <w:numPr>
          <w:ilvl w:val="5"/>
          <w:numId w:val="1"/>
        </w:numPr>
        <w:rPr/>
      </w:pPr>
      <w:bookmarkStart w:id="945" w:name="__RefHeading___Toc3735010_1280447820"/>
      <w:bookmarkStart w:id="946" w:name="_Toc371"/>
      <w:bookmarkEnd w:id="945"/>
      <w:r>
        <w:rPr>
          <w:rtl w:val="true"/>
        </w:rPr>
        <w:t>تأييد ثالث مع الجواب عنه</w:t>
      </w:r>
      <w:bookmarkEnd w:id="946"/>
    </w:p>
    <w:p>
      <w:pPr>
        <w:pStyle w:val="BookText"/>
        <w:rPr/>
      </w:pPr>
      <w:r>
        <w:rPr>
          <w:rFonts w:ascii="Amiri" w:hAnsi="Amiri" w:eastAsia="Amiri" w:cs="Amiri"/>
          <w:color w:val="111111"/>
          <w:sz w:val="28"/>
          <w:sz w:val="28"/>
          <w:szCs w:val="28"/>
          <w:rtl w:val="true"/>
          <w:lang w:bidi="ar-SA"/>
        </w:rPr>
        <w:t>والتأييد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عندهم في صحّة اليمين على ترك الصلاة في مكان مكروه أو مباح مثلًا وحصول الحنث بفعلها، ويلزمهم على ذلك المحال؛ لأنّه يلزم حينئذٍ من ثبوت اليمين نفيها، فإنّ ثبوتها يقتضي كون الصلاة منهيًّا عنها، والنهي في العبادة مستلزم للفساد، وكونها فاسدة مستلزم لعدم تعلّق اليمين بها، إذ هي إنّما تتعلّق بالصحيحة على مفروضهم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ويجري هذا الكلام في المعاملات أيضًا إن قلنا بدلالة النهي على الفساد فيها أيضًا</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 ذلك ما ذكره شيخنا الشهيد الثاني في المسالك في كتاب </w:t>
      </w:r>
    </w:p>
    <w:p>
      <w:pPr>
        <w:pStyle w:val="BookText"/>
        <w:rPr/>
      </w:pPr>
      <w:r>
        <w:rPr>
          <w:rFonts w:ascii="Amiri" w:hAnsi="Amiri" w:eastAsia="Amiri" w:cs="Amiri"/>
          <w:color w:val="111111"/>
          <w:sz w:val="28"/>
          <w:sz w:val="28"/>
          <w:szCs w:val="28"/>
          <w:rtl w:val="true"/>
          <w:lang w:bidi="ar-SA"/>
        </w:rPr>
        <w:t>الأيمان، ولعلّه مأخوذ منه،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باع على تقدير حلفه على عدمه انعقد وإن حنث؛ لأنّ النهي في المعاملات لا يقتضي الفساد، خصوصًا إذا كان النهي لوصف خارج كما هنا</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قلنا بدلالته على الفساد كالعبادات، ففي الجمع بين ذلك</w:t>
      </w:r>
      <w:r>
        <w:rPr>
          <w:rStyle w:val="FootnoteAnchor"/>
          <w:rtl w:val="true"/>
        </w:rPr>
        <w:footnoteReference w:id="830"/>
      </w:r>
      <w:r>
        <w:rPr>
          <w:rFonts w:ascii="Amiri" w:hAnsi="Amiri" w:eastAsia="Amiri" w:cs="Amiri"/>
          <w:color w:val="111111"/>
          <w:sz w:val="28"/>
          <w:sz w:val="28"/>
          <w:szCs w:val="28"/>
          <w:rtl w:val="true"/>
          <w:lang w:bidi="ar-SA"/>
        </w:rPr>
        <w:t>وبين حمل مطلقه على البيع الصحيح إشكال؛ لأنّ اليمين يقتضي</w:t>
      </w:r>
      <w:r>
        <w:rPr>
          <w:rStyle w:val="FootnoteAnchor"/>
          <w:rtl w:val="true"/>
        </w:rPr>
        <w:footnoteReference w:id="831"/>
      </w:r>
      <w:r>
        <w:rPr>
          <w:rFonts w:ascii="Amiri" w:hAnsi="Amiri" w:eastAsia="Amiri" w:cs="Amiri"/>
          <w:color w:val="111111"/>
          <w:sz w:val="28"/>
          <w:sz w:val="28"/>
          <w:szCs w:val="28"/>
          <w:rtl w:val="true"/>
          <w:lang w:bidi="ar-SA"/>
        </w:rPr>
        <w:t>عدم الصحّة، فلو اشترطت</w:t>
      </w:r>
      <w:r>
        <w:rPr>
          <w:rStyle w:val="FootnoteAnchor"/>
          <w:rtl w:val="true"/>
        </w:rPr>
        <w:footnoteReference w:id="832"/>
      </w:r>
      <w:r>
        <w:rPr>
          <w:rFonts w:ascii="Amiri" w:hAnsi="Amiri" w:eastAsia="Amiri" w:cs="Amiri"/>
          <w:color w:val="111111"/>
          <w:sz w:val="28"/>
          <w:sz w:val="28"/>
          <w:szCs w:val="28"/>
          <w:rtl w:val="true"/>
          <w:lang w:bidi="ar-SA"/>
        </w:rPr>
        <w:t>صحّته يلزم</w:t>
      </w:r>
      <w:r>
        <w:rPr>
          <w:rStyle w:val="FootnoteAnchor"/>
          <w:rtl w:val="true"/>
        </w:rPr>
        <w:footnoteReference w:id="833"/>
      </w:r>
      <w:r>
        <w:rPr>
          <w:rFonts w:ascii="Amiri" w:hAnsi="Amiri" w:eastAsia="Amiri" w:cs="Amiri"/>
          <w:color w:val="111111"/>
          <w:sz w:val="28"/>
          <w:sz w:val="28"/>
          <w:szCs w:val="28"/>
          <w:rtl w:val="true"/>
          <w:lang w:bidi="ar-SA"/>
        </w:rPr>
        <w:t>الجمع بين النقيضين، أو لزوم غير مراد الحالف</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ولأنّه يلزم من ثبوت اليمين النهي عنه المقتضي لفساده المقتضي لعدم تعلّق النهي به، فيحكم بصحّته، فيلزم من ثبوت اليمين نفيها، فلا يتحقّق بعد تعلّقها </w:t>
      </w:r>
    </w:p>
    <w:p>
      <w:pPr>
        <w:pStyle w:val="BookText"/>
        <w:rPr/>
      </w:pPr>
      <w:r>
        <w:rPr>
          <w:rFonts w:ascii="Amiri" w:hAnsi="Amiri" w:eastAsia="Amiri" w:cs="Amiri"/>
          <w:color w:val="111111"/>
          <w:sz w:val="28"/>
          <w:sz w:val="28"/>
          <w:szCs w:val="28"/>
          <w:rtl w:val="true"/>
          <w:lang w:bidi="ar-SA"/>
        </w:rPr>
        <w:t>الحنث؛ لامتناع وقوع ضدّه، وهو العقد الصحيح</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الحكم بعدم الإشكال في صحّة اليمين على ترك الصلاة فيما ذكر وإن كان مسلّمًا، لكنّ الحكم بذلك في حصول الحنث بفعل الصلاة حينئذٍ غير مسلّم،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كلام المسالك المذكور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يتحقّق بعد تعلّقها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جار</w:t>
      </w:r>
      <w:r>
        <w:rPr>
          <w:rStyle w:val="FootnoteAnchor"/>
          <w:rtl w:val="true"/>
        </w:rPr>
        <w:footnoteReference w:id="835"/>
      </w:r>
      <w:r>
        <w:rPr>
          <w:rFonts w:ascii="Amiri" w:hAnsi="Amiri" w:eastAsia="Amiri" w:cs="Amiri"/>
          <w:color w:val="111111"/>
          <w:sz w:val="28"/>
          <w:sz w:val="28"/>
          <w:szCs w:val="28"/>
          <w:rtl w:val="true"/>
          <w:lang w:bidi="ar-SA"/>
        </w:rPr>
        <w:t>فيما نحن فيه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شيخنا الشهيد 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حلف على ترك الصلاة في الدار المغصوبة، أو على ترك الصوم مع الجنابة، أو على ترك بيع الخمر أو الخنزير</w:t>
      </w:r>
      <w:r>
        <w:rPr>
          <w:rStyle w:val="FootnoteAnchor"/>
          <w:rtl w:val="true"/>
        </w:rPr>
        <w:footnoteReference w:id="836"/>
      </w:r>
      <w:r>
        <w:rPr>
          <w:rFonts w:ascii="Amiri" w:hAnsi="Amiri" w:eastAsia="Amiri" w:cs="Amiri"/>
          <w:color w:val="111111"/>
          <w:sz w:val="28"/>
          <w:sz w:val="28"/>
          <w:szCs w:val="28"/>
          <w:rtl w:val="true"/>
          <w:lang w:bidi="ar-SA"/>
        </w:rPr>
        <w:t>، أمكن الحمل على الصورة، فيحنث بها</w:t>
      </w:r>
      <w:r>
        <w:rPr>
          <w:rStyle w:val="FootnoteAnchor"/>
          <w:rtl w:val="true"/>
        </w:rPr>
        <w:footnoteReference w:id="837"/>
      </w:r>
      <w:r>
        <w:rPr>
          <w:rFonts w:ascii="IRNazanin" w:hAnsi="IRNazanin" w:eastAsia="IRNazanin"/>
          <w:color w:val="111111"/>
          <w:sz w:val="28"/>
          <w:sz w:val="28"/>
          <w:szCs w:val="28"/>
          <w:rtl w:val="true"/>
          <w:lang w:bidi="fa-IR"/>
        </w:rPr>
        <w:t>وعدمه؛ لأنّه حلف على ممتنع شرعًا</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الامتناع الشرعيّ إنّما هو لعدم إمكان الصلاة مثلًا في المكان المغصوب؛ لكونها اسمًا للصحيح، وهو متحقّق فيما نحن فيه أيضًا بعد الحلف؛ لوضوح أنّ بعده لا يمكن إتيان الصلاة الصحيحة في الأماكن المكروهة مثلًا؛ لكونها منهيًّا عنها، فبعد الحلف على ترك الصلاة ليس المأتيّ به صلاة، فلا حنث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ليبيعنّ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ينعقد؛ لأنّ العقد الصحيح متعذّر، وغيره غير مراد من إطلاق اللفظ لغةً وعرفًا</w:t>
      </w:r>
      <w:r>
        <w:rPr>
          <w:rStyle w:val="FootnoteAnchor"/>
          <w:rtl w:val="true"/>
        </w:rPr>
        <w:footnoteReference w:id="839"/>
      </w:r>
      <w:r>
        <w:rPr>
          <w:rFonts w:ascii="Amiri" w:hAnsi="Amiri" w:eastAsia="Amiri" w:cs="Amiri"/>
          <w:color w:val="111111"/>
          <w:sz w:val="28"/>
          <w:sz w:val="28"/>
          <w:szCs w:val="28"/>
          <w:rtl w:val="true"/>
          <w:lang w:bidi="ar-SA"/>
        </w:rPr>
        <w:t>، ولو حلف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يحنث ببيعه؛ لأنّه بيع فاسد، فلم يتناوله</w:t>
      </w:r>
      <w:r>
        <w:rPr>
          <w:rStyle w:val="FootnoteAnchor"/>
          <w:rtl w:val="true"/>
        </w:rPr>
        <w:footnoteReference w:id="840"/>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جريانه فيما نحن فيه أيضًا، إذ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يحنث بالصلاة بعد الحلف؛ لكونها صلاة فاسدة، فلم يتناولها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أحلّه الله دار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 ينصرف إلى الصحيح من العقود</w:t>
      </w:r>
      <w:r>
        <w:rPr>
          <w:rStyle w:val="FootnoteAnchor"/>
          <w:rtl w:val="true"/>
        </w:rPr>
        <w:footnoteReference w:id="842"/>
      </w:r>
      <w:r>
        <w:rPr>
          <w:rFonts w:ascii="Amiri" w:hAnsi="Amiri" w:eastAsia="Amiri" w:cs="Amiri"/>
          <w:color w:val="111111"/>
          <w:sz w:val="28"/>
          <w:sz w:val="28"/>
          <w:szCs w:val="28"/>
          <w:rtl w:val="true"/>
          <w:lang w:bidi="ar-SA"/>
        </w:rPr>
        <w:t>، فلو حلف ليبيعنّ أو لا يبيع، انصرف إلى الصحيح دون الفاسد</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الحال منه ممّا تقدّم،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 على تقدير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له بالقول بالصحيح؛ لوضوح أنّ قصد الحالف عدم إتيان الصلاة المطلوبة فيها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الّتي كلّفه الشارع بها، ومعلوم أنّها لا تكون</w:t>
      </w:r>
      <w:r>
        <w:rPr>
          <w:rStyle w:val="FootnoteAnchor"/>
          <w:rtl w:val="true"/>
        </w:rPr>
        <w:footnoteReference w:id="844"/>
      </w:r>
      <w:r>
        <w:rPr>
          <w:rFonts w:ascii="Amiri" w:hAnsi="Amiri" w:eastAsia="Amiri" w:cs="Amiri"/>
          <w:color w:val="111111"/>
          <w:sz w:val="28"/>
          <w:sz w:val="28"/>
          <w:szCs w:val="28"/>
          <w:rtl w:val="true"/>
          <w:lang w:bidi="ar-SA"/>
        </w:rPr>
        <w:t xml:space="preserve">إلّا صحيحة </w:t>
      </w:r>
    </w:p>
    <w:p>
      <w:pPr>
        <w:pStyle w:val="BookText"/>
        <w:rPr/>
      </w:pPr>
      <w:r>
        <w:rPr>
          <w:rFonts w:ascii="Amiri" w:hAnsi="Amiri" w:eastAsia="Amiri" w:cs="Amiri"/>
          <w:color w:val="111111"/>
          <w:sz w:val="28"/>
          <w:sz w:val="28"/>
          <w:szCs w:val="28"/>
          <w:rtl w:val="true"/>
          <w:lang w:bidi="ar-SA"/>
        </w:rPr>
        <w:t>جزمًا كما مرّ مرارًا، والنهي في العبادة</w:t>
      </w:r>
      <w:r>
        <w:rPr>
          <w:rStyle w:val="FootnoteAnchor"/>
          <w:rtl w:val="true"/>
        </w:rPr>
        <w:footnoteReference w:id="845"/>
      </w:r>
      <w:r>
        <w:rPr>
          <w:rFonts w:ascii="Amiri" w:hAnsi="Amiri" w:eastAsia="Amiri" w:cs="Amiri"/>
          <w:color w:val="111111"/>
          <w:sz w:val="28"/>
          <w:sz w:val="28"/>
          <w:szCs w:val="28"/>
          <w:rtl w:val="true"/>
          <w:lang w:bidi="ar-SA"/>
        </w:rPr>
        <w:t>يقتضي الفساد، إلى آخر ما ذكر في التأييد؛ ومجرّد كون الصلاة اسمًا للأعمّ لا يكفي لتحقّق الحنث بعد كون متعلّق الحلف الصلاة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ممّا سلّمه المؤيّد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بعض كلماته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يحصل الحنث على المختار لو أتمّه فاسدًا أيضًا عالمًا بالفساد؛ لما ذكرناه</w:t>
      </w:r>
      <w:r>
        <w:rPr>
          <w:rStyle w:val="FootnoteAnchor"/>
          <w:rtl w:val="true"/>
        </w:rPr>
        <w:footnoteReference w:id="846"/>
      </w:r>
      <w:r>
        <w:rPr>
          <w:rFonts w:ascii="Amiri" w:hAnsi="Amiri" w:eastAsia="Amiri" w:cs="Amiri"/>
          <w:color w:val="111111"/>
          <w:sz w:val="28"/>
          <w:sz w:val="28"/>
          <w:szCs w:val="28"/>
          <w:rtl w:val="true"/>
          <w:lang w:bidi="ar-SA"/>
        </w:rPr>
        <w:t>من إرادة الصحّة</w:t>
      </w:r>
      <w:r>
        <w:rPr>
          <w:rStyle w:val="FootnoteAnchor"/>
          <w:rtl w:val="true"/>
        </w:rPr>
        <w:footnoteReference w:id="847"/>
      </w:r>
      <w:r>
        <w:rPr>
          <w:rFonts w:ascii="Amiri" w:hAnsi="Amiri" w:eastAsia="Amiri" w:cs="Amiri"/>
          <w:color w:val="111111"/>
          <w:sz w:val="28"/>
          <w:sz w:val="28"/>
          <w:szCs w:val="28"/>
          <w:rtl w:val="true"/>
          <w:lang w:bidi="ar-SA"/>
        </w:rPr>
        <w:t>في أمثال ذلك وإن بني على المختار</w:t>
      </w:r>
      <w:r>
        <w:rPr>
          <w:rFonts w:eastAsia="Amiri" w:cs="Amiri" w:ascii="Amiri" w:hAnsi="Amiri"/>
          <w:color w:val="111111"/>
          <w:sz w:val="28"/>
          <w:szCs w:val="28"/>
          <w:rtl w:val="true"/>
          <w:lang w:bidi="ar-SA"/>
        </w:rPr>
        <w:t>»</w:t>
      </w:r>
      <w:r>
        <w:rPr>
          <w:rStyle w:val="FootnoteAnchor"/>
          <w:rtl w:val="true"/>
        </w:rPr>
        <w:footnoteReference w:id="84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فرض التسليم يمكن أن يجاب عنه بما أجاب به شيخنا الشهيد في المسالك</w:t>
      </w:r>
      <w:r>
        <w:rPr>
          <w:rStyle w:val="FootnoteAnchor"/>
          <w:rtl w:val="true"/>
        </w:rPr>
        <w:footnoteReference w:id="849"/>
      </w:r>
      <w:r>
        <w:rPr>
          <w:rFonts w:ascii="Amiri" w:hAnsi="Amiri" w:eastAsia="Amiri" w:cs="Amiri"/>
          <w:color w:val="111111"/>
          <w:sz w:val="28"/>
          <w:sz w:val="28"/>
          <w:szCs w:val="28"/>
          <w:rtl w:val="true"/>
          <w:lang w:bidi="ar-SA"/>
        </w:rPr>
        <w:t>في نظير المسألة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اليمين الصلاة الصحيحة لولا اليمين، فيتحقّق الحنث بكلّ صلاة لو لم يكن اليمين لصحّت، فلو أتى بالصلاة في شيء من الأماكن المكروهة كالحمّامات وبين المقابر ومعاطن الإبل وجوار الطرق بعد الحلف على تركها فيها، يتحقّق الحنث لذلك، فتأمّل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الفرق فيما ذكر بين القول بالصحيح والأعمّ</w:t>
      </w:r>
      <w:r>
        <w:rPr>
          <w:rFonts w:eastAsia="Amiri" w:cs="Amiri" w:ascii="Amiri" w:hAnsi="Amiri"/>
          <w:color w:val="111111"/>
          <w:sz w:val="28"/>
          <w:szCs w:val="28"/>
          <w:rtl w:val="true"/>
          <w:lang w:bidi="ar-SA"/>
        </w:rPr>
        <w:t xml:space="preserve">. </w:t>
      </w:r>
      <w:bookmarkStart w:id="947" w:name="pg16224_170713"/>
    </w:p>
    <w:p>
      <w:pPr>
        <w:pStyle w:val="Heading6"/>
        <w:numPr>
          <w:ilvl w:val="5"/>
          <w:numId w:val="1"/>
        </w:numPr>
        <w:rPr/>
      </w:pPr>
      <w:bookmarkStart w:id="948" w:name="__RefHeading___Toc3735012_1280447820"/>
      <w:bookmarkStart w:id="949" w:name="_Toc372"/>
      <w:bookmarkEnd w:id="947"/>
      <w:bookmarkEnd w:id="948"/>
      <w:r>
        <w:rPr>
          <w:rtl w:val="true"/>
        </w:rPr>
        <w:t>تأييد رابع مع الجواب عنه</w:t>
      </w:r>
      <w:bookmarkEnd w:id="949"/>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على القول بكونها أساميًا للصحيحة لزوم القول بألف ماهيّة لصلاة الظهر مثلًا، فصلاة الظهر للمسافر شيء وللحاضر شيء آخر، وللحافظ شيء وللناسي شيء آخر؛ وكذلك للشاك والمتوهّم</w:t>
      </w:r>
      <w:r>
        <w:rPr>
          <w:rStyle w:val="FootnoteAnchor"/>
          <w:rtl w:val="true"/>
        </w:rPr>
        <w:footnoteReference w:id="850"/>
      </w:r>
      <w:r>
        <w:rPr>
          <w:rFonts w:ascii="Amiri" w:hAnsi="Amiri" w:eastAsia="Amiri" w:cs="Amiri"/>
          <w:color w:val="111111"/>
          <w:sz w:val="28"/>
          <w:sz w:val="28"/>
          <w:szCs w:val="28"/>
          <w:rtl w:val="true"/>
          <w:lang w:bidi="ar-SA"/>
        </w:rPr>
        <w:t>والصحيح والمريض والمحبوس والمضطرّ والغريق، إلى غير ذلك من أقسام الناسي في جزئيّات مسائل النسيان والشاك في جزئيّات مسائله، وهكذا إلى غير ذلك</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 بناء على القول بالصحيح هو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اسم للمستجمعة لجميع الأجزاء والشرائط، ولا ريب أنّ الأجزاء والشرائط مختلف</w:t>
      </w:r>
      <w:r>
        <w:rPr>
          <w:rStyle w:val="FootnoteAnchor"/>
          <w:rtl w:val="true"/>
        </w:rPr>
        <w:footnoteReference w:id="852"/>
      </w:r>
      <w:r>
        <w:rPr>
          <w:rFonts w:ascii="Amiri" w:hAnsi="Amiri" w:eastAsia="Amiri" w:cs="Amiri"/>
          <w:color w:val="111111"/>
          <w:sz w:val="28"/>
          <w:sz w:val="28"/>
          <w:szCs w:val="28"/>
          <w:rtl w:val="true"/>
          <w:lang w:bidi="ar-SA"/>
        </w:rPr>
        <w:t>في الصور المذكورة بالزيادة والنقصان، وما نقص فيها بعض الأجزاء أو الشرائط، لا بدّ إمّا أن يقال فيه بعدم صحّتها، أو بكونها ماهيّة علي حدة، لا سبيل إلى الأوّل، فتعيّن الثاني، وهو المطلوب، بخلاف القول بالأعمّ، فإنّهم يقولون بأنّ ماهيّة صلاة الظهر التامّة واحدة، ولا يخرجها عن الحقيقة نسيان سجدة أو تشهّد أو غير ذلك، فيمكن لهم التمسّك في الصحّة بصدق الاسم وحصول الامتثال بسبب الإتيان بالمسمّى</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 يظهر ممّا قرّرناه في أدلّة القول بالصحيح،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أنّا نمنع لزوم ذلك على المختار؛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موضوع للمعنى الّذي يحصل به الامتثال، وهو معنى واحد يتحقّق في ضمن أفراد متعدّدة، كتحقّق المعنى </w:t>
      </w:r>
    </w:p>
    <w:p>
      <w:pPr>
        <w:pStyle w:val="BookText"/>
        <w:rPr/>
      </w:pPr>
      <w:r>
        <w:rPr>
          <w:rFonts w:ascii="Amiri" w:hAnsi="Amiri" w:eastAsia="Amiri" w:cs="Amiri"/>
          <w:color w:val="111111"/>
          <w:sz w:val="28"/>
          <w:sz w:val="28"/>
          <w:szCs w:val="28"/>
          <w:rtl w:val="true"/>
          <w:lang w:bidi="ar-SA"/>
        </w:rPr>
        <w:t>العامّ في ضمن أفراده، أو أصنافه، أو أنواعه؛ وهو لا يوجب تعدّد الماهيّة أصلًا، فضلًا عن القول بألف ماهيّة؛ ثمّ على تقدير تسليم ذلك نمنع استحالة ذلك وعلى مدّعيها البيان،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الجواب عمّا ربّما يتوهّم أنّه لو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للمستجمعة لجميع الأجزاء والشرائط، لزم انتفاء الصحّة عند انتفاء الأجزاء غير الأركان مثلًا، والتالي باطل؛ لأنّ من ترك ما عدا الأركان ناسيًا يحكم بصحّة صلاته، والملازمة ظاهرة، وتقرير الجواب بعد ما قرّرناه غير مفتقر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استدلّ أحدٌ بأنّه لا يجوز أن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للأركان كما هو مقتضى القول بالأعمّ على ما صرّح به بعضهم، لكان له وجه؛ إذ لو صحّ ذلك لزم انتفاء الصلاة عند انتفائها ولو بعضًا، والتالي باطل؛ لأنّ كثيرًا من المواضع قد تحقّقت الصلاة مع انتفائها، كصلاة المواقفة والمسايفة والمطاردة</w:t>
      </w:r>
      <w:r>
        <w:rPr>
          <w:rStyle w:val="FootnoteAnchor"/>
          <w:rtl w:val="true"/>
        </w:rPr>
        <w:footnoteReference w:id="853"/>
      </w:r>
      <w:r>
        <w:rPr>
          <w:rFonts w:ascii="Amiri" w:hAnsi="Amiri" w:eastAsia="Amiri" w:cs="Amiri"/>
          <w:color w:val="111111"/>
          <w:sz w:val="28"/>
          <w:sz w:val="28"/>
          <w:szCs w:val="28"/>
          <w:rtl w:val="true"/>
          <w:lang w:bidi="ar-SA"/>
        </w:rPr>
        <w:t>ونحوها؛ بخلافه على القول بالصحيح؛ لأنّه بناء عليه تكون الصلاة اسمًا لما يحصل به الامتثال، وهو متحقّق في الصلوات المذكورة أيضًا كما لا يخفى، فتأمّل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 على تقدير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اختصاص له بالقول بالصحيح أيضًا؛ لأنّ </w:t>
      </w:r>
    </w:p>
    <w:p>
      <w:pPr>
        <w:pStyle w:val="BookText"/>
        <w:rPr/>
      </w:pPr>
      <w:r>
        <w:rPr>
          <w:rFonts w:ascii="Amiri" w:hAnsi="Amiri" w:eastAsia="Amiri" w:cs="Amiri"/>
          <w:color w:val="111111"/>
          <w:sz w:val="28"/>
          <w:sz w:val="28"/>
          <w:szCs w:val="28"/>
          <w:rtl w:val="true"/>
          <w:lang w:bidi="ar-SA"/>
        </w:rPr>
        <w:t xml:space="preserve">الحكم بأنّ تلك الماهيّة التامّة لصلاة الظهر مثلًا واحدة إلى آخره، لا يصحّ إلّا على تقدير أن يكون المراد بتلك الماهيّة الأركان المعهودة وكون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لها كما تقدّم،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مثلًا إمّا أن يكون خارجًا عن حقيقة الصلاة ويكون من قبيل الشروط، أو لا، والأوّل فاسد للقطع بحصول الافتراق بين الحمد والتشهّد مثلًا وبين ستر العورة مثلًا، ولحكمهم بجزئيّته حيث حكموا بالتفرقة بين الأجزاء المنسيّة بلزوم التدارك في بعضها دون الآخر، فتعيّن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حصول الفرق بين الماهيّة المركّبة من الأجزاء الأربعة كالأركان، وبين المركّبة من الأجزاء الخمسة أو الستّة أو السبعة، وهكذا وبين كلّ واحد منها وبين الآخر، فاختلفت الماهيّة على القول بالأعمّ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انتفاء أيّ جزء كان لا يوجب انتفاء الماهيّة، وما نحن فيه من هذا القبيل، وهو يستلزم عدم اختلاف الماهيّة على تقدير اجتماعها مع الأركان وانفكاكها عنها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ذلك انّ تلك الأجزاء بأسرها ما عدا الأركان الأربعة مثلًا أجزاء للماهيّة تتألّف منها، ومع ذلك انتفاؤها بأسرها ولو متعمّدًا لا يوجب انتفاء الماهيّة؛ وهذا تحكّمٌ ظاهرٌ لا يكاد يرتضيه العاقل، كما لا يخفى على المنصف المتأمّل</w:t>
      </w:r>
      <w:r>
        <w:rPr>
          <w:rFonts w:eastAsia="Amiri" w:cs="Amiri" w:ascii="Amiri" w:hAnsi="Amiri"/>
          <w:color w:val="111111"/>
          <w:sz w:val="28"/>
          <w:szCs w:val="28"/>
          <w:rtl w:val="true"/>
          <w:lang w:bidi="ar-SA"/>
        </w:rPr>
        <w:t xml:space="preserve">. </w:t>
      </w:r>
      <w:bookmarkStart w:id="950" w:name="pg16224_170716"/>
    </w:p>
    <w:p>
      <w:pPr>
        <w:pStyle w:val="Heading5"/>
        <w:numPr>
          <w:ilvl w:val="4"/>
          <w:numId w:val="1"/>
        </w:numPr>
        <w:rPr/>
      </w:pPr>
      <w:bookmarkStart w:id="951" w:name="__RefHeading___Toc3735014_1280447820"/>
      <w:bookmarkStart w:id="952" w:name="_Toc373"/>
      <w:bookmarkEnd w:id="950"/>
      <w:bookmarkEnd w:id="951"/>
      <w:r>
        <w:rPr>
          <w:rtl w:val="true"/>
        </w:rPr>
        <w:t>إنّ النزاع في أنّ الألفاظ الشرعيّة أساميٍ للصحيحة أو الأعمّ غير مختصّ بالعبادات، بل متحقّق في المعاملات أيضًا</w:t>
      </w:r>
      <w:bookmarkEnd w:id="952"/>
    </w:p>
    <w:p>
      <w:pPr>
        <w:pStyle w:val="BookText"/>
        <w:rPr/>
      </w:pPr>
      <w:r>
        <w:rPr>
          <w:rFonts w:ascii="Amiri" w:hAnsi="Amiri" w:eastAsia="Amiri" w:cs="Amiri"/>
          <w:color w:val="111111"/>
          <w:sz w:val="28"/>
          <w:sz w:val="28"/>
          <w:szCs w:val="28"/>
          <w:rtl w:val="true"/>
          <w:lang w:bidi="ar-SA"/>
        </w:rPr>
        <w:t>إنّ النزاع في أنّ الألفاظ الشرعيّة أساميٍ</w:t>
      </w:r>
      <w:r>
        <w:rPr>
          <w:rStyle w:val="FootnoteAnchor"/>
          <w:rtl w:val="true"/>
        </w:rPr>
        <w:footnoteReference w:id="854"/>
      </w:r>
      <w:r>
        <w:rPr>
          <w:rFonts w:ascii="Amiri" w:hAnsi="Amiri" w:eastAsia="Amiri" w:cs="Amiri"/>
          <w:color w:val="111111"/>
          <w:sz w:val="28"/>
          <w:sz w:val="28"/>
          <w:szCs w:val="28"/>
          <w:rtl w:val="true"/>
          <w:lang w:bidi="ar-SA"/>
        </w:rPr>
        <w:t>للصحيحة أو الأعمّ غير مختصّ بالعبادات، بل متحقّق في المعاملات أيضًا</w:t>
      </w:r>
    </w:p>
    <w:p>
      <w:pPr>
        <w:pStyle w:val="BookText"/>
        <w:rPr/>
      </w:pPr>
      <w:r>
        <w:rPr>
          <w:rFonts w:ascii="Amiri" w:hAnsi="Amiri" w:eastAsia="Amiri" w:cs="Amiri"/>
          <w:color w:val="111111"/>
          <w:sz w:val="28"/>
          <w:sz w:val="28"/>
          <w:szCs w:val="28"/>
          <w:rtl w:val="true"/>
          <w:lang w:bidi="ar-SA"/>
        </w:rPr>
        <w:t>إيراد كلام للتنبيه على مرام</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يتوهّم من عنوان المسألة على ما اشتهر في الألسنة من أنّ ألفاظ العبادات هل هي أساميٍ</w:t>
      </w:r>
      <w:r>
        <w:rPr>
          <w:rStyle w:val="FootnoteAnchor"/>
          <w:rtl w:val="true"/>
        </w:rPr>
        <w:footnoteReference w:id="855"/>
      </w:r>
      <w:r>
        <w:rPr>
          <w:rFonts w:ascii="Amiri" w:hAnsi="Amiri" w:eastAsia="Amiri" w:cs="Amiri"/>
          <w:color w:val="111111"/>
          <w:sz w:val="28"/>
          <w:sz w:val="28"/>
          <w:szCs w:val="28"/>
          <w:rtl w:val="true"/>
          <w:lang w:bidi="ar-SA"/>
        </w:rPr>
        <w:t>للصحيحة أو الأعمّ، اختصاص النزاع في المسألة في العبادات وعدم جريانه في المعاملات، لكنّه ليس بصحيح، بل هو متحقّق في القسمين وجارٍ في المقامين؛ وهذا وإن ظهر ممّا ذكرناه من مقالاتهم السالفة، لكنّا أعدناه تأكيدًا للمطلب وتبعيدًا عن الغفلة في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 العقد ينصرف إلى العقد الصحيح دون الفاسد، ولا يبرّ بالبيع الفاسد لو حلف ليبيعنّ، وكذا غيره من العقود</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المطلب الرابع في العقود، والإطلاق ينصرف إلى الصحيح منها، فلو حلف ليبيعنّ أو لا يبيع انصرف إلى الصحيح دون الفاسد، إلّا في المحرّم بيعه، كالميتة الخمر والخنزير، فإنّ اليمين على عدم البيع لا تنطلق</w:t>
      </w:r>
      <w:r>
        <w:rPr>
          <w:rStyle w:val="FootnoteAnchor"/>
          <w:rtl w:val="true"/>
        </w:rPr>
        <w:footnoteReference w:id="857"/>
      </w:r>
      <w:r>
        <w:rPr>
          <w:rFonts w:ascii="Amiri" w:hAnsi="Amiri" w:eastAsia="Amiri" w:cs="Amiri"/>
          <w:color w:val="111111"/>
          <w:sz w:val="28"/>
          <w:sz w:val="28"/>
          <w:szCs w:val="28"/>
          <w:rtl w:val="true"/>
          <w:lang w:bidi="ar-SA"/>
        </w:rPr>
        <w:t>إلى الصحيح، بل إلى الصورة، إلى آخر ما ذكره</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في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هو الإيجاب والقبول، فلو حلف ليبيعنّ أو ليهبنّ لم يبرّ إلّا بهما وإنّما ينصرف إلى الصحيح، فلا يبرّ بالفاسد</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البيع وغيره من العقود حقيقة في الصحيح مجاز في الفاسد؛ لوجود خواصّ الحقيقة والمجاز فيهما، إلى آخر ما تقدّم</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أنّ إطلاق العقد محمول على الصحيح دون الفاسد؛ لأنّه حقيقة فيه؛ وإنّما يحمل اللفظ مع الإطلاق على الحقيقة مع عدم قرينة صارفة عنه إلى المجاز، فإذا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ليبيعنّ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العقد الصحيح متعذّر وغيره غير مراد من إطلاق اللفظ لغة ولا عرفًا؛ ولو حلف لا يبيعه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يحنث ببيعه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بيع فاسد، فلم يتناوله اليمين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الحنث هنا؛ لدلالة العرف على أنّ المراد هنا صورة البيع؛ ولأنّه لمّا أضاف البيع إليها وهي غير قابلة له، كان اللفظ محمولًا على صورة البيع صونًا لكلامه عن الهذر</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bookmarkStart w:id="953" w:name="pg16224_170718"/>
    </w:p>
    <w:p>
      <w:pPr>
        <w:pStyle w:val="BookText"/>
        <w:rPr/>
      </w:pPr>
      <w:bookmarkEnd w:id="953"/>
      <w:r>
        <w:rPr>
          <w:rFonts w:ascii="Amiri" w:hAnsi="Amiri" w:eastAsia="Amiri" w:cs="Amiri"/>
          <w:color w:val="111111"/>
          <w:sz w:val="28"/>
          <w:sz w:val="28"/>
          <w:szCs w:val="28"/>
          <w:rtl w:val="true"/>
          <w:lang w:bidi="ar-SA"/>
        </w:rPr>
        <w:t>قال شيخنا الشهيد 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الماهيّات الجعليّة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كالصلاة والصوم وسائر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 على الفاسد إلّا الحجّ؛ لوجوب المضيّ فيه، فلو حلف على ترك الصلاة أو الصوم اكتفى بمسمّى الصحّة، وهو الدخول فيها</w:t>
      </w:r>
      <w:r>
        <w:rPr>
          <w:rStyle w:val="FootnoteAnchor"/>
          <w:rtl w:val="true"/>
        </w:rPr>
        <w:footnoteReference w:id="862"/>
      </w:r>
      <w:r>
        <w:rPr>
          <w:rFonts w:ascii="IRNazanin" w:hAnsi="IRNazanin" w:eastAsia="IRNazanin"/>
          <w:color w:val="111111"/>
          <w:sz w:val="28"/>
          <w:sz w:val="28"/>
          <w:szCs w:val="28"/>
          <w:rtl w:val="true"/>
          <w:lang w:bidi="fa-IR"/>
        </w:rPr>
        <w:t>، فلو أفسدها</w:t>
      </w:r>
      <w:r>
        <w:rPr>
          <w:rStyle w:val="FootnoteAnchor"/>
          <w:rtl w:val="true"/>
        </w:rPr>
        <w:footnoteReference w:id="863"/>
      </w:r>
      <w:r>
        <w:rPr>
          <w:rFonts w:ascii="Amiri" w:hAnsi="Amiri" w:eastAsia="Amiri" w:cs="Amiri"/>
          <w:color w:val="111111"/>
          <w:sz w:val="28"/>
          <w:sz w:val="28"/>
          <w:szCs w:val="28"/>
          <w:rtl w:val="true"/>
          <w:lang w:bidi="ar-SA"/>
        </w:rPr>
        <w:t>بعد ذلك لم يزل الحنث؛ ويحتمل زواله</w:t>
      </w:r>
      <w:r>
        <w:rPr>
          <w:rStyle w:val="FootnoteAnchor"/>
          <w:rtl w:val="true"/>
        </w:rPr>
        <w:footnoteReference w:id="864"/>
      </w:r>
      <w:r>
        <w:rPr>
          <w:rFonts w:ascii="Amiri" w:hAnsi="Amiri" w:eastAsia="Amiri" w:cs="Amiri"/>
          <w:color w:val="111111"/>
          <w:sz w:val="28"/>
          <w:sz w:val="28"/>
          <w:szCs w:val="28"/>
          <w:rtl w:val="true"/>
          <w:lang w:bidi="ar-SA"/>
        </w:rPr>
        <w:t>لأنّه</w:t>
      </w:r>
      <w:r>
        <w:rPr>
          <w:rStyle w:val="FootnoteAnchor"/>
          <w:rtl w:val="true"/>
        </w:rPr>
        <w:footnoteReference w:id="865"/>
      </w:r>
      <w:r>
        <w:rPr>
          <w:rFonts w:ascii="Amiri" w:hAnsi="Amiri" w:eastAsia="Amiri" w:cs="Amiri"/>
          <w:color w:val="111111"/>
          <w:sz w:val="28"/>
          <w:sz w:val="28"/>
          <w:szCs w:val="28"/>
          <w:rtl w:val="true"/>
          <w:lang w:bidi="ar-SA"/>
        </w:rPr>
        <w:t>لا تسمّى صلاة شرعًا ولا صومًا مع الفساد، و</w:t>
      </w:r>
      <w:r>
        <w:rPr>
          <w:rStyle w:val="FootnoteAnchor"/>
          <w:rtl w:val="true"/>
        </w:rPr>
        <w:footnoteReference w:id="866"/>
      </w:r>
      <w:r>
        <w:rPr>
          <w:rFonts w:ascii="Amiri" w:hAnsi="Amiri" w:eastAsia="Amiri" w:cs="Amiri"/>
          <w:color w:val="111111"/>
          <w:sz w:val="28"/>
          <w:sz w:val="28"/>
          <w:szCs w:val="28"/>
          <w:rtl w:val="true"/>
          <w:lang w:bidi="ar-SA"/>
        </w:rPr>
        <w:t>أمّا لو تحرّم في الصلاة، أو دخل في الصوم مع مانع من الدخول لم يحنث قطعًا</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هذه العبارات بأسرها دالّةٌ على أنّ ألفاظ المعاملات أيضًا حقائق في الصحيحة، فيعلم منه مضافًا إلى ما ذكر عدم اختصاص القول بالحقيقة الشرعيّة في العبادات عندهم، كما ذهب إليه بعض الأعلام</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4" w:name="__RefHeading___Toc3735016_1280447820"/>
      <w:bookmarkStart w:id="955" w:name="_Toc374"/>
      <w:bookmarkEnd w:id="954"/>
      <w:r>
        <w:rPr>
          <w:rtl w:val="true"/>
        </w:rPr>
        <w:t>كلام على ما ذكره شيخنا الشهيد أعلى الله مقامه</w:t>
      </w:r>
      <w:bookmarkEnd w:id="95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ما ذكره شيخنا الشهيد من التفريع منظورٌ فيه، إذ مع الحلف على ترك الصلاة في الأماكن المكروهة يكون</w:t>
      </w:r>
      <w:r>
        <w:rPr>
          <w:rStyle w:val="FootnoteAnchor"/>
          <w:rtl w:val="true"/>
        </w:rPr>
        <w:footnoteReference w:id="869"/>
      </w:r>
      <w:r>
        <w:rPr>
          <w:rFonts w:ascii="Amiri" w:hAnsi="Amiri" w:eastAsia="Amiri" w:cs="Amiri"/>
          <w:color w:val="111111"/>
          <w:sz w:val="28"/>
          <w:sz w:val="28"/>
          <w:szCs w:val="28"/>
          <w:rtl w:val="true"/>
          <w:lang w:bidi="ar-SA"/>
        </w:rPr>
        <w:t xml:space="preserve">الصلاة منهيًّا عنها، والنهي في العبادة </w:t>
      </w:r>
    </w:p>
    <w:p>
      <w:pPr>
        <w:pStyle w:val="BookText"/>
        <w:rPr/>
      </w:pPr>
      <w:r>
        <w:rPr>
          <w:rFonts w:ascii="Amiri" w:hAnsi="Amiri" w:eastAsia="Amiri" w:cs="Amiri"/>
          <w:color w:val="111111"/>
          <w:sz w:val="28"/>
          <w:sz w:val="28"/>
          <w:szCs w:val="28"/>
          <w:rtl w:val="true"/>
          <w:lang w:bidi="ar-SA"/>
        </w:rPr>
        <w:t>يستدعي الفساد، فعلى هذا لا يتصوّر الدخول فيها صحيحة ويكون من قبيل ما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لو لم تحرّم في الصلاة</w:t>
      </w:r>
      <w:r>
        <w:rPr>
          <w:rFonts w:eastAsia="Amiri" w:cs="Amiri" w:ascii="Amiri" w:hAnsi="Amiri"/>
          <w:color w:val="111111"/>
          <w:sz w:val="28"/>
          <w:szCs w:val="28"/>
          <w:rtl w:val="true"/>
          <w:lang w:bidi="ar-SA"/>
        </w:rPr>
        <w:t>»</w:t>
      </w:r>
      <w:r>
        <w:rPr>
          <w:rStyle w:val="FootnoteAnchor"/>
          <w:rtl w:val="true"/>
        </w:rPr>
        <w:footnoteReference w:id="870"/>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لم يتعلّق بنفس الصلاة، بل بمخالفة الحلف، وهي خارجة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أنّ الحلف على ترك الصلاة، والحلف على النفي عندنا يقتضي تحريم المحلوف عليه، كما انّ الحلف على الإثبات يقتضي</w:t>
      </w:r>
      <w:r>
        <w:rPr>
          <w:rStyle w:val="FootnoteAnchor"/>
          <w:rtl w:val="true"/>
        </w:rPr>
        <w:footnoteReference w:id="871"/>
      </w:r>
      <w:r>
        <w:rPr>
          <w:rFonts w:ascii="Amiri" w:hAnsi="Amiri" w:eastAsia="Amiri" w:cs="Amiri"/>
          <w:color w:val="111111"/>
          <w:sz w:val="28"/>
          <w:sz w:val="28"/>
          <w:szCs w:val="28"/>
          <w:rtl w:val="true"/>
          <w:lang w:bidi="ar-SA"/>
        </w:rPr>
        <w:t>وجوبه، فتكون الصلاة منهيًّا عنها، وعلى فرض التسليم تكون الصلاة في تلك الأماكن مستلزمة لمخالفة الحلف، والنهي في العبادة يقتضي فسادها، سواء تعلّق بنفس العبادة، أو جزئها، أو لازمها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بما</w:t>
      </w:r>
      <w:r>
        <w:rPr>
          <w:rStyle w:val="FootnoteAnchor"/>
          <w:rtl w:val="true"/>
        </w:rPr>
        <w:footnoteReference w:id="872"/>
      </w:r>
      <w:r>
        <w:rPr>
          <w:rFonts w:ascii="Amiri" w:hAnsi="Amiri" w:eastAsia="Amiri" w:cs="Amiri"/>
          <w:color w:val="111111"/>
          <w:sz w:val="28"/>
          <w:sz w:val="28"/>
          <w:szCs w:val="28"/>
          <w:rtl w:val="true"/>
          <w:lang w:bidi="ar-SA"/>
        </w:rPr>
        <w:t>ذكرنا أخيرًا</w:t>
      </w:r>
      <w:r>
        <w:rPr>
          <w:rStyle w:val="FootnoteAnchor"/>
          <w:rtl w:val="true"/>
        </w:rPr>
        <w:footnoteReference w:id="873"/>
      </w:r>
      <w:r>
        <w:rPr>
          <w:rFonts w:ascii="Amiri" w:hAnsi="Amiri" w:eastAsia="Amiri" w:cs="Amiri"/>
          <w:color w:val="111111"/>
          <w:sz w:val="28"/>
          <w:sz w:val="28"/>
          <w:szCs w:val="28"/>
          <w:rtl w:val="true"/>
          <w:lang w:bidi="ar-SA"/>
        </w:rPr>
        <w:t>في الجواب عن التأييد الثالث عن المسالك،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الحلف الصلاة الصحيحة لولا اليمين، فيتحقّق الحنث بالصلاة الّتي لولا الحلف لصحّت</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يتوجّه الإيراد من وجه آخر، وهو أنّك قد عرفت ممّا قدّمنا أنّ الصلاة اسم للمجموع المركّب الّذي كلّ أبعاضها أجزاؤها لا جزئيّاتها، فإتيان بعضها لا يكفي لإتيانها؛ والحنث إنّما يلزم بإتيان الصلاة فيها، وهو لا يتحقّق إلّا بعد الفراغ منها، فمجرّد الدخول فيها لا يوجب المخالفة، فتأمّل</w:t>
      </w:r>
      <w:r>
        <w:rPr>
          <w:rFonts w:eastAsia="Amiri" w:cs="Amiri" w:ascii="Amiri" w:hAnsi="Amiri"/>
          <w:color w:val="111111"/>
          <w:sz w:val="28"/>
          <w:szCs w:val="28"/>
          <w:rtl w:val="true"/>
          <w:lang w:bidi="ar-SA"/>
        </w:rPr>
        <w:t xml:space="preserve">. </w:t>
      </w:r>
      <w:bookmarkStart w:id="956" w:name="pg16224_170720"/>
    </w:p>
    <w:p>
      <w:pPr>
        <w:pStyle w:val="BookText"/>
        <w:rPr/>
      </w:pPr>
      <w:bookmarkEnd w:id="956"/>
      <w:r>
        <w:rPr>
          <w:rFonts w:ascii="IRNazanin" w:hAnsi="IRNazanin" w:eastAsia="IRNazanin"/>
          <w:color w:val="111111"/>
          <w:sz w:val="28"/>
          <w:sz w:val="28"/>
          <w:szCs w:val="28"/>
          <w:rtl w:val="true"/>
          <w:lang w:bidi="fa-IR"/>
        </w:rPr>
        <w:t>إبراز</w:t>
      </w:r>
      <w:r>
        <w:rPr>
          <w:rStyle w:val="FootnoteAnchor"/>
          <w:rtl w:val="true"/>
        </w:rPr>
        <w:footnoteReference w:id="874"/>
      </w:r>
      <w:r>
        <w:rPr>
          <w:rFonts w:ascii="Amiri" w:hAnsi="Amiri" w:eastAsia="Amiri" w:cs="Amiri"/>
          <w:color w:val="111111"/>
          <w:sz w:val="28"/>
          <w:sz w:val="28"/>
          <w:szCs w:val="28"/>
          <w:rtl w:val="true"/>
          <w:lang w:bidi="ar-SA"/>
        </w:rPr>
        <w:t>كلام لاختتام مقام</w:t>
      </w:r>
    </w:p>
    <w:p>
      <w:pPr>
        <w:pStyle w:val="Heading5"/>
        <w:numPr>
          <w:ilvl w:val="4"/>
          <w:numId w:val="1"/>
        </w:numPr>
        <w:rPr/>
      </w:pPr>
      <w:bookmarkStart w:id="957" w:name="__RefHeading___Toc3735018_1280447820"/>
      <w:bookmarkStart w:id="958" w:name="_Toc375"/>
      <w:bookmarkEnd w:id="957"/>
      <w:r>
        <w:rPr>
          <w:rtl w:val="true"/>
        </w:rPr>
        <w:t>ومن المهمّ في هذا المقام التنبيه على أمرين</w:t>
      </w:r>
      <w:bookmarkEnd w:id="958"/>
    </w:p>
    <w:p>
      <w:pPr>
        <w:pStyle w:val="Heading6"/>
        <w:numPr>
          <w:ilvl w:val="5"/>
          <w:numId w:val="1"/>
        </w:numPr>
        <w:rPr/>
      </w:pPr>
      <w:bookmarkStart w:id="959" w:name="__RefHeading___Toc3735020_1280447820"/>
      <w:bookmarkStart w:id="960" w:name="_Toc376"/>
      <w:bookmarkEnd w:id="959"/>
      <w:r>
        <w:rPr>
          <w:rtl w:val="true"/>
        </w:rPr>
        <w:t>الأمر الأوّل</w:t>
      </w:r>
      <w:r>
        <w:rPr>
          <w:rtl w:val="true"/>
        </w:rPr>
        <w:t xml:space="preserve">: </w:t>
      </w:r>
      <w:r>
        <w:rPr>
          <w:rtl w:val="true"/>
        </w:rPr>
        <w:t>في دفع المشكوك بالأصل مطلقًا ولو كان جزءًا</w:t>
      </w:r>
      <w:bookmarkEnd w:id="960"/>
    </w:p>
    <w:p>
      <w:pPr>
        <w:pStyle w:val="Heading6"/>
        <w:numPr>
          <w:ilvl w:val="5"/>
          <w:numId w:val="1"/>
        </w:numPr>
        <w:rPr/>
      </w:pPr>
      <w:bookmarkStart w:id="961" w:name="__RefHeading___Toc3735022_1280447820"/>
      <w:bookmarkStart w:id="962" w:name="_Toc377"/>
      <w:bookmarkEnd w:id="961"/>
      <w:r>
        <w:rPr>
          <w:rtl w:val="true"/>
        </w:rPr>
        <w:t>اشارة</w:t>
      </w:r>
      <w:bookmarkEnd w:id="962"/>
    </w:p>
    <w:p>
      <w:pPr>
        <w:pStyle w:val="BookText"/>
        <w:rPr/>
      </w:pPr>
      <w:r>
        <w:rPr>
          <w:rFonts w:ascii="Amiri" w:hAnsi="Amiri" w:eastAsia="Amiri" w:cs="Amiri"/>
          <w:color w:val="111111"/>
          <w:sz w:val="28"/>
          <w:sz w:val="28"/>
          <w:szCs w:val="28"/>
          <w:rtl w:val="true"/>
          <w:lang w:bidi="ar-SA"/>
        </w:rPr>
        <w:t>وهذا المطلب وإن أسّسناه فيما سلف، لكن أوردناه هنا أيضًا تأكيدًا للمقصد وإشارةً إلى بعض الفوائد،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الحال في المقام يستدعي التفصيل في المرام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العبادات منقسمة على قسمين، قسم منها وقع التكليف والتخاطب به بألفاظها المجملة، كالصلاة والصوم والزكاة والحجّ ونحوها،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الصَّلَاةَ وَآتُوا الزَّكَاةَ</w:t>
      </w:r>
      <w:r>
        <w:rPr>
          <w:rStyle w:val="FootnoteAnchor"/>
          <w:rtl w:val="true"/>
        </w:rPr>
        <w:footnoteReference w:id="875"/>
      </w:r>
      <w:r>
        <w:rPr>
          <w:rFonts w:ascii="Amiri" w:hAnsi="Amiri" w:eastAsia="Amiri" w:cs="Amiri"/>
          <w:color w:val="111111"/>
          <w:sz w:val="28"/>
          <w:sz w:val="28"/>
          <w:szCs w:val="28"/>
          <w:rtl w:val="true"/>
          <w:lang w:bidi="ar-SA"/>
        </w:rPr>
        <w:t>فَمَنْ شَهِدَ مِنْكُمُ الشَّهْرَ فَلْيَصُمْهُ</w:t>
      </w:r>
      <w:r>
        <w:rPr>
          <w:rStyle w:val="FootnoteAnchor"/>
          <w:rtl w:val="true"/>
        </w:rPr>
        <w:footnoteReference w:id="876"/>
      </w:r>
      <w:r>
        <w:rPr>
          <w:rFonts w:ascii="Amiri" w:hAnsi="Amiri" w:eastAsia="Amiri" w:cs="Amiri"/>
          <w:color w:val="111111"/>
          <w:sz w:val="28"/>
          <w:sz w:val="28"/>
          <w:szCs w:val="28"/>
          <w:rtl w:val="true"/>
          <w:lang w:bidi="ar-SA"/>
        </w:rPr>
        <w:t>وَأَتِمُّوا الْحَجَّ وَالْعُمْرَةَ لِله</w:t>
      </w:r>
      <w:r>
        <w:rPr>
          <w:rStyle w:val="FootnoteAnchor"/>
          <w:rtl w:val="true"/>
        </w:rPr>
        <w:footnoteReference w:id="877"/>
      </w:r>
      <w:r>
        <w:rPr>
          <w:rFonts w:ascii="IRNazanin" w:hAnsi="IRNazanin" w:eastAsia="IRNazanin"/>
          <w:color w:val="111111"/>
          <w:sz w:val="28"/>
          <w:sz w:val="28"/>
          <w:szCs w:val="28"/>
          <w:rtl w:val="true"/>
          <w:lang w:bidi="fa-IR"/>
        </w:rPr>
        <w:t>،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كُنْتُمْ جُنُبًا فَاطَّهَّرُوا</w:t>
      </w:r>
      <w:r>
        <w:rPr>
          <w:rStyle w:val="FootnoteAnchor"/>
          <w:rtl w:val="true"/>
        </w:rPr>
        <w:footnoteReference w:id="878"/>
      </w:r>
      <w:r>
        <w:rPr>
          <w:rFonts w:ascii="Amiri" w:hAnsi="Amiri" w:eastAsia="Amiri" w:cs="Amiri"/>
          <w:color w:val="111111"/>
          <w:sz w:val="28"/>
          <w:sz w:val="28"/>
          <w:szCs w:val="28"/>
          <w:rtl w:val="true"/>
          <w:lang w:bidi="ar-SA"/>
        </w:rPr>
        <w:t>، وعلم المراد منها ببيانات الشارع</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وقسم منها ليس كذلك، بل التكليف والخطاب به بالألفاظ الدالّة على ماهيّاتها، كالوضوء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فَاغْسِلُوا وُجُوهَكُمْ وَأَيْدِيَكُمْ إِلَى الْمَرَافِقِ وَامْسَحُوا بِرُءُوسِكُمْ وَأَرْجُلَكُمْ إِلَى الْكَعْبَيْنِ</w:t>
      </w:r>
      <w:r>
        <w:rPr>
          <w:rStyle w:val="FootnoteAnchor"/>
          <w:rtl w:val="true"/>
        </w:rPr>
        <w:footnoteReference w:id="879"/>
      </w:r>
      <w:r>
        <w:rPr>
          <w:rFonts w:ascii="Amiri" w:hAnsi="Amiri" w:eastAsia="Amiri" w:cs="Amiri"/>
          <w:color w:val="111111"/>
          <w:sz w:val="28"/>
          <w:sz w:val="28"/>
          <w:szCs w:val="28"/>
          <w:rtl w:val="true"/>
          <w:lang w:bidi="ar-SA"/>
        </w:rPr>
        <w:t xml:space="preserve">، ومن هذا القبيل التيمّم كما في </w:t>
      </w:r>
      <w:bookmarkStart w:id="963" w:name="pg16224_170721"/>
    </w:p>
    <w:p>
      <w:pPr>
        <w:pStyle w:val="BookText"/>
        <w:rPr/>
      </w:pPr>
      <w:bookmarkEnd w:id="963"/>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فَتَيَمَّمُوا صَعِيدًا طَيِّبًا فَامْسَحُوا بِوُجُوهِكُمْ وَأَيْدِيكُمْ</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كانت من القسم الثاني، ينبغي القطع بجواز دفع المشكوك فيه</w:t>
      </w:r>
      <w:r>
        <w:rPr>
          <w:rStyle w:val="FootnoteAnchor"/>
          <w:rtl w:val="true"/>
        </w:rPr>
        <w:footnoteReference w:id="881"/>
      </w:r>
      <w:r>
        <w:rPr>
          <w:rFonts w:ascii="Amiri" w:hAnsi="Amiri" w:eastAsia="Amiri" w:cs="Amiri"/>
          <w:color w:val="111111"/>
          <w:sz w:val="28"/>
          <w:sz w:val="28"/>
          <w:szCs w:val="28"/>
          <w:rtl w:val="true"/>
          <w:lang w:bidi="ar-SA"/>
        </w:rPr>
        <w:t>بالأصل، فاللازم الإتيان بكلّ ما يفهم من الكلام شرطًا كان أو جزءًا، فإذا ادّعي جزئيّة شيء غيره ولم يقم عليه ما يطمئنّ النفس به، يكون الأصل البراءة عنه، إذ الظاهر من ذلك الكلام المسوق لبيان ماهيّتها</w:t>
      </w:r>
      <w:r>
        <w:rPr>
          <w:rStyle w:val="FootnoteAnchor"/>
          <w:rtl w:val="true"/>
        </w:rPr>
        <w:footnoteReference w:id="882"/>
      </w:r>
      <w:r>
        <w:rPr>
          <w:rFonts w:ascii="Amiri" w:hAnsi="Amiri" w:eastAsia="Amiri" w:cs="Amiri"/>
          <w:color w:val="111111"/>
          <w:sz w:val="28"/>
          <w:sz w:val="28"/>
          <w:szCs w:val="28"/>
          <w:rtl w:val="true"/>
          <w:lang w:bidi="ar-SA"/>
        </w:rPr>
        <w:t>أنّها عبارة عن المفهوم منه؛ لعدم جواز الإغراء بالجهل؛ وهذا ممّا لا ينبغي التأمّل فيه ولو على القول بالصحيح</w:t>
      </w:r>
      <w:r>
        <w:rPr>
          <w:rFonts w:eastAsia="Amiri" w:cs="Amiri" w:ascii="Amiri" w:hAnsi="Amiri"/>
          <w:color w:val="111111"/>
          <w:sz w:val="28"/>
          <w:szCs w:val="28"/>
          <w:rtl w:val="true"/>
          <w:lang w:bidi="ar-SA"/>
        </w:rPr>
        <w:t>.</w:t>
      </w:r>
    </w:p>
    <w:p>
      <w:pPr>
        <w:pStyle w:val="Heading6"/>
        <w:numPr>
          <w:ilvl w:val="5"/>
          <w:numId w:val="1"/>
        </w:numPr>
        <w:rPr/>
      </w:pPr>
      <w:bookmarkStart w:id="964" w:name="__RefHeading___Toc3735024_1280447820"/>
      <w:bookmarkStart w:id="965" w:name="_Toc378"/>
      <w:bookmarkEnd w:id="964"/>
      <w:r>
        <w:rPr>
          <w:rtl w:val="true"/>
        </w:rPr>
        <w:t>الترتيب في الذكر لا يفيد الترتيب في الحكم إلّا في كتاب الله تعالى</w:t>
      </w:r>
      <w:bookmarkEnd w:id="965"/>
    </w:p>
    <w:p>
      <w:pPr>
        <w:pStyle w:val="BookText"/>
        <w:rPr/>
      </w:pPr>
      <w:r>
        <w:rPr>
          <w:rFonts w:ascii="Amiri" w:hAnsi="Amiri" w:eastAsia="Amiri" w:cs="Amiri"/>
          <w:color w:val="111111"/>
          <w:sz w:val="28"/>
          <w:sz w:val="28"/>
          <w:szCs w:val="28"/>
          <w:rtl w:val="true"/>
          <w:lang w:bidi="ar-SA"/>
        </w:rPr>
        <w:t>وإنّما الكلام في أنّ مدلول الكلام في أمثال المقام هل هو ما دلّ عليه ألفاظه بأوضاعها اللغويّة، أو أعمّ منه بأن يكون هناك مدلول آخر يستفاد من الترتيب الذكريّ، أي يكون الترتيب في الذكر مفيدًا للترتيب في الحكم؟ فعلى الثاني يكون الترتيب المعهود في الوضوء أيضًا مفهومًا من الآية، فلا يمكن في دفعه التمسّك بالأصل، بخلافه على الأوّل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إشكال، من أنّ التقديم قد صدر من</w:t>
      </w:r>
      <w:r>
        <w:rPr>
          <w:rStyle w:val="FootnoteAnchor"/>
          <w:rtl w:val="true"/>
        </w:rPr>
        <w:footnoteReference w:id="883"/>
      </w:r>
      <w:r>
        <w:rPr>
          <w:rFonts w:ascii="Amiri" w:hAnsi="Amiri" w:eastAsia="Amiri" w:cs="Amiri"/>
          <w:color w:val="111111"/>
          <w:sz w:val="28"/>
          <w:sz w:val="28"/>
          <w:szCs w:val="28"/>
          <w:rtl w:val="true"/>
          <w:lang w:bidi="ar-SA"/>
        </w:rPr>
        <w:t xml:space="preserve">فاعل مختار، فلا بدّ أن يكون </w:t>
      </w:r>
    </w:p>
    <w:p>
      <w:pPr>
        <w:pStyle w:val="BookText"/>
        <w:rPr/>
      </w:pPr>
      <w:r>
        <w:rPr>
          <w:rFonts w:ascii="Amiri" w:hAnsi="Amiri" w:eastAsia="Amiri" w:cs="Amiri"/>
          <w:color w:val="111111"/>
          <w:sz w:val="28"/>
          <w:sz w:val="28"/>
          <w:szCs w:val="28"/>
          <w:rtl w:val="true"/>
          <w:lang w:bidi="ar-SA"/>
        </w:rPr>
        <w:t>لمرجّح، ومن أنّ الكلام لا يتمّ إلّا بتقديم بعض أجزائه على الآخر كما لا يخفى على أيّ متكلّم كان، وأنّ الخطابات الشرعيّة على نهج الخطابات العرفيّة، ولا دلالة للتقديم في الذكر على التقديم في الحكم في العرف والعادة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هو التحقيق، لكن في غير خطابات الله سبحانه لما ذكر؛ وكون التقديم لمرجّح لا يقتضي أن يكون المرجّح ذلك، وأمّا فيها فالظاهر أنّ الترتيب في الذكر يفيد الترتيب في الحكم لا لما ذكر، بل للنصوص الدالّة عليه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سئل عن مبدأ السعي من الصفاء أو المروة بعد نزول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الصَّفَا وَالْمَرْوَةَ مِنْ شَعَائِرِ الله</w:t>
      </w:r>
      <w:r>
        <w:rPr>
          <w:rStyle w:val="FootnoteAnchor"/>
          <w:rtl w:val="true"/>
        </w:rPr>
        <w:footnoteReference w:id="8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ابدأوا بما بدأ الله تعالى به</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روي في الوضوء أيضًا</w:t>
      </w:r>
      <w:r>
        <w:rPr>
          <w:rStyle w:val="FootnoteAnchor"/>
          <w:rtl w:val="true"/>
        </w:rPr>
        <w:footnoteReference w:id="886"/>
      </w:r>
      <w:r>
        <w:rPr>
          <w:rFonts w:ascii="Amiri" w:hAnsi="Amiri" w:eastAsia="Amiri" w:cs="Amiri"/>
          <w:color w:val="111111"/>
          <w:sz w:val="28"/>
          <w:sz w:val="28"/>
          <w:szCs w:val="28"/>
          <w:rtl w:val="true"/>
          <w:lang w:bidi="ar-SA"/>
        </w:rPr>
        <w:t>، وهذا وإن ورد في موضع خاصّ، إلّا أنّ العبرة بعموم اللفظ، لا بخصوص المحلّ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ويتوجّه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غاية ما يستفاد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ابدأ بما بدأ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الابتداء بما بدأه الله تعالى، وهذا يحصل بالابتداء في غسل الوجه، سواء قدّم غسل اليد اليمنى على اليسرى أو عكس، بل يحصل بتقديم مسح الأعضاء بأسرها أو بعضها على غسل اليدين كما لا يخفى، وأين ذلك من الترتيب المعهود في الوضوء؟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أن يدّعى أنّ المدلول العرفيّ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w:t>
      </w:r>
      <w:r>
        <w:rPr>
          <w:rStyle w:val="FootnoteAnchor"/>
          <w:rtl w:val="true"/>
        </w:rPr>
        <w:footnoteReference w:id="887"/>
      </w:r>
      <w:r>
        <w:rPr>
          <w:rFonts w:ascii="Amiri" w:hAnsi="Amiri" w:eastAsia="Amiri" w:cs="Amiri"/>
          <w:color w:val="111111"/>
          <w:sz w:val="28"/>
          <w:sz w:val="28"/>
          <w:szCs w:val="28"/>
          <w:rtl w:val="true"/>
          <w:lang w:bidi="ar-SA"/>
        </w:rPr>
        <w:t>بما بدأ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بما ذكره أوّلًا ثمّ بما بعده وهكذا إلى آخره، إمّا بكون الابتداء فيه محمولًا على الإضافيّ، أي ابتدائيّته بالنسبة إلى ما بعده؛ أو لا،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الشريفة من آيات سورة المائدة، وهي آخر سور القرآن نزولًا، والوضوء كان في أوّل الشريعة واجبًا، فلا يكون إنشاء التكليف بالوضوء من هذه الآية وليست بيانًا لماهيّته؛ لأنّهم كانوا في ذلك الزمان يعرفونها؛ ولأنّ البيان لا بدّ أن يكون وافيًا محيطًا لجميع</w:t>
      </w:r>
      <w:r>
        <w:rPr>
          <w:rStyle w:val="FootnoteAnchor"/>
          <w:rtl w:val="true"/>
        </w:rPr>
        <w:footnoteReference w:id="888"/>
      </w:r>
      <w:r>
        <w:rPr>
          <w:rFonts w:ascii="Amiri" w:hAnsi="Amiri" w:eastAsia="Amiri" w:cs="Amiri"/>
          <w:color w:val="111111"/>
          <w:sz w:val="28"/>
          <w:sz w:val="28"/>
          <w:szCs w:val="28"/>
          <w:rtl w:val="true"/>
          <w:lang w:bidi="ar-SA"/>
        </w:rPr>
        <w:t>المبيّن، والآية ليست كذلك قطعًا</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السورة من آخر سور القرآن لا يوجب أن يكون</w:t>
      </w:r>
      <w:r>
        <w:rPr>
          <w:rStyle w:val="FootnoteAnchor"/>
          <w:rtl w:val="true"/>
        </w:rPr>
        <w:footnoteReference w:id="890"/>
      </w:r>
      <w:r>
        <w:rPr>
          <w:rFonts w:ascii="Amiri" w:hAnsi="Amiri" w:eastAsia="Amiri" w:cs="Amiri"/>
          <w:color w:val="111111"/>
          <w:sz w:val="28"/>
          <w:sz w:val="28"/>
          <w:szCs w:val="28"/>
          <w:rtl w:val="true"/>
          <w:lang w:bidi="ar-SA"/>
        </w:rPr>
        <w:t>كلّ آية من آياته كذلك؛ وعلى فرض التسليم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معرفتهم الوضوء قبل نزول الآية لا يوجب عدم بيان ماهيّتها في الآيات النازلة بعده كما لا يخفى، إذ كما يكون</w:t>
      </w:r>
      <w:r>
        <w:rPr>
          <w:rStyle w:val="FootnoteAnchor"/>
          <w:rtl w:val="true"/>
        </w:rPr>
        <w:footnoteReference w:id="891"/>
      </w:r>
      <w:r>
        <w:rPr>
          <w:rFonts w:ascii="Amiri" w:hAnsi="Amiri" w:eastAsia="Amiri" w:cs="Amiri"/>
          <w:color w:val="111111"/>
          <w:sz w:val="28"/>
          <w:sz w:val="28"/>
          <w:szCs w:val="28"/>
          <w:rtl w:val="true"/>
          <w:lang w:bidi="ar-SA"/>
        </w:rPr>
        <w:t>ماهيّة الوضوء معلومة عندهم كذلك وجوبه أيضًا، بل بطريق أولى كما لا يخفى؛ ومقتضى ما ذكر عدم صدور الأمر به بعده، مع أنّه لا شبهة في فساده، والفائدة فيه هي الفائدة في بيان الماهيّة بعد علمهم بها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أنّ الظاهر من سياق الآية الشريفة أنّها مسوقة لبيان الماهيّة </w:t>
      </w:r>
    </w:p>
    <w:p>
      <w:pPr>
        <w:pStyle w:val="BookText"/>
        <w:rPr/>
      </w:pPr>
      <w:r>
        <w:rPr>
          <w:rFonts w:ascii="IRNazanin" w:hAnsi="IRNazanin" w:eastAsia="IRNazanin"/>
          <w:color w:val="111111"/>
          <w:sz w:val="28"/>
          <w:sz w:val="28"/>
          <w:szCs w:val="28"/>
          <w:rtl w:val="true"/>
          <w:lang w:bidi="fa-IR"/>
        </w:rPr>
        <w:t xml:space="preserve">بحيث لا يمكن إنكاره، والحمل على الظاهر لازم إلّا مع القرينة الصارفة، ومجرّد علمهم بذلك لا يصلح لذلك كما لا يخفى؛ لاحتمال أن يكون البيان في الآية أيضًا تصديقًا لما بيّنه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تأكيدًا له، أو غير ذلك كإفادتها لمن بعدهم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الخطابات الشفاهيّة مختصّة بالموجودين في ذلك الوقت، فلا يتناول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الاستفادة منها ليست لشمولها لنا، بل لكون المفهوم منها ذلك، والمفهوم معتبر بالنسبة إلينا أيضًا لاشتراك التكليف، والقول بأنّ البيان لا بدّ أن يكون وافيًا لتمام المبيّن لا يقتضي أن لا يكون ما لم يُستقصَ فيه غير مبيّن؛ لوضوح أنّ كثيرًا من الأدلّة الشرعيّة كذلك، فما ثبت اعتباره نقول به، والثمرة يظهر</w:t>
      </w:r>
      <w:r>
        <w:rPr>
          <w:rStyle w:val="FootnoteAnchor"/>
          <w:rtl w:val="true"/>
        </w:rPr>
        <w:footnoteReference w:id="892"/>
      </w:r>
      <w:r>
        <w:rPr>
          <w:rFonts w:ascii="Amiri" w:hAnsi="Amiri" w:eastAsia="Amiri" w:cs="Amiri"/>
          <w:color w:val="111111"/>
          <w:sz w:val="28"/>
          <w:sz w:val="28"/>
          <w:szCs w:val="28"/>
          <w:rtl w:val="true"/>
          <w:lang w:bidi="ar-SA"/>
        </w:rPr>
        <w:t>فيما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أمر بغسل الوجه واليدين ومسح الرأس والرجلين كيف كان الغسل والمسح، فلا إجمال أصلًا، فما ثبت من دليل اعتباره مثل الترتيب والموالات والنيّة نقول به، وما لم يثبت فالأصل عدمه، ولا حاجة إلى بيان فعليّ أو قوليّ، كما هو الحال في العبادات</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الاشتغال اليقينيّ بالوضوء ثابت والبراءة اليقينيّة لا تحصل إلّا بإتيان المشكوك فيه، فلا يجوز دفعه بالأصل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إنّما هو بإيجاد تلك الماهيّة وقد ظهرت بالأدلّة الشرعيّة كما هو المفروض، ومقتضاه حصول الامتثال بإيجادها، والزائد عليه غير مسلّم لعدم الدليل، فالأصل البراءة عنه، ففي هذا القسم لا نتمسّك</w:t>
      </w:r>
      <w:r>
        <w:rPr>
          <w:rStyle w:val="FootnoteAnchor"/>
          <w:rtl w:val="true"/>
        </w:rPr>
        <w:footnoteReference w:id="894"/>
      </w:r>
      <w:r>
        <w:rPr>
          <w:rFonts w:ascii="Amiri" w:hAnsi="Amiri" w:eastAsia="Amiri" w:cs="Amiri"/>
          <w:color w:val="111111"/>
          <w:sz w:val="28"/>
          <w:sz w:val="28"/>
          <w:szCs w:val="28"/>
          <w:rtl w:val="true"/>
          <w:lang w:bidi="ar-SA"/>
        </w:rPr>
        <w:t>فيه بالاشتغال الثابت بالنسبة إلى المشكوكة، وأمّا القسم الأوّل، أي إذا وقع التخاطب باللفظ المجمل من غير أن يعقّب بالبيان كأقيموا الصلاة مثلًا،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الماهيّة فيه لا شبهة في لزوم الإتيان بالأمور المشكوكة تحصيلًا للبراءة اليقينيّة وعدم حصول الامتثال إلّا بذلك ولو كان الاحتمال من الخبر الضعيف لتأييده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ظهورها على الوجه الّذي أومأنا إليه، فالظاهر أنّ حاله في جواز دفع المشكوك بالأصل وعدم لزوم التمسّك بالاشتغال الثابت حال القسم الأوّل؛ إذ ظنّ المجتهد بعد مراعاة ما يجب عليه مراعاته في حكم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في أنّه إذا دلّ دليلٌ معتبرٌ على اعتبار شيء في تلك العبادة شرطًا كان أو جزءًا وعارضه مثله، هل يقدّم المثبت نظرًا إلى الاشتغال الثابت، أو النافي نظرًا إلى أصالة البراءة؟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ويظهر وجهه ممّا ذكر، إلّا عند اعتضاد النافي بشيء آخر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تشخيص الماهيّة عند المجتهد، فإن حصل ولم يوجب المثبت تزلزلًا له في ذلك يقدّم النافي؛ عملًا بأصالة البراءة، وإلّا يجب تقديم المثبت تمسّكًا بالاشتغال الثابت</w:t>
      </w:r>
      <w:r>
        <w:rPr>
          <w:rFonts w:eastAsia="Amiri" w:cs="Amiri" w:ascii="Amiri" w:hAnsi="Amiri"/>
          <w:color w:val="111111"/>
          <w:sz w:val="28"/>
          <w:szCs w:val="28"/>
          <w:rtl w:val="true"/>
          <w:lang w:bidi="ar-SA"/>
        </w:rPr>
        <w:t xml:space="preserve">. </w:t>
      </w:r>
      <w:bookmarkStart w:id="966" w:name="pg16224_170726"/>
    </w:p>
    <w:p>
      <w:pPr>
        <w:pStyle w:val="BookText"/>
        <w:rPr/>
      </w:pPr>
      <w:bookmarkEnd w:id="966"/>
      <w:r>
        <w:rPr>
          <w:rFonts w:ascii="Amiri" w:hAnsi="Amiri" w:eastAsia="Amiri" w:cs="Amiri"/>
          <w:color w:val="111111"/>
          <w:sz w:val="28"/>
          <w:sz w:val="28"/>
          <w:szCs w:val="28"/>
          <w:rtl w:val="true"/>
          <w:lang w:bidi="ar-SA"/>
        </w:rPr>
        <w:t>وممّا ذكر ظهر لك الافتراق بين ما يتمسّك فيه بالاشتغال الثابت وما يتمسّك فيه بأصالة البراءة وفساد توهّم التدافع في كلمات الفقهاء حيث يتمسّكون بالاشتغال الثابت وبأصالة البراءة، مع أنّ مقتضى الأوّل لزوم الإتيان والثاني عدمه؛ وذلك لأنّ من الأمور المعتبرة في التنافي وحدة المورد، وهنا ليس كذلك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يتمسّك فيه بالاشتغال اليقينيّ هو ما إذا كلّف بشيء غير معيّن في نظر المكلّف، بل متردّد بين أمور محصورة، كما إذا فاتت إحدى الفرائض الخمس والتبست بين الثنائيّة والثلاثيّة والرباعيّة، فإنّه يجب عليه أن يأتي بثلث صلوات، إذ الاشتغال اليقينيّ ثابت، ولا يحصل البراءة إلّا بذلك، وكذلك الحال في الإنائين المشتبهين والثوبين وأمثال ذلك، ولا يجوز أن يتمسّك في أمثال المقام بأصالة البراءة عمّا سوى الواحد؛ لانتقاضها</w:t>
      </w:r>
      <w:r>
        <w:rPr>
          <w:rStyle w:val="FootnoteAnchor"/>
          <w:rtl w:val="true"/>
        </w:rPr>
        <w:footnoteReference w:id="895"/>
      </w:r>
      <w:r>
        <w:rPr>
          <w:rFonts w:ascii="Amiri" w:hAnsi="Amiri" w:eastAsia="Amiri" w:cs="Amiri"/>
          <w:color w:val="111111"/>
          <w:sz w:val="28"/>
          <w:sz w:val="28"/>
          <w:szCs w:val="28"/>
          <w:rtl w:val="true"/>
          <w:lang w:bidi="ar-SA"/>
        </w:rPr>
        <w:t>بثبوت التكليف بواحد مردّد بين اثنين، والبراءة لا تحصل إلّا بالجميع</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3735026_1280447820"/>
      <w:bookmarkStart w:id="968" w:name="_Toc379"/>
      <w:bookmarkEnd w:id="967"/>
      <w:r>
        <w:rPr>
          <w:rtl w:val="true"/>
        </w:rPr>
        <w:t>الأمر الثاني</w:t>
      </w:r>
      <w:bookmarkEnd w:id="96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ربّما يتوهّم أنّ المشهور في الألسنة، بل المذكور في الكتب المتداولة أنّ الصلاة في اللغة للدعاء وفي الشرع للأركان المعهودة، وهو لا يتمّ</w:t>
      </w:r>
      <w:r>
        <w:rPr>
          <w:rStyle w:val="FootnoteAnchor"/>
          <w:rtl w:val="true"/>
        </w:rPr>
        <w:footnoteReference w:id="896"/>
      </w:r>
      <w:r>
        <w:rPr>
          <w:rFonts w:ascii="Amiri" w:hAnsi="Amiri" w:eastAsia="Amiri" w:cs="Amiri"/>
          <w:color w:val="111111"/>
          <w:sz w:val="28"/>
          <w:sz w:val="28"/>
          <w:szCs w:val="28"/>
          <w:rtl w:val="true"/>
          <w:lang w:bidi="ar-SA"/>
        </w:rPr>
        <w:t xml:space="preserve">إلّا على القول بالأعمّ، وينافي كونها اسمًا للصحيحة كما لا يخفى، فكيف يدّعى أنّ القول بالصحيح قول الأكثر أو الكلّ، مع أنّه يمكن ممّا ذكر دعوى عكسه؟ </w:t>
      </w:r>
    </w:p>
    <w:p>
      <w:pPr>
        <w:pStyle w:val="BookText"/>
        <w:rPr/>
      </w:pPr>
      <w:r>
        <w:rPr>
          <w:rFonts w:ascii="Amiri" w:hAnsi="Amiri" w:eastAsia="Amiri" w:cs="Amiri"/>
          <w:color w:val="111111"/>
          <w:sz w:val="28"/>
          <w:sz w:val="28"/>
          <w:szCs w:val="28"/>
          <w:rtl w:val="true"/>
          <w:lang w:bidi="ar-SA"/>
        </w:rPr>
        <w:t>والجواب عنه وإن يظهر ممّا ذكرناه في المباحث السالفة، لكنّا لا نكتفي بذلك حذرًا عن غفلة الغافل،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وإن شاع في الألسنة، لكنّه ليس محمولًا على ظاهره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قد عرفت تصريحاتهم بكونها أساميًا للصحيحة، فيعلم منه أنّ مرادهم في تلك المواضع ليس إلّا التنبيه على المغايرة بين المعنى اللغويّ والشرعيّ؛ وهذا يحصل بما ذكروه، لا أنّ مرادهم أنّ الشارع جعل تلك الألفاظ اسمًا للأركان كما هو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هذا المرام إلى العلماء الأعلام أمر عارٍ عن البرهان مقرون بالظلم والعدوان، وكفاك في الوصول إلى حقيقة الحال حكاية جملة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في الشرع للركعات المخصوصة</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نقله</w:t>
      </w:r>
      <w:r>
        <w:rPr>
          <w:rStyle w:val="FootnoteAnchor"/>
          <w:rtl w:val="true"/>
        </w:rPr>
        <w:footnoteReference w:id="898"/>
      </w:r>
      <w:r>
        <w:rPr>
          <w:rFonts w:ascii="Amiri" w:hAnsi="Amiri" w:eastAsia="Amiri" w:cs="Amiri"/>
          <w:color w:val="111111"/>
          <w:sz w:val="28"/>
          <w:sz w:val="28"/>
          <w:szCs w:val="28"/>
          <w:rtl w:val="true"/>
          <w:lang w:bidi="ar-SA"/>
        </w:rPr>
        <w:t>الشارع إلى الأفعال المخصوصة</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السند عميد الدين في شرحه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نقلها الشارع إلى الأفعال المخصوصة من الركوع</w:t>
      </w:r>
      <w:r>
        <w:rPr>
          <w:rStyle w:val="FootnoteAnchor"/>
          <w:rtl w:val="true"/>
        </w:rPr>
        <w:footnoteReference w:id="900"/>
      </w:r>
      <w:r>
        <w:rPr>
          <w:rFonts w:ascii="IRNazanin" w:hAnsi="IRNazanin" w:eastAsia="IRNazanin"/>
          <w:color w:val="111111"/>
          <w:sz w:val="28"/>
          <w:sz w:val="28"/>
          <w:szCs w:val="28"/>
          <w:rtl w:val="true"/>
          <w:lang w:bidi="fa-IR"/>
        </w:rPr>
        <w:t xml:space="preserve">والسجود </w:t>
      </w:r>
    </w:p>
    <w:p>
      <w:pPr>
        <w:pStyle w:val="BookText"/>
        <w:rPr/>
      </w:pPr>
      <w:r>
        <w:rPr>
          <w:rFonts w:ascii="Amiri" w:hAnsi="Amiri" w:eastAsia="Amiri" w:cs="Amiri"/>
          <w:color w:val="111111"/>
          <w:sz w:val="28"/>
          <w:sz w:val="28"/>
          <w:szCs w:val="28"/>
          <w:rtl w:val="true"/>
          <w:lang w:bidi="ar-SA"/>
        </w:rPr>
        <w:t>والقيام والقعود والأذكار المعيّنة من التكبير والقراءة والتسبيح</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كاستعمال الصلاة في الأفعال المخصوصة بعد وضعها في اللغة للدعاء</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ما ذكر من الأقوال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مذكور في بعض الكتب، وبناؤه إمّا على ما ذكر، أو على الغفلة، أو على تعميم الأركان</w:t>
      </w:r>
      <w:r>
        <w:rPr>
          <w:rStyle w:val="FootnoteAnchor"/>
          <w:rtl w:val="true"/>
        </w:rPr>
        <w:footnoteReference w:id="903"/>
      </w:r>
      <w:r>
        <w:rPr>
          <w:rFonts w:ascii="Amiri" w:hAnsi="Amiri" w:eastAsia="Amiri" w:cs="Amiri"/>
          <w:color w:val="111111"/>
          <w:sz w:val="28"/>
          <w:sz w:val="28"/>
          <w:szCs w:val="28"/>
          <w:rtl w:val="true"/>
          <w:lang w:bidi="ar-SA"/>
        </w:rPr>
        <w:t>بحيث يشمل المعنى المصطلح عليه وغيره، أو على القول بالأعمّ مع تأمّل فيه، فاتّضح الحال وارتفع الاشكال بمعونة الله</w:t>
      </w:r>
      <w:r>
        <w:rPr>
          <w:rStyle w:val="FootnoteAnchor"/>
          <w:rtl w:val="true"/>
        </w:rPr>
        <w:footnoteReference w:id="904"/>
      </w:r>
      <w:r>
        <w:rPr>
          <w:rFonts w:ascii="IRNazanin" w:hAnsi="IRNazanin" w:eastAsia="IRNazanin"/>
          <w:color w:val="111111"/>
          <w:sz w:val="28"/>
          <w:sz w:val="28"/>
          <w:szCs w:val="28"/>
          <w:rtl w:val="true"/>
          <w:lang w:bidi="fa-IR"/>
        </w:rPr>
        <w:t>المتعال</w:t>
      </w:r>
      <w:r>
        <w:rPr>
          <w:rFonts w:eastAsia="IRNazanin" w:cs="IRNazanin"/>
          <w:color w:val="111111"/>
          <w:sz w:val="28"/>
          <w:szCs w:val="28"/>
          <w:rtl w:val="true"/>
          <w:lang w:bidi="fa-IR"/>
        </w:rPr>
        <w:t xml:space="preserve">. </w:t>
      </w:r>
      <w:bookmarkStart w:id="969" w:name="pg16224_170729"/>
    </w:p>
    <w:p>
      <w:pPr>
        <w:pStyle w:val="Heading2"/>
        <w:numPr>
          <w:ilvl w:val="1"/>
          <w:numId w:val="1"/>
        </w:numPr>
        <w:rPr/>
      </w:pPr>
      <w:bookmarkStart w:id="970" w:name="__RefHeading___Toc3735028_1280447820"/>
      <w:bookmarkStart w:id="971" w:name="_Toc380"/>
      <w:bookmarkEnd w:id="969"/>
      <w:bookmarkEnd w:id="970"/>
      <w:r>
        <w:rPr>
          <w:rtl w:val="true"/>
        </w:rPr>
        <w:t>الفهارس الفنّيّة</w:t>
      </w:r>
      <w:bookmarkEnd w:id="97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2" w:name="__RefHeading___Toc3735030_1280447820"/>
      <w:bookmarkStart w:id="973" w:name="_Toc381"/>
      <w:bookmarkEnd w:id="972"/>
      <w:r>
        <w:rPr>
          <w:rtl w:val="true"/>
        </w:rPr>
        <w:t>اشارة</w:t>
      </w:r>
      <w:bookmarkEnd w:id="97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4" w:name="pg16224_170731"/>
      <w:bookmarkStart w:id="975" w:name="pg16224_170731"/>
      <w:bookmarkEnd w:id="975"/>
    </w:p>
    <w:p>
      <w:pPr>
        <w:pStyle w:val="BookText"/>
        <w:rPr/>
      </w:pPr>
      <w:bookmarkStart w:id="976" w:name="pg16224_170731"/>
      <w:bookmarkEnd w:id="976"/>
      <w:r>
        <w:rPr>
          <w:rFonts w:ascii="Amiri" w:hAnsi="Amiri" w:eastAsia="Amiri" w:cs="Amiri"/>
          <w:color w:val="111111"/>
          <w:sz w:val="28"/>
          <w:sz w:val="28"/>
          <w:szCs w:val="28"/>
          <w:rtl w:val="true"/>
          <w:lang w:bidi="ar-SA"/>
        </w:rPr>
        <w:t>الفهارس الفنّيّة</w:t>
      </w:r>
    </w:p>
    <w:p>
      <w:pPr>
        <w:pStyle w:val="Heading3"/>
        <w:numPr>
          <w:ilvl w:val="2"/>
          <w:numId w:val="1"/>
        </w:numPr>
        <w:rPr/>
      </w:pPr>
      <w:bookmarkStart w:id="977" w:name="__RefHeading___Toc3735032_1280447820"/>
      <w:bookmarkStart w:id="978" w:name="_Toc382"/>
      <w:bookmarkEnd w:id="977"/>
      <w:r>
        <w:rPr>
          <w:rtl w:val="true"/>
        </w:rPr>
        <w:t>فهرس الآيات القرآنيّة</w:t>
      </w:r>
      <w:bookmarkEnd w:id="978"/>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يَجْعَلُونَ أَصَابِعَهُمْ فِي آذَانِهِمْ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أَتَجْعَلُ فِيهَا مَنْ يُفْسِدُ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الْأَسْمَاءَ كُلَّهَا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لَا عِلْمَ لَنَا إِلَّا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أَنْبِئْهُمْ بِأَسْمَائِهِمْ فَلَمَّا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الصَّلَاةَ وَآتُوا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وَالْمَرْوَةَ مِنْ شَعَائِرِ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حَافِظُوا عَلَى الصَّلَوَاتِ وَالصَّلَاةِ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مَا كَسَبَتْ وَعَلَيْهَا مَا اكْتَسَبَتْ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تُؤْتِي الْمُلْكَ مَنْ تَشَاءُ وَتَنْزِعُ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415/1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وَمَكَرُوا وَمَكَرَ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يَبْتَغِ غَيْرَ الْإِسْلَامِ دِينًا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الَّذِينَ ابْيَضَّتْ وُجُوهُهُمْ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تَنْكِحُوا مَا نَكَحَ آَبَاؤُكُمْ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جُنُبًا إِلَّا عَابِرِي سَبِيلٍ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فَتَحْرِيرُ رَقَبَةٍ مُؤْمِنَةٍ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فَاغْسِلُوا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وَالسَّارِقُ وَالسَّارِقَةُ فَاقْطَعُوا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جَعَلْنَا مِنْكُمْ شِرْعَةً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أَوْقَدُوا نَارًا لِلْحَرْبِ أَطْفَأَهَا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رَطْبٍ وَلَا يَابِسٍ إِلَّا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أَوَمَنْ كَانَ مَيْتًا فَأَحْيَيْنَاهُ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وَكَمْ مِنْ قَرْيَةٍ أَهْلَكْنَاهَا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ثَقُلَتْ مَوَازِينُهُ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أَفَأَمِنُوا مَكْرَ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294/1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فَاقْتُلُوا 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فَلْيَضْحَكُوا قَلِيلًا وَلْيَبْكُوا كَثِيرًا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بِأَهْلِكَ بِقِطْعٍ مِنَ اللَّيْلِ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الر تِلْكَ آَيَاتُ الْكِتَابِ الْمُبِينِ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قُرْآنًا عَرَبِيًّا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بَشَرًا إِنْ هَذَا إِلَّا مَلَكٌ 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أَرَانِي أَعْصِرُ خَمْرًا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صَاحِبَيِ السِّجْنِ أَأَرْبَابٌ مُتَفَرِّقُونَ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تَعْبُدُونَ مِنْ دُونِهِ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 الْقَرْيَةَ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مِنْكُمْ مَنْ أَسَرَّ الْقَوْلَ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415/1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أَرْسَلْنَا مِنْ رَسُولٍ إِلَّا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عَلَيْكَ الْكِتَابَ تِبْيَانًا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لِدُلُوكِ الشَّمْسِ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وَتَحْسَبُهُمْ أَيْقَاظًا وَهُمْ رُقُودٌ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وَاشْتَعَلَ الرَّأْسُ شَيْبًا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 الصَّلَاةَ لِذِكْرِي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وَكَذَلِكَ أَنْزَلْنَاهُ قُرْآنًا عَرَبِيًّا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وَأْمُرْ أَهْلَكَ بِالصَّلَاةِ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وَعَلَّمْنَاهُ صَنْعَةَ لَبُوسٍ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ارْكَعُوا وَاسْجُدُوا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مَوَازِينُهُ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الزَّانِيَةُ وَالزَّانِي فَاجْلِدُوا كُلَّ وَاحِدٍ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نَحْنُ أَعْلَمُ بِمَنْ فِيهَا لَنُنَجِّيَنَّهُ وَأَهْلَهُ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خَلْقُ السَّمَاوَاتِ وَالْأَرْضِ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210/2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عَطَاؤُنَا فَامْنُنْ أَوْ أَمْسِكْ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ضَرَبْنَا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عَرَبِيًّا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كِتَابٌ فُصِّلَتْ آيَاتُهُ قُرْآنًا عَرَبِيًّا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 xml:space="preserve">....... </w:t>
      </w:r>
      <w:r>
        <w:rPr>
          <w:rFonts w:eastAsia="IRNazanin" w:cs="IRNazanin"/>
          <w:color w:val="111111"/>
          <w:sz w:val="28"/>
          <w:szCs w:val="28"/>
          <w:lang w:bidi="fa-IR"/>
        </w:rPr>
        <w:t>380/1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شَرَعَ لَكُمْ مِنَ الدِّينِ مَا وَصَّى 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جَعَلْنَاكَ عَلَى شَرِيعَةٍ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 تُؤْمِنُوا وَلَكِنْ قُولُوا أَسْلَمْنَا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فَأَخْرَجْنَا مَنْ كَانَ فِيهَا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فِيهَا غَيْرَ بَيْتٍ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هِيَ إِلَّا أَسْمَاءٌ سَمَّيْتُمُوهَا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تَبَارَكَ اسْمُ رَبِّكَ ذِي الْجَلَالِ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عِنْدَ الله خَيْرٌ مِنَ اللَّهْوِ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يُخْزِي الله النَّبِيَّ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وَالْقَلَمِ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لَعَلَى خُلُقٍ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عَيْنًا يَشْرَبُ 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قِيلَ لَهُمُ ارْكَعُوا لا يَرْكَعُونَ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وَأَنْزَلْنَا مِنَ الْمُعْصِرَاتِ مَاءً ثَجَّاجًا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لِنُخْرِجَ بِهِ حَبًّا وَنَبَاتًا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وَجَاءَ رَبُّكَ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ascii="IRNazanin" w:hAnsi="IRNazanin" w:eastAsia="IRNazanin"/>
          <w:color w:val="111111"/>
          <w:sz w:val="28"/>
          <w:sz w:val="28"/>
          <w:szCs w:val="28"/>
          <w:lang w:bidi="fa-IR"/>
        </w:rPr>
        <w:t>،</w:t>
      </w:r>
      <w:r>
        <w:rPr>
          <w:rFonts w:eastAsia="IRNazanin" w:cs="IRNazanin"/>
          <w:color w:val="111111"/>
          <w:sz w:val="28"/>
          <w:szCs w:val="28"/>
          <w:lang w:bidi="fa-IR"/>
        </w:rPr>
        <w:t>380/1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اقْرَأْ بِاسْمِ رَبِّكَ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 الْإِنْسَانَ مَا لَمْ يَعْلَمْ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 xml:space="preserve">.......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فَلْيَدْعُ نَادِيَهُ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أُمِرُوا إِلَّا لِيَعْبُدُوا الله مُخْلِصِينَ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bookmarkStart w:id="979" w:name="pg16224_170737"/>
    </w:p>
    <w:p>
      <w:pPr>
        <w:pStyle w:val="Heading3"/>
        <w:numPr>
          <w:ilvl w:val="2"/>
          <w:numId w:val="1"/>
        </w:numPr>
        <w:rPr/>
      </w:pPr>
      <w:bookmarkStart w:id="980" w:name="__RefHeading___Toc3735034_1280447820"/>
      <w:bookmarkStart w:id="981" w:name="_Toc383"/>
      <w:bookmarkEnd w:id="979"/>
      <w:bookmarkEnd w:id="980"/>
      <w:r>
        <w:rPr>
          <w:rtl w:val="true"/>
        </w:rPr>
        <w:t xml:space="preserve">فهرس أحاديث المعصومين </w:t>
      </w:r>
      <w:r>
        <w:rPr>
          <w:rtl w:val="true"/>
        </w:rPr>
        <w:t>(</w:t>
      </w:r>
      <w:r>
        <w:rPr>
          <w:rtl w:val="true"/>
        </w:rPr>
        <w:t>علیهم السلام</w:t>
      </w:r>
      <w:r>
        <w:rPr>
          <w:rtl w:val="true"/>
        </w:rPr>
        <w:t>)</w:t>
      </w:r>
      <w:bookmarkEnd w:id="981"/>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ابدأوا بما بدأ الله تعالى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 إلى الصلاة فاسبغ الوضوء،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في البيت 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423/1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 روضة من رياض الجنّة، أو حفرة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355/1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أوتيت جوامع الكلم واختصر 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431/1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خمسٍ من الإبل شاة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428/1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إلّا بنيّة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نكاح إلّا بوليّ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دعي إلى طعام فليجب، وإن كان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88/2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وعليك السلام، ارجع فصلّ، فإنّك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325/2</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في المسجد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329/2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صيام لمن لا يبيّت الصيام من الليل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بأمرائهم أشبه منهم بآبائهم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تبارك وتعالى أجلّ من أن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سها الرجل في الركعتين الأوليين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تحفظ الركعتين الأوليين فأعد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تبارك وتعالى لم يدع شيئًا تحتاج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الإسلام على خمسة على 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في المسجد إذ دخل رجل، فقام يصلّي، فلم يتمّ ركوعه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ركعات، ركعتان من الظهر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منتصبًا،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الّذي فرض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العباد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إلى القبلة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326/2</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عرج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العين وديّة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رفعت رأسك من الركوع فأقم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صلّيت وأنت على غير القبلة واستبان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تبارك وتعالى أدّب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تبارك وتعالى أنزل في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رسوله حتّى قوّمه على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نبيّه على محبّته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لأعلم ما في السماوات وما 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ما فوّض الله إلى أحد من خلقه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أمر يختلف فيه اثنان إلّا وله أصل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صلّى في غير وقت فلا صلاة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صلّى ولم يصلّ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إنّي لأعلم كتاب الله من 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 الله تعالى آدم من تعليم كلّ شيء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صلّى ولم يصلّ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خنيس، ألا أدلّك على ما هو أبين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نبيّه فأحسن أدبه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لم يسبّح فلا صلاة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أشيم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 إلى سليمان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فيما صنع في 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الغالب عليها المسلمين فلا بأس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442/1</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 العزيز، جهل القوم وخُدعوا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982" w:name="pg16224_170741"/>
    </w:p>
    <w:p>
      <w:pPr>
        <w:pStyle w:val="Heading3"/>
        <w:numPr>
          <w:ilvl w:val="2"/>
          <w:numId w:val="1"/>
        </w:numPr>
        <w:rPr/>
      </w:pPr>
      <w:bookmarkStart w:id="983" w:name="__RefHeading___Toc3735036_1280447820"/>
      <w:bookmarkStart w:id="984" w:name="_Toc384"/>
      <w:bookmarkEnd w:id="982"/>
      <w:bookmarkEnd w:id="983"/>
      <w:r>
        <w:rPr>
          <w:rtl w:val="true"/>
        </w:rPr>
        <w:t xml:space="preserve">فهرس أسماء المعصومين </w:t>
      </w:r>
      <w:r>
        <w:rPr>
          <w:rtl w:val="true"/>
        </w:rPr>
        <w:t>(</w:t>
      </w:r>
      <w:r>
        <w:rPr>
          <w:rtl w:val="true"/>
        </w:rPr>
        <w:t>علیهم السلام</w:t>
      </w:r>
      <w:r>
        <w:rPr>
          <w:rtl w:val="true"/>
        </w:rPr>
        <w:t xml:space="preserve">) </w:t>
      </w:r>
      <w:r>
        <w:rPr>
          <w:rtl w:val="true"/>
        </w:rPr>
        <w:t>والأعلام</w:t>
      </w:r>
      <w:bookmarkEnd w:id="984"/>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البرّاج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الحاجب</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السبكيّ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فورك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إسحاق الأسفرائنيّ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إسحاق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191/2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الحسن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الأنطاكي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الإربلي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396/1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312/1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البهائي،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الجيزاويّ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 الدين بن عبد الله الجرجانيّ،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جمال الدين محمّد الحسينيّ الاسترآبادي،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الچلبي</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الحاجبي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 القزوينيّ،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الخوانساريّ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الدسوقي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الزركشي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فهد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الأجل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السند عميد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المجاهد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الرئيس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شيخنا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التنقيح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المحاكمات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المدارك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441/1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الصفي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الطوسيّ،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الأعلى مولى آل سام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الجبّار بن أحمد</w:t>
      </w:r>
      <w:r>
        <w:rPr>
          <w:rFonts w:eastAsia="IRNazanin" w:cs="IRNazanin"/>
          <w:color w:val="111111"/>
          <w:sz w:val="28"/>
          <w:szCs w:val="28"/>
          <w:rtl w:val="true"/>
          <w:lang w:bidi="fa-IR"/>
        </w:rPr>
        <w:t xml:space="preserve">: </w:t>
      </w:r>
      <w:r>
        <w:rPr>
          <w:rFonts w:eastAsia="IRNazanin" w:cs="IRNazanin"/>
          <w:color w:val="111111"/>
          <w:sz w:val="28"/>
          <w:szCs w:val="28"/>
          <w:lang w:bidi="fa-IR"/>
        </w:rPr>
        <w:t>336/2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العزيز 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سليمان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العضديّ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القاري، الملّا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الفارابي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الفاضل الباغنوي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الفاضل التفتازانيّ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عبدالملك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قاسم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القاضي 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الفاضل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قنديل بن لاوَذَ بن إِرَمَ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الماصر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كليب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 الأعرجيّ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الميثمي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محمود بن سبكتكين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المعلّى بن الخنيس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أشيم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جان الباغنو، 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النراقيّ،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الغوطيّ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الوحيد البهبهانيّ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يعرب بن قحطان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5" w:name="pg16224_170747"/>
      <w:bookmarkStart w:id="986" w:name="pg16224_170747"/>
      <w:bookmarkEnd w:id="986"/>
    </w:p>
    <w:p>
      <w:pPr>
        <w:pStyle w:val="Heading3"/>
        <w:numPr>
          <w:ilvl w:val="2"/>
          <w:numId w:val="1"/>
        </w:numPr>
        <w:rPr/>
      </w:pPr>
      <w:bookmarkStart w:id="987" w:name="pg16224_170747"/>
      <w:bookmarkStart w:id="988" w:name="__RefHeading___Toc3735038_1280447820"/>
      <w:bookmarkStart w:id="989" w:name="_Toc385"/>
      <w:bookmarkEnd w:id="987"/>
      <w:bookmarkEnd w:id="988"/>
      <w:r>
        <w:rPr>
          <w:rtl w:val="true"/>
        </w:rPr>
        <w:t>فهرس الكتب والمؤلّفات</w:t>
      </w:r>
      <w:bookmarkEnd w:id="989"/>
    </w:p>
    <w:p>
      <w:pPr>
        <w:pStyle w:val="BookText"/>
        <w:rPr/>
      </w:pPr>
      <w:r>
        <w:rPr>
          <w:rFonts w:ascii="Amiri" w:hAnsi="Amiri" w:eastAsia="Amiri" w:cs="Amiri"/>
          <w:color w:val="111111"/>
          <w:sz w:val="28"/>
          <w:sz w:val="28"/>
          <w:szCs w:val="28"/>
          <w:rtl w:val="true"/>
          <w:lang w:bidi="ar-SA"/>
        </w:rPr>
        <w:t>إثبات الجزء الّذي لا يتجزّأ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الآداب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379/2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أعلام الزركلي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إنكار أن يخلق الناس أفعالهم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344/2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الحدود في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 الآيات المشكلات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الحلية اللامعة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eastAsia="IRNazanin" w:cs="IRNazanin"/>
          <w:color w:val="111111"/>
          <w:sz w:val="28"/>
          <w:szCs w:val="28"/>
          <w:lang w:bidi="fa-IR"/>
        </w:rPr>
        <w:t>315/1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زبدة 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الصناعة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الشامل في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الشفاء</w:t>
      </w:r>
      <w:r>
        <w:rPr>
          <w:rFonts w:eastAsia="IRNazanin" w:cs="IRNazanin"/>
          <w:color w:val="111111"/>
          <w:sz w:val="28"/>
          <w:szCs w:val="28"/>
          <w:rtl w:val="true"/>
          <w:lang w:bidi="fa-IR"/>
        </w:rPr>
        <w:t xml:space="preserve">: </w:t>
      </w:r>
      <w:r>
        <w:rPr>
          <w:rFonts w:eastAsia="IRNazanin" w:cs="IRNazanin"/>
          <w:color w:val="111111"/>
          <w:sz w:val="28"/>
          <w:szCs w:val="28"/>
          <w:lang w:bidi="fa-IR"/>
        </w:rPr>
        <w:t>262/2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اللمع</w:t>
      </w:r>
      <w:r>
        <w:rPr>
          <w:rFonts w:eastAsia="IRNazanin" w:cs="IRNazanin"/>
          <w:color w:val="111111"/>
          <w:sz w:val="28"/>
          <w:szCs w:val="28"/>
          <w:rtl w:val="true"/>
          <w:lang w:bidi="fa-IR"/>
        </w:rPr>
        <w:t xml:space="preserve">: </w:t>
      </w:r>
      <w:r>
        <w:rPr>
          <w:rFonts w:eastAsia="IRNazanin" w:cs="IRNazanin"/>
          <w:color w:val="111111"/>
          <w:sz w:val="28"/>
          <w:szCs w:val="28"/>
          <w:lang w:bidi="fa-IR"/>
        </w:rPr>
        <w:t>247/2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المنهاج</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تهذيب الوصول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408/1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العدّة في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Fonts w:eastAsia="IRNazanin" w:cs="IRNazanin"/>
          <w:color w:val="111111"/>
          <w:sz w:val="28"/>
          <w:szCs w:val="28"/>
          <w:lang w:bidi="fa-IR"/>
        </w:rPr>
        <w:t>336/2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eastAsia="IRNazanin" w:cs="IRNazanin"/>
          <w:color w:val="111111"/>
          <w:sz w:val="28"/>
          <w:szCs w:val="28"/>
          <w:lang w:bidi="fa-IR"/>
        </w:rPr>
        <w:t>288/1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295/2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381/1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المحاكمات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المحتسب في شواذ القراءات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الحاجبي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مشكل الحديث وغريبه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335/2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390/2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316/2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 xml:space="preserve">: </w:t>
      </w:r>
      <w:r>
        <w:rPr>
          <w:rFonts w:eastAsia="IRNazanin" w:cs="IRNazanin"/>
          <w:color w:val="111111"/>
          <w:sz w:val="28"/>
          <w:szCs w:val="28"/>
          <w:lang w:bidi="fa-IR"/>
        </w:rPr>
        <w:t>316/2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نضد القواعد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الإحكام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396/1</w:t>
      </w:r>
      <w:r>
        <w:rPr>
          <w:rFonts w:eastAsia="IRNazanin" w:cs="IRNazanin"/>
          <w:color w:val="111111"/>
          <w:sz w:val="28"/>
          <w:szCs w:val="28"/>
          <w:rtl w:val="true"/>
          <w:lang w:bidi="fa-IR"/>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0" w:name="pg16224_170751"/>
      <w:bookmarkStart w:id="991" w:name="pg16224_170751"/>
      <w:bookmarkEnd w:id="991"/>
    </w:p>
    <w:p>
      <w:pPr>
        <w:pStyle w:val="Heading3"/>
        <w:numPr>
          <w:ilvl w:val="2"/>
          <w:numId w:val="1"/>
        </w:numPr>
        <w:rPr/>
      </w:pPr>
      <w:bookmarkStart w:id="992" w:name="pg16224_170751"/>
      <w:bookmarkStart w:id="993" w:name="__RefHeading___Toc3735040_1280447820"/>
      <w:bookmarkStart w:id="994" w:name="_Toc386"/>
      <w:bookmarkEnd w:id="992"/>
      <w:bookmarkEnd w:id="993"/>
      <w:r>
        <w:rPr>
          <w:rtl w:val="true"/>
        </w:rPr>
        <w:t>فهرس مصادر التحقيق</w:t>
      </w:r>
      <w:bookmarkEnd w:id="994"/>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الإتّقان في علوم القرآن، لجلال الدين أبي بكر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سعيد المندوب، دار الفكر، لبنان،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أحسن الوديعة في تراجم مشاهير مجتهدي الشيعة، لمحمّد مهدي الموسويّ الأصفهانيّ الكاظميّ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النجف الأشرف،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الإحكام في أصول الأحكام، لأبي محمّد عليّ بن حزم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 زكريّا عليّ يوسف، مطبعة العاصمة،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الإحكام في أصول الأحكام، لعلىّ بن محمّد الآمديّ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علّق عليه الشيخ عبد الرزاق عفيفي، المكتب الإسلاميّ،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مصباح السالكين، للشيخ ميثم بن عليّ بن ميثم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شيخ محمّد هادي الأميني، مجمع البحوث الإسلاميّة، مشهد،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الآداب الدينيّة للخزانة المعينيّة، لأمين الإسلام الشيخ أبي عليّ الفضل بن الحسن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ماجد بن أحمد العطيّة، انتشارات الشريف الرضيّ،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الأذهان إلى أحكام الإيمان، للعلّامة الحلّيّ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فارس الحسّون، مؤسّسة النشر الإسلاميّ التابعة لجماعة المدرّسين،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إرشاد الفحول إلى تحقيق الحقّ من علم الأصول، لمحمّد بن عليّ بن محمّد الشوكاني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مصطفى البابي الحلبي وأولاده بمصر،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الأسرار المرفوعة في الأخبار الموضوعة، لملّا عليّ القاري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بن لطفي الصباغ، المكتب الإسلاميّ،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إشارات الأصول، للشيخ محمّد إبراهيم بن محمّد حسن الكرباسيّ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سربي، تهران،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الإشارات والتنبيهات، للشيخ الرئيس ابن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البلاغة،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إشراق هياكل النور، غياث الدين الدشتكي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أوجبي، ميراث مكتوب، تهران،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لخير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للسيّد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حسن الأمين، دار المعارف،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الألفيّة، لابن مالك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دفتر نشر نويد إسلام، 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إلهيّات المحاكمات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تعليقات الباغنوي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لقطب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مجيد هادي زاده، ميراث مكتوب، تهران،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قسم الدراسات الإسلاميّة، دار الثقافة،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أنوار التنزيل وأسرار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لناصر الدّين أبي الخير عبدالله بن عمر البيضاويّ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شعبان للنشر والتوزيع، بيروت،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أنيس المجتهدين، لمحمّد مهدي بن أبي ذر النراقيّ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مركز العلوم والثقافة الإسلاميّة، مؤسّسة بوستان كتاب، قم،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الفوائد في شرح إشكالات القواعد، لأبي طالب محمّد بن الحسن بن يوسف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الكرماني والاشتهاردي والبروجردي، المطبعة العلمية، قم،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الإيضاح في شرح المفصّل للزمخشري، لأبي عمرو عثمان بن عمر ابن الحاجب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عثمان، دار الكتب العلميّة، بيروت،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الإيضاح في علوم البلاغة، للخطيب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الإسلاميّ،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الجامعة لدرر أخبار الأئمّة الأطهار، للعلّامة محمّد باقر بن محمّد تقي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المحيط في أصول الفقه، لبدر الدين محمّد بن بهادر الزركشي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محمّد محمّد تأمر، دار الكتب العلميّة،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بدائع الأفكار، للشيخ حبيب الله بن محمّد عليّ الرشتيّ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الحجريّة، قم، بدون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لمحمّد بن الحسن بن فروخ الصفّار</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ميرزا حسن كوچه باغي، منشورات الأعلمي، تهران،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بغية الراغبين في سلسلة آل شرف الدين، للإمام السيّد عبد الحسين شرف الدين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المطبوعة ضمن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الإمام السيّد عبدالحسين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مركز العلوم والثقافة الإسلاميّة، دار المؤرّخ العربيّ،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البهجة المرضيّة في شرح الألفيّة، لجلال الدين أبي بكر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دار الهجرة،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المفاخر، للسيّد مصلح الدّين المهدوي، مكتبة مسجد السيّد، أصفهان،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لمحبّ الدين أبي فيض السيّد محمّد مرتضى الحسيني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شيري، دارالفكر،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أصفهان ورى وهمه جهان، ميرزا حسن خان جابرى،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أصفهان، ميرزا حسن خان جابرى، مشعل، أصفهان،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الأحكام الشرعيّة على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جمال الدّين 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إبراهيم البهادري،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القواعد المنطقيّة في شرح الرسالة الشمسيّة، لقطب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محسن بيدار فر، انتشارات بيدار،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التحصيل، بهمنيار بن المرزبان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شهيد مرتضى مطهّرى، تهران،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شعبة الحرّاني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وتعليق عليّ أكبر الغفّاريّ، مؤسّسة النشر الإسلاميّ،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الحلّيّ جمال الدّين حسن بن يوسف بن المطهّر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تذكرة القبور، للشيخ عبدالكريم الجزي، مكتبة آية الله المرعشيّ، قم،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تذكره مآثر الباقريّة، ميرزا محمّد على زوّاره اى، تحقيق دكتر حسين مسجدى، سازمان تفريحى فرهنگى شهردارى، أصفهان،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على معالم الأصول، للسيّد عليّ الموسويّ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عليّ العلويّ القزوينيّ، مؤسّسة النشر الإسلاميّ، قم،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علىّ بن ابراهيم القمّي، مؤسّسة دار الكتب،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لفخر الدين محمّد بن عمر بن الحسين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التقريب والإرشاد الصغير في أصول الفقه، لأبي بكر محمّد بن الطيب المعروف بابن الباقلاني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تكملة أمل الآمل، للسيّد حسن الصدر الكاظميّ، تحقيق حسين على محفوظ وعبدالكريم وعدنان الدبّاغ، دار المؤرخ العربيّ، بيروت،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تمهيد القواعد، للشهيد الثاني زين الدين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خراسان، دفتر تبليغات إسلامى حوزة علميّه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التنقيح الرائع لمختصر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مقداد بن عبدالله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عبد اللطيف الحسينيّ الكوه كمري، نشر مكتبة آية الله المرعشيّ،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حسن الموسوي الخرسان، دار الكتب الإسلاميّة،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الوصول إلى علم الأصول، للعلّامة الشيخ حسن بن يوسف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محمّد باقر الناصري، ذوي القربى،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في أحاديث البشير النذير، لجلال الدين عبدالرحمن بن أبي بكر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المقاصد في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الثاني علىّ بن الحسين بن عبدالعالي الكركيّ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وتحقيق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عبدالله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التاريخ العربيّ، دار إحياء التراث العربيّ، بيروت،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 محمّد مهدي بن أبي ذر النراقيّ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رضا الاستادي، كنگره بزرگداشت محقّقان نراقى،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 النضيد، للعلّامة الشيخ حسن بن يوسف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محسن بيدارفر، انتشارات بيدار، قم،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تهذيب المنطق، للمولى عبدالله بن شهاب الدين الحسينيّ اليزديّ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مختصر المعاني، للشيخ محمّد بن محمّد عرفة الدسوقي، مكتبة الشفيعي، أصفهان،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معالم الأصول، للمولى صالح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داورى،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ملّا محمّد صادق على شرح الكاتي على متن ايساغوجي، للأبهري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 xml:space="preserve">الكتب العلمية، بيروت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حكمة العين وشرحه، لنجم الدين عليّ الكاتبي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ميرك البخاريّ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جعفر زاهدى، دانشگاه مشهد، مشهد،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الحكمة المتعالية في الأسفار العقليّة الأربعة، لصدر المتألّهين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الحلّيّة اللامعة للبهجة المرضيّة، للعلّامة المحقّق الحاجّ السيّد محمّد باقر بن محمّد نقي الموسويّ الجيلانيّ الشفتيّ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مكتبة مسجد السيّد بأصفهان، شب افروز،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المختار شرح تنوير الأبصار، لمحمّد أمين الحصفكي الشهير بابن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مكتب البحوث والدراسات، دار 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التفسير بالمأثور، لجلال الدين عبدالرحمن بن أبي بكر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وذكر الحلال والحرام والقضايا والأحكام عن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أفضل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نعمان بن محمّد بن منصور بن أحمد بن حيون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آصف بن عليّ أصغر فيضي، دار المعارف، مصر،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دعبل الخزاعيّ، دعبل بن علىّ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شرحه وضبطه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حسين الأعلمي، مؤسّسة الأعلمي،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الذريعة إلى أصول الشريعة، للسيّد عليّ بن الحسين الموسويّ علم الهدى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دكتر أبوالقاسم گرجى، دانشگاه تهران،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للشيخ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الأضواء، بيروت،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ذكرى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للشهيد الأوّل شمس الدّين محمّد بن مكّي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باقر الشفتيّ المشهور بحجّة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نشر مكتبة مسجد السيّد بأصفهان،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رضا المختاري، بوستان كتاب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 في أحوال العلماء والسادات، للسيّد محمّد باقر الموسوي الچهارسوقي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إسماعيليان،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البهيّة في الإجازة الشفيعيّة، للسيّد محمّد شفيع بن عليّ أكبر الجاپلقي البروجردي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 الحجري، تهران، بدون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ريحانة الأدب، لميرزا محمّد على المدرّس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خيام، تهران،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زبدة الأصول، للشيخ محمّد بن حسين البهائي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فارس حسّون كريم، مرصاد، 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زبدة التفاسير، لملّا فتح الله بن شكر الله الشريف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المعارف الإسلاميّة، 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محمّد بن يزيد بن ماجة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فؤاد عبد الباقي، دار الفكر،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عبدالوهاب عبداللطيف، 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لشمس الدين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حسين الأسد، مؤسّسة الرسالة،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الشيخ أبي القاسم جعفر بن 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السيّد صادق الشيرازي، نشر انتشارات الاستقلال، طهران،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أصول الكافي، للمولى محمّد صالح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الميرزا أبوالحسن الشعرانيّ، ضبط وتصحيح السيّد عليّ عاشور، دار إحياء التراث العربيّ،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الإلهيّات من الشفاء، للمحقّق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كنگره بزرگداشت محقّقان نراقى،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اللمع، لابن بَرْهَان العكبري، حقّقه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فائز فارس،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المطوّل، لسعد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وبهامشه حاشية السيّد الشريف، منشورات مكتبة الداوري، 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الهداية الأثيريّة، لصدر المتألّهين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محمّد مصطفى فولادكار، مؤسّسة التاريخ العربيّ،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الوافية، للسيّد بحرالعلوم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مجلس الشورى برقم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جمل الزجاجي، لابن عصفور، تحقيق على محسن مال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عيون الحكمة، لفخر الدين الرازيّ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حجازى أحمد على سقا، مؤسّسة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كافية ابن الحاجب، لنجم الأئمّة الشيخ رضي الدين محمّد بن الحسن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يوسف حسن عمر، مؤسّسة الصادق، تهران،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كتاب القبسات، لأحمد بن زين العابدين 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حامد ناجى أصفهاني، مؤسّسة مطالعات إسلامي، تهران،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مختصر المنتهى الأصوليّ، للعلّامة القاضي عضد الدين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حسن محمّد حسن إسماعيل، دار الكتب العلميّة،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مطالع الأنوار في المنطق، لقطب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كتبى نجفى، قم،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والشعراء، لابن قتيبة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وشرح أحمد محمّد شاكر، دار الحديث، قاهرة،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الشواهد الربوبيّة في المناهج السلوكيّة، لصدر المتألّهين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سيّد جلال الدين الآشتياني، المركز الجامعي للنشر، مشهد،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 أحمد بن عبدالغفور عطار، دار العلم للملايين،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عبدالله بن إسماعيل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مسلم بن الحجاج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فؤاد عبدالباقي، دار الفكر،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طرائف المقال في معرفة طبقات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أصغر بن محمّد شفيع الجابلقي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مكتبة آية الله المرعشيّ،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العدّة في 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رضا الأنصاريّ،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العدّة في أصول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لأبي جعفر شيخ الطائفة محمّد بن الحسن المعروف بالشيخ الطوسيّ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وبذيله الحاشية الخليليّة للشيخ خليل بن الغازي القزوينيّ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مهدي نجف،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للشيخ الصدوق 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المكتبة الحيدريّة، النجف الأشرف،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اللآلئ الحديثيّة، لابن أبي جمهور الأحسائي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الحاج آقا مجتبى العراقي، سيّد الشهداء،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لأبي جعفر محمّد بن عليّ بن الحسين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الشيخ حسين الأعلمي، مؤسّسة الأعلمي للمطبوعات، بيروت،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غاية الوصول وإيضاح السبل في شرح مختصر منتهى السؤل والأمل لابن الحاجب، للعلّامة الشيخ حسن بن يوسف بن المطهّر الحلّيّ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الشيخ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مرداني پور،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شرح صحيح البخاريّ، لشهاب الدّين 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الفروق اللغويّة، لأبي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النشر الإسلاميّ،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الغرويّة في الأصول الفقهيّة، للشيخ محمّد حسين بن عبدالرحيم الحائرىّ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العلوم الإسلاميّة،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المختارة، 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جمع من المحقّقين بأصفهان، دار المفيد،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نسخه هاى خطّى كتابخانه آية الله مرعشى نجفى، سيّد احمد حسينى، كتابخانه آية الله مرعشى، 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هاى خطّى كتابخانه آية الله گلپايگانى، سيّد أحمد حسينى، خيام، قم،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هاى خطّى كتابخانه جامع گوهرشاد، محمود فاضل، كتابخانه جامع گوهرشاد، مشهد،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نسخه هاى خطّى كتابخانه مجلس شوراى إسلامى، نشر كتابخانه مجلس شوراى اسلامى، تهران،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نسخه هاى خطّى كتابخانه مسجد أعظم، رضا استادى، كتابخانه </w:t>
      </w:r>
    </w:p>
    <w:p>
      <w:pPr>
        <w:pStyle w:val="BookText"/>
        <w:rPr/>
      </w:pPr>
      <w:r>
        <w:rPr>
          <w:rFonts w:ascii="IRNazanin" w:hAnsi="IRNazanin" w:eastAsia="IRNazanin"/>
          <w:color w:val="111111"/>
          <w:sz w:val="28"/>
          <w:sz w:val="28"/>
          <w:szCs w:val="28"/>
          <w:rtl w:val="true"/>
          <w:lang w:bidi="fa-IR"/>
        </w:rPr>
        <w:t xml:space="preserve">مسجد اعظم، قم،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نسخه هاى خطّى مركز احياء ميراث إسلامى، سيّد أحمد حسينى،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الحائريّة، للعلّامة محمّد باقر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الفكر الإسلاميّ،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طاهر مجد الدّين محمّد بن يعقوب الفيروزآبادي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دار العلم، بيروت،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العلماء، ميرزا محمّد بن سليمان تنكابنى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علميّة إسلاميّة، تهران،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الأحكام في معرفة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النشر الإسلاميّ،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القواعد والفوائد، للشهيد الأوّل محمّد بن مكّيّ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السيّد عبدالهادي الحكيم، مكتبة المفيد،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القوانين المحكمة في الأصول، للميرزا أبي القاسم بن محمّد حسن القمّي الجيلانيّ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شرحه وعلّق عليه رضا حسين صبح، إحياء الكتب الإسلاميّة، قم،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ثقة الإسلام محمّد بن يعقوب بن إسحاق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أكبر الغفاري، دار الكتب الإسلاميّة،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التعريفات، للسيّد الشريف عليّ بن محمّد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ناصر خسرو، تهران،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العين، لأبي عبدالرّحمن الخليل بن أحمد الفراهيدي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مهدي المخزومي وإبراهيم السامرائي، مؤسّسة دارالهجرة،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نشر جامعة المدرّسين،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الكرام البررة، للشيخ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دارالمرتضى مشهد،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كشّاف اصطلاحات الفنون والعلوم، محمّد عليّ التهاوني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لبنان ناشرون، بيروت،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حقائق غوامض التنزيل وعيون الأقاويل في وجوه التأويل، لأبي القاسم محمود بن عمر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العربيّ، بيروت،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الغطاء عن مبهمات الشريعة الغرّاء، للشيخ الكبير 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مكتب الإعلام الإسلاميّ، نشر دفتر تبليغات إسلامي،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عيسى بن أبي الفتح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اللّثام عن 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بهاء الدّين محمّد بن الحسن الأصفهانيّ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w:t>
      </w:r>
    </w:p>
    <w:p>
      <w:pPr>
        <w:pStyle w:val="BookText"/>
        <w:rPr/>
      </w:pPr>
      <w:r>
        <w:rPr>
          <w:rFonts w:ascii="Amiri" w:hAnsi="Amiri" w:eastAsia="Amiri" w:cs="Amiri"/>
          <w:color w:val="111111"/>
          <w:sz w:val="28"/>
          <w:sz w:val="28"/>
          <w:szCs w:val="28"/>
          <w:rtl w:val="true"/>
          <w:lang w:bidi="ar-SA"/>
        </w:rPr>
        <w:t xml:space="preserve">التابعة لجماعة المدرّسين بقم المشرّفة،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في سنن الأقوال والأفعال، لعلاء الدين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بكري حياني، مؤسّسة الرسالة، بيروت،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والألقاب، للشيخ 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الصدر، تهران،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محمّد بن مكرم بن منظور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أدب الحوزة،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ماضي النجف وحاضرها، للشيخ جعفر الشيخ باقر آل محبوبة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سعى آل محبوبه، دار الأضواء، بيروت،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مبادي الوصول إلى علم الأصول، للعلّامة الحلّيّ جمال الدّين 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العلميّة،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متشابه القرآن ومختلفه، للشيخ محمّد بن عليّ بن شهر آشوب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شركت سهامى طبع كتاب،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 ومطلع النيّرين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فخر الدّين محمّد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أحمد الحسيني، مكتبة نشر الثقافة الإسلاميّة،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من العلماء والمحقّقين الأخصائيّين، نشر مؤسّسة الأعلميّ،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ومنبع الفوائد، للحافظ نور الدّين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المحاكمات بين شرحي الإشارات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هامش شرح الإشارات والتنبيهات، للمحقّق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لقطب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البلاغة، قم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المحصول، لفخر الدين محمّد بن عمر بن الحسين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دكتور طه جابر فيّاض العلواني، مؤسّسة الرسالة،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المحصول، للعلّامة السيّد محسن بن حسن الأعرجيّ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هادي الشيخ طه، دار المرتضى، النجف الأشرف،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المعاني، لسعد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المخصص، لأبي الحسن عليّ بن إسماعيل النحوي الأندلسي، المعروف بابن سيدة،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تحقيق لجنة إحياء التراث العربيّ،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مدارك الأحكام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محمّد بن عليّ الموسوي العامليّ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الكتب، ثقة الإسلام 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آية الله المرعشيّ،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زين الدّين بن علىّ بن أحمد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مؤسسة المعارف الإسلاميّة،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الصحيحين، للحاكم أبي عبدالله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يوسف </w:t>
      </w:r>
    </w:p>
    <w:p>
      <w:pPr>
        <w:pStyle w:val="BookText"/>
        <w:rPr/>
      </w:pPr>
      <w:r>
        <w:rPr>
          <w:rFonts w:ascii="Amiri" w:hAnsi="Amiri" w:eastAsia="Amiri" w:cs="Amiri"/>
          <w:color w:val="111111"/>
          <w:sz w:val="28"/>
          <w:sz w:val="28"/>
          <w:szCs w:val="28"/>
          <w:rtl w:val="true"/>
          <w:lang w:bidi="ar-SA"/>
        </w:rPr>
        <w:t>عبدالرحمن المرعشلي،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ومستنبط المسائل، للحاج الميرزا حسين المحدّث النوريّ الطبرسيّ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المستصفى في علم الأصول، لأبي حامد محمّد بن محمّد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محمّد عبد السلام عبد الشافي، دار الكتب العلميّة، بيروت،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 أحمد بن محمّد مهدي النراقيّ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كنز العمال في سنن الأقوال والأفعال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لأحمد بن محمّد بن حنبل أبي عبدالله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وسلاح المتعبّد، لشيخ الطائفة 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فقه الشيعة،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في غريب الشرح الكبير، لأحمد بن محمّد بن عليّ المقري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 الهجرة،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مطالع الأنوار، للحاجّ السيّد محمّد باقر الشفتيّ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الأفست، مكتبة مسجد السيّد، نشاط، أصفهان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الأصول، للشيخ نجم الدين جعفر بن الحسن الحلّيّ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حسين الرضويّ،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بن زين الدّين العامليّ نجل 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منذر الحكيم،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 في 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الحلّيّ نجم الدّين جعفر بن حسن بن يحيى بن سعيد الهذلي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لجنة التحقيق بإشراف الشيخ ناصر مكارم، مؤسسة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المؤلّفين، عمر رضا كحالة، دار إحياء التراث،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مغني اللبيب عن كتب الأعاريب، لابن هشام عبدالله جمال الدين بن يوسف الأنصاريّ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محيي الدين عبدالحميد، نشر مكتبة آية الله المرعشيّ النجفيّ،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مفاتيح الأصول، للعلّامة السيّد محمّد بن عليّ الطباطبائيّ المعروف بالمجاهد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الآثار، محمّد عليّ المعلّم حبيب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انجمن كتابخانه هاى عمومى أصفهان،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ملاذ الأخيار في فهم تهذيب الأخبار، للعلّامة الشيخ محمّد باقر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مكتبة آية الله المرعشيّ، قم،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محمّد بن عبدالكريم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الشريف الرضي، قم،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مناهج العقول، للإمام محمّد بن الحسن البدخشي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 على نهاية السؤل، دار الكتاب العربيّ،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جمال الدّين 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قسم الفقه في مجمع البحوث الإسلاميّة، مشهد،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البراعة في شرح نهج البلاغة، لسعيد بن هبة الله قطب الدين الراوندي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عبداللطيف الكوهكمريّ، مكتبة آية الله المرعشيّ، قم،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منية اللبيب في شرح التهذيب، للسيّد ضياء الدين عبدالله بن محمّد بن الأعرج الحسينيّ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كان حيًّا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اللجنة العلميّة في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المواقف، للعلّامة القاضي عضد الدين الإيجي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عبدالرحمن عميرة، دار الجيل،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ميراث حوزة أصفهان، دفتر سوّم وچهارم، مركز تحقيقات رايانه اى حوزة علميّه أصفهان،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نضد القواعد الفقهيّة، لمقداد بن عبدالله السيورىّ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عبداللطيف الكوهكمريّ، مكتبة آية الله المرعشيّ،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نقباء البشر في القرن الرابع عشر، للشيخ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المرتضى، مشهد،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الإحكام في معرفة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مؤسسة إسماعيليان، قم،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الأرب في فنون الأدب، لشهاب الدين أحمد بن عبدالوهّاب النويري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وزارة الثقافة والإرشاد القومي المؤسّسة المصريّة العامّة،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السؤل في شرح منهاج الأصول للبيضاوي، للأسنوي جمال الدين </w:t>
      </w:r>
    </w:p>
    <w:p>
      <w:pPr>
        <w:pStyle w:val="BookText"/>
        <w:rPr/>
      </w:pPr>
      <w:r>
        <w:rPr>
          <w:rFonts w:ascii="Amiri" w:hAnsi="Amiri" w:eastAsia="Amiri" w:cs="Amiri"/>
          <w:color w:val="111111"/>
          <w:sz w:val="28"/>
          <w:sz w:val="28"/>
          <w:szCs w:val="28"/>
          <w:rtl w:val="true"/>
          <w:lang w:bidi="ar-SA"/>
        </w:rPr>
        <w:t xml:space="preserve">عبدالرحيم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نهاية المرام في علم الكلام، للعلّامة الحلّيّ الحسن بن يوسف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فاضل العرفان،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نهاية الوصول إلى علم الأصول، للعلّامة الحلّيّ الحسن بن يوسف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الشيخ إبراهيم البهادريّ،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والأثر، لابن أثير الجزري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طاهر أحمد الزاوي ومحمود محمّد الطناحي، مؤسّسة إسماعيليان، قم،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هداية المسترشدين، للشيخ محمّد تقي بن عبدالرحيم الرازيّ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 مؤسّسة النشر الإسلاميّ،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همع الهوامع شرح جمع الجوامع في علم العربيّة، للسيوطيّ عبدالرحمن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عبدالعال سالم مكرم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الوافية في أصول الفقه، للمولى عبدالله بن محمّد البشروىّ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حسين الرضويّ الكشميريّ، مجمع الفكر الإسلامىّ، مؤسّسة إسماعيليان، 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995" w:name="pg16224_170771"/>
    </w:p>
    <w:p>
      <w:pPr>
        <w:pStyle w:val="Heading3"/>
        <w:numPr>
          <w:ilvl w:val="2"/>
          <w:numId w:val="1"/>
        </w:numPr>
        <w:rPr/>
      </w:pPr>
      <w:bookmarkStart w:id="996" w:name="__RefHeading___Toc3735042_1280447820"/>
      <w:bookmarkStart w:id="997" w:name="_Toc387"/>
      <w:bookmarkEnd w:id="995"/>
      <w:bookmarkEnd w:id="996"/>
      <w:r>
        <w:rPr>
          <w:rtl w:val="true"/>
        </w:rPr>
        <w:t>فهرس المحتويات</w:t>
      </w:r>
      <w:bookmarkEnd w:id="997"/>
    </w:p>
    <w:p>
      <w:pPr>
        <w:pStyle w:val="BookText"/>
        <w:rPr/>
      </w:pPr>
      <w:r>
        <w:rPr>
          <w:rFonts w:ascii="IRNazanin" w:hAnsi="IRNazanin" w:eastAsia="IRNazanin"/>
          <w:color w:val="111111"/>
          <w:sz w:val="28"/>
          <w:sz w:val="28"/>
          <w:szCs w:val="28"/>
          <w:rtl w:val="true"/>
          <w:lang w:bidi="fa-IR"/>
        </w:rPr>
        <w:t>الباب الرابع</w:t>
      </w:r>
    </w:p>
    <w:p>
      <w:pPr>
        <w:pStyle w:val="BookText"/>
        <w:rPr/>
      </w:pPr>
      <w:r>
        <w:rPr>
          <w:rFonts w:ascii="Amiri" w:hAnsi="Amiri" w:eastAsia="Amiri" w:cs="Amiri"/>
          <w:color w:val="111111"/>
          <w:sz w:val="28"/>
          <w:sz w:val="28"/>
          <w:szCs w:val="28"/>
          <w:rtl w:val="true"/>
          <w:lang w:bidi="ar-SA"/>
        </w:rPr>
        <w:t>في تقسيم الحقيقة والمجاز إلى الأقسام المعروفة وما يتعلّق بها من الأمور المهمّة</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في الحقيقة الشرعيّة</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الشارع</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في ثبوت التفويض في الأحكام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في الاشكالات الواردة على تفويض الأحكام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الجواب عن الإشكالات الواردة على تفويض الأحكام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إشكال آخر أصعب ممّا ذكر</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الجواب عن الإشكال</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محصّل الكلام في هذا المقام</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في عدم ثبوت التفويض في الأحكام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الإشكال الوارد على تفويض الأحكام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بعض النصوص الدالّة على ثبوت التفويض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الجواب عن الإشكال الوارد على تفويض الأحكام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إشكال آخر على تفويض الأحكام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عن الإشكال</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ماهيّة الحقيقة الشرعيّة</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الاحتمالات في وضع الحقيقة الشرعيّة ثلاثة</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الإيراد على الاحتمالات الثلاثة مع الجواب عنه</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الاحتمال الخامس</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طرق إثبات الوضع التعيّنيّ</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الاحتمال السادس</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الاحتمال السابع</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الاحتمال الثامن</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الاحتمال التاسع</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احتمال آخر</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حاصل الكلام في تعريف الحقيقة الشرعيّة</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في بيان الحقيقة الدينيّة</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lang w:bidi="ar-SA"/>
        </w:rPr>
        <w:t>50</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على تقدير أخصّيّة الدينيّة من الشرعيّة</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على ما ذكروا في تفسير الدينيّة</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متمسّك النافين للحقيقة الشرعيّة</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الجواب عن الدليل الأوّل</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الاحتمالات في الحكم بكون الحقائق الشرعيّة مجازات لغويّة</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الدليل الثاني للّنافين للحقيقة الشرعيّة</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الجواب عن الدليل الثاني</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الدليل الثالث للّنافين للحقيقة الشرعيّة</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الجواب عن الدليل الثالث</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الحقيقة الشرعيّة</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تنبيهٌ نبيه</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تفصيل جمعٍ من متأخّري الأصحاب في المسألة</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وجوه النظر في القول بالتفصيل</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lang w:bidi="fa-IR"/>
        </w:rPr>
        <w:t>79</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رأي المصنّف في المسألة</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متمسّك المثبتين للحقيقة الشرعيّة</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وجوه النظر في استدلال المثبتين</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الجواب عن الوجهين</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الوجه الثالث مع الجواب عنه</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الوجه الرابع مع الجواب عنه</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الدليل الثاني لإثبات الحقيقة الشرعيّة</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الدليل الثالث لإثبات الحقيقة الشرعيّة</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الثمرة المترتّبة على ثبوت الحقيقة الشرعيّة وعدمه</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أقسام الألفاظ الواردة في الكتاب والسنّة</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lang w:bidi="fa-IR"/>
        </w:rPr>
        <w:t>97</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دفع إيراد لاستحكام مقام</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الدليل الأوّل للمعتزلة لإثبات الحقيقة الدينيّة</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الجواب عن الدليل الأوّل للمعتزلة</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الدليل الثاني للمعتزلة لإثبات الحقيقة الدينيّة</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الجواب عن الدليل الثاني للمعتزلة</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في الحقيقة اللغويّة</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الحقيقة اللغويّة</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الإيراد على تعريف الحقيقة اللغويّة</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تعريف آخر للحقيقة اللغويّة</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الإيراد على التعريف مع الجواب عنه</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والبحث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الحقيقة اللغويّة</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في الفرق بين المنقول والمجاز مع اشتراكهما في الاستعمال في المعنى المناسب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دليلٌ آخر لإثبات الحقيقة اللغويّة</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واضع الحقيقة اللغويّة</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دلالة الألفاظ وضعيّة</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في احتجاج القائلين بأنّ دلالة الألفاظ ذاتيّة</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القول المذكور مبنيّ على أمور</w:t>
      </w:r>
      <w:r>
        <w:rPr>
          <w:rFonts w:eastAsia="Amiri" w:cs="Amiri" w:ascii="Amiri" w:hAnsi="Amiri"/>
          <w:color w:val="111111"/>
          <w:sz w:val="28"/>
          <w:szCs w:val="28"/>
          <w:lang w:bidi="ar-SA"/>
        </w:rPr>
        <w:t>126</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في الجواب عن احتجاج القائلين بأنّ دلالة الألفاظ ذاتيّة</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الجواب عنه بالمعارضة</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الوجه الثامن</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الجواب عن احتجاج القائلين بأنّ دلالة الألفاظ ذاتيّة بالمناقضة</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الإرادة غير صالحة للترجيح</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الخطور أيضًا غير صالح للترجيح</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جواب آخر</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الإشكال في الوجهين المذكورين لإثبات الترجيح</w:t>
      </w:r>
      <w:r>
        <w:rPr>
          <w:rFonts w:eastAsia="Amiri" w:cs="Amiri" w:ascii="Amiri" w:hAnsi="Amiri"/>
          <w:color w:val="111111"/>
          <w:sz w:val="28"/>
          <w:szCs w:val="28"/>
          <w:lang w:bidi="ar-SA"/>
        </w:rPr>
        <w:t>155</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الوضع وما يترتّب عليه من الفوائد</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الدلالة وما يتوجّه إليه من المناقشة</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الدلالة إلى الأقسام الثلاثة</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الكلام هنا في أمور</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المطابقة والتضمّن والالتزام من الدلالات اللفظيّة، أو بعضها لفظيّ وبعضها عقلي</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في وجه كون المطابقة والتضمّن من الدلالة اللفظيّة دون الالتزام</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الإيرادات الواردة في هذا المقام</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الجواب عن الإيراد الثاني</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الجواب عن الإيراد الثالث</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الإيراد الأوّل وارد</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حصر الدلالات في الأقسام الثلاثة غير صحيح</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دلالة الألفاظ المجازيّة على المعاني المجازيّة مطابقة لا التزام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الإشكال في القول الثاني</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الإشكال في القول الأوّل</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lang w:bidi="fa-IR"/>
        </w:rPr>
        <w:t>177</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إيراد وتخليص</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الجواب عن الإشكال الأوّل</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الدلالة على الخارج اللازم ليس التزامًا مطلقًا</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المعنى العامّ من الوضع في الالتزام يستلزم امتناع تحقّق الالتزام بالنسبة إلى الحقائق، مع الجواب عنه</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الجواب عن الإشكال الثاني</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إيراد آخر</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إيراد كلام لتنبيه مرام</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الجواب عن الإيراد</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والمقام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التكلّم إلى أصل المطلب والبحث عن تحقيق المقصد</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الأقوال في واضع اللغات</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مختار المصنّف ومستنده</w:t>
      </w:r>
      <w:r>
        <w:rPr>
          <w:rFonts w:eastAsia="IRNazanin" w:cs="IRNazanin"/>
          <w:color w:val="111111"/>
          <w:sz w:val="28"/>
          <w:szCs w:val="28"/>
          <w:lang w:bidi="fa-IR"/>
        </w:rPr>
        <w:t>193</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الاعتراض على القول بالتوقيف</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الجواب عن الاعتراض الأوّل</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ما اشتهر من حدوث لغة العرب في زمان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صحيح</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الاعتراض الثاني</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الجواب عن الاعتراض الثاني</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الإيراد في المقام من وجه آخر</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الجواب عن أصل الإيراد</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إيرادٌ آخر</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وجه اختلاف اللغات في ذرّيّة آدم مع علمه بجميع اللغات</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الجواب عن الإيراد</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الإيراد على الدليل الثاني</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الجواب عن الإيراد</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احتمال آخر للآية الشريفة</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الاستدلالات الّتي ذكرها في النهاية عن أصحاب التوقيف</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استدلالٌ آخر للقول بالتوقيف</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الجواب عنه</w:t>
      </w:r>
      <w:r>
        <w:rPr>
          <w:rFonts w:eastAsia="IRNazanin" w:cs="IRNazanin"/>
          <w:color w:val="111111"/>
          <w:sz w:val="28"/>
          <w:szCs w:val="28"/>
          <w:lang w:bidi="fa-IR"/>
        </w:rPr>
        <w:t>217</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القائلين باصطلاحيّة اللغات</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الجواب عن الدليل الأوّل</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الجواب عن الدليل الثاني</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مستند القائلين بالتفصيل</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مستند القائلين بالتوقّف</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في أنّ استناد الوضع إلى الله لا ينافي القول بعدم ثبوت الحقيقة الشرعيّة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ذكر كلام لإفضاح مقال</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رأي المؤلّف في المسألة</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في الحقيقة العرفيّة</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تحديدها وتعريفها</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مختار المصنّف في المسألة</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والمبحث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تقسيمها إلى العامّة والخاصّة</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إيراد مقال لدفع إشكال</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الحقيقة العرفيّة وما يناسب تلك المقالة</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في الداعي لتغيير اللغة وثبوت الحقيقة العرفيّة</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استدلال القائل باستحالة الحقيقة العرفيّة</w:t>
      </w:r>
      <w:r>
        <w:rPr>
          <w:rFonts w:eastAsia="Amiri" w:cs="Amiri" w:ascii="Amiri" w:hAnsi="Amiri"/>
          <w:color w:val="111111"/>
          <w:sz w:val="28"/>
          <w:szCs w:val="28"/>
          <w:lang w:bidi="ar-SA"/>
        </w:rPr>
        <w:t>241</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أنّه هل يصحّ حصر الحقائق في الأقسام الثلاثة أم لا؟</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ردّ على من زعم أنّ الأعلام ليست بحقيقة ولا مجازًا</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الأعلام مندرجة تحت العرفيّة الخاصّة</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استقصاء عقليّ</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في الأمور المتعلّقة بالأقسام المذكورة للحقائق</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الموضوع له</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في أنّ الألفاظ موضوعة بإزاء المعاني الذهنيّة أو الخارجيّة</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مستند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القول بكون الألفاظ موضوعة للمعاني الخارجيّة مع الجواب عنه</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الجواب عن مستند القول الأوّل بالمعارضة</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الجواب عن الوجه الثاني</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الجواب عن المعارضة بنحوٍ آخر</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الجواب عن الوجه الثالث</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الجواب عن مستند القول الأوّل بالمناقضة</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الجواب عن المناقضة</w:t>
      </w:r>
      <w:r>
        <w:rPr>
          <w:rFonts w:eastAsia="Amiri" w:cs="Amiri" w:ascii="Amiri" w:hAnsi="Amiri"/>
          <w:color w:val="111111"/>
          <w:sz w:val="28"/>
          <w:szCs w:val="28"/>
          <w:lang w:bidi="ar-SA"/>
        </w:rPr>
        <w:t>252</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القول بأنّ الألفاظ موضوعة للمعاني الذهنيّة دون الخارجيّة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عن مستند القول الثاني بالمنع</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الجواب عن مستند القول الثاني بالمعارضة</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في أنّ النزاع في وضع الألفاظ مبنيٌّ على النزاع في مسألة المعلوم بالذات على ما ذكره بعضهم</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القول الثالث ومستنده</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الجواب عن مستند القول الثالث</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المختار من بين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تنقيح المقام</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يتوجّه على المختار من الإيراد ودفعه</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الدفع عن الإيراد الأوّل</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الدفع عن الإيراد الثاني</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فيما يمكن أن يقال في دفع الإيراد</w:t>
      </w:r>
      <w:r>
        <w:rPr>
          <w:rFonts w:eastAsia="Amiri" w:cs="Amiri" w:ascii="Amiri" w:hAnsi="Amiri"/>
          <w:color w:val="111111"/>
          <w:sz w:val="28"/>
          <w:szCs w:val="28"/>
          <w:lang w:bidi="ar-SA"/>
        </w:rPr>
        <w:t>275</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يتوجّه عليه</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 في الجواب عن الإيراد الأوّل</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الحقّ في الجواب عن الإيراد الثاني</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وضع الألفاظ للمعاني ما كانت معانٍ باعتقاد المستعمل والمكلّف، أو في نفس الأمر والواقع</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مختار المؤلّف</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المناط في حمل الألفاظ الواردة في الكتاب والسنّة على ماذا؟</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في أنّ الأحكام الشرعيّة بأسرها توقيفيّة</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وجوه الإيراد في المقام</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الجواب عن الإيراد الأوّل</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الجواب عن الإيراد الثاني</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الجواب عن الإيراد الثالث</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فيما يتوجّه على الوجهين</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الجواب عمّا يتوجّه على الوجهين</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التخلّص عن ذلك بوجوه</w:t>
      </w:r>
      <w:r>
        <w:rPr>
          <w:rFonts w:eastAsia="Amiri" w:cs="Amiri" w:ascii="Amiri" w:hAnsi="Amiri"/>
          <w:color w:val="111111"/>
          <w:sz w:val="28"/>
          <w:szCs w:val="28"/>
          <w:lang w:bidi="ar-SA"/>
        </w:rPr>
        <w:t>293</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إيراد آخر في المقام</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الجواب عن الإيراد</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تذييل فيه تكميل</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لفظ العبادات والمعاملات إطلاقان</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في تفسير الصحّة والفساد</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كلامٌ في عدّ الصحّة والفساد من الأحكام التوقيفيّة</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والمطلب الثاني</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في أنّ ألفاظ العبادات أسامٍ للصحيحة أو الأعمّ</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في دفع الشروط المشكوكة بالأصل على القول بالأعمّ دون الصحيح</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في دفع الأجزاء المشكوكة بالأصل على القول بالأعمّ وأنّ انتفاء أيّ جزء لا يوجب انتفاء الكلّ في العرف</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ذكر مقال لدفع سؤال</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في دفع الأمور المشكوكة بالأصل على القول بالصحيح أيضًا</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في الثمرة بين القول بالصحيح والأعمّ</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إيراد مقال لإبراز مختار</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في أدلّة القول بالصحيح</w:t>
      </w:r>
      <w:r>
        <w:rPr>
          <w:rFonts w:eastAsia="Amiri" w:cs="Amiri" w:ascii="Amiri" w:hAnsi="Amiri"/>
          <w:color w:val="111111"/>
          <w:sz w:val="28"/>
          <w:szCs w:val="28"/>
          <w:lang w:bidi="ar-SA"/>
        </w:rPr>
        <w:t>318</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في النصوص الدالّة على صحّة السلب عن العاري عن بعض الشرائط والأجزاء</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إيرادات وتفصّيات</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الجواب عن الإيراد الأوّل</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الجواب عن الإيراد الثاني</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الجواب عن الإيراد الثالث</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الجواب عن الإيراد الرابع</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نقل الكلمات الواصلة إلينا من علمائنا الدالّة على أنّ الألفاظ عندهم أسامٍ للصحيحة</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المناقشة في بعض النصوص بوجه آخر</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في أدلّة القول بالأعمّ</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lang w:bidi="fa-IR"/>
        </w:rPr>
        <w:t>348</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وجه الاستدلال بالنسبة إلى النوع الأوّل</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وجه الاستدلال بالنسبة إلى النوع الثاني</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وجه الاستدلال بالنسبة إلى النوع الثالث</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الجواب عن الاستدلال بالنسبة إلى النوع الأوّل</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الجواب عن الاستدلال بالنسبة إلى النوع الثاني</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الجواب عن الاستدلال بالنسبة إلى النوع الثالث</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الجواب عن الدليل الثاني</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الجواب عن الدليل الثالث</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في المؤيّدات الّتي ذكرت للقول بالأعمّ مع الجواب عنها</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إيراد كلمات للتفصّي عن مؤيّدات</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التأييد الأوّل</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الجواب عن التأييد الأوّل</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التأييد الثاني مع الجواب عنه</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تأييد ثالث مع الجواب عنه</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تأييد رابع مع الجواب عنه</w:t>
      </w:r>
      <w:r>
        <w:rPr>
          <w:rFonts w:eastAsia="Amiri" w:cs="Amiri" w:ascii="Amiri" w:hAnsi="Amiri"/>
          <w:color w:val="111111"/>
          <w:sz w:val="28"/>
          <w:szCs w:val="28"/>
          <w:lang w:bidi="ar-SA"/>
        </w:rPr>
        <w:t>375</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النزاع في أنّ الألفاظ الشرعيّة أساميٍ للصحيحة أو الأعمّ غير مختصّ بالعبادات، بل متحقّق في المعاملات أيضًا</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على ما ذكره شيخنا الشهيد أعلى الله مقامه</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ومن المهمّ في هذا المقام التنبيه على 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المشكوك بالأصل مطلقًا ولو كان جزءًا</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الترتيب في الذكر لا يفيد الترتيب في الحكم إلّا في كتاب الله تعالى</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الفهارس الفنّيّة</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فهرس الآيات القرآنيّة</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فهرس أحاديث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فهرس أسماء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والأعلام</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فهرس الكتب والمؤلّفات</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lang w:bidi="ar-SA"/>
        </w:rPr>
        <w:t>413</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المقامين مختلف بحسب المعنى، إذ في الأوّل عبارة عن المعنى المتصوّر، وفي الثاني عبارة عن تعيين اللفظ للدلالة على المعنى، 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الاصطلاح يطلق عليهما وإن كان في الثاني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الأسف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يوفّق لإتمام الكتاب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تقسيم الحقائق إلى هذه الأقسام بناءً على اصطلاحيّة اللغات ظاهرٌ، وأمّا على توقيفيّة اللغات فلا يخلو من الإشكال؛ إذ الحقيقة الشرعيّة حينئذٍ تكون قسمًا من الحقيقة اللغويّة، فكيف يجعل قسيمًا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الجواب عنه من وجوه، 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الإشكال إنّما يتوجّه إذا قلنا بأنّ الوضع في الحقيقة الشرعيّة مستندٌ إليه تعالى، وأمّا إذا قلنا بأنّ الوضع فيها مستندٌ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كما لا يخفى، وعلى تقدير أن يكون الوضع فيها مستندًا إليه تعالى، يمكن رفع الإشكال أيضًا بأنّ الحقائق الشرعيّة منقولات، بخلاف الحقيقة اللغويّة، فإنّها مستعملة في معانيها الابتدائيّة، فافترقتا، فيصحّ جعل أحدهما مقابلًا 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التقسيم إلى الأقسام المذكورة يمكن أن يكون على القول باصطلاحيّة اللغات، لكنّه غير صحيح؛ لإطباقهم على هذا التقسيم، والظاهر منه كون التقسيم المذكور مرضيًّا عند كلّ أحد كما لا يخفى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بمعنى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تفسير أبي مسعود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تهذيب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نقله النوويّ عن الهرويّ عن ابن عرفة، والزبيديّ في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عن ابن عرفة، ومجمع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 ما شرع الله لعباده من الدين، وقد شرع لهم يشرع شرعًا، أي 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يظهر من المحقّق التفتازانيّ في مطوّله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قال 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والصلاة على سيّدنا محمّد خير من نطق بالصواب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للشارع المقنّن للقوانين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المحقّق السيّد محمّد مهدي الطباطبائيّ النجفيّ المعروف ببحر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ونقله عنه السيّد القزوينيّ في تعليقته على 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الكافي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يقصد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 فرض الصلاة،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باب فرض الصلاة، ح</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 فرض الصلاة،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ساس الناس يسوسهم 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أمرهم ونهاهم وملك أمورهم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لسان 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وشرح أصول الكافي، للملّا صالح المازندرانيّ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إلى الركعتين ومع ذلك لم يقل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لعلّ وجهه هو أنّ الركعتين كانتا بمنزلة ركعة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وعاف بمعنى كره، وما ذكره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وكرهها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عطف تفسيريّ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أعاف بمعنى عاف، صحّ إقامة إعافة مقام عِيافًا بكسر العين مصدر عاف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نهي إعافة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برخصه، وفي بعض النسخ كما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برخصته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للمسافر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ليست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وإنّما هي موجودة في المطبوع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التفويض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أمر الدين،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أثبتناه من المصدر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تفويض الأمر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التفويض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الدين،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التفويض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الدين،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لا يكون بين بدو البعثة وبين نزول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امتداد كثير حتّى يشتهر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 بخطّ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والمستفاد من هذا الحديث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الركعات السبع بعد تولّد 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وتولّدهما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المدينة، أمّا ولادة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سنة اثنتين من الهجرة في شهر رمضان، وفي بعض الروايات في سنة ثلاث؛ وأمّا ولادة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سنة ثلاث من الهجرة وعلى بعض الروايات في سنة أربع، وقد نقلوا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زادها الله شرفًا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البعثة ثلاث عشرة سنة، ثمّ هاجر إلى المدينة، فعلى هذا يكون الامتداد بين بدو بعثته وولادة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 عشرة سنة أو أكثر، فعلى ما تقتضيه الرواية المذكورة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الصلوات في تلك المدّة ركعتين 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باب النوادر،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توجّه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وَإِنَّكَ لَعَلَى خُلُقٍ عَظِيمٍ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يخبره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رأى الناس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الناس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باب الرد إلى الكتاب والسنّة وأنّه ليس شيء من الحلال والحرام وجميع ما يحتاج الناس إليه إلا وقد جاء فيه كتاب أو سنّة،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باب الرد إلى الكتاب والسنّة وأنّه ليس شيء من الحلال والحرام وجميع ما يحتاج الناس إليه إلا وقد جاء فيه كتاب أو سنّة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أنزل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باب الرد إلى الكتاب والسنّة وأنّه ليس شيء من الحلال والحرام وجميع ما يحتاج الناس إليه إلا وقد جاء فيه كتاب أو سنّة،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انّه لم يجمع القرآن كلّه إلّا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وانّهم يعلمون علمه كلّه،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هنيئة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يعلمون علم ما كان وما يكون وانّه لا يخفى عليهم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والآية الشريفة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وَنَزَّلْنَا عَلَيْكَ الْكِتَابَ تِبْيَانًا لِكُلِّ شَيْءٍ، سورة النحل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الجواب لا بأس به بالنسبة إلى غير الآية الثانية، وأمّا بالنسبة إليها فلا يخلو من إشكال؛ لأنّ مدلولها أنّ القرآن مبيّن لكلّ شيء، ومقتضاه أن لا يكون قبل القرآن مبيّنًا، وهو ينافي كون بعض الأحكام من موضوعاته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ويمكن الجواب عنه بأنّ غاية ما يستفاد منها كون القرآن مبيّنًا لكلّ شيء، وأمّا كونه مبيّنًا لكلّ شيء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كما لا يخفى،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تطيق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يقرّوا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باب فرض الصلاة، ح</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هنا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يحمل على اللغويّة بدون القرينة بناءً على هذا التحقيق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سلطان العلماء على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 المعهود من الشارع ونوّابه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ثبوت التفويض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وائتمنه،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التفويض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الدين،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التفويض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الدين،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التفويض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الدين،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إطلاق الشارع على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آلاف السلام والتحيّة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مبيّن الشرع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مبيّنين للشرع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بني الأمر عليه، يلزم أن يطلق الشارع على الفقهاء أيضًا؛ لكونهم مبيّنين للشرع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الفقهاء وإن كانوا مبيّنين للشرع أيضًا، لكن بيانهم بطريق الظنّ،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الشارع مبيّن الشرع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مبيّنين للشرع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 العلم؛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ذلك يلزم إطلاق الشارع على المنكرين للعمل بأخبار الآحاد، كالسيّد المرتضى وابن إدريس ونحوهما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وحكاه الشيخ حسن عن ابن زهرة وابن البرّاج وابن إدريس في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واستفاضت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حاصل الجواب هناك أنّه يمكن ثبوت التفويض بالنسبة إلى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وجعله بعض الأحكام قبل نزول تمام القرآن، ولا يمكن التنطّق به بالنسبة 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القرآن نزل جملةً في زمان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وانقطع زمان الوحي بعد 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ولقائل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التفويض في الأحكام الظاهريّة يكفي في إطلاق الشارع بمعنى جاعل الشرع على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شبهة في أنّ تلك الأحكام أحكام شرعيّة، والمفروض أنّ جاعلها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آلاف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والتحيّة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فيصدق على كلّ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شارع بذلك المعنى،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المتبادر من الشريعة ما كان مطابقًا للواقع ونفس الأمر، والأحكام الّتي للتقيّة ليست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تشريح اللحم، والسكاكين بالفتح والتخفيف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السِكّين بالكسر،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قلبي يقطّع ويكشف بالسكّين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يخطئ</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التفويض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الدين،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وتعليقة على 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بعدهما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الحقيقة الشرعيّة على ما عرّفوها هي ما نقله الشارع عن المعاني اللغويّة إلى المعاني الشرعيّة، والنقل قد عرفت إمّا بالتعيين أو بالتعيّن، وقد عرفت أنّ شيئًا منهما غير متحقّق من الصادقين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ذكرنا، ولو اكتفى في ثبوتها بثبوت الاستعمال المجازيّ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يلزم أن تكون الحقيقة المتشرّعة حقيقة شرعيّة، على أنّه لا يلزم منه إطلاق الشارع على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ينطق الناطق بلسان الشارع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الأخرى</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بدلالة ألفاظ المعاني على المعاني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وضع الألفاظ بإزاء المعاني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عبّر عن الغسل بالاغتسال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جُنُبًا إِلَّا عَابِرِي سَبِيلٍ حَتَّى تَغْتَسِلُوا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ذلك إنّما يتوجّه إذا كانت جزئيّة آية لسورة مستلزمة لعدم نزول تلك الآية قبل نزول سورة أخرى سابقة عليه في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والاتقان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يستدعي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التوقيف بالوحي في بعض وبالإلهام في الآخر، أو يكون التوقيف في الجميع بالإلهام، واحتمال التوقيف في الجميع بالوحي غير صحيح، كما يظهر بعد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عليك أنّه يظهر من اتّفاقهم على ثبوت الحقيقة المتشرّعة أنّه لا يعتبر فيصدق الواضع بالوضع التعيّنيّ كونه أوّل من استعمل، بل المعتبر تحقّق الغلبة والاشتهار، فإذا صدر ذلك من طائفة يمكن انتساب الوضع إليهم وإن كان أوّل من استعمل اللفظ غيرهم، وإلّا لا وجه للقول بالحقيقة المتشرّعة،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هنا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كالأوّل أيضًا، إلّا في وضع البعض فكالثاني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علامة خ 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الألفاظ</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يذهب عليك أنّ اندفاع النقض إنّما هو على تقدير أن يكون الشارع هو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حينئذٍ يتصوّر انقضاء الزمان وعدمه، وأمّا على تقدير أن يكون هو الله تعالى فلا كما لا يخفى، نعم، يمكن أن يفصّل في حقّه سبحانه بالنسبة إلى زمان نزول الخطاب وعدمه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يعرف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والإحكام،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ويرد على هذا التعريف زيادة على 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الحقيقة في اصطلاحهم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 المستعمل في الموضوع له، وحينئذٍ يكون معنى التعريف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الحقيقة الدينيّة لفظٌ مستعملٌ في المعنى الموضوع له في الدين، يكون لفظ ذلك اللفظ غير معلوم لأهل اللغة، مع أنّه غير مراد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التوجيه بارتكاب حذف مضاف في لفظه،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 الدينيّة ما لا يعلم أهل اللغة لفظ معناه، لكن لا يخفى ما فيه من الركاكة؛ منه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الحقيقة الدينيّة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وإرشاد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حاشية الجرجانيّ على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وإرشاد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كلام الباغنويّ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تظهر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وتكون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نقل اللفظ المستعمل عند طائفة في معنى إلى غيره لا يجتمع مع مجهوليّته لتلك الطائفة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تظهر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التفتازانيّ في حاشيته على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كلام الباغنويّ وغيره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يشتمله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بهما في حاشيته على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يقيّد المعنى المعلوم بالمعنى الغير المناسب، 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معنى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لا يعلم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يعلم له معنى أصلًا، فعلى هذا لا يتصوّر النقل كما لا يخفى، لكنّه بعيد، بل فاسد كما يظهر للمتأمّل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واستنادها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 وجوه، يظهر أكثرها للمتأمّل فيما سبق وما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صفته الجلاليّة ما جلّت ذاته تعالى عن مشابهة الغير المعبّر عنها بالصفات السلوبيّة، وجميعها يرجع إلى سلب الإمكان عنه تعالى المستلزم لسلب جميع النقائص والأعدام، وصفته الجماليّة ما تجمّلت ذاته وتكرّمت بها، ويقال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الإكرام، كما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اسْمُ رَبِّكَ ذِي الْجَلَالِ وَالْإِكْرَامِ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حاشية الجرجانيّ على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تكون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 بهذا الوجه القاضي أبو بكر الباقلانيّ، ينظر 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والتقريب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والإحكام،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لشيء</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وقولكم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المشاركة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والإحكام،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تضمّنته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 بهذا الوجه القاضي أبو بكر الباقلانيّ، ينظر التقريب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والإحكام،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ولهم أن يلتزموا ذلك</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التعميم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المنكرين للحقيقة الشرعيّة القاضي أبوبكر الباقلانيّ من الشافعيّة على ما نسب إليه بعضهم، كالفخر الرازيّ في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والعلّامة في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وجوّزه المعتزلة مطلقًا،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محمّد بن الطيّب المعروف بابن الباقلانيّ، المتوفّى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وليد البصرة وساكن بغداد، المتكلّم على مذهب الأشعريّ، انتهت إليه الرئاسة في مذهبه، ذُكر في فهرس تآليفه أنّ له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غير أنّه لم يصل إلينا منها إلّا ما طبع،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التمهيد،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ترجمته في بحوث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إذعانه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والتقريب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أخرى</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بتحقّقها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هذا القول المحقّق القمّي في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والمحقّق النراقيّ في 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والتحقيق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 المراد أنّها حقيقة في زمان المتشرّعة؛ منه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 المراد من كونها اسمًا لها كونها مستعملة فيها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تبادر المعنى من اللفظ يكفي لكونه حقيقة فيه، فلا افتقار إلى التمسّك باستعماله فيه أوّلًا ثمّ دعوى التبادر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ذكر في القاموس للصلاة معاني،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والرحمة، والاستغفار، وحسن الثناء من الله تعالى على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وعبادة فيها ركوع وسجود، اسم يوضع موضع المصدر، وصلّى صلاة لا تصلية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وصلّى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تلى السابق؛ وصلّى الحمار أُتنَه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الأنثى من الحمار،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راند اولاغ مادّه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صلاة لا تصلية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يوضع موضع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صلاة، ولا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تصلية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المعنى الأوّل الّذي ذكره للصلاة وهو الدعاء، ليس المراد منه الدعاء المصطلح عليه، أي طلب الداني من العالي، بل هو أعمّ، ومعناه في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است؛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زيد عمروًا، أي دعاه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الظاهر من كلام القاموس 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الفرس، أي تلى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ليس المراد منه مطلق المتابعة، بل متابعة السابق من جنسه في المشي السريع، فعلى هذا يمكن دفع النظر المذكور من كون الأخرس متابعًا لله تعالى، فيتمّ الإيراد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يظهر من كلام المورد المجيب عدم تسليم انحصار المتابعة فيما ذكر، إذ يظهر منه تحقّق المتابعة في الأخرس المؤتم، يتوجّه عليه النظر المذكور، إلّا أن يخصّص المتابعة في الحركات الصادرة عن الجوارح مع حضور المتبوع ومشاهدته، فيندفع الأمر بالتأمّل الّذي سيجيء إشارة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دعي أحدكم إلى 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دعي أحدكم إلى طعام فليجب، فإن كان مفطرًا فليأكل، وإن كان صائمًا فليصلّ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عوالي اللآلئ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دعي إلى طعام فليجب، وإلّا فليصلّ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دعي أحدكم إلى الوليمة فليأتها إن كان مفطرًا وإن كان صائمًا فليدع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مصلّي، أي يتبع السابق</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الحَلْبة بفتح الحاء وسكون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خيل يجمع للسباق؛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 لعليّ بن زيد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منهاج البراعة في شرح نهج البلاغة، لقطب الدين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واختيار مصباح السالكين، لابن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من الخيل في الرهان،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يك بار آمدن اسبان است در گرو بستن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 تجتمع للسباق من كلّ أوب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تخرج من اصطبل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حلبه اسبانىاست كه فراهم مى آيند از براى سباق از هر جايى، يعنى از براى دوانيدن با يكديگر كه ببينند كه كدام پيشمى افتد واين اسبان از يك طويله نباشند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ويمنع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فتلك</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شبهة في أنّ المقصود من الآيات والأخبار إيصال المكلّفين إلى ما ينتظم به أمور معاشهم ومعادهم ممّا كلّفوا به وغيره، ولا ريب أنّ الوصول إلى ما ذكر بواسطتها إنّما هو باستفادتهم المعاني منها، فعلى هذا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يخلو إمّا أن تكون الحجّة بالنسبة إلى الحاضرين والغائبين والمعدومين ما يفهمه كلّ واحد وإن كان مفاد كلّ واحد مخالفًا للآخر، أو تكون الحجّة بالنسبة إلى الحاضرين ما يفهمه المعدومون منها، أو عكسه، والأوّل والثاني فاسد، أمّا الأوّل فلما ذكر في المتن، وأمّا الثاني فغير مفتقر إلى البيان، فتعيّن الثالث، فتكليف المعدومين أبدًا متوقّف على تحصيل فهم الحاضرين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والمخاطبين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الهرج والمرج بالراء المهملة الساكنة، كما يظهر من القاموس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 والقلق والاختلاط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الشرائع،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فحلاله حلال إلى يوم القيامة وحرامه حرام إلى يوم القيامة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والأولى أن يقرّر هكذا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شبهة أنّ المقصود من الآيات والأخبار هداية المكلّفين إلى ما كلّفوا به وغيره، والتوصّل إليه بواسطتهما إنّما هو بفهم المعاني منها، والفهم قد يختلف باختلاف الأعصار والأمصار، فهل المناط حينئذٍ فهم الحاضرين بالنسبة إلى الكلّ، أو المعدومين كذلك، أو بالنسبة إلى كلّ فهم نفسه؟ والثاني والثالث باطل، فتعيّن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وحاصل الإيراد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المناط في تحصيل المكلّف به، تحصيل فهم الحاضرين، لا تحصيل المعاني الحقيقيّة لهم، وعند العلم باتّحاد المعاني الحقيقيّة للمعدومين والحاضرين إنّما يعلم المعاني الحقيقيّة للحاضرين، لا فهمهم، فالمتحصّل غير مناط للتكليف والمناط غير متحصّل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الاصطلاح</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1/580</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والإحكام،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فلأنّه لو كان غير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فيكون دليلًا على أصل المطلب، لا على الملازمة؛ ولهذا أعيد الجارّ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التفتازانيّ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فتثبت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مختصر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التفتازانيّ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والإحكام،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نقض إجماليّ والثاني حلّ، فإيرادهما كذلك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لَا يُخْزِي الله النَّبِيَّ وَالَّذِينَ آَمَنُوا مَعَهُ نُورُهُمْ يَسْعَى بَيْنَ أَيْدِيهِمْ، 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والكاشف عن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والإحكام، للآمديّ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يستفيد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اللفظ المستعمل في الموضوع له الّذي لم يسبق بوضع، لكن ينتقض عكس الحدّ حينئذٍ باللفظ المشترك، كما إذا وضع الواضع لفظًا لمعنى، ثمّ وضعه للمعنى الآخر، ولا شبهة في كونه حقيقة لغويّة في كلّ من المعنيين مع أنّ الموضوع له الثانويّ مسبوق بوضع، إلّا أن يقيّد بقيد آخر 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مسبوقًا بوضع لوحظ فيه الوضع الآخر، كما في الحقيقة الشرعيّة والعرفيّة، فإنّ الملحوظ فيهما وضع آخر على الظاهر، بخلاف 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يتوجّه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المعتبر في المشترك عدم اعتبار الملاحظة، لا اعتبار عدمها، والأمر بالتأمّل الّذي سيجيء إشارة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وينظر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ولقائل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بملاحظة العلاقة والمناسبة حال الاستعمال في المجازات إمّا في الاستعمال الأوّل، أي للمتجوّز حال التجوّز، أو في أيّ استعمال كان بالإضافة إلى أيّ مستعمل كان؛ وعلى الثاني وإن حصل الفرق بين المجاز والنقل على ما ذكر، لكن نمنع لزومه في التجوّز، إذ يجوز للمستعملين استعمال المجاز الصادر من المتجوّز تبعًا لاستعماله من غير أن يلاحظ فيه المناسبة، وكم من الأشعار والخطب الّتي بولغ فيها في التجوّز تؤخذ في الاستعمال من غير علم بالمناسبة وملاحظتها، وعلى الأوّل وإن لزم ملاحظة العلاقة، لكن ليس ذلك من خواصّ المجاز؛ للزوم ملاحظة المناسبة في المنقولات حال النقل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الجواب عنه من وجهين،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نختار الأوّل ونمنع لزومه في النقل؛ إذ القدر المسلّم فيه ملاحظة المناسبة حين النقل والتعيين للمعنى المنقول إليه، لا حال الاستعمال مطلقًا ولو في الاستعمال الأوّل، لا سيّما إذا كان المستعمل الأوّلي غير الناقل، لكن هذا إنّما يتمّ في النقل التعيينيّ، وأمّا في التعيّني منه فلا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نختار الثاني، لكن لا مطلقًا، بل في كلّ استعمال متحقّق من المتجوّز، بخلاف النقل، فإنّه لا يلزم فيه ملاحظة المناسبة في أيّ استعمال كان ولو من الناقل كما لا يخفى، وهذا يعمّ القسمين للنقل كما يظهر بأدنى تأمّل،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إنّما يتوجّه إذا كان المدّعى ثبوت الحقيقة اللغويّة في الألفاظ بأسرها؛ وأمّا إذا لم يكن كذلك، بل المراد ثبوتها في الجملة ولو في بعض الألفاظ فلا، بل كاد يقطع بفساده، إذ الحكم بوضع قاطبة الألفاظ في اللغة للمعاني وعدم استعمال شيء منها في الموضوع له ممّا لا يقبله الإنصاف، بل يكذّبه الوجدان كما لا يخفى على أولى التأمّل والعرفان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المراد بالاستعمال في تلك المعاني عند أهل اللغة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لتعيين،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يُدفع،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فتتعيّن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تستلزم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المتصوّر،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المنضور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لوضوح أنّه بناءً على القول بالدلالة الذاتيّة للألفاظ ليس هناك واضع حتّى يبحث في تعيينه،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البحث يجري بناءً على هذا القول أيضًا لا لوضع اللفظ للمعنى، بل لتركيب الألفاظ على الهيئات المعلومة؛ لوضوح أنّ تركيبها على تلك الهيئات ليس واجب الوجود، بل من الأمور الممكنة، فيفتقر إلى مركِّب، وذلك المركِّب إمّا الله سبحانه أو البشر،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 هنا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الممكنة؛ وعليه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يمكن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سهل عبّاد بن سليمان الصيمريّ البصريّ المعتزليّ، المتوفّى حدود سنة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ق، من أصحاب هشام الغوطيّ، صنّف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إنكار أن يخلق الناس أفعالهم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الجزء الّذي لا يتجزّأ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أرباب علم التكسير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الآمديّ في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والمحقّق النراقيّ في 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والسيّد المجاهد في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ترتضيه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على تقدير المناسبة له إمّا أن تبقى المناسبة للأوّل على حالها، أو لا، وعلى الأوّل يلزم الاختلاف في مقتضى الطبيعة الواحدة، وعلى الثاني التخلّف؛ وقد قرّر في محلّه أنّ ما بالذات لا يختلف ولا يتخلّف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طبيعة الماء باردة رطبة مع عدم وجود شيء من الحروف الّتي ذكروا أنّها مائيّة في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الكلام في الأرض، فإنّه لم يوجد في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الحروف الأرضيّة إلّا الراء، وفي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من الحروف الّتي حكم بأنّها هوائيّة أصلًا، وكذا في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الألف، وكذا الكلام في الأشباه والنظائر كما لا يخفى على المتأمّل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إمكان الاطّلاع على المناسبة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ومختصر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ومختصر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كلماتهم وإن كانت مطلقة، لكن يظهر من دليلهم أنّ مرادهم غير شامل لما نحن فيه؛ لعدم لزوم الترجيح من غير مرجّح فيه، إذ المفروض أنّ المعنى الأوّل قد استفيد من اللفظ للمناسبة، ثمّ استعمل في مناسبه مجازًا، فاشتهر فيه، فاستعماله فيه دون غيره لتحقّق المناسبة فيه دون غيره، فلا يلزم المحذور، لكن يلزمهم القول بانحصار طريق النقل في التخصّص، فلا يتحقّق بالتخصيص، كما يظهر وجهه للمتأمّل، ولهم أن يلتزموا ذلك، والتقسيم إلى القسمين إنّما هو بناءً على القول بالوضع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امتنع</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ومختصر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والإيضاح، للخطيب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چرانيدم باران را، وعليه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گياه، وعليه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والحكم بالتناقض بين الحيض والطهر إمّا باعتبار ثبوتهما وسلبهما عن المحلّ القابل لهما حتّى يرجع إلى القضيّة؛ لئلّا يرد أنّ التناقض ليس بين التصوّرات، أو باعتبار أنّ المراد بالتناقض مطلق التقابل بين الشيء الوجوديّ والعدميّ المتناول للعدم والملكة أيضًا، سواء كانا قضيّتين،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التفتازاني في مطوّله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الجَوْن، بالفتح فالسكون، يطلق بالاشتراك على الأبيض والأسود، وهو من الأضداد، وقال بعض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ويطلق أيضًا على الضوء والظلمة بطريق الاستعارة، ينظر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الأخرى</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يعيّن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يختلف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القلقلة بسكون اللام مصدر قلقل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إنهاء النطق بالحرف الساكن بحركة خفيفة، وحروف القلقلة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من الحروف حروفًا مشربة ضغطت من مواضعها، فإذا وقفت خرج معها من الفم صويت ونبا اللسان عن موضعه، وهي حروف القلقلة،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والدليل على ذلك أنّك تقول الحذق فلا تستطيع أن تقف إلّا مع الصويت لشدّة ضغط الحرف وبعض العرب أشدّ صوتًا كأنّهم الّذين يرومون الحركة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الإيضاح، للخطيب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ومختصر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النَزَوان فلأنّه ضراب الفحل، وأمّا الحَيَدى فلأنّه الحمار الّذي يحيد، أي يميل عن ظلّه لنشاطه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بالوجهين ما ذكر قبل العلاوة وبعده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التخصيصيّة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كشّاف اصطلاحات 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وتحفة الرشدى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والإيضاح، للخطيب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تجسم، وهو غلط</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تتحقّق</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مقتضى</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الإشارات والتنبيهات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ومختصر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الدلالات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يشمل العقليّة المحضة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قسيمًا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اللفظيّة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قول المحقّق الشريف وغيره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تكون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خارجًا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المضاف إذا أخذ من حيث الذات، كان كلّ من الإضافة والمضاف إليه خارجًا عنه؛ وإذا أخذ من حيث الإضافة فالإضافة وإن كانت داخلة، لكنّ المضاف إليه خارج، وما نحن فيه من هذا القبيل، فلهذا حكمنا بخروج البصر عن مدلول العمى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تكون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تكون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الانتقال إجمالًا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التشبيه بالوردة أولى من التشبيه بالشجرة ذات أغصان متكثّرة؛ لأنّ المناسبة بين المشبّه والورد أتمّ من المناسبة بينه وبين الشجرة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الأجزاء</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معنى جزء المركّب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حاشية السيالكوتي على تحرير القواعد المنطقيّة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أنّه لا اختصاص للإيراد المذكور باللفظ الموضوع للمتلازمين؛ لوروده فيما إذا وضع للملزوم أمر مع شيء آخر، ودلالته على مجموع الملزوم وذلك الشيء مطابقة، وعلى الملزوم مثلًا تضمّن، وينتقل منه إلى لازمه مع عدم اندراجه تحت شيء من أقسام الدلالات، أمّا المطابقة والتضمّن فظاهر، وأمّا الالتزام فلكونه لازمًا لجزء الموضوع له، لا لنفس الموضوع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المدلول من اللفظ قد يكون مستعملًا فيه له، وقد لا يكون؛ وبعبارة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مرادًا وقد لا يكون؛ والمقصود في هذا المقام أنّ المدلول إذا كان موضوعًا له، فلا شبهة في كون الدلالة بالنسبة إليه مطابقة، سواء كان ممّا استعمل فيه اللفظ، أم لا، كما إذا استعمل اللفظ في المعنى المجازيّ؛ وأمّا إذا لم يكن موضوعًا له، فلا شبهة في كون الدلالة بالإضافة إليه تضمّنيّة أو التزاميّة إذا لم يكن ممّا استعمل فيه، كدلالة السكنجبين على الخلّ مثلًا، والنار على الحرارة فيما إذا كان المراد نفس السكنجبين والنار؛ وأمّا إذا كان مستعملًا كما إذا استعمل السكنجبين في الخلّ مثلًا والنار في الحرارة، فهل تكون الدلالة في الأوّل تضمّنيّة وفي الثاني التزاميّة؟ يطلب تحقيق الحال ممّا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مختصر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التفتازاني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أنّه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مقصودهم التضمّن والالتزام في الجملة، وذلك فيما إذا كان المراد الملزوم والكلّ، لا كلّ الدلالات الالتزاميّة ولو كانت المعاني الالتزاميّة مرادة كما في المجازات، إذ يكفي ذلك في إثبات ما هم بصدد إثباته، كما لا يخفى على المتأمّل، لكنّ الإنصاف أنّه خلاف ما يقتضيه ظاهر كلماتهم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فيها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يكون الوضع</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الظاهر من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المطابقة دلالة اللفظ على تمام الموضوع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أن يكون اللفظ مستقلًا في تلك الدلالة كما لا يخفى، فلا يمكن أن تكون دلالة المجازات مطابقة، لعدم استقلالها في الدلالة؛ لوضوح أنّ الدالّ فيها إمّا اللفظ مع القرينة أو بشرطها، وأيّ منهما كان لا يكون اللفظ مستقلًّا فيها، وهو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الأمر وإن كان كذلك، لكنّه مشترك الورود، إذ قولهم في الالتزام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دلالة اللفظ على الخارج عن الموضوع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ظاهره أيضًا ذلك، فيعلم منه عدم إرادة هذا الظاهر من الكلام في المقام،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والإيضاح، للخطيب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ومقتضى ذلك أنّ المعاني المجازيّة عند استعمال الألفاظ في معانيها الحقيقيّة تكون مدلولات التزاميّة، وعند استعمالها فيها لا في المعاني الحقيقيّة تكون مدلولات مطابقيّة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الأصل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مبنيّ على المسامحة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شطب عليه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اللازم للمعنى المجازيّ ليس معنًى مجازيًّا؛ لأنّ المعتبر في المجاز العلاقة بين المعنى الحقيقيّ والمعنى المجازيّ، لا بين معنى وبين المعنى المجازيّ، فلا يتحقّق في لازم المعنى المجازيّ من هذه الجهة الوضع مطلقًا ولو كان بالمعنى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إمّا استعمال اللفظ المشترك في أكثر من معنى واحد في آن واحد، أو الجمع بين المعنى الحقيقيّ والمجازيّ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يكن في ضمن الخاصّ وموجودًا بوجوده ومتحصّلًا بتحصّله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تنبيه على أنّ محلّ النزاع في هذه المسألة إنّما هو وضع الألفاظ المتداولة بإزاء معانيها الابتدائيّة، بخلاف الاصطلاحات الخاصّة المستعملة في العلوم والصنائع المتكثّرة والأعلام، فإنّ الواضع فيها هو البشر، وهو ظاهر، وقد ادّعى جماعة منهم على ذلك الاتّفاق، وهكذا الحال في العرفيّة العامّيّة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العجائب ما وقع لبعض في هذا المقام حيث اختار اصطلاحيّة اللغات، واستدلّ على ذلك بأنّا نعلم بالبديهة أنّ كثيرًا من اللغات حدثت من الناس في وقت لم يكن بينهم نبيّ؛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نعلم أنّ لغة واحدة تتغيّر بحيث تخرج عن الوضع الأوّل، كما هو ظاهر من لغة العرب والفرس؛ وهذا التغيير والتبديل لا شكّ في استناده إلى البشر،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مسلّم عند الكلّ كما عرفت، فلا وجه لجعله دليلًا على مورد النزاع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محمّد بن الحسن بن فورك الأنصاريّ الأصبهانيّ الشافعيّ، سمع بالبصرة وبغداد، وحدّث بنيسابور وبنى فيها مدرسة، وتوفّي على مقربة منها سنة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ق، ونقل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محمود بن سبكتكين بالسمّ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رسولًا في حياته فقط وأنّ روحه قد بطلت وتلاشىت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كثيرة في أصول الدين وأصول الفقه ومعاني القرآن تناهز المائة،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في الأصول، مشكل الحديث وغريبه، وحلّ الآيات المشكلات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 في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والتمهيد، للأسنويّ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وينظر الإحكام،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السلام بن محمّد بن عبد الوهّاب الجبّائيّ، أبو هاشم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كبار متكلّمي المعتزلة، له آراء انفرد بها، وتبعته فرقة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البهشميّة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مصنّفات،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الشامل في الفقه، وتذكرة العالم، والعدّة 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جماعة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ذهبوا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إسحاق إبراهيم بن محمّد بن إبراهيم الإسفرايينيّ، المعروف بالأستاذ والملقّب بركن الدين، ولد في اسفرايين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نيسابور وجرجان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 إلى نيسابور وبنيت له فيها مدرسة عظيمة فدرّس فيها، ومكث في نيسابور حتّى مات فيها سنة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ق، ودفن في اسفرايين، له رسالة في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والآمديّ في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والأسنويّ في 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والحلّيّ في 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والسيّد المجاهد في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وينظر 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القاضي في 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ومن المتوقّفين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في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وابن السبكيّ في رفع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واستقر به العلّامة في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وينظر التقريب والإرشاد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ونسبه الفخر الرازيّ أيضًا إلى جمهور المحقّقين في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وهو مختاره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وينظر 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وينظر تفسير أبي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وإبليس فإنّ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يكون مولى وعبدًا وأسيرًا، فالأمر يشمله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العوالم ومن كان في الأرض قبل خلق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والمزهر،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العمالقة قوم من ولد عمليق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كقنديل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لاوَذَ بن إِرَمَ بن سام بن نوح، وهم أمم تفرّقوا في البلاد،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 في المزهر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تكلّم بالعربيّة المحضة هو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وأراد به عربيّة قريش الّتي نزل بها القرآن، وأمّا عربيّة قحطان وحمير فكانت قبل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القرطبيّ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 في أوّل من تكلّم باللسان العربيّ، فروي عن كعب الأحبار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أوّل من وضع الكتاب العربيّ والسريانيّ والكتب كلّها وتكلّم بالألسنة كلّها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وقاله غير كعب الأحبار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فتق لسانه بالعربيّة المبينة إسماعيل، وهو ابن عشر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أوّل من تكلّم بالعربيّة يعرب بن قحطان، وقد روي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أنّ أوّل من تكلّم باللغات كلّها من البشر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والقرآن يشهد له،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وَعَلَّمَ آدَمَ الْأَسْمَاءَ كُلَّهَا 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قابيل هابيل، أشاك الشجر وتغيّرت الأطعمة وحمضت الفواكه وأمرّ الماء وأغبرت الأرض، فقال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حدث في الأرض حدث، فأتى الهند فإذا قابيل قد قتل هابيل، فأنشأ يقول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 خواصّها أو طبائعها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كون الإضافة بيانيّة، أو إضافة العامّ إلى الخاصّ مع تأمّل في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النراقيّ في 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لجميع</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الآداب الدينيّة للخزانة المعينيّة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في المصادر الروائيّة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وبسببه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 ظهور الفرق بين وضع اللغات واختراعها وبين العلم بها بتعليم الغير بكون الأمر في الثاني أسهل جدًّا، فيمكن أن لا يكون لهم استعداد الوضع فيها واختراعها، مع أنّ الأمر بعلمها بتعليم الغير أن لا يكون كذلك، فعلى هذا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الإلهام بوضعها لآدم لتمكّنه بذلك وعدم الإلهام به للملائكة لعدم تمكّنهم منه،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هَجَسَ الأمر من باب قَتَلَ وقَطَعَ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 في باله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 خداي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تدبير المنزل، وإدارة البيت، تكملة المجامع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أنّه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تخصيص تعليم الأسماء بآدم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لاختصاص صلاحيّته للخلافة واستحقاقه للسياسة، ففي الحقيقة يكون منشأ الأفضليّة تلك الصلاحيّة، فعلى هذا يكون ذلك مؤكّدًا للجواب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يخلص</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وينظر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وينظر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للدليل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وحاصل هذا الاستدلال أنّه لو كان الوضع في اللغات مستندًا إليه تعالى، لزم انحصار الحقائق في الشرعيّة والعرفيّة، والتالي باطل، فالمقدّم مثله، أمّا الشرطيّة فلظهور أنّ الألفاظ بأسرها إمّا واضعها الشارع أو العرف، ولا ثالث، وعلى الأوّل تكون شرعيّة، وعلى الثاني عرفيّة، وأمّا بطلان التأليف؛ لاتّفاقهم على تقسيم الحقائق إلى الأقسام الثلاثة، والاتّفاق دليل قطعيّ لا يعارضه ما تقدّم من دليلًا لتوقيف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ولقائل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اتّفاق الجميع على تقسيم الحقائق إلى الأقسام الثلاثة بأن تكون كلّ طائفة قائلة بذلك غير ممكن، لاستلزامه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لاستلزام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القول بثبوت الحقيقة الشرعيّة متّفقًا عليه، مع أنّ الخلاف فيه معروف، وعلى فرض التسليم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كما لا يمنع هذا النزاع من تقسيم الحقائق إلى تلك الأقسام، فليكن الأمر كذلك في النزاع الأوّل، إلّا أن يجاب عن ذلك بأنّ اتّفاقهم في التقسيم المذكور لا يستلزم القول بجميع الأقسام؛ لجواز أن يكون الوجه في التقسيم أنّه على تقدير ثبوت الحقائق الشرعيّة تكون مغايرة للقسمين الآخرين لا محالة، ولا يمكن مثل ذلك في السابق، يظهر وجهه للمتأمّل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الأخرى</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تعريفه في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غير مناسب لهذه التسمية؛ إذ مهر السرّ والعلن إنّما يناسب إذا كان مهر السرّ أقلّ ومهر العلن أكثر وإن احتمل العكس في بعض الصور الّتي لا تخفى على المتأمّل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للموضوع</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تسمية الألف بالألفين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العاميّة والخاصيّة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والبحث</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وتقسيمها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حقيقيّة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ذلك عن بعض الأخباريّة، ينظر 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يستفاد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فاختصّت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الأعرجيّ في محصوله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حكي إنكارها عن بعض الأخباريّة محتجًّا بأنّ اتّفاق الخلق الكثير على نقل اللفظ ممتنع عادة، وكذا العلم بذلك، وهي شبهتهم في الإجماع، وهي مكابرة على الوجدان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عنهم أيضًا السيّد بحر العلوم في شرح الوافية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كالفخر الرازيّ في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والآمديّ في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وينظر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لفظ مستعمل من كلام العرب ما عدا الوضع الأوّل، فإنّه لا يخلو عن الحقيقة والمجاز</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له أوّلًا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جزم به الشيخ أبو إسحاق في شرح اللمع، ينظر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ونهاية السؤل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ذهب إليه الفخر الرازيّ في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والبيضاويّ في منهاج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نهاية السؤل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والعلّامة في 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وينظر البحر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الأسنويّ في نهاية السؤل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وملّا ميرزا جان الباغنويّ، كما في هامش شرح تجريد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والمحقّق النراقيّ في 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الأنسبيّة بالنظر إلى إلحاق الجزء الثاني، لا بالنسبة إلى تغيير العبارة؛ وإنّما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الأنسب؛ لأنّ العبارة المذكورة أوّلًا لا يمكن تغييرها بحيث تشمل الأمرين،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للمتأمّل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للشيء</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الخارجيّ</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المحقّق النراقيّ عن الرازيّ والشريف في شرح الإلهيّات من 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وينظر شرح الوافية،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ينظر شرح الإلهيّات من الشفاء، للمحقّق النراقيّ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المحاكمات بين شرحي 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ونقله عنه السيّد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على الوافية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حاشيته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مسألة المعلوم بالذات ومسألة وضع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الشفاء، للخونساريّ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لدينا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السيّد بحر العلوم في شرحه على الوافية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وضع الألفاظ للأمور الخارجيّة وضعه لخلاف الصور الذهنيّة، خ 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وضع الألفاظ للصور الذهنيّة وضعه للأمور المعلومة، خ 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الطرفين،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الأسنويّ في نهاية السؤل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وملّا ميرزا جان الباغنويّ كما في هامش شرح تجريد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والمحقّق النراقيّ في 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تطلق</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الباغنويّ على 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لدينا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تقدّم من أنّ تغيّر التسمية يمكن مع كون الألفاظ موضوعة للأمور الخارجيّة، إذ اعتقد الشيخ ذلك الشيء الخارجيّ أطلق عليه لفظه؛ ولمّا تبيّن فساد ذلك الاعتقاد واعتقده شيئًا خارجيًّا آخر أطلق عليه لفظه، وهكذا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على فرض تماميّته إمّا يتمّ إذا كان لمسمّى اللفظ خارج، وأمّا في الألفاظ الّتي لا خارج لمسمّياتها فلا، كما سبق، وأيضًا لك أن تقول على سبيل 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كان المراد من الصورة الذهنيّة الماهيّة، لا يتمّ الدليل لعين ما ذكره، إذ لا يلزم من عدم كونها موضوعة للأمور الخارجيّة وضعها للماهيّة من حيث هي؛ لجواز وضعها للماهيّة بشرط وجودها الذهنيّ،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المحاكمات بين شرحي 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بالمرّة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الخارجيّين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معالم الأصول،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واستعمالها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التخاطب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اللابشرط</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المتوهّم هو المحقّق النراقيّ في 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العبادات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تشخّصه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للعبادات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فكذلك</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عزاه إلى القاضي في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والتقريب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أساميًا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يثبت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معالم الأصول،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تهذيب الوصول،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على التقرير المذكور بناءً على ثبوت الحقيقة الشرعيّة كما هو المختار، وأمّا على القول بالعدم فغير خفيّ على المتدبّر 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يمكن إلّا بتخصيص القول بالمعاني الشرعيّة بالعبادات، إذ لو عمّ المعاملات تكون المعاني فيها أيضًا مغايرة للمعاني اللغويّة مثلًا، فكيف يمكن الرجوع في تشخيصها إلى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الحال إلى آخر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الألفاظ</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الألفاظ</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لكونه مأوّلًا بالمفرد يكون فاعلًا ليتوجّه،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يتوجّه على الأوّل منافاته لقول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والتقريب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والإحكام، للآمديّ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مباحث الحقيقة الشرعيّة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تسليمه في المعاملات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تسليمه في الجملة، لا مطلقًا، إذ القاضي لا يقول بالحقيقة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جواز الرجوع إلى غير الشرع وعدم جوازه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المعاملات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العبادات توقيفيّة دون المعاملات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فتخرج</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يندرج،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التفسير للتخيير، بمعنى أنّك مخيّر في الإتيان بأيّ منهما يكون، لا للإبهام؛ لكونه منافيًا للتحديد؛ لكونه للتعريف والإبهام منافٍ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غاية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والمحصول، للفخر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والإحكام،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فواتح الرحموت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والدرّ المختار، للحصفكيّ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والمحصول،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والمحصول، للمحقّق الأعرجيّ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وشرح 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تحصل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الافتقار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الأجزاء المتعدّدة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تندرج</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توقيفيّ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أركان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كيفيّته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ظهر الجواب عمّا تقدّم مرارًا من أنّ الاشتغال بإيجاد الموضوع له ثابت، فلا تحصل البراءة إلّا بعد الإتيان بجميع المشكوك فيه أيضًا كما لا يخفى على المتأمّل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هنا في هامش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مسح العضو وعليه بلل، فهل يكون المسح مجزيًا أم لا؟ قيل بالأوّل للأصل وإطلاق الأمر وصدق الامتثال، وهو خيرة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المعتبر والعلّامة في المنتهى وابن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أيضًا في مبحث القراءة بعد أن حكم بعدم وجوب السورة بعد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أنّ إيجاب السورة زيادة تكليف والأصل عدمه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دفع الأمور المشكوكة مطلقًا بالأصل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يكون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وللانتقال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ليحصل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الماهيّات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تحصيل</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الماهيّات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المقام له فائدتان،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الأمر في لفظ الوضوء والغسل والركوع والسجود وأشباهها أيضًا كذلك؛ والثانية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إلى الاستماع، أي ذكر الاستماع إنّما هو على سبيل المثل؛ لأنّ الأمر في السماع أيضًا كذلك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وعوالي اللآلئ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باب من حافظ على صلاته أو ضيّعها،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الأمريّة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القبلة، 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باب وصف الصلاة من فاتحتها إلى خاتمتها، ح</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للطهارة،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باب تفصيل ما تقدّم ذكره في الصلاة من المفروض والمسنون وما يجوز فيها وما لا يجوز، ح</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 تفصيل ما تقدّم ذكره في الصلاة من المفروض والمسنون وما يجوز فيها وما لا يجوز،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باب الركوع وما يقال فيه من التسبيح والدعاء فيه وإذا رفع الرأس منه،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كيفية الصلاة وصفتها وشرح الإحدى وخمسين ركعة وترتيبها والقراءة فيها والتسبيح في ركوعها وسجودها والقنوت فيها والمفروض من ذلك والمسنون،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باب وقت الصلاة في يوم الغيم الريح ومن صلى لغير القبلة،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باب تفصيل ما تقدم ذكره في الصلاة من المفروض والمسنون وما يجوز فيها وما لا يجوز،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باب أدنى ما يجزئ من التسبيح في الركوع والسجود وأكثره،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كيفيّة الصلاة وصفتها وشرح الإحدى وخمسين ركعة وترتيبها والقراءة فيها والتسبيح في ركوعها وسجودها والقنوت فيها والمفروض من ذلك والمسنون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باب الاخذ بالسنّة وشواهد الكتاب،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أساميًا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أساميًا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أساميًا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باب آداب الأحداث الموجبة للطهارات،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متفرّقون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بالنيّة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 الأخذ بالسنّة،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 بن إبراهيم، أبو عبد الله البصريّ، ساكن بغداد، يُعرف بالجُعل وبالكاغديّ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أحد شيوخ المعتزلة، كثير التصانيف، وقرأ عليه الشيخ المفيد، ت سنة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نصرف</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 وقت وجوب الطهور،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نافية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كلام السيّد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فيجب أن يكون داخلًا فيه على أحد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الإجزاء، وإمّا التمام والفضل، فإذا لم يكن في اللفظ ما يقتضي ذلك فهو مجمل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الإجزاء والتمام لا يصحّ أن يرادا بعبارة واحدة، والّذي نقوله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نقلنا عنه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عميد الدين الأعرجيّ عبد المطلب بن أبي الفوارس محمد بن علي بن محمد بن أحمد بن علي الأعرجيّ الحسينيّ الحلّيّ، من كبار الفقهاء، ت سنة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تبييت كما في المصدر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الفاتحة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تبييت كما في المصدر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تهذيب الوصول، للسيّد جمال الدين بن عبدالله الحسينيّ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يوجد لدينا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الأماكن المكروهة، أو الأوقات كذلك</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تسمع</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تؤثّر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المعالم، للعلّامة البهبهانيّ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يوجد لدينا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من هذه الأفعال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يظهر من عدم نقلهم الخلاف في المسألة إلّا من بعض علماء العامّة عدم تحقّقه من علمائنا، إذ لو تحقّق ذلك لاطّلعوا عليه ولو اطّلعوا عليه لنقلوا كما نقلوا عن العامّة، وتحقّقه مع عدم اطّلاعهم عليه، أو اطّلاعهم مع عدم نقلهم ونقلهم عن العامّة مستبعد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الإيضاح عند شرح قول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الأقرب اشتراط صحّة صلاة المرأة لولاه في بطلان الصلاتين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القرب أنّ الفاسدة كلا صلاة، ولحمل الأصحاب الصلاة عند الإطلاق على الصحيح كالعقود، ويحتمل عدمه لصدق المسمّى على الفاسدة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المحقّق الثاني في جامع المقاصد في شرح العبارة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القرب أنّ الفاسدة كلا صلاة، ولأنّ إطلاق الصلاة محمول عند الفقهاء على الصحيحة في غالب أبواب الفقه، ويحتمل عدمه لصدقها على الفاسدة أيضًا، وندور الحمل لا يقتضي المجاز، والأوّل أصحّ؛ لأنّ إطلاق الشارع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يراد به الصحيحة؛ لعدم توجّه الأمر إلى غيرها وعدم إجرائه الأحكام على الفاسدة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الفاضل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المذكورة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حاشية معالم الأصول، للوحيد البهبهانيّ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يوجد لدينا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أنّه هل تحقّق حقيقة شرعيّة أو عرفيّة في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كذا إلّا كذا؟ فممّا لا شكّ في فساده وعدم تحقّق حقيقة فيه سوى الحقيقة اللغويّة، وهي نفي الجنس والحقيقة أو نفي 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فرض تحقّقها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منع تقسيمهم الصلاة إلى الصحيحة والفاسدة في الكتب الفقهيّة بأن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وفاسدة، أو ما يؤدّي 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أن يقال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باب تفصيل ما تقدم ذكره في الصلاة من المفروض والمسنون وما يجوز فيها وما لا يجوز،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من المفروض والمسنون وما يجوز فيها وما لا يجوز،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باب وقت الصلاة في يوم الغيم الريح ومن صلّى لغير القبلة،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فاستبان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باب وقت الصلاة في يوم الغيم الريح ومن صلّى لغير القبلة،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باب وقت الصلاة في يوم الغيم الريح ومن صلّى لغير القبلة،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الأولتين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يدر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أواحدة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باب السهو في الركعتين الأولتين،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الأولتين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الكافي، بل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وما يجب منه إعادة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والصوم والحجّ</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دعائم الإسلام،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ورفعه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للانتفاع</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الاستدلال إلى آخره إنّما يلائم على القول بثبوت الحقيقة الشرعيّة، لكن يظهر منه الحال على القول بالعدم أيضًا، لكن يحتاج في بعض من المواضع إلى مزيد تأمّل، إذ قد يتوهّم في بادي الأمر عدم تماميّته على هذا القول، فعليك بالتأمّل حتّى يظهر عليك وجهه،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ومختتمة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يلتزمه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والفاسدة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الإسلام على خمس، على الصلاة والزكاة والحجّ والصوم والولاية، ولم يناد بشيء كما نودي بالولاية، فأخذ الناس بأربع وتركوا هذه، يعني الولاية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دعائم الإسلام،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القسمة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والفاسد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على الإجمال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أنّ انتفاء بعض الأجزاء لا يوجب انتفاء المركّب، فليكن ما نحن فيه من ذلك؛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الجزء في المفروض ليس من ذلك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وكثير من عباداتهم الفاسدة لا يرضون بسلب الصحّة عنها، فلو جاز التعويل على مثل ذلك ينبغي أن يحكم بصحّة تلك العبادات؛ لعدم سلب الصحّة فيما بينهم،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علمائهم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عدم الشمول للأجزاء إنّما هو من حيث الجزئيّة، لا مطلقًا؛ إنّما قيّدنا بذلك لأنّ السجود مثلًا له اعتباران، أحدهما من حيث الجزئيّة للصلاة، والثاني من حيث كونها عبادة مستقلّة كسجود الشكر مثلًا، والمراد إنّما هو بالاعتبار الأوّل، لا مطلقًا،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الشروط</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إيجاد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تسليمه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خصوصًا إذا كان النهي لوصف خارج كما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كان الحلف على ترك البيع، فإنّ البيع في حدّ ذاته ليس بمنهيّ عنه، والنهي بعد الحلف إنّما هو لمخالفة اليمين، وهي خارجة عن حقيقة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 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النهي يقتضي الفساد، سواء تعلّق بنفس الشيء أو جزئه أو لازمه، وفيما نحن فيه من الأخير؛ لوضوح أنّ ايقاع البيع بعد الحلف مستلزم للمخالفة كما لا يخفى؛ منه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القول بالفساد وبين حمل مطلقه إلى آخره، أي بين القول بأنّ البيع حقيقة في الصحيح إشكال؛ أو بين الحلف على ترك البيع على تقدير القول بدلالة النهي على الفساد وبين القول بكون البيع حقيقة في الصحيح إشكال، أو بين مخالفة الحلف على التقدير المذكور وبين ما ذكر، والمآل في الجميع واحد، لكنّ الأوّل أولى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اشترط</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نضد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نضد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القواعد، والعبارة بعينها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نضد القواعد الفقهيّة، للفاضل المقداد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اختلاف في بعض الألفاظ كما نبّهنا عليه، وينظر 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عرفًا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تتناوله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العبادات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ذكرناه في توجيه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وافقه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وللمتوهّم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يختلف</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حملة بعضهم على بعض في الحرب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والوِقاف والمُواقَفَة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تقف معه ويقف معك في حرب أو خصومة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والمُسَايفة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المُجالَدَة بالسيوف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الحلّيّ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شدّة الخوف تسمّى صلاة المطاردة والمُسايفة، مثل أن ينتهي الحال إلى المعانقة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والمصدر، وفي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تنصرف، وهو الصحيح</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في المصدر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أفسدهما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استظهره من بعضهم في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احترازًا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نائبًا عن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المشكوك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يجوز أن يكون متعلّقًا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ماهيّاتها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باب الخروج إلى الصفا،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ينظر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الوقوف على الصفا والدعاء،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الشك في الوضوء ومن نسيه أو قدم أو أخر،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أبواب الوضوء،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ابتدأ</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بجميع</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البهبهانيّ في 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تظهر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بتمامه في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ونقله البهبهانيّ في 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يتمسّك</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ولانتقاضها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يتوهّم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تمّت النسخة الأصليّة بخطّ المؤلّف، والتكلمة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اللبيب في شرح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الأذكار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image" Target="media/image2.jpeg"/><Relationship Id="rId456" Type="http://schemas.openxmlformats.org/officeDocument/2006/relationships/image" Target="media/image2.jpeg"/><Relationship Id="rId457" Type="http://schemas.openxmlformats.org/officeDocument/2006/relationships/footer" Target="footer450.xml"/><Relationship Id="rId458" Type="http://schemas.openxmlformats.org/officeDocument/2006/relationships/footnotes" Target="footnotes.xml"/><Relationship Id="rId459" Type="http://schemas.openxmlformats.org/officeDocument/2006/relationships/numbering" Target="numbering.xml"/><Relationship Id="rId460" Type="http://schemas.openxmlformats.org/officeDocument/2006/relationships/fontTable" Target="fontTable.xml"/><Relationship Id="rId461" Type="http://schemas.openxmlformats.org/officeDocument/2006/relationships/settings" Target="settings.xml"/><Relationship Id="rId4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465</Pages>
  <Words>40685</Words>
  <Characters>192696</Characters>
  <CharactersWithSpaces>231580</CharactersWithSpaces>
  <Paragraphs>2059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2026-08-25T10:47:25Z</dcterms:created>
  <dc:creator>ghaemiyeh.com</dc:creator>
  <dc:description/>
  <dc:language>en-US</dc:language>
  <cp:lastModifiedBy/>
  <dcterms:modified xsi:type="dcterms:W3CDTF">2026-08-25T14:18:00Z</dcterms:modified>
  <cp:revision>1</cp:revision>
  <dc:subject/>
  <dc:title>الزهرة البارقة لمعرفة أحوال المجاز والحقیقة جلد 2</dc:title>
</cp:coreProperties>
</file>

<file path=docProps/custom.xml><?xml version="1.0" encoding="utf-8"?>
<Properties xmlns="http://schemas.openxmlformats.org/officeDocument/2006/custom-properties" xmlns:vt="http://schemas.openxmlformats.org/officeDocument/2006/docPropsVTypes"/>
</file>