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5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الزهرة البارقة لمعرفة أحوال المجاز والحقیقة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19565_1280447820">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3519567_128044782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3519569_1280447820">
            <w:r>
              <w:rPr>
                <w:webHidden/>
                <w:rStyle w:val="IndexLink"/>
                <w:rtl w:val="true"/>
              </w:rPr>
              <w:t>مقدّمة المركز</w:t>
            </w:r>
            <w:r>
              <w:rPr>
                <w:rStyle w:val="IndexLink"/>
                <w:rtl w:val="true"/>
              </w:rPr>
              <w:tab/>
            </w:r>
            <w:r>
              <w:rPr>
                <w:rStyle w:val="IndexLink"/>
              </w:rPr>
              <w:t>16</w:t>
            </w:r>
          </w:hyperlink>
        </w:p>
        <w:p>
          <w:pPr>
            <w:pStyle w:val="Contents2"/>
            <w:tabs>
              <w:tab w:val="clear" w:pos="8743"/>
              <w:tab w:val="right" w:pos="9026" w:leader="dot"/>
            </w:tabs>
            <w:rPr/>
          </w:pPr>
          <w:hyperlink w:anchor="__RefHeading___Toc3519571_1280447820">
            <w:r>
              <w:rPr>
                <w:webHidden/>
                <w:rStyle w:val="IndexLink"/>
                <w:rtl w:val="true"/>
              </w:rPr>
              <w:t>مقدّمة التحقيق</w:t>
            </w:r>
            <w:r>
              <w:rPr>
                <w:rStyle w:val="IndexLink"/>
                <w:rtl w:val="true"/>
              </w:rPr>
              <w:tab/>
            </w:r>
            <w:r>
              <w:rPr>
                <w:rStyle w:val="IndexLink"/>
              </w:rPr>
              <w:t>20</w:t>
            </w:r>
          </w:hyperlink>
        </w:p>
        <w:p>
          <w:pPr>
            <w:pStyle w:val="Contents3"/>
            <w:tabs>
              <w:tab w:val="clear" w:pos="8459"/>
              <w:tab w:val="right" w:pos="9026" w:leader="dot"/>
            </w:tabs>
            <w:rPr/>
          </w:pPr>
          <w:hyperlink w:anchor="__RefHeading___Toc3519573_1280447820">
            <w:r>
              <w:rPr>
                <w:webHidden/>
                <w:rStyle w:val="IndexLink"/>
                <w:rtl w:val="true"/>
              </w:rPr>
              <w:t>لمحةٌ من حياة المؤلّف</w:t>
            </w:r>
            <w:r>
              <w:rPr>
                <w:rStyle w:val="IndexLink"/>
                <w:rtl w:val="true"/>
              </w:rPr>
              <w:tab/>
            </w:r>
            <w:r>
              <w:rPr>
                <w:rStyle w:val="IndexLink"/>
              </w:rPr>
              <w:t>20</w:t>
            </w:r>
          </w:hyperlink>
        </w:p>
        <w:p>
          <w:pPr>
            <w:pStyle w:val="Contents4"/>
            <w:tabs>
              <w:tab w:val="clear" w:pos="8176"/>
              <w:tab w:val="right" w:pos="9026" w:leader="dot"/>
            </w:tabs>
            <w:rPr/>
          </w:pPr>
          <w:hyperlink w:anchor="__RefHeading___Toc3519575_1280447820">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3519577_1280447820">
            <w:r>
              <w:rPr>
                <w:webHidden/>
                <w:rStyle w:val="IndexLink"/>
                <w:rtl w:val="true"/>
              </w:rPr>
              <w:t>اسمه ونسبه</w:t>
            </w:r>
            <w:r>
              <w:rPr>
                <w:rStyle w:val="IndexLink"/>
                <w:rtl w:val="true"/>
              </w:rPr>
              <w:tab/>
            </w:r>
            <w:r>
              <w:rPr>
                <w:rStyle w:val="IndexLink"/>
              </w:rPr>
              <w:t>20</w:t>
            </w:r>
          </w:hyperlink>
        </w:p>
        <w:p>
          <w:pPr>
            <w:pStyle w:val="Contents4"/>
            <w:tabs>
              <w:tab w:val="clear" w:pos="8176"/>
              <w:tab w:val="right" w:pos="9026" w:leader="dot"/>
            </w:tabs>
            <w:rPr/>
          </w:pPr>
          <w:hyperlink w:anchor="__RefHeading___Toc3519579_1280447820">
            <w:r>
              <w:rPr>
                <w:webHidden/>
                <w:rStyle w:val="IndexLink"/>
                <w:rtl w:val="true"/>
              </w:rPr>
              <w:t>ولادته ونشأته</w:t>
            </w:r>
            <w:r>
              <w:rPr>
                <w:rStyle w:val="IndexLink"/>
                <w:rtl w:val="true"/>
              </w:rPr>
              <w:tab/>
            </w:r>
            <w:r>
              <w:rPr>
                <w:rStyle w:val="IndexLink"/>
              </w:rPr>
              <w:t>21</w:t>
            </w:r>
          </w:hyperlink>
        </w:p>
        <w:p>
          <w:pPr>
            <w:pStyle w:val="Contents4"/>
            <w:tabs>
              <w:tab w:val="clear" w:pos="8176"/>
              <w:tab w:val="right" w:pos="9026" w:leader="dot"/>
            </w:tabs>
            <w:rPr/>
          </w:pPr>
          <w:hyperlink w:anchor="__RefHeading___Toc3519581_1280447820">
            <w:r>
              <w:rPr>
                <w:webHidden/>
                <w:rStyle w:val="IndexLink"/>
                <w:rtl w:val="true"/>
              </w:rPr>
              <w:t>إطراء العلماء عليه</w:t>
            </w:r>
            <w:r>
              <w:rPr>
                <w:rStyle w:val="IndexLink"/>
                <w:rtl w:val="true"/>
              </w:rPr>
              <w:tab/>
            </w:r>
            <w:r>
              <w:rPr>
                <w:rStyle w:val="IndexLink"/>
              </w:rPr>
              <w:t>25</w:t>
            </w:r>
          </w:hyperlink>
        </w:p>
        <w:p>
          <w:pPr>
            <w:pStyle w:val="Contents4"/>
            <w:tabs>
              <w:tab w:val="clear" w:pos="8176"/>
              <w:tab w:val="right" w:pos="9026" w:leader="dot"/>
            </w:tabs>
            <w:rPr/>
          </w:pPr>
          <w:hyperlink w:anchor="__RefHeading___Toc3519583_1280447820">
            <w:r>
              <w:rPr>
                <w:webHidden/>
                <w:rStyle w:val="IndexLink"/>
                <w:rtl w:val="true"/>
              </w:rPr>
              <w:t>زهده وعبادته</w:t>
            </w:r>
            <w:r>
              <w:rPr>
                <w:rStyle w:val="IndexLink"/>
                <w:rtl w:val="true"/>
              </w:rPr>
              <w:tab/>
            </w:r>
            <w:r>
              <w:rPr>
                <w:rStyle w:val="IndexLink"/>
              </w:rPr>
              <w:t>26</w:t>
            </w:r>
          </w:hyperlink>
        </w:p>
        <w:p>
          <w:pPr>
            <w:pStyle w:val="Contents4"/>
            <w:tabs>
              <w:tab w:val="clear" w:pos="8176"/>
              <w:tab w:val="right" w:pos="9026" w:leader="dot"/>
            </w:tabs>
            <w:rPr/>
          </w:pPr>
          <w:hyperlink w:anchor="__RefHeading___Toc3519585_1280447820">
            <w:r>
              <w:rPr>
                <w:webHidden/>
                <w:rStyle w:val="IndexLink"/>
                <w:rtl w:val="true"/>
              </w:rPr>
              <w:t>إقامته الحدود الشرعيّة</w:t>
            </w:r>
            <w:r>
              <w:rPr>
                <w:rStyle w:val="IndexLink"/>
                <w:rtl w:val="true"/>
              </w:rPr>
              <w:tab/>
            </w:r>
            <w:r>
              <w:rPr>
                <w:rStyle w:val="IndexLink"/>
              </w:rPr>
              <w:t>27</w:t>
            </w:r>
          </w:hyperlink>
        </w:p>
        <w:p>
          <w:pPr>
            <w:pStyle w:val="Contents4"/>
            <w:tabs>
              <w:tab w:val="clear" w:pos="8176"/>
              <w:tab w:val="right" w:pos="9026" w:leader="dot"/>
            </w:tabs>
            <w:rPr/>
          </w:pPr>
          <w:hyperlink w:anchor="__RefHeading___Toc3519587_1280447820">
            <w:r>
              <w:rPr>
                <w:webHidden/>
                <w:rStyle w:val="IndexLink"/>
                <w:rtl w:val="true"/>
              </w:rPr>
              <w:t>مشايخ روايته</w:t>
            </w:r>
            <w:r>
              <w:rPr>
                <w:rStyle w:val="IndexLink"/>
                <w:rtl w:val="true"/>
              </w:rPr>
              <w:tab/>
            </w:r>
            <w:r>
              <w:rPr>
                <w:rStyle w:val="IndexLink"/>
              </w:rPr>
              <w:t>27</w:t>
            </w:r>
          </w:hyperlink>
        </w:p>
        <w:p>
          <w:pPr>
            <w:pStyle w:val="Contents4"/>
            <w:tabs>
              <w:tab w:val="clear" w:pos="8176"/>
              <w:tab w:val="right" w:pos="9026" w:leader="dot"/>
            </w:tabs>
            <w:rPr/>
          </w:pPr>
          <w:hyperlink w:anchor="__RefHeading___Toc3519589_1280447820">
            <w:r>
              <w:rPr>
                <w:webHidden/>
                <w:rStyle w:val="IndexLink"/>
                <w:rtl w:val="true"/>
              </w:rPr>
              <w:t>تلامذته</w:t>
            </w:r>
            <w:r>
              <w:rPr>
                <w:rStyle w:val="IndexLink"/>
                <w:rtl w:val="true"/>
              </w:rPr>
              <w:tab/>
            </w:r>
            <w:r>
              <w:rPr>
                <w:rStyle w:val="IndexLink"/>
              </w:rPr>
              <w:t>28</w:t>
            </w:r>
          </w:hyperlink>
        </w:p>
        <w:p>
          <w:pPr>
            <w:pStyle w:val="Contents4"/>
            <w:tabs>
              <w:tab w:val="clear" w:pos="8176"/>
              <w:tab w:val="right" w:pos="9026" w:leader="dot"/>
            </w:tabs>
            <w:rPr/>
          </w:pPr>
          <w:hyperlink w:anchor="__RefHeading___Toc3519591_1280447820">
            <w:r>
              <w:rPr>
                <w:webHidden/>
                <w:rStyle w:val="IndexLink"/>
                <w:rtl w:val="true"/>
              </w:rPr>
              <w:t>أولاده</w:t>
            </w:r>
            <w:r>
              <w:rPr>
                <w:rStyle w:val="IndexLink"/>
                <w:rtl w:val="true"/>
              </w:rPr>
              <w:tab/>
            </w:r>
            <w:r>
              <w:rPr>
                <w:rStyle w:val="IndexLink"/>
              </w:rPr>
              <w:t>29</w:t>
            </w:r>
          </w:hyperlink>
        </w:p>
        <w:p>
          <w:pPr>
            <w:pStyle w:val="Contents4"/>
            <w:tabs>
              <w:tab w:val="clear" w:pos="8176"/>
              <w:tab w:val="right" w:pos="9026" w:leader="dot"/>
            </w:tabs>
            <w:rPr/>
          </w:pPr>
          <w:hyperlink w:anchor="__RefHeading___Toc3519593_1280447820">
            <w:r>
              <w:rPr>
                <w:webHidden/>
                <w:rStyle w:val="IndexLink"/>
                <w:rtl w:val="true"/>
              </w:rPr>
              <w:t>مؤلّفاته القيّمة</w:t>
            </w:r>
            <w:r>
              <w:rPr>
                <w:rStyle w:val="IndexLink"/>
                <w:rtl w:val="true"/>
              </w:rPr>
              <w:tab/>
            </w:r>
            <w:r>
              <w:rPr>
                <w:rStyle w:val="IndexLink"/>
              </w:rPr>
              <w:t>31</w:t>
            </w:r>
          </w:hyperlink>
        </w:p>
        <w:p>
          <w:pPr>
            <w:pStyle w:val="Contents5"/>
            <w:tabs>
              <w:tab w:val="clear" w:pos="7892"/>
              <w:tab w:val="right" w:pos="9026" w:leader="dot"/>
            </w:tabs>
            <w:rPr/>
          </w:pPr>
          <w:hyperlink w:anchor="__RefHeading___Toc3519595_1280447820">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3519597_1280447820">
            <w:r>
              <w:rPr>
                <w:webHidden/>
                <w:rStyle w:val="IndexLink"/>
                <w:rtl w:val="true"/>
              </w:rPr>
              <w:t>«</w:t>
            </w:r>
            <w:r>
              <w:rPr>
                <w:rStyle w:val="IndexLink"/>
                <w:rtl w:val="true"/>
              </w:rPr>
              <w:t>الكتب والرسائل الفقهيّة</w:t>
            </w:r>
            <w:r>
              <w:rPr>
                <w:rStyle w:val="IndexLink"/>
                <w:rtl w:val="true"/>
              </w:rPr>
              <w:t>»</w:t>
              <w:tab/>
            </w:r>
            <w:r>
              <w:rPr>
                <w:rStyle w:val="IndexLink"/>
              </w:rPr>
              <w:t>31</w:t>
            </w:r>
          </w:hyperlink>
        </w:p>
        <w:p>
          <w:pPr>
            <w:pStyle w:val="Contents5"/>
            <w:tabs>
              <w:tab w:val="clear" w:pos="7892"/>
              <w:tab w:val="right" w:pos="9026" w:leader="dot"/>
            </w:tabs>
            <w:rPr/>
          </w:pPr>
          <w:hyperlink w:anchor="__RefHeading___Toc3519599_1280447820">
            <w:r>
              <w:rPr>
                <w:webHidden/>
                <w:rStyle w:val="IndexLink"/>
                <w:rtl w:val="true"/>
              </w:rPr>
              <w:t>«</w:t>
            </w:r>
            <w:r>
              <w:rPr>
                <w:rStyle w:val="IndexLink"/>
                <w:rtl w:val="true"/>
              </w:rPr>
              <w:t>الكتب والرسائل الحديثيّة</w:t>
            </w:r>
            <w:r>
              <w:rPr>
                <w:rStyle w:val="IndexLink"/>
                <w:rtl w:val="true"/>
              </w:rPr>
              <w:t>»</w:t>
              <w:tab/>
            </w:r>
            <w:r>
              <w:rPr>
                <w:rStyle w:val="IndexLink"/>
              </w:rPr>
              <w:t>39</w:t>
            </w:r>
          </w:hyperlink>
        </w:p>
        <w:p>
          <w:pPr>
            <w:pStyle w:val="Contents5"/>
            <w:tabs>
              <w:tab w:val="clear" w:pos="7892"/>
              <w:tab w:val="right" w:pos="9026" w:leader="dot"/>
            </w:tabs>
            <w:rPr/>
          </w:pPr>
          <w:hyperlink w:anchor="__RefHeading___Toc3519601_1280447820">
            <w:r>
              <w:rPr>
                <w:webHidden/>
                <w:rStyle w:val="IndexLink"/>
                <w:rtl w:val="true"/>
              </w:rPr>
              <w:t>«</w:t>
            </w:r>
            <w:r>
              <w:rPr>
                <w:rStyle w:val="IndexLink"/>
                <w:rtl w:val="true"/>
              </w:rPr>
              <w:t>الكتب والرسائل الأصوليّة</w:t>
            </w:r>
            <w:r>
              <w:rPr>
                <w:rStyle w:val="IndexLink"/>
                <w:rtl w:val="true"/>
              </w:rPr>
              <w:t>»</w:t>
              <w:tab/>
            </w:r>
            <w:r>
              <w:rPr>
                <w:rStyle w:val="IndexLink"/>
              </w:rPr>
              <w:t>40</w:t>
            </w:r>
          </w:hyperlink>
        </w:p>
        <w:p>
          <w:pPr>
            <w:pStyle w:val="Contents5"/>
            <w:tabs>
              <w:tab w:val="clear" w:pos="7892"/>
              <w:tab w:val="right" w:pos="9026" w:leader="dot"/>
            </w:tabs>
            <w:rPr/>
          </w:pPr>
          <w:hyperlink w:anchor="__RefHeading___Toc3519603_1280447820">
            <w:r>
              <w:rPr>
                <w:webHidden/>
                <w:rStyle w:val="IndexLink"/>
                <w:rtl w:val="true"/>
              </w:rPr>
              <w:t>«</w:t>
            </w:r>
            <w:r>
              <w:rPr>
                <w:rStyle w:val="IndexLink"/>
                <w:rtl w:val="true"/>
              </w:rPr>
              <w:t>الكتب الرجاليّة</w:t>
            </w:r>
            <w:r>
              <w:rPr>
                <w:rStyle w:val="IndexLink"/>
                <w:rtl w:val="true"/>
              </w:rPr>
              <w:t>»</w:t>
              <w:tab/>
            </w:r>
            <w:r>
              <w:rPr>
                <w:rStyle w:val="IndexLink"/>
              </w:rPr>
              <w:t>40</w:t>
            </w:r>
          </w:hyperlink>
        </w:p>
        <w:p>
          <w:pPr>
            <w:pStyle w:val="Contents5"/>
            <w:tabs>
              <w:tab w:val="clear" w:pos="7892"/>
              <w:tab w:val="right" w:pos="9026" w:leader="dot"/>
            </w:tabs>
            <w:rPr/>
          </w:pPr>
          <w:hyperlink w:anchor="__RefHeading___Toc3519605_1280447820">
            <w:r>
              <w:rPr>
                <w:webHidden/>
                <w:rStyle w:val="IndexLink"/>
                <w:rtl w:val="true"/>
              </w:rPr>
              <w:t>«</w:t>
            </w:r>
            <w:r>
              <w:rPr>
                <w:rStyle w:val="IndexLink"/>
                <w:rtl w:val="true"/>
              </w:rPr>
              <w:t>الكتب والرسائل المتفرّقة</w:t>
            </w:r>
            <w:r>
              <w:rPr>
                <w:rStyle w:val="IndexLink"/>
                <w:rtl w:val="true"/>
              </w:rPr>
              <w:t>»</w:t>
              <w:tab/>
            </w:r>
            <w:r>
              <w:rPr>
                <w:rStyle w:val="IndexLink"/>
              </w:rPr>
              <w:t>41</w:t>
            </w:r>
          </w:hyperlink>
        </w:p>
        <w:p>
          <w:pPr>
            <w:pStyle w:val="Contents4"/>
            <w:tabs>
              <w:tab w:val="clear" w:pos="8176"/>
              <w:tab w:val="right" w:pos="9026" w:leader="dot"/>
            </w:tabs>
            <w:rPr/>
          </w:pPr>
          <w:hyperlink w:anchor="__RefHeading___Toc3519607_1280447820">
            <w:r>
              <w:rPr>
                <w:webHidden/>
                <w:rStyle w:val="IndexLink"/>
                <w:rtl w:val="true"/>
              </w:rPr>
              <w:t>وفاته ومرقده</w:t>
            </w:r>
            <w:r>
              <w:rPr>
                <w:rStyle w:val="IndexLink"/>
                <w:rtl w:val="true"/>
              </w:rPr>
              <w:tab/>
            </w:r>
            <w:r>
              <w:rPr>
                <w:rStyle w:val="IndexLink"/>
              </w:rPr>
              <w:t>42</w:t>
            </w:r>
          </w:hyperlink>
        </w:p>
        <w:p>
          <w:pPr>
            <w:pStyle w:val="Contents3"/>
            <w:tabs>
              <w:tab w:val="clear" w:pos="8459"/>
              <w:tab w:val="right" w:pos="9026" w:leader="dot"/>
            </w:tabs>
            <w:rPr/>
          </w:pPr>
          <w:hyperlink w:anchor="__RefHeading___Toc3519609_1280447820">
            <w:r>
              <w:rPr>
                <w:webHidden/>
                <w:rStyle w:val="IndexLink"/>
                <w:rtl w:val="true"/>
              </w:rPr>
              <w:t>بين يدي الكتاب</w:t>
            </w:r>
            <w:r>
              <w:rPr>
                <w:rStyle w:val="IndexLink"/>
                <w:rtl w:val="true"/>
              </w:rPr>
              <w:tab/>
            </w:r>
            <w:r>
              <w:rPr>
                <w:rStyle w:val="IndexLink"/>
              </w:rPr>
              <w:t>44</w:t>
            </w:r>
          </w:hyperlink>
        </w:p>
        <w:p>
          <w:pPr>
            <w:pStyle w:val="Contents4"/>
            <w:tabs>
              <w:tab w:val="clear" w:pos="8176"/>
              <w:tab w:val="right" w:pos="9026" w:leader="dot"/>
            </w:tabs>
            <w:rPr/>
          </w:pPr>
          <w:hyperlink w:anchor="__RefHeading___Toc3519611_1280447820">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3519613_1280447820">
            <w:r>
              <w:rPr>
                <w:webHidden/>
                <w:rStyle w:val="IndexLink"/>
                <w:rtl w:val="true"/>
              </w:rPr>
              <w:t>فهرست ما في الكتاب</w:t>
            </w:r>
            <w:r>
              <w:rPr>
                <w:rStyle w:val="IndexLink"/>
                <w:rtl w:val="true"/>
              </w:rPr>
              <w:tab/>
            </w:r>
            <w:r>
              <w:rPr>
                <w:rStyle w:val="IndexLink"/>
              </w:rPr>
              <w:t>45</w:t>
            </w:r>
          </w:hyperlink>
        </w:p>
        <w:p>
          <w:pPr>
            <w:pStyle w:val="Contents4"/>
            <w:tabs>
              <w:tab w:val="clear" w:pos="8176"/>
              <w:tab w:val="right" w:pos="9026" w:leader="dot"/>
            </w:tabs>
            <w:rPr/>
          </w:pPr>
          <w:hyperlink w:anchor="__RefHeading___Toc3519615_1280447820">
            <w:r>
              <w:rPr>
                <w:webHidden/>
                <w:rStyle w:val="IndexLink"/>
                <w:rtl w:val="true"/>
              </w:rPr>
              <w:t>تأريخ تصنيف الكتاب</w:t>
            </w:r>
            <w:r>
              <w:rPr>
                <w:rStyle w:val="IndexLink"/>
                <w:rtl w:val="true"/>
              </w:rPr>
              <w:tab/>
            </w:r>
            <w:r>
              <w:rPr>
                <w:rStyle w:val="IndexLink"/>
              </w:rPr>
              <w:t>46</w:t>
            </w:r>
          </w:hyperlink>
        </w:p>
        <w:p>
          <w:pPr>
            <w:pStyle w:val="Contents3"/>
            <w:tabs>
              <w:tab w:val="clear" w:pos="8459"/>
              <w:tab w:val="right" w:pos="9026" w:leader="dot"/>
            </w:tabs>
            <w:rPr/>
          </w:pPr>
          <w:hyperlink w:anchor="__RefHeading___Toc3519617_1280447820">
            <w:r>
              <w:rPr>
                <w:webHidden/>
                <w:rStyle w:val="IndexLink"/>
                <w:rtl w:val="true"/>
              </w:rPr>
              <w:t>عملنا في التحقيق</w:t>
            </w:r>
            <w:r>
              <w:rPr>
                <w:rStyle w:val="IndexLink"/>
                <w:rtl w:val="true"/>
              </w:rPr>
              <w:tab/>
            </w:r>
            <w:r>
              <w:rPr>
                <w:rStyle w:val="IndexLink"/>
              </w:rPr>
              <w:t>47</w:t>
            </w:r>
          </w:hyperlink>
        </w:p>
        <w:p>
          <w:pPr>
            <w:pStyle w:val="Contents4"/>
            <w:tabs>
              <w:tab w:val="clear" w:pos="8176"/>
              <w:tab w:val="right" w:pos="9026" w:leader="dot"/>
            </w:tabs>
            <w:rPr/>
          </w:pPr>
          <w:hyperlink w:anchor="__RefHeading___Toc3519619_1280447820">
            <w:r>
              <w:rPr>
                <w:webHidden/>
                <w:rStyle w:val="IndexLink"/>
                <w:rtl w:val="true"/>
              </w:rPr>
              <w:t>النسخ المعتمدة</w:t>
            </w:r>
            <w:r>
              <w:rPr>
                <w:rStyle w:val="IndexLink"/>
                <w:rtl w:val="true"/>
              </w:rPr>
              <w:tab/>
            </w:r>
            <w:r>
              <w:rPr>
                <w:rStyle w:val="IndexLink"/>
              </w:rPr>
              <w:t>47</w:t>
            </w:r>
          </w:hyperlink>
        </w:p>
        <w:p>
          <w:pPr>
            <w:pStyle w:val="Contents4"/>
            <w:tabs>
              <w:tab w:val="clear" w:pos="8176"/>
              <w:tab w:val="right" w:pos="9026" w:leader="dot"/>
            </w:tabs>
            <w:rPr/>
          </w:pPr>
          <w:hyperlink w:anchor="__RefHeading___Toc3519621_1280447820">
            <w:r>
              <w:rPr>
                <w:webHidden/>
                <w:rStyle w:val="IndexLink"/>
                <w:rtl w:val="true"/>
              </w:rPr>
              <w:t>منهجنا في التحقيق</w:t>
            </w:r>
            <w:r>
              <w:rPr>
                <w:rStyle w:val="IndexLink"/>
                <w:rtl w:val="true"/>
              </w:rPr>
              <w:tab/>
            </w:r>
            <w:r>
              <w:rPr>
                <w:rStyle w:val="IndexLink"/>
              </w:rPr>
              <w:t>48</w:t>
            </w:r>
          </w:hyperlink>
        </w:p>
        <w:p>
          <w:pPr>
            <w:pStyle w:val="Contents3"/>
            <w:tabs>
              <w:tab w:val="clear" w:pos="8459"/>
              <w:tab w:val="right" w:pos="9026" w:leader="dot"/>
            </w:tabs>
            <w:rPr/>
          </w:pPr>
          <w:hyperlink w:anchor="__RefHeading___Toc3519623_1280447820">
            <w:r>
              <w:rPr>
                <w:webHidden/>
                <w:rStyle w:val="IndexLink"/>
                <w:rtl w:val="true"/>
              </w:rPr>
              <w:t>كلمة شكر وثناء</w:t>
            </w:r>
            <w:r>
              <w:rPr>
                <w:rStyle w:val="IndexLink"/>
                <w:rtl w:val="true"/>
              </w:rPr>
              <w:tab/>
            </w:r>
            <w:r>
              <w:rPr>
                <w:rStyle w:val="IndexLink"/>
              </w:rPr>
              <w:t>48</w:t>
            </w:r>
          </w:hyperlink>
        </w:p>
        <w:p>
          <w:pPr>
            <w:pStyle w:val="Contents2"/>
            <w:tabs>
              <w:tab w:val="clear" w:pos="8743"/>
              <w:tab w:val="right" w:pos="9026" w:leader="dot"/>
            </w:tabs>
            <w:rPr/>
          </w:pPr>
          <w:hyperlink w:anchor="__RefHeading___Toc3519625_1280447820">
            <w:r>
              <w:rPr>
                <w:webHidden/>
                <w:rStyle w:val="IndexLink"/>
                <w:rtl w:val="true"/>
              </w:rPr>
              <w:t>نماذج من النسخ المعتمدة</w:t>
            </w:r>
            <w:r>
              <w:rPr>
                <w:rStyle w:val="IndexLink"/>
                <w:rtl w:val="true"/>
              </w:rPr>
              <w:tab/>
            </w:r>
            <w:r>
              <w:rPr>
                <w:rStyle w:val="IndexLink"/>
              </w:rPr>
              <w:t>50</w:t>
            </w:r>
          </w:hyperlink>
        </w:p>
        <w:p>
          <w:pPr>
            <w:pStyle w:val="Contents2"/>
            <w:tabs>
              <w:tab w:val="clear" w:pos="8743"/>
              <w:tab w:val="right" w:pos="9026" w:leader="dot"/>
            </w:tabs>
            <w:rPr/>
          </w:pPr>
          <w:hyperlink w:anchor="__RefHeading___Toc3519627_1280447820">
            <w:r>
              <w:rPr>
                <w:webHidden/>
                <w:rStyle w:val="IndexLink"/>
                <w:rtl w:val="true"/>
              </w:rPr>
              <w:t>المقدّمة في بيان ماهيّتهما</w:t>
            </w:r>
            <w:r>
              <w:rPr>
                <w:rStyle w:val="IndexLink"/>
                <w:rtl w:val="true"/>
              </w:rPr>
              <w:tab/>
            </w:r>
            <w:r>
              <w:rPr>
                <w:rStyle w:val="IndexLink"/>
              </w:rPr>
              <w:t>62</w:t>
            </w:r>
          </w:hyperlink>
        </w:p>
        <w:p>
          <w:pPr>
            <w:pStyle w:val="Contents3"/>
            <w:tabs>
              <w:tab w:val="clear" w:pos="8459"/>
              <w:tab w:val="right" w:pos="9026" w:leader="dot"/>
            </w:tabs>
            <w:rPr/>
          </w:pPr>
          <w:hyperlink w:anchor="__RefHeading___Toc3519629_1280447820">
            <w:r>
              <w:rPr>
                <w:webHidden/>
                <w:rStyle w:val="IndexLink"/>
                <w:rtl w:val="true"/>
              </w:rPr>
              <w:t>في بيان ماهيّة الحقيقة</w:t>
            </w:r>
            <w:r>
              <w:rPr>
                <w:rStyle w:val="IndexLink"/>
                <w:rtl w:val="true"/>
              </w:rPr>
              <w:tab/>
            </w:r>
            <w:r>
              <w:rPr>
                <w:rStyle w:val="IndexLink"/>
              </w:rPr>
              <w:t>62</w:t>
            </w:r>
          </w:hyperlink>
        </w:p>
        <w:p>
          <w:pPr>
            <w:pStyle w:val="Contents3"/>
            <w:tabs>
              <w:tab w:val="clear" w:pos="8459"/>
              <w:tab w:val="right" w:pos="9026" w:leader="dot"/>
            </w:tabs>
            <w:rPr/>
          </w:pPr>
          <w:hyperlink w:anchor="__RefHeading___Toc3519631_1280447820">
            <w:r>
              <w:rPr>
                <w:webHidden/>
                <w:rStyle w:val="IndexLink"/>
                <w:rtl w:val="true"/>
              </w:rPr>
              <w:t>عقد وحلّ</w:t>
            </w:r>
            <w:r>
              <w:rPr>
                <w:rStyle w:val="IndexLink"/>
                <w:rtl w:val="true"/>
              </w:rPr>
              <w:tab/>
            </w:r>
            <w:r>
              <w:rPr>
                <w:rStyle w:val="IndexLink"/>
              </w:rPr>
              <w:t>63</w:t>
            </w:r>
          </w:hyperlink>
        </w:p>
        <w:p>
          <w:pPr>
            <w:pStyle w:val="Contents3"/>
            <w:tabs>
              <w:tab w:val="clear" w:pos="8459"/>
              <w:tab w:val="right" w:pos="9026" w:leader="dot"/>
            </w:tabs>
            <w:rPr/>
          </w:pPr>
          <w:hyperlink w:anchor="__RefHeading___Toc3519633_1280447820">
            <w:r>
              <w:rPr>
                <w:webHidden/>
                <w:rStyle w:val="IndexLink"/>
                <w:rtl w:val="true"/>
              </w:rPr>
              <w:t>في بيان ماهيّة المجاز</w:t>
            </w:r>
            <w:r>
              <w:rPr>
                <w:rStyle w:val="IndexLink"/>
                <w:rtl w:val="true"/>
              </w:rPr>
              <w:tab/>
            </w:r>
            <w:r>
              <w:rPr>
                <w:rStyle w:val="IndexLink"/>
              </w:rPr>
              <w:t>65</w:t>
            </w:r>
          </w:hyperlink>
        </w:p>
        <w:p>
          <w:pPr>
            <w:pStyle w:val="Contents3"/>
            <w:tabs>
              <w:tab w:val="clear" w:pos="8459"/>
              <w:tab w:val="right" w:pos="9026" w:leader="dot"/>
            </w:tabs>
            <w:rPr/>
          </w:pPr>
          <w:hyperlink w:anchor="__RefHeading___Toc3519635_1280447820">
            <w:r>
              <w:rPr>
                <w:webHidden/>
                <w:rStyle w:val="IndexLink"/>
                <w:rtl w:val="true"/>
              </w:rPr>
              <w:t>في تحقيق معنى الحقيقة والمجاز بحسب الاصطلاح</w:t>
            </w:r>
            <w:r>
              <w:rPr>
                <w:rStyle w:val="IndexLink"/>
                <w:rtl w:val="true"/>
              </w:rPr>
              <w:tab/>
            </w:r>
            <w:r>
              <w:rPr>
                <w:rStyle w:val="IndexLink"/>
              </w:rPr>
              <w:t>68</w:t>
            </w:r>
          </w:hyperlink>
        </w:p>
        <w:p>
          <w:pPr>
            <w:pStyle w:val="Contents3"/>
            <w:tabs>
              <w:tab w:val="clear" w:pos="8459"/>
              <w:tab w:val="right" w:pos="9026" w:leader="dot"/>
            </w:tabs>
            <w:rPr/>
          </w:pPr>
          <w:hyperlink w:anchor="__RefHeading___Toc3519637_1280447820">
            <w:r>
              <w:rPr>
                <w:webHidden/>
                <w:rStyle w:val="IndexLink"/>
                <w:rtl w:val="true"/>
              </w:rPr>
              <w:t xml:space="preserve">قيد </w:t>
            </w:r>
            <w:r>
              <w:rPr>
                <w:rStyle w:val="IndexLink"/>
                <w:rtl w:val="true"/>
              </w:rPr>
              <w:t>«</w:t>
            </w:r>
            <w:r>
              <w:rPr>
                <w:rStyle w:val="IndexLink"/>
                <w:rtl w:val="true"/>
              </w:rPr>
              <w:t>اصطلاح التخاطب</w:t>
            </w:r>
            <w:r>
              <w:rPr>
                <w:rStyle w:val="IndexLink"/>
                <w:rtl w:val="true"/>
              </w:rPr>
              <w:t xml:space="preserve">» </w:t>
            </w:r>
            <w:r>
              <w:rPr>
                <w:rStyle w:val="IndexLink"/>
                <w:rtl w:val="true"/>
              </w:rPr>
              <w:t>لا يكفي لدفع الانتقاض</w:t>
            </w:r>
            <w:r>
              <w:rPr>
                <w:rStyle w:val="IndexLink"/>
                <w:rtl w:val="true"/>
              </w:rPr>
              <w:tab/>
            </w:r>
            <w:r>
              <w:rPr>
                <w:rStyle w:val="IndexLink"/>
              </w:rPr>
              <w:t>69</w:t>
            </w:r>
          </w:hyperlink>
        </w:p>
        <w:p>
          <w:pPr>
            <w:pStyle w:val="Contents3"/>
            <w:tabs>
              <w:tab w:val="clear" w:pos="8459"/>
              <w:tab w:val="right" w:pos="9026" w:leader="dot"/>
            </w:tabs>
            <w:rPr/>
          </w:pPr>
          <w:hyperlink w:anchor="__RefHeading___Toc3519639_1280447820">
            <w:r>
              <w:rPr>
                <w:webHidden/>
                <w:rStyle w:val="IndexLink"/>
                <w:rtl w:val="true"/>
              </w:rPr>
              <w:t>في اللفظ المشترك</w:t>
            </w:r>
            <w:r>
              <w:rPr>
                <w:rStyle w:val="IndexLink"/>
                <w:rtl w:val="true"/>
              </w:rPr>
              <w:tab/>
            </w:r>
            <w:r>
              <w:rPr>
                <w:rStyle w:val="IndexLink"/>
              </w:rPr>
              <w:t>69</w:t>
            </w:r>
          </w:hyperlink>
        </w:p>
        <w:p>
          <w:pPr>
            <w:pStyle w:val="Contents3"/>
            <w:tabs>
              <w:tab w:val="clear" w:pos="8459"/>
              <w:tab w:val="right" w:pos="9026" w:leader="dot"/>
            </w:tabs>
            <w:rPr/>
          </w:pPr>
          <w:hyperlink w:anchor="__RefHeading___Toc3519641_1280447820">
            <w:r>
              <w:rPr>
                <w:webHidden/>
                <w:rStyle w:val="IndexLink"/>
                <w:rtl w:val="true"/>
              </w:rPr>
              <w:t>في النقل التعيّنيّ</w:t>
            </w:r>
            <w:r>
              <w:rPr>
                <w:rStyle w:val="IndexLink"/>
                <w:rtl w:val="true"/>
              </w:rPr>
              <w:tab/>
            </w:r>
            <w:r>
              <w:rPr>
                <w:rStyle w:val="IndexLink"/>
              </w:rPr>
              <w:t>70</w:t>
            </w:r>
          </w:hyperlink>
        </w:p>
        <w:p>
          <w:pPr>
            <w:pStyle w:val="Contents3"/>
            <w:tabs>
              <w:tab w:val="clear" w:pos="8459"/>
              <w:tab w:val="right" w:pos="9026" w:leader="dot"/>
            </w:tabs>
            <w:rPr/>
          </w:pPr>
          <w:hyperlink w:anchor="__RefHeading___Toc3519643_1280447820">
            <w:r>
              <w:rPr>
                <w:webHidden/>
                <w:rStyle w:val="IndexLink"/>
                <w:rtl w:val="true"/>
              </w:rPr>
              <w:t>في النقل التعيينيّ</w:t>
            </w:r>
            <w:r>
              <w:rPr>
                <w:rStyle w:val="IndexLink"/>
                <w:rtl w:val="true"/>
              </w:rPr>
              <w:tab/>
            </w:r>
            <w:r>
              <w:rPr>
                <w:rStyle w:val="IndexLink"/>
              </w:rPr>
              <w:t>70</w:t>
            </w:r>
          </w:hyperlink>
        </w:p>
        <w:p>
          <w:pPr>
            <w:pStyle w:val="Contents3"/>
            <w:tabs>
              <w:tab w:val="clear" w:pos="8459"/>
              <w:tab w:val="right" w:pos="9026" w:leader="dot"/>
            </w:tabs>
            <w:rPr/>
          </w:pPr>
          <w:hyperlink w:anchor="__RefHeading___Toc3519645_1280447820">
            <w:r>
              <w:rPr>
                <w:webHidden/>
                <w:rStyle w:val="IndexLink"/>
                <w:rtl w:val="true"/>
              </w:rPr>
              <w:t xml:space="preserve">قيد </w:t>
            </w:r>
            <w:r>
              <w:rPr>
                <w:rStyle w:val="IndexLink"/>
                <w:rtl w:val="true"/>
              </w:rPr>
              <w:t>«</w:t>
            </w:r>
            <w:r>
              <w:rPr>
                <w:rStyle w:val="IndexLink"/>
                <w:rtl w:val="true"/>
              </w:rPr>
              <w:t>الحيثيّة</w:t>
            </w:r>
            <w:r>
              <w:rPr>
                <w:rStyle w:val="IndexLink"/>
                <w:rtl w:val="true"/>
              </w:rPr>
              <w:t xml:space="preserve">» </w:t>
            </w:r>
            <w:r>
              <w:rPr>
                <w:rStyle w:val="IndexLink"/>
                <w:rtl w:val="true"/>
              </w:rPr>
              <w:t>لا يدفع الانتقاض</w:t>
            </w:r>
            <w:r>
              <w:rPr>
                <w:rStyle w:val="IndexLink"/>
                <w:rtl w:val="true"/>
              </w:rPr>
              <w:tab/>
            </w:r>
            <w:r>
              <w:rPr>
                <w:rStyle w:val="IndexLink"/>
              </w:rPr>
              <w:t>72</w:t>
            </w:r>
          </w:hyperlink>
        </w:p>
        <w:p>
          <w:pPr>
            <w:pStyle w:val="Contents3"/>
            <w:tabs>
              <w:tab w:val="clear" w:pos="8459"/>
              <w:tab w:val="right" w:pos="9026" w:leader="dot"/>
            </w:tabs>
            <w:rPr/>
          </w:pPr>
          <w:hyperlink w:anchor="__RefHeading___Toc3519647_1280447820">
            <w:r>
              <w:rPr>
                <w:webHidden/>
                <w:rStyle w:val="IndexLink"/>
                <w:rtl w:val="true"/>
              </w:rPr>
              <w:t>حدّ آخر للحقيقة والمجاز</w:t>
            </w:r>
            <w:r>
              <w:rPr>
                <w:rStyle w:val="IndexLink"/>
                <w:rtl w:val="true"/>
              </w:rPr>
              <w:tab/>
            </w:r>
            <w:r>
              <w:rPr>
                <w:rStyle w:val="IndexLink"/>
              </w:rPr>
              <w:t>75</w:t>
            </w:r>
          </w:hyperlink>
        </w:p>
        <w:p>
          <w:pPr>
            <w:pStyle w:val="Contents3"/>
            <w:tabs>
              <w:tab w:val="clear" w:pos="8459"/>
              <w:tab w:val="right" w:pos="9026" w:leader="dot"/>
            </w:tabs>
            <w:rPr/>
          </w:pPr>
          <w:hyperlink w:anchor="__RefHeading___Toc3519649_1280447820">
            <w:r>
              <w:rPr>
                <w:webHidden/>
                <w:rStyle w:val="IndexLink"/>
                <w:rtl w:val="true"/>
              </w:rPr>
              <w:t xml:space="preserve">أخذ </w:t>
            </w:r>
            <w:r>
              <w:rPr>
                <w:rStyle w:val="IndexLink"/>
                <w:rtl w:val="true"/>
              </w:rPr>
              <w:t>«</w:t>
            </w:r>
            <w:r>
              <w:rPr>
                <w:rStyle w:val="IndexLink"/>
                <w:rtl w:val="true"/>
              </w:rPr>
              <w:t>اللفظ</w:t>
            </w:r>
            <w:r>
              <w:rPr>
                <w:rStyle w:val="IndexLink"/>
                <w:rtl w:val="true"/>
              </w:rPr>
              <w:t xml:space="preserve">» </w:t>
            </w:r>
            <w:r>
              <w:rPr>
                <w:rStyle w:val="IndexLink"/>
                <w:rtl w:val="true"/>
              </w:rPr>
              <w:t xml:space="preserve">في حدّ الحقيقة والمجاز أولى من أخذ </w:t>
            </w:r>
            <w:r>
              <w:rPr>
                <w:rStyle w:val="IndexLink"/>
                <w:rtl w:val="true"/>
              </w:rPr>
              <w:t>«</w:t>
            </w:r>
            <w:r>
              <w:rPr>
                <w:rStyle w:val="IndexLink"/>
                <w:rtl w:val="true"/>
              </w:rPr>
              <w:t>الكلمة</w:t>
            </w:r>
            <w:r>
              <w:rPr>
                <w:rStyle w:val="IndexLink"/>
                <w:rtl w:val="true"/>
              </w:rPr>
              <w:t>»</w:t>
              <w:tab/>
            </w:r>
            <w:r>
              <w:rPr>
                <w:rStyle w:val="IndexLink"/>
              </w:rPr>
              <w:t>81</w:t>
            </w:r>
          </w:hyperlink>
        </w:p>
        <w:p>
          <w:pPr>
            <w:pStyle w:val="Contents3"/>
            <w:tabs>
              <w:tab w:val="clear" w:pos="8459"/>
              <w:tab w:val="right" w:pos="9026" w:leader="dot"/>
            </w:tabs>
            <w:rPr/>
          </w:pPr>
          <w:hyperlink w:anchor="__RefHeading___Toc3519651_1280447820">
            <w:r>
              <w:rPr>
                <w:webHidden/>
                <w:rStyle w:val="IndexLink"/>
                <w:rtl w:val="true"/>
              </w:rPr>
              <w:t>في بيان تحقّق الوضع في المركّبات</w:t>
            </w:r>
            <w:r>
              <w:rPr>
                <w:rStyle w:val="IndexLink"/>
                <w:rtl w:val="true"/>
              </w:rPr>
              <w:tab/>
            </w:r>
            <w:r>
              <w:rPr>
                <w:rStyle w:val="IndexLink"/>
              </w:rPr>
              <w:t>81</w:t>
            </w:r>
          </w:hyperlink>
        </w:p>
        <w:p>
          <w:pPr>
            <w:pStyle w:val="Contents3"/>
            <w:tabs>
              <w:tab w:val="clear" w:pos="8459"/>
              <w:tab w:val="right" w:pos="9026" w:leader="dot"/>
            </w:tabs>
            <w:rPr/>
          </w:pPr>
          <w:hyperlink w:anchor="__RefHeading___Toc3519653_1280447820">
            <w:r>
              <w:rPr>
                <w:webHidden/>
                <w:rStyle w:val="IndexLink"/>
                <w:rtl w:val="true"/>
              </w:rPr>
              <w:t xml:space="preserve">في أنّ </w:t>
            </w:r>
            <w:r>
              <w:rPr>
                <w:rStyle w:val="IndexLink"/>
                <w:rtl w:val="true"/>
              </w:rPr>
              <w:t>«</w:t>
            </w:r>
            <w:r>
              <w:rPr>
                <w:rStyle w:val="IndexLink"/>
                <w:rtl w:val="true"/>
              </w:rPr>
              <w:t>الوضع</w:t>
            </w:r>
            <w:r>
              <w:rPr>
                <w:rStyle w:val="IndexLink"/>
                <w:rtl w:val="true"/>
              </w:rPr>
              <w:t xml:space="preserve">» </w:t>
            </w:r>
            <w:r>
              <w:rPr>
                <w:rStyle w:val="IndexLink"/>
                <w:rtl w:val="true"/>
              </w:rPr>
              <w:t>المأخوذ في حدّي الحقيقة والمجاز هل هو شخصيّ أو نوعيّ أو أعمّ منهما؟</w:t>
            </w:r>
            <w:r>
              <w:rPr>
                <w:rStyle w:val="IndexLink"/>
                <w:rtl w:val="true"/>
              </w:rPr>
              <w:tab/>
            </w:r>
            <w:r>
              <w:rPr>
                <w:rStyle w:val="IndexLink"/>
              </w:rPr>
              <w:t>84</w:t>
            </w:r>
          </w:hyperlink>
        </w:p>
        <w:p>
          <w:pPr>
            <w:pStyle w:val="Contents3"/>
            <w:tabs>
              <w:tab w:val="clear" w:pos="8459"/>
              <w:tab w:val="right" w:pos="9026" w:leader="dot"/>
            </w:tabs>
            <w:rPr/>
          </w:pPr>
          <w:hyperlink w:anchor="__RefHeading___Toc3519655_1280447820">
            <w:r>
              <w:rPr>
                <w:webHidden/>
                <w:rStyle w:val="IndexLink"/>
                <w:rtl w:val="true"/>
              </w:rPr>
              <w:t>كشفُ إجمال لتوضيح مقال</w:t>
            </w:r>
            <w:r>
              <w:rPr>
                <w:rStyle w:val="IndexLink"/>
                <w:rtl w:val="true"/>
              </w:rPr>
              <w:tab/>
            </w:r>
            <w:r>
              <w:rPr>
                <w:rStyle w:val="IndexLink"/>
              </w:rPr>
              <w:t>87</w:t>
            </w:r>
          </w:hyperlink>
        </w:p>
        <w:p>
          <w:pPr>
            <w:pStyle w:val="Contents3"/>
            <w:tabs>
              <w:tab w:val="clear" w:pos="8459"/>
              <w:tab w:val="right" w:pos="9026" w:leader="dot"/>
            </w:tabs>
            <w:rPr/>
          </w:pPr>
          <w:hyperlink w:anchor="__RefHeading___Toc3519657_1280447820">
            <w:r>
              <w:rPr>
                <w:webHidden/>
                <w:rStyle w:val="IndexLink"/>
                <w:rtl w:val="true"/>
              </w:rPr>
              <w:t>تحقيق في الوضع النوعيّ</w:t>
            </w:r>
            <w:r>
              <w:rPr>
                <w:rStyle w:val="IndexLink"/>
                <w:rtl w:val="true"/>
              </w:rPr>
              <w:tab/>
            </w:r>
            <w:r>
              <w:rPr>
                <w:rStyle w:val="IndexLink"/>
              </w:rPr>
              <w:t>88</w:t>
            </w:r>
          </w:hyperlink>
        </w:p>
        <w:p>
          <w:pPr>
            <w:pStyle w:val="Contents4"/>
            <w:tabs>
              <w:tab w:val="clear" w:pos="8176"/>
              <w:tab w:val="right" w:pos="9026" w:leader="dot"/>
            </w:tabs>
            <w:rPr/>
          </w:pPr>
          <w:hyperlink w:anchor="__RefHeading___Toc3519659_128044782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3519661_1280447820">
            <w:r>
              <w:rPr>
                <w:webHidden/>
                <w:rStyle w:val="IndexLink"/>
                <w:rtl w:val="true"/>
              </w:rPr>
              <w:t>المقام الأوّل</w:t>
            </w:r>
            <w:r>
              <w:rPr>
                <w:rStyle w:val="IndexLink"/>
                <w:rtl w:val="true"/>
              </w:rPr>
              <w:tab/>
            </w:r>
            <w:r>
              <w:rPr>
                <w:rStyle w:val="IndexLink"/>
              </w:rPr>
              <w:t>88</w:t>
            </w:r>
          </w:hyperlink>
        </w:p>
        <w:p>
          <w:pPr>
            <w:pStyle w:val="Contents4"/>
            <w:tabs>
              <w:tab w:val="clear" w:pos="8176"/>
              <w:tab w:val="right" w:pos="9026" w:leader="dot"/>
            </w:tabs>
            <w:rPr/>
          </w:pPr>
          <w:hyperlink w:anchor="__RefHeading___Toc3519663_1280447820">
            <w:r>
              <w:rPr>
                <w:webHidden/>
                <w:rStyle w:val="IndexLink"/>
                <w:rtl w:val="true"/>
              </w:rPr>
              <w:t>المقام الثاني</w:t>
            </w:r>
            <w:r>
              <w:rPr>
                <w:rStyle w:val="IndexLink"/>
                <w:rtl w:val="true"/>
              </w:rPr>
              <w:tab/>
            </w:r>
            <w:r>
              <w:rPr>
                <w:rStyle w:val="IndexLink"/>
              </w:rPr>
              <w:t>88</w:t>
            </w:r>
          </w:hyperlink>
        </w:p>
        <w:p>
          <w:pPr>
            <w:pStyle w:val="Contents3"/>
            <w:tabs>
              <w:tab w:val="clear" w:pos="8459"/>
              <w:tab w:val="right" w:pos="9026" w:leader="dot"/>
            </w:tabs>
            <w:rPr/>
          </w:pPr>
          <w:hyperlink w:anchor="__RefHeading___Toc3519665_1280447820">
            <w:r>
              <w:rPr>
                <w:webHidden/>
                <w:rStyle w:val="IndexLink"/>
                <w:rtl w:val="true"/>
              </w:rPr>
              <w:t>معنى آخر للوضع النوعيّ</w:t>
            </w:r>
            <w:r>
              <w:rPr>
                <w:rStyle w:val="IndexLink"/>
                <w:rtl w:val="true"/>
              </w:rPr>
              <w:tab/>
            </w:r>
            <w:r>
              <w:rPr>
                <w:rStyle w:val="IndexLink"/>
              </w:rPr>
              <w:t>90</w:t>
            </w:r>
          </w:hyperlink>
        </w:p>
        <w:p>
          <w:pPr>
            <w:pStyle w:val="Contents3"/>
            <w:tabs>
              <w:tab w:val="clear" w:pos="8459"/>
              <w:tab w:val="right" w:pos="9026" w:leader="dot"/>
            </w:tabs>
            <w:rPr/>
          </w:pPr>
          <w:hyperlink w:anchor="__RefHeading___Toc3519667_1280447820">
            <w:r>
              <w:rPr>
                <w:webHidden/>
                <w:rStyle w:val="IndexLink"/>
                <w:rtl w:val="true"/>
              </w:rPr>
              <w:t>الفرق بين هذين القسمين للوضع النوعيّ</w:t>
            </w:r>
            <w:r>
              <w:rPr>
                <w:rStyle w:val="IndexLink"/>
                <w:rtl w:val="true"/>
              </w:rPr>
              <w:tab/>
            </w:r>
            <w:r>
              <w:rPr>
                <w:rStyle w:val="IndexLink"/>
              </w:rPr>
              <w:t>91</w:t>
            </w:r>
          </w:hyperlink>
        </w:p>
        <w:p>
          <w:pPr>
            <w:pStyle w:val="Contents3"/>
            <w:tabs>
              <w:tab w:val="clear" w:pos="8459"/>
              <w:tab w:val="right" w:pos="9026" w:leader="dot"/>
            </w:tabs>
            <w:rPr/>
          </w:pPr>
          <w:hyperlink w:anchor="__RefHeading___Toc3519669_1280447820">
            <w:r>
              <w:rPr>
                <w:webHidden/>
                <w:rStyle w:val="IndexLink"/>
                <w:rtl w:val="true"/>
              </w:rPr>
              <w:t>الوضع المأخوذ في الحدّين أعمّ من الشخصي والنوعيّ</w:t>
            </w:r>
            <w:r>
              <w:rPr>
                <w:rStyle w:val="IndexLink"/>
                <w:rtl w:val="true"/>
              </w:rPr>
              <w:tab/>
            </w:r>
            <w:r>
              <w:rPr>
                <w:rStyle w:val="IndexLink"/>
              </w:rPr>
              <w:t>93</w:t>
            </w:r>
          </w:hyperlink>
        </w:p>
        <w:p>
          <w:pPr>
            <w:pStyle w:val="Contents3"/>
            <w:tabs>
              <w:tab w:val="clear" w:pos="8459"/>
              <w:tab w:val="right" w:pos="9026" w:leader="dot"/>
            </w:tabs>
            <w:rPr/>
          </w:pPr>
          <w:hyperlink w:anchor="__RefHeading___Toc3519671_1280447820">
            <w:r>
              <w:rPr>
                <w:webHidden/>
                <w:rStyle w:val="IndexLink"/>
                <w:rtl w:val="true"/>
              </w:rPr>
              <w:t>شبهة في أنّ الألفاظ المشتركة عند استعمالها في معانيها يلزم أن يكون مجازًا لا حقيقة، مع الجواب عنها</w:t>
            </w:r>
            <w:r>
              <w:rPr>
                <w:rStyle w:val="IndexLink"/>
                <w:rtl w:val="true"/>
              </w:rPr>
              <w:tab/>
            </w:r>
            <w:r>
              <w:rPr>
                <w:rStyle w:val="IndexLink"/>
              </w:rPr>
              <w:t>94</w:t>
            </w:r>
          </w:hyperlink>
        </w:p>
        <w:p>
          <w:pPr>
            <w:pStyle w:val="Contents3"/>
            <w:tabs>
              <w:tab w:val="clear" w:pos="8459"/>
              <w:tab w:val="right" w:pos="9026" w:leader="dot"/>
            </w:tabs>
            <w:rPr/>
          </w:pPr>
          <w:hyperlink w:anchor="__RefHeading___Toc3519673_1280447820">
            <w:r>
              <w:rPr>
                <w:webHidden/>
                <w:rStyle w:val="IndexLink"/>
                <w:rtl w:val="true"/>
              </w:rPr>
              <w:t>إشكالات وتفصّيات</w:t>
            </w:r>
            <w:r>
              <w:rPr>
                <w:rStyle w:val="IndexLink"/>
                <w:rtl w:val="true"/>
              </w:rPr>
              <w:tab/>
            </w:r>
            <w:r>
              <w:rPr>
                <w:rStyle w:val="IndexLink"/>
              </w:rPr>
              <w:t>94</w:t>
            </w:r>
          </w:hyperlink>
        </w:p>
        <w:p>
          <w:pPr>
            <w:pStyle w:val="Contents4"/>
            <w:tabs>
              <w:tab w:val="clear" w:pos="8176"/>
              <w:tab w:val="right" w:pos="9026" w:leader="dot"/>
            </w:tabs>
            <w:rPr/>
          </w:pPr>
          <w:hyperlink w:anchor="__RefHeading___Toc3519675_1280447820">
            <w:r>
              <w:rPr>
                <w:webHidden/>
                <w:rStyle w:val="IndexLink"/>
                <w:rtl w:val="true"/>
              </w:rPr>
              <w:t>الإشكال الأوّل</w:t>
            </w:r>
            <w:r>
              <w:rPr>
                <w:rStyle w:val="IndexLink"/>
                <w:rtl w:val="true"/>
              </w:rPr>
              <w:tab/>
            </w:r>
            <w:r>
              <w:rPr>
                <w:rStyle w:val="IndexLink"/>
              </w:rPr>
              <w:t>94</w:t>
            </w:r>
          </w:hyperlink>
        </w:p>
        <w:p>
          <w:pPr>
            <w:pStyle w:val="Contents5"/>
            <w:tabs>
              <w:tab w:val="clear" w:pos="7892"/>
              <w:tab w:val="right" w:pos="9026" w:leader="dot"/>
            </w:tabs>
            <w:rPr/>
          </w:pPr>
          <w:hyperlink w:anchor="__RefHeading___Toc3519677_1280447820">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3519679_1280447820">
            <w:r>
              <w:rPr>
                <w:webHidden/>
                <w:rStyle w:val="IndexLink"/>
                <w:rtl w:val="true"/>
              </w:rPr>
              <w:t>الجواب عن الإشكال الأوّل</w:t>
            </w:r>
            <w:r>
              <w:rPr>
                <w:rStyle w:val="IndexLink"/>
                <w:rtl w:val="true"/>
              </w:rPr>
              <w:tab/>
            </w:r>
            <w:r>
              <w:rPr>
                <w:rStyle w:val="IndexLink"/>
              </w:rPr>
              <w:t>95</w:t>
            </w:r>
          </w:hyperlink>
        </w:p>
        <w:p>
          <w:pPr>
            <w:pStyle w:val="Contents5"/>
            <w:tabs>
              <w:tab w:val="clear" w:pos="7892"/>
              <w:tab w:val="right" w:pos="9026" w:leader="dot"/>
            </w:tabs>
            <w:rPr/>
          </w:pPr>
          <w:hyperlink w:anchor="__RefHeading___Toc3519681_1280447820">
            <w:r>
              <w:rPr>
                <w:webHidden/>
                <w:rStyle w:val="IndexLink"/>
                <w:rtl w:val="true"/>
              </w:rPr>
              <w:t>توضيح وتكميل</w:t>
            </w:r>
            <w:r>
              <w:rPr>
                <w:rStyle w:val="IndexLink"/>
                <w:rtl w:val="true"/>
              </w:rPr>
              <w:tab/>
            </w:r>
            <w:r>
              <w:rPr>
                <w:rStyle w:val="IndexLink"/>
              </w:rPr>
              <w:t>97</w:t>
            </w:r>
          </w:hyperlink>
        </w:p>
        <w:p>
          <w:pPr>
            <w:pStyle w:val="Contents5"/>
            <w:tabs>
              <w:tab w:val="clear" w:pos="7892"/>
              <w:tab w:val="right" w:pos="9026" w:leader="dot"/>
            </w:tabs>
            <w:rPr/>
          </w:pPr>
          <w:hyperlink w:anchor="__RefHeading___Toc3519683_1280447820">
            <w:r>
              <w:rPr>
                <w:webHidden/>
                <w:rStyle w:val="IndexLink"/>
                <w:rtl w:val="true"/>
              </w:rPr>
              <w:t>في الفرق بين القرينة الّتي في المشترك والّتي في المجاز</w:t>
            </w:r>
            <w:r>
              <w:rPr>
                <w:rStyle w:val="IndexLink"/>
                <w:rtl w:val="true"/>
              </w:rPr>
              <w:tab/>
            </w:r>
            <w:r>
              <w:rPr>
                <w:rStyle w:val="IndexLink"/>
              </w:rPr>
              <w:t>98</w:t>
            </w:r>
          </w:hyperlink>
        </w:p>
        <w:p>
          <w:pPr>
            <w:pStyle w:val="Contents5"/>
            <w:tabs>
              <w:tab w:val="clear" w:pos="7892"/>
              <w:tab w:val="right" w:pos="9026" w:leader="dot"/>
            </w:tabs>
            <w:rPr/>
          </w:pPr>
          <w:hyperlink w:anchor="__RefHeading___Toc3519685_1280447820">
            <w:r>
              <w:rPr>
                <w:webHidden/>
                <w:rStyle w:val="IndexLink"/>
                <w:rtl w:val="true"/>
              </w:rPr>
              <w:t>اعتبار الإرادة في معنى الدلالة لا وجه له</w:t>
            </w:r>
            <w:r>
              <w:rPr>
                <w:rStyle w:val="IndexLink"/>
                <w:rtl w:val="true"/>
              </w:rPr>
              <w:tab/>
            </w:r>
            <w:r>
              <w:rPr>
                <w:rStyle w:val="IndexLink"/>
              </w:rPr>
              <w:t>98</w:t>
            </w:r>
          </w:hyperlink>
        </w:p>
        <w:p>
          <w:pPr>
            <w:pStyle w:val="Contents5"/>
            <w:tabs>
              <w:tab w:val="clear" w:pos="7892"/>
              <w:tab w:val="right" w:pos="9026" w:leader="dot"/>
            </w:tabs>
            <w:rPr/>
          </w:pPr>
          <w:hyperlink w:anchor="__RefHeading___Toc3519687_1280447820">
            <w:r>
              <w:rPr>
                <w:webHidden/>
                <w:rStyle w:val="IndexLink"/>
                <w:rtl w:val="true"/>
              </w:rPr>
              <w:t>الدلالة لم تكن مشروطة بالإرادة</w:t>
            </w:r>
            <w:r>
              <w:rPr>
                <w:rStyle w:val="IndexLink"/>
                <w:rtl w:val="true"/>
              </w:rPr>
              <w:tab/>
            </w:r>
            <w:r>
              <w:rPr>
                <w:rStyle w:val="IndexLink"/>
              </w:rPr>
              <w:t>100</w:t>
            </w:r>
          </w:hyperlink>
        </w:p>
        <w:p>
          <w:pPr>
            <w:pStyle w:val="Contents4"/>
            <w:tabs>
              <w:tab w:val="clear" w:pos="8176"/>
              <w:tab w:val="right" w:pos="9026" w:leader="dot"/>
            </w:tabs>
            <w:rPr/>
          </w:pPr>
          <w:hyperlink w:anchor="__RefHeading___Toc3519689_1280447820">
            <w:r>
              <w:rPr>
                <w:webHidden/>
                <w:rStyle w:val="IndexLink"/>
                <w:rtl w:val="true"/>
              </w:rPr>
              <w:t>الإشكال الثاني</w:t>
            </w:r>
            <w:r>
              <w:rPr>
                <w:rStyle w:val="IndexLink"/>
                <w:rtl w:val="true"/>
              </w:rPr>
              <w:tab/>
            </w:r>
            <w:r>
              <w:rPr>
                <w:rStyle w:val="IndexLink"/>
              </w:rPr>
              <w:t>101</w:t>
            </w:r>
          </w:hyperlink>
        </w:p>
        <w:p>
          <w:pPr>
            <w:pStyle w:val="Contents5"/>
            <w:tabs>
              <w:tab w:val="clear" w:pos="7892"/>
              <w:tab w:val="right" w:pos="9026" w:leader="dot"/>
            </w:tabs>
            <w:rPr/>
          </w:pPr>
          <w:hyperlink w:anchor="__RefHeading___Toc3519691_1280447820">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3519693_1280447820">
            <w:r>
              <w:rPr>
                <w:webHidden/>
                <w:rStyle w:val="IndexLink"/>
                <w:rtl w:val="true"/>
              </w:rPr>
              <w:t>الجواب عن الإشكال الثاني</w:t>
            </w:r>
            <w:r>
              <w:rPr>
                <w:rStyle w:val="IndexLink"/>
                <w:rtl w:val="true"/>
              </w:rPr>
              <w:tab/>
            </w:r>
            <w:r>
              <w:rPr>
                <w:rStyle w:val="IndexLink"/>
              </w:rPr>
              <w:t>102</w:t>
            </w:r>
          </w:hyperlink>
        </w:p>
        <w:p>
          <w:pPr>
            <w:pStyle w:val="Contents4"/>
            <w:tabs>
              <w:tab w:val="clear" w:pos="8176"/>
              <w:tab w:val="right" w:pos="9026" w:leader="dot"/>
            </w:tabs>
            <w:rPr/>
          </w:pPr>
          <w:hyperlink w:anchor="__RefHeading___Toc3519695_1280447820">
            <w:r>
              <w:rPr>
                <w:webHidden/>
                <w:rStyle w:val="IndexLink"/>
                <w:rtl w:val="true"/>
              </w:rPr>
              <w:t>الإشكال الثالث</w:t>
            </w:r>
            <w:r>
              <w:rPr>
                <w:rStyle w:val="IndexLink"/>
                <w:rtl w:val="true"/>
              </w:rPr>
              <w:tab/>
            </w:r>
            <w:r>
              <w:rPr>
                <w:rStyle w:val="IndexLink"/>
              </w:rPr>
              <w:t>103</w:t>
            </w:r>
          </w:hyperlink>
        </w:p>
        <w:p>
          <w:pPr>
            <w:pStyle w:val="Contents5"/>
            <w:tabs>
              <w:tab w:val="clear" w:pos="7892"/>
              <w:tab w:val="right" w:pos="9026" w:leader="dot"/>
            </w:tabs>
            <w:rPr/>
          </w:pPr>
          <w:hyperlink w:anchor="__RefHeading___Toc3519697_1280447820">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3519699_1280447820">
            <w:r>
              <w:rPr>
                <w:webHidden/>
                <w:rStyle w:val="IndexLink"/>
                <w:rtl w:val="true"/>
              </w:rPr>
              <w:t>الجواب عن الإشكال الثالث</w:t>
            </w:r>
            <w:r>
              <w:rPr>
                <w:rStyle w:val="IndexLink"/>
                <w:rtl w:val="true"/>
              </w:rPr>
              <w:tab/>
            </w:r>
            <w:r>
              <w:rPr>
                <w:rStyle w:val="IndexLink"/>
              </w:rPr>
              <w:t>104</w:t>
            </w:r>
          </w:hyperlink>
        </w:p>
        <w:p>
          <w:pPr>
            <w:pStyle w:val="Contents6"/>
            <w:tabs>
              <w:tab w:val="clear" w:pos="7609"/>
              <w:tab w:val="right" w:pos="9026" w:leader="dot"/>
            </w:tabs>
            <w:rPr/>
          </w:pPr>
          <w:hyperlink w:anchor="__RefHeading___Toc3519701_1280447820">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3519703_1280447820">
            <w:r>
              <w:rPr>
                <w:webHidden/>
                <w:rStyle w:val="IndexLink"/>
                <w:rtl w:val="true"/>
              </w:rPr>
              <w:t>الوجه الأوّل</w:t>
            </w:r>
            <w:r>
              <w:rPr>
                <w:rStyle w:val="IndexLink"/>
                <w:rtl w:val="true"/>
              </w:rPr>
              <w:tab/>
            </w:r>
            <w:r>
              <w:rPr>
                <w:rStyle w:val="IndexLink"/>
              </w:rPr>
              <w:t>104</w:t>
            </w:r>
          </w:hyperlink>
        </w:p>
        <w:p>
          <w:pPr>
            <w:pStyle w:val="Contents6"/>
            <w:tabs>
              <w:tab w:val="clear" w:pos="7609"/>
              <w:tab w:val="right" w:pos="9026" w:leader="dot"/>
            </w:tabs>
            <w:rPr/>
          </w:pPr>
          <w:hyperlink w:anchor="__RefHeading___Toc3519705_1280447820">
            <w:r>
              <w:rPr>
                <w:webHidden/>
                <w:rStyle w:val="IndexLink"/>
                <w:rtl w:val="true"/>
              </w:rPr>
              <w:t>الوجه الثاني</w:t>
            </w:r>
            <w:r>
              <w:rPr>
                <w:rStyle w:val="IndexLink"/>
                <w:rtl w:val="true"/>
              </w:rPr>
              <w:tab/>
            </w:r>
            <w:r>
              <w:rPr>
                <w:rStyle w:val="IndexLink"/>
              </w:rPr>
              <w:t>104</w:t>
            </w:r>
          </w:hyperlink>
        </w:p>
        <w:p>
          <w:pPr>
            <w:pStyle w:val="Contents4"/>
            <w:tabs>
              <w:tab w:val="clear" w:pos="8176"/>
              <w:tab w:val="right" w:pos="9026" w:leader="dot"/>
            </w:tabs>
            <w:rPr/>
          </w:pPr>
          <w:hyperlink w:anchor="__RefHeading___Toc3519707_1280447820">
            <w:r>
              <w:rPr>
                <w:webHidden/>
                <w:rStyle w:val="IndexLink"/>
                <w:rtl w:val="true"/>
              </w:rPr>
              <w:t>الإشكال الرابع</w:t>
            </w:r>
            <w:r>
              <w:rPr>
                <w:rStyle w:val="IndexLink"/>
                <w:rtl w:val="true"/>
              </w:rPr>
              <w:tab/>
            </w:r>
            <w:r>
              <w:rPr>
                <w:rStyle w:val="IndexLink"/>
              </w:rPr>
              <w:t>105</w:t>
            </w:r>
          </w:hyperlink>
        </w:p>
        <w:p>
          <w:pPr>
            <w:pStyle w:val="Contents5"/>
            <w:tabs>
              <w:tab w:val="clear" w:pos="7892"/>
              <w:tab w:val="right" w:pos="9026" w:leader="dot"/>
            </w:tabs>
            <w:rPr/>
          </w:pPr>
          <w:hyperlink w:anchor="__RefHeading___Toc3519709_128044782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3519711_1280447820">
            <w:r>
              <w:rPr>
                <w:webHidden/>
                <w:rStyle w:val="IndexLink"/>
                <w:rtl w:val="true"/>
              </w:rPr>
              <w:t>الجواب عن الإشكال الرابع</w:t>
            </w:r>
            <w:r>
              <w:rPr>
                <w:rStyle w:val="IndexLink"/>
                <w:rtl w:val="true"/>
              </w:rPr>
              <w:tab/>
            </w:r>
            <w:r>
              <w:rPr>
                <w:rStyle w:val="IndexLink"/>
              </w:rPr>
              <w:t>106</w:t>
            </w:r>
          </w:hyperlink>
        </w:p>
        <w:p>
          <w:pPr>
            <w:pStyle w:val="Contents5"/>
            <w:tabs>
              <w:tab w:val="clear" w:pos="7892"/>
              <w:tab w:val="right" w:pos="9026" w:leader="dot"/>
            </w:tabs>
            <w:rPr/>
          </w:pPr>
          <w:hyperlink w:anchor="__RefHeading___Toc3519713_1280447820">
            <w:r>
              <w:rPr>
                <w:webHidden/>
                <w:rStyle w:val="IndexLink"/>
                <w:rtl w:val="true"/>
              </w:rPr>
              <w:t>تعريف الاسم والحرف عند النحاة</w:t>
            </w:r>
            <w:r>
              <w:rPr>
                <w:rStyle w:val="IndexLink"/>
                <w:rtl w:val="true"/>
              </w:rPr>
              <w:tab/>
            </w:r>
            <w:r>
              <w:rPr>
                <w:rStyle w:val="IndexLink"/>
              </w:rPr>
              <w:t>107</w:t>
            </w:r>
          </w:hyperlink>
        </w:p>
        <w:p>
          <w:pPr>
            <w:pStyle w:val="Contents6"/>
            <w:tabs>
              <w:tab w:val="clear" w:pos="7609"/>
              <w:tab w:val="right" w:pos="9026" w:leader="dot"/>
            </w:tabs>
            <w:rPr/>
          </w:pPr>
          <w:hyperlink w:anchor="__RefHeading___Toc3519715_1280447820">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3519717_1280447820">
            <w:r>
              <w:rPr>
                <w:webHidden/>
                <w:rStyle w:val="IndexLink"/>
                <w:rtl w:val="true"/>
              </w:rPr>
              <w:t>القسم الأوّل</w:t>
            </w:r>
            <w:r>
              <w:rPr>
                <w:rStyle w:val="IndexLink"/>
                <w:rtl w:val="true"/>
              </w:rPr>
              <w:tab/>
            </w:r>
            <w:r>
              <w:rPr>
                <w:rStyle w:val="IndexLink"/>
              </w:rPr>
              <w:t>107</w:t>
            </w:r>
          </w:hyperlink>
        </w:p>
        <w:p>
          <w:pPr>
            <w:pStyle w:val="Contents6"/>
            <w:tabs>
              <w:tab w:val="clear" w:pos="7609"/>
              <w:tab w:val="right" w:pos="9026" w:leader="dot"/>
            </w:tabs>
            <w:rPr/>
          </w:pPr>
          <w:hyperlink w:anchor="__RefHeading___Toc3519719_1280447820">
            <w:r>
              <w:rPr>
                <w:webHidden/>
                <w:rStyle w:val="IndexLink"/>
                <w:rtl w:val="true"/>
              </w:rPr>
              <w:t>القسم الثاني</w:t>
            </w:r>
            <w:r>
              <w:rPr>
                <w:rStyle w:val="IndexLink"/>
                <w:rtl w:val="true"/>
              </w:rPr>
              <w:tab/>
            </w:r>
            <w:r>
              <w:rPr>
                <w:rStyle w:val="IndexLink"/>
              </w:rPr>
              <w:t>108</w:t>
            </w:r>
          </w:hyperlink>
        </w:p>
        <w:p>
          <w:pPr>
            <w:pStyle w:val="Contents6"/>
            <w:tabs>
              <w:tab w:val="clear" w:pos="7609"/>
              <w:tab w:val="right" w:pos="9026" w:leader="dot"/>
            </w:tabs>
            <w:rPr/>
          </w:pPr>
          <w:hyperlink w:anchor="__RefHeading___Toc3519721_1280447820">
            <w:r>
              <w:rPr>
                <w:webHidden/>
                <w:rStyle w:val="IndexLink"/>
                <w:rtl w:val="true"/>
              </w:rPr>
              <w:t>القسم الثالث</w:t>
            </w:r>
            <w:r>
              <w:rPr>
                <w:rStyle w:val="IndexLink"/>
                <w:rtl w:val="true"/>
              </w:rPr>
              <w:tab/>
            </w:r>
            <w:r>
              <w:rPr>
                <w:rStyle w:val="IndexLink"/>
              </w:rPr>
              <w:t>109</w:t>
            </w:r>
          </w:hyperlink>
        </w:p>
        <w:p>
          <w:pPr>
            <w:pStyle w:val="Contents6"/>
            <w:tabs>
              <w:tab w:val="clear" w:pos="7609"/>
              <w:tab w:val="right" w:pos="9026" w:leader="dot"/>
            </w:tabs>
            <w:rPr/>
          </w:pPr>
          <w:hyperlink w:anchor="__RefHeading___Toc3519723_1280447820">
            <w:r>
              <w:rPr>
                <w:webHidden/>
                <w:rStyle w:val="IndexLink"/>
                <w:rtl w:val="true"/>
              </w:rPr>
              <w:t>القسم الرابع</w:t>
            </w:r>
            <w:r>
              <w:rPr>
                <w:rStyle w:val="IndexLink"/>
                <w:rtl w:val="true"/>
              </w:rPr>
              <w:tab/>
            </w:r>
            <w:r>
              <w:rPr>
                <w:rStyle w:val="IndexLink"/>
              </w:rPr>
              <w:t>109</w:t>
            </w:r>
          </w:hyperlink>
        </w:p>
        <w:p>
          <w:pPr>
            <w:pStyle w:val="Contents6"/>
            <w:tabs>
              <w:tab w:val="clear" w:pos="7609"/>
              <w:tab w:val="right" w:pos="9026" w:leader="dot"/>
            </w:tabs>
            <w:rPr/>
          </w:pPr>
          <w:hyperlink w:anchor="__RefHeading___Toc3519725_1280447820">
            <w:r>
              <w:rPr>
                <w:webHidden/>
                <w:rStyle w:val="IndexLink"/>
                <w:rtl w:val="true"/>
              </w:rPr>
              <w:t>القسم الخامس</w:t>
            </w:r>
            <w:r>
              <w:rPr>
                <w:rStyle w:val="IndexLink"/>
                <w:rtl w:val="true"/>
              </w:rPr>
              <w:tab/>
            </w:r>
            <w:r>
              <w:rPr>
                <w:rStyle w:val="IndexLink"/>
              </w:rPr>
              <w:t>110</w:t>
            </w:r>
          </w:hyperlink>
        </w:p>
        <w:p>
          <w:pPr>
            <w:pStyle w:val="Contents6"/>
            <w:tabs>
              <w:tab w:val="clear" w:pos="7609"/>
              <w:tab w:val="right" w:pos="9026" w:leader="dot"/>
            </w:tabs>
            <w:rPr/>
          </w:pPr>
          <w:hyperlink w:anchor="__RefHeading___Toc3519727_1280447820">
            <w:r>
              <w:rPr>
                <w:webHidden/>
                <w:rStyle w:val="IndexLink"/>
                <w:rtl w:val="true"/>
              </w:rPr>
              <w:t>القسم السادس</w:t>
            </w:r>
            <w:r>
              <w:rPr>
                <w:rStyle w:val="IndexLink"/>
                <w:rtl w:val="true"/>
              </w:rPr>
              <w:tab/>
            </w:r>
            <w:r>
              <w:rPr>
                <w:rStyle w:val="IndexLink"/>
              </w:rPr>
              <w:t>110</w:t>
            </w:r>
          </w:hyperlink>
        </w:p>
        <w:p>
          <w:pPr>
            <w:pStyle w:val="Contents6"/>
            <w:tabs>
              <w:tab w:val="clear" w:pos="7609"/>
              <w:tab w:val="right" w:pos="9026" w:leader="dot"/>
            </w:tabs>
            <w:rPr/>
          </w:pPr>
          <w:hyperlink w:anchor="__RefHeading___Toc3519729_1280447820">
            <w:r>
              <w:rPr>
                <w:webHidden/>
                <w:rStyle w:val="IndexLink"/>
                <w:rtl w:val="true"/>
              </w:rPr>
              <w:t>القسم السابع</w:t>
            </w:r>
            <w:r>
              <w:rPr>
                <w:rStyle w:val="IndexLink"/>
                <w:rtl w:val="true"/>
              </w:rPr>
              <w:tab/>
            </w:r>
            <w:r>
              <w:rPr>
                <w:rStyle w:val="IndexLink"/>
              </w:rPr>
              <w:t>110</w:t>
            </w:r>
          </w:hyperlink>
        </w:p>
        <w:p>
          <w:pPr>
            <w:pStyle w:val="Contents6"/>
            <w:tabs>
              <w:tab w:val="clear" w:pos="7609"/>
              <w:tab w:val="right" w:pos="9026" w:leader="dot"/>
            </w:tabs>
            <w:rPr/>
          </w:pPr>
          <w:hyperlink w:anchor="__RefHeading___Toc3519731_1280447820">
            <w:r>
              <w:rPr>
                <w:webHidden/>
                <w:rStyle w:val="IndexLink"/>
                <w:rtl w:val="true"/>
              </w:rPr>
              <w:t>القسم الثامن</w:t>
            </w:r>
            <w:r>
              <w:rPr>
                <w:rStyle w:val="IndexLink"/>
                <w:rtl w:val="true"/>
              </w:rPr>
              <w:tab/>
            </w:r>
            <w:r>
              <w:rPr>
                <w:rStyle w:val="IndexLink"/>
              </w:rPr>
              <w:t>110</w:t>
            </w:r>
          </w:hyperlink>
        </w:p>
        <w:p>
          <w:pPr>
            <w:pStyle w:val="Contents5"/>
            <w:tabs>
              <w:tab w:val="clear" w:pos="7892"/>
              <w:tab w:val="right" w:pos="9026" w:leader="dot"/>
            </w:tabs>
            <w:rPr/>
          </w:pPr>
          <w:hyperlink w:anchor="__RefHeading___Toc3519733_1280447820">
            <w:r>
              <w:rPr>
                <w:webHidden/>
                <w:rStyle w:val="IndexLink"/>
                <w:rtl w:val="true"/>
              </w:rPr>
              <w:t>الجواب عن الإشكال الرابع</w:t>
            </w:r>
            <w:r>
              <w:rPr>
                <w:rStyle w:val="IndexLink"/>
                <w:rtl w:val="true"/>
              </w:rPr>
              <w:tab/>
            </w:r>
            <w:r>
              <w:rPr>
                <w:rStyle w:val="IndexLink"/>
              </w:rPr>
              <w:t>111</w:t>
            </w:r>
          </w:hyperlink>
        </w:p>
        <w:p>
          <w:pPr>
            <w:pStyle w:val="Contents6"/>
            <w:tabs>
              <w:tab w:val="clear" w:pos="7609"/>
              <w:tab w:val="right" w:pos="9026" w:leader="dot"/>
            </w:tabs>
            <w:rPr/>
          </w:pPr>
          <w:hyperlink w:anchor="__RefHeading___Toc3519735_1280447820">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3519737_1280447820">
            <w:r>
              <w:rPr>
                <w:webHidden/>
                <w:rStyle w:val="IndexLink"/>
                <w:rtl w:val="true"/>
              </w:rPr>
              <w:t>الجواب الأوّل</w:t>
            </w:r>
            <w:r>
              <w:rPr>
                <w:rStyle w:val="IndexLink"/>
                <w:rtl w:val="true"/>
              </w:rPr>
              <w:tab/>
            </w:r>
            <w:r>
              <w:rPr>
                <w:rStyle w:val="IndexLink"/>
              </w:rPr>
              <w:t>111</w:t>
            </w:r>
          </w:hyperlink>
        </w:p>
        <w:p>
          <w:pPr>
            <w:pStyle w:val="Contents6"/>
            <w:tabs>
              <w:tab w:val="clear" w:pos="7609"/>
              <w:tab w:val="right" w:pos="9026" w:leader="dot"/>
            </w:tabs>
            <w:rPr/>
          </w:pPr>
          <w:hyperlink w:anchor="__RefHeading___Toc3519739_1280447820">
            <w:r>
              <w:rPr>
                <w:webHidden/>
                <w:rStyle w:val="IndexLink"/>
                <w:rtl w:val="true"/>
              </w:rPr>
              <w:t>الجواب الثاني عن الإشكال الرابع</w:t>
            </w:r>
            <w:r>
              <w:rPr>
                <w:rStyle w:val="IndexLink"/>
                <w:rtl w:val="true"/>
              </w:rPr>
              <w:tab/>
            </w:r>
            <w:r>
              <w:rPr>
                <w:rStyle w:val="IndexLink"/>
              </w:rPr>
              <w:t>119</w:t>
            </w:r>
          </w:hyperlink>
        </w:p>
        <w:p>
          <w:pPr>
            <w:pStyle w:val="Contents6"/>
            <w:tabs>
              <w:tab w:val="clear" w:pos="7609"/>
              <w:tab w:val="right" w:pos="9026" w:leader="dot"/>
            </w:tabs>
            <w:rPr/>
          </w:pPr>
          <w:hyperlink w:anchor="__RefHeading___Toc3519741_1280447820">
            <w:r>
              <w:rPr>
                <w:webHidden/>
                <w:rStyle w:val="IndexLink"/>
                <w:rtl w:val="true"/>
              </w:rPr>
              <w:t>الجواب الثالث عن الإشكال الرابع</w:t>
            </w:r>
            <w:r>
              <w:rPr>
                <w:rStyle w:val="IndexLink"/>
                <w:rtl w:val="true"/>
              </w:rPr>
              <w:tab/>
            </w:r>
            <w:r>
              <w:rPr>
                <w:rStyle w:val="IndexLink"/>
              </w:rPr>
              <w:t>121</w:t>
            </w:r>
          </w:hyperlink>
        </w:p>
        <w:p>
          <w:pPr>
            <w:pStyle w:val="Contents6"/>
            <w:tabs>
              <w:tab w:val="clear" w:pos="7609"/>
              <w:tab w:val="right" w:pos="9026" w:leader="dot"/>
            </w:tabs>
            <w:rPr/>
          </w:pPr>
          <w:hyperlink w:anchor="__RefHeading___Toc3519743_1280447820">
            <w:r>
              <w:rPr>
                <w:webHidden/>
                <w:rStyle w:val="IndexLink"/>
                <w:rtl w:val="true"/>
              </w:rPr>
              <w:t>الجواب الرابع عن الإشكال الرابع</w:t>
            </w:r>
            <w:r>
              <w:rPr>
                <w:rStyle w:val="IndexLink"/>
                <w:rtl w:val="true"/>
              </w:rPr>
              <w:tab/>
            </w:r>
            <w:r>
              <w:rPr>
                <w:rStyle w:val="IndexLink"/>
              </w:rPr>
              <w:t>128</w:t>
            </w:r>
          </w:hyperlink>
        </w:p>
        <w:p>
          <w:pPr>
            <w:pStyle w:val="Contents4"/>
            <w:tabs>
              <w:tab w:val="clear" w:pos="8176"/>
              <w:tab w:val="right" w:pos="9026" w:leader="dot"/>
            </w:tabs>
            <w:rPr/>
          </w:pPr>
          <w:hyperlink w:anchor="__RefHeading___Toc3519745_1280447820">
            <w:r>
              <w:rPr>
                <w:webHidden/>
                <w:rStyle w:val="IndexLink"/>
                <w:rtl w:val="true"/>
              </w:rPr>
              <w:t>الإشكال الخامس</w:t>
            </w:r>
            <w:r>
              <w:rPr>
                <w:rStyle w:val="IndexLink"/>
                <w:rtl w:val="true"/>
              </w:rPr>
              <w:tab/>
            </w:r>
            <w:r>
              <w:rPr>
                <w:rStyle w:val="IndexLink"/>
              </w:rPr>
              <w:t>130</w:t>
            </w:r>
          </w:hyperlink>
        </w:p>
        <w:p>
          <w:pPr>
            <w:pStyle w:val="Contents5"/>
            <w:tabs>
              <w:tab w:val="clear" w:pos="7892"/>
              <w:tab w:val="right" w:pos="9026" w:leader="dot"/>
            </w:tabs>
            <w:rPr/>
          </w:pPr>
          <w:hyperlink w:anchor="__RefHeading___Toc3519747_1280447820">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3519749_1280447820">
            <w:r>
              <w:rPr>
                <w:webHidden/>
                <w:rStyle w:val="IndexLink"/>
                <w:rtl w:val="true"/>
              </w:rPr>
              <w:t>الجواب عن الإشكال الخامس</w:t>
            </w:r>
            <w:r>
              <w:rPr>
                <w:rStyle w:val="IndexLink"/>
                <w:rtl w:val="true"/>
              </w:rPr>
              <w:tab/>
            </w:r>
            <w:r>
              <w:rPr>
                <w:rStyle w:val="IndexLink"/>
              </w:rPr>
              <w:t>131</w:t>
            </w:r>
          </w:hyperlink>
        </w:p>
        <w:p>
          <w:pPr>
            <w:pStyle w:val="Contents6"/>
            <w:tabs>
              <w:tab w:val="clear" w:pos="7609"/>
              <w:tab w:val="right" w:pos="9026" w:leader="dot"/>
            </w:tabs>
            <w:rPr/>
          </w:pPr>
          <w:hyperlink w:anchor="__RefHeading___Toc3519751_1280447820">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3519753_1280447820">
            <w:r>
              <w:rPr>
                <w:webHidden/>
                <w:rStyle w:val="IndexLink"/>
                <w:rtl w:val="true"/>
              </w:rPr>
              <w:t>الجواب الأوّل</w:t>
            </w:r>
            <w:r>
              <w:rPr>
                <w:rStyle w:val="IndexLink"/>
                <w:rtl w:val="true"/>
              </w:rPr>
              <w:tab/>
            </w:r>
            <w:r>
              <w:rPr>
                <w:rStyle w:val="IndexLink"/>
              </w:rPr>
              <w:t>131</w:t>
            </w:r>
          </w:hyperlink>
        </w:p>
        <w:p>
          <w:pPr>
            <w:pStyle w:val="Contents6"/>
            <w:tabs>
              <w:tab w:val="clear" w:pos="7609"/>
              <w:tab w:val="right" w:pos="9026" w:leader="dot"/>
            </w:tabs>
            <w:rPr/>
          </w:pPr>
          <w:hyperlink w:anchor="__RefHeading___Toc3519755_1280447820">
            <w:r>
              <w:rPr>
                <w:webHidden/>
                <w:rStyle w:val="IndexLink"/>
                <w:rtl w:val="true"/>
              </w:rPr>
              <w:t>الجواب الثاني</w:t>
            </w:r>
            <w:r>
              <w:rPr>
                <w:rStyle w:val="IndexLink"/>
                <w:rtl w:val="true"/>
              </w:rPr>
              <w:tab/>
            </w:r>
            <w:r>
              <w:rPr>
                <w:rStyle w:val="IndexLink"/>
              </w:rPr>
              <w:t>131</w:t>
            </w:r>
          </w:hyperlink>
        </w:p>
        <w:p>
          <w:pPr>
            <w:pStyle w:val="Contents6"/>
            <w:tabs>
              <w:tab w:val="clear" w:pos="7609"/>
              <w:tab w:val="right" w:pos="9026" w:leader="dot"/>
            </w:tabs>
            <w:rPr/>
          </w:pPr>
          <w:hyperlink w:anchor="__RefHeading___Toc3519757_1280447820">
            <w:r>
              <w:rPr>
                <w:webHidden/>
                <w:rStyle w:val="IndexLink"/>
                <w:rtl w:val="true"/>
              </w:rPr>
              <w:t>الجواب الثالث</w:t>
            </w:r>
            <w:r>
              <w:rPr>
                <w:rStyle w:val="IndexLink"/>
                <w:rtl w:val="true"/>
              </w:rPr>
              <w:tab/>
            </w:r>
            <w:r>
              <w:rPr>
                <w:rStyle w:val="IndexLink"/>
              </w:rPr>
              <w:t>132</w:t>
            </w:r>
          </w:hyperlink>
        </w:p>
        <w:p>
          <w:pPr>
            <w:pStyle w:val="Contents6"/>
            <w:tabs>
              <w:tab w:val="clear" w:pos="7609"/>
              <w:tab w:val="right" w:pos="9026" w:leader="dot"/>
            </w:tabs>
            <w:rPr/>
          </w:pPr>
          <w:hyperlink w:anchor="__RefHeading___Toc3519759_1280447820">
            <w:r>
              <w:rPr>
                <w:webHidden/>
                <w:rStyle w:val="IndexLink"/>
                <w:rtl w:val="true"/>
              </w:rPr>
              <w:t>الجواب الرابع</w:t>
            </w:r>
            <w:r>
              <w:rPr>
                <w:rStyle w:val="IndexLink"/>
                <w:rtl w:val="true"/>
              </w:rPr>
              <w:tab/>
            </w:r>
            <w:r>
              <w:rPr>
                <w:rStyle w:val="IndexLink"/>
              </w:rPr>
              <w:t>133</w:t>
            </w:r>
          </w:hyperlink>
        </w:p>
        <w:p>
          <w:pPr>
            <w:pStyle w:val="Contents5"/>
            <w:tabs>
              <w:tab w:val="clear" w:pos="7892"/>
              <w:tab w:val="right" w:pos="9026" w:leader="dot"/>
            </w:tabs>
            <w:rPr/>
          </w:pPr>
          <w:hyperlink w:anchor="__RefHeading___Toc3519761_1280447820">
            <w:r>
              <w:rPr>
                <w:webHidden/>
                <w:rStyle w:val="IndexLink"/>
                <w:rtl w:val="true"/>
              </w:rPr>
              <w:t>لِمّ عدم وقوع الفعل مسندًا ووقوع الاسم مسندًا ومسندًا إليه</w:t>
            </w:r>
            <w:r>
              <w:rPr>
                <w:rStyle w:val="IndexLink"/>
                <w:rtl w:val="true"/>
              </w:rPr>
              <w:tab/>
            </w:r>
            <w:r>
              <w:rPr>
                <w:rStyle w:val="IndexLink"/>
              </w:rPr>
              <w:t>134</w:t>
            </w:r>
          </w:hyperlink>
        </w:p>
        <w:p>
          <w:pPr>
            <w:pStyle w:val="Contents5"/>
            <w:tabs>
              <w:tab w:val="clear" w:pos="7892"/>
              <w:tab w:val="right" w:pos="9026" w:leader="dot"/>
            </w:tabs>
            <w:rPr/>
          </w:pPr>
          <w:hyperlink w:anchor="__RefHeading___Toc3519763_1280447820">
            <w:r>
              <w:rPr>
                <w:webHidden/>
                <w:rStyle w:val="IndexLink"/>
                <w:rtl w:val="true"/>
              </w:rPr>
              <w:t>في الفرق بين اسم الفاعل والفعل</w:t>
            </w:r>
            <w:r>
              <w:rPr>
                <w:rStyle w:val="IndexLink"/>
                <w:rtl w:val="true"/>
              </w:rPr>
              <w:tab/>
            </w:r>
            <w:r>
              <w:rPr>
                <w:rStyle w:val="IndexLink"/>
              </w:rPr>
              <w:t>134</w:t>
            </w:r>
          </w:hyperlink>
        </w:p>
        <w:p>
          <w:pPr>
            <w:pStyle w:val="Contents2"/>
            <w:tabs>
              <w:tab w:val="clear" w:pos="8743"/>
              <w:tab w:val="right" w:pos="9026" w:leader="dot"/>
            </w:tabs>
            <w:rPr/>
          </w:pPr>
          <w:hyperlink w:anchor="__RefHeading___Toc3519765_1280447820">
            <w:r>
              <w:rPr>
                <w:webHidden/>
                <w:rStyle w:val="IndexLink"/>
                <w:rtl w:val="true"/>
              </w:rPr>
              <w:t>الباب الأوّل</w:t>
            </w:r>
            <w:r>
              <w:rPr>
                <w:rStyle w:val="IndexLink"/>
                <w:rtl w:val="true"/>
              </w:rPr>
              <w:t xml:space="preserve">: </w:t>
            </w:r>
            <w:r>
              <w:rPr>
                <w:rStyle w:val="IndexLink"/>
                <w:rtl w:val="true"/>
              </w:rPr>
              <w:t>في تحقيق العلاقة</w:t>
            </w:r>
            <w:r>
              <w:rPr>
                <w:rStyle w:val="IndexLink"/>
                <w:rtl w:val="true"/>
              </w:rPr>
              <w:tab/>
            </w:r>
            <w:r>
              <w:rPr>
                <w:rStyle w:val="IndexLink"/>
              </w:rPr>
              <w:t>138</w:t>
            </w:r>
          </w:hyperlink>
        </w:p>
        <w:p>
          <w:pPr>
            <w:pStyle w:val="Contents3"/>
            <w:tabs>
              <w:tab w:val="clear" w:pos="8459"/>
              <w:tab w:val="right" w:pos="9026" w:leader="dot"/>
            </w:tabs>
            <w:rPr/>
          </w:pPr>
          <w:hyperlink w:anchor="__RefHeading___Toc3519767_1280447820">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3519769_1280447820">
            <w:r>
              <w:rPr>
                <w:webHidden/>
                <w:rStyle w:val="IndexLink"/>
                <w:rtl w:val="true"/>
              </w:rPr>
              <w:t>المبحث الأوّل</w:t>
            </w:r>
            <w:r>
              <w:rPr>
                <w:rStyle w:val="IndexLink"/>
                <w:rtl w:val="true"/>
              </w:rPr>
              <w:t xml:space="preserve">: </w:t>
            </w:r>
            <w:r>
              <w:rPr>
                <w:rStyle w:val="IndexLink"/>
                <w:rtl w:val="true"/>
              </w:rPr>
              <w:t>في وجه اعتبار العلاقة في المجازات</w:t>
            </w:r>
            <w:r>
              <w:rPr>
                <w:rStyle w:val="IndexLink"/>
                <w:rtl w:val="true"/>
              </w:rPr>
              <w:tab/>
            </w:r>
            <w:r>
              <w:rPr>
                <w:rStyle w:val="IndexLink"/>
              </w:rPr>
              <w:t>139</w:t>
            </w:r>
          </w:hyperlink>
        </w:p>
        <w:p>
          <w:pPr>
            <w:pStyle w:val="Contents4"/>
            <w:tabs>
              <w:tab w:val="clear" w:pos="8176"/>
              <w:tab w:val="right" w:pos="9026" w:leader="dot"/>
            </w:tabs>
            <w:rPr/>
          </w:pPr>
          <w:hyperlink w:anchor="__RefHeading___Toc3519771_128044782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3519773_1280447820">
            <w:r>
              <w:rPr>
                <w:webHidden/>
                <w:rStyle w:val="IndexLink"/>
                <w:rtl w:val="true"/>
              </w:rPr>
              <w:t>وجه اشتراط العلاقة في المعاني المجازيّة</w:t>
            </w:r>
            <w:r>
              <w:rPr>
                <w:rStyle w:val="IndexLink"/>
                <w:rtl w:val="true"/>
              </w:rPr>
              <w:tab/>
            </w:r>
            <w:r>
              <w:rPr>
                <w:rStyle w:val="IndexLink"/>
              </w:rPr>
              <w:t>139</w:t>
            </w:r>
          </w:hyperlink>
        </w:p>
        <w:p>
          <w:pPr>
            <w:pStyle w:val="Contents4"/>
            <w:tabs>
              <w:tab w:val="clear" w:pos="8176"/>
              <w:tab w:val="right" w:pos="9026" w:leader="dot"/>
            </w:tabs>
            <w:rPr/>
          </w:pPr>
          <w:hyperlink w:anchor="__RefHeading___Toc3519775_1280447820">
            <w:r>
              <w:rPr>
                <w:webHidden/>
                <w:rStyle w:val="IndexLink"/>
                <w:rtl w:val="true"/>
              </w:rPr>
              <w:t>والتحقيق أنّ الدالّ في المجازات اللفظ بشرط القرينة لا مجموعهما</w:t>
            </w:r>
            <w:r>
              <w:rPr>
                <w:rStyle w:val="IndexLink"/>
                <w:rtl w:val="true"/>
              </w:rPr>
              <w:tab/>
            </w:r>
            <w:r>
              <w:rPr>
                <w:rStyle w:val="IndexLink"/>
              </w:rPr>
              <w:t>142</w:t>
            </w:r>
          </w:hyperlink>
        </w:p>
        <w:p>
          <w:pPr>
            <w:pStyle w:val="Contents4"/>
            <w:tabs>
              <w:tab w:val="clear" w:pos="8176"/>
              <w:tab w:val="right" w:pos="9026" w:leader="dot"/>
            </w:tabs>
            <w:rPr/>
          </w:pPr>
          <w:hyperlink w:anchor="__RefHeading___Toc3519777_1280447820">
            <w:r>
              <w:rPr>
                <w:webHidden/>
                <w:rStyle w:val="IndexLink"/>
                <w:rtl w:val="true"/>
              </w:rPr>
              <w:t xml:space="preserve">رأي المؤلّف </w:t>
            </w:r>
            <w:r>
              <w:rPr>
                <w:rStyle w:val="IndexLink"/>
                <w:rtl w:val="true"/>
              </w:rPr>
              <w:t>(</w:t>
            </w:r>
            <w:r>
              <w:rPr>
                <w:rStyle w:val="IndexLink"/>
                <w:rtl w:val="true"/>
              </w:rPr>
              <w:t>قدس سره</w:t>
            </w:r>
            <w:r>
              <w:rPr>
                <w:rStyle w:val="IndexLink"/>
                <w:rtl w:val="true"/>
              </w:rPr>
              <w:t>)</w:t>
              <w:tab/>
            </w:r>
            <w:r>
              <w:rPr>
                <w:rStyle w:val="IndexLink"/>
              </w:rPr>
              <w:t>143</w:t>
            </w:r>
          </w:hyperlink>
        </w:p>
        <w:p>
          <w:pPr>
            <w:pStyle w:val="Contents3"/>
            <w:tabs>
              <w:tab w:val="clear" w:pos="8459"/>
              <w:tab w:val="right" w:pos="9026" w:leader="dot"/>
            </w:tabs>
            <w:rPr/>
          </w:pPr>
          <w:hyperlink w:anchor="__RefHeading___Toc3519779_1280447820">
            <w:r>
              <w:rPr>
                <w:webHidden/>
                <w:rStyle w:val="IndexLink"/>
                <w:rtl w:val="true"/>
              </w:rPr>
              <w:t>المبحث الثاني</w:t>
            </w:r>
            <w:r>
              <w:rPr>
                <w:rStyle w:val="IndexLink"/>
                <w:rtl w:val="true"/>
              </w:rPr>
              <w:t xml:space="preserve">: </w:t>
            </w:r>
            <w:r>
              <w:rPr>
                <w:rStyle w:val="IndexLink"/>
                <w:rtl w:val="true"/>
              </w:rPr>
              <w:t>في تحقيق العلاقة وبيان أنواعها</w:t>
            </w:r>
            <w:r>
              <w:rPr>
                <w:rStyle w:val="IndexLink"/>
                <w:rtl w:val="true"/>
              </w:rPr>
              <w:tab/>
            </w:r>
            <w:r>
              <w:rPr>
                <w:rStyle w:val="IndexLink"/>
              </w:rPr>
              <w:t>149</w:t>
            </w:r>
          </w:hyperlink>
        </w:p>
        <w:p>
          <w:pPr>
            <w:pStyle w:val="Contents4"/>
            <w:tabs>
              <w:tab w:val="clear" w:pos="8176"/>
              <w:tab w:val="right" w:pos="9026" w:leader="dot"/>
            </w:tabs>
            <w:rPr/>
          </w:pPr>
          <w:hyperlink w:anchor="__RefHeading___Toc3519781_1280447820">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3519783_1280447820">
            <w:r>
              <w:rPr>
                <w:webHidden/>
                <w:rStyle w:val="IndexLink"/>
                <w:rtl w:val="true"/>
              </w:rPr>
              <w:t>الأوّل والثاني</w:t>
            </w:r>
            <w:r>
              <w:rPr>
                <w:rStyle w:val="IndexLink"/>
                <w:rtl w:val="true"/>
              </w:rPr>
              <w:t xml:space="preserve">: </w:t>
            </w:r>
            <w:r>
              <w:rPr>
                <w:rStyle w:val="IndexLink"/>
                <w:rtl w:val="true"/>
              </w:rPr>
              <w:t>الجزئيّة والكلّية</w:t>
            </w:r>
            <w:r>
              <w:rPr>
                <w:rStyle w:val="IndexLink"/>
                <w:rtl w:val="true"/>
              </w:rPr>
              <w:tab/>
            </w:r>
            <w:r>
              <w:rPr>
                <w:rStyle w:val="IndexLink"/>
              </w:rPr>
              <w:t>149</w:t>
            </w:r>
          </w:hyperlink>
        </w:p>
        <w:p>
          <w:pPr>
            <w:pStyle w:val="Contents5"/>
            <w:tabs>
              <w:tab w:val="clear" w:pos="7892"/>
              <w:tab w:val="right" w:pos="9026" w:leader="dot"/>
            </w:tabs>
            <w:rPr/>
          </w:pPr>
          <w:hyperlink w:anchor="__RefHeading___Toc3519785_1280447820">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3519787_1280447820">
            <w:r>
              <w:rPr>
                <w:webHidden/>
                <w:rStyle w:val="IndexLink"/>
                <w:rtl w:val="true"/>
              </w:rPr>
              <w:t>يشترط في إطلاق اللفظ الموضوع للجزء على الكلّ أمران</w:t>
            </w:r>
            <w:r>
              <w:rPr>
                <w:rStyle w:val="IndexLink"/>
                <w:rtl w:val="true"/>
              </w:rPr>
              <w:tab/>
            </w:r>
            <w:r>
              <w:rPr>
                <w:rStyle w:val="IndexLink"/>
              </w:rPr>
              <w:t>151</w:t>
            </w:r>
          </w:hyperlink>
        </w:p>
        <w:p>
          <w:pPr>
            <w:pStyle w:val="Contents6"/>
            <w:tabs>
              <w:tab w:val="clear" w:pos="7609"/>
              <w:tab w:val="right" w:pos="9026" w:leader="dot"/>
            </w:tabs>
            <w:rPr/>
          </w:pPr>
          <w:hyperlink w:anchor="__RefHeading___Toc3519789_1280447820">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3519791_1280447820">
            <w:r>
              <w:rPr>
                <w:webHidden/>
                <w:rStyle w:val="IndexLink"/>
                <w:rtl w:val="true"/>
              </w:rPr>
              <w:t>الأمر الأوّل</w:t>
            </w:r>
            <w:r>
              <w:rPr>
                <w:rStyle w:val="IndexLink"/>
                <w:rtl w:val="true"/>
              </w:rPr>
              <w:tab/>
            </w:r>
            <w:r>
              <w:rPr>
                <w:rStyle w:val="IndexLink"/>
              </w:rPr>
              <w:t>151</w:t>
            </w:r>
          </w:hyperlink>
        </w:p>
        <w:p>
          <w:pPr>
            <w:pStyle w:val="Contents6"/>
            <w:tabs>
              <w:tab w:val="clear" w:pos="7609"/>
              <w:tab w:val="right" w:pos="9026" w:leader="dot"/>
            </w:tabs>
            <w:rPr/>
          </w:pPr>
          <w:hyperlink w:anchor="__RefHeading___Toc3519793_1280447820">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3519795_1280447820">
            <w:r>
              <w:rPr>
                <w:webHidden/>
                <w:rStyle w:val="IndexLink"/>
                <w:rtl w:val="true"/>
              </w:rPr>
              <w:t>سرّ الاشتراط المذكور</w:t>
            </w:r>
            <w:r>
              <w:rPr>
                <w:rStyle w:val="IndexLink"/>
                <w:rtl w:val="true"/>
              </w:rPr>
              <w:tab/>
            </w:r>
            <w:r>
              <w:rPr>
                <w:rStyle w:val="IndexLink"/>
              </w:rPr>
              <w:t>152</w:t>
            </w:r>
          </w:hyperlink>
        </w:p>
        <w:p>
          <w:pPr>
            <w:pStyle w:val="Contents6"/>
            <w:tabs>
              <w:tab w:val="clear" w:pos="7609"/>
              <w:tab w:val="right" w:pos="9026" w:leader="dot"/>
            </w:tabs>
            <w:rPr/>
          </w:pPr>
          <w:hyperlink w:anchor="__RefHeading___Toc3519797_1280447820">
            <w:r>
              <w:rPr>
                <w:webHidden/>
                <w:rStyle w:val="IndexLink"/>
                <w:rtl w:val="true"/>
              </w:rPr>
              <w:t>الأمر الثاني</w:t>
            </w:r>
            <w:r>
              <w:rPr>
                <w:rStyle w:val="IndexLink"/>
                <w:rtl w:val="true"/>
              </w:rPr>
              <w:tab/>
            </w:r>
            <w:r>
              <w:rPr>
                <w:rStyle w:val="IndexLink"/>
              </w:rPr>
              <w:t>153</w:t>
            </w:r>
          </w:hyperlink>
        </w:p>
        <w:p>
          <w:pPr>
            <w:pStyle w:val="Contents6"/>
            <w:tabs>
              <w:tab w:val="clear" w:pos="7609"/>
              <w:tab w:val="right" w:pos="9026" w:leader="dot"/>
            </w:tabs>
            <w:rPr/>
          </w:pPr>
          <w:hyperlink w:anchor="__RefHeading___Toc3519799_1280447820">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3519801_1280447820">
            <w:r>
              <w:rPr>
                <w:webHidden/>
                <w:rStyle w:val="IndexLink"/>
                <w:rtl w:val="true"/>
              </w:rPr>
              <w:t>الكلام في اندراج هاتين العلاقتين تحت الحدّ المذكور للعلاقة</w:t>
            </w:r>
            <w:r>
              <w:rPr>
                <w:rStyle w:val="IndexLink"/>
                <w:rtl w:val="true"/>
              </w:rPr>
              <w:tab/>
            </w:r>
            <w:r>
              <w:rPr>
                <w:rStyle w:val="IndexLink"/>
              </w:rPr>
              <w:t>154</w:t>
            </w:r>
          </w:hyperlink>
        </w:p>
        <w:p>
          <w:pPr>
            <w:pStyle w:val="Contents4"/>
            <w:tabs>
              <w:tab w:val="clear" w:pos="8176"/>
              <w:tab w:val="right" w:pos="9026" w:leader="dot"/>
            </w:tabs>
            <w:rPr/>
          </w:pPr>
          <w:hyperlink w:anchor="__RefHeading___Toc3519803_1280447820">
            <w:r>
              <w:rPr>
                <w:webHidden/>
                <w:rStyle w:val="IndexLink"/>
                <w:rtl w:val="true"/>
              </w:rPr>
              <w:t>الثالث من أنواع العلاقة</w:t>
            </w:r>
            <w:r>
              <w:rPr>
                <w:rStyle w:val="IndexLink"/>
                <w:rtl w:val="true"/>
              </w:rPr>
              <w:t xml:space="preserve">: </w:t>
            </w:r>
            <w:r>
              <w:rPr>
                <w:rStyle w:val="IndexLink"/>
                <w:rtl w:val="true"/>
              </w:rPr>
              <w:t>المشابهة في الشكل والصفة</w:t>
            </w:r>
            <w:r>
              <w:rPr>
                <w:rStyle w:val="IndexLink"/>
                <w:rtl w:val="true"/>
              </w:rPr>
              <w:tab/>
            </w:r>
            <w:r>
              <w:rPr>
                <w:rStyle w:val="IndexLink"/>
              </w:rPr>
              <w:t>154</w:t>
            </w:r>
          </w:hyperlink>
        </w:p>
        <w:p>
          <w:pPr>
            <w:pStyle w:val="Contents5"/>
            <w:tabs>
              <w:tab w:val="clear" w:pos="7892"/>
              <w:tab w:val="right" w:pos="9026" w:leader="dot"/>
            </w:tabs>
            <w:rPr/>
          </w:pPr>
          <w:hyperlink w:anchor="__RefHeading___Toc3519805_1280447820">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3519807_1280447820">
            <w:r>
              <w:rPr>
                <w:webHidden/>
                <w:rStyle w:val="IndexLink"/>
                <w:rtl w:val="true"/>
              </w:rPr>
              <w:t>الكلام في اندراج هذه العلاقة تحت حدّها المتقدّم</w:t>
            </w:r>
            <w:r>
              <w:rPr>
                <w:rStyle w:val="IndexLink"/>
                <w:rtl w:val="true"/>
              </w:rPr>
              <w:tab/>
            </w:r>
            <w:r>
              <w:rPr>
                <w:rStyle w:val="IndexLink"/>
              </w:rPr>
              <w:t>157</w:t>
            </w:r>
          </w:hyperlink>
        </w:p>
        <w:p>
          <w:pPr>
            <w:pStyle w:val="Contents4"/>
            <w:tabs>
              <w:tab w:val="clear" w:pos="8176"/>
              <w:tab w:val="right" w:pos="9026" w:leader="dot"/>
            </w:tabs>
            <w:rPr/>
          </w:pPr>
          <w:hyperlink w:anchor="__RefHeading___Toc3519809_1280447820">
            <w:r>
              <w:rPr>
                <w:webHidden/>
                <w:rStyle w:val="IndexLink"/>
                <w:rtl w:val="true"/>
              </w:rPr>
              <w:t>النوع الرابع من العلاقة</w:t>
            </w:r>
            <w:r>
              <w:rPr>
                <w:rStyle w:val="IndexLink"/>
                <w:rtl w:val="true"/>
              </w:rPr>
              <w:t xml:space="preserve">: </w:t>
            </w:r>
            <w:r>
              <w:rPr>
                <w:rStyle w:val="IndexLink"/>
                <w:rtl w:val="true"/>
              </w:rPr>
              <w:t>كون المستعمل فيه على صفة</w:t>
            </w:r>
            <w:r>
              <w:rPr>
                <w:rStyle w:val="IndexLink"/>
                <w:rtl w:val="true"/>
              </w:rPr>
              <w:tab/>
            </w:r>
            <w:r>
              <w:rPr>
                <w:rStyle w:val="IndexLink"/>
              </w:rPr>
              <w:t>159</w:t>
            </w:r>
          </w:hyperlink>
        </w:p>
        <w:p>
          <w:pPr>
            <w:pStyle w:val="Contents5"/>
            <w:tabs>
              <w:tab w:val="clear" w:pos="7892"/>
              <w:tab w:val="right" w:pos="9026" w:leader="dot"/>
            </w:tabs>
            <w:rPr/>
          </w:pPr>
          <w:hyperlink w:anchor="__RefHeading___Toc3519811_128044782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3519813_1280447820">
            <w:r>
              <w:rPr>
                <w:webHidden/>
                <w:rStyle w:val="IndexLink"/>
                <w:rtl w:val="true"/>
              </w:rPr>
              <w:t>الإشكال في أنّ حكمهم بمجازيّة اللفظ باعتبار ما كان، ينافي حكمهم</w:t>
            </w:r>
            <w:r>
              <w:rPr>
                <w:rStyle w:val="IndexLink"/>
                <w:rtl w:val="true"/>
              </w:rPr>
              <w:t xml:space="preserve">: </w:t>
            </w:r>
            <w:r>
              <w:rPr>
                <w:rStyle w:val="IndexLink"/>
                <w:rtl w:val="true"/>
              </w:rPr>
              <w:t>أنّ إطلاق المشتقّ على الذات لا يتوقّف على بقاء المبدأ، مع الجواب عنه</w:t>
            </w:r>
            <w:r>
              <w:rPr>
                <w:rStyle w:val="IndexLink"/>
                <w:rtl w:val="true"/>
              </w:rPr>
              <w:tab/>
            </w:r>
            <w:r>
              <w:rPr>
                <w:rStyle w:val="IndexLink"/>
              </w:rPr>
              <w:t>162</w:t>
            </w:r>
          </w:hyperlink>
        </w:p>
        <w:p>
          <w:pPr>
            <w:pStyle w:val="Contents5"/>
            <w:tabs>
              <w:tab w:val="clear" w:pos="7892"/>
              <w:tab w:val="right" w:pos="9026" w:leader="dot"/>
            </w:tabs>
            <w:rPr/>
          </w:pPr>
          <w:hyperlink w:anchor="__RefHeading___Toc3519815_1280447820">
            <w:r>
              <w:rPr>
                <w:webHidden/>
                <w:rStyle w:val="IndexLink"/>
                <w:rtl w:val="true"/>
              </w:rPr>
              <w:t>الجواب عن الإشكال</w:t>
            </w:r>
            <w:r>
              <w:rPr>
                <w:rStyle w:val="IndexLink"/>
                <w:rtl w:val="true"/>
              </w:rPr>
              <w:tab/>
            </w:r>
            <w:r>
              <w:rPr>
                <w:rStyle w:val="IndexLink"/>
              </w:rPr>
              <w:t>162</w:t>
            </w:r>
          </w:hyperlink>
        </w:p>
        <w:p>
          <w:pPr>
            <w:pStyle w:val="Contents6"/>
            <w:tabs>
              <w:tab w:val="clear" w:pos="7609"/>
              <w:tab w:val="right" w:pos="9026" w:leader="dot"/>
            </w:tabs>
            <w:rPr/>
          </w:pPr>
          <w:hyperlink w:anchor="__RefHeading___Toc3519817_1280447820">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3519819_1280447820">
            <w:r>
              <w:rPr>
                <w:webHidden/>
                <w:rStyle w:val="IndexLink"/>
                <w:rtl w:val="true"/>
              </w:rPr>
              <w:t>الجواب الأوّل</w:t>
            </w:r>
            <w:r>
              <w:rPr>
                <w:rStyle w:val="IndexLink"/>
                <w:rtl w:val="true"/>
              </w:rPr>
              <w:tab/>
            </w:r>
            <w:r>
              <w:rPr>
                <w:rStyle w:val="IndexLink"/>
              </w:rPr>
              <w:t>162</w:t>
            </w:r>
          </w:hyperlink>
        </w:p>
        <w:p>
          <w:pPr>
            <w:pStyle w:val="Contents6"/>
            <w:tabs>
              <w:tab w:val="clear" w:pos="7609"/>
              <w:tab w:val="right" w:pos="9026" w:leader="dot"/>
            </w:tabs>
            <w:rPr/>
          </w:pPr>
          <w:hyperlink w:anchor="__RefHeading___Toc3519821_1280447820">
            <w:r>
              <w:rPr>
                <w:webHidden/>
                <w:rStyle w:val="IndexLink"/>
                <w:rtl w:val="true"/>
              </w:rPr>
              <w:t>الجواب الثاني</w:t>
            </w:r>
            <w:r>
              <w:rPr>
                <w:rStyle w:val="IndexLink"/>
                <w:rtl w:val="true"/>
              </w:rPr>
              <w:tab/>
            </w:r>
            <w:r>
              <w:rPr>
                <w:rStyle w:val="IndexLink"/>
              </w:rPr>
              <w:t>163</w:t>
            </w:r>
          </w:hyperlink>
        </w:p>
        <w:p>
          <w:pPr>
            <w:pStyle w:val="Contents4"/>
            <w:tabs>
              <w:tab w:val="clear" w:pos="8176"/>
              <w:tab w:val="right" w:pos="9026" w:leader="dot"/>
            </w:tabs>
            <w:rPr/>
          </w:pPr>
          <w:hyperlink w:anchor="__RefHeading___Toc3519823_1280447820">
            <w:r>
              <w:rPr>
                <w:webHidden/>
                <w:rStyle w:val="IndexLink"/>
                <w:rtl w:val="true"/>
              </w:rPr>
              <w:t>النوع الخامس من العلاقة</w:t>
            </w:r>
            <w:r>
              <w:rPr>
                <w:rStyle w:val="IndexLink"/>
                <w:rtl w:val="true"/>
              </w:rPr>
              <w:t xml:space="preserve">: </w:t>
            </w:r>
            <w:r>
              <w:rPr>
                <w:rStyle w:val="IndexLink"/>
                <w:rtl w:val="true"/>
              </w:rPr>
              <w:t>إطلاق اللفظ على ما يؤول إلى ما وضع ذلك اللفظ له</w:t>
            </w:r>
            <w:r>
              <w:rPr>
                <w:rStyle w:val="IndexLink"/>
                <w:rtl w:val="true"/>
              </w:rPr>
              <w:tab/>
            </w:r>
            <w:r>
              <w:rPr>
                <w:rStyle w:val="IndexLink"/>
              </w:rPr>
              <w:t>164</w:t>
            </w:r>
          </w:hyperlink>
        </w:p>
        <w:p>
          <w:pPr>
            <w:pStyle w:val="Contents5"/>
            <w:tabs>
              <w:tab w:val="clear" w:pos="7892"/>
              <w:tab w:val="right" w:pos="9026" w:leader="dot"/>
            </w:tabs>
            <w:rPr/>
          </w:pPr>
          <w:hyperlink w:anchor="__RefHeading___Toc3519825_1280447820">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3519827_1280447820">
            <w:r>
              <w:rPr>
                <w:webHidden/>
                <w:rStyle w:val="IndexLink"/>
                <w:rtl w:val="true"/>
              </w:rPr>
              <w:t>وهمٌ وإزاحةٌ</w:t>
            </w:r>
            <w:r>
              <w:rPr>
                <w:rStyle w:val="IndexLink"/>
                <w:rtl w:val="true"/>
              </w:rPr>
              <w:tab/>
            </w:r>
            <w:r>
              <w:rPr>
                <w:rStyle w:val="IndexLink"/>
              </w:rPr>
              <w:t>165</w:t>
            </w:r>
          </w:hyperlink>
        </w:p>
        <w:p>
          <w:pPr>
            <w:pStyle w:val="Contents4"/>
            <w:tabs>
              <w:tab w:val="clear" w:pos="8176"/>
              <w:tab w:val="right" w:pos="9026" w:leader="dot"/>
            </w:tabs>
            <w:rPr/>
          </w:pPr>
          <w:hyperlink w:anchor="__RefHeading___Toc3519829_1280447820">
            <w:r>
              <w:rPr>
                <w:webHidden/>
                <w:rStyle w:val="IndexLink"/>
                <w:rtl w:val="true"/>
              </w:rPr>
              <w:t>النوع السادس من العلاقة</w:t>
            </w:r>
            <w:r>
              <w:rPr>
                <w:rStyle w:val="IndexLink"/>
                <w:rtl w:val="true"/>
              </w:rPr>
              <w:t xml:space="preserve">: </w:t>
            </w:r>
            <w:r>
              <w:rPr>
                <w:rStyle w:val="IndexLink"/>
                <w:rtl w:val="true"/>
              </w:rPr>
              <w:t>المجاورة</w:t>
            </w:r>
            <w:r>
              <w:rPr>
                <w:rStyle w:val="IndexLink"/>
                <w:rtl w:val="true"/>
              </w:rPr>
              <w:tab/>
            </w:r>
            <w:r>
              <w:rPr>
                <w:rStyle w:val="IndexLink"/>
              </w:rPr>
              <w:t>166</w:t>
            </w:r>
          </w:hyperlink>
        </w:p>
        <w:p>
          <w:pPr>
            <w:pStyle w:val="Contents5"/>
            <w:tabs>
              <w:tab w:val="clear" w:pos="7892"/>
              <w:tab w:val="right" w:pos="9026" w:leader="dot"/>
            </w:tabs>
            <w:rPr/>
          </w:pPr>
          <w:hyperlink w:anchor="__RefHeading___Toc3519831_1280447820">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3519833_1280447820">
            <w:r>
              <w:rPr>
                <w:webHidden/>
                <w:rStyle w:val="IndexLink"/>
                <w:rtl w:val="true"/>
              </w:rPr>
              <w:t>عقدٌ وحلٌّ</w:t>
            </w:r>
            <w:r>
              <w:rPr>
                <w:rStyle w:val="IndexLink"/>
                <w:rtl w:val="true"/>
              </w:rPr>
              <w:tab/>
            </w:r>
            <w:r>
              <w:rPr>
                <w:rStyle w:val="IndexLink"/>
              </w:rPr>
              <w:t>166</w:t>
            </w:r>
          </w:hyperlink>
        </w:p>
        <w:p>
          <w:pPr>
            <w:pStyle w:val="Contents5"/>
            <w:tabs>
              <w:tab w:val="clear" w:pos="7892"/>
              <w:tab w:val="right" w:pos="9026" w:leader="dot"/>
            </w:tabs>
            <w:rPr/>
          </w:pPr>
          <w:hyperlink w:anchor="__RefHeading___Toc3519835_1280447820">
            <w:r>
              <w:rPr>
                <w:webHidden/>
                <w:rStyle w:val="IndexLink"/>
                <w:rtl w:val="true"/>
              </w:rPr>
              <w:t>في تحقيق المجاورة وبيان أقسامها</w:t>
            </w:r>
            <w:r>
              <w:rPr>
                <w:rStyle w:val="IndexLink"/>
                <w:rtl w:val="true"/>
              </w:rPr>
              <w:tab/>
            </w:r>
            <w:r>
              <w:rPr>
                <w:rStyle w:val="IndexLink"/>
              </w:rPr>
              <w:t>166</w:t>
            </w:r>
          </w:hyperlink>
        </w:p>
        <w:p>
          <w:pPr>
            <w:pStyle w:val="Contents5"/>
            <w:tabs>
              <w:tab w:val="clear" w:pos="7892"/>
              <w:tab w:val="right" w:pos="9026" w:leader="dot"/>
            </w:tabs>
            <w:rPr/>
          </w:pPr>
          <w:hyperlink w:anchor="__RefHeading___Toc3519837_1280447820">
            <w:r>
              <w:rPr>
                <w:webHidden/>
                <w:rStyle w:val="IndexLink"/>
                <w:rtl w:val="true"/>
              </w:rPr>
              <w:t>الكلام في اندراج هذه العلاقة تحت حدّها المتقدّم</w:t>
            </w:r>
            <w:r>
              <w:rPr>
                <w:rStyle w:val="IndexLink"/>
                <w:rtl w:val="true"/>
              </w:rPr>
              <w:tab/>
            </w:r>
            <w:r>
              <w:rPr>
                <w:rStyle w:val="IndexLink"/>
              </w:rPr>
              <w:t>169</w:t>
            </w:r>
          </w:hyperlink>
        </w:p>
        <w:p>
          <w:pPr>
            <w:pStyle w:val="Contents4"/>
            <w:tabs>
              <w:tab w:val="clear" w:pos="8176"/>
              <w:tab w:val="right" w:pos="9026" w:leader="dot"/>
            </w:tabs>
            <w:rPr/>
          </w:pPr>
          <w:hyperlink w:anchor="__RefHeading___Toc3519839_1280447820">
            <w:r>
              <w:rPr>
                <w:webHidden/>
                <w:rStyle w:val="IndexLink"/>
                <w:rtl w:val="true"/>
              </w:rPr>
              <w:t>النوع السابع والثامن من العلاقة</w:t>
            </w:r>
            <w:r>
              <w:rPr>
                <w:rStyle w:val="IndexLink"/>
                <w:rtl w:val="true"/>
              </w:rPr>
              <w:t xml:space="preserve">: </w:t>
            </w:r>
            <w:r>
              <w:rPr>
                <w:rStyle w:val="IndexLink"/>
                <w:rtl w:val="true"/>
              </w:rPr>
              <w:t>الحالّيّة والمحلّيّة</w:t>
            </w:r>
            <w:r>
              <w:rPr>
                <w:rStyle w:val="IndexLink"/>
                <w:rtl w:val="true"/>
              </w:rPr>
              <w:tab/>
            </w:r>
            <w:r>
              <w:rPr>
                <w:rStyle w:val="IndexLink"/>
              </w:rPr>
              <w:t>169</w:t>
            </w:r>
          </w:hyperlink>
        </w:p>
        <w:p>
          <w:pPr>
            <w:pStyle w:val="Contents5"/>
            <w:tabs>
              <w:tab w:val="clear" w:pos="7892"/>
              <w:tab w:val="right" w:pos="9026" w:leader="dot"/>
            </w:tabs>
            <w:rPr/>
          </w:pPr>
          <w:hyperlink w:anchor="__RefHeading___Toc3519841_1280447820">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3519843_1280447820">
            <w:r>
              <w:rPr>
                <w:webHidden/>
                <w:rStyle w:val="IndexLink"/>
                <w:rtl w:val="true"/>
              </w:rPr>
              <w:t>تحقيق المقام يستدعي بيان أمور</w:t>
            </w:r>
            <w:r>
              <w:rPr>
                <w:rStyle w:val="IndexLink"/>
                <w:rtl w:val="true"/>
              </w:rPr>
              <w:tab/>
            </w:r>
            <w:r>
              <w:rPr>
                <w:rStyle w:val="IndexLink"/>
              </w:rPr>
              <w:t>170</w:t>
            </w:r>
          </w:hyperlink>
        </w:p>
        <w:p>
          <w:pPr>
            <w:pStyle w:val="Contents6"/>
            <w:tabs>
              <w:tab w:val="clear" w:pos="7609"/>
              <w:tab w:val="right" w:pos="9026" w:leader="dot"/>
            </w:tabs>
            <w:rPr/>
          </w:pPr>
          <w:hyperlink w:anchor="__RefHeading___Toc3519845_1280447820">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3519847_1280447820">
            <w:r>
              <w:rPr>
                <w:webHidden/>
                <w:rStyle w:val="IndexLink"/>
                <w:rtl w:val="true"/>
              </w:rPr>
              <w:t>الأمر الأوّل</w:t>
            </w:r>
            <w:r>
              <w:rPr>
                <w:rStyle w:val="IndexLink"/>
                <w:rtl w:val="true"/>
              </w:rPr>
              <w:t xml:space="preserve">: </w:t>
            </w:r>
            <w:r>
              <w:rPr>
                <w:rStyle w:val="IndexLink"/>
                <w:rtl w:val="true"/>
              </w:rPr>
              <w:t>في معنى الحلول وتقسيمه إلى القسمين</w:t>
            </w:r>
            <w:r>
              <w:rPr>
                <w:rStyle w:val="IndexLink"/>
                <w:rtl w:val="true"/>
              </w:rPr>
              <w:tab/>
            </w:r>
            <w:r>
              <w:rPr>
                <w:rStyle w:val="IndexLink"/>
              </w:rPr>
              <w:t>171</w:t>
            </w:r>
          </w:hyperlink>
        </w:p>
        <w:p>
          <w:pPr>
            <w:pStyle w:val="Contents6"/>
            <w:tabs>
              <w:tab w:val="clear" w:pos="7609"/>
              <w:tab w:val="right" w:pos="9026" w:leader="dot"/>
            </w:tabs>
            <w:rPr/>
          </w:pPr>
          <w:hyperlink w:anchor="__RefHeading___Toc3519849_1280447820">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3519851_1280447820">
            <w:r>
              <w:rPr>
                <w:webHidden/>
                <w:rStyle w:val="IndexLink"/>
                <w:rtl w:val="true"/>
              </w:rPr>
              <w:t>الحلول على قسمين</w:t>
            </w:r>
            <w:r>
              <w:rPr>
                <w:rStyle w:val="IndexLink"/>
                <w:rtl w:val="true"/>
              </w:rPr>
              <w:tab/>
            </w:r>
            <w:r>
              <w:rPr>
                <w:rStyle w:val="IndexLink"/>
              </w:rPr>
              <w:t>174</w:t>
            </w:r>
          </w:hyperlink>
        </w:p>
        <w:p>
          <w:pPr>
            <w:pStyle w:val="Contents6"/>
            <w:tabs>
              <w:tab w:val="clear" w:pos="7609"/>
              <w:tab w:val="right" w:pos="9026" w:leader="dot"/>
            </w:tabs>
            <w:rPr/>
          </w:pPr>
          <w:hyperlink w:anchor="__RefHeading___Toc3519853_1280447820">
            <w:r>
              <w:rPr>
                <w:webHidden/>
                <w:rStyle w:val="IndexLink"/>
                <w:rtl w:val="true"/>
              </w:rPr>
              <w:t>تعريف آخر للحلول</w:t>
            </w:r>
            <w:r>
              <w:rPr>
                <w:rStyle w:val="IndexLink"/>
                <w:rtl w:val="true"/>
              </w:rPr>
              <w:tab/>
            </w:r>
            <w:r>
              <w:rPr>
                <w:rStyle w:val="IndexLink"/>
              </w:rPr>
              <w:t>175</w:t>
            </w:r>
          </w:hyperlink>
        </w:p>
        <w:p>
          <w:pPr>
            <w:pStyle w:val="Contents6"/>
            <w:tabs>
              <w:tab w:val="clear" w:pos="7609"/>
              <w:tab w:val="right" w:pos="9026" w:leader="dot"/>
            </w:tabs>
            <w:rPr/>
          </w:pPr>
          <w:hyperlink w:anchor="__RefHeading___Toc3519855_1280447820">
            <w:r>
              <w:rPr>
                <w:webHidden/>
                <w:rStyle w:val="IndexLink"/>
                <w:rtl w:val="true"/>
              </w:rPr>
              <w:t>الأمر الثاني</w:t>
            </w:r>
            <w:r>
              <w:rPr>
                <w:rStyle w:val="IndexLink"/>
                <w:rtl w:val="true"/>
              </w:rPr>
              <w:t xml:space="preserve">: </w:t>
            </w:r>
            <w:r>
              <w:rPr>
                <w:rStyle w:val="IndexLink"/>
                <w:rtl w:val="true"/>
              </w:rPr>
              <w:t>في أنّ المصحّح للتجوّز هو القسم الأوّل منهما فقط</w:t>
            </w:r>
            <w:r>
              <w:rPr>
                <w:rStyle w:val="IndexLink"/>
                <w:rtl w:val="true"/>
              </w:rPr>
              <w:tab/>
            </w:r>
            <w:r>
              <w:rPr>
                <w:rStyle w:val="IndexLink"/>
              </w:rPr>
              <w:t>176</w:t>
            </w:r>
          </w:hyperlink>
        </w:p>
        <w:p>
          <w:pPr>
            <w:pStyle w:val="Contents6"/>
            <w:tabs>
              <w:tab w:val="clear" w:pos="7609"/>
              <w:tab w:val="right" w:pos="9026" w:leader="dot"/>
            </w:tabs>
            <w:rPr/>
          </w:pPr>
          <w:hyperlink w:anchor="__RefHeading___Toc3519857_1280447820">
            <w:r>
              <w:rPr>
                <w:webHidden/>
                <w:rStyle w:val="IndexLink"/>
                <w:rtl w:val="true"/>
              </w:rPr>
              <w:t>الأمر الثالث</w:t>
            </w:r>
            <w:r>
              <w:rPr>
                <w:rStyle w:val="IndexLink"/>
                <w:rtl w:val="true"/>
              </w:rPr>
              <w:t xml:space="preserve">: </w:t>
            </w:r>
            <w:r>
              <w:rPr>
                <w:rStyle w:val="IndexLink"/>
                <w:rtl w:val="true"/>
              </w:rPr>
              <w:t>في الفرق بين الحالّ والمحلّ والكلّيّة والجزئيّة والظرف والمظروف والمجاورة</w:t>
            </w:r>
            <w:r>
              <w:rPr>
                <w:rStyle w:val="IndexLink"/>
                <w:rtl w:val="true"/>
              </w:rPr>
              <w:tab/>
            </w:r>
            <w:r>
              <w:rPr>
                <w:rStyle w:val="IndexLink"/>
              </w:rPr>
              <w:t>176</w:t>
            </w:r>
          </w:hyperlink>
        </w:p>
        <w:p>
          <w:pPr>
            <w:pStyle w:val="Contents6"/>
            <w:tabs>
              <w:tab w:val="clear" w:pos="7609"/>
              <w:tab w:val="right" w:pos="9026" w:leader="dot"/>
            </w:tabs>
            <w:rPr/>
          </w:pPr>
          <w:hyperlink w:anchor="__RefHeading___Toc3519859_1280447820">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3519861_1280447820">
            <w:r>
              <w:rPr>
                <w:webHidden/>
                <w:rStyle w:val="IndexLink"/>
                <w:rtl w:val="true"/>
              </w:rPr>
              <w:t>الفرق بين الحالّ والمحلّ وبين الظرف والمظروف</w:t>
            </w:r>
            <w:r>
              <w:rPr>
                <w:rStyle w:val="IndexLink"/>
                <w:rtl w:val="true"/>
              </w:rPr>
              <w:tab/>
            </w:r>
            <w:r>
              <w:rPr>
                <w:rStyle w:val="IndexLink"/>
              </w:rPr>
              <w:t>177</w:t>
            </w:r>
          </w:hyperlink>
        </w:p>
        <w:p>
          <w:pPr>
            <w:pStyle w:val="Contents6"/>
            <w:tabs>
              <w:tab w:val="clear" w:pos="7609"/>
              <w:tab w:val="right" w:pos="9026" w:leader="dot"/>
            </w:tabs>
            <w:rPr/>
          </w:pPr>
          <w:hyperlink w:anchor="__RefHeading___Toc3519863_1280447820">
            <w:r>
              <w:rPr>
                <w:webHidden/>
                <w:rStyle w:val="IndexLink"/>
                <w:rtl w:val="true"/>
              </w:rPr>
              <w:t>الفرق بين الحالّ والمحلّ وبين المتجاورين</w:t>
            </w:r>
            <w:r>
              <w:rPr>
                <w:rStyle w:val="IndexLink"/>
                <w:rtl w:val="true"/>
              </w:rPr>
              <w:tab/>
            </w:r>
            <w:r>
              <w:rPr>
                <w:rStyle w:val="IndexLink"/>
              </w:rPr>
              <w:t>178</w:t>
            </w:r>
          </w:hyperlink>
        </w:p>
        <w:p>
          <w:pPr>
            <w:pStyle w:val="Contents6"/>
            <w:tabs>
              <w:tab w:val="clear" w:pos="7609"/>
              <w:tab w:val="right" w:pos="9026" w:leader="dot"/>
            </w:tabs>
            <w:rPr/>
          </w:pPr>
          <w:hyperlink w:anchor="__RefHeading___Toc3519865_1280447820">
            <w:r>
              <w:rPr>
                <w:webHidden/>
                <w:rStyle w:val="IndexLink"/>
                <w:rtl w:val="true"/>
              </w:rPr>
              <w:t>الفرق بين الظرف والمظروف وبين المتجاورين</w:t>
            </w:r>
            <w:r>
              <w:rPr>
                <w:rStyle w:val="IndexLink"/>
                <w:rtl w:val="true"/>
              </w:rPr>
              <w:tab/>
            </w:r>
            <w:r>
              <w:rPr>
                <w:rStyle w:val="IndexLink"/>
              </w:rPr>
              <w:t>178</w:t>
            </w:r>
          </w:hyperlink>
        </w:p>
        <w:p>
          <w:pPr>
            <w:pStyle w:val="Contents5"/>
            <w:tabs>
              <w:tab w:val="clear" w:pos="7892"/>
              <w:tab w:val="right" w:pos="9026" w:leader="dot"/>
            </w:tabs>
            <w:rPr/>
          </w:pPr>
          <w:hyperlink w:anchor="__RefHeading___Toc3519867_1280447820">
            <w:r>
              <w:rPr>
                <w:webHidden/>
                <w:rStyle w:val="IndexLink"/>
                <w:rtl w:val="true"/>
              </w:rPr>
              <w:t>التنبيه على عدم صحّة التمثيل بالآيات المذكورة لما نحن فيه</w:t>
            </w:r>
            <w:r>
              <w:rPr>
                <w:rStyle w:val="IndexLink"/>
                <w:rtl w:val="true"/>
              </w:rPr>
              <w:tab/>
            </w:r>
            <w:r>
              <w:rPr>
                <w:rStyle w:val="IndexLink"/>
              </w:rPr>
              <w:t>179</w:t>
            </w:r>
          </w:hyperlink>
        </w:p>
        <w:p>
          <w:pPr>
            <w:pStyle w:val="Contents5"/>
            <w:tabs>
              <w:tab w:val="clear" w:pos="7892"/>
              <w:tab w:val="right" w:pos="9026" w:leader="dot"/>
            </w:tabs>
            <w:rPr/>
          </w:pPr>
          <w:hyperlink w:anchor="__RefHeading___Toc3519869_1280447820">
            <w:r>
              <w:rPr>
                <w:webHidden/>
                <w:rStyle w:val="IndexLink"/>
                <w:rtl w:val="true"/>
              </w:rPr>
              <w:t>رفع إبهام لتتميم مرام</w:t>
            </w:r>
            <w:r>
              <w:rPr>
                <w:rStyle w:val="IndexLink"/>
                <w:rtl w:val="true"/>
              </w:rPr>
              <w:tab/>
            </w:r>
            <w:r>
              <w:rPr>
                <w:rStyle w:val="IndexLink"/>
              </w:rPr>
              <w:t>182</w:t>
            </w:r>
          </w:hyperlink>
        </w:p>
        <w:p>
          <w:pPr>
            <w:pStyle w:val="Contents5"/>
            <w:tabs>
              <w:tab w:val="clear" w:pos="7892"/>
              <w:tab w:val="right" w:pos="9026" w:leader="dot"/>
            </w:tabs>
            <w:rPr/>
          </w:pPr>
          <w:hyperlink w:anchor="__RefHeading___Toc3519871_1280447820">
            <w:r>
              <w:rPr>
                <w:webHidden/>
                <w:rStyle w:val="IndexLink"/>
                <w:rtl w:val="true"/>
              </w:rPr>
              <w:t>الاشتراك في المحلّ لا يكون مصحّحًا للتجوّز</w:t>
            </w:r>
            <w:r>
              <w:rPr>
                <w:rStyle w:val="IndexLink"/>
                <w:rtl w:val="true"/>
              </w:rPr>
              <w:tab/>
            </w:r>
            <w:r>
              <w:rPr>
                <w:rStyle w:val="IndexLink"/>
              </w:rPr>
              <w:t>183</w:t>
            </w:r>
          </w:hyperlink>
        </w:p>
        <w:p>
          <w:pPr>
            <w:pStyle w:val="Contents6"/>
            <w:tabs>
              <w:tab w:val="clear" w:pos="7609"/>
              <w:tab w:val="right" w:pos="9026" w:leader="dot"/>
            </w:tabs>
            <w:rPr/>
          </w:pPr>
          <w:hyperlink w:anchor="__RefHeading___Toc3519873_1280447820">
            <w:r>
              <w:rPr>
                <w:webHidden/>
                <w:rStyle w:val="IndexLink"/>
                <w:rtl w:val="true"/>
              </w:rPr>
              <w:t>تنبيه تفريعيّ</w:t>
            </w:r>
            <w:r>
              <w:rPr>
                <w:rStyle w:val="IndexLink"/>
                <w:rtl w:val="true"/>
              </w:rPr>
              <w:tab/>
            </w:r>
            <w:r>
              <w:rPr>
                <w:rStyle w:val="IndexLink"/>
              </w:rPr>
              <w:t>183</w:t>
            </w:r>
          </w:hyperlink>
        </w:p>
        <w:p>
          <w:pPr>
            <w:pStyle w:val="Contents6"/>
            <w:tabs>
              <w:tab w:val="clear" w:pos="7609"/>
              <w:tab w:val="right" w:pos="9026" w:leader="dot"/>
            </w:tabs>
            <w:rPr/>
          </w:pPr>
          <w:hyperlink w:anchor="__RefHeading___Toc3519875_1280447820">
            <w:r>
              <w:rPr>
                <w:webHidden/>
                <w:rStyle w:val="IndexLink"/>
                <w:rtl w:val="true"/>
              </w:rPr>
              <w:t>تحقيق المقام يستدعي بيان أمور</w:t>
            </w:r>
            <w:r>
              <w:rPr>
                <w:rStyle w:val="IndexLink"/>
                <w:rtl w:val="true"/>
              </w:rPr>
              <w:tab/>
            </w:r>
            <w:r>
              <w:rPr>
                <w:rStyle w:val="IndexLink"/>
              </w:rPr>
              <w:t>184</w:t>
            </w:r>
          </w:hyperlink>
        </w:p>
        <w:p>
          <w:pPr>
            <w:pStyle w:val="Contents6"/>
            <w:tabs>
              <w:tab w:val="clear" w:pos="7609"/>
              <w:tab w:val="right" w:pos="9026" w:leader="dot"/>
            </w:tabs>
            <w:rPr/>
          </w:pPr>
          <w:hyperlink w:anchor="__RefHeading___Toc3519877_1280447820">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3519879_1280447820">
            <w:r>
              <w:rPr>
                <w:webHidden/>
                <w:rStyle w:val="IndexLink"/>
                <w:rtl w:val="true"/>
              </w:rPr>
              <w:t>الأمر الأوّل</w:t>
            </w:r>
            <w:r>
              <w:rPr>
                <w:rStyle w:val="IndexLink"/>
                <w:rtl w:val="true"/>
              </w:rPr>
              <w:t xml:space="preserve">: </w:t>
            </w:r>
            <w:r>
              <w:rPr>
                <w:rStyle w:val="IndexLink"/>
                <w:rtl w:val="true"/>
              </w:rPr>
              <w:t>في كون المعنى الحقيقيّ والمجازيّ في محلّ واحد</w:t>
            </w:r>
            <w:r>
              <w:rPr>
                <w:rStyle w:val="IndexLink"/>
                <w:rtl w:val="true"/>
              </w:rPr>
              <w:tab/>
            </w:r>
            <w:r>
              <w:rPr>
                <w:rStyle w:val="IndexLink"/>
              </w:rPr>
              <w:t>184</w:t>
            </w:r>
          </w:hyperlink>
        </w:p>
        <w:p>
          <w:pPr>
            <w:pStyle w:val="Contents6"/>
            <w:tabs>
              <w:tab w:val="clear" w:pos="7609"/>
              <w:tab w:val="right" w:pos="9026" w:leader="dot"/>
            </w:tabs>
            <w:rPr/>
          </w:pPr>
          <w:hyperlink w:anchor="__RefHeading___Toc3519881_1280447820">
            <w:r>
              <w:rPr>
                <w:webHidden/>
                <w:rStyle w:val="IndexLink"/>
                <w:rtl w:val="true"/>
              </w:rPr>
              <w:t>الأمر الثاني</w:t>
            </w:r>
            <w:r>
              <w:rPr>
                <w:rStyle w:val="IndexLink"/>
                <w:rtl w:val="true"/>
              </w:rPr>
              <w:t xml:space="preserve">: </w:t>
            </w:r>
            <w:r>
              <w:rPr>
                <w:rStyle w:val="IndexLink"/>
                <w:rtl w:val="true"/>
              </w:rPr>
              <w:t>في كون المعنى الحقيقيّ والمجازيّ في محلّين</w:t>
            </w:r>
            <w:r>
              <w:rPr>
                <w:rStyle w:val="IndexLink"/>
                <w:rtl w:val="true"/>
              </w:rPr>
              <w:tab/>
            </w:r>
            <w:r>
              <w:rPr>
                <w:rStyle w:val="IndexLink"/>
              </w:rPr>
              <w:t>188</w:t>
            </w:r>
          </w:hyperlink>
        </w:p>
        <w:p>
          <w:pPr>
            <w:pStyle w:val="Contents6"/>
            <w:tabs>
              <w:tab w:val="clear" w:pos="7609"/>
              <w:tab w:val="right" w:pos="9026" w:leader="dot"/>
            </w:tabs>
            <w:rPr/>
          </w:pPr>
          <w:hyperlink w:anchor="__RefHeading___Toc3519883_1280447820">
            <w:r>
              <w:rPr>
                <w:webHidden/>
                <w:rStyle w:val="IndexLink"/>
                <w:rtl w:val="true"/>
              </w:rPr>
              <w:t>الأمر الثالث</w:t>
            </w:r>
            <w:r>
              <w:rPr>
                <w:rStyle w:val="IndexLink"/>
                <w:rtl w:val="true"/>
              </w:rPr>
              <w:t xml:space="preserve">: </w:t>
            </w:r>
            <w:r>
              <w:rPr>
                <w:rStyle w:val="IndexLink"/>
                <w:rtl w:val="true"/>
              </w:rPr>
              <w:t>في كون المعنى الحقيقيّ والمجازيّ في حيّزين متقاربين</w:t>
            </w:r>
            <w:r>
              <w:rPr>
                <w:rStyle w:val="IndexLink"/>
                <w:rtl w:val="true"/>
              </w:rPr>
              <w:tab/>
            </w:r>
            <w:r>
              <w:rPr>
                <w:rStyle w:val="IndexLink"/>
              </w:rPr>
              <w:t>188</w:t>
            </w:r>
          </w:hyperlink>
        </w:p>
        <w:p>
          <w:pPr>
            <w:pStyle w:val="Contents4"/>
            <w:tabs>
              <w:tab w:val="clear" w:pos="8176"/>
              <w:tab w:val="right" w:pos="9026" w:leader="dot"/>
            </w:tabs>
            <w:rPr/>
          </w:pPr>
          <w:hyperlink w:anchor="__RefHeading___Toc3519885_1280447820">
            <w:r>
              <w:rPr>
                <w:webHidden/>
                <w:rStyle w:val="IndexLink"/>
                <w:rtl w:val="true"/>
              </w:rPr>
              <w:t>النوع التاسع والعاشر من العلاقة</w:t>
            </w:r>
            <w:r>
              <w:rPr>
                <w:rStyle w:val="IndexLink"/>
                <w:rtl w:val="true"/>
              </w:rPr>
              <w:t xml:space="preserve">: </w:t>
            </w:r>
            <w:r>
              <w:rPr>
                <w:rStyle w:val="IndexLink"/>
                <w:rtl w:val="true"/>
              </w:rPr>
              <w:t>العلّيّة والمعلوليّة</w:t>
            </w:r>
            <w:r>
              <w:rPr>
                <w:rStyle w:val="IndexLink"/>
                <w:rtl w:val="true"/>
              </w:rPr>
              <w:tab/>
            </w:r>
            <w:r>
              <w:rPr>
                <w:rStyle w:val="IndexLink"/>
              </w:rPr>
              <w:t>189</w:t>
            </w:r>
          </w:hyperlink>
        </w:p>
        <w:p>
          <w:pPr>
            <w:pStyle w:val="Contents5"/>
            <w:tabs>
              <w:tab w:val="clear" w:pos="7892"/>
              <w:tab w:val="right" w:pos="9026" w:leader="dot"/>
            </w:tabs>
            <w:rPr/>
          </w:pPr>
          <w:hyperlink w:anchor="__RefHeading___Toc3519887_1280447820">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3519889_1280447820">
            <w:r>
              <w:rPr>
                <w:webHidden/>
                <w:rStyle w:val="IndexLink"/>
                <w:rtl w:val="true"/>
              </w:rPr>
              <w:t>في تعريف العلّة التامّة والناقصة</w:t>
            </w:r>
            <w:r>
              <w:rPr>
                <w:rStyle w:val="IndexLink"/>
                <w:rtl w:val="true"/>
              </w:rPr>
              <w:tab/>
            </w:r>
            <w:r>
              <w:rPr>
                <w:rStyle w:val="IndexLink"/>
              </w:rPr>
              <w:t>189</w:t>
            </w:r>
          </w:hyperlink>
        </w:p>
        <w:p>
          <w:pPr>
            <w:pStyle w:val="Contents5"/>
            <w:tabs>
              <w:tab w:val="clear" w:pos="7892"/>
              <w:tab w:val="right" w:pos="9026" w:leader="dot"/>
            </w:tabs>
            <w:rPr/>
          </w:pPr>
          <w:hyperlink w:anchor="__RefHeading___Toc3519891_1280447820">
            <w:r>
              <w:rPr>
                <w:webHidden/>
                <w:rStyle w:val="IndexLink"/>
                <w:rtl w:val="true"/>
              </w:rPr>
              <w:t>في أقسام العلّة الناقصة</w:t>
            </w:r>
            <w:r>
              <w:rPr>
                <w:rStyle w:val="IndexLink"/>
                <w:rtl w:val="true"/>
              </w:rPr>
              <w:tab/>
            </w:r>
            <w:r>
              <w:rPr>
                <w:rStyle w:val="IndexLink"/>
              </w:rPr>
              <w:t>190</w:t>
            </w:r>
          </w:hyperlink>
        </w:p>
        <w:p>
          <w:pPr>
            <w:pStyle w:val="Contents5"/>
            <w:tabs>
              <w:tab w:val="clear" w:pos="7892"/>
              <w:tab w:val="right" w:pos="9026" w:leader="dot"/>
            </w:tabs>
            <w:rPr/>
          </w:pPr>
          <w:hyperlink w:anchor="__RefHeading___Toc3519893_1280447820">
            <w:r>
              <w:rPr>
                <w:webHidden/>
                <w:rStyle w:val="IndexLink"/>
                <w:rtl w:val="true"/>
              </w:rPr>
              <w:t>التنبيه على أمور</w:t>
            </w:r>
            <w:r>
              <w:rPr>
                <w:rStyle w:val="IndexLink"/>
                <w:rtl w:val="true"/>
              </w:rPr>
              <w:tab/>
            </w:r>
            <w:r>
              <w:rPr>
                <w:rStyle w:val="IndexLink"/>
              </w:rPr>
              <w:t>195</w:t>
            </w:r>
          </w:hyperlink>
        </w:p>
        <w:p>
          <w:pPr>
            <w:pStyle w:val="Contents6"/>
            <w:tabs>
              <w:tab w:val="clear" w:pos="7609"/>
              <w:tab w:val="right" w:pos="9026" w:leader="dot"/>
            </w:tabs>
            <w:rPr/>
          </w:pPr>
          <w:hyperlink w:anchor="__RefHeading___Toc3519895_1280447820">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3519897_1280447820">
            <w:r>
              <w:rPr>
                <w:webHidden/>
                <w:rStyle w:val="IndexLink"/>
                <w:rtl w:val="true"/>
              </w:rPr>
              <w:t>الأمر الأوّل</w:t>
            </w:r>
            <w:r>
              <w:rPr>
                <w:rStyle w:val="IndexLink"/>
                <w:rtl w:val="true"/>
              </w:rPr>
              <w:tab/>
            </w:r>
            <w:r>
              <w:rPr>
                <w:rStyle w:val="IndexLink"/>
              </w:rPr>
              <w:t>195</w:t>
            </w:r>
          </w:hyperlink>
        </w:p>
        <w:p>
          <w:pPr>
            <w:pStyle w:val="Contents6"/>
            <w:tabs>
              <w:tab w:val="clear" w:pos="7609"/>
              <w:tab w:val="right" w:pos="9026" w:leader="dot"/>
            </w:tabs>
            <w:rPr/>
          </w:pPr>
          <w:hyperlink w:anchor="__RefHeading___Toc3519899_1280447820">
            <w:r>
              <w:rPr>
                <w:webHidden/>
                <w:rStyle w:val="IndexLink"/>
                <w:rtl w:val="true"/>
              </w:rPr>
              <w:t>الأمر الثاني</w:t>
            </w:r>
            <w:r>
              <w:rPr>
                <w:rStyle w:val="IndexLink"/>
                <w:rtl w:val="true"/>
              </w:rPr>
              <w:t xml:space="preserve">: </w:t>
            </w:r>
            <w:r>
              <w:rPr>
                <w:rStyle w:val="IndexLink"/>
                <w:rtl w:val="true"/>
              </w:rPr>
              <w:t>ذكر اختلاف الأعلام في التعبير عن هذه العلاقة</w:t>
            </w:r>
            <w:r>
              <w:rPr>
                <w:rStyle w:val="IndexLink"/>
                <w:rtl w:val="true"/>
              </w:rPr>
              <w:tab/>
            </w:r>
            <w:r>
              <w:rPr>
                <w:rStyle w:val="IndexLink"/>
              </w:rPr>
              <w:t>196</w:t>
            </w:r>
          </w:hyperlink>
        </w:p>
        <w:p>
          <w:pPr>
            <w:pStyle w:val="Contents6"/>
            <w:tabs>
              <w:tab w:val="clear" w:pos="7609"/>
              <w:tab w:val="right" w:pos="9026" w:leader="dot"/>
            </w:tabs>
            <w:rPr/>
          </w:pPr>
          <w:hyperlink w:anchor="__RefHeading___Toc3519901_1280447820">
            <w:r>
              <w:rPr>
                <w:webHidden/>
                <w:rStyle w:val="IndexLink"/>
                <w:rtl w:val="true"/>
              </w:rPr>
              <w:t>الأمر الثالث</w:t>
            </w:r>
            <w:r>
              <w:rPr>
                <w:rStyle w:val="IndexLink"/>
                <w:rtl w:val="true"/>
              </w:rPr>
              <w:t xml:space="preserve">: </w:t>
            </w:r>
            <w:r>
              <w:rPr>
                <w:rStyle w:val="IndexLink"/>
                <w:rtl w:val="true"/>
              </w:rPr>
              <w:t>في أنّ جواز التجوّز في المقام عامّ في جميع الأقسام</w:t>
            </w:r>
            <w:r>
              <w:rPr>
                <w:rStyle w:val="IndexLink"/>
                <w:rtl w:val="true"/>
              </w:rPr>
              <w:tab/>
            </w:r>
            <w:r>
              <w:rPr>
                <w:rStyle w:val="IndexLink"/>
              </w:rPr>
              <w:t>197</w:t>
            </w:r>
          </w:hyperlink>
        </w:p>
        <w:p>
          <w:pPr>
            <w:pStyle w:val="Contents3"/>
            <w:tabs>
              <w:tab w:val="clear" w:pos="8459"/>
              <w:tab w:val="right" w:pos="9026" w:leader="dot"/>
            </w:tabs>
            <w:rPr/>
          </w:pPr>
          <w:hyperlink w:anchor="__RefHeading___Toc3519903_1280447820">
            <w:r>
              <w:rPr>
                <w:webHidden/>
                <w:rStyle w:val="IndexLink"/>
                <w:rtl w:val="true"/>
              </w:rPr>
              <w:t>المبحث الثالث</w:t>
            </w:r>
            <w:r>
              <w:rPr>
                <w:rStyle w:val="IndexLink"/>
                <w:rtl w:val="true"/>
              </w:rPr>
              <w:t xml:space="preserve">: </w:t>
            </w:r>
            <w:r>
              <w:rPr>
                <w:rStyle w:val="IndexLink"/>
                <w:rtl w:val="true"/>
              </w:rPr>
              <w:t>في أنّه هل يكتفي في التجوّز بوجدان العلاقة أو يشترط مع ذلك نقل الآحاد عن أهل اللغة</w:t>
            </w:r>
            <w:r>
              <w:rPr>
                <w:rStyle w:val="IndexLink"/>
                <w:rtl w:val="true"/>
              </w:rPr>
              <w:tab/>
            </w:r>
            <w:r>
              <w:rPr>
                <w:rStyle w:val="IndexLink"/>
              </w:rPr>
              <w:t>201</w:t>
            </w:r>
          </w:hyperlink>
        </w:p>
        <w:p>
          <w:pPr>
            <w:pStyle w:val="Contents4"/>
            <w:tabs>
              <w:tab w:val="clear" w:pos="8176"/>
              <w:tab w:val="right" w:pos="9026" w:leader="dot"/>
            </w:tabs>
            <w:rPr/>
          </w:pPr>
          <w:hyperlink w:anchor="__RefHeading___Toc3519905_1280447820">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3519907_1280447820">
            <w:r>
              <w:rPr>
                <w:webHidden/>
                <w:rStyle w:val="IndexLink"/>
                <w:rtl w:val="true"/>
              </w:rPr>
              <w:t>الدليل الأوّل للقول بعدم الاشتراط</w:t>
            </w:r>
            <w:r>
              <w:rPr>
                <w:rStyle w:val="IndexLink"/>
                <w:rtl w:val="true"/>
              </w:rPr>
              <w:tab/>
            </w:r>
            <w:r>
              <w:rPr>
                <w:rStyle w:val="IndexLink"/>
              </w:rPr>
              <w:t>201</w:t>
            </w:r>
          </w:hyperlink>
        </w:p>
        <w:p>
          <w:pPr>
            <w:pStyle w:val="Contents4"/>
            <w:tabs>
              <w:tab w:val="clear" w:pos="8176"/>
              <w:tab w:val="right" w:pos="9026" w:leader="dot"/>
            </w:tabs>
            <w:rPr/>
          </w:pPr>
          <w:hyperlink w:anchor="__RefHeading___Toc3519909_1280447820">
            <w:r>
              <w:rPr>
                <w:webHidden/>
                <w:rStyle w:val="IndexLink"/>
                <w:rtl w:val="true"/>
              </w:rPr>
              <w:t>الدليل الثاني للقول بعدم الاشتراط</w:t>
            </w:r>
            <w:r>
              <w:rPr>
                <w:rStyle w:val="IndexLink"/>
                <w:rtl w:val="true"/>
              </w:rPr>
              <w:tab/>
            </w:r>
            <w:r>
              <w:rPr>
                <w:rStyle w:val="IndexLink"/>
              </w:rPr>
              <w:t>202</w:t>
            </w:r>
          </w:hyperlink>
        </w:p>
        <w:p>
          <w:pPr>
            <w:pStyle w:val="Contents4"/>
            <w:tabs>
              <w:tab w:val="clear" w:pos="8176"/>
              <w:tab w:val="right" w:pos="9026" w:leader="dot"/>
            </w:tabs>
            <w:rPr/>
          </w:pPr>
          <w:hyperlink w:anchor="__RefHeading___Toc3519911_1280447820">
            <w:r>
              <w:rPr>
                <w:webHidden/>
                <w:rStyle w:val="IndexLink"/>
                <w:rtl w:val="true"/>
              </w:rPr>
              <w:t>الدليل الثالث للقول بعدم الاشتراط</w:t>
            </w:r>
            <w:r>
              <w:rPr>
                <w:rStyle w:val="IndexLink"/>
                <w:rtl w:val="true"/>
              </w:rPr>
              <w:tab/>
            </w:r>
            <w:r>
              <w:rPr>
                <w:rStyle w:val="IndexLink"/>
              </w:rPr>
              <w:t>204</w:t>
            </w:r>
          </w:hyperlink>
        </w:p>
        <w:p>
          <w:pPr>
            <w:pStyle w:val="Contents4"/>
            <w:tabs>
              <w:tab w:val="clear" w:pos="8176"/>
              <w:tab w:val="right" w:pos="9026" w:leader="dot"/>
            </w:tabs>
            <w:rPr/>
          </w:pPr>
          <w:hyperlink w:anchor="__RefHeading___Toc3519913_1280447820">
            <w:r>
              <w:rPr>
                <w:webHidden/>
                <w:rStyle w:val="IndexLink"/>
                <w:rtl w:val="true"/>
              </w:rPr>
              <w:t>الدليل الرابع للقول بعدم الاشتراط</w:t>
            </w:r>
            <w:r>
              <w:rPr>
                <w:rStyle w:val="IndexLink"/>
                <w:rtl w:val="true"/>
              </w:rPr>
              <w:tab/>
            </w:r>
            <w:r>
              <w:rPr>
                <w:rStyle w:val="IndexLink"/>
              </w:rPr>
              <w:t>206</w:t>
            </w:r>
          </w:hyperlink>
        </w:p>
        <w:p>
          <w:pPr>
            <w:pStyle w:val="Contents4"/>
            <w:tabs>
              <w:tab w:val="clear" w:pos="8176"/>
              <w:tab w:val="right" w:pos="9026" w:leader="dot"/>
            </w:tabs>
            <w:rPr/>
          </w:pPr>
          <w:hyperlink w:anchor="__RefHeading___Toc3519915_1280447820">
            <w:r>
              <w:rPr>
                <w:webHidden/>
                <w:rStyle w:val="IndexLink"/>
                <w:rtl w:val="true"/>
              </w:rPr>
              <w:t>دليل القائلين بالاشتراط مع الجواب عنه</w:t>
            </w:r>
            <w:r>
              <w:rPr>
                <w:rStyle w:val="IndexLink"/>
                <w:rtl w:val="true"/>
              </w:rPr>
              <w:tab/>
            </w:r>
            <w:r>
              <w:rPr>
                <w:rStyle w:val="IndexLink"/>
              </w:rPr>
              <w:t>207</w:t>
            </w:r>
          </w:hyperlink>
        </w:p>
        <w:p>
          <w:pPr>
            <w:pStyle w:val="Contents5"/>
            <w:tabs>
              <w:tab w:val="clear" w:pos="7892"/>
              <w:tab w:val="right" w:pos="9026" w:leader="dot"/>
            </w:tabs>
            <w:rPr/>
          </w:pPr>
          <w:hyperlink w:anchor="__RefHeading___Toc3519917_1280447820">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3519919_1280447820">
            <w:r>
              <w:rPr>
                <w:webHidden/>
                <w:rStyle w:val="IndexLink"/>
                <w:rtl w:val="true"/>
              </w:rPr>
              <w:t>الدليل الأوّل للقول بالاشتراط</w:t>
            </w:r>
            <w:r>
              <w:rPr>
                <w:rStyle w:val="IndexLink"/>
                <w:rtl w:val="true"/>
              </w:rPr>
              <w:tab/>
            </w:r>
            <w:r>
              <w:rPr>
                <w:rStyle w:val="IndexLink"/>
              </w:rPr>
              <w:t>207</w:t>
            </w:r>
          </w:hyperlink>
        </w:p>
        <w:p>
          <w:pPr>
            <w:pStyle w:val="Contents6"/>
            <w:tabs>
              <w:tab w:val="clear" w:pos="7609"/>
              <w:tab w:val="right" w:pos="9026" w:leader="dot"/>
            </w:tabs>
            <w:rPr/>
          </w:pPr>
          <w:hyperlink w:anchor="__RefHeading___Toc3519921_1280447820">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3519923_1280447820">
            <w:r>
              <w:rPr>
                <w:webHidden/>
                <w:rStyle w:val="IndexLink"/>
                <w:rtl w:val="true"/>
              </w:rPr>
              <w:t>دفع إيراد لتسديد مقام</w:t>
            </w:r>
            <w:r>
              <w:rPr>
                <w:rStyle w:val="IndexLink"/>
                <w:rtl w:val="true"/>
              </w:rPr>
              <w:tab/>
            </w:r>
            <w:r>
              <w:rPr>
                <w:rStyle w:val="IndexLink"/>
              </w:rPr>
              <w:t>210</w:t>
            </w:r>
          </w:hyperlink>
        </w:p>
        <w:p>
          <w:pPr>
            <w:pStyle w:val="Contents6"/>
            <w:tabs>
              <w:tab w:val="clear" w:pos="7609"/>
              <w:tab w:val="right" w:pos="9026" w:leader="dot"/>
            </w:tabs>
            <w:rPr/>
          </w:pPr>
          <w:hyperlink w:anchor="__RefHeading___Toc3519925_1280447820">
            <w:r>
              <w:rPr>
                <w:webHidden/>
                <w:rStyle w:val="IndexLink"/>
                <w:rtl w:val="true"/>
              </w:rPr>
              <w:t>الجواب عن الإيراد</w:t>
            </w:r>
            <w:r>
              <w:rPr>
                <w:rStyle w:val="IndexLink"/>
                <w:rtl w:val="true"/>
              </w:rPr>
              <w:tab/>
            </w:r>
            <w:r>
              <w:rPr>
                <w:rStyle w:val="IndexLink"/>
              </w:rPr>
              <w:t>210</w:t>
            </w:r>
          </w:hyperlink>
        </w:p>
        <w:p>
          <w:pPr>
            <w:pStyle w:val="Contents6"/>
            <w:tabs>
              <w:tab w:val="clear" w:pos="7609"/>
              <w:tab w:val="right" w:pos="9026" w:leader="dot"/>
            </w:tabs>
            <w:rPr/>
          </w:pPr>
          <w:hyperlink w:anchor="__RefHeading___Toc3519927_1280447820">
            <w:r>
              <w:rPr>
                <w:webHidden/>
                <w:rStyle w:val="IndexLink"/>
                <w:rtl w:val="true"/>
              </w:rPr>
              <w:t>الردّ على الجواب من دليل القائلين باشتراط نقل الآحاد</w:t>
            </w:r>
            <w:r>
              <w:rPr>
                <w:rStyle w:val="IndexLink"/>
                <w:rtl w:val="true"/>
              </w:rPr>
              <w:tab/>
            </w:r>
            <w:r>
              <w:rPr>
                <w:rStyle w:val="IndexLink"/>
              </w:rPr>
              <w:t>212</w:t>
            </w:r>
          </w:hyperlink>
        </w:p>
        <w:p>
          <w:pPr>
            <w:pStyle w:val="Contents5"/>
            <w:tabs>
              <w:tab w:val="clear" w:pos="7892"/>
              <w:tab w:val="right" w:pos="9026" w:leader="dot"/>
            </w:tabs>
            <w:rPr/>
          </w:pPr>
          <w:hyperlink w:anchor="__RefHeading___Toc3519929_1280447820">
            <w:r>
              <w:rPr>
                <w:webHidden/>
                <w:rStyle w:val="IndexLink"/>
                <w:rtl w:val="true"/>
              </w:rPr>
              <w:t>الدليل الثاني للقول بالاشتراط</w:t>
            </w:r>
            <w:r>
              <w:rPr>
                <w:rStyle w:val="IndexLink"/>
                <w:rtl w:val="true"/>
              </w:rPr>
              <w:tab/>
            </w:r>
            <w:r>
              <w:rPr>
                <w:rStyle w:val="IndexLink"/>
              </w:rPr>
              <w:t>214</w:t>
            </w:r>
          </w:hyperlink>
        </w:p>
        <w:p>
          <w:pPr>
            <w:pStyle w:val="Contents5"/>
            <w:tabs>
              <w:tab w:val="clear" w:pos="7892"/>
              <w:tab w:val="right" w:pos="9026" w:leader="dot"/>
            </w:tabs>
            <w:rPr/>
          </w:pPr>
          <w:hyperlink w:anchor="__RefHeading___Toc3519931_1280447820">
            <w:r>
              <w:rPr>
                <w:webHidden/>
                <w:rStyle w:val="IndexLink"/>
                <w:rtl w:val="true"/>
              </w:rPr>
              <w:t>الدليل الثالث للقول بالاشتراط</w:t>
            </w:r>
            <w:r>
              <w:rPr>
                <w:rStyle w:val="IndexLink"/>
                <w:rtl w:val="true"/>
              </w:rPr>
              <w:tab/>
            </w:r>
            <w:r>
              <w:rPr>
                <w:rStyle w:val="IndexLink"/>
              </w:rPr>
              <w:t>215</w:t>
            </w:r>
          </w:hyperlink>
        </w:p>
        <w:p>
          <w:pPr>
            <w:pStyle w:val="Contents2"/>
            <w:tabs>
              <w:tab w:val="clear" w:pos="8743"/>
              <w:tab w:val="right" w:pos="9026" w:leader="dot"/>
            </w:tabs>
            <w:rPr/>
          </w:pPr>
          <w:hyperlink w:anchor="__RefHeading___Toc3519933_1280447820">
            <w:r>
              <w:rPr>
                <w:webHidden/>
                <w:rStyle w:val="IndexLink"/>
                <w:rtl w:val="true"/>
              </w:rPr>
              <w:t>الباب الثاني</w:t>
            </w:r>
            <w:r>
              <w:rPr>
                <w:rStyle w:val="IndexLink"/>
                <w:rtl w:val="true"/>
              </w:rPr>
              <w:t xml:space="preserve">: </w:t>
            </w:r>
            <w:r>
              <w:rPr>
                <w:rStyle w:val="IndexLink"/>
                <w:rtl w:val="true"/>
              </w:rPr>
              <w:t>في الأمارات الّتي بها يحصل الامتياز بين الحقيقة والمجاز</w:t>
            </w:r>
            <w:r>
              <w:rPr>
                <w:rStyle w:val="IndexLink"/>
                <w:rtl w:val="true"/>
              </w:rPr>
              <w:tab/>
            </w:r>
            <w:r>
              <w:rPr>
                <w:rStyle w:val="IndexLink"/>
              </w:rPr>
              <w:t>220</w:t>
            </w:r>
          </w:hyperlink>
        </w:p>
        <w:p>
          <w:pPr>
            <w:pStyle w:val="Contents3"/>
            <w:tabs>
              <w:tab w:val="clear" w:pos="8459"/>
              <w:tab w:val="right" w:pos="9026" w:leader="dot"/>
            </w:tabs>
            <w:rPr/>
          </w:pPr>
          <w:hyperlink w:anchor="__RefHeading___Toc3519935_1280447820">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3519937_1280447820">
            <w:r>
              <w:rPr>
                <w:webHidden/>
                <w:rStyle w:val="IndexLink"/>
                <w:rtl w:val="true"/>
              </w:rPr>
              <w:t>الفصل الأوّل</w:t>
            </w:r>
            <w:r>
              <w:rPr>
                <w:rStyle w:val="IndexLink"/>
                <w:rtl w:val="true"/>
              </w:rPr>
              <w:t xml:space="preserve">: </w:t>
            </w:r>
            <w:r>
              <w:rPr>
                <w:rStyle w:val="IndexLink"/>
                <w:rtl w:val="true"/>
              </w:rPr>
              <w:t>فيما يتوصّل إلى الحقيقة والمجاز من كلمات أهل اللغة</w:t>
            </w:r>
            <w:r>
              <w:rPr>
                <w:rStyle w:val="IndexLink"/>
                <w:rtl w:val="true"/>
              </w:rPr>
              <w:tab/>
            </w:r>
            <w:r>
              <w:rPr>
                <w:rStyle w:val="IndexLink"/>
              </w:rPr>
              <w:t>222</w:t>
            </w:r>
          </w:hyperlink>
        </w:p>
        <w:p>
          <w:pPr>
            <w:pStyle w:val="Contents3"/>
            <w:tabs>
              <w:tab w:val="clear" w:pos="8459"/>
              <w:tab w:val="right" w:pos="9026" w:leader="dot"/>
            </w:tabs>
            <w:rPr/>
          </w:pPr>
          <w:hyperlink w:anchor="__RefHeading___Toc3519939_1280447820">
            <w:r>
              <w:rPr>
                <w:webHidden/>
                <w:rStyle w:val="IndexLink"/>
                <w:rtl w:val="true"/>
              </w:rPr>
              <w:t>الفصل الثاني</w:t>
            </w:r>
            <w:r>
              <w:rPr>
                <w:rStyle w:val="IndexLink"/>
                <w:rtl w:val="true"/>
              </w:rPr>
              <w:t xml:space="preserve">: </w:t>
            </w:r>
            <w:r>
              <w:rPr>
                <w:rStyle w:val="IndexLink"/>
                <w:rtl w:val="true"/>
              </w:rPr>
              <w:t>في صحّة السلب وعدمها</w:t>
            </w:r>
            <w:r>
              <w:rPr>
                <w:rStyle w:val="IndexLink"/>
                <w:rtl w:val="true"/>
              </w:rPr>
              <w:tab/>
            </w:r>
            <w:r>
              <w:rPr>
                <w:rStyle w:val="IndexLink"/>
              </w:rPr>
              <w:t>224</w:t>
            </w:r>
          </w:hyperlink>
        </w:p>
        <w:p>
          <w:pPr>
            <w:pStyle w:val="Contents4"/>
            <w:tabs>
              <w:tab w:val="clear" w:pos="8176"/>
              <w:tab w:val="right" w:pos="9026" w:leader="dot"/>
            </w:tabs>
            <w:rPr/>
          </w:pPr>
          <w:hyperlink w:anchor="__RefHeading___Toc3519941_1280447820">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3519943_1280447820">
            <w:r>
              <w:rPr>
                <w:webHidden/>
                <w:rStyle w:val="IndexLink"/>
                <w:rtl w:val="true"/>
              </w:rPr>
              <w:t>المقامات الّتي يتشبّث فيها بصحّة السلب والعدم</w:t>
            </w:r>
            <w:r>
              <w:rPr>
                <w:rStyle w:val="IndexLink"/>
                <w:rtl w:val="true"/>
              </w:rPr>
              <w:tab/>
            </w:r>
            <w:r>
              <w:rPr>
                <w:rStyle w:val="IndexLink"/>
              </w:rPr>
              <w:t>226</w:t>
            </w:r>
          </w:hyperlink>
        </w:p>
        <w:p>
          <w:pPr>
            <w:pStyle w:val="Contents4"/>
            <w:tabs>
              <w:tab w:val="clear" w:pos="8176"/>
              <w:tab w:val="right" w:pos="9026" w:leader="dot"/>
            </w:tabs>
            <w:rPr/>
          </w:pPr>
          <w:hyperlink w:anchor="__RefHeading___Toc3519945_1280447820">
            <w:r>
              <w:rPr>
                <w:webHidden/>
                <w:rStyle w:val="IndexLink"/>
                <w:rtl w:val="true"/>
              </w:rPr>
              <w:t>وهمٌ وإزاحة</w:t>
            </w:r>
            <w:r>
              <w:rPr>
                <w:rStyle w:val="IndexLink"/>
                <w:rtl w:val="true"/>
              </w:rPr>
              <w:tab/>
            </w:r>
            <w:r>
              <w:rPr>
                <w:rStyle w:val="IndexLink"/>
              </w:rPr>
              <w:t>227</w:t>
            </w:r>
          </w:hyperlink>
        </w:p>
        <w:p>
          <w:pPr>
            <w:pStyle w:val="Contents4"/>
            <w:tabs>
              <w:tab w:val="clear" w:pos="8176"/>
              <w:tab w:val="right" w:pos="9026" w:leader="dot"/>
            </w:tabs>
            <w:rPr/>
          </w:pPr>
          <w:hyperlink w:anchor="__RefHeading___Toc3519947_1280447820">
            <w:r>
              <w:rPr>
                <w:webHidden/>
                <w:rStyle w:val="IndexLink"/>
                <w:rtl w:val="true"/>
              </w:rPr>
              <w:t>توضيح مراد الفاضل العضديّ</w:t>
            </w:r>
            <w:r>
              <w:rPr>
                <w:rStyle w:val="IndexLink"/>
                <w:rtl w:val="true"/>
              </w:rPr>
              <w:tab/>
            </w:r>
            <w:r>
              <w:rPr>
                <w:rStyle w:val="IndexLink"/>
              </w:rPr>
              <w:t>227</w:t>
            </w:r>
          </w:hyperlink>
        </w:p>
        <w:p>
          <w:pPr>
            <w:pStyle w:val="Contents4"/>
            <w:tabs>
              <w:tab w:val="clear" w:pos="8176"/>
              <w:tab w:val="right" w:pos="9026" w:leader="dot"/>
            </w:tabs>
            <w:rPr/>
          </w:pPr>
          <w:hyperlink w:anchor="__RefHeading___Toc3519949_1280447820">
            <w:r>
              <w:rPr>
                <w:webHidden/>
                <w:rStyle w:val="IndexLink"/>
                <w:rtl w:val="true"/>
              </w:rPr>
              <w:t xml:space="preserve">قيد </w:t>
            </w:r>
            <w:r>
              <w:rPr>
                <w:rStyle w:val="IndexLink"/>
                <w:rtl w:val="true"/>
              </w:rPr>
              <w:t>«</w:t>
            </w:r>
            <w:r>
              <w:rPr>
                <w:rStyle w:val="IndexLink"/>
                <w:rtl w:val="true"/>
              </w:rPr>
              <w:t>نفس الأمر</w:t>
            </w:r>
            <w:r>
              <w:rPr>
                <w:rStyle w:val="IndexLink"/>
                <w:rtl w:val="true"/>
              </w:rPr>
              <w:t xml:space="preserve">» </w:t>
            </w:r>
            <w:r>
              <w:rPr>
                <w:rStyle w:val="IndexLink"/>
                <w:rtl w:val="true"/>
              </w:rPr>
              <w:t>في صحّة السلب غير مفتقر إليه</w:t>
            </w:r>
            <w:r>
              <w:rPr>
                <w:rStyle w:val="IndexLink"/>
                <w:rtl w:val="true"/>
              </w:rPr>
              <w:tab/>
            </w:r>
            <w:r>
              <w:rPr>
                <w:rStyle w:val="IndexLink"/>
              </w:rPr>
              <w:t>228</w:t>
            </w:r>
          </w:hyperlink>
        </w:p>
        <w:p>
          <w:pPr>
            <w:pStyle w:val="Contents4"/>
            <w:tabs>
              <w:tab w:val="clear" w:pos="8176"/>
              <w:tab w:val="right" w:pos="9026" w:leader="dot"/>
            </w:tabs>
            <w:rPr/>
          </w:pPr>
          <w:hyperlink w:anchor="__RefHeading___Toc3519951_1280447820">
            <w:r>
              <w:rPr>
                <w:webHidden/>
                <w:rStyle w:val="IndexLink"/>
                <w:rtl w:val="true"/>
              </w:rPr>
              <w:t xml:space="preserve">الاعتراضات الواردة على جعل </w:t>
            </w:r>
            <w:r>
              <w:rPr>
                <w:rStyle w:val="IndexLink"/>
                <w:rtl w:val="true"/>
              </w:rPr>
              <w:t>«</w:t>
            </w:r>
            <w:r>
              <w:rPr>
                <w:rStyle w:val="IndexLink"/>
                <w:rtl w:val="true"/>
              </w:rPr>
              <w:t>صحّة السلب وعدمها</w:t>
            </w:r>
            <w:r>
              <w:rPr>
                <w:rStyle w:val="IndexLink"/>
                <w:rtl w:val="true"/>
              </w:rPr>
              <w:t xml:space="preserve">» </w:t>
            </w:r>
            <w:r>
              <w:rPr>
                <w:rStyle w:val="IndexLink"/>
                <w:rtl w:val="true"/>
              </w:rPr>
              <w:t>علامة</w:t>
            </w:r>
            <w:r>
              <w:rPr>
                <w:rStyle w:val="IndexLink"/>
                <w:rtl w:val="true"/>
              </w:rPr>
              <w:tab/>
            </w:r>
            <w:r>
              <w:rPr>
                <w:rStyle w:val="IndexLink"/>
              </w:rPr>
              <w:t>229</w:t>
            </w:r>
          </w:hyperlink>
        </w:p>
        <w:p>
          <w:pPr>
            <w:pStyle w:val="Contents5"/>
            <w:tabs>
              <w:tab w:val="clear" w:pos="7892"/>
              <w:tab w:val="right" w:pos="9026" w:leader="dot"/>
            </w:tabs>
            <w:rPr/>
          </w:pPr>
          <w:hyperlink w:anchor="__RefHeading___Toc3519953_1280447820">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3519955_1280447820">
            <w:r>
              <w:rPr>
                <w:webHidden/>
                <w:rStyle w:val="IndexLink"/>
                <w:rtl w:val="true"/>
              </w:rPr>
              <w:t>الاعتراض الأوّل</w:t>
            </w:r>
            <w:r>
              <w:rPr>
                <w:rStyle w:val="IndexLink"/>
                <w:rtl w:val="true"/>
              </w:rPr>
              <w:tab/>
            </w:r>
            <w:r>
              <w:rPr>
                <w:rStyle w:val="IndexLink"/>
              </w:rPr>
              <w:t>229</w:t>
            </w:r>
          </w:hyperlink>
        </w:p>
        <w:p>
          <w:pPr>
            <w:pStyle w:val="Contents5"/>
            <w:tabs>
              <w:tab w:val="clear" w:pos="7892"/>
              <w:tab w:val="right" w:pos="9026" w:leader="dot"/>
            </w:tabs>
            <w:rPr/>
          </w:pPr>
          <w:hyperlink w:anchor="__RefHeading___Toc3519957_1280447820">
            <w:r>
              <w:rPr>
                <w:webHidden/>
                <w:rStyle w:val="IndexLink"/>
                <w:rtl w:val="true"/>
              </w:rPr>
              <w:t>الاعتراض الثاني</w:t>
            </w:r>
            <w:r>
              <w:rPr>
                <w:rStyle w:val="IndexLink"/>
                <w:rtl w:val="true"/>
              </w:rPr>
              <w:tab/>
            </w:r>
            <w:r>
              <w:rPr>
                <w:rStyle w:val="IndexLink"/>
              </w:rPr>
              <w:t>229</w:t>
            </w:r>
          </w:hyperlink>
        </w:p>
        <w:p>
          <w:pPr>
            <w:pStyle w:val="Contents5"/>
            <w:tabs>
              <w:tab w:val="clear" w:pos="7892"/>
              <w:tab w:val="right" w:pos="9026" w:leader="dot"/>
            </w:tabs>
            <w:rPr/>
          </w:pPr>
          <w:hyperlink w:anchor="__RefHeading___Toc3519959_1280447820">
            <w:r>
              <w:rPr>
                <w:webHidden/>
                <w:rStyle w:val="IndexLink"/>
                <w:rtl w:val="true"/>
              </w:rPr>
              <w:t>الجواب عن الاعتراض الأوّل</w:t>
            </w:r>
            <w:r>
              <w:rPr>
                <w:rStyle w:val="IndexLink"/>
                <w:rtl w:val="true"/>
              </w:rPr>
              <w:tab/>
            </w:r>
            <w:r>
              <w:rPr>
                <w:rStyle w:val="IndexLink"/>
              </w:rPr>
              <w:t>232</w:t>
            </w:r>
          </w:hyperlink>
        </w:p>
        <w:p>
          <w:pPr>
            <w:pStyle w:val="Contents5"/>
            <w:tabs>
              <w:tab w:val="clear" w:pos="7892"/>
              <w:tab w:val="right" w:pos="9026" w:leader="dot"/>
            </w:tabs>
            <w:rPr/>
          </w:pPr>
          <w:hyperlink w:anchor="__RefHeading___Toc3519961_1280447820">
            <w:r>
              <w:rPr>
                <w:webHidden/>
                <w:rStyle w:val="IndexLink"/>
                <w:rtl w:val="true"/>
              </w:rPr>
              <w:t>الجواب عن الاعتراض الثاني</w:t>
            </w:r>
            <w:r>
              <w:rPr>
                <w:rStyle w:val="IndexLink"/>
                <w:rtl w:val="true"/>
              </w:rPr>
              <w:tab/>
            </w:r>
            <w:r>
              <w:rPr>
                <w:rStyle w:val="IndexLink"/>
              </w:rPr>
              <w:t>234</w:t>
            </w:r>
          </w:hyperlink>
        </w:p>
        <w:p>
          <w:pPr>
            <w:pStyle w:val="Contents6"/>
            <w:tabs>
              <w:tab w:val="clear" w:pos="7609"/>
              <w:tab w:val="right" w:pos="9026" w:leader="dot"/>
            </w:tabs>
            <w:rPr/>
          </w:pPr>
          <w:hyperlink w:anchor="__RefHeading___Toc3519963_1280447820">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3519965_1280447820">
            <w:r>
              <w:rPr>
                <w:webHidden/>
                <w:rStyle w:val="IndexLink"/>
                <w:rtl w:val="true"/>
              </w:rPr>
              <w:t>الجواب الأوّل عن الاعتراض الثاني</w:t>
            </w:r>
            <w:r>
              <w:rPr>
                <w:rStyle w:val="IndexLink"/>
                <w:rtl w:val="true"/>
              </w:rPr>
              <w:tab/>
            </w:r>
            <w:r>
              <w:rPr>
                <w:rStyle w:val="IndexLink"/>
              </w:rPr>
              <w:t>234</w:t>
            </w:r>
          </w:hyperlink>
        </w:p>
        <w:p>
          <w:pPr>
            <w:pStyle w:val="Contents6"/>
            <w:tabs>
              <w:tab w:val="clear" w:pos="7609"/>
              <w:tab w:val="right" w:pos="9026" w:leader="dot"/>
            </w:tabs>
            <w:rPr/>
          </w:pPr>
          <w:hyperlink w:anchor="__RefHeading___Toc3519967_1280447820">
            <w:r>
              <w:rPr>
                <w:webHidden/>
                <w:rStyle w:val="IndexLink"/>
                <w:rtl w:val="true"/>
              </w:rPr>
              <w:t>الجواب الثاني عن الاعتراض الثاني</w:t>
            </w:r>
            <w:r>
              <w:rPr>
                <w:rStyle w:val="IndexLink"/>
                <w:rtl w:val="true"/>
              </w:rPr>
              <w:tab/>
            </w:r>
            <w:r>
              <w:rPr>
                <w:rStyle w:val="IndexLink"/>
              </w:rPr>
              <w:t>239</w:t>
            </w:r>
          </w:hyperlink>
        </w:p>
        <w:p>
          <w:pPr>
            <w:pStyle w:val="Contents6"/>
            <w:tabs>
              <w:tab w:val="clear" w:pos="7609"/>
              <w:tab w:val="right" w:pos="9026" w:leader="dot"/>
            </w:tabs>
            <w:rPr/>
          </w:pPr>
          <w:hyperlink w:anchor="__RefHeading___Toc3519969_1280447820">
            <w:r>
              <w:rPr>
                <w:webHidden/>
                <w:rStyle w:val="IndexLink"/>
                <w:rtl w:val="true"/>
              </w:rPr>
              <w:t>الجواب الثالث عن الاعتراض الثاني</w:t>
            </w:r>
            <w:r>
              <w:rPr>
                <w:rStyle w:val="IndexLink"/>
                <w:rtl w:val="true"/>
              </w:rPr>
              <w:tab/>
            </w:r>
            <w:r>
              <w:rPr>
                <w:rStyle w:val="IndexLink"/>
              </w:rPr>
              <w:t>240</w:t>
            </w:r>
          </w:hyperlink>
        </w:p>
        <w:p>
          <w:pPr>
            <w:pStyle w:val="Contents5"/>
            <w:tabs>
              <w:tab w:val="clear" w:pos="7892"/>
              <w:tab w:val="right" w:pos="9026" w:leader="dot"/>
            </w:tabs>
            <w:rPr/>
          </w:pPr>
          <w:hyperlink w:anchor="__RefHeading___Toc3519971_1280447820">
            <w:r>
              <w:rPr>
                <w:webHidden/>
                <w:rStyle w:val="IndexLink"/>
                <w:rtl w:val="true"/>
              </w:rPr>
              <w:t>الاعتراض الثالث</w:t>
            </w:r>
            <w:r>
              <w:rPr>
                <w:rStyle w:val="IndexLink"/>
                <w:rtl w:val="true"/>
              </w:rPr>
              <w:tab/>
            </w:r>
            <w:r>
              <w:rPr>
                <w:rStyle w:val="IndexLink"/>
              </w:rPr>
              <w:t>240</w:t>
            </w:r>
          </w:hyperlink>
        </w:p>
        <w:p>
          <w:pPr>
            <w:pStyle w:val="Contents5"/>
            <w:tabs>
              <w:tab w:val="clear" w:pos="7892"/>
              <w:tab w:val="right" w:pos="9026" w:leader="dot"/>
            </w:tabs>
            <w:rPr/>
          </w:pPr>
          <w:hyperlink w:anchor="__RefHeading___Toc3519973_1280447820">
            <w:r>
              <w:rPr>
                <w:webHidden/>
                <w:rStyle w:val="IndexLink"/>
                <w:rtl w:val="true"/>
              </w:rPr>
              <w:t>الجواب عن الاعتراض الثالث</w:t>
            </w:r>
            <w:r>
              <w:rPr>
                <w:rStyle w:val="IndexLink"/>
                <w:rtl w:val="true"/>
              </w:rPr>
              <w:tab/>
            </w:r>
            <w:r>
              <w:rPr>
                <w:rStyle w:val="IndexLink"/>
              </w:rPr>
              <w:t>241</w:t>
            </w:r>
          </w:hyperlink>
        </w:p>
        <w:p>
          <w:pPr>
            <w:pStyle w:val="Contents3"/>
            <w:tabs>
              <w:tab w:val="clear" w:pos="8459"/>
              <w:tab w:val="right" w:pos="9026" w:leader="dot"/>
            </w:tabs>
            <w:rPr/>
          </w:pPr>
          <w:hyperlink w:anchor="__RefHeading___Toc3519975_1280447820">
            <w:r>
              <w:rPr>
                <w:webHidden/>
                <w:rStyle w:val="IndexLink"/>
                <w:rtl w:val="true"/>
              </w:rPr>
              <w:t>الفصل الثالث</w:t>
            </w:r>
            <w:r>
              <w:rPr>
                <w:rStyle w:val="IndexLink"/>
                <w:rtl w:val="true"/>
              </w:rPr>
              <w:t xml:space="preserve">: </w:t>
            </w:r>
            <w:r>
              <w:rPr>
                <w:rStyle w:val="IndexLink"/>
                <w:rtl w:val="true"/>
              </w:rPr>
              <w:t>في التبادر وعدمه أو عدم تبادر الغير وتبادره</w:t>
            </w:r>
            <w:r>
              <w:rPr>
                <w:rStyle w:val="IndexLink"/>
                <w:rtl w:val="true"/>
              </w:rPr>
              <w:tab/>
            </w:r>
            <w:r>
              <w:rPr>
                <w:rStyle w:val="IndexLink"/>
              </w:rPr>
              <w:t>244</w:t>
            </w:r>
          </w:hyperlink>
        </w:p>
        <w:p>
          <w:pPr>
            <w:pStyle w:val="Contents4"/>
            <w:tabs>
              <w:tab w:val="clear" w:pos="8176"/>
              <w:tab w:val="right" w:pos="9026" w:leader="dot"/>
            </w:tabs>
            <w:rPr/>
          </w:pPr>
          <w:hyperlink w:anchor="__RefHeading___Toc3519977_1280447820">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3519979_1280447820">
            <w:r>
              <w:rPr>
                <w:webHidden/>
                <w:rStyle w:val="IndexLink"/>
                <w:rtl w:val="true"/>
              </w:rPr>
              <w:t>إيرادات وتفصّيات</w:t>
            </w:r>
            <w:r>
              <w:rPr>
                <w:rStyle w:val="IndexLink"/>
                <w:rtl w:val="true"/>
              </w:rPr>
              <w:tab/>
            </w:r>
            <w:r>
              <w:rPr>
                <w:rStyle w:val="IndexLink"/>
              </w:rPr>
              <w:t>245</w:t>
            </w:r>
          </w:hyperlink>
        </w:p>
        <w:p>
          <w:pPr>
            <w:pStyle w:val="Contents5"/>
            <w:tabs>
              <w:tab w:val="clear" w:pos="7892"/>
              <w:tab w:val="right" w:pos="9026" w:leader="dot"/>
            </w:tabs>
            <w:rPr/>
          </w:pPr>
          <w:hyperlink w:anchor="__RefHeading___Toc3519981_1280447820">
            <w:r>
              <w:rPr>
                <w:webHidden/>
                <w:rStyle w:val="IndexLink"/>
                <w:rtl w:val="true"/>
              </w:rPr>
              <w:t>الإيراد الأوّل على التبادر مع الجواب عنه</w:t>
            </w:r>
            <w:r>
              <w:rPr>
                <w:rStyle w:val="IndexLink"/>
                <w:rtl w:val="true"/>
              </w:rPr>
              <w:tab/>
            </w:r>
            <w:r>
              <w:rPr>
                <w:rStyle w:val="IndexLink"/>
              </w:rPr>
              <w:t>245</w:t>
            </w:r>
          </w:hyperlink>
        </w:p>
        <w:p>
          <w:pPr>
            <w:pStyle w:val="Contents6"/>
            <w:tabs>
              <w:tab w:val="clear" w:pos="7609"/>
              <w:tab w:val="right" w:pos="9026" w:leader="dot"/>
            </w:tabs>
            <w:rPr/>
          </w:pPr>
          <w:hyperlink w:anchor="__RefHeading___Toc3519983_1280447820">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3519985_1280447820">
            <w:r>
              <w:rPr>
                <w:webHidden/>
                <w:rStyle w:val="IndexLink"/>
                <w:rtl w:val="true"/>
              </w:rPr>
              <w:t>نقل الجواب الظاهر من بعض المحقّقين مع تزييفه وإبطاله</w:t>
            </w:r>
            <w:r>
              <w:rPr>
                <w:rStyle w:val="IndexLink"/>
                <w:rtl w:val="true"/>
              </w:rPr>
              <w:tab/>
            </w:r>
            <w:r>
              <w:rPr>
                <w:rStyle w:val="IndexLink"/>
              </w:rPr>
              <w:t>248</w:t>
            </w:r>
          </w:hyperlink>
        </w:p>
        <w:p>
          <w:pPr>
            <w:pStyle w:val="Contents6"/>
            <w:tabs>
              <w:tab w:val="clear" w:pos="7609"/>
              <w:tab w:val="right" w:pos="9026" w:leader="dot"/>
            </w:tabs>
            <w:rPr/>
          </w:pPr>
          <w:hyperlink w:anchor="__RefHeading___Toc3519987_1280447820">
            <w:r>
              <w:rPr>
                <w:webHidden/>
                <w:rStyle w:val="IndexLink"/>
                <w:rtl w:val="true"/>
              </w:rPr>
              <w:t>تقرير الإيراد على النحو الصحيح</w:t>
            </w:r>
            <w:r>
              <w:rPr>
                <w:rStyle w:val="IndexLink"/>
                <w:rtl w:val="true"/>
              </w:rPr>
              <w:tab/>
            </w:r>
            <w:r>
              <w:rPr>
                <w:rStyle w:val="IndexLink"/>
              </w:rPr>
              <w:t>250</w:t>
            </w:r>
          </w:hyperlink>
        </w:p>
        <w:p>
          <w:pPr>
            <w:pStyle w:val="Contents5"/>
            <w:tabs>
              <w:tab w:val="clear" w:pos="7892"/>
              <w:tab w:val="right" w:pos="9026" w:leader="dot"/>
            </w:tabs>
            <w:rPr/>
          </w:pPr>
          <w:hyperlink w:anchor="__RefHeading___Toc3519989_1280447820">
            <w:r>
              <w:rPr>
                <w:webHidden/>
                <w:rStyle w:val="IndexLink"/>
                <w:rtl w:val="true"/>
              </w:rPr>
              <w:t>الإيراد الثاني على التبادر مع الجواب عنه</w:t>
            </w:r>
            <w:r>
              <w:rPr>
                <w:rStyle w:val="IndexLink"/>
                <w:rtl w:val="true"/>
              </w:rPr>
              <w:tab/>
            </w:r>
            <w:r>
              <w:rPr>
                <w:rStyle w:val="IndexLink"/>
              </w:rPr>
              <w:t>253</w:t>
            </w:r>
          </w:hyperlink>
        </w:p>
        <w:p>
          <w:pPr>
            <w:pStyle w:val="Contents6"/>
            <w:tabs>
              <w:tab w:val="clear" w:pos="7609"/>
              <w:tab w:val="right" w:pos="9026" w:leader="dot"/>
            </w:tabs>
            <w:rPr/>
          </w:pPr>
          <w:hyperlink w:anchor="__RefHeading___Toc3519991_1280447820">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3519993_1280447820">
            <w:r>
              <w:rPr>
                <w:webHidden/>
                <w:rStyle w:val="IndexLink"/>
                <w:rtl w:val="true"/>
              </w:rPr>
              <w:t>الجواب عن الإيراد الثاني</w:t>
            </w:r>
            <w:r>
              <w:rPr>
                <w:rStyle w:val="IndexLink"/>
                <w:rtl w:val="true"/>
              </w:rPr>
              <w:tab/>
            </w:r>
            <w:r>
              <w:rPr>
                <w:rStyle w:val="IndexLink"/>
              </w:rPr>
              <w:t>254</w:t>
            </w:r>
          </w:hyperlink>
        </w:p>
        <w:p>
          <w:pPr>
            <w:pStyle w:val="Contents6"/>
            <w:tabs>
              <w:tab w:val="clear" w:pos="7609"/>
              <w:tab w:val="right" w:pos="9026" w:leader="dot"/>
            </w:tabs>
            <w:rPr/>
          </w:pPr>
          <w:hyperlink w:anchor="__RefHeading___Toc3519995_1280447820">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3519997_1280447820">
            <w:r>
              <w:rPr>
                <w:webHidden/>
                <w:rStyle w:val="IndexLink"/>
                <w:rtl w:val="true"/>
              </w:rPr>
              <w:t>الجواب الأوّل</w:t>
            </w:r>
            <w:r>
              <w:rPr>
                <w:rStyle w:val="IndexLink"/>
                <w:rtl w:val="true"/>
              </w:rPr>
              <w:tab/>
            </w:r>
            <w:r>
              <w:rPr>
                <w:rStyle w:val="IndexLink"/>
              </w:rPr>
              <w:t>254</w:t>
            </w:r>
          </w:hyperlink>
        </w:p>
        <w:p>
          <w:pPr>
            <w:pStyle w:val="Contents6"/>
            <w:tabs>
              <w:tab w:val="clear" w:pos="7609"/>
              <w:tab w:val="right" w:pos="9026" w:leader="dot"/>
            </w:tabs>
            <w:rPr/>
          </w:pPr>
          <w:hyperlink w:anchor="__RefHeading___Toc3519999_1280447820">
            <w:r>
              <w:rPr>
                <w:webHidden/>
                <w:rStyle w:val="IndexLink"/>
                <w:rtl w:val="true"/>
              </w:rPr>
              <w:t>الجواب الثاني</w:t>
            </w:r>
            <w:r>
              <w:rPr>
                <w:rStyle w:val="IndexLink"/>
                <w:rtl w:val="true"/>
              </w:rPr>
              <w:tab/>
            </w:r>
            <w:r>
              <w:rPr>
                <w:rStyle w:val="IndexLink"/>
              </w:rPr>
              <w:t>255</w:t>
            </w:r>
          </w:hyperlink>
        </w:p>
        <w:p>
          <w:pPr>
            <w:pStyle w:val="Contents5"/>
            <w:tabs>
              <w:tab w:val="clear" w:pos="7892"/>
              <w:tab w:val="right" w:pos="9026" w:leader="dot"/>
            </w:tabs>
            <w:rPr/>
          </w:pPr>
          <w:hyperlink w:anchor="__RefHeading___Toc3520001_1280447820">
            <w:r>
              <w:rPr>
                <w:webHidden/>
                <w:rStyle w:val="IndexLink"/>
                <w:rtl w:val="true"/>
              </w:rPr>
              <w:t>الإيراد الثالث على التبادر مع الجواب عنه</w:t>
            </w:r>
            <w:r>
              <w:rPr>
                <w:rStyle w:val="IndexLink"/>
                <w:rtl w:val="true"/>
              </w:rPr>
              <w:tab/>
            </w:r>
            <w:r>
              <w:rPr>
                <w:rStyle w:val="IndexLink"/>
              </w:rPr>
              <w:t>257</w:t>
            </w:r>
          </w:hyperlink>
        </w:p>
        <w:p>
          <w:pPr>
            <w:pStyle w:val="Contents6"/>
            <w:tabs>
              <w:tab w:val="clear" w:pos="7609"/>
              <w:tab w:val="right" w:pos="9026" w:leader="dot"/>
            </w:tabs>
            <w:rPr/>
          </w:pPr>
          <w:hyperlink w:anchor="__RefHeading___Toc3520003_1280447820">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3520005_1280447820">
            <w:r>
              <w:rPr>
                <w:webHidden/>
                <w:rStyle w:val="IndexLink"/>
                <w:rtl w:val="true"/>
              </w:rPr>
              <w:t>الجواب عن الإيراد الثالث</w:t>
            </w:r>
            <w:r>
              <w:rPr>
                <w:rStyle w:val="IndexLink"/>
                <w:rtl w:val="true"/>
              </w:rPr>
              <w:tab/>
            </w:r>
            <w:r>
              <w:rPr>
                <w:rStyle w:val="IndexLink"/>
              </w:rPr>
              <w:t>259</w:t>
            </w:r>
          </w:hyperlink>
        </w:p>
        <w:p>
          <w:pPr>
            <w:pStyle w:val="Contents6"/>
            <w:tabs>
              <w:tab w:val="clear" w:pos="7609"/>
              <w:tab w:val="right" w:pos="9026" w:leader="dot"/>
            </w:tabs>
            <w:rPr/>
          </w:pPr>
          <w:hyperlink w:anchor="__RefHeading___Toc3520007_1280447820">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3520009_1280447820">
            <w:r>
              <w:rPr>
                <w:webHidden/>
                <w:rStyle w:val="IndexLink"/>
                <w:rtl w:val="true"/>
              </w:rPr>
              <w:t>المواضع الّتي يتمسّك فيها بالتبادر لإثبات الحقيقة وما لا يتمسّك به فيه</w:t>
            </w:r>
            <w:r>
              <w:rPr>
                <w:rStyle w:val="IndexLink"/>
                <w:rtl w:val="true"/>
              </w:rPr>
              <w:tab/>
            </w:r>
            <w:r>
              <w:rPr>
                <w:rStyle w:val="IndexLink"/>
              </w:rPr>
              <w:t>259</w:t>
            </w:r>
          </w:hyperlink>
        </w:p>
        <w:p>
          <w:pPr>
            <w:pStyle w:val="Contents6"/>
            <w:tabs>
              <w:tab w:val="clear" w:pos="7609"/>
              <w:tab w:val="right" w:pos="9026" w:leader="dot"/>
            </w:tabs>
            <w:rPr/>
          </w:pPr>
          <w:hyperlink w:anchor="__RefHeading___Toc3520011_1280447820">
            <w:r>
              <w:rPr>
                <w:webHidden/>
                <w:rStyle w:val="IndexLink"/>
                <w:rtl w:val="true"/>
              </w:rPr>
              <w:t>الوجه الأوّل</w:t>
            </w:r>
            <w:r>
              <w:rPr>
                <w:rStyle w:val="IndexLink"/>
                <w:rtl w:val="true"/>
              </w:rPr>
              <w:tab/>
            </w:r>
            <w:r>
              <w:rPr>
                <w:rStyle w:val="IndexLink"/>
              </w:rPr>
              <w:t>259</w:t>
            </w:r>
          </w:hyperlink>
        </w:p>
        <w:p>
          <w:pPr>
            <w:pStyle w:val="Contents6"/>
            <w:tabs>
              <w:tab w:val="clear" w:pos="7609"/>
              <w:tab w:val="right" w:pos="9026" w:leader="dot"/>
            </w:tabs>
            <w:rPr/>
          </w:pPr>
          <w:hyperlink w:anchor="__RefHeading___Toc3520013_1280447820">
            <w:r>
              <w:rPr>
                <w:webHidden/>
                <w:rStyle w:val="IndexLink"/>
                <w:rtl w:val="true"/>
              </w:rPr>
              <w:t>الوجه الثاني</w:t>
            </w:r>
            <w:r>
              <w:rPr>
                <w:rStyle w:val="IndexLink"/>
                <w:rtl w:val="true"/>
              </w:rPr>
              <w:tab/>
            </w:r>
            <w:r>
              <w:rPr>
                <w:rStyle w:val="IndexLink"/>
              </w:rPr>
              <w:t>260</w:t>
            </w:r>
          </w:hyperlink>
        </w:p>
        <w:p>
          <w:pPr>
            <w:pStyle w:val="Contents6"/>
            <w:tabs>
              <w:tab w:val="clear" w:pos="7609"/>
              <w:tab w:val="right" w:pos="9026" w:leader="dot"/>
            </w:tabs>
            <w:rPr/>
          </w:pPr>
          <w:hyperlink w:anchor="__RefHeading___Toc3520015_1280447820">
            <w:r>
              <w:rPr>
                <w:webHidden/>
                <w:rStyle w:val="IndexLink"/>
                <w:rtl w:val="true"/>
              </w:rPr>
              <w:t>الوجه الثالث</w:t>
            </w:r>
            <w:r>
              <w:rPr>
                <w:rStyle w:val="IndexLink"/>
                <w:rtl w:val="true"/>
              </w:rPr>
              <w:tab/>
            </w:r>
            <w:r>
              <w:rPr>
                <w:rStyle w:val="IndexLink"/>
              </w:rPr>
              <w:t>261</w:t>
            </w:r>
          </w:hyperlink>
        </w:p>
        <w:p>
          <w:pPr>
            <w:pStyle w:val="Contents6"/>
            <w:tabs>
              <w:tab w:val="clear" w:pos="7609"/>
              <w:tab w:val="right" w:pos="9026" w:leader="dot"/>
            </w:tabs>
            <w:rPr/>
          </w:pPr>
          <w:hyperlink w:anchor="__RefHeading___Toc3520017_1280447820">
            <w:r>
              <w:rPr>
                <w:webHidden/>
                <w:rStyle w:val="IndexLink"/>
                <w:rtl w:val="true"/>
              </w:rPr>
              <w:t>الوجه الرابع</w:t>
            </w:r>
            <w:r>
              <w:rPr>
                <w:rStyle w:val="IndexLink"/>
                <w:rtl w:val="true"/>
              </w:rPr>
              <w:tab/>
            </w:r>
            <w:r>
              <w:rPr>
                <w:rStyle w:val="IndexLink"/>
              </w:rPr>
              <w:t>262</w:t>
            </w:r>
          </w:hyperlink>
        </w:p>
        <w:p>
          <w:pPr>
            <w:pStyle w:val="Contents6"/>
            <w:tabs>
              <w:tab w:val="clear" w:pos="7609"/>
              <w:tab w:val="right" w:pos="9026" w:leader="dot"/>
            </w:tabs>
            <w:rPr/>
          </w:pPr>
          <w:hyperlink w:anchor="__RefHeading___Toc3520019_1280447820">
            <w:r>
              <w:rPr>
                <w:webHidden/>
                <w:rStyle w:val="IndexLink"/>
                <w:rtl w:val="true"/>
              </w:rPr>
              <w:t>الوجه الخامس</w:t>
            </w:r>
            <w:r>
              <w:rPr>
                <w:rStyle w:val="IndexLink"/>
                <w:rtl w:val="true"/>
              </w:rPr>
              <w:tab/>
            </w:r>
            <w:r>
              <w:rPr>
                <w:rStyle w:val="IndexLink"/>
              </w:rPr>
              <w:t>263</w:t>
            </w:r>
          </w:hyperlink>
        </w:p>
        <w:p>
          <w:pPr>
            <w:pStyle w:val="Contents6"/>
            <w:tabs>
              <w:tab w:val="clear" w:pos="7609"/>
              <w:tab w:val="right" w:pos="9026" w:leader="dot"/>
            </w:tabs>
            <w:rPr/>
          </w:pPr>
          <w:hyperlink w:anchor="__RefHeading___Toc3520021_1280447820">
            <w:r>
              <w:rPr>
                <w:webHidden/>
                <w:rStyle w:val="IndexLink"/>
                <w:rtl w:val="true"/>
              </w:rPr>
              <w:t>التبادر المظنونيّ هل يمكن الاستدلال به على الحقيقة أم لا؟</w:t>
            </w:r>
            <w:r>
              <w:rPr>
                <w:rStyle w:val="IndexLink"/>
                <w:rtl w:val="true"/>
              </w:rPr>
              <w:tab/>
            </w:r>
            <w:r>
              <w:rPr>
                <w:rStyle w:val="IndexLink"/>
              </w:rPr>
              <w:t>264</w:t>
            </w:r>
          </w:hyperlink>
        </w:p>
        <w:p>
          <w:pPr>
            <w:pStyle w:val="Contents5"/>
            <w:tabs>
              <w:tab w:val="clear" w:pos="7892"/>
              <w:tab w:val="right" w:pos="9026" w:leader="dot"/>
            </w:tabs>
            <w:rPr/>
          </w:pPr>
          <w:hyperlink w:anchor="__RefHeading___Toc3520023_1280447820">
            <w:r>
              <w:rPr>
                <w:webHidden/>
                <w:rStyle w:val="IndexLink"/>
                <w:rtl w:val="true"/>
              </w:rPr>
              <w:t>الإيراد الرابع على التبادر مع الجواب عنه</w:t>
            </w:r>
            <w:r>
              <w:rPr>
                <w:rStyle w:val="IndexLink"/>
                <w:rtl w:val="true"/>
              </w:rPr>
              <w:tab/>
            </w:r>
            <w:r>
              <w:rPr>
                <w:rStyle w:val="IndexLink"/>
              </w:rPr>
              <w:t>266</w:t>
            </w:r>
          </w:hyperlink>
        </w:p>
        <w:p>
          <w:pPr>
            <w:pStyle w:val="Contents6"/>
            <w:tabs>
              <w:tab w:val="clear" w:pos="7609"/>
              <w:tab w:val="right" w:pos="9026" w:leader="dot"/>
            </w:tabs>
            <w:rPr/>
          </w:pPr>
          <w:hyperlink w:anchor="__RefHeading___Toc3520025_1280447820">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3520027_1280447820">
            <w:r>
              <w:rPr>
                <w:webHidden/>
                <w:rStyle w:val="IndexLink"/>
                <w:rtl w:val="true"/>
              </w:rPr>
              <w:t>الجواب عن الإيراد الرابع</w:t>
            </w:r>
            <w:r>
              <w:rPr>
                <w:rStyle w:val="IndexLink"/>
                <w:rtl w:val="true"/>
              </w:rPr>
              <w:tab/>
            </w:r>
            <w:r>
              <w:rPr>
                <w:rStyle w:val="IndexLink"/>
              </w:rPr>
              <w:t>266</w:t>
            </w:r>
          </w:hyperlink>
        </w:p>
        <w:p>
          <w:pPr>
            <w:pStyle w:val="Contents6"/>
            <w:tabs>
              <w:tab w:val="clear" w:pos="7609"/>
              <w:tab w:val="right" w:pos="9026" w:leader="dot"/>
            </w:tabs>
            <w:rPr/>
          </w:pPr>
          <w:hyperlink w:anchor="__RefHeading___Toc3520029_1280447820">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3520031_1280447820">
            <w:r>
              <w:rPr>
                <w:webHidden/>
                <w:rStyle w:val="IndexLink"/>
                <w:rtl w:val="true"/>
              </w:rPr>
              <w:t>الجواب الأوّل</w:t>
            </w:r>
            <w:r>
              <w:rPr>
                <w:rStyle w:val="IndexLink"/>
                <w:rtl w:val="true"/>
              </w:rPr>
              <w:tab/>
            </w:r>
            <w:r>
              <w:rPr>
                <w:rStyle w:val="IndexLink"/>
              </w:rPr>
              <w:t>266</w:t>
            </w:r>
          </w:hyperlink>
        </w:p>
        <w:p>
          <w:pPr>
            <w:pStyle w:val="Contents6"/>
            <w:tabs>
              <w:tab w:val="clear" w:pos="7609"/>
              <w:tab w:val="right" w:pos="9026" w:leader="dot"/>
            </w:tabs>
            <w:rPr/>
          </w:pPr>
          <w:hyperlink w:anchor="__RefHeading___Toc3520033_1280447820">
            <w:r>
              <w:rPr>
                <w:webHidden/>
                <w:rStyle w:val="IndexLink"/>
                <w:rtl w:val="true"/>
              </w:rPr>
              <w:t>الجواب الثاني</w:t>
            </w:r>
            <w:r>
              <w:rPr>
                <w:rStyle w:val="IndexLink"/>
                <w:rtl w:val="true"/>
              </w:rPr>
              <w:tab/>
            </w:r>
            <w:r>
              <w:rPr>
                <w:rStyle w:val="IndexLink"/>
              </w:rPr>
              <w:t>268</w:t>
            </w:r>
          </w:hyperlink>
        </w:p>
        <w:p>
          <w:pPr>
            <w:pStyle w:val="Contents3"/>
            <w:tabs>
              <w:tab w:val="clear" w:pos="8459"/>
              <w:tab w:val="right" w:pos="9026" w:leader="dot"/>
            </w:tabs>
            <w:rPr/>
          </w:pPr>
          <w:hyperlink w:anchor="__RefHeading___Toc3520035_1280447820">
            <w:r>
              <w:rPr>
                <w:webHidden/>
                <w:rStyle w:val="IndexLink"/>
                <w:rtl w:val="true"/>
              </w:rPr>
              <w:t>الفصل الرابع</w:t>
            </w:r>
            <w:r>
              <w:rPr>
                <w:rStyle w:val="IndexLink"/>
                <w:rtl w:val="true"/>
              </w:rPr>
              <w:t xml:space="preserve">: </w:t>
            </w:r>
            <w:r>
              <w:rPr>
                <w:rStyle w:val="IndexLink"/>
                <w:rtl w:val="true"/>
              </w:rPr>
              <w:t>في الاطّراد وعدمه</w:t>
            </w:r>
            <w:r>
              <w:rPr>
                <w:rStyle w:val="IndexLink"/>
                <w:rtl w:val="true"/>
              </w:rPr>
              <w:tab/>
            </w:r>
            <w:r>
              <w:rPr>
                <w:rStyle w:val="IndexLink"/>
              </w:rPr>
              <w:t>270</w:t>
            </w:r>
          </w:hyperlink>
        </w:p>
        <w:p>
          <w:pPr>
            <w:pStyle w:val="Contents4"/>
            <w:tabs>
              <w:tab w:val="clear" w:pos="8176"/>
              <w:tab w:val="right" w:pos="9026" w:leader="dot"/>
            </w:tabs>
            <w:rPr/>
          </w:pPr>
          <w:hyperlink w:anchor="__RefHeading___Toc3520037_1280447820">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3520039_1280447820">
            <w:r>
              <w:rPr>
                <w:webHidden/>
                <w:rStyle w:val="IndexLink"/>
                <w:rtl w:val="true"/>
              </w:rPr>
              <w:t>في دلالة الاطّراد على الحقيقة</w:t>
            </w:r>
            <w:r>
              <w:rPr>
                <w:rStyle w:val="IndexLink"/>
                <w:rtl w:val="true"/>
              </w:rPr>
              <w:tab/>
            </w:r>
            <w:r>
              <w:rPr>
                <w:rStyle w:val="IndexLink"/>
              </w:rPr>
              <w:t>271</w:t>
            </w:r>
          </w:hyperlink>
        </w:p>
        <w:p>
          <w:pPr>
            <w:pStyle w:val="Contents4"/>
            <w:tabs>
              <w:tab w:val="clear" w:pos="8176"/>
              <w:tab w:val="right" w:pos="9026" w:leader="dot"/>
            </w:tabs>
            <w:rPr/>
          </w:pPr>
          <w:hyperlink w:anchor="__RefHeading___Toc3520041_1280447820">
            <w:r>
              <w:rPr>
                <w:webHidden/>
                <w:rStyle w:val="IndexLink"/>
                <w:rtl w:val="true"/>
              </w:rPr>
              <w:t>جعل الاطّراد دليل للحقيقة فاسد</w:t>
            </w:r>
            <w:r>
              <w:rPr>
                <w:rStyle w:val="IndexLink"/>
                <w:rtl w:val="true"/>
              </w:rPr>
              <w:tab/>
            </w:r>
            <w:r>
              <w:rPr>
                <w:rStyle w:val="IndexLink"/>
              </w:rPr>
              <w:t>272</w:t>
            </w:r>
          </w:hyperlink>
        </w:p>
        <w:p>
          <w:pPr>
            <w:pStyle w:val="Contents5"/>
            <w:tabs>
              <w:tab w:val="clear" w:pos="7892"/>
              <w:tab w:val="right" w:pos="9026" w:leader="dot"/>
            </w:tabs>
            <w:rPr/>
          </w:pPr>
          <w:hyperlink w:anchor="__RefHeading___Toc3520043_1280447820">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3520045_1280447820">
            <w:r>
              <w:rPr>
                <w:webHidden/>
                <w:rStyle w:val="IndexLink"/>
                <w:rtl w:val="true"/>
              </w:rPr>
              <w:t>الوجه الأوّل</w:t>
            </w:r>
            <w:r>
              <w:rPr>
                <w:rStyle w:val="IndexLink"/>
                <w:rtl w:val="true"/>
              </w:rPr>
              <w:tab/>
            </w:r>
            <w:r>
              <w:rPr>
                <w:rStyle w:val="IndexLink"/>
              </w:rPr>
              <w:t>272</w:t>
            </w:r>
          </w:hyperlink>
        </w:p>
        <w:p>
          <w:pPr>
            <w:pStyle w:val="Contents5"/>
            <w:tabs>
              <w:tab w:val="clear" w:pos="7892"/>
              <w:tab w:val="right" w:pos="9026" w:leader="dot"/>
            </w:tabs>
            <w:rPr/>
          </w:pPr>
          <w:hyperlink w:anchor="__RefHeading___Toc3520047_1280447820">
            <w:r>
              <w:rPr>
                <w:webHidden/>
                <w:rStyle w:val="IndexLink"/>
                <w:rtl w:val="true"/>
              </w:rPr>
              <w:t>الوجه الثاني</w:t>
            </w:r>
            <w:r>
              <w:rPr>
                <w:rStyle w:val="IndexLink"/>
                <w:rtl w:val="true"/>
              </w:rPr>
              <w:tab/>
            </w:r>
            <w:r>
              <w:rPr>
                <w:rStyle w:val="IndexLink"/>
              </w:rPr>
              <w:t>274</w:t>
            </w:r>
          </w:hyperlink>
        </w:p>
        <w:p>
          <w:pPr>
            <w:pStyle w:val="Contents5"/>
            <w:tabs>
              <w:tab w:val="clear" w:pos="7892"/>
              <w:tab w:val="right" w:pos="9026" w:leader="dot"/>
            </w:tabs>
            <w:rPr/>
          </w:pPr>
          <w:hyperlink w:anchor="__RefHeading___Toc3520049_1280447820">
            <w:r>
              <w:rPr>
                <w:webHidden/>
                <w:rStyle w:val="IndexLink"/>
                <w:rtl w:val="true"/>
              </w:rPr>
              <w:t>الوجه الثالث</w:t>
            </w:r>
            <w:r>
              <w:rPr>
                <w:rStyle w:val="IndexLink"/>
                <w:rtl w:val="true"/>
              </w:rPr>
              <w:tab/>
            </w:r>
            <w:r>
              <w:rPr>
                <w:rStyle w:val="IndexLink"/>
              </w:rPr>
              <w:t>275</w:t>
            </w:r>
          </w:hyperlink>
        </w:p>
        <w:p>
          <w:pPr>
            <w:pStyle w:val="Contents4"/>
            <w:tabs>
              <w:tab w:val="clear" w:pos="8176"/>
              <w:tab w:val="right" w:pos="9026" w:leader="dot"/>
            </w:tabs>
            <w:rPr/>
          </w:pPr>
          <w:hyperlink w:anchor="__RefHeading___Toc3520051_1280447820">
            <w:r>
              <w:rPr>
                <w:webHidden/>
                <w:rStyle w:val="IndexLink"/>
                <w:rtl w:val="true"/>
              </w:rPr>
              <w:t>في دلالة عدم الاطّراد على المجاز</w:t>
            </w:r>
            <w:r>
              <w:rPr>
                <w:rStyle w:val="IndexLink"/>
                <w:rtl w:val="true"/>
              </w:rPr>
              <w:tab/>
            </w:r>
            <w:r>
              <w:rPr>
                <w:rStyle w:val="IndexLink"/>
              </w:rPr>
              <w:t>277</w:t>
            </w:r>
          </w:hyperlink>
        </w:p>
        <w:p>
          <w:pPr>
            <w:pStyle w:val="Contents5"/>
            <w:tabs>
              <w:tab w:val="clear" w:pos="7892"/>
              <w:tab w:val="right" w:pos="9026" w:leader="dot"/>
            </w:tabs>
            <w:rPr/>
          </w:pPr>
          <w:hyperlink w:anchor="__RefHeading___Toc3520053_1280447820">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3520055_1280447820">
            <w:r>
              <w:rPr>
                <w:webHidden/>
                <w:rStyle w:val="IndexLink"/>
                <w:rtl w:val="true"/>
              </w:rPr>
              <w:t>الإيراد الأوّل</w:t>
            </w:r>
            <w:r>
              <w:rPr>
                <w:rStyle w:val="IndexLink"/>
                <w:rtl w:val="true"/>
              </w:rPr>
              <w:tab/>
            </w:r>
            <w:r>
              <w:rPr>
                <w:rStyle w:val="IndexLink"/>
              </w:rPr>
              <w:t>278</w:t>
            </w:r>
          </w:hyperlink>
        </w:p>
        <w:p>
          <w:pPr>
            <w:pStyle w:val="Contents6"/>
            <w:tabs>
              <w:tab w:val="clear" w:pos="7609"/>
              <w:tab w:val="right" w:pos="9026" w:leader="dot"/>
            </w:tabs>
            <w:rPr/>
          </w:pPr>
          <w:hyperlink w:anchor="__RefHeading___Toc3520057_1280447820">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3520059_1280447820">
            <w:r>
              <w:rPr>
                <w:webHidden/>
                <w:rStyle w:val="IndexLink"/>
                <w:rtl w:val="true"/>
              </w:rPr>
              <w:t>الجواب عن الإيراد الأوّل</w:t>
            </w:r>
            <w:r>
              <w:rPr>
                <w:rStyle w:val="IndexLink"/>
                <w:rtl w:val="true"/>
              </w:rPr>
              <w:tab/>
            </w:r>
            <w:r>
              <w:rPr>
                <w:rStyle w:val="IndexLink"/>
              </w:rPr>
              <w:t>279</w:t>
            </w:r>
          </w:hyperlink>
        </w:p>
        <w:p>
          <w:pPr>
            <w:pStyle w:val="Contents5"/>
            <w:tabs>
              <w:tab w:val="clear" w:pos="7892"/>
              <w:tab w:val="right" w:pos="9026" w:leader="dot"/>
            </w:tabs>
            <w:rPr/>
          </w:pPr>
          <w:hyperlink w:anchor="__RefHeading___Toc3520061_1280447820">
            <w:r>
              <w:rPr>
                <w:webHidden/>
                <w:rStyle w:val="IndexLink"/>
                <w:rtl w:val="true"/>
              </w:rPr>
              <w:t>الإيراد الثاني</w:t>
            </w:r>
            <w:r>
              <w:rPr>
                <w:rStyle w:val="IndexLink"/>
                <w:rtl w:val="true"/>
              </w:rPr>
              <w:tab/>
            </w:r>
            <w:r>
              <w:rPr>
                <w:rStyle w:val="IndexLink"/>
              </w:rPr>
              <w:t>281</w:t>
            </w:r>
          </w:hyperlink>
        </w:p>
        <w:p>
          <w:pPr>
            <w:pStyle w:val="Contents6"/>
            <w:tabs>
              <w:tab w:val="clear" w:pos="7609"/>
              <w:tab w:val="right" w:pos="9026" w:leader="dot"/>
            </w:tabs>
            <w:rPr/>
          </w:pPr>
          <w:hyperlink w:anchor="__RefHeading___Toc3520063_1280447820">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3520065_1280447820">
            <w:r>
              <w:rPr>
                <w:webHidden/>
                <w:rStyle w:val="IndexLink"/>
                <w:rtl w:val="true"/>
              </w:rPr>
              <w:t>الجواب عن الإيراد الثاني</w:t>
            </w:r>
            <w:r>
              <w:rPr>
                <w:rStyle w:val="IndexLink"/>
                <w:rtl w:val="true"/>
              </w:rPr>
              <w:tab/>
            </w:r>
            <w:r>
              <w:rPr>
                <w:rStyle w:val="IndexLink"/>
              </w:rPr>
              <w:t>282</w:t>
            </w:r>
          </w:hyperlink>
        </w:p>
        <w:p>
          <w:pPr>
            <w:pStyle w:val="Contents4"/>
            <w:tabs>
              <w:tab w:val="clear" w:pos="8176"/>
              <w:tab w:val="right" w:pos="9026" w:leader="dot"/>
            </w:tabs>
            <w:rPr/>
          </w:pPr>
          <w:hyperlink w:anchor="__RefHeading___Toc3520067_1280447820">
            <w:r>
              <w:rPr>
                <w:webHidden/>
                <w:rStyle w:val="IndexLink"/>
                <w:rtl w:val="true"/>
              </w:rPr>
              <w:t>في بيان عدم الاطّراد في</w:t>
            </w:r>
            <w:r>
              <w:rPr>
                <w:rStyle w:val="IndexLink"/>
                <w:rtl w:val="true"/>
              </w:rPr>
              <w:t xml:space="preserve">: </w:t>
            </w:r>
            <w:r>
              <w:rPr>
                <w:rStyle w:val="IndexLink"/>
                <w:rtl w:val="true"/>
              </w:rPr>
              <w:t>وَاسْأَلِ الْقَرْيَةَ</w:t>
            </w:r>
            <w:r>
              <w:rPr>
                <w:rStyle w:val="IndexLink"/>
                <w:rtl w:val="true"/>
              </w:rPr>
              <w:tab/>
            </w:r>
            <w:r>
              <w:rPr>
                <w:rStyle w:val="IndexLink"/>
              </w:rPr>
              <w:t>286</w:t>
            </w:r>
          </w:hyperlink>
        </w:p>
        <w:p>
          <w:pPr>
            <w:pStyle w:val="Contents3"/>
            <w:tabs>
              <w:tab w:val="clear" w:pos="8459"/>
              <w:tab w:val="right" w:pos="9026" w:leader="dot"/>
            </w:tabs>
            <w:rPr/>
          </w:pPr>
          <w:hyperlink w:anchor="__RefHeading___Toc3520069_1280447820">
            <w:r>
              <w:rPr>
                <w:webHidden/>
                <w:rStyle w:val="IndexLink"/>
                <w:rtl w:val="true"/>
              </w:rPr>
              <w:t>الفصل الخامس</w:t>
            </w:r>
            <w:r>
              <w:rPr>
                <w:rStyle w:val="IndexLink"/>
                <w:rtl w:val="true"/>
              </w:rPr>
              <w:t xml:space="preserve">: </w:t>
            </w:r>
            <w:r>
              <w:rPr>
                <w:rStyle w:val="IndexLink"/>
                <w:rtl w:val="true"/>
              </w:rPr>
              <w:t>في بيان الأمور الّتي زادها بعضهم في هذا المقام وجعلها علامة للمجاز</w:t>
            </w:r>
            <w:r>
              <w:rPr>
                <w:rStyle w:val="IndexLink"/>
                <w:rtl w:val="true"/>
              </w:rPr>
              <w:tab/>
            </w:r>
            <w:r>
              <w:rPr>
                <w:rStyle w:val="IndexLink"/>
              </w:rPr>
              <w:t>290</w:t>
            </w:r>
          </w:hyperlink>
        </w:p>
        <w:p>
          <w:pPr>
            <w:pStyle w:val="Contents4"/>
            <w:tabs>
              <w:tab w:val="clear" w:pos="8176"/>
              <w:tab w:val="right" w:pos="9026" w:leader="dot"/>
            </w:tabs>
            <w:rPr/>
          </w:pPr>
          <w:hyperlink w:anchor="__RefHeading___Toc3520071_1280447820">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3520073_1280447820">
            <w:r>
              <w:rPr>
                <w:webHidden/>
                <w:rStyle w:val="IndexLink"/>
                <w:rtl w:val="true"/>
              </w:rPr>
              <w:t>الأمر الأوّل</w:t>
            </w:r>
            <w:r>
              <w:rPr>
                <w:rStyle w:val="IndexLink"/>
                <w:rtl w:val="true"/>
              </w:rPr>
              <w:t xml:space="preserve">: </w:t>
            </w:r>
            <w:r>
              <w:rPr>
                <w:rStyle w:val="IndexLink"/>
                <w:rtl w:val="true"/>
              </w:rPr>
              <w:t>جمعُ اللفظ على صيغة مخالفة لجمع حقيقته دليلُ المجاز</w:t>
            </w:r>
            <w:r>
              <w:rPr>
                <w:rStyle w:val="IndexLink"/>
                <w:rtl w:val="true"/>
              </w:rPr>
              <w:tab/>
            </w:r>
            <w:r>
              <w:rPr>
                <w:rStyle w:val="IndexLink"/>
              </w:rPr>
              <w:t>290</w:t>
            </w:r>
          </w:hyperlink>
        </w:p>
        <w:p>
          <w:pPr>
            <w:pStyle w:val="Contents5"/>
            <w:tabs>
              <w:tab w:val="clear" w:pos="7892"/>
              <w:tab w:val="right" w:pos="9026" w:leader="dot"/>
            </w:tabs>
            <w:rPr/>
          </w:pPr>
          <w:hyperlink w:anchor="__RefHeading___Toc3520075_1280447820">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3520077_1280447820">
            <w:r>
              <w:rPr>
                <w:webHidden/>
                <w:rStyle w:val="IndexLink"/>
                <w:rtl w:val="true"/>
              </w:rPr>
              <w:t>التمسّك بالتخالف بين صيغتي الجمع وجعله علامة للمجاز لا وجه له</w:t>
            </w:r>
            <w:r>
              <w:rPr>
                <w:rStyle w:val="IndexLink"/>
                <w:rtl w:val="true"/>
              </w:rPr>
              <w:tab/>
            </w:r>
            <w:r>
              <w:rPr>
                <w:rStyle w:val="IndexLink"/>
              </w:rPr>
              <w:t>293</w:t>
            </w:r>
          </w:hyperlink>
        </w:p>
        <w:p>
          <w:pPr>
            <w:pStyle w:val="Contents4"/>
            <w:tabs>
              <w:tab w:val="clear" w:pos="8176"/>
              <w:tab w:val="right" w:pos="9026" w:leader="dot"/>
            </w:tabs>
            <w:rPr/>
          </w:pPr>
          <w:hyperlink w:anchor="__RefHeading___Toc3520079_1280447820">
            <w:r>
              <w:rPr>
                <w:webHidden/>
                <w:rStyle w:val="IndexLink"/>
                <w:rtl w:val="true"/>
              </w:rPr>
              <w:t>الأمر الثاني</w:t>
            </w:r>
            <w:r>
              <w:rPr>
                <w:rStyle w:val="IndexLink"/>
                <w:rtl w:val="true"/>
              </w:rPr>
              <w:t xml:space="preserve">: </w:t>
            </w:r>
            <w:r>
              <w:rPr>
                <w:rStyle w:val="IndexLink"/>
                <w:rtl w:val="true"/>
              </w:rPr>
              <w:t>التزامُ تقييد اللفظ بالنسبة إلى المعنى دليلٌ على مجازيّته فيه</w:t>
            </w:r>
            <w:r>
              <w:rPr>
                <w:rStyle w:val="IndexLink"/>
                <w:rtl w:val="true"/>
              </w:rPr>
              <w:tab/>
            </w:r>
            <w:r>
              <w:rPr>
                <w:rStyle w:val="IndexLink"/>
              </w:rPr>
              <w:t>297</w:t>
            </w:r>
          </w:hyperlink>
        </w:p>
        <w:p>
          <w:pPr>
            <w:pStyle w:val="Contents5"/>
            <w:tabs>
              <w:tab w:val="clear" w:pos="7892"/>
              <w:tab w:val="right" w:pos="9026" w:leader="dot"/>
            </w:tabs>
            <w:rPr/>
          </w:pPr>
          <w:hyperlink w:anchor="__RefHeading___Toc3520081_1280447820">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3520083_1280447820">
            <w:r>
              <w:rPr>
                <w:webHidden/>
                <w:rStyle w:val="IndexLink"/>
                <w:rtl w:val="true"/>
              </w:rPr>
              <w:t>تطويل قال لإفضاح مقال</w:t>
            </w:r>
            <w:r>
              <w:rPr>
                <w:rStyle w:val="IndexLink"/>
                <w:rtl w:val="true"/>
              </w:rPr>
              <w:tab/>
            </w:r>
            <w:r>
              <w:rPr>
                <w:rStyle w:val="IndexLink"/>
              </w:rPr>
              <w:t>297</w:t>
            </w:r>
          </w:hyperlink>
        </w:p>
        <w:p>
          <w:pPr>
            <w:pStyle w:val="Contents5"/>
            <w:tabs>
              <w:tab w:val="clear" w:pos="7892"/>
              <w:tab w:val="right" w:pos="9026" w:leader="dot"/>
            </w:tabs>
            <w:rPr/>
          </w:pPr>
          <w:hyperlink w:anchor="__RefHeading___Toc3520085_1280447820">
            <w:r>
              <w:rPr>
                <w:webHidden/>
                <w:rStyle w:val="IndexLink"/>
                <w:rtl w:val="true"/>
              </w:rPr>
              <w:t xml:space="preserve">الاحتمالات المتصوّرة في </w:t>
            </w:r>
            <w:r>
              <w:rPr>
                <w:rStyle w:val="IndexLink"/>
                <w:rtl w:val="true"/>
              </w:rPr>
              <w:t>«</w:t>
            </w:r>
            <w:r>
              <w:rPr>
                <w:rStyle w:val="IndexLink"/>
                <w:rtl w:val="true"/>
              </w:rPr>
              <w:t>نار الحرب</w:t>
            </w:r>
            <w:r>
              <w:rPr>
                <w:rStyle w:val="IndexLink"/>
                <w:rtl w:val="true"/>
              </w:rPr>
              <w:t>»</w:t>
              <w:tab/>
            </w:r>
            <w:r>
              <w:rPr>
                <w:rStyle w:val="IndexLink"/>
              </w:rPr>
              <w:t>299</w:t>
            </w:r>
          </w:hyperlink>
        </w:p>
        <w:p>
          <w:pPr>
            <w:pStyle w:val="Contents4"/>
            <w:tabs>
              <w:tab w:val="clear" w:pos="8176"/>
              <w:tab w:val="right" w:pos="9026" w:leader="dot"/>
            </w:tabs>
            <w:rPr/>
          </w:pPr>
          <w:hyperlink w:anchor="__RefHeading___Toc3520087_1280447820">
            <w:r>
              <w:rPr>
                <w:webHidden/>
                <w:rStyle w:val="IndexLink"/>
                <w:rtl w:val="true"/>
              </w:rPr>
              <w:t>الأمر الثالث</w:t>
            </w:r>
            <w:r>
              <w:rPr>
                <w:rStyle w:val="IndexLink"/>
                <w:rtl w:val="true"/>
              </w:rPr>
              <w:t xml:space="preserve">: </w:t>
            </w:r>
            <w:r>
              <w:rPr>
                <w:rStyle w:val="IndexLink"/>
                <w:rtl w:val="true"/>
              </w:rPr>
              <w:t>توقّف إطلاق اللفظ على معنى على تعلّقه بالآخر دليل المجاز</w:t>
            </w:r>
            <w:r>
              <w:rPr>
                <w:rStyle w:val="IndexLink"/>
                <w:rtl w:val="true"/>
              </w:rPr>
              <w:tab/>
            </w:r>
            <w:r>
              <w:rPr>
                <w:rStyle w:val="IndexLink"/>
              </w:rPr>
              <w:t>302</w:t>
            </w:r>
          </w:hyperlink>
        </w:p>
        <w:p>
          <w:pPr>
            <w:pStyle w:val="Contents5"/>
            <w:tabs>
              <w:tab w:val="clear" w:pos="7892"/>
              <w:tab w:val="right" w:pos="9026" w:leader="dot"/>
            </w:tabs>
            <w:rPr/>
          </w:pPr>
          <w:hyperlink w:anchor="__RefHeading___Toc3520089_1280447820">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3520091_1280447820">
            <w:r>
              <w:rPr>
                <w:webHidden/>
                <w:rStyle w:val="IndexLink"/>
                <w:rtl w:val="true"/>
              </w:rPr>
              <w:t>إعادة كلام لتحقيق مقام</w:t>
            </w:r>
            <w:r>
              <w:rPr>
                <w:rStyle w:val="IndexLink"/>
                <w:rtl w:val="true"/>
              </w:rPr>
              <w:tab/>
            </w:r>
            <w:r>
              <w:rPr>
                <w:rStyle w:val="IndexLink"/>
              </w:rPr>
              <w:t>304</w:t>
            </w:r>
          </w:hyperlink>
        </w:p>
        <w:p>
          <w:pPr>
            <w:pStyle w:val="Contents5"/>
            <w:tabs>
              <w:tab w:val="clear" w:pos="7892"/>
              <w:tab w:val="right" w:pos="9026" w:leader="dot"/>
            </w:tabs>
            <w:rPr/>
          </w:pPr>
          <w:hyperlink w:anchor="__RefHeading___Toc3520093_1280447820">
            <w:r>
              <w:rPr>
                <w:webHidden/>
                <w:rStyle w:val="IndexLink"/>
                <w:rtl w:val="true"/>
              </w:rPr>
              <w:t>تذنيب</w:t>
            </w:r>
            <w:r>
              <w:rPr>
                <w:rStyle w:val="IndexLink"/>
                <w:rtl w:val="true"/>
              </w:rPr>
              <w:t xml:space="preserve">: </w:t>
            </w:r>
            <w:r>
              <w:rPr>
                <w:rStyle w:val="IndexLink"/>
                <w:rtl w:val="true"/>
              </w:rPr>
              <w:t>عدم افتقار فهم المعنى من اللفظ علامةُ الحقيقة وعكسه المجاز</w:t>
            </w:r>
            <w:r>
              <w:rPr>
                <w:rStyle w:val="IndexLink"/>
                <w:rtl w:val="true"/>
              </w:rPr>
              <w:tab/>
            </w:r>
            <w:r>
              <w:rPr>
                <w:rStyle w:val="IndexLink"/>
              </w:rPr>
              <w:t>306</w:t>
            </w:r>
          </w:hyperlink>
        </w:p>
        <w:p>
          <w:pPr>
            <w:pStyle w:val="Contents5"/>
            <w:tabs>
              <w:tab w:val="clear" w:pos="7892"/>
              <w:tab w:val="right" w:pos="9026" w:leader="dot"/>
            </w:tabs>
            <w:rPr/>
          </w:pPr>
          <w:hyperlink w:anchor="__RefHeading___Toc3520095_1280447820">
            <w:r>
              <w:rPr>
                <w:webHidden/>
                <w:rStyle w:val="IndexLink"/>
                <w:rtl w:val="true"/>
              </w:rPr>
              <w:t>الإيراد على هذه العلامة</w:t>
            </w:r>
            <w:r>
              <w:rPr>
                <w:rStyle w:val="IndexLink"/>
                <w:rtl w:val="true"/>
              </w:rPr>
              <w:tab/>
            </w:r>
            <w:r>
              <w:rPr>
                <w:rStyle w:val="IndexLink"/>
              </w:rPr>
              <w:t>307</w:t>
            </w:r>
          </w:hyperlink>
        </w:p>
        <w:p>
          <w:pPr>
            <w:pStyle w:val="Contents6"/>
            <w:tabs>
              <w:tab w:val="clear" w:pos="7609"/>
              <w:tab w:val="right" w:pos="9026" w:leader="dot"/>
            </w:tabs>
            <w:rPr/>
          </w:pPr>
          <w:hyperlink w:anchor="__RefHeading___Toc3520097_1280447820">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3520099_1280447820">
            <w:r>
              <w:rPr>
                <w:webHidden/>
                <w:rStyle w:val="IndexLink"/>
                <w:rtl w:val="true"/>
              </w:rPr>
              <w:t>الإيراد الأوّل مع الجواب عنه</w:t>
            </w:r>
            <w:r>
              <w:rPr>
                <w:rStyle w:val="IndexLink"/>
                <w:rtl w:val="true"/>
              </w:rPr>
              <w:tab/>
            </w:r>
            <w:r>
              <w:rPr>
                <w:rStyle w:val="IndexLink"/>
              </w:rPr>
              <w:t>307</w:t>
            </w:r>
          </w:hyperlink>
        </w:p>
        <w:p>
          <w:pPr>
            <w:pStyle w:val="Contents6"/>
            <w:tabs>
              <w:tab w:val="clear" w:pos="7609"/>
              <w:tab w:val="right" w:pos="9026" w:leader="dot"/>
            </w:tabs>
            <w:rPr/>
          </w:pPr>
          <w:hyperlink w:anchor="__RefHeading___Toc3520101_1280447820">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3520103_1280447820">
            <w:r>
              <w:rPr>
                <w:webHidden/>
                <w:rStyle w:val="IndexLink"/>
                <w:rtl w:val="true"/>
              </w:rPr>
              <w:t>في الفرق بين القرينة الّتي في الحقيقة المرجوحة وبينها في المجازات</w:t>
            </w:r>
            <w:r>
              <w:rPr>
                <w:rStyle w:val="IndexLink"/>
                <w:rtl w:val="true"/>
              </w:rPr>
              <w:tab/>
            </w:r>
            <w:r>
              <w:rPr>
                <w:rStyle w:val="IndexLink"/>
              </w:rPr>
              <w:t>308</w:t>
            </w:r>
          </w:hyperlink>
        </w:p>
        <w:p>
          <w:pPr>
            <w:pStyle w:val="Contents6"/>
            <w:tabs>
              <w:tab w:val="clear" w:pos="7609"/>
              <w:tab w:val="right" w:pos="9026" w:leader="dot"/>
            </w:tabs>
            <w:rPr/>
          </w:pPr>
          <w:hyperlink w:anchor="__RefHeading___Toc3520105_1280447820">
            <w:r>
              <w:rPr>
                <w:webHidden/>
                <w:rStyle w:val="IndexLink"/>
                <w:rtl w:val="true"/>
              </w:rPr>
              <w:t>الحقيقة قد تصير مجازًا وبالعكس</w:t>
            </w:r>
            <w:r>
              <w:rPr>
                <w:rStyle w:val="IndexLink"/>
                <w:rtl w:val="true"/>
              </w:rPr>
              <w:tab/>
            </w:r>
            <w:r>
              <w:rPr>
                <w:rStyle w:val="IndexLink"/>
              </w:rPr>
              <w:t>310</w:t>
            </w:r>
          </w:hyperlink>
        </w:p>
        <w:p>
          <w:pPr>
            <w:pStyle w:val="Contents6"/>
            <w:tabs>
              <w:tab w:val="clear" w:pos="7609"/>
              <w:tab w:val="right" w:pos="9026" w:leader="dot"/>
            </w:tabs>
            <w:rPr/>
          </w:pPr>
          <w:hyperlink w:anchor="__RefHeading___Toc3520107_1280447820">
            <w:r>
              <w:rPr>
                <w:webHidden/>
                <w:rStyle w:val="IndexLink"/>
                <w:rtl w:val="true"/>
              </w:rPr>
              <w:t>الإيراد الثاني مع الجواب عنه</w:t>
            </w:r>
            <w:r>
              <w:rPr>
                <w:rStyle w:val="IndexLink"/>
                <w:rtl w:val="true"/>
              </w:rPr>
              <w:tab/>
            </w:r>
            <w:r>
              <w:rPr>
                <w:rStyle w:val="IndexLink"/>
              </w:rPr>
              <w:t>310</w:t>
            </w:r>
          </w:hyperlink>
        </w:p>
        <w:p>
          <w:pPr>
            <w:pStyle w:val="Contents6"/>
            <w:tabs>
              <w:tab w:val="clear" w:pos="7609"/>
              <w:tab w:val="right" w:pos="9026" w:leader="dot"/>
            </w:tabs>
            <w:rPr/>
          </w:pPr>
          <w:hyperlink w:anchor="__RefHeading___Toc3520109_1280447820">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3520111_1280447820">
            <w:r>
              <w:rPr>
                <w:webHidden/>
                <w:rStyle w:val="IndexLink"/>
                <w:rtl w:val="true"/>
              </w:rPr>
              <w:t>في أنّ ما اشتهر من عدم ثبوت اللغات بالاستدلال لا ينافي إثباتها بالتبادر ونحوه</w:t>
            </w:r>
            <w:r>
              <w:rPr>
                <w:rStyle w:val="IndexLink"/>
                <w:rtl w:val="true"/>
              </w:rPr>
              <w:tab/>
            </w:r>
            <w:r>
              <w:rPr>
                <w:rStyle w:val="IndexLink"/>
              </w:rPr>
              <w:t>311</w:t>
            </w:r>
          </w:hyperlink>
        </w:p>
        <w:p>
          <w:pPr>
            <w:pStyle w:val="Contents2"/>
            <w:tabs>
              <w:tab w:val="clear" w:pos="8743"/>
              <w:tab w:val="right" w:pos="9026" w:leader="dot"/>
            </w:tabs>
            <w:rPr/>
          </w:pPr>
          <w:hyperlink w:anchor="__RefHeading___Toc3520113_1280447820">
            <w:r>
              <w:rPr>
                <w:webHidden/>
                <w:rStyle w:val="IndexLink"/>
                <w:rtl w:val="true"/>
              </w:rPr>
              <w:t>الباب الثالث</w:t>
            </w:r>
            <w:r>
              <w:rPr>
                <w:rStyle w:val="IndexLink"/>
                <w:rtl w:val="true"/>
              </w:rPr>
              <w:t xml:space="preserve">: </w:t>
            </w:r>
            <w:r>
              <w:rPr>
                <w:rStyle w:val="IndexLink"/>
                <w:rtl w:val="true"/>
              </w:rPr>
              <w:t>في تحقّق الواسطة في الألفاظ</w:t>
            </w:r>
            <w:r>
              <w:rPr>
                <w:rStyle w:val="IndexLink"/>
                <w:rtl w:val="true"/>
              </w:rPr>
              <w:tab/>
            </w:r>
            <w:r>
              <w:rPr>
                <w:rStyle w:val="IndexLink"/>
              </w:rPr>
              <w:t>316</w:t>
            </w:r>
          </w:hyperlink>
        </w:p>
        <w:p>
          <w:pPr>
            <w:pStyle w:val="Contents3"/>
            <w:tabs>
              <w:tab w:val="clear" w:pos="8459"/>
              <w:tab w:val="right" w:pos="9026" w:leader="dot"/>
            </w:tabs>
            <w:rPr/>
          </w:pPr>
          <w:hyperlink w:anchor="__RefHeading___Toc3520115_1280447820">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3520117_1280447820">
            <w:r>
              <w:rPr>
                <w:webHidden/>
                <w:rStyle w:val="IndexLink"/>
                <w:rtl w:val="true"/>
              </w:rPr>
              <w:t>الفصل الأوّل</w:t>
            </w:r>
            <w:r>
              <w:rPr>
                <w:rStyle w:val="IndexLink"/>
                <w:rtl w:val="true"/>
              </w:rPr>
              <w:t xml:space="preserve">: </w:t>
            </w:r>
            <w:r>
              <w:rPr>
                <w:rStyle w:val="IndexLink"/>
                <w:rtl w:val="true"/>
              </w:rPr>
              <w:t>في تحقّق الواسطة بينهما وجواز انفكاك كلّ منهما عن الآخر</w:t>
            </w:r>
            <w:r>
              <w:rPr>
                <w:rStyle w:val="IndexLink"/>
                <w:rtl w:val="true"/>
              </w:rPr>
              <w:tab/>
            </w:r>
            <w:r>
              <w:rPr>
                <w:rStyle w:val="IndexLink"/>
              </w:rPr>
              <w:t>316</w:t>
            </w:r>
          </w:hyperlink>
        </w:p>
        <w:p>
          <w:pPr>
            <w:pStyle w:val="Contents4"/>
            <w:tabs>
              <w:tab w:val="clear" w:pos="8176"/>
              <w:tab w:val="right" w:pos="9026" w:leader="dot"/>
            </w:tabs>
            <w:rPr/>
          </w:pPr>
          <w:hyperlink w:anchor="__RefHeading___Toc3520119_1280447820">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3520121_1280447820">
            <w:r>
              <w:rPr>
                <w:webHidden/>
                <w:rStyle w:val="IndexLink"/>
                <w:rtl w:val="true"/>
              </w:rPr>
              <w:t>المبحث الأوّل</w:t>
            </w:r>
            <w:r>
              <w:rPr>
                <w:rStyle w:val="IndexLink"/>
                <w:rtl w:val="true"/>
              </w:rPr>
              <w:t xml:space="preserve">: </w:t>
            </w:r>
            <w:r>
              <w:rPr>
                <w:rStyle w:val="IndexLink"/>
                <w:rtl w:val="true"/>
              </w:rPr>
              <w:t>في تحقّق الواسطة بين المجاز والحقيقة</w:t>
            </w:r>
            <w:r>
              <w:rPr>
                <w:rStyle w:val="IndexLink"/>
                <w:rtl w:val="true"/>
              </w:rPr>
              <w:tab/>
            </w:r>
            <w:r>
              <w:rPr>
                <w:rStyle w:val="IndexLink"/>
              </w:rPr>
              <w:t>316</w:t>
            </w:r>
          </w:hyperlink>
        </w:p>
        <w:p>
          <w:pPr>
            <w:pStyle w:val="Contents5"/>
            <w:tabs>
              <w:tab w:val="clear" w:pos="7892"/>
              <w:tab w:val="right" w:pos="9026" w:leader="dot"/>
            </w:tabs>
            <w:rPr/>
          </w:pPr>
          <w:hyperlink w:anchor="__RefHeading___Toc3520123_1280447820">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3520125_1280447820">
            <w:r>
              <w:rPr>
                <w:webHidden/>
                <w:rStyle w:val="IndexLink"/>
                <w:rtl w:val="true"/>
              </w:rPr>
              <w:t>الموضع الأوّل</w:t>
            </w:r>
            <w:r>
              <w:rPr>
                <w:rStyle w:val="IndexLink"/>
                <w:rtl w:val="true"/>
              </w:rPr>
              <w:tab/>
            </w:r>
            <w:r>
              <w:rPr>
                <w:rStyle w:val="IndexLink"/>
              </w:rPr>
              <w:t>316</w:t>
            </w:r>
          </w:hyperlink>
        </w:p>
        <w:p>
          <w:pPr>
            <w:pStyle w:val="Contents5"/>
            <w:tabs>
              <w:tab w:val="clear" w:pos="7892"/>
              <w:tab w:val="right" w:pos="9026" w:leader="dot"/>
            </w:tabs>
            <w:rPr/>
          </w:pPr>
          <w:hyperlink w:anchor="__RefHeading___Toc3520127_1280447820">
            <w:r>
              <w:rPr>
                <w:webHidden/>
                <w:rStyle w:val="IndexLink"/>
                <w:rtl w:val="true"/>
              </w:rPr>
              <w:t>الموضع الثاني</w:t>
            </w:r>
            <w:r>
              <w:rPr>
                <w:rStyle w:val="IndexLink"/>
                <w:rtl w:val="true"/>
              </w:rPr>
              <w:tab/>
            </w:r>
            <w:r>
              <w:rPr>
                <w:rStyle w:val="IndexLink"/>
              </w:rPr>
              <w:t>317</w:t>
            </w:r>
          </w:hyperlink>
        </w:p>
        <w:p>
          <w:pPr>
            <w:pStyle w:val="Contents5"/>
            <w:tabs>
              <w:tab w:val="clear" w:pos="7892"/>
              <w:tab w:val="right" w:pos="9026" w:leader="dot"/>
            </w:tabs>
            <w:rPr/>
          </w:pPr>
          <w:hyperlink w:anchor="__RefHeading___Toc3520129_1280447820">
            <w:r>
              <w:rPr>
                <w:webHidden/>
                <w:rStyle w:val="IndexLink"/>
                <w:rtl w:val="true"/>
              </w:rPr>
              <w:t>الموضع الثالث</w:t>
            </w:r>
            <w:r>
              <w:rPr>
                <w:rStyle w:val="IndexLink"/>
                <w:rtl w:val="true"/>
              </w:rPr>
              <w:tab/>
            </w:r>
            <w:r>
              <w:rPr>
                <w:rStyle w:val="IndexLink"/>
              </w:rPr>
              <w:t>317</w:t>
            </w:r>
          </w:hyperlink>
        </w:p>
        <w:p>
          <w:pPr>
            <w:pStyle w:val="Contents4"/>
            <w:tabs>
              <w:tab w:val="clear" w:pos="8176"/>
              <w:tab w:val="right" w:pos="9026" w:leader="dot"/>
            </w:tabs>
            <w:rPr/>
          </w:pPr>
          <w:hyperlink w:anchor="__RefHeading___Toc3520131_1280447820">
            <w:r>
              <w:rPr>
                <w:webHidden/>
                <w:rStyle w:val="IndexLink"/>
                <w:rtl w:val="true"/>
              </w:rPr>
              <w:t>المبحث الثاني</w:t>
            </w:r>
            <w:r>
              <w:rPr>
                <w:rStyle w:val="IndexLink"/>
                <w:rtl w:val="true"/>
              </w:rPr>
              <w:t xml:space="preserve">: </w:t>
            </w:r>
            <w:r>
              <w:rPr>
                <w:rStyle w:val="IndexLink"/>
                <w:rtl w:val="true"/>
              </w:rPr>
              <w:t>في جواز انفكاك الحقيقة من المجاز</w:t>
            </w:r>
            <w:r>
              <w:rPr>
                <w:rStyle w:val="IndexLink"/>
                <w:rtl w:val="true"/>
              </w:rPr>
              <w:tab/>
            </w:r>
            <w:r>
              <w:rPr>
                <w:rStyle w:val="IndexLink"/>
              </w:rPr>
              <w:t>319</w:t>
            </w:r>
          </w:hyperlink>
        </w:p>
        <w:p>
          <w:pPr>
            <w:pStyle w:val="Contents5"/>
            <w:tabs>
              <w:tab w:val="clear" w:pos="7892"/>
              <w:tab w:val="right" w:pos="9026" w:leader="dot"/>
            </w:tabs>
            <w:rPr/>
          </w:pPr>
          <w:hyperlink w:anchor="__RefHeading___Toc3520133_1280447820">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3520135_1280447820">
            <w:r>
              <w:rPr>
                <w:webHidden/>
                <w:rStyle w:val="IndexLink"/>
                <w:rtl w:val="true"/>
              </w:rPr>
              <w:t>الاحتمالات في معنى أنّ المجاز أكثر من الحقيقة</w:t>
            </w:r>
            <w:r>
              <w:rPr>
                <w:rStyle w:val="IndexLink"/>
                <w:rtl w:val="true"/>
              </w:rPr>
              <w:tab/>
            </w:r>
            <w:r>
              <w:rPr>
                <w:rStyle w:val="IndexLink"/>
              </w:rPr>
              <w:t>321</w:t>
            </w:r>
          </w:hyperlink>
        </w:p>
        <w:p>
          <w:pPr>
            <w:pStyle w:val="Contents6"/>
            <w:tabs>
              <w:tab w:val="clear" w:pos="7609"/>
              <w:tab w:val="right" w:pos="9026" w:leader="dot"/>
            </w:tabs>
            <w:rPr/>
          </w:pPr>
          <w:hyperlink w:anchor="__RefHeading___Toc3520137_1280447820">
            <w:r>
              <w:rPr>
                <w:webHidden/>
                <w:rStyle w:val="IndexLink"/>
                <w:rtl w:val="true"/>
              </w:rPr>
              <w:t>المعنى الأوّل</w:t>
            </w:r>
            <w:r>
              <w:rPr>
                <w:rStyle w:val="IndexLink"/>
                <w:rtl w:val="true"/>
              </w:rPr>
              <w:tab/>
            </w:r>
            <w:r>
              <w:rPr>
                <w:rStyle w:val="IndexLink"/>
              </w:rPr>
              <w:t>321</w:t>
            </w:r>
          </w:hyperlink>
        </w:p>
        <w:p>
          <w:pPr>
            <w:pStyle w:val="Contents6"/>
            <w:tabs>
              <w:tab w:val="clear" w:pos="7609"/>
              <w:tab w:val="right" w:pos="9026" w:leader="dot"/>
            </w:tabs>
            <w:rPr/>
          </w:pPr>
          <w:hyperlink w:anchor="__RefHeading___Toc3520139_1280447820">
            <w:r>
              <w:rPr>
                <w:webHidden/>
                <w:rStyle w:val="IndexLink"/>
                <w:rtl w:val="true"/>
              </w:rPr>
              <w:t>المعنى الثاني</w:t>
            </w:r>
            <w:r>
              <w:rPr>
                <w:rStyle w:val="IndexLink"/>
                <w:rtl w:val="true"/>
              </w:rPr>
              <w:tab/>
            </w:r>
            <w:r>
              <w:rPr>
                <w:rStyle w:val="IndexLink"/>
              </w:rPr>
              <w:t>321</w:t>
            </w:r>
          </w:hyperlink>
        </w:p>
        <w:p>
          <w:pPr>
            <w:pStyle w:val="Contents6"/>
            <w:tabs>
              <w:tab w:val="clear" w:pos="7609"/>
              <w:tab w:val="right" w:pos="9026" w:leader="dot"/>
            </w:tabs>
            <w:rPr/>
          </w:pPr>
          <w:hyperlink w:anchor="__RefHeading___Toc3520141_1280447820">
            <w:r>
              <w:rPr>
                <w:webHidden/>
                <w:rStyle w:val="IndexLink"/>
                <w:rtl w:val="true"/>
              </w:rPr>
              <w:t>المعنى الثالث</w:t>
            </w:r>
            <w:r>
              <w:rPr>
                <w:rStyle w:val="IndexLink"/>
                <w:rtl w:val="true"/>
              </w:rPr>
              <w:tab/>
            </w:r>
            <w:r>
              <w:rPr>
                <w:rStyle w:val="IndexLink"/>
              </w:rPr>
              <w:t>324</w:t>
            </w:r>
          </w:hyperlink>
        </w:p>
        <w:p>
          <w:pPr>
            <w:pStyle w:val="Contents6"/>
            <w:tabs>
              <w:tab w:val="clear" w:pos="7609"/>
              <w:tab w:val="right" w:pos="9026" w:leader="dot"/>
            </w:tabs>
            <w:rPr/>
          </w:pPr>
          <w:hyperlink w:anchor="__RefHeading___Toc3520143_1280447820">
            <w:r>
              <w:rPr>
                <w:webHidden/>
                <w:rStyle w:val="IndexLink"/>
                <w:rtl w:val="true"/>
              </w:rPr>
              <w:t>المعنى الرابع</w:t>
            </w:r>
            <w:r>
              <w:rPr>
                <w:rStyle w:val="IndexLink"/>
                <w:rtl w:val="true"/>
              </w:rPr>
              <w:tab/>
            </w:r>
            <w:r>
              <w:rPr>
                <w:rStyle w:val="IndexLink"/>
              </w:rPr>
              <w:t>325</w:t>
            </w:r>
          </w:hyperlink>
        </w:p>
        <w:p>
          <w:pPr>
            <w:pStyle w:val="Contents6"/>
            <w:tabs>
              <w:tab w:val="clear" w:pos="7609"/>
              <w:tab w:val="right" w:pos="9026" w:leader="dot"/>
            </w:tabs>
            <w:rPr/>
          </w:pPr>
          <w:hyperlink w:anchor="__RefHeading___Toc3520145_1280447820">
            <w:r>
              <w:rPr>
                <w:webHidden/>
                <w:rStyle w:val="IndexLink"/>
                <w:rtl w:val="true"/>
              </w:rPr>
              <w:t>المعنى الخامس</w:t>
            </w:r>
            <w:r>
              <w:rPr>
                <w:rStyle w:val="IndexLink"/>
                <w:rtl w:val="true"/>
              </w:rPr>
              <w:tab/>
            </w:r>
            <w:r>
              <w:rPr>
                <w:rStyle w:val="IndexLink"/>
              </w:rPr>
              <w:t>327</w:t>
            </w:r>
          </w:hyperlink>
        </w:p>
        <w:p>
          <w:pPr>
            <w:pStyle w:val="Contents6"/>
            <w:tabs>
              <w:tab w:val="clear" w:pos="7609"/>
              <w:tab w:val="right" w:pos="9026" w:leader="dot"/>
            </w:tabs>
            <w:rPr/>
          </w:pPr>
          <w:hyperlink w:anchor="__RefHeading___Toc3520147_1280447820">
            <w:r>
              <w:rPr>
                <w:webHidden/>
                <w:rStyle w:val="IndexLink"/>
                <w:rtl w:val="true"/>
              </w:rPr>
              <w:t>المقام الأوّل</w:t>
            </w:r>
            <w:r>
              <w:rPr>
                <w:rStyle w:val="IndexLink"/>
                <w:rtl w:val="true"/>
              </w:rPr>
              <w:tab/>
            </w:r>
            <w:r>
              <w:rPr>
                <w:rStyle w:val="IndexLink"/>
              </w:rPr>
              <w:t>327</w:t>
            </w:r>
          </w:hyperlink>
        </w:p>
        <w:p>
          <w:pPr>
            <w:pStyle w:val="Contents6"/>
            <w:tabs>
              <w:tab w:val="clear" w:pos="7609"/>
              <w:tab w:val="right" w:pos="9026" w:leader="dot"/>
            </w:tabs>
            <w:rPr/>
          </w:pPr>
          <w:hyperlink w:anchor="__RefHeading___Toc3520149_1280447820">
            <w:r>
              <w:rPr>
                <w:webHidden/>
                <w:rStyle w:val="IndexLink"/>
                <w:rtl w:val="true"/>
              </w:rPr>
              <w:t>المقام الثاني</w:t>
            </w:r>
            <w:r>
              <w:rPr>
                <w:rStyle w:val="IndexLink"/>
                <w:rtl w:val="true"/>
              </w:rPr>
              <w:tab/>
            </w:r>
            <w:r>
              <w:rPr>
                <w:rStyle w:val="IndexLink"/>
              </w:rPr>
              <w:t>328</w:t>
            </w:r>
          </w:hyperlink>
        </w:p>
        <w:p>
          <w:pPr>
            <w:pStyle w:val="Contents6"/>
            <w:tabs>
              <w:tab w:val="clear" w:pos="7609"/>
              <w:tab w:val="right" w:pos="9026" w:leader="dot"/>
            </w:tabs>
            <w:rPr/>
          </w:pPr>
          <w:hyperlink w:anchor="__RefHeading___Toc3520151_1280447820">
            <w:r>
              <w:rPr>
                <w:webHidden/>
                <w:rStyle w:val="IndexLink"/>
                <w:rtl w:val="true"/>
              </w:rPr>
              <w:t>المقام الثالث</w:t>
            </w:r>
            <w:r>
              <w:rPr>
                <w:rStyle w:val="IndexLink"/>
                <w:rtl w:val="true"/>
              </w:rPr>
              <w:tab/>
            </w:r>
            <w:r>
              <w:rPr>
                <w:rStyle w:val="IndexLink"/>
              </w:rPr>
              <w:t>328</w:t>
            </w:r>
          </w:hyperlink>
        </w:p>
        <w:p>
          <w:pPr>
            <w:pStyle w:val="Contents6"/>
            <w:tabs>
              <w:tab w:val="clear" w:pos="7609"/>
              <w:tab w:val="right" w:pos="9026" w:leader="dot"/>
            </w:tabs>
            <w:rPr/>
          </w:pPr>
          <w:hyperlink w:anchor="__RefHeading___Toc3520153_1280447820">
            <w:r>
              <w:rPr>
                <w:webHidden/>
                <w:rStyle w:val="IndexLink"/>
                <w:rtl w:val="true"/>
              </w:rPr>
              <w:t>المقام الرابع</w:t>
            </w:r>
            <w:r>
              <w:rPr>
                <w:rStyle w:val="IndexLink"/>
                <w:rtl w:val="true"/>
              </w:rPr>
              <w:tab/>
            </w:r>
            <w:r>
              <w:rPr>
                <w:rStyle w:val="IndexLink"/>
              </w:rPr>
              <w:t>329</w:t>
            </w:r>
          </w:hyperlink>
        </w:p>
        <w:p>
          <w:pPr>
            <w:pStyle w:val="Contents4"/>
            <w:tabs>
              <w:tab w:val="clear" w:pos="8176"/>
              <w:tab w:val="right" w:pos="9026" w:leader="dot"/>
            </w:tabs>
            <w:rPr/>
          </w:pPr>
          <w:hyperlink w:anchor="__RefHeading___Toc3520155_1280447820">
            <w:r>
              <w:rPr>
                <w:webHidden/>
                <w:rStyle w:val="IndexLink"/>
                <w:rtl w:val="true"/>
              </w:rPr>
              <w:t>المبحث الثالث</w:t>
            </w:r>
            <w:r>
              <w:rPr>
                <w:rStyle w:val="IndexLink"/>
                <w:rtl w:val="true"/>
              </w:rPr>
              <w:t xml:space="preserve">: </w:t>
            </w:r>
            <w:r>
              <w:rPr>
                <w:rStyle w:val="IndexLink"/>
                <w:rtl w:val="true"/>
              </w:rPr>
              <w:t>في عدم استلزام المجاز للحقيقة</w:t>
            </w:r>
            <w:r>
              <w:rPr>
                <w:rStyle w:val="IndexLink"/>
                <w:rtl w:val="true"/>
              </w:rPr>
              <w:tab/>
            </w:r>
            <w:r>
              <w:rPr>
                <w:rStyle w:val="IndexLink"/>
              </w:rPr>
              <w:t>332</w:t>
            </w:r>
          </w:hyperlink>
        </w:p>
        <w:p>
          <w:pPr>
            <w:pStyle w:val="Contents5"/>
            <w:tabs>
              <w:tab w:val="clear" w:pos="7892"/>
              <w:tab w:val="right" w:pos="9026" w:leader="dot"/>
            </w:tabs>
            <w:rPr/>
          </w:pPr>
          <w:hyperlink w:anchor="__RefHeading___Toc3520157_1280447820">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3520159_1280447820">
            <w:r>
              <w:rPr>
                <w:webHidden/>
                <w:rStyle w:val="IndexLink"/>
                <w:rtl w:val="true"/>
              </w:rPr>
              <w:t>دليل القائلين بالاستلزام</w:t>
            </w:r>
            <w:r>
              <w:rPr>
                <w:rStyle w:val="IndexLink"/>
                <w:rtl w:val="true"/>
              </w:rPr>
              <w:tab/>
            </w:r>
            <w:r>
              <w:rPr>
                <w:rStyle w:val="IndexLink"/>
              </w:rPr>
              <w:t>332</w:t>
            </w:r>
          </w:hyperlink>
        </w:p>
        <w:p>
          <w:pPr>
            <w:pStyle w:val="Contents5"/>
            <w:tabs>
              <w:tab w:val="clear" w:pos="7892"/>
              <w:tab w:val="right" w:pos="9026" w:leader="dot"/>
            </w:tabs>
            <w:rPr/>
          </w:pPr>
          <w:hyperlink w:anchor="__RefHeading___Toc3520161_1280447820">
            <w:r>
              <w:rPr>
                <w:webHidden/>
                <w:rStyle w:val="IndexLink"/>
                <w:rtl w:val="true"/>
              </w:rPr>
              <w:t>دليل القائلين على أنّ وضع الألفاظ المفردة ليس لإفادة المعاني المفردة مع الجواب عنه</w:t>
            </w:r>
            <w:r>
              <w:rPr>
                <w:rStyle w:val="IndexLink"/>
                <w:rtl w:val="true"/>
              </w:rPr>
              <w:tab/>
            </w:r>
            <w:r>
              <w:rPr>
                <w:rStyle w:val="IndexLink"/>
              </w:rPr>
              <w:t>333</w:t>
            </w:r>
          </w:hyperlink>
        </w:p>
        <w:p>
          <w:pPr>
            <w:pStyle w:val="Contents6"/>
            <w:tabs>
              <w:tab w:val="clear" w:pos="7609"/>
              <w:tab w:val="right" w:pos="9026" w:leader="dot"/>
            </w:tabs>
            <w:rPr/>
          </w:pPr>
          <w:hyperlink w:anchor="__RefHeading___Toc3520163_1280447820">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3520165_1280447820">
            <w:r>
              <w:rPr>
                <w:webHidden/>
                <w:rStyle w:val="IndexLink"/>
                <w:rtl w:val="true"/>
              </w:rPr>
              <w:t>الجواب عنه</w:t>
            </w:r>
            <w:r>
              <w:rPr>
                <w:rStyle w:val="IndexLink"/>
                <w:rtl w:val="true"/>
              </w:rPr>
              <w:tab/>
            </w:r>
            <w:r>
              <w:rPr>
                <w:rStyle w:val="IndexLink"/>
              </w:rPr>
              <w:t>334</w:t>
            </w:r>
          </w:hyperlink>
        </w:p>
        <w:p>
          <w:pPr>
            <w:pStyle w:val="Contents6"/>
            <w:tabs>
              <w:tab w:val="clear" w:pos="7609"/>
              <w:tab w:val="right" w:pos="9026" w:leader="dot"/>
            </w:tabs>
            <w:rPr/>
          </w:pPr>
          <w:hyperlink w:anchor="__RefHeading___Toc3520167_1280447820">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3520169_1280447820">
            <w:r>
              <w:rPr>
                <w:webHidden/>
                <w:rStyle w:val="IndexLink"/>
                <w:rtl w:val="true"/>
              </w:rPr>
              <w:t>الوجه الأوّل</w:t>
            </w:r>
            <w:r>
              <w:rPr>
                <w:rStyle w:val="IndexLink"/>
                <w:rtl w:val="true"/>
              </w:rPr>
              <w:tab/>
            </w:r>
            <w:r>
              <w:rPr>
                <w:rStyle w:val="IndexLink"/>
              </w:rPr>
              <w:t>334</w:t>
            </w:r>
          </w:hyperlink>
        </w:p>
        <w:p>
          <w:pPr>
            <w:pStyle w:val="Contents6"/>
            <w:tabs>
              <w:tab w:val="clear" w:pos="7609"/>
              <w:tab w:val="right" w:pos="9026" w:leader="dot"/>
            </w:tabs>
            <w:rPr/>
          </w:pPr>
          <w:hyperlink w:anchor="__RefHeading___Toc3520171_1280447820">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3520173_1280447820">
            <w:r>
              <w:rPr>
                <w:webHidden/>
                <w:rStyle w:val="IndexLink"/>
                <w:rtl w:val="true"/>
              </w:rPr>
              <w:t>وضع الألفاظ المفردة لأجل إفادة المعاني المركّبة يحتمل معنيين</w:t>
            </w:r>
            <w:r>
              <w:rPr>
                <w:rStyle w:val="IndexLink"/>
                <w:rtl w:val="true"/>
              </w:rPr>
              <w:tab/>
            </w:r>
            <w:r>
              <w:rPr>
                <w:rStyle w:val="IndexLink"/>
              </w:rPr>
              <w:t>335</w:t>
            </w:r>
          </w:hyperlink>
        </w:p>
        <w:p>
          <w:pPr>
            <w:pStyle w:val="Contents6"/>
            <w:tabs>
              <w:tab w:val="clear" w:pos="7609"/>
              <w:tab w:val="right" w:pos="9026" w:leader="dot"/>
            </w:tabs>
            <w:rPr/>
          </w:pPr>
          <w:hyperlink w:anchor="__RefHeading___Toc3520175_1280447820">
            <w:r>
              <w:rPr>
                <w:webHidden/>
                <w:rStyle w:val="IndexLink"/>
                <w:rtl w:val="true"/>
              </w:rPr>
              <w:t>وضع الألفاظ المفردة ليس لإفادة المعاني المفردة</w:t>
            </w:r>
            <w:r>
              <w:rPr>
                <w:rStyle w:val="IndexLink"/>
                <w:rtl w:val="true"/>
              </w:rPr>
              <w:tab/>
            </w:r>
            <w:r>
              <w:rPr>
                <w:rStyle w:val="IndexLink"/>
              </w:rPr>
              <w:t>337</w:t>
            </w:r>
          </w:hyperlink>
        </w:p>
        <w:p>
          <w:pPr>
            <w:pStyle w:val="Contents6"/>
            <w:tabs>
              <w:tab w:val="clear" w:pos="7609"/>
              <w:tab w:val="right" w:pos="9026" w:leader="dot"/>
            </w:tabs>
            <w:rPr/>
          </w:pPr>
          <w:hyperlink w:anchor="__RefHeading___Toc3520177_1280447820">
            <w:r>
              <w:rPr>
                <w:webHidden/>
                <w:rStyle w:val="IndexLink"/>
                <w:rtl w:val="true"/>
              </w:rPr>
              <w:t>الوجه الثاني</w:t>
            </w:r>
            <w:r>
              <w:rPr>
                <w:rStyle w:val="IndexLink"/>
                <w:rtl w:val="true"/>
              </w:rPr>
              <w:tab/>
            </w:r>
            <w:r>
              <w:rPr>
                <w:rStyle w:val="IndexLink"/>
              </w:rPr>
              <w:t>338</w:t>
            </w:r>
          </w:hyperlink>
        </w:p>
        <w:p>
          <w:pPr>
            <w:pStyle w:val="Contents6"/>
            <w:tabs>
              <w:tab w:val="clear" w:pos="7609"/>
              <w:tab w:val="right" w:pos="9026" w:leader="dot"/>
            </w:tabs>
            <w:rPr/>
          </w:pPr>
          <w:hyperlink w:anchor="__RefHeading___Toc3520179_1280447820">
            <w:r>
              <w:rPr>
                <w:webHidden/>
                <w:rStyle w:val="IndexLink"/>
                <w:rtl w:val="true"/>
              </w:rPr>
              <w:t>الوجه الثالث</w:t>
            </w:r>
            <w:r>
              <w:rPr>
                <w:rStyle w:val="IndexLink"/>
                <w:rtl w:val="true"/>
              </w:rPr>
              <w:tab/>
            </w:r>
            <w:r>
              <w:rPr>
                <w:rStyle w:val="IndexLink"/>
              </w:rPr>
              <w:t>338</w:t>
            </w:r>
          </w:hyperlink>
        </w:p>
        <w:p>
          <w:pPr>
            <w:pStyle w:val="Contents6"/>
            <w:tabs>
              <w:tab w:val="clear" w:pos="7609"/>
              <w:tab w:val="right" w:pos="9026" w:leader="dot"/>
            </w:tabs>
            <w:rPr/>
          </w:pPr>
          <w:hyperlink w:anchor="__RefHeading___Toc3520181_1280447820">
            <w:r>
              <w:rPr>
                <w:webHidden/>
                <w:rStyle w:val="IndexLink"/>
                <w:rtl w:val="true"/>
              </w:rPr>
              <w:t>الوجه الرابع</w:t>
            </w:r>
            <w:r>
              <w:rPr>
                <w:rStyle w:val="IndexLink"/>
                <w:rtl w:val="true"/>
              </w:rPr>
              <w:tab/>
            </w:r>
            <w:r>
              <w:rPr>
                <w:rStyle w:val="IndexLink"/>
              </w:rPr>
              <w:t>338</w:t>
            </w:r>
          </w:hyperlink>
        </w:p>
        <w:p>
          <w:pPr>
            <w:pStyle w:val="Contents5"/>
            <w:tabs>
              <w:tab w:val="clear" w:pos="7892"/>
              <w:tab w:val="right" w:pos="9026" w:leader="dot"/>
            </w:tabs>
            <w:rPr/>
          </w:pPr>
          <w:hyperlink w:anchor="__RefHeading___Toc3520183_1280447820">
            <w:r>
              <w:rPr>
                <w:webHidden/>
                <w:rStyle w:val="IndexLink"/>
                <w:rtl w:val="true"/>
              </w:rPr>
              <w:t>ذكر اختلاف القائلين بعدم الاستلزام ومستندهم</w:t>
            </w:r>
            <w:r>
              <w:rPr>
                <w:rStyle w:val="IndexLink"/>
                <w:rtl w:val="true"/>
              </w:rPr>
              <w:tab/>
            </w:r>
            <w:r>
              <w:rPr>
                <w:rStyle w:val="IndexLink"/>
              </w:rPr>
              <w:t>340</w:t>
            </w:r>
          </w:hyperlink>
        </w:p>
        <w:p>
          <w:pPr>
            <w:pStyle w:val="Contents5"/>
            <w:tabs>
              <w:tab w:val="clear" w:pos="7892"/>
              <w:tab w:val="right" w:pos="9026" w:leader="dot"/>
            </w:tabs>
            <w:rPr/>
          </w:pPr>
          <w:hyperlink w:anchor="__RefHeading___Toc3520185_1280447820">
            <w:r>
              <w:rPr>
                <w:webHidden/>
                <w:rStyle w:val="IndexLink"/>
                <w:rtl w:val="true"/>
              </w:rPr>
              <w:t>انفكاك الحقيقة عن المجاز في الألفاظ المفردة</w:t>
            </w:r>
            <w:r>
              <w:rPr>
                <w:rStyle w:val="IndexLink"/>
                <w:rtl w:val="true"/>
              </w:rPr>
              <w:tab/>
            </w:r>
            <w:r>
              <w:rPr>
                <w:rStyle w:val="IndexLink"/>
              </w:rPr>
              <w:t>347</w:t>
            </w:r>
          </w:hyperlink>
        </w:p>
        <w:p>
          <w:pPr>
            <w:pStyle w:val="Contents3"/>
            <w:tabs>
              <w:tab w:val="clear" w:pos="8459"/>
              <w:tab w:val="right" w:pos="9026" w:leader="dot"/>
            </w:tabs>
            <w:rPr/>
          </w:pPr>
          <w:hyperlink w:anchor="__RefHeading___Toc3520187_1280447820">
            <w:r>
              <w:rPr>
                <w:webHidden/>
                <w:rStyle w:val="IndexLink"/>
                <w:rtl w:val="true"/>
              </w:rPr>
              <w:t>الفصل الثاني</w:t>
            </w:r>
            <w:r>
              <w:rPr>
                <w:rStyle w:val="IndexLink"/>
                <w:rtl w:val="true"/>
              </w:rPr>
              <w:t xml:space="preserve">: </w:t>
            </w:r>
            <w:r>
              <w:rPr>
                <w:rStyle w:val="IndexLink"/>
                <w:rtl w:val="true"/>
              </w:rPr>
              <w:t>في تعارض الأحوال وغيره ممّا يتعلّق بذلك المقال</w:t>
            </w:r>
            <w:r>
              <w:rPr>
                <w:rStyle w:val="IndexLink"/>
                <w:rtl w:val="true"/>
              </w:rPr>
              <w:tab/>
            </w:r>
            <w:r>
              <w:rPr>
                <w:rStyle w:val="IndexLink"/>
              </w:rPr>
              <w:t>352</w:t>
            </w:r>
          </w:hyperlink>
        </w:p>
        <w:p>
          <w:pPr>
            <w:pStyle w:val="Contents4"/>
            <w:tabs>
              <w:tab w:val="clear" w:pos="8176"/>
              <w:tab w:val="right" w:pos="9026" w:leader="dot"/>
            </w:tabs>
            <w:rPr/>
          </w:pPr>
          <w:hyperlink w:anchor="__RefHeading___Toc3520189_1280447820">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3520191_1280447820">
            <w:r>
              <w:rPr>
                <w:webHidden/>
                <w:rStyle w:val="IndexLink"/>
                <w:rtl w:val="true"/>
              </w:rPr>
              <w:t>المبحث الأوّل</w:t>
            </w:r>
            <w:r>
              <w:rPr>
                <w:rStyle w:val="IndexLink"/>
                <w:rtl w:val="true"/>
              </w:rPr>
              <w:t xml:space="preserve">: </w:t>
            </w:r>
            <w:r>
              <w:rPr>
                <w:rStyle w:val="IndexLink"/>
                <w:rtl w:val="true"/>
              </w:rPr>
              <w:t>في معارضة الاشتراك والمجاز</w:t>
            </w:r>
            <w:r>
              <w:rPr>
                <w:rStyle w:val="IndexLink"/>
                <w:rtl w:val="true"/>
              </w:rPr>
              <w:tab/>
            </w:r>
            <w:r>
              <w:rPr>
                <w:rStyle w:val="IndexLink"/>
              </w:rPr>
              <w:t>356</w:t>
            </w:r>
          </w:hyperlink>
        </w:p>
        <w:p>
          <w:pPr>
            <w:pStyle w:val="Contents5"/>
            <w:tabs>
              <w:tab w:val="clear" w:pos="7892"/>
              <w:tab w:val="right" w:pos="9026" w:leader="dot"/>
            </w:tabs>
            <w:rPr/>
          </w:pPr>
          <w:hyperlink w:anchor="__RefHeading___Toc3520193_1280447820">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3520195_1280447820">
            <w:r>
              <w:rPr>
                <w:webHidden/>
                <w:rStyle w:val="IndexLink"/>
                <w:rtl w:val="true"/>
              </w:rPr>
              <w:t>الصور المتصوّرة في كلّ لفظ إذا وقع في كلام</w:t>
            </w:r>
            <w:r>
              <w:rPr>
                <w:rStyle w:val="IndexLink"/>
                <w:rtl w:val="true"/>
              </w:rPr>
              <w:tab/>
            </w:r>
            <w:r>
              <w:rPr>
                <w:rStyle w:val="IndexLink"/>
              </w:rPr>
              <w:t>359</w:t>
            </w:r>
          </w:hyperlink>
        </w:p>
        <w:p>
          <w:pPr>
            <w:pStyle w:val="Contents5"/>
            <w:tabs>
              <w:tab w:val="clear" w:pos="7892"/>
              <w:tab w:val="right" w:pos="9026" w:leader="dot"/>
            </w:tabs>
            <w:rPr/>
          </w:pPr>
          <w:hyperlink w:anchor="__RefHeading___Toc3520197_1280447820">
            <w:r>
              <w:rPr>
                <w:webHidden/>
                <w:rStyle w:val="IndexLink"/>
                <w:rtl w:val="true"/>
              </w:rPr>
              <w:t>في لزوم حمل الألفاظ على المعاني الحقيقيّة عند انتفاء القرينة</w:t>
            </w:r>
            <w:r>
              <w:rPr>
                <w:rStyle w:val="IndexLink"/>
                <w:rtl w:val="true"/>
              </w:rPr>
              <w:tab/>
            </w:r>
            <w:r>
              <w:rPr>
                <w:rStyle w:val="IndexLink"/>
              </w:rPr>
              <w:t>360</w:t>
            </w:r>
          </w:hyperlink>
        </w:p>
        <w:p>
          <w:pPr>
            <w:pStyle w:val="Contents6"/>
            <w:tabs>
              <w:tab w:val="clear" w:pos="7609"/>
              <w:tab w:val="right" w:pos="9026" w:leader="dot"/>
            </w:tabs>
            <w:rPr/>
          </w:pPr>
          <w:hyperlink w:anchor="__RefHeading___Toc3520199_1280447820">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3520201_1280447820">
            <w:r>
              <w:rPr>
                <w:webHidden/>
                <w:rStyle w:val="IndexLink"/>
                <w:rtl w:val="true"/>
              </w:rPr>
              <w:t>الصورة الأولى</w:t>
            </w:r>
            <w:r>
              <w:rPr>
                <w:rStyle w:val="IndexLink"/>
                <w:rtl w:val="true"/>
              </w:rPr>
              <w:tab/>
            </w:r>
            <w:r>
              <w:rPr>
                <w:rStyle w:val="IndexLink"/>
              </w:rPr>
              <w:t>360</w:t>
            </w:r>
          </w:hyperlink>
        </w:p>
        <w:p>
          <w:pPr>
            <w:pStyle w:val="Contents6"/>
            <w:tabs>
              <w:tab w:val="clear" w:pos="7609"/>
              <w:tab w:val="right" w:pos="9026" w:leader="dot"/>
            </w:tabs>
            <w:rPr/>
          </w:pPr>
          <w:hyperlink w:anchor="__RefHeading___Toc3520203_1280447820">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3520205_1280447820">
            <w:r>
              <w:rPr>
                <w:webHidden/>
                <w:rStyle w:val="IndexLink"/>
                <w:rtl w:val="true"/>
              </w:rPr>
              <w:t>الوجه الأوّل</w:t>
            </w:r>
            <w:r>
              <w:rPr>
                <w:rStyle w:val="IndexLink"/>
                <w:rtl w:val="true"/>
              </w:rPr>
              <w:tab/>
            </w:r>
            <w:r>
              <w:rPr>
                <w:rStyle w:val="IndexLink"/>
              </w:rPr>
              <w:t>360</w:t>
            </w:r>
          </w:hyperlink>
        </w:p>
        <w:p>
          <w:pPr>
            <w:pStyle w:val="Contents6"/>
            <w:tabs>
              <w:tab w:val="clear" w:pos="7609"/>
              <w:tab w:val="right" w:pos="9026" w:leader="dot"/>
            </w:tabs>
            <w:rPr/>
          </w:pPr>
          <w:hyperlink w:anchor="__RefHeading___Toc3520207_1280447820">
            <w:r>
              <w:rPr>
                <w:webHidden/>
                <w:rStyle w:val="IndexLink"/>
                <w:rtl w:val="true"/>
              </w:rPr>
              <w:t>الوجه الثاني</w:t>
            </w:r>
            <w:r>
              <w:rPr>
                <w:rStyle w:val="IndexLink"/>
                <w:rtl w:val="true"/>
              </w:rPr>
              <w:tab/>
            </w:r>
            <w:r>
              <w:rPr>
                <w:rStyle w:val="IndexLink"/>
              </w:rPr>
              <w:t>362</w:t>
            </w:r>
          </w:hyperlink>
        </w:p>
        <w:p>
          <w:pPr>
            <w:pStyle w:val="Contents6"/>
            <w:tabs>
              <w:tab w:val="clear" w:pos="7609"/>
              <w:tab w:val="right" w:pos="9026" w:leader="dot"/>
            </w:tabs>
            <w:rPr/>
          </w:pPr>
          <w:hyperlink w:anchor="__RefHeading___Toc3520209_1280447820">
            <w:r>
              <w:rPr>
                <w:webHidden/>
                <w:rStyle w:val="IndexLink"/>
                <w:rtl w:val="true"/>
              </w:rPr>
              <w:t>الوجه الثالث</w:t>
            </w:r>
            <w:r>
              <w:rPr>
                <w:rStyle w:val="IndexLink"/>
                <w:rtl w:val="true"/>
              </w:rPr>
              <w:tab/>
            </w:r>
            <w:r>
              <w:rPr>
                <w:rStyle w:val="IndexLink"/>
              </w:rPr>
              <w:t>362</w:t>
            </w:r>
          </w:hyperlink>
        </w:p>
        <w:p>
          <w:pPr>
            <w:pStyle w:val="Contents6"/>
            <w:tabs>
              <w:tab w:val="clear" w:pos="7609"/>
              <w:tab w:val="right" w:pos="9026" w:leader="dot"/>
            </w:tabs>
            <w:rPr/>
          </w:pPr>
          <w:hyperlink w:anchor="__RefHeading___Toc3520211_1280447820">
            <w:r>
              <w:rPr>
                <w:webHidden/>
                <w:rStyle w:val="IndexLink"/>
                <w:rtl w:val="true"/>
              </w:rPr>
              <w:t>الوجه الرابع</w:t>
            </w:r>
            <w:r>
              <w:rPr>
                <w:rStyle w:val="IndexLink"/>
                <w:rtl w:val="true"/>
              </w:rPr>
              <w:tab/>
            </w:r>
            <w:r>
              <w:rPr>
                <w:rStyle w:val="IndexLink"/>
              </w:rPr>
              <w:t>364</w:t>
            </w:r>
          </w:hyperlink>
        </w:p>
        <w:p>
          <w:pPr>
            <w:pStyle w:val="Contents6"/>
            <w:tabs>
              <w:tab w:val="clear" w:pos="7609"/>
              <w:tab w:val="right" w:pos="9026" w:leader="dot"/>
            </w:tabs>
            <w:rPr/>
          </w:pPr>
          <w:hyperlink w:anchor="__RefHeading___Toc3520213_1280447820">
            <w:r>
              <w:rPr>
                <w:webHidden/>
                <w:rStyle w:val="IndexLink"/>
                <w:rtl w:val="true"/>
              </w:rPr>
              <w:t>الصورة الثانية</w:t>
            </w:r>
            <w:r>
              <w:rPr>
                <w:rStyle w:val="IndexLink"/>
                <w:rtl w:val="true"/>
              </w:rPr>
              <w:tab/>
            </w:r>
            <w:r>
              <w:rPr>
                <w:rStyle w:val="IndexLink"/>
              </w:rPr>
              <w:t>367</w:t>
            </w:r>
          </w:hyperlink>
        </w:p>
        <w:p>
          <w:pPr>
            <w:pStyle w:val="Contents6"/>
            <w:tabs>
              <w:tab w:val="clear" w:pos="7609"/>
              <w:tab w:val="right" w:pos="9026" w:leader="dot"/>
            </w:tabs>
            <w:rPr/>
          </w:pPr>
          <w:hyperlink w:anchor="__RefHeading___Toc3520215_1280447820">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3520217_1280447820">
            <w:r>
              <w:rPr>
                <w:webHidden/>
                <w:rStyle w:val="IndexLink"/>
                <w:rtl w:val="true"/>
              </w:rPr>
              <w:t>المقام الأوّل</w:t>
            </w:r>
            <w:r>
              <w:rPr>
                <w:rStyle w:val="IndexLink"/>
                <w:rtl w:val="true"/>
              </w:rPr>
              <w:t xml:space="preserve">: </w:t>
            </w:r>
            <w:r>
              <w:rPr>
                <w:rStyle w:val="IndexLink"/>
                <w:rtl w:val="true"/>
              </w:rPr>
              <w:t>أن يكون المستعمل فيه المعلوم واحدًا</w:t>
            </w:r>
            <w:r>
              <w:rPr>
                <w:rStyle w:val="IndexLink"/>
                <w:rtl w:val="true"/>
              </w:rPr>
              <w:tab/>
            </w:r>
            <w:r>
              <w:rPr>
                <w:rStyle w:val="IndexLink"/>
              </w:rPr>
              <w:t>367</w:t>
            </w:r>
          </w:hyperlink>
        </w:p>
        <w:p>
          <w:pPr>
            <w:pStyle w:val="Contents6"/>
            <w:tabs>
              <w:tab w:val="clear" w:pos="7609"/>
              <w:tab w:val="right" w:pos="9026" w:leader="dot"/>
            </w:tabs>
            <w:rPr/>
          </w:pPr>
          <w:hyperlink w:anchor="__RefHeading___Toc3520219_1280447820">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3520221_1280447820">
            <w:r>
              <w:rPr>
                <w:webHidden/>
                <w:rStyle w:val="IndexLink"/>
                <w:rtl w:val="true"/>
              </w:rPr>
              <w:t>الوجه الأوّل</w:t>
            </w:r>
            <w:r>
              <w:rPr>
                <w:rStyle w:val="IndexLink"/>
                <w:rtl w:val="true"/>
              </w:rPr>
              <w:tab/>
            </w:r>
            <w:r>
              <w:rPr>
                <w:rStyle w:val="IndexLink"/>
              </w:rPr>
              <w:t>367</w:t>
            </w:r>
          </w:hyperlink>
        </w:p>
        <w:p>
          <w:pPr>
            <w:pStyle w:val="Contents6"/>
            <w:tabs>
              <w:tab w:val="clear" w:pos="7609"/>
              <w:tab w:val="right" w:pos="9026" w:leader="dot"/>
            </w:tabs>
            <w:rPr/>
          </w:pPr>
          <w:hyperlink w:anchor="__RefHeading___Toc3520223_1280447820">
            <w:r>
              <w:rPr>
                <w:webHidden/>
                <w:rStyle w:val="IndexLink"/>
                <w:rtl w:val="true"/>
              </w:rPr>
              <w:t>الوجه الثاني</w:t>
            </w:r>
            <w:r>
              <w:rPr>
                <w:rStyle w:val="IndexLink"/>
                <w:rtl w:val="true"/>
              </w:rPr>
              <w:tab/>
            </w:r>
            <w:r>
              <w:rPr>
                <w:rStyle w:val="IndexLink"/>
              </w:rPr>
              <w:t>369</w:t>
            </w:r>
          </w:hyperlink>
        </w:p>
        <w:p>
          <w:pPr>
            <w:pStyle w:val="Contents6"/>
            <w:tabs>
              <w:tab w:val="clear" w:pos="7609"/>
              <w:tab w:val="right" w:pos="9026" w:leader="dot"/>
            </w:tabs>
            <w:rPr/>
          </w:pPr>
          <w:hyperlink w:anchor="__RefHeading___Toc3520225_1280447820">
            <w:r>
              <w:rPr>
                <w:webHidden/>
                <w:rStyle w:val="IndexLink"/>
                <w:rtl w:val="true"/>
              </w:rPr>
              <w:t>الوجه الثالث</w:t>
            </w:r>
            <w:r>
              <w:rPr>
                <w:rStyle w:val="IndexLink"/>
                <w:rtl w:val="true"/>
              </w:rPr>
              <w:tab/>
            </w:r>
            <w:r>
              <w:rPr>
                <w:rStyle w:val="IndexLink"/>
              </w:rPr>
              <w:t>371</w:t>
            </w:r>
          </w:hyperlink>
        </w:p>
        <w:p>
          <w:pPr>
            <w:pStyle w:val="Contents6"/>
            <w:tabs>
              <w:tab w:val="clear" w:pos="7609"/>
              <w:tab w:val="right" w:pos="9026" w:leader="dot"/>
            </w:tabs>
            <w:rPr/>
          </w:pPr>
          <w:hyperlink w:anchor="__RefHeading___Toc3520227_1280447820">
            <w:r>
              <w:rPr>
                <w:webHidden/>
                <w:rStyle w:val="IndexLink"/>
                <w:rtl w:val="true"/>
              </w:rPr>
              <w:t>الوجه الرابع</w:t>
            </w:r>
            <w:r>
              <w:rPr>
                <w:rStyle w:val="IndexLink"/>
                <w:rtl w:val="true"/>
              </w:rPr>
              <w:tab/>
            </w:r>
            <w:r>
              <w:rPr>
                <w:rStyle w:val="IndexLink"/>
              </w:rPr>
              <w:t>371</w:t>
            </w:r>
          </w:hyperlink>
        </w:p>
        <w:p>
          <w:pPr>
            <w:pStyle w:val="Contents6"/>
            <w:tabs>
              <w:tab w:val="clear" w:pos="7609"/>
              <w:tab w:val="right" w:pos="9026" w:leader="dot"/>
            </w:tabs>
            <w:rPr/>
          </w:pPr>
          <w:hyperlink w:anchor="__RefHeading___Toc3520229_1280447820">
            <w:r>
              <w:rPr>
                <w:webHidden/>
                <w:rStyle w:val="IndexLink"/>
                <w:rtl w:val="true"/>
              </w:rPr>
              <w:t>الاستدلال على كون المجاز مخالفًا للأصل</w:t>
            </w:r>
            <w:r>
              <w:rPr>
                <w:rStyle w:val="IndexLink"/>
                <w:rtl w:val="true"/>
              </w:rPr>
              <w:tab/>
            </w:r>
            <w:r>
              <w:rPr>
                <w:rStyle w:val="IndexLink"/>
              </w:rPr>
              <w:t>371</w:t>
            </w:r>
          </w:hyperlink>
        </w:p>
        <w:p>
          <w:pPr>
            <w:pStyle w:val="Contents6"/>
            <w:tabs>
              <w:tab w:val="clear" w:pos="7609"/>
              <w:tab w:val="right" w:pos="9026" w:leader="dot"/>
            </w:tabs>
            <w:rPr/>
          </w:pPr>
          <w:hyperlink w:anchor="__RefHeading___Toc3520231_1280447820">
            <w:r>
              <w:rPr>
                <w:webHidden/>
                <w:rStyle w:val="IndexLink"/>
                <w:rtl w:val="true"/>
              </w:rPr>
              <w:t>والمقام الثاني</w:t>
            </w:r>
            <w:r>
              <w:rPr>
                <w:rStyle w:val="IndexLink"/>
                <w:rtl w:val="true"/>
              </w:rPr>
              <w:t xml:space="preserve">: </w:t>
            </w:r>
            <w:r>
              <w:rPr>
                <w:rStyle w:val="IndexLink"/>
                <w:rtl w:val="true"/>
              </w:rPr>
              <w:t>أن يكون المستعمل فيه المعلوم متعدّدًا</w:t>
            </w:r>
            <w:r>
              <w:rPr>
                <w:rStyle w:val="IndexLink"/>
                <w:rtl w:val="true"/>
              </w:rPr>
              <w:tab/>
            </w:r>
            <w:r>
              <w:rPr>
                <w:rStyle w:val="IndexLink"/>
              </w:rPr>
              <w:t>375</w:t>
            </w:r>
          </w:hyperlink>
        </w:p>
        <w:p>
          <w:pPr>
            <w:pStyle w:val="Contents6"/>
            <w:tabs>
              <w:tab w:val="clear" w:pos="7609"/>
              <w:tab w:val="right" w:pos="9026" w:leader="dot"/>
            </w:tabs>
            <w:rPr/>
          </w:pPr>
          <w:hyperlink w:anchor="__RefHeading___Toc3520233_1280447820">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3520235_1280447820">
            <w:r>
              <w:rPr>
                <w:webHidden/>
                <w:rStyle w:val="IndexLink"/>
                <w:rtl w:val="true"/>
              </w:rPr>
              <w:t>القسم الأوّل</w:t>
            </w:r>
            <w:r>
              <w:rPr>
                <w:rStyle w:val="IndexLink"/>
                <w:rtl w:val="true"/>
              </w:rPr>
              <w:tab/>
            </w:r>
            <w:r>
              <w:rPr>
                <w:rStyle w:val="IndexLink"/>
              </w:rPr>
              <w:t>375</w:t>
            </w:r>
          </w:hyperlink>
        </w:p>
        <w:p>
          <w:pPr>
            <w:pStyle w:val="Contents6"/>
            <w:tabs>
              <w:tab w:val="clear" w:pos="7609"/>
              <w:tab w:val="right" w:pos="9026" w:leader="dot"/>
            </w:tabs>
            <w:rPr/>
          </w:pPr>
          <w:hyperlink w:anchor="__RefHeading___Toc3520237_1280447820">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3520239_1280447820">
            <w:r>
              <w:rPr>
                <w:webHidden/>
                <w:rStyle w:val="IndexLink"/>
                <w:rtl w:val="true"/>
              </w:rPr>
              <w:t>الصورة الأولى</w:t>
            </w:r>
            <w:r>
              <w:rPr>
                <w:rStyle w:val="IndexLink"/>
                <w:rtl w:val="true"/>
              </w:rPr>
              <w:tab/>
            </w:r>
            <w:r>
              <w:rPr>
                <w:rStyle w:val="IndexLink"/>
              </w:rPr>
              <w:t>375</w:t>
            </w:r>
          </w:hyperlink>
        </w:p>
        <w:p>
          <w:pPr>
            <w:pStyle w:val="Contents6"/>
            <w:tabs>
              <w:tab w:val="clear" w:pos="7609"/>
              <w:tab w:val="right" w:pos="9026" w:leader="dot"/>
            </w:tabs>
            <w:rPr/>
          </w:pPr>
          <w:hyperlink w:anchor="__RefHeading___Toc3520241_1280447820">
            <w:r>
              <w:rPr>
                <w:webHidden/>
                <w:rStyle w:val="IndexLink"/>
                <w:rtl w:val="true"/>
              </w:rPr>
              <w:t>الصورة الثانية</w:t>
            </w:r>
            <w:r>
              <w:rPr>
                <w:rStyle w:val="IndexLink"/>
                <w:rtl w:val="true"/>
              </w:rPr>
              <w:tab/>
            </w:r>
            <w:r>
              <w:rPr>
                <w:rStyle w:val="IndexLink"/>
              </w:rPr>
              <w:t>380</w:t>
            </w:r>
          </w:hyperlink>
        </w:p>
        <w:p>
          <w:pPr>
            <w:pStyle w:val="Contents6"/>
            <w:tabs>
              <w:tab w:val="clear" w:pos="7609"/>
              <w:tab w:val="right" w:pos="9026" w:leader="dot"/>
            </w:tabs>
            <w:rPr/>
          </w:pPr>
          <w:hyperlink w:anchor="__RefHeading___Toc3520243_1280447820">
            <w:r>
              <w:rPr>
                <w:webHidden/>
                <w:rStyle w:val="IndexLink"/>
                <w:rtl w:val="true"/>
              </w:rPr>
              <w:t>الصورة الثالثة</w:t>
            </w:r>
            <w:r>
              <w:rPr>
                <w:rStyle w:val="IndexLink"/>
                <w:rtl w:val="true"/>
              </w:rPr>
              <w:tab/>
            </w:r>
            <w:r>
              <w:rPr>
                <w:rStyle w:val="IndexLink"/>
              </w:rPr>
              <w:t>382</w:t>
            </w:r>
          </w:hyperlink>
        </w:p>
        <w:p>
          <w:pPr>
            <w:pStyle w:val="Contents6"/>
            <w:tabs>
              <w:tab w:val="clear" w:pos="7609"/>
              <w:tab w:val="right" w:pos="9026" w:leader="dot"/>
            </w:tabs>
            <w:rPr/>
          </w:pPr>
          <w:hyperlink w:anchor="__RefHeading___Toc3520245_1280447820">
            <w:r>
              <w:rPr>
                <w:webHidden/>
                <w:rStyle w:val="IndexLink"/>
                <w:rtl w:val="true"/>
              </w:rPr>
              <w:t>القسم الثاني</w:t>
            </w:r>
            <w:r>
              <w:rPr>
                <w:rStyle w:val="IndexLink"/>
                <w:rtl w:val="true"/>
              </w:rPr>
              <w:tab/>
            </w:r>
            <w:r>
              <w:rPr>
                <w:rStyle w:val="IndexLink"/>
              </w:rPr>
              <w:t>383</w:t>
            </w:r>
          </w:hyperlink>
        </w:p>
        <w:p>
          <w:pPr>
            <w:pStyle w:val="Contents5"/>
            <w:tabs>
              <w:tab w:val="clear" w:pos="7892"/>
              <w:tab w:val="right" w:pos="9026" w:leader="dot"/>
            </w:tabs>
            <w:rPr/>
          </w:pPr>
          <w:hyperlink w:anchor="__RefHeading___Toc3520247_1280447820">
            <w:r>
              <w:rPr>
                <w:webHidden/>
                <w:rStyle w:val="IndexLink"/>
                <w:rtl w:val="true"/>
              </w:rPr>
              <w:t>أدلّة القائلين بأنّ الاشتراك خير من المجاز</w:t>
            </w:r>
            <w:r>
              <w:rPr>
                <w:rStyle w:val="IndexLink"/>
                <w:rtl w:val="true"/>
              </w:rPr>
              <w:tab/>
            </w:r>
            <w:r>
              <w:rPr>
                <w:rStyle w:val="IndexLink"/>
              </w:rPr>
              <w:t>384</w:t>
            </w:r>
          </w:hyperlink>
        </w:p>
        <w:p>
          <w:pPr>
            <w:pStyle w:val="Contents6"/>
            <w:tabs>
              <w:tab w:val="clear" w:pos="7609"/>
              <w:tab w:val="right" w:pos="9026" w:leader="dot"/>
            </w:tabs>
            <w:rPr/>
          </w:pPr>
          <w:hyperlink w:anchor="__RefHeading___Toc3520249_1280447820">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3520251_1280447820">
            <w:r>
              <w:rPr>
                <w:webHidden/>
                <w:rStyle w:val="IndexLink"/>
                <w:rtl w:val="true"/>
              </w:rPr>
              <w:t>الدليل الأوّل</w:t>
            </w:r>
            <w:r>
              <w:rPr>
                <w:rStyle w:val="IndexLink"/>
                <w:rtl w:val="true"/>
              </w:rPr>
              <w:tab/>
            </w:r>
            <w:r>
              <w:rPr>
                <w:rStyle w:val="IndexLink"/>
              </w:rPr>
              <w:t>384</w:t>
            </w:r>
          </w:hyperlink>
        </w:p>
        <w:p>
          <w:pPr>
            <w:pStyle w:val="Contents6"/>
            <w:tabs>
              <w:tab w:val="clear" w:pos="7609"/>
              <w:tab w:val="right" w:pos="9026" w:leader="dot"/>
            </w:tabs>
            <w:rPr/>
          </w:pPr>
          <w:hyperlink w:anchor="__RefHeading___Toc3520253_1280447820">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3520255_1280447820">
            <w:r>
              <w:rPr>
                <w:webHidden/>
                <w:rStyle w:val="IndexLink"/>
                <w:rtl w:val="true"/>
              </w:rPr>
              <w:t>المعنى الأوّل للدليل الأوّل</w:t>
            </w:r>
            <w:r>
              <w:rPr>
                <w:rStyle w:val="IndexLink"/>
                <w:rtl w:val="true"/>
              </w:rPr>
              <w:tab/>
            </w:r>
            <w:r>
              <w:rPr>
                <w:rStyle w:val="IndexLink"/>
              </w:rPr>
              <w:t>385</w:t>
            </w:r>
          </w:hyperlink>
        </w:p>
        <w:p>
          <w:pPr>
            <w:pStyle w:val="Contents6"/>
            <w:tabs>
              <w:tab w:val="clear" w:pos="7609"/>
              <w:tab w:val="right" w:pos="9026" w:leader="dot"/>
            </w:tabs>
            <w:rPr/>
          </w:pPr>
          <w:hyperlink w:anchor="__RefHeading___Toc3520257_1280447820">
            <w:r>
              <w:rPr>
                <w:webHidden/>
                <w:rStyle w:val="IndexLink"/>
                <w:rtl w:val="true"/>
              </w:rPr>
              <w:t>المعنى الثاني للدليل الأوّل</w:t>
            </w:r>
            <w:r>
              <w:rPr>
                <w:rStyle w:val="IndexLink"/>
                <w:rtl w:val="true"/>
              </w:rPr>
              <w:tab/>
            </w:r>
            <w:r>
              <w:rPr>
                <w:rStyle w:val="IndexLink"/>
              </w:rPr>
              <w:t>387</w:t>
            </w:r>
          </w:hyperlink>
        </w:p>
        <w:p>
          <w:pPr>
            <w:pStyle w:val="Contents6"/>
            <w:tabs>
              <w:tab w:val="clear" w:pos="7609"/>
              <w:tab w:val="right" w:pos="9026" w:leader="dot"/>
            </w:tabs>
            <w:rPr/>
          </w:pPr>
          <w:hyperlink w:anchor="__RefHeading___Toc3520259_1280447820">
            <w:r>
              <w:rPr>
                <w:webHidden/>
                <w:rStyle w:val="IndexLink"/>
                <w:rtl w:val="true"/>
              </w:rPr>
              <w:t>الدليل الثاني للقول بالاشتراك</w:t>
            </w:r>
            <w:r>
              <w:rPr>
                <w:rStyle w:val="IndexLink"/>
                <w:rtl w:val="true"/>
              </w:rPr>
              <w:tab/>
            </w:r>
            <w:r>
              <w:rPr>
                <w:rStyle w:val="IndexLink"/>
              </w:rPr>
              <w:t>391</w:t>
            </w:r>
          </w:hyperlink>
        </w:p>
        <w:p>
          <w:pPr>
            <w:pStyle w:val="Contents6"/>
            <w:tabs>
              <w:tab w:val="clear" w:pos="7609"/>
              <w:tab w:val="right" w:pos="9026" w:leader="dot"/>
            </w:tabs>
            <w:rPr/>
          </w:pPr>
          <w:hyperlink w:anchor="__RefHeading___Toc3520261_1280447820">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3520263_1280447820">
            <w:r>
              <w:rPr>
                <w:webHidden/>
                <w:rStyle w:val="IndexLink"/>
                <w:rtl w:val="true"/>
              </w:rPr>
              <w:t>الجواب النقضي عن الدليل الثاني</w:t>
            </w:r>
            <w:r>
              <w:rPr>
                <w:rStyle w:val="IndexLink"/>
                <w:rtl w:val="true"/>
              </w:rPr>
              <w:tab/>
            </w:r>
            <w:r>
              <w:rPr>
                <w:rStyle w:val="IndexLink"/>
              </w:rPr>
              <w:t>391</w:t>
            </w:r>
          </w:hyperlink>
        </w:p>
        <w:p>
          <w:pPr>
            <w:pStyle w:val="Contents6"/>
            <w:tabs>
              <w:tab w:val="clear" w:pos="7609"/>
              <w:tab w:val="right" w:pos="9026" w:leader="dot"/>
            </w:tabs>
            <w:rPr/>
          </w:pPr>
          <w:hyperlink w:anchor="__RefHeading___Toc3520265_1280447820">
            <w:r>
              <w:rPr>
                <w:webHidden/>
                <w:rStyle w:val="IndexLink"/>
                <w:rtl w:val="true"/>
              </w:rPr>
              <w:t>الجواب الحَلّي عن الدليل الثاني</w:t>
            </w:r>
            <w:r>
              <w:rPr>
                <w:rStyle w:val="IndexLink"/>
                <w:rtl w:val="true"/>
              </w:rPr>
              <w:tab/>
            </w:r>
            <w:r>
              <w:rPr>
                <w:rStyle w:val="IndexLink"/>
              </w:rPr>
              <w:t>393</w:t>
            </w:r>
          </w:hyperlink>
        </w:p>
        <w:p>
          <w:pPr>
            <w:pStyle w:val="Contents6"/>
            <w:tabs>
              <w:tab w:val="clear" w:pos="7609"/>
              <w:tab w:val="right" w:pos="9026" w:leader="dot"/>
            </w:tabs>
            <w:rPr/>
          </w:pPr>
          <w:hyperlink w:anchor="__RefHeading___Toc3520267_1280447820">
            <w:r>
              <w:rPr>
                <w:webHidden/>
                <w:rStyle w:val="IndexLink"/>
                <w:rtl w:val="true"/>
              </w:rPr>
              <w:t>الدليل الثالث للقول بالاشتراك</w:t>
            </w:r>
            <w:r>
              <w:rPr>
                <w:rStyle w:val="IndexLink"/>
                <w:rtl w:val="true"/>
              </w:rPr>
              <w:tab/>
            </w:r>
            <w:r>
              <w:rPr>
                <w:rStyle w:val="IndexLink"/>
              </w:rPr>
              <w:t>394</w:t>
            </w:r>
          </w:hyperlink>
        </w:p>
        <w:p>
          <w:pPr>
            <w:pStyle w:val="Contents6"/>
            <w:tabs>
              <w:tab w:val="clear" w:pos="7609"/>
              <w:tab w:val="right" w:pos="9026" w:leader="dot"/>
            </w:tabs>
            <w:rPr/>
          </w:pPr>
          <w:hyperlink w:anchor="__RefHeading___Toc3520269_1280447820">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3520271_1280447820">
            <w:r>
              <w:rPr>
                <w:webHidden/>
                <w:rStyle w:val="IndexLink"/>
                <w:rtl w:val="true"/>
              </w:rPr>
              <w:t>الجواب عن الدليل الثالث</w:t>
            </w:r>
            <w:r>
              <w:rPr>
                <w:rStyle w:val="IndexLink"/>
                <w:rtl w:val="true"/>
              </w:rPr>
              <w:tab/>
            </w:r>
            <w:r>
              <w:rPr>
                <w:rStyle w:val="IndexLink"/>
              </w:rPr>
              <w:t>395</w:t>
            </w:r>
          </w:hyperlink>
        </w:p>
        <w:p>
          <w:pPr>
            <w:pStyle w:val="Contents6"/>
            <w:tabs>
              <w:tab w:val="clear" w:pos="7609"/>
              <w:tab w:val="right" w:pos="9026" w:leader="dot"/>
            </w:tabs>
            <w:rPr/>
          </w:pPr>
          <w:hyperlink w:anchor="__RefHeading___Toc3520273_1280447820">
            <w:r>
              <w:rPr>
                <w:webHidden/>
                <w:rStyle w:val="IndexLink"/>
                <w:rtl w:val="true"/>
              </w:rPr>
              <w:t>تحقيق المقام في الجواب عن الدليل الثالث</w:t>
            </w:r>
            <w:r>
              <w:rPr>
                <w:rStyle w:val="IndexLink"/>
                <w:rtl w:val="true"/>
              </w:rPr>
              <w:tab/>
            </w:r>
            <w:r>
              <w:rPr>
                <w:rStyle w:val="IndexLink"/>
              </w:rPr>
              <w:t>397</w:t>
            </w:r>
          </w:hyperlink>
        </w:p>
        <w:p>
          <w:pPr>
            <w:pStyle w:val="Contents6"/>
            <w:tabs>
              <w:tab w:val="clear" w:pos="7609"/>
              <w:tab w:val="right" w:pos="9026" w:leader="dot"/>
            </w:tabs>
            <w:rPr/>
          </w:pPr>
          <w:hyperlink w:anchor="__RefHeading___Toc3520275_1280447820">
            <w:r>
              <w:rPr>
                <w:webHidden/>
                <w:rStyle w:val="IndexLink"/>
                <w:rtl w:val="true"/>
              </w:rPr>
              <w:t>المواضع الّتي يتمسّك فيها بأنّ الأصل في الاستعمال الحقيقة</w:t>
            </w:r>
            <w:r>
              <w:rPr>
                <w:rStyle w:val="IndexLink"/>
                <w:rtl w:val="true"/>
              </w:rPr>
              <w:tab/>
            </w:r>
            <w:r>
              <w:rPr>
                <w:rStyle w:val="IndexLink"/>
              </w:rPr>
              <w:t>400</w:t>
            </w:r>
          </w:hyperlink>
        </w:p>
        <w:p>
          <w:pPr>
            <w:pStyle w:val="Contents6"/>
            <w:tabs>
              <w:tab w:val="clear" w:pos="7609"/>
              <w:tab w:val="right" w:pos="9026" w:leader="dot"/>
            </w:tabs>
            <w:rPr/>
          </w:pPr>
          <w:hyperlink w:anchor="__RefHeading___Toc3520277_1280447820">
            <w:r>
              <w:rPr>
                <w:webHidden/>
                <w:rStyle w:val="IndexLink"/>
                <w:rtl w:val="true"/>
              </w:rPr>
              <w:t>الدليل الرابع للقول بالاشتراك</w:t>
            </w:r>
            <w:r>
              <w:rPr>
                <w:rStyle w:val="IndexLink"/>
                <w:rtl w:val="true"/>
              </w:rPr>
              <w:tab/>
            </w:r>
            <w:r>
              <w:rPr>
                <w:rStyle w:val="IndexLink"/>
              </w:rPr>
              <w:t>401</w:t>
            </w:r>
          </w:hyperlink>
        </w:p>
        <w:p>
          <w:pPr>
            <w:pStyle w:val="Contents6"/>
            <w:tabs>
              <w:tab w:val="clear" w:pos="7609"/>
              <w:tab w:val="right" w:pos="9026" w:leader="dot"/>
            </w:tabs>
            <w:rPr/>
          </w:pPr>
          <w:hyperlink w:anchor="__RefHeading___Toc3520279_1280447820">
            <w:r>
              <w:rPr>
                <w:webHidden/>
                <w:rStyle w:val="IndexLink"/>
                <w:rtl w:val="true"/>
              </w:rPr>
              <w:t>الدليل الخامس للقول بالاشتراك</w:t>
            </w:r>
            <w:r>
              <w:rPr>
                <w:rStyle w:val="IndexLink"/>
                <w:rtl w:val="true"/>
              </w:rPr>
              <w:tab/>
            </w:r>
            <w:r>
              <w:rPr>
                <w:rStyle w:val="IndexLink"/>
              </w:rPr>
              <w:t>402</w:t>
            </w:r>
          </w:hyperlink>
        </w:p>
        <w:p>
          <w:pPr>
            <w:pStyle w:val="Contents5"/>
            <w:tabs>
              <w:tab w:val="clear" w:pos="7892"/>
              <w:tab w:val="right" w:pos="9026" w:leader="dot"/>
            </w:tabs>
            <w:rPr/>
          </w:pPr>
          <w:hyperlink w:anchor="__RefHeading___Toc3520281_1280447820">
            <w:r>
              <w:rPr>
                <w:webHidden/>
                <w:rStyle w:val="IndexLink"/>
                <w:rtl w:val="true"/>
              </w:rPr>
              <w:t>فيما يدلّ على رجحان المجاز عند معارضته مع الاشتراك</w:t>
            </w:r>
            <w:r>
              <w:rPr>
                <w:rStyle w:val="IndexLink"/>
                <w:rtl w:val="true"/>
              </w:rPr>
              <w:tab/>
            </w:r>
            <w:r>
              <w:rPr>
                <w:rStyle w:val="IndexLink"/>
              </w:rPr>
              <w:t>404</w:t>
            </w:r>
          </w:hyperlink>
        </w:p>
        <w:p>
          <w:pPr>
            <w:pStyle w:val="Contents6"/>
            <w:tabs>
              <w:tab w:val="clear" w:pos="7609"/>
              <w:tab w:val="right" w:pos="9026" w:leader="dot"/>
            </w:tabs>
            <w:rPr/>
          </w:pPr>
          <w:hyperlink w:anchor="__RefHeading___Toc3520283_1280447820">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3520285_1280447820">
            <w:r>
              <w:rPr>
                <w:webHidden/>
                <w:rStyle w:val="IndexLink"/>
                <w:rtl w:val="true"/>
              </w:rPr>
              <w:t>الدليل الأوّل</w:t>
            </w:r>
            <w:r>
              <w:rPr>
                <w:rStyle w:val="IndexLink"/>
                <w:rtl w:val="true"/>
              </w:rPr>
              <w:tab/>
            </w:r>
            <w:r>
              <w:rPr>
                <w:rStyle w:val="IndexLink"/>
              </w:rPr>
              <w:t>404</w:t>
            </w:r>
          </w:hyperlink>
        </w:p>
        <w:p>
          <w:pPr>
            <w:pStyle w:val="Contents6"/>
            <w:tabs>
              <w:tab w:val="clear" w:pos="7609"/>
              <w:tab w:val="right" w:pos="9026" w:leader="dot"/>
            </w:tabs>
            <w:rPr/>
          </w:pPr>
          <w:hyperlink w:anchor="__RefHeading___Toc3520287_1280447820">
            <w:r>
              <w:rPr>
                <w:webHidden/>
                <w:rStyle w:val="IndexLink"/>
                <w:rtl w:val="true"/>
              </w:rPr>
              <w:t>الدليل الثاني</w:t>
            </w:r>
            <w:r>
              <w:rPr>
                <w:rStyle w:val="IndexLink"/>
                <w:rtl w:val="true"/>
              </w:rPr>
              <w:tab/>
            </w:r>
            <w:r>
              <w:rPr>
                <w:rStyle w:val="IndexLink"/>
              </w:rPr>
              <w:t>406</w:t>
            </w:r>
          </w:hyperlink>
        </w:p>
        <w:p>
          <w:pPr>
            <w:pStyle w:val="Contents6"/>
            <w:tabs>
              <w:tab w:val="clear" w:pos="7609"/>
              <w:tab w:val="right" w:pos="9026" w:leader="dot"/>
            </w:tabs>
            <w:rPr/>
          </w:pPr>
          <w:hyperlink w:anchor="__RefHeading___Toc3520289_1280447820">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3520291_1280447820">
            <w:r>
              <w:rPr>
                <w:webHidden/>
                <w:rStyle w:val="IndexLink"/>
                <w:rtl w:val="true"/>
              </w:rPr>
              <w:t>إيراد كلام لدفع تضادّ</w:t>
            </w:r>
            <w:r>
              <w:rPr>
                <w:rStyle w:val="IndexLink"/>
                <w:rtl w:val="true"/>
              </w:rPr>
              <w:tab/>
            </w:r>
            <w:r>
              <w:rPr>
                <w:rStyle w:val="IndexLink"/>
              </w:rPr>
              <w:t>409</w:t>
            </w:r>
          </w:hyperlink>
        </w:p>
        <w:p>
          <w:pPr>
            <w:pStyle w:val="Contents6"/>
            <w:tabs>
              <w:tab w:val="clear" w:pos="7609"/>
              <w:tab w:val="right" w:pos="9026" w:leader="dot"/>
            </w:tabs>
            <w:rPr/>
          </w:pPr>
          <w:hyperlink w:anchor="__RefHeading___Toc3520293_1280447820">
            <w:r>
              <w:rPr>
                <w:webHidden/>
                <w:rStyle w:val="IndexLink"/>
                <w:rtl w:val="true"/>
              </w:rPr>
              <w:t>الدليل الثالث</w:t>
            </w:r>
            <w:r>
              <w:rPr>
                <w:rStyle w:val="IndexLink"/>
                <w:rtl w:val="true"/>
              </w:rPr>
              <w:tab/>
            </w:r>
            <w:r>
              <w:rPr>
                <w:rStyle w:val="IndexLink"/>
              </w:rPr>
              <w:t>410</w:t>
            </w:r>
          </w:hyperlink>
        </w:p>
        <w:p>
          <w:pPr>
            <w:pStyle w:val="Contents5"/>
            <w:tabs>
              <w:tab w:val="clear" w:pos="7892"/>
              <w:tab w:val="right" w:pos="9026" w:leader="dot"/>
            </w:tabs>
            <w:rPr/>
          </w:pPr>
          <w:hyperlink w:anchor="__RefHeading___Toc3520295_1280447820">
            <w:r>
              <w:rPr>
                <w:webHidden/>
                <w:rStyle w:val="IndexLink"/>
                <w:rtl w:val="true"/>
              </w:rPr>
              <w:t>فوائد المجاز</w:t>
            </w:r>
            <w:r>
              <w:rPr>
                <w:rStyle w:val="IndexLink"/>
                <w:rtl w:val="true"/>
              </w:rPr>
              <w:tab/>
            </w:r>
            <w:r>
              <w:rPr>
                <w:rStyle w:val="IndexLink"/>
              </w:rPr>
              <w:t>410</w:t>
            </w:r>
          </w:hyperlink>
        </w:p>
        <w:p>
          <w:pPr>
            <w:pStyle w:val="Contents6"/>
            <w:tabs>
              <w:tab w:val="clear" w:pos="7609"/>
              <w:tab w:val="right" w:pos="9026" w:leader="dot"/>
            </w:tabs>
            <w:rPr/>
          </w:pPr>
          <w:hyperlink w:anchor="__RefHeading___Toc3520297_1280447820">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3520299_1280447820">
            <w:r>
              <w:rPr>
                <w:webHidden/>
                <w:rStyle w:val="IndexLink"/>
                <w:rtl w:val="true"/>
              </w:rPr>
              <w:t>الفائدة الأولى</w:t>
            </w:r>
            <w:r>
              <w:rPr>
                <w:rStyle w:val="IndexLink"/>
                <w:rtl w:val="true"/>
              </w:rPr>
              <w:tab/>
            </w:r>
            <w:r>
              <w:rPr>
                <w:rStyle w:val="IndexLink"/>
              </w:rPr>
              <w:t>410</w:t>
            </w:r>
          </w:hyperlink>
        </w:p>
        <w:p>
          <w:pPr>
            <w:pStyle w:val="Contents6"/>
            <w:tabs>
              <w:tab w:val="clear" w:pos="7609"/>
              <w:tab w:val="right" w:pos="9026" w:leader="dot"/>
            </w:tabs>
            <w:rPr/>
          </w:pPr>
          <w:hyperlink w:anchor="__RefHeading___Toc3520301_1280447820">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3520303_1280447820">
            <w:r>
              <w:rPr>
                <w:webHidden/>
                <w:rStyle w:val="IndexLink"/>
                <w:rtl w:val="true"/>
              </w:rPr>
              <w:t>تحرير قال لإفضاح مقال</w:t>
            </w:r>
            <w:r>
              <w:rPr>
                <w:rStyle w:val="IndexLink"/>
                <w:rtl w:val="true"/>
              </w:rPr>
              <w:tab/>
            </w:r>
            <w:r>
              <w:rPr>
                <w:rStyle w:val="IndexLink"/>
              </w:rPr>
              <w:t>412</w:t>
            </w:r>
          </w:hyperlink>
        </w:p>
        <w:p>
          <w:pPr>
            <w:pStyle w:val="Contents6"/>
            <w:tabs>
              <w:tab w:val="clear" w:pos="7609"/>
              <w:tab w:val="right" w:pos="9026" w:leader="dot"/>
            </w:tabs>
            <w:rPr/>
          </w:pPr>
          <w:hyperlink w:anchor="__RefHeading___Toc3520305_1280447820">
            <w:r>
              <w:rPr>
                <w:webHidden/>
                <w:rStyle w:val="IndexLink"/>
                <w:rtl w:val="true"/>
              </w:rPr>
              <w:t>إعادة كلام لتحقيق مقام</w:t>
            </w:r>
            <w:r>
              <w:rPr>
                <w:rStyle w:val="IndexLink"/>
                <w:rtl w:val="true"/>
              </w:rPr>
              <w:tab/>
            </w:r>
            <w:r>
              <w:rPr>
                <w:rStyle w:val="IndexLink"/>
              </w:rPr>
              <w:t>414</w:t>
            </w:r>
          </w:hyperlink>
        </w:p>
        <w:p>
          <w:pPr>
            <w:pStyle w:val="Contents6"/>
            <w:tabs>
              <w:tab w:val="clear" w:pos="7609"/>
              <w:tab w:val="right" w:pos="9026" w:leader="dot"/>
            </w:tabs>
            <w:rPr/>
          </w:pPr>
          <w:hyperlink w:anchor="__RefHeading___Toc3520307_1280447820">
            <w:r>
              <w:rPr>
                <w:webHidden/>
                <w:rStyle w:val="IndexLink"/>
                <w:rtl w:val="true"/>
              </w:rPr>
              <w:t>الحقّ في المسألة</w:t>
            </w:r>
            <w:r>
              <w:rPr>
                <w:rStyle w:val="IndexLink"/>
                <w:rtl w:val="true"/>
              </w:rPr>
              <w:tab/>
            </w:r>
            <w:r>
              <w:rPr>
                <w:rStyle w:val="IndexLink"/>
              </w:rPr>
              <w:t>415</w:t>
            </w:r>
          </w:hyperlink>
        </w:p>
        <w:p>
          <w:pPr>
            <w:pStyle w:val="Contents6"/>
            <w:tabs>
              <w:tab w:val="clear" w:pos="7609"/>
              <w:tab w:val="right" w:pos="9026" w:leader="dot"/>
            </w:tabs>
            <w:rPr/>
          </w:pPr>
          <w:hyperlink w:anchor="__RefHeading___Toc3520309_1280447820">
            <w:r>
              <w:rPr>
                <w:webHidden/>
                <w:rStyle w:val="IndexLink"/>
                <w:rtl w:val="true"/>
              </w:rPr>
              <w:t>دفع إيراد لتسديد كلام</w:t>
            </w:r>
            <w:r>
              <w:rPr>
                <w:rStyle w:val="IndexLink"/>
                <w:rtl w:val="true"/>
              </w:rPr>
              <w:tab/>
            </w:r>
            <w:r>
              <w:rPr>
                <w:rStyle w:val="IndexLink"/>
              </w:rPr>
              <w:t>418</w:t>
            </w:r>
          </w:hyperlink>
        </w:p>
        <w:p>
          <w:pPr>
            <w:pStyle w:val="Contents6"/>
            <w:tabs>
              <w:tab w:val="clear" w:pos="7609"/>
              <w:tab w:val="right" w:pos="9026" w:leader="dot"/>
            </w:tabs>
            <w:rPr/>
          </w:pPr>
          <w:hyperlink w:anchor="__RefHeading___Toc3520311_1280447820">
            <w:r>
              <w:rPr>
                <w:webHidden/>
                <w:rStyle w:val="IndexLink"/>
                <w:rtl w:val="true"/>
              </w:rPr>
              <w:t>الفائدة الثانية للمجاز</w:t>
            </w:r>
            <w:r>
              <w:rPr>
                <w:rStyle w:val="IndexLink"/>
                <w:rtl w:val="true"/>
              </w:rPr>
              <w:tab/>
            </w:r>
            <w:r>
              <w:rPr>
                <w:rStyle w:val="IndexLink"/>
              </w:rPr>
              <w:t>419</w:t>
            </w:r>
          </w:hyperlink>
        </w:p>
        <w:p>
          <w:pPr>
            <w:pStyle w:val="Contents6"/>
            <w:tabs>
              <w:tab w:val="clear" w:pos="7609"/>
              <w:tab w:val="right" w:pos="9026" w:leader="dot"/>
            </w:tabs>
            <w:rPr/>
          </w:pPr>
          <w:hyperlink w:anchor="__RefHeading___Toc3520313_1280447820">
            <w:r>
              <w:rPr>
                <w:webHidden/>
                <w:rStyle w:val="IndexLink"/>
                <w:rtl w:val="true"/>
              </w:rPr>
              <w:t>اشارة</w:t>
            </w:r>
            <w:r>
              <w:rPr>
                <w:rStyle w:val="IndexLink"/>
                <w:rtl w:val="true"/>
              </w:rPr>
              <w:tab/>
            </w:r>
            <w:r>
              <w:rPr>
                <w:rStyle w:val="IndexLink"/>
              </w:rPr>
              <w:t>419</w:t>
            </w:r>
          </w:hyperlink>
        </w:p>
        <w:p>
          <w:pPr>
            <w:pStyle w:val="Contents6"/>
            <w:tabs>
              <w:tab w:val="clear" w:pos="7609"/>
              <w:tab w:val="right" w:pos="9026" w:leader="dot"/>
            </w:tabs>
            <w:rPr/>
          </w:pPr>
          <w:hyperlink w:anchor="__RefHeading___Toc3520315_1280447820">
            <w:r>
              <w:rPr>
                <w:webHidden/>
                <w:rStyle w:val="IndexLink"/>
                <w:rtl w:val="true"/>
              </w:rPr>
              <w:t>الأمر العائد إلى جوهر اللفظ على أقسام</w:t>
            </w:r>
            <w:r>
              <w:rPr>
                <w:rStyle w:val="IndexLink"/>
                <w:rtl w:val="true"/>
              </w:rPr>
              <w:tab/>
            </w:r>
            <w:r>
              <w:rPr>
                <w:rStyle w:val="IndexLink"/>
              </w:rPr>
              <w:t>420</w:t>
            </w:r>
          </w:hyperlink>
        </w:p>
        <w:p>
          <w:pPr>
            <w:pStyle w:val="Contents6"/>
            <w:tabs>
              <w:tab w:val="clear" w:pos="7609"/>
              <w:tab w:val="right" w:pos="9026" w:leader="dot"/>
            </w:tabs>
            <w:rPr/>
          </w:pPr>
          <w:hyperlink w:anchor="__RefHeading___Toc3520317_1280447820">
            <w:r>
              <w:rPr>
                <w:webHidden/>
                <w:rStyle w:val="IndexLink"/>
                <w:rtl w:val="true"/>
              </w:rPr>
              <w:t>الكلام في الأمر العائد إلى المعنى</w:t>
            </w:r>
            <w:r>
              <w:rPr>
                <w:rStyle w:val="IndexLink"/>
                <w:rtl w:val="true"/>
              </w:rPr>
              <w:tab/>
            </w:r>
            <w:r>
              <w:rPr>
                <w:rStyle w:val="IndexLink"/>
              </w:rPr>
              <w:t>422</w:t>
            </w:r>
          </w:hyperlink>
        </w:p>
        <w:p>
          <w:pPr>
            <w:pStyle w:val="Contents6"/>
            <w:tabs>
              <w:tab w:val="clear" w:pos="7609"/>
              <w:tab w:val="right" w:pos="9026" w:leader="dot"/>
            </w:tabs>
            <w:rPr/>
          </w:pPr>
          <w:hyperlink w:anchor="__RefHeading___Toc3520319_1280447820">
            <w:r>
              <w:rPr>
                <w:webHidden/>
                <w:rStyle w:val="IndexLink"/>
                <w:rtl w:val="true"/>
              </w:rPr>
              <w:t>عدم صحّة دعوى انحصار الزيادة في البيان في المجازات</w:t>
            </w:r>
            <w:r>
              <w:rPr>
                <w:rStyle w:val="IndexLink"/>
                <w:rtl w:val="true"/>
              </w:rPr>
              <w:tab/>
            </w:r>
            <w:r>
              <w:rPr>
                <w:rStyle w:val="IndexLink"/>
              </w:rPr>
              <w:t>423</w:t>
            </w:r>
          </w:hyperlink>
        </w:p>
        <w:p>
          <w:pPr>
            <w:pStyle w:val="Contents6"/>
            <w:tabs>
              <w:tab w:val="clear" w:pos="7609"/>
              <w:tab w:val="right" w:pos="9026" w:leader="dot"/>
            </w:tabs>
            <w:rPr/>
          </w:pPr>
          <w:hyperlink w:anchor="__RefHeading___Toc3520321_1280447820">
            <w:r>
              <w:rPr>
                <w:webHidden/>
                <w:rStyle w:val="IndexLink"/>
                <w:rtl w:val="true"/>
              </w:rPr>
              <w:t>الكلام في الأمر العائد إلى اللفظ بواسطة الخارج عنه</w:t>
            </w:r>
            <w:r>
              <w:rPr>
                <w:rStyle w:val="IndexLink"/>
                <w:rtl w:val="true"/>
              </w:rPr>
              <w:tab/>
            </w:r>
            <w:r>
              <w:rPr>
                <w:rStyle w:val="IndexLink"/>
              </w:rPr>
              <w:t>423</w:t>
            </w:r>
          </w:hyperlink>
        </w:p>
        <w:p>
          <w:pPr>
            <w:pStyle w:val="Contents5"/>
            <w:tabs>
              <w:tab w:val="clear" w:pos="7892"/>
              <w:tab w:val="right" w:pos="9026" w:leader="dot"/>
            </w:tabs>
            <w:rPr/>
          </w:pPr>
          <w:hyperlink w:anchor="__RefHeading___Toc3520323_1280447820">
            <w:r>
              <w:rPr>
                <w:webHidden/>
                <w:rStyle w:val="IndexLink"/>
                <w:rtl w:val="true"/>
              </w:rPr>
              <w:t>مفاسد الاشتراك</w:t>
            </w:r>
            <w:r>
              <w:rPr>
                <w:rStyle w:val="IndexLink"/>
                <w:rtl w:val="true"/>
              </w:rPr>
              <w:tab/>
            </w:r>
            <w:r>
              <w:rPr>
                <w:rStyle w:val="IndexLink"/>
              </w:rPr>
              <w:t>427</w:t>
            </w:r>
          </w:hyperlink>
        </w:p>
        <w:p>
          <w:pPr>
            <w:pStyle w:val="Contents6"/>
            <w:tabs>
              <w:tab w:val="clear" w:pos="7609"/>
              <w:tab w:val="right" w:pos="9026" w:leader="dot"/>
            </w:tabs>
            <w:rPr/>
          </w:pPr>
          <w:hyperlink w:anchor="__RefHeading___Toc3520325_1280447820">
            <w:r>
              <w:rPr>
                <w:webHidden/>
                <w:rStyle w:val="IndexLink"/>
                <w:rtl w:val="true"/>
              </w:rPr>
              <w:t>المفسدة الأولى</w:t>
            </w:r>
            <w:r>
              <w:rPr>
                <w:rStyle w:val="IndexLink"/>
                <w:rtl w:val="true"/>
              </w:rPr>
              <w:t xml:space="preserve">: </w:t>
            </w:r>
            <w:r>
              <w:rPr>
                <w:rStyle w:val="IndexLink"/>
                <w:rtl w:val="true"/>
              </w:rPr>
              <w:t>افتقاره إلى القرينتين</w:t>
            </w:r>
            <w:r>
              <w:rPr>
                <w:rStyle w:val="IndexLink"/>
                <w:rtl w:val="true"/>
              </w:rPr>
              <w:tab/>
            </w:r>
            <w:r>
              <w:rPr>
                <w:rStyle w:val="IndexLink"/>
              </w:rPr>
              <w:t>427</w:t>
            </w:r>
          </w:hyperlink>
        </w:p>
        <w:p>
          <w:pPr>
            <w:pStyle w:val="Contents6"/>
            <w:tabs>
              <w:tab w:val="clear" w:pos="7609"/>
              <w:tab w:val="right" w:pos="9026" w:leader="dot"/>
            </w:tabs>
            <w:rPr/>
          </w:pPr>
          <w:hyperlink w:anchor="__RefHeading___Toc3520327_1280447820">
            <w:r>
              <w:rPr>
                <w:webHidden/>
                <w:rStyle w:val="IndexLink"/>
                <w:rtl w:val="true"/>
              </w:rPr>
              <w:t>المفسدة الثانية للاشتراك</w:t>
            </w:r>
            <w:r>
              <w:rPr>
                <w:rStyle w:val="IndexLink"/>
                <w:rtl w:val="true"/>
              </w:rPr>
              <w:t xml:space="preserve">: </w:t>
            </w:r>
            <w:r>
              <w:rPr>
                <w:rStyle w:val="IndexLink"/>
                <w:rtl w:val="true"/>
              </w:rPr>
              <w:t>حصول الاختلال بالفهم</w:t>
            </w:r>
            <w:r>
              <w:rPr>
                <w:rStyle w:val="IndexLink"/>
                <w:rtl w:val="true"/>
              </w:rPr>
              <w:tab/>
            </w:r>
            <w:r>
              <w:rPr>
                <w:rStyle w:val="IndexLink"/>
              </w:rPr>
              <w:t>431</w:t>
            </w:r>
          </w:hyperlink>
        </w:p>
        <w:p>
          <w:pPr>
            <w:pStyle w:val="Contents6"/>
            <w:tabs>
              <w:tab w:val="clear" w:pos="7609"/>
              <w:tab w:val="right" w:pos="9026" w:leader="dot"/>
            </w:tabs>
            <w:rPr/>
          </w:pPr>
          <w:hyperlink w:anchor="__RefHeading___Toc3520329_1280447820">
            <w:r>
              <w:rPr>
                <w:webHidden/>
                <w:rStyle w:val="IndexLink"/>
                <w:rtl w:val="true"/>
              </w:rPr>
              <w:t>المفسدة الثالثة للاشتراك</w:t>
            </w:r>
            <w:r>
              <w:rPr>
                <w:rStyle w:val="IndexLink"/>
                <w:rtl w:val="true"/>
              </w:rPr>
              <w:t xml:space="preserve">: </w:t>
            </w:r>
            <w:r>
              <w:rPr>
                <w:rStyle w:val="IndexLink"/>
                <w:rtl w:val="true"/>
              </w:rPr>
              <w:t>إفضاؤه إلى مستبعد من ضدّ أو نقيض</w:t>
            </w:r>
            <w:r>
              <w:rPr>
                <w:rStyle w:val="IndexLink"/>
                <w:rtl w:val="true"/>
              </w:rPr>
              <w:tab/>
            </w:r>
            <w:r>
              <w:rPr>
                <w:rStyle w:val="IndexLink"/>
              </w:rPr>
              <w:t>432</w:t>
            </w:r>
          </w:hyperlink>
        </w:p>
        <w:p>
          <w:pPr>
            <w:pStyle w:val="Contents4"/>
            <w:tabs>
              <w:tab w:val="clear" w:pos="8176"/>
              <w:tab w:val="right" w:pos="9026" w:leader="dot"/>
            </w:tabs>
            <w:rPr/>
          </w:pPr>
          <w:hyperlink w:anchor="__RefHeading___Toc3520331_1280447820">
            <w:r>
              <w:rPr>
                <w:webHidden/>
                <w:rStyle w:val="IndexLink"/>
                <w:rtl w:val="true"/>
              </w:rPr>
              <w:t>والبحث الثاني</w:t>
            </w:r>
            <w:r>
              <w:rPr>
                <w:rStyle w:val="IndexLink"/>
                <w:rtl w:val="true"/>
              </w:rPr>
              <w:t xml:space="preserve">: </w:t>
            </w:r>
            <w:r>
              <w:rPr>
                <w:rStyle w:val="IndexLink"/>
                <w:rtl w:val="true"/>
              </w:rPr>
              <w:t>في تعارض الاشتراك مع الثلاثة الباقية من النقل والإضمار والتخصيص</w:t>
            </w:r>
            <w:r>
              <w:rPr>
                <w:rStyle w:val="IndexLink"/>
                <w:rtl w:val="true"/>
              </w:rPr>
              <w:tab/>
            </w:r>
            <w:r>
              <w:rPr>
                <w:rStyle w:val="IndexLink"/>
              </w:rPr>
              <w:t>434</w:t>
            </w:r>
          </w:hyperlink>
        </w:p>
        <w:p>
          <w:pPr>
            <w:pStyle w:val="Contents5"/>
            <w:tabs>
              <w:tab w:val="clear" w:pos="7892"/>
              <w:tab w:val="right" w:pos="9026" w:leader="dot"/>
            </w:tabs>
            <w:rPr/>
          </w:pPr>
          <w:hyperlink w:anchor="__RefHeading___Toc3520333_1280447820">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3520335_1280447820">
            <w:r>
              <w:rPr>
                <w:webHidden/>
                <w:rStyle w:val="IndexLink"/>
                <w:rtl w:val="true"/>
              </w:rPr>
              <w:t>المبحث الأوّل</w:t>
            </w:r>
            <w:r>
              <w:rPr>
                <w:rStyle w:val="IndexLink"/>
                <w:rtl w:val="true"/>
              </w:rPr>
              <w:t xml:space="preserve">: </w:t>
            </w:r>
            <w:r>
              <w:rPr>
                <w:rStyle w:val="IndexLink"/>
                <w:rtl w:val="true"/>
              </w:rPr>
              <w:t>معارضة الاشتراك والنقل</w:t>
            </w:r>
            <w:r>
              <w:rPr>
                <w:rStyle w:val="IndexLink"/>
                <w:rtl w:val="true"/>
              </w:rPr>
              <w:tab/>
            </w:r>
            <w:r>
              <w:rPr>
                <w:rStyle w:val="IndexLink"/>
              </w:rPr>
              <w:t>434</w:t>
            </w:r>
          </w:hyperlink>
        </w:p>
        <w:p>
          <w:pPr>
            <w:pStyle w:val="Contents6"/>
            <w:tabs>
              <w:tab w:val="clear" w:pos="7609"/>
              <w:tab w:val="right" w:pos="9026" w:leader="dot"/>
            </w:tabs>
            <w:rPr/>
          </w:pPr>
          <w:hyperlink w:anchor="__RefHeading___Toc3520337_1280447820">
            <w:r>
              <w:rPr>
                <w:webHidden/>
                <w:rStyle w:val="IndexLink"/>
                <w:rtl w:val="true"/>
              </w:rPr>
              <w:t>اشارة</w:t>
            </w:r>
            <w:r>
              <w:rPr>
                <w:rStyle w:val="IndexLink"/>
                <w:rtl w:val="true"/>
              </w:rPr>
              <w:tab/>
            </w:r>
            <w:r>
              <w:rPr>
                <w:rStyle w:val="IndexLink"/>
              </w:rPr>
              <w:t>434</w:t>
            </w:r>
          </w:hyperlink>
        </w:p>
        <w:p>
          <w:pPr>
            <w:pStyle w:val="Contents6"/>
            <w:tabs>
              <w:tab w:val="clear" w:pos="7609"/>
              <w:tab w:val="right" w:pos="9026" w:leader="dot"/>
            </w:tabs>
            <w:rPr/>
          </w:pPr>
          <w:hyperlink w:anchor="__RefHeading___Toc3520339_1280447820">
            <w:r>
              <w:rPr>
                <w:webHidden/>
                <w:rStyle w:val="IndexLink"/>
                <w:rtl w:val="true"/>
              </w:rPr>
              <w:t>المطلب الأوّل</w:t>
            </w:r>
            <w:r>
              <w:rPr>
                <w:rStyle w:val="IndexLink"/>
                <w:rtl w:val="true"/>
              </w:rPr>
              <w:t xml:space="preserve">: </w:t>
            </w:r>
            <w:r>
              <w:rPr>
                <w:rStyle w:val="IndexLink"/>
                <w:rtl w:val="true"/>
              </w:rPr>
              <w:t>في تصوير المسألة والإيماء إلى ما يترتّب عليها من الثمرة</w:t>
            </w:r>
            <w:r>
              <w:rPr>
                <w:rStyle w:val="IndexLink"/>
                <w:rtl w:val="true"/>
              </w:rPr>
              <w:tab/>
            </w:r>
            <w:r>
              <w:rPr>
                <w:rStyle w:val="IndexLink"/>
              </w:rPr>
              <w:t>434</w:t>
            </w:r>
          </w:hyperlink>
        </w:p>
        <w:p>
          <w:pPr>
            <w:pStyle w:val="Contents6"/>
            <w:tabs>
              <w:tab w:val="clear" w:pos="7609"/>
              <w:tab w:val="right" w:pos="9026" w:leader="dot"/>
            </w:tabs>
            <w:rPr/>
          </w:pPr>
          <w:hyperlink w:anchor="__RefHeading___Toc3520341_1280447820">
            <w:r>
              <w:rPr>
                <w:webHidden/>
                <w:rStyle w:val="IndexLink"/>
                <w:rtl w:val="true"/>
              </w:rPr>
              <w:t>والمطلب الثاني</w:t>
            </w:r>
            <w:r>
              <w:rPr>
                <w:rStyle w:val="IndexLink"/>
                <w:rtl w:val="true"/>
              </w:rPr>
              <w:t xml:space="preserve">: </w:t>
            </w:r>
            <w:r>
              <w:rPr>
                <w:rStyle w:val="IndexLink"/>
                <w:rtl w:val="true"/>
              </w:rPr>
              <w:t>في أنّ أيًّا من الاحتمالين يترجّح بالاختيار في البين</w:t>
            </w:r>
            <w:r>
              <w:rPr>
                <w:rStyle w:val="IndexLink"/>
                <w:rtl w:val="true"/>
              </w:rPr>
              <w:tab/>
            </w:r>
            <w:r>
              <w:rPr>
                <w:rStyle w:val="IndexLink"/>
              </w:rPr>
              <w:t>436</w:t>
            </w:r>
          </w:hyperlink>
        </w:p>
        <w:p>
          <w:pPr>
            <w:pStyle w:val="Contents6"/>
            <w:tabs>
              <w:tab w:val="clear" w:pos="7609"/>
              <w:tab w:val="right" w:pos="9026" w:leader="dot"/>
            </w:tabs>
            <w:rPr/>
          </w:pPr>
          <w:hyperlink w:anchor="__RefHeading___Toc3520343_1280447820">
            <w:r>
              <w:rPr>
                <w:webHidden/>
                <w:rStyle w:val="IndexLink"/>
                <w:rtl w:val="true"/>
              </w:rPr>
              <w:t>قول الحقّ في المسألة</w:t>
            </w:r>
            <w:r>
              <w:rPr>
                <w:rStyle w:val="IndexLink"/>
                <w:rtl w:val="true"/>
              </w:rPr>
              <w:tab/>
            </w:r>
            <w:r>
              <w:rPr>
                <w:rStyle w:val="IndexLink"/>
              </w:rPr>
              <w:t>438</w:t>
            </w:r>
          </w:hyperlink>
        </w:p>
        <w:p>
          <w:pPr>
            <w:pStyle w:val="Contents5"/>
            <w:tabs>
              <w:tab w:val="clear" w:pos="7892"/>
              <w:tab w:val="right" w:pos="9026" w:leader="dot"/>
            </w:tabs>
            <w:rPr/>
          </w:pPr>
          <w:hyperlink w:anchor="__RefHeading___Toc3520345_1280447820">
            <w:r>
              <w:rPr>
                <w:webHidden/>
                <w:rStyle w:val="IndexLink"/>
                <w:rtl w:val="true"/>
              </w:rPr>
              <w:t>والمبحث الثاني</w:t>
            </w:r>
            <w:r>
              <w:rPr>
                <w:rStyle w:val="IndexLink"/>
                <w:rtl w:val="true"/>
              </w:rPr>
              <w:t xml:space="preserve">: </w:t>
            </w:r>
            <w:r>
              <w:rPr>
                <w:rStyle w:val="IndexLink"/>
                <w:rtl w:val="true"/>
              </w:rPr>
              <w:t>في معارضة الاشتراك والإضمار</w:t>
            </w:r>
            <w:r>
              <w:rPr>
                <w:rStyle w:val="IndexLink"/>
                <w:rtl w:val="true"/>
              </w:rPr>
              <w:tab/>
            </w:r>
            <w:r>
              <w:rPr>
                <w:rStyle w:val="IndexLink"/>
              </w:rPr>
              <w:t>439</w:t>
            </w:r>
          </w:hyperlink>
        </w:p>
        <w:p>
          <w:pPr>
            <w:pStyle w:val="Contents5"/>
            <w:tabs>
              <w:tab w:val="clear" w:pos="7892"/>
              <w:tab w:val="right" w:pos="9026" w:leader="dot"/>
            </w:tabs>
            <w:rPr/>
          </w:pPr>
          <w:hyperlink w:anchor="__RefHeading___Toc3520347_1280447820">
            <w:r>
              <w:rPr>
                <w:webHidden/>
                <w:rStyle w:val="IndexLink"/>
                <w:rtl w:val="true"/>
              </w:rPr>
              <w:t>والمبحث الثالث</w:t>
            </w:r>
            <w:r>
              <w:rPr>
                <w:rStyle w:val="IndexLink"/>
                <w:rtl w:val="true"/>
              </w:rPr>
              <w:t xml:space="preserve">: </w:t>
            </w:r>
            <w:r>
              <w:rPr>
                <w:rStyle w:val="IndexLink"/>
                <w:rtl w:val="true"/>
              </w:rPr>
              <w:t>في معارضة الاشتراك والتخصيص</w:t>
            </w:r>
            <w:r>
              <w:rPr>
                <w:rStyle w:val="IndexLink"/>
                <w:rtl w:val="true"/>
              </w:rPr>
              <w:tab/>
            </w:r>
            <w:r>
              <w:rPr>
                <w:rStyle w:val="IndexLink"/>
              </w:rPr>
              <w:t>442</w:t>
            </w:r>
          </w:hyperlink>
        </w:p>
        <w:p>
          <w:pPr>
            <w:pStyle w:val="Contents4"/>
            <w:tabs>
              <w:tab w:val="clear" w:pos="8176"/>
              <w:tab w:val="right" w:pos="9026" w:leader="dot"/>
            </w:tabs>
            <w:rPr/>
          </w:pPr>
          <w:hyperlink w:anchor="__RefHeading___Toc3520349_1280447820">
            <w:r>
              <w:rPr>
                <w:webHidden/>
                <w:rStyle w:val="IndexLink"/>
                <w:rtl w:val="true"/>
              </w:rPr>
              <w:t>والبحث الثالث</w:t>
            </w:r>
            <w:r>
              <w:rPr>
                <w:rStyle w:val="IndexLink"/>
                <w:rtl w:val="true"/>
              </w:rPr>
              <w:t xml:space="preserve">: </w:t>
            </w:r>
            <w:r>
              <w:rPr>
                <w:rStyle w:val="IndexLink"/>
                <w:rtl w:val="true"/>
              </w:rPr>
              <w:t>في بقيّة أقسام المعارضة</w:t>
            </w:r>
            <w:r>
              <w:rPr>
                <w:rStyle w:val="IndexLink"/>
                <w:rtl w:val="true"/>
              </w:rPr>
              <w:tab/>
            </w:r>
            <w:r>
              <w:rPr>
                <w:rStyle w:val="IndexLink"/>
              </w:rPr>
              <w:t>445</w:t>
            </w:r>
          </w:hyperlink>
        </w:p>
        <w:p>
          <w:pPr>
            <w:pStyle w:val="Contents5"/>
            <w:tabs>
              <w:tab w:val="clear" w:pos="7892"/>
              <w:tab w:val="right" w:pos="9026" w:leader="dot"/>
            </w:tabs>
            <w:rPr/>
          </w:pPr>
          <w:hyperlink w:anchor="__RefHeading___Toc3520351_1280447820">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3520353_1280447820">
            <w:r>
              <w:rPr>
                <w:webHidden/>
                <w:rStyle w:val="IndexLink"/>
                <w:rtl w:val="true"/>
              </w:rPr>
              <w:t>القسم الأوّل</w:t>
            </w:r>
            <w:r>
              <w:rPr>
                <w:rStyle w:val="IndexLink"/>
                <w:rtl w:val="true"/>
              </w:rPr>
              <w:t xml:space="preserve">: </w:t>
            </w:r>
            <w:r>
              <w:rPr>
                <w:rStyle w:val="IndexLink"/>
                <w:rtl w:val="true"/>
              </w:rPr>
              <w:t>معارضة المجاز والنقل</w:t>
            </w:r>
            <w:r>
              <w:rPr>
                <w:rStyle w:val="IndexLink"/>
                <w:rtl w:val="true"/>
              </w:rPr>
              <w:tab/>
            </w:r>
            <w:r>
              <w:rPr>
                <w:rStyle w:val="IndexLink"/>
              </w:rPr>
              <w:t>445</w:t>
            </w:r>
          </w:hyperlink>
        </w:p>
        <w:p>
          <w:pPr>
            <w:pStyle w:val="Contents5"/>
            <w:tabs>
              <w:tab w:val="clear" w:pos="7892"/>
              <w:tab w:val="right" w:pos="9026" w:leader="dot"/>
            </w:tabs>
            <w:rPr/>
          </w:pPr>
          <w:hyperlink w:anchor="__RefHeading___Toc3520355_1280447820">
            <w:r>
              <w:rPr>
                <w:webHidden/>
                <w:rStyle w:val="IndexLink"/>
                <w:rtl w:val="true"/>
              </w:rPr>
              <w:t>والقسم الثاني</w:t>
            </w:r>
            <w:r>
              <w:rPr>
                <w:rStyle w:val="IndexLink"/>
                <w:rtl w:val="true"/>
              </w:rPr>
              <w:t xml:space="preserve">: </w:t>
            </w:r>
            <w:r>
              <w:rPr>
                <w:rStyle w:val="IndexLink"/>
                <w:rtl w:val="true"/>
              </w:rPr>
              <w:t>معارضة المجاز والإضمار</w:t>
            </w:r>
            <w:r>
              <w:rPr>
                <w:rStyle w:val="IndexLink"/>
                <w:rtl w:val="true"/>
              </w:rPr>
              <w:tab/>
            </w:r>
            <w:r>
              <w:rPr>
                <w:rStyle w:val="IndexLink"/>
              </w:rPr>
              <w:t>448</w:t>
            </w:r>
          </w:hyperlink>
        </w:p>
        <w:p>
          <w:pPr>
            <w:pStyle w:val="Contents5"/>
            <w:tabs>
              <w:tab w:val="clear" w:pos="7892"/>
              <w:tab w:val="right" w:pos="9026" w:leader="dot"/>
            </w:tabs>
            <w:rPr/>
          </w:pPr>
          <w:hyperlink w:anchor="__RefHeading___Toc3520357_1280447820">
            <w:r>
              <w:rPr>
                <w:webHidden/>
                <w:rStyle w:val="IndexLink"/>
                <w:rtl w:val="true"/>
              </w:rPr>
              <w:t>والقسم الثالث</w:t>
            </w:r>
            <w:r>
              <w:rPr>
                <w:rStyle w:val="IndexLink"/>
                <w:rtl w:val="true"/>
              </w:rPr>
              <w:t xml:space="preserve">: </w:t>
            </w:r>
            <w:r>
              <w:rPr>
                <w:rStyle w:val="IndexLink"/>
                <w:rtl w:val="true"/>
              </w:rPr>
              <w:t>معارضة المجاز والتخصيص</w:t>
            </w:r>
            <w:r>
              <w:rPr>
                <w:rStyle w:val="IndexLink"/>
                <w:rtl w:val="true"/>
              </w:rPr>
              <w:tab/>
            </w:r>
            <w:r>
              <w:rPr>
                <w:rStyle w:val="IndexLink"/>
              </w:rPr>
              <w:t>449</w:t>
            </w:r>
          </w:hyperlink>
        </w:p>
        <w:p>
          <w:pPr>
            <w:pStyle w:val="Contents6"/>
            <w:tabs>
              <w:tab w:val="clear" w:pos="7609"/>
              <w:tab w:val="right" w:pos="9026" w:leader="dot"/>
            </w:tabs>
            <w:rPr/>
          </w:pPr>
          <w:hyperlink w:anchor="__RefHeading___Toc3520359_1280447820">
            <w:r>
              <w:rPr>
                <w:webHidden/>
                <w:rStyle w:val="IndexLink"/>
                <w:rtl w:val="true"/>
              </w:rPr>
              <w:t>اشارة</w:t>
            </w:r>
            <w:r>
              <w:rPr>
                <w:rStyle w:val="IndexLink"/>
                <w:rtl w:val="true"/>
              </w:rPr>
              <w:tab/>
            </w:r>
            <w:r>
              <w:rPr>
                <w:rStyle w:val="IndexLink"/>
              </w:rPr>
              <w:t>449</w:t>
            </w:r>
          </w:hyperlink>
        </w:p>
        <w:p>
          <w:pPr>
            <w:pStyle w:val="Contents6"/>
            <w:tabs>
              <w:tab w:val="clear" w:pos="7609"/>
              <w:tab w:val="right" w:pos="9026" w:leader="dot"/>
            </w:tabs>
            <w:rPr/>
          </w:pPr>
          <w:hyperlink w:anchor="__RefHeading___Toc3520361_1280447820">
            <w:r>
              <w:rPr>
                <w:webHidden/>
                <w:rStyle w:val="IndexLink"/>
                <w:rtl w:val="true"/>
              </w:rPr>
              <w:t>في أولويّة التخصيص من المجاز</w:t>
            </w:r>
            <w:r>
              <w:rPr>
                <w:rStyle w:val="IndexLink"/>
                <w:rtl w:val="true"/>
              </w:rPr>
              <w:tab/>
            </w:r>
            <w:r>
              <w:rPr>
                <w:rStyle w:val="IndexLink"/>
              </w:rPr>
              <w:t>451</w:t>
            </w:r>
          </w:hyperlink>
        </w:p>
        <w:p>
          <w:pPr>
            <w:pStyle w:val="Contents6"/>
            <w:tabs>
              <w:tab w:val="clear" w:pos="7609"/>
              <w:tab w:val="right" w:pos="9026" w:leader="dot"/>
            </w:tabs>
            <w:rPr/>
          </w:pPr>
          <w:hyperlink w:anchor="__RefHeading___Toc3520363_1280447820">
            <w:r>
              <w:rPr>
                <w:webHidden/>
                <w:rStyle w:val="IndexLink"/>
                <w:rtl w:val="true"/>
              </w:rPr>
              <w:t>في بقيّة أقسام المعارضة</w:t>
            </w:r>
            <w:r>
              <w:rPr>
                <w:rStyle w:val="IndexLink"/>
                <w:rtl w:val="true"/>
              </w:rPr>
              <w:tab/>
            </w:r>
            <w:r>
              <w:rPr>
                <w:rStyle w:val="IndexLink"/>
              </w:rPr>
              <w:t>457</w:t>
            </w:r>
          </w:hyperlink>
        </w:p>
        <w:p>
          <w:pPr>
            <w:pStyle w:val="Contents2"/>
            <w:tabs>
              <w:tab w:val="clear" w:pos="8743"/>
              <w:tab w:val="right" w:pos="9026" w:leader="dot"/>
            </w:tabs>
            <w:rPr/>
          </w:pPr>
          <w:hyperlink w:anchor="__RefHeading___Toc3520365_1280447820">
            <w:r>
              <w:rPr>
                <w:webHidden/>
                <w:rStyle w:val="IndexLink"/>
                <w:rtl w:val="true"/>
              </w:rPr>
              <w:t>فهرس المحتويات</w:t>
            </w:r>
            <w:r>
              <w:rPr>
                <w:rStyle w:val="IndexLink"/>
                <w:rtl w:val="true"/>
              </w:rPr>
              <w:tab/>
            </w:r>
            <w:r>
              <w:rPr>
                <w:rStyle w:val="IndexLink"/>
              </w:rPr>
              <w:t>458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14_221436"/>
      <w:bookmarkStart w:id="1" w:name="pg16214_221436"/>
      <w:bookmarkEnd w:id="1"/>
    </w:p>
    <w:p>
      <w:pPr>
        <w:pStyle w:val="Heading2"/>
        <w:numPr>
          <w:ilvl w:val="1"/>
          <w:numId w:val="1"/>
        </w:numPr>
        <w:rPr/>
      </w:pPr>
      <w:bookmarkStart w:id="2" w:name="pg16214_221436"/>
      <w:bookmarkStart w:id="3" w:name="__RefHeading___Toc3519565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الزُهَرَةُ البَارِقَة</w:t>
      </w:r>
    </w:p>
    <w:p>
      <w:pPr>
        <w:pStyle w:val="BookText"/>
        <w:rPr/>
      </w:pPr>
      <w:r>
        <w:rPr>
          <w:rFonts w:ascii="Amiri" w:hAnsi="Amiri" w:eastAsia="Amiri" w:cs="Amiri"/>
          <w:color w:val="111111"/>
          <w:sz w:val="28"/>
          <w:sz w:val="28"/>
          <w:szCs w:val="28"/>
          <w:rtl w:val="true"/>
          <w:lang w:bidi="ar-SA"/>
        </w:rPr>
        <w:t>لِمَعرِفَةِ أَحوَالِ المَجَازِ وَالحَقِيقَة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الْعَلَّاْمَةِ المُحَقّقِ الْفَقِيْهِ الْأُصُوْلِيّ</w:t>
      </w:r>
    </w:p>
    <w:p>
      <w:pPr>
        <w:pStyle w:val="BookText"/>
        <w:rPr/>
      </w:pPr>
      <w:r>
        <w:rPr>
          <w:rFonts w:ascii="Amiri" w:hAnsi="Amiri" w:eastAsia="Amiri" w:cs="Amiri"/>
          <w:color w:val="111111"/>
          <w:sz w:val="28"/>
          <w:sz w:val="28"/>
          <w:szCs w:val="28"/>
          <w:rtl w:val="true"/>
          <w:lang w:bidi="ar-SA"/>
        </w:rPr>
        <w:t>الحَاْجّ السَّيِّد مُحَمَّد بَاْقِر المُوْسَوِيّ الشَّفْتِيّ قُدِّسَ سِرُّه</w:t>
      </w:r>
    </w:p>
    <w:p>
      <w:pPr>
        <w:pStyle w:val="BookText"/>
        <w:rPr/>
      </w:pPr>
      <w:r>
        <w:rPr>
          <w:rFonts w:ascii="Amiri" w:hAnsi="Amiri" w:eastAsia="Amiri" w:cs="Amiri"/>
          <w:color w:val="111111"/>
          <w:sz w:val="28"/>
          <w:sz w:val="28"/>
          <w:szCs w:val="28"/>
          <w:rtl w:val="true"/>
          <w:lang w:bidi="ar-SA"/>
        </w:rPr>
        <w:t>المَعْرُوْف بِحُجَّةِ الْإِسْلَاْمِ عَلَى الْإِطْلَاْق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السَّيِّد مُحَمَّد الرِّضَا الشَّفْتِيّ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1956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14_221440"/>
      <w:bookmarkStart w:id="8" w:name="pg16214_221440"/>
      <w:bookmarkEnd w:id="8"/>
    </w:p>
    <w:p>
      <w:pPr>
        <w:pStyle w:val="Heading2"/>
        <w:numPr>
          <w:ilvl w:val="1"/>
          <w:numId w:val="1"/>
        </w:numPr>
        <w:rPr/>
      </w:pPr>
      <w:bookmarkStart w:id="9" w:name="pg16214_221440"/>
      <w:bookmarkStart w:id="10" w:name="__RefHeading___Toc3519569_1280447820"/>
      <w:bookmarkStart w:id="11" w:name="_Toc3"/>
      <w:bookmarkEnd w:id="9"/>
      <w:bookmarkEnd w:id="10"/>
      <w:r>
        <w:rPr>
          <w:rtl w:val="true"/>
        </w:rPr>
        <w:t>مقدّمة المركز</w:t>
      </w:r>
      <w:bookmarkEnd w:id="11"/>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سَيِّدِنَا وَنَبِيِّنَا مُحَمَّدٍ وَعَلَى آلِ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اهْتَمَّ المُسْلِمُونَ باللُّغَة الْعَرَبِيَّةِ اهْتِمِامًا يَنْقَطِعُ نَظِيرَهُ فِي بَقِيَّةِ لُغَاتِ الْعَالَمِ، فَقَسَّمُوهَا إِلى اثْنَي عَشَرَ عِلْمًا، وَتَوَسَّعُوا فِي كُلِّ عِلْمٍ مِنْهَا، حَتَّى أَنَّ بَعْضَهَا يَكُونُ مُشْتَرَكًا بَيْنَ عُلُومٍ مُخْتَلِفَةٍ كَالاِشْتِقَاقِ الَّذِي يُدَرَّسُ فِي عِلْمِ الصَّرْفِ، وَالنَّحْوِِ، وَالْبَلَاغَةِ، وَمِنْ تِلْكَ المَوَاضِيعِ المُشْتَرَكَةِ مَوْضُوعُ الحَقِيقَةِ وَالمَجَازِ؛ فَالدّرَاسَاتُ الأَوَّلِيَّةُ لَهُ نَجِدُهَا فِي كِتَابِِ سِيبَوَيْه المُتُوَفّى سَنَة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ﻫ، ثُمَّ كَانَتْ هُنَاكَ آرَاءٌ أُخْرَى حَوْلَ ثُبُوتِ المَجَازِ في اللُّغَةِ؛ فَقَدْ ذَهَبَ قَوْمٌ إِلَى أَنَّ الْكَلَامَ كُلَّهُ حَقِيقَةٌ لَا مَجَازَ فِيهِ، وَذَهَبَ آخَرُونَ إِلَى أَنَّهُ كُلّهُ مَجَازٌ لَا حَقِيقَةَ فِيهِ، وَبَعْدَ ذَلِكَ أَثْبَتَت ِالدِّرَاسَاتُ أَنَّ اللُّغَةَ الْعَرَبِيَّةَ فِيهَا الحَقِيقَةُ، وَفِيهَا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تَوَسَّعَ البَيَانِيُّونَ في أَقْسَامِ المَجَازِ، فَقَسَّمُوهُ عَلَى مَجَازٍ عَقْلِيٍّ وَيَقَعُ فِي الإِسْنَادِ، وَمَجَازٍ 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وَالمَجَازُ اللُّغَوِيّ قَسَّمُوهُ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مُفْرَدٌ مُرْسَلٌ، وَمَجَازٌ مُفْرَدٌ بِالاِسْتِعَارَةِ، وَمَجَازٌ مُرَكَّبٌ مُرْسَلٌ، وَمَجَازٌ مُرَكَّبٌ بِالاِسْتِعَارَةِ التَّمْثِيلِيَّةِ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تَلَاهُم الأُصُولِيُّونَ جِيلًا بَعْدَ جِيلٍ حَتَّى وَصَلَ المُتَأَخِّرُونَ مِنْهُم إِلَى الذّرْوَةِ، فَتَعَمَّقَتْ مَبَاحِثُهُم اللُّغَوِيَّةُ وَالدَّلَالِيَّةُ الَّتِي اتَّسَمَتْ بِالدِّقَّةِ وَالْتَعَمُّقِِِ عَنْ طَريْقِ رَصْدِ المَعَالِم الدّلَالِيَّةِ العَمِيقَةِ، وَذَلِكَ مِنْ أَجْلِ الفَهْمِ الدَّقِيقِ لِفَحْوَى </w:t>
      </w:r>
    </w:p>
    <w:p>
      <w:pPr>
        <w:pStyle w:val="BookText"/>
        <w:rPr/>
      </w:pPr>
      <w:r>
        <w:rPr>
          <w:rFonts w:ascii="Amiri" w:hAnsi="Amiri" w:eastAsia="Amiri" w:cs="Amiri"/>
          <w:color w:val="111111"/>
          <w:sz w:val="28"/>
          <w:sz w:val="28"/>
          <w:szCs w:val="28"/>
          <w:rtl w:val="true"/>
          <w:lang w:bidi="ar-SA"/>
        </w:rPr>
        <w:t>الخِطَابِِ، فَخَاضُوا فِي أَقْسَامِ الأَلْفَاظِ وَالدّلَالَاتِ، فَبَحَثُوا الاِشْتِرَاكَ وَالتَّرَادُفَ وَأَفَاضُوا الجَدَلَ حَوْلَهمُا، وَقَسَّمُوا الدّلَالَاتِ بِحَسَبِ المَنْطُوقِ وَالمَفْهُومِ مِنِ الخِطَابِ، كَمَا أَبَانُوا عَنْ قُدْرَةٍ لُغَوِيَّةٍ فِي تَحْدِيدِ أَدَوَاتِ ضَبْطِ الدّلَالَةِ المُعَيَّنَةِ، فَبَحَثُوا الاسْتِغْرَاقَ وَالْعُمُومَ وَالشَّرْطَ وَالاسْتِثْنَاءَ وَالتَّقْدِيمَ وَالتَّأْخِيرَ والإِطْلَاقَ وَالتَّقْيِيدَ، وَغَيْرَ ذَلِكَ مِن المَبَاحِثِ، فَتَوَصَّلُوا إِلَى مَفَاهِيمَ فِي اللُّغَةِ العَرَبِيَّةِ لَمْ يَتَوَصَّلْ إِلَيْهَا اللُّغَوِيُّونَ أَوْ النُّحَاةُ، أَوْ البَيَانِيُّونَ، وَمِنْ ذَلِكَ أَنَّهُم فَصَّلُوا القَوْلَ حَوْلَ مَاهِيَّة الحَقَيقَة وَالمَجَاز، وَأَقْسَامِهِمَا، وَالمَعَايِير المُمَيِّزَة لِكُلِّ قِسْمٍ؛ كَالحَقِيقَةِ اللُّغَوِيَّةِ، وَالحَقِيقَةِ الشَّرْعِيَّةِ، وَالحَقِيقَةِ الْوَضْعِيَّةِ، وَالَحقِيقَةِ الْعُرْفِيَّةِ، وَكَذَلِكَ الحَالُ فِي تَقْسِيمِ المَجَازِ وَالتَّعَمُّقِ فِي مَبَاحِثِهِ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أَلَّفَ الْعَلَّاْمَةُ المُحَقِّقُ الْفَقِيْهُ الْأُصُوْلِيُّ الحَاْجُّ السَّيِّدُ مُحَمَّد بَاْقِر المُوْسَوِيّ الشَّفْتِيّ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المَعْرُوْفُ بِحُجَّةِ الْإِسْلَاْمِ عَلَى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الزُهَرَة البَارِقَة لِمَعرِفَةِ أَحوَالِ المَجَازِ وَالحَقِيقَة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احْتَوَى هَذَا الْكِتَابُ عَلَى مَبَاحِثَ نَفِيسَةٍ وَفَرَائِدَ قَيِّمَةٍ مِن المَسَائِلِ الأُصُولِيَّةِ وَالعَرَبِيَّةِ، وَمَبَاحِثِ الأَلْفَاظِ وَالمَبَادِئ اللُّغَوِيَّةِ؛ مِنْهَا بَيَانُ مَاهِيَّةِ الحَقِيقَة وَالمَجَاز، والأَمَارَات الَّتِي بِهَا يَحْصَلُ الامْتِيَازُ بَيْنَ الحَقِيقَةِ وَالمَجَازِِ، وَتَحَقُّقِ الوَاسِطَة فِي الأَلْفَاظِ بَيْنَ المَجَازِ وَالحَقِيقَةِ وَتَعَارض الأَحْوَالِ وَغَيْرهمَا، وَتَقْسِيم الحَقِيقَةِ وَالمَجَازِ عَلَى الأَقْسَامِ المَعْرُوفَةِ، وَمَا يَتَعَلَّقُ بِهَا مِن الأُمُورِِ المُهِمَّةِ، وَاللَّفْظ المُشْتَرَك، وَالفَرْق بَيْنَ القَرِينَةِ الَّتِي فِي المُشْتَرَكِ وَالَّتِي فِي المَجَازِ، وَالفَرْق بَيْنَ اسْمِ الفَاعِلِ وَالفِعْلِ، وَوَجْه اعْتِبَارِ العِلَاقَةِ فِي المَجَازَاتِ، وتَحْدِيدِهَا وَبَيَان أَنْوَاعِهَا، وَوَجْه اشْتِرَاطِ العِلَاقَةِ فِي المَعَانِي المَجَازِيَّةِ، وَتَحَقّق الوَاسِطَةِ فِي الأَلْفَاظِ </w:t>
      </w:r>
    </w:p>
    <w:p>
      <w:pPr>
        <w:pStyle w:val="BookText"/>
        <w:rPr/>
      </w:pPr>
      <w:r>
        <w:rPr>
          <w:rFonts w:ascii="Amiri" w:hAnsi="Amiri" w:eastAsia="Amiri" w:cs="Amiri"/>
          <w:color w:val="111111"/>
          <w:sz w:val="28"/>
          <w:sz w:val="28"/>
          <w:szCs w:val="28"/>
          <w:rtl w:val="true"/>
          <w:lang w:bidi="ar-SA"/>
        </w:rPr>
        <w:t>بَيْنَ المَجَازِ وَالحَقِيقَةِ وَتعَارض الأَحْوَالِ وَغَيْرهمَا، وَالحَقِيقَة الشَّرْعِيَّة، وَالثَّمَرَة المُترَتِّبَة عَلَى ثُبُوتِ الحَقِيقَةِ الشَّرْعِيَّةِ وَعَدَمه، وَغَيْر ذَلِكَ مِن المَبَاحِثِ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سَمَاحَةُ السَّيِّدِ مُحَمَّد الرِّضَا الشَّفْتِيّ مَشْكُورًا وَمَأْجُورًا بِتَحْقِيقِهِ، وَقَدْ قُمْنَا بِمُرَاجَعَتِهِ، وَضَبْطِهِ، وَوَضْعِ الفَهَارِسِ الفَنِيَّةِ، وَلَا نَنْسَى تَقْدِيمَ الشُّكْر والثَّنَاءِ لِفَضِيلَةِ الشَّيْخِ شَادِي وَجِيه وَهْبِي عَلَى مُرَاجَعَتِهِ لِلْكِتَابِ، وَالأَخ مُرْتَضَى حرَيِّج عَلَى تَدْقِيقِهِ لُغَوِيًّا، والأَخ مُصْطَفَى عِمَاد الْحَمْدَان عَلى إخرَاجِ الكِتَابِ طِباعِيًّا وعَمَل فَهَارِسِهِ الفَنِّيَّةِ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وَنَسْأَلُ اللهَ تَبَارَكَ وَتَعَالَى أَنْ يَنْفَعَ المُؤْمِنِينَ بِهَذَا السِّفْرِ القَيِّمِ الَّذِي يُشَكِّلُ إِضَافَةً إِلَى مَكْتَبَتِنَا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عَلِيّ الغُرَيْفِيّ</w:t>
      </w:r>
    </w:p>
    <w:p>
      <w:pPr>
        <w:pStyle w:val="BookText"/>
        <w:rPr/>
      </w:pPr>
      <w:r>
        <w:rPr>
          <w:rFonts w:ascii="Amiri" w:hAnsi="Amiri" w:eastAsia="Amiri" w:cs="Amiri"/>
          <w:color w:val="111111"/>
          <w:sz w:val="28"/>
          <w:sz w:val="28"/>
          <w:szCs w:val="28"/>
          <w:rtl w:val="true"/>
          <w:lang w:bidi="ar-SA"/>
        </w:rPr>
        <w:t>مُدِيْرُ مَرْكَزِ تُرَاثِ كَرْبَلَاء</w:t>
      </w:r>
    </w:p>
    <w:p>
      <w:pPr>
        <w:pStyle w:val="BookText"/>
        <w:rPr/>
      </w:pPr>
      <w:r>
        <w:rPr>
          <w:rFonts w:ascii="Amiri" w:hAnsi="Amiri" w:eastAsia="Amiri" w:cs="Amiri"/>
          <w:color w:val="111111"/>
          <w:sz w:val="28"/>
          <w:sz w:val="28"/>
          <w:szCs w:val="28"/>
          <w:rtl w:val="true"/>
          <w:lang w:bidi="ar-SA"/>
        </w:rPr>
        <w:t>قِسْمُ شُؤُوْنِ المعارفِ الإسلاميَّةِ والإنسانيَّة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xml:space="preserve">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214_221444"/>
      <w:bookmarkStart w:id="13" w:name="pg16214_221444"/>
      <w:bookmarkEnd w:id="13"/>
    </w:p>
    <w:p>
      <w:pPr>
        <w:pStyle w:val="Heading2"/>
        <w:numPr>
          <w:ilvl w:val="1"/>
          <w:numId w:val="1"/>
        </w:numPr>
        <w:rPr/>
      </w:pPr>
      <w:bookmarkStart w:id="14" w:name="pg16214_221444"/>
      <w:bookmarkStart w:id="15" w:name="__RefHeading___Toc3519571_1280447820"/>
      <w:bookmarkStart w:id="16" w:name="_Toc4"/>
      <w:bookmarkEnd w:id="14"/>
      <w:bookmarkEnd w:id="15"/>
      <w:r>
        <w:rPr>
          <w:rtl w:val="true"/>
        </w:rPr>
        <w:t>مقدّمة التحقيق</w:t>
      </w:r>
      <w:bookmarkEnd w:id="16"/>
    </w:p>
    <w:p>
      <w:pPr>
        <w:pStyle w:val="Heading3"/>
        <w:numPr>
          <w:ilvl w:val="2"/>
          <w:numId w:val="1"/>
        </w:numPr>
        <w:rPr/>
      </w:pPr>
      <w:bookmarkStart w:id="17" w:name="__RefHeading___Toc3519573_1280447820"/>
      <w:bookmarkStart w:id="18" w:name="_Toc5"/>
      <w:bookmarkEnd w:id="17"/>
      <w:r>
        <w:rPr>
          <w:rtl w:val="true"/>
        </w:rPr>
        <w:t>لمحةٌ من حياة المؤلّف</w:t>
      </w:r>
      <w:bookmarkEnd w:id="18"/>
    </w:p>
    <w:p>
      <w:pPr>
        <w:pStyle w:val="Heading4"/>
        <w:numPr>
          <w:ilvl w:val="3"/>
          <w:numId w:val="1"/>
        </w:numPr>
        <w:rPr/>
      </w:pPr>
      <w:bookmarkStart w:id="19" w:name="__RefHeading___Toc3519575_1280447820"/>
      <w:bookmarkStart w:id="20" w:name="_Toc6"/>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لمحةٌ من حياة المؤلّف</w:t>
      </w:r>
      <w:r>
        <w:rPr>
          <w:rStyle w:val="FootnoteAnchor"/>
          <w:rtl w:val="true"/>
        </w:rPr>
        <w:footnoteReference w:id="2"/>
      </w:r>
    </w:p>
    <w:p>
      <w:pPr>
        <w:pStyle w:val="Heading4"/>
        <w:numPr>
          <w:ilvl w:val="3"/>
          <w:numId w:val="1"/>
        </w:numPr>
        <w:rPr/>
      </w:pPr>
      <w:bookmarkStart w:id="21" w:name="__RefHeading___Toc3519577_1280447820"/>
      <w:bookmarkStart w:id="22" w:name="_Toc7"/>
      <w:bookmarkEnd w:id="21"/>
      <w:r>
        <w:rPr>
          <w:rtl w:val="true"/>
        </w:rPr>
        <w:t>اسمه ونسبه</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محمّد باقر ابن السيّد محمّد 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الموسويّ النسب، الشفتيّ الرشتيّ الجيلانيّ الأصل واللّقب، الغرويّ الحائريّ الكاظميّ العلم والأدب، العراقيّ، الأصفهانيّ البيدآبادي المنشأ والموطن والمدفن والمآب، الشهير في الآفاق بحجّة الإسلام على الإطلاق، من فحول علماء الإماميّة في القرنين الثاني عشر والثالث عشر، ومن كبار زعماء الدين وأعلام الطائفة</w:t>
      </w:r>
      <w:r>
        <w:rPr>
          <w:rFonts w:eastAsia="Amiri" w:cs="Amiri" w:ascii="Amiri" w:hAnsi="Amiri"/>
          <w:color w:val="111111"/>
          <w:sz w:val="28"/>
          <w:szCs w:val="28"/>
          <w:rtl w:val="true"/>
          <w:lang w:bidi="ar-SA"/>
        </w:rPr>
        <w:t xml:space="preserve">. </w:t>
      </w:r>
      <w:bookmarkStart w:id="23" w:name="pg16214_221445"/>
    </w:p>
    <w:p>
      <w:pPr>
        <w:pStyle w:val="BookText"/>
        <w:rPr/>
      </w:pPr>
      <w:bookmarkEnd w:id="23"/>
      <w:r>
        <w:rPr>
          <w:rFonts w:ascii="Amiri" w:hAnsi="Amiri" w:eastAsia="Amiri" w:cs="Amiri"/>
          <w:color w:val="111111"/>
          <w:sz w:val="28"/>
          <w:sz w:val="28"/>
          <w:szCs w:val="28"/>
          <w:rtl w:val="true"/>
          <w:lang w:bidi="ar-SA"/>
        </w:rPr>
        <w:t>وأمّا نسبه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السيّد محمّد باقر بن محمّد نقي بن محمّد زكي بن محمّد تقي ابن شاه قاسم ابن مير أشرف ابن شاه قاسم ابن شاه هدايت ابن الأمير هاشم ابن السلطان السيّد عليّ قاضي ابن السيّد عليّ ابن السيّد محمّد ابن السيّد عليّ ابن السيّد محمّد ابن السيّد موسى ابن السيّد جعفر ابن السيّد إسماعيل ابن السيّد أحمد ابن السيّد محمّد ابن السيّد أحمد ابن السيّد محمّد ابن السيّد أبي القاسم ابن السيّد حمزة ابن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3519579_1280447820"/>
      <w:bookmarkStart w:id="25" w:name="_Toc8"/>
      <w:bookmarkEnd w:id="24"/>
      <w:r>
        <w:rPr>
          <w:rtl w:val="true"/>
        </w:rPr>
        <w:t>ولادته ونشأته</w:t>
      </w:r>
      <w:bookmarkEnd w:id="25"/>
    </w:p>
    <w:p>
      <w:pPr>
        <w:pStyle w:val="BookText"/>
        <w:rPr/>
      </w:pPr>
      <w:r>
        <w:rPr>
          <w:rFonts w:ascii="Amiri" w:hAnsi="Amiri" w:eastAsia="Amiri" w:cs="Amiri"/>
          <w:color w:val="111111"/>
          <w:sz w:val="28"/>
          <w:sz w:val="28"/>
          <w:szCs w:val="28"/>
          <w:rtl w:val="true"/>
          <w:lang w:bidi="ar-SA"/>
        </w:rPr>
        <w:t xml:space="preserve">ولد على أصحّ القولين في سنة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ﻫ</w:t>
      </w:r>
      <w:r>
        <w:rPr>
          <w:rStyle w:val="FootnoteAnchor"/>
          <w:rtl w:val="true"/>
        </w:rPr>
        <w:footnoteReference w:id="4"/>
      </w:r>
      <w:r>
        <w:rPr>
          <w:rFonts w:ascii="Amiri" w:hAnsi="Amiri" w:eastAsia="Amiri" w:cs="Amiri"/>
          <w:color w:val="111111"/>
          <w:sz w:val="28"/>
          <w:sz w:val="28"/>
          <w:szCs w:val="28"/>
          <w:rtl w:val="true"/>
          <w:lang w:bidi="ar-SA"/>
        </w:rPr>
        <w:t>في قرية من قرى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طارم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وانتقل إلى شفت وهو ابن سبع سنين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هاجر إلى العراق لطلب العلوم الدينيّة والكمالات النفسانيّة في حدود سنة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أو قريبًا من ذلك، وهو ابن ستّ أو سبع عشرة سنة</w:t>
      </w:r>
      <w:r>
        <w:rPr>
          <w:rStyle w:val="FootnoteAnchor"/>
          <w:rtl w:val="true"/>
        </w:rPr>
        <w:footnoteReference w:id="6"/>
      </w:r>
      <w:r>
        <w:rPr>
          <w:rFonts w:ascii="Amiri" w:hAnsi="Amiri" w:eastAsia="Amiri" w:cs="Amiri"/>
          <w:color w:val="111111"/>
          <w:sz w:val="28"/>
          <w:sz w:val="28"/>
          <w:szCs w:val="28"/>
          <w:rtl w:val="true"/>
          <w:lang w:bidi="ar-SA"/>
        </w:rPr>
        <w:t>، فحضر في أوّل أمره على الأستاذ الأكبر الآقا محمّد باقر الوحيد البهبهاني في كربلاء</w:t>
      </w:r>
      <w:r>
        <w:rPr>
          <w:rStyle w:val="FootnoteAnchor"/>
          <w:rtl w:val="true"/>
        </w:rPr>
        <w:footnoteReference w:id="7"/>
      </w:r>
      <w:r>
        <w:rPr>
          <w:rFonts w:ascii="Amiri" w:hAnsi="Amiri" w:eastAsia="Amiri" w:cs="Amiri"/>
          <w:color w:val="111111"/>
          <w:sz w:val="28"/>
          <w:sz w:val="28"/>
          <w:szCs w:val="28"/>
          <w:rtl w:val="true"/>
          <w:lang w:bidi="ar-SA"/>
        </w:rPr>
        <w:t>، ثمّ على أستاذه العلّامة المير سيّد عليّ الطباطبائيّ صاحب الرياض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رحل إلى النجف الأشرف وأقام فيها سبع سنين، وحضر فيها على العلّامة الطباطبائيّ بحر العلوم، والشيخ الأكبر صاحب كشف الغطاء 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سافر إلى الكاظميّة، فحضر فيها على المحقّق السيّد مُحسن الأعرجي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فقد قرأ عليه القضاء والشهادات، وأقام عنده مدّة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حلّت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وقد تمّ بها على المترجم في العراق ثمان سنين بلغ فيها درجة سامية ومكانة عالية، رجع إلى ديار العجم</w:t>
      </w:r>
      <w:r>
        <w:rPr>
          <w:rStyle w:val="FootnoteAnchor"/>
          <w:rtl w:val="true"/>
        </w:rPr>
        <w:footnoteReference w:id="8"/>
      </w:r>
      <w:r>
        <w:rPr>
          <w:rFonts w:ascii="Amiri" w:hAnsi="Amiri" w:eastAsia="Amiri" w:cs="Amiri"/>
          <w:color w:val="111111"/>
          <w:sz w:val="28"/>
          <w:sz w:val="28"/>
          <w:szCs w:val="28"/>
          <w:rtl w:val="true"/>
          <w:lang w:bidi="ar-SA"/>
        </w:rPr>
        <w:t>وتوطّن في أصفهان</w:t>
      </w:r>
      <w:r>
        <w:rPr>
          <w:rStyle w:val="FootnoteAnchor"/>
          <w:rtl w:val="true"/>
        </w:rPr>
        <w:footnoteReference w:id="9"/>
      </w:r>
      <w:r>
        <w:rPr>
          <w:rFonts w:ascii="Amiri" w:hAnsi="Amiri" w:eastAsia="Amiri" w:cs="Amiri"/>
          <w:color w:val="111111"/>
          <w:sz w:val="28"/>
          <w:sz w:val="28"/>
          <w:szCs w:val="28"/>
          <w:rtl w:val="true"/>
          <w:lang w:bidi="ar-SA"/>
        </w:rPr>
        <w:t xml:space="preserve">مع الحاجّ الشيخ محمّد إبراهيم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صديقين رفيقين شفيقين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اتّفق له في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الارتحال من أصفهان إلى قم أيّام زعامة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مجلسه فيما ينيف على ستّة أشهر</w:t>
      </w:r>
      <w:r>
        <w:rPr>
          <w:rStyle w:val="FootnoteAnchor"/>
          <w:rtl w:val="true"/>
        </w:rPr>
        <w:footnoteReference w:id="10"/>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أرى لنفسي الترقّي الكامل في هذه المدّة القليلة بقدر تمام ما حصل لي في مدّة مقامي بالعتبات </w:t>
      </w:r>
    </w:p>
    <w:p>
      <w:pPr>
        <w:pStyle w:val="BookText"/>
        <w:rPr/>
      </w:pPr>
      <w:r>
        <w:rPr>
          <w:rFonts w:ascii="Amiri" w:hAnsi="Amiri" w:eastAsia="Amiri" w:cs="Amiri"/>
          <w:color w:val="111111"/>
          <w:sz w:val="28"/>
          <w:sz w:val="28"/>
          <w:szCs w:val="28"/>
          <w:rtl w:val="true"/>
          <w:lang w:bidi="ar-SA"/>
        </w:rPr>
        <w:t>العاليات</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 فكتب له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مبسوطة مضبوطة كان يراها غنيمة ذلك السَّفر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سافر بعدها إلى كاشان، فحضر على المولى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وتلمذ عليه مدّة قليلة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عن بعض المشايخ أنّه بعد وروده إلى أصفهان لم يكن يملك شيئًا من الكتب إلّا مجلّدًا واحدًا من المدارك، كما لم يكن يملك من الأموال، ولا من الأثاث والأغراض إلّا منديلًا لمحلّ الخبز، ويسمّى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وسكن في مدرسة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المفتوح بابه إلى چهارباغ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المعروفة في أصفهان بمدرسة چهارباغ، فاجتمع الطلّاب والمشتغلون عنده للتحصيل والتعليم، فأخرجه المدرّس من المدرسة عنادًا وصدًّا فلم يعارضه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برهة من الزمن اجتمع حوله أهل العلم والمحصّلون، وانتقلت إليه رئاسة الإماميّة في أغلب الأقطار بعد رحيل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مرجعًا للفتوى، وأقبلت عليه الدنيا فانتهت إليه الرئاسة الدينيّة والدنيويّة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الباعث على ترويج أمره في أصفهان وفي غيره من البلاد، العالم الربّانيّ والمحقّق الصمدانيّ الميرزا أبو القاسم الجيلانيّ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 قوله عند العوام والخواص وعند السلطان والرعيّة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تقديم العالم الزعيم الحاج الشيخ محمّد إبراهيم الكرباسيّ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في المشي والحكم وغيرهما، فكلّ هذه الأمور كانت ترفع شأنه، إلّا أنّ يده تعالى فوق الأيدي، ترفع وتضع طبق المصالح الربّانيّة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بينه وبين الشيخ الكرباسي المذكور صِلة متينة وصداقة تامّة من بدء أمرهما، فقد كانا زميلين كريمين في النجف، تجمع بينهما معاهد العلم، وشاء الله أن تنمو هذه المودّة شيئًا فشيئًا، ويبلغ كلّ منهما في الزعامة مبلغًا لم يكن يحدث له في البال، وأن يسكنا معًا بلدة أصفهان، ويتزعّما بها في وقت واحد، ولم تكن الرئاسة لتكدّر صفو ذلك الودّ الخالص، أو تؤثّر مثقال ذرّة، فكلّما زادت سطوة أحدهما زاد اتّصالًا ورغبة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بيت الله الحرام في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Style w:val="FootnoteAnchor"/>
          <w:rtl w:val="true"/>
        </w:rPr>
        <w:footnoteReference w:id="16"/>
      </w:r>
      <w:r>
        <w:rPr>
          <w:rFonts w:ascii="Amiri" w:hAnsi="Amiri" w:eastAsia="Amiri" w:cs="Amiri"/>
          <w:color w:val="111111"/>
          <w:sz w:val="28"/>
          <w:sz w:val="28"/>
          <w:szCs w:val="28"/>
          <w:rtl w:val="true"/>
          <w:lang w:bidi="ar-SA"/>
        </w:rPr>
        <w:t xml:space="preserve">من طريق البحر، وكان ذلك أيّام محمّد عليّ باشا المصريّ، وكانت له زيارة خاصّة له، فأخذ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وكفل بها سادات المدينة</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ميراث أولاد الزهراء استردّ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غاصبي فدك في طوفه الحرما</w:t>
      </w:r>
    </w:p>
    <w:p>
      <w:pPr>
        <w:pStyle w:val="BookText"/>
        <w:rPr/>
      </w:pPr>
      <w:r>
        <w:rPr>
          <w:rFonts w:ascii="Amiri" w:hAnsi="Amiri" w:eastAsia="Amiri" w:cs="Amiri"/>
          <w:color w:val="111111"/>
          <w:sz w:val="28"/>
          <w:sz w:val="28"/>
          <w:szCs w:val="28"/>
          <w:rtl w:val="true"/>
          <w:lang w:bidi="ar-SA"/>
        </w:rPr>
        <w:t>، وكذلك حدّد المطاف على مذهب الشيعة للمسلمين في مكّة المكرّمة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6214_221449"/>
    </w:p>
    <w:p>
      <w:pPr>
        <w:pStyle w:val="BookText"/>
        <w:rPr/>
      </w:pPr>
      <w:bookmarkEnd w:id="26"/>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ﻫ</w:t>
      </w:r>
      <w:r>
        <w:rPr>
          <w:rStyle w:val="FootnoteAnchor"/>
          <w:rtl w:val="true"/>
        </w:rPr>
        <w:footnoteReference w:id="18"/>
      </w:r>
      <w:r>
        <w:rPr>
          <w:rFonts w:ascii="Amiri" w:hAnsi="Amiri" w:eastAsia="Amiri" w:cs="Amiri"/>
          <w:color w:val="111111"/>
          <w:sz w:val="28"/>
          <w:sz w:val="28"/>
          <w:szCs w:val="28"/>
          <w:rtl w:val="true"/>
          <w:lang w:bidi="ar-SA"/>
        </w:rPr>
        <w:t>أخذ في بناء المسجد الأعظم بأصبهان</w:t>
      </w:r>
      <w:r>
        <w:rPr>
          <w:rStyle w:val="FootnoteAnchor"/>
          <w:rtl w:val="true"/>
        </w:rPr>
        <w:footnoteReference w:id="19"/>
      </w:r>
      <w:r>
        <w:rPr>
          <w:rFonts w:ascii="IRNazanin" w:hAnsi="IRNazanin" w:eastAsia="IRNazanin"/>
          <w:color w:val="111111"/>
          <w:sz w:val="28"/>
          <w:sz w:val="28"/>
          <w:szCs w:val="28"/>
          <w:rtl w:val="true"/>
          <w:lang w:bidi="fa-IR"/>
        </w:rPr>
        <w:t xml:space="preserve">وأنفق عليه ما يقرب من مائة ألف دينار شرعيّ تقريبًا من أمواله الخالصة، ومالَ بقبلته إلى يمين قبلة سائر المساجد يسيرًا، وجعل له مدارس وحجرات للطلبة، وأسّس أساسًا لم يعهد مثله من أحد من العلماء والمجتهدين، وبنى فيه قبّة لمدفنه، وهي الآن بمنزلة مشهد من مشاهد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 للخلائق في أوقات الصلوات الخمس</w:t>
      </w:r>
      <w:r>
        <w:rPr>
          <w:rFonts w:eastAsia="IRNazanin" w:cs="IRNazanin"/>
          <w:color w:val="111111"/>
          <w:sz w:val="28"/>
          <w:szCs w:val="28"/>
          <w:rtl w:val="true"/>
          <w:lang w:bidi="fa-IR"/>
        </w:rPr>
        <w:t>.</w:t>
      </w:r>
    </w:p>
    <w:p>
      <w:pPr>
        <w:pStyle w:val="Heading4"/>
        <w:numPr>
          <w:ilvl w:val="3"/>
          <w:numId w:val="1"/>
        </w:numPr>
        <w:rPr/>
      </w:pPr>
      <w:bookmarkStart w:id="27" w:name="__RefHeading___Toc3519581_1280447820"/>
      <w:bookmarkStart w:id="28" w:name="_Toc9"/>
      <w:bookmarkEnd w:id="27"/>
      <w:r>
        <w:rPr>
          <w:rtl w:val="true"/>
        </w:rPr>
        <w:t>إطراء العلماء عليه</w:t>
      </w:r>
      <w:bookmarkEnd w:id="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المحقّق ميرزا أبو 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أساتذته ومشايخه، قال في إجازته الكبيرة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استجازني الولد الأعزّ الأمجد، والخلّ الأسعد الأرشد، العالم العامل الزكيّ الذكيّ، والفاضل الكامل الألمعيّ اللوذعيّ، بل المحقّق المدقّق التقيّ النقيّ، ابن المرحوم المبرور السيّد محمّد نقي، محمّد باقر الموسويّ الجيلانيّ، أسبل الله عليه نواله، وكثّر في الفرقة الناجية أمثاله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الحكيم المولى عليّ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أساتذته، قد أطرى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علّامة العهد، فقيه العصر، حجّة </w:t>
      </w:r>
      <w:bookmarkStart w:id="29" w:name="pg16214_221450"/>
    </w:p>
    <w:p>
      <w:pPr>
        <w:pStyle w:val="BookText"/>
        <w:rPr/>
      </w:pPr>
      <w:bookmarkEnd w:id="29"/>
      <w:r>
        <w:rPr>
          <w:rFonts w:ascii="Amiri" w:hAnsi="Amiri" w:eastAsia="Amiri" w:cs="Amiri"/>
          <w:color w:val="111111"/>
          <w:sz w:val="28"/>
          <w:sz w:val="28"/>
          <w:szCs w:val="28"/>
          <w:rtl w:val="true"/>
          <w:lang w:bidi="ar-SA"/>
        </w:rPr>
        <w:t>الطائفة المحقّة، قبلة الكرام البررة، الفريد الدهريّ، والوحيد العصريّ، مطاع، واجب الاتّباع، معظّم، مجموعة المناقب والمفاخر، آقا سيّد محمّد باقر، دامت بركات فضائله الإنسيّة وشمائله القدسيّة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الفقيه الحاج محمّد إبراهيم الكرباسيّ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أطرى على صاحب الترجمة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لكون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ضاعف الله فضله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أركان المحقّقين، وأساطين الفقهاء الراسخين، فضلًا عن مجرّد كونه من المجتهدين الّذين يجب إطاعة أمرهم وإمضاء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ذلك ومن أعلام الطائفة وأركانها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السيّد محمّد شفيع الجابلقيّ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وصفه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 في الطرق الشفيعيّة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السند، والركن المعتمد، الإمام الأجلّ الأعظم، النحرير الذاخر، والسحاب الماطر، الفائق على الأوائل والأواخر، الحاج السيّد محمّد باقر بن محمّد نقيّ الرشتيّ الشفتيّ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أزهد أهل زمانه وأعبدهم وأسماهم؛ فلذا أقبلت له الدنيا بحيث انتهت الرئاسة الدينيّة والدنيويّة إليه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3519583_1280447820"/>
      <w:bookmarkStart w:id="31" w:name="_Toc10"/>
      <w:bookmarkEnd w:id="30"/>
      <w:r>
        <w:rPr>
          <w:rtl w:val="true"/>
        </w:rPr>
        <w:t>زهده وعبادته</w:t>
      </w:r>
      <w:bookmarkEnd w:id="3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الفوائد الرضويّة، نقلًا عن صاحب التكملة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حجّة </w:t>
      </w:r>
      <w:bookmarkStart w:id="32" w:name="pg16214_221451"/>
    </w:p>
    <w:p>
      <w:pPr>
        <w:pStyle w:val="BookText"/>
        <w:rPr/>
      </w:pPr>
      <w:bookmarkEnd w:id="32"/>
      <w:r>
        <w:rPr>
          <w:rFonts w:ascii="IRNazanin" w:hAnsi="IRNazanin" w:eastAsia="IRNazanin"/>
          <w:color w:val="111111"/>
          <w:sz w:val="28"/>
          <w:sz w:val="28"/>
          <w:szCs w:val="28"/>
          <w:rtl w:val="true"/>
          <w:lang w:bidi="fa-IR"/>
        </w:rPr>
        <w:t xml:space="preserve">الإسلام السيّد محمّد باقر، كان عالمًا ربّانيًّا روحانيًّا، ممّن عرف حلال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وحرامهم، وشيّد أحكامهم، وخالف هواه، واتّبع أمر مولاه، كان دائم المراقبة لربّه، لا يشغله شيء عن الحضور والمراقبة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والدي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آماق عين السيّد كانت مجروحة من كثرة بكائه في تهجّده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وحدّثني بعض خواصّه،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معه إلى بعض قراه، فبتنا في الطريق،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مضجعي فظنّ أنّي نمت، فقام يصلّي، فو الله إنّي رأيت فرائصه وأعضاءه ترتعد بحيث كان يكرّر الكلمة مرارًا من شدّة حركة فكّيه وأعضائه حتّى ينطق بها صحيحة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3519585_1280447820"/>
      <w:bookmarkStart w:id="34" w:name="_Toc11"/>
      <w:bookmarkEnd w:id="33"/>
      <w:r>
        <w:rPr>
          <w:rtl w:val="true"/>
        </w:rPr>
        <w:t>إقامته الحدود الشرعيّة</w:t>
      </w:r>
      <w:bookmarkEnd w:id="34"/>
    </w:p>
    <w:p>
      <w:pPr>
        <w:pStyle w:val="BookText"/>
        <w:rPr/>
      </w:pPr>
      <w:r>
        <w:rPr>
          <w:rFonts w:ascii="Amiri" w:hAnsi="Amiri" w:eastAsia="Amiri" w:cs="Amiri"/>
          <w:color w:val="111111"/>
          <w:sz w:val="28"/>
          <w:sz w:val="28"/>
          <w:szCs w:val="28"/>
          <w:rtl w:val="true"/>
          <w:lang w:bidi="ar-SA"/>
        </w:rPr>
        <w:t xml:space="preserve">يعتقد السيّد حجّة الإسلام أنّ إقامة الحدود واجبة على الفقيه الجامع لشرائط الفتوى في عصر الغيبة عند التمكّن من الإقامة والأمن من مضرّة أهل الفساد، وألّف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هذا الاعتقاد رسالة؛ وبهذا كان يقيم الحدود الشرعيّة ويجريها بيده أو يد من يأمره بلا خشية ولا خوف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3519587_1280447820"/>
      <w:bookmarkStart w:id="36" w:name="_Toc12"/>
      <w:bookmarkEnd w:id="35"/>
      <w:r>
        <w:rPr>
          <w:rtl w:val="true"/>
        </w:rPr>
        <w:t>مشايخ روايته</w:t>
      </w:r>
      <w:bookmarkEnd w:id="3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 عدّة من أعلام الأمّة، وإليك سرد ما نصّ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إجازاته أو نبّه عليه غيره</w:t>
      </w:r>
      <w:r>
        <w:rPr>
          <w:rFonts w:eastAsia="Amiri" w:cs="Amiri" w:ascii="Amiri" w:hAnsi="Amiri"/>
          <w:color w:val="111111"/>
          <w:sz w:val="28"/>
          <w:szCs w:val="28"/>
          <w:rtl w:val="true"/>
          <w:lang w:bidi="ar-SA"/>
        </w:rPr>
        <w:t xml:space="preserve">: </w:t>
      </w:r>
      <w:bookmarkStart w:id="37" w:name="pg16214_221452"/>
    </w:p>
    <w:p>
      <w:pPr>
        <w:pStyle w:val="BookText"/>
        <w:rPr/>
      </w:pPr>
      <w:bookmarkEnd w:id="3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السيّد عليّ الطباطبائيّ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أبو القاسم الجيلانيّ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سليمان بن معتوق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محسن الأعرجيّ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الأكبر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محمّد مهدي الموسويّ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3519589_1280447820"/>
      <w:bookmarkStart w:id="39" w:name="_Toc13"/>
      <w:bookmarkEnd w:id="38"/>
      <w:r>
        <w:rPr>
          <w:rtl w:val="true"/>
        </w:rPr>
        <w:t>تلامذته</w:t>
      </w:r>
      <w:bookmarkEnd w:id="39"/>
    </w:p>
    <w:p>
      <w:pPr>
        <w:pStyle w:val="BookText"/>
        <w:rPr/>
      </w:pPr>
      <w:r>
        <w:rPr>
          <w:rFonts w:ascii="Amiri" w:hAnsi="Amiri" w:eastAsia="Amiri" w:cs="Amiri"/>
          <w:color w:val="111111"/>
          <w:sz w:val="28"/>
          <w:sz w:val="28"/>
          <w:szCs w:val="28"/>
          <w:rtl w:val="true"/>
          <w:lang w:bidi="ar-SA"/>
        </w:rPr>
        <w:t>قد تخرّج من مجلس تدريسه أكثر من مائة وخمسين مجتهد، لا يسع المقام لاستقصائهم، فنقتصر على ذكر بعضٍ من أكابرهم وأعاظمهم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آقا بزرك الحسينيّ القاضي عسكر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محمّد جعفر بن محمّد صفي الآباده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 أحمد بن عليّ أكبر التربتي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عليّ أكبر بن إبراهيم 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ملّا عبد الباقي الكاشانيّ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عبدالوهّاب الشريف القزوينيّ</w:t>
      </w:r>
      <w:r>
        <w:rPr>
          <w:rFonts w:eastAsia="Amiri" w:cs="Amiri" w:ascii="Amiri" w:hAnsi="Amiri"/>
          <w:color w:val="111111"/>
          <w:sz w:val="28"/>
          <w:szCs w:val="28"/>
          <w:rtl w:val="true"/>
          <w:lang w:bidi="ar-SA"/>
        </w:rPr>
        <w:t xml:space="preserve">. </w:t>
      </w:r>
      <w:bookmarkStart w:id="40" w:name="pg16214_221453"/>
    </w:p>
    <w:p>
      <w:pPr>
        <w:pStyle w:val="BookText"/>
        <w:rPr/>
      </w:pPr>
      <w:bookmarkEnd w:id="4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محمّد إبراهيم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باقر الموسويّ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روضات الجنّات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آقا محمّد بن محمّد إبراهيم الكرباسيّ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بن محمّد مهدي المازندرانيّ الشهير بالحاج الأشرفي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 من الأعلام لم نذكرهم رومًا للاختصار، ومَن أراد أن يطّلع على أسمائهم وترجمتهم فليراجع الجزء الأوّل من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المفاخر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المرحوم السيّد مصلح الدّين المهدويّ، وغيره من كتب التراجم والسير</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3519591_1280447820"/>
      <w:bookmarkStart w:id="42" w:name="_Toc14"/>
      <w:bookmarkEnd w:id="41"/>
      <w:r>
        <w:rPr>
          <w:rtl w:val="true"/>
        </w:rPr>
        <w:t>أولاده</w:t>
      </w:r>
      <w:bookmarkEnd w:id="42"/>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متعدّدون، كلّهم علماء أجلّاء، وسادة فضلاء، انتهت إليهم الرئاسة الدينيّة والعلميّة بعد أبيهم في أصفهان، وهم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أسد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الإمام السيّد عبد الحسين شرف الدين في ترجمة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وخَلَفَه ولده الأبرّ الأغرّ، الفقيه الأصولي، المحقّق البحّاثة، العلّامة السيّد أسد الله،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شاكلة أبيه في العلم والعمل والجهاد لنفسه والمراقبة عليها آناء الليل، وأطراف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انتهت إليه رئاسة الدين في إيران، وانقادت لأمره عامّة الناس وخاصّتها حتّى السلطان ناصرالدين شاه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مهدي</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في عاشوراء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43" w:name="pg16214_221455"/>
    </w:p>
    <w:p>
      <w:pPr>
        <w:pStyle w:val="BookText"/>
        <w:rPr/>
      </w:pPr>
      <w:bookmarkEnd w:id="4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قبل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قبل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35"/>
      </w:r>
    </w:p>
    <w:p>
      <w:pPr>
        <w:pStyle w:val="Heading4"/>
        <w:numPr>
          <w:ilvl w:val="3"/>
          <w:numId w:val="1"/>
        </w:numPr>
        <w:rPr/>
      </w:pPr>
      <w:bookmarkStart w:id="44" w:name="__RefHeading___Toc3519593_1280447820"/>
      <w:bookmarkStart w:id="45" w:name="_Toc15"/>
      <w:bookmarkEnd w:id="44"/>
      <w:r>
        <w:rPr>
          <w:rtl w:val="true"/>
        </w:rPr>
        <w:t>مؤلّفاته القيّمة</w:t>
      </w:r>
      <w:bookmarkEnd w:id="45"/>
    </w:p>
    <w:p>
      <w:pPr>
        <w:pStyle w:val="Heading5"/>
        <w:numPr>
          <w:ilvl w:val="4"/>
          <w:numId w:val="1"/>
        </w:numPr>
        <w:rPr/>
      </w:pPr>
      <w:bookmarkStart w:id="46" w:name="__RefHeading___Toc3519595_1280447820"/>
      <w:bookmarkStart w:id="47" w:name="_Toc16"/>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له مؤلّفات كثيرة، ورسائل متعدّدة، كلّها تفصح عن تضلّعه في شتّى العلوم المختلفة خصوصًا الفقه والرجال، وتظهر منها جامعيّته من المعقول والمنقول، وإليك أسماء بعضها</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3519597_1280447820"/>
      <w:bookmarkStart w:id="49" w:name="_Toc17"/>
      <w:bookmarkEnd w:id="48"/>
      <w:r>
        <w:rPr>
          <w:rtl w:val="true"/>
        </w:rPr>
        <w:t>«</w:t>
      </w:r>
      <w:r>
        <w:rPr>
          <w:rtl w:val="true"/>
        </w:rPr>
        <w:t>الكتب والرسائل الفقهيّة</w:t>
      </w:r>
      <w:r>
        <w:rPr>
          <w:rtl w:val="true"/>
        </w:rPr>
        <w:t>»</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الأنوار المقتبسة من آثار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لكتاب شرائع الإسلام، لم يخرج منه غير مقاصد كتاب الصلاة إلى آخر أحكام صلاة الأموات في ستّة مجلّدات، إلّا أنّه مشتمل على أغلب قواعد الفقه وضوابطه الكلّيّة، بل يحتوي على معظم المسائل المتفرّقة من الطهارة إلى الديّات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بالطبع الأفست، وقد قامت بطبعه مكتبة مسجد السيّد حجّة الإسلام الشفتيّ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الأبرار الملتقط من آثار الأئمّة الأطهار لتنوير قلوب الأخيار</w:t>
      </w:r>
    </w:p>
    <w:p>
      <w:pPr>
        <w:pStyle w:val="BookText"/>
        <w:rPr/>
      </w:pPr>
      <w:r>
        <w:rPr>
          <w:rFonts w:ascii="Amiri" w:hAnsi="Amiri" w:eastAsia="Amiri" w:cs="Amiri"/>
          <w:color w:val="111111"/>
          <w:sz w:val="28"/>
          <w:sz w:val="28"/>
          <w:szCs w:val="28"/>
          <w:rtl w:val="true"/>
          <w:lang w:bidi="ar-SA"/>
        </w:rPr>
        <w:t>رسالة فارسيّة مبسوطة، يتعرّض فيها للأدلّة غالبًا، وهي في خصوص الصلاة، مرتّبة على مقدّمة في مسائل الاجتهاد والتقليد، وأبواب ثلاثة ذات مباحث، وخاتمة في الخلل وأحكام الشكوك، والخاتمة رسالة كبيرة جدًّا، سيأتي الكلام عنها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طبعت دون خاتمتها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كبيرين بتحقيق الحجّة الحاج السيّد مهدي الرجائيّ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بطبعها مكتبة مسجد السيّد حجّة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الشارقة</w:t>
      </w:r>
    </w:p>
    <w:p>
      <w:pPr>
        <w:pStyle w:val="BookText"/>
        <w:rPr/>
      </w:pPr>
      <w:r>
        <w:rPr>
          <w:rFonts w:ascii="Amiri" w:hAnsi="Amiri" w:eastAsia="Amiri" w:cs="Amiri"/>
          <w:color w:val="111111"/>
          <w:sz w:val="28"/>
          <w:sz w:val="28"/>
          <w:szCs w:val="28"/>
          <w:rtl w:val="true"/>
          <w:lang w:bidi="ar-SA"/>
        </w:rPr>
        <w:t>قال مؤلّفه في مفتتح المجلّد الأوّل من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مطالع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حديث في فضل الصلاة،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تكلّمنا في هذا الحديث في المصباح الشارقة بما قد بلغ التطويل والإطناب في الغاية، وأبرزنا فيه كثيرًا من الإشكالات المتوجّهة إليه وعقّبنا كلًّا منها بما يزيله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السؤال والجواب</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فارسيّ وعربيّ، وهو أجوبة مسائله المعروفة في مجلّدين كبيرين، تشتمل على </w:t>
      </w:r>
    </w:p>
    <w:p>
      <w:pPr>
        <w:pStyle w:val="BookText"/>
        <w:rPr/>
      </w:pPr>
      <w:r>
        <w:rPr>
          <w:rFonts w:ascii="Amiri" w:hAnsi="Amiri" w:eastAsia="Amiri" w:cs="Amiri"/>
          <w:color w:val="111111"/>
          <w:sz w:val="28"/>
          <w:sz w:val="28"/>
          <w:szCs w:val="28"/>
          <w:rtl w:val="true"/>
          <w:lang w:bidi="ar-SA"/>
        </w:rPr>
        <w:t>أربعين كتابًا من الكتب الفقهيّة، ورسائل متعدّدة في مسائل متبدّدة،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الأوقاف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إقامة الحدود في زمن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الرسائل الّتي نذكر كلًّا منها بعنوان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القضاء والشهادات</w:t>
      </w:r>
    </w:p>
    <w:p>
      <w:pPr>
        <w:pStyle w:val="BookText"/>
        <w:rPr/>
      </w:pPr>
      <w:r>
        <w:rPr>
          <w:rFonts w:ascii="Amiri" w:hAnsi="Amiri" w:eastAsia="Amiri" w:cs="Amiri"/>
          <w:color w:val="111111"/>
          <w:sz w:val="28"/>
          <w:sz w:val="28"/>
          <w:szCs w:val="28"/>
          <w:rtl w:val="true"/>
          <w:lang w:bidi="ar-SA"/>
        </w:rPr>
        <w:t xml:space="preserve">قال عنه صاحب الروضات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تصنيفاته الفائقة أيضًا كتاب ألّفه في القضاء والشهادات بطريق الاستدلال التامّ زمن قراءته في تلك المباحث على شيخه السيّد محسن المرحوم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فارسي، ذكر فيه واجبات الحجّ ومستحبّاته، ورتّبه على مقدّمة وثلاثة مقاصد وخاتمة؛ صرّح في أواسطه بأنّه ألّفه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توجّهه إلى بيت الله الحرام من طريق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آداب صلاة الليل وفضلها</w:t>
      </w:r>
    </w:p>
    <w:p>
      <w:pPr>
        <w:pStyle w:val="BookText"/>
        <w:rPr/>
      </w:pPr>
      <w:r>
        <w:rPr>
          <w:rFonts w:ascii="Amiri" w:hAnsi="Amiri" w:eastAsia="Amiri" w:cs="Amiri"/>
          <w:color w:val="111111"/>
          <w:sz w:val="28"/>
          <w:sz w:val="28"/>
          <w:szCs w:val="28"/>
          <w:rtl w:val="true"/>
          <w:lang w:bidi="ar-SA"/>
        </w:rPr>
        <w:t>مدرجة في كتابه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السؤال والجواب</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إبراء الوليّ مدّة المتعة عن المولّى عليه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هبة الولي مدّة الزوجة المنقطعة للمولّى عليه،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للسيّد محمّد باقر بن محمّد نقي الشفتيّ </w:t>
      </w:r>
    </w:p>
    <w:p>
      <w:pPr>
        <w:pStyle w:val="BookText"/>
        <w:rPr/>
      </w:pPr>
      <w:r>
        <w:rPr>
          <w:rFonts w:ascii="Amiri" w:hAnsi="Amiri" w:eastAsia="Amiri" w:cs="Amiri"/>
          <w:color w:val="111111"/>
          <w:sz w:val="28"/>
          <w:sz w:val="28"/>
          <w:szCs w:val="28"/>
          <w:rtl w:val="true"/>
          <w:lang w:bidi="ar-SA"/>
        </w:rPr>
        <w:t>الأصفهانيّ، اختار فيها الجواز</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حرمة محارم الموطوء على الواطي</w:t>
      </w:r>
    </w:p>
    <w:p>
      <w:pPr>
        <w:pStyle w:val="BookText"/>
        <w:rPr/>
      </w:pPr>
      <w:r>
        <w:rPr>
          <w:rFonts w:ascii="Amiri" w:hAnsi="Amiri" w:eastAsia="Amiri" w:cs="Amiri"/>
          <w:color w:val="111111"/>
          <w:sz w:val="28"/>
          <w:sz w:val="28"/>
          <w:szCs w:val="28"/>
          <w:rtl w:val="true"/>
          <w:lang w:bidi="ar-SA"/>
        </w:rPr>
        <w:t>هي رسالة متوسّطة مدرجة في كتابه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السؤال والجواب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أوّلها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لمن أبدع السماوات والأرضين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رسالة تعيين السلام الأخير في النوافل</w:t>
      </w:r>
    </w:p>
    <w:p>
      <w:pPr>
        <w:pStyle w:val="BookText"/>
        <w:rPr/>
      </w:pPr>
      <w:r>
        <w:rPr>
          <w:rFonts w:ascii="Amiri" w:hAnsi="Amiri" w:eastAsia="Amiri" w:cs="Amiri"/>
          <w:color w:val="111111"/>
          <w:sz w:val="28"/>
          <w:sz w:val="28"/>
          <w:szCs w:val="28"/>
          <w:rtl w:val="true"/>
          <w:lang w:bidi="ar-SA"/>
        </w:rPr>
        <w:t>كتبه في الردّ على رسالة المولى عليّ أكبر الإيجهيّ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ردّ المولى الإيجهيّ</w:t>
      </w:r>
    </w:p>
    <w:p>
      <w:pPr>
        <w:pStyle w:val="BookText"/>
        <w:rPr/>
      </w:pPr>
      <w:r>
        <w:rPr>
          <w:rFonts w:ascii="Amiri" w:hAnsi="Amiri" w:eastAsia="Amiri" w:cs="Amiri"/>
          <w:color w:val="111111"/>
          <w:sz w:val="28"/>
          <w:sz w:val="28"/>
          <w:szCs w:val="28"/>
          <w:rtl w:val="true"/>
          <w:lang w:bidi="ar-SA"/>
        </w:rPr>
        <w:t xml:space="preserve">كتبه ثانيًا بعد ردّ المولى الإيجهيّ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الحدود في زمن الغيبة</w:t>
      </w:r>
    </w:p>
    <w:p>
      <w:pPr>
        <w:pStyle w:val="BookText"/>
        <w:rPr/>
      </w:pPr>
      <w:r>
        <w:rPr>
          <w:rFonts w:ascii="Amiri" w:hAnsi="Amiri" w:eastAsia="Amiri" w:cs="Amiri"/>
          <w:color w:val="111111"/>
          <w:sz w:val="28"/>
          <w:sz w:val="28"/>
          <w:szCs w:val="28"/>
          <w:rtl w:val="true"/>
          <w:lang w:bidi="ar-SA"/>
        </w:rPr>
        <w:t>هي رسالة كبيرة استدلاليّة، مدرجة في كتابه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السؤال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سنة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ﻫ بتحقيق حفيده حجّة الإسلام والمسلمين الحاجّ السيّد مهدي الشفتيّ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بطبعها أنّ الإضمار أوجز وأخصرمكتبة مسجد السيّد حجّة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اشتراط القبض في الوقف</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رسالة استدلاليّة مفصّلة، مدرجة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السؤال والجواب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في الردّ على المولى أحمد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ش بتحقيق الحجّة الدكتور </w:t>
      </w:r>
    </w:p>
    <w:p>
      <w:pPr>
        <w:pStyle w:val="BookText"/>
        <w:rPr/>
      </w:pPr>
      <w:r>
        <w:rPr>
          <w:rFonts w:ascii="Amiri" w:hAnsi="Amiri" w:eastAsia="Amiri" w:cs="Amiri"/>
          <w:color w:val="111111"/>
          <w:sz w:val="28"/>
          <w:sz w:val="28"/>
          <w:szCs w:val="28"/>
          <w:rtl w:val="true"/>
          <w:lang w:bidi="ar-SA"/>
        </w:rPr>
        <w:t xml:space="preserve">السيّد أحمد التويسركاني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أحكام الغسالة</w:t>
      </w:r>
    </w:p>
    <w:p>
      <w:pPr>
        <w:pStyle w:val="BookText"/>
        <w:rPr/>
      </w:pPr>
      <w:r>
        <w:rPr>
          <w:rFonts w:ascii="Amiri" w:hAnsi="Amiri" w:eastAsia="Amiri" w:cs="Amiri"/>
          <w:color w:val="111111"/>
          <w:sz w:val="28"/>
          <w:sz w:val="28"/>
          <w:szCs w:val="28"/>
          <w:rtl w:val="true"/>
          <w:lang w:bidi="ar-SA"/>
        </w:rPr>
        <w:t xml:space="preserve">ذكرها ولده العلّامة الحاج السيّد أسد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الكبير على شرائع الإسلام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مسألة الغسالة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تطهير العجين بتخبيزه وعدمه</w:t>
      </w:r>
    </w:p>
    <w:p>
      <w:pPr>
        <w:pStyle w:val="BookText"/>
        <w:rPr/>
      </w:pPr>
      <w:r>
        <w:rPr>
          <w:rFonts w:ascii="IRNazanin" w:hAnsi="IRNazanin" w:eastAsia="IRNazanin"/>
          <w:color w:val="111111"/>
          <w:sz w:val="28"/>
          <w:sz w:val="28"/>
          <w:szCs w:val="28"/>
          <w:rtl w:val="true"/>
          <w:lang w:bidi="fa-IR"/>
        </w:rPr>
        <w:t xml:space="preserve">ذكرها العلّامة السيّد محمّد صادق الچهارسوقي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عنها بالقدريّة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الأراضي الخراجيّة</w:t>
      </w:r>
    </w:p>
    <w:p>
      <w:pPr>
        <w:pStyle w:val="BookText"/>
        <w:rPr/>
      </w:pPr>
      <w:r>
        <w:rPr>
          <w:rFonts w:ascii="Amiri" w:hAnsi="Amiri" w:eastAsia="Amiri" w:cs="Amiri"/>
          <w:color w:val="111111"/>
          <w:sz w:val="28"/>
          <w:sz w:val="28"/>
          <w:szCs w:val="28"/>
          <w:rtl w:val="true"/>
          <w:lang w:bidi="ar-SA"/>
        </w:rPr>
        <w:t>هي رسالة استدلاليّة كبيرة، كتبها في جواب مسألة سُئِل عنها، توجد نسخة خطيّة منها ضمن مجموعة في المكتبة الخاصّة للدكتور السيّد أحمد التويسركاني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 لنا مصوّرة فيها مشكورًا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أحكام الشكّ والسهو في الصلاة</w:t>
      </w:r>
    </w:p>
    <w:p>
      <w:pPr>
        <w:pStyle w:val="BookText"/>
        <w:rPr/>
      </w:pPr>
      <w:r>
        <w:rPr>
          <w:rFonts w:ascii="Amiri" w:hAnsi="Amiri" w:eastAsia="Amiri" w:cs="Amiri"/>
          <w:color w:val="111111"/>
          <w:sz w:val="28"/>
          <w:sz w:val="28"/>
          <w:szCs w:val="28"/>
          <w:rtl w:val="true"/>
          <w:lang w:bidi="ar-SA"/>
        </w:rPr>
        <w:t>رسالة كبيرة جدًّا، حسنة الوضع والتفريع، جعلها تتمّة لكتابه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صاحب الذريعة، وعبّر عنها بالشكيّات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طبعت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بتحقيق حفيده حجّة الإسلام والمسلمين الحاجّ السيّد مهدي الشفتيّ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بطبعها مكتبة مسجد السيّد حجّة الإسلام بأصفهان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طهارة عرق الجنب من الحرام</w:t>
      </w:r>
    </w:p>
    <w:p>
      <w:pPr>
        <w:pStyle w:val="BookText"/>
        <w:rPr/>
      </w:pPr>
      <w:r>
        <w:rPr>
          <w:rFonts w:ascii="Amiri" w:hAnsi="Amiri" w:eastAsia="Amiri" w:cs="Amiri"/>
          <w:color w:val="111111"/>
          <w:sz w:val="28"/>
          <w:sz w:val="28"/>
          <w:szCs w:val="28"/>
          <w:rtl w:val="true"/>
          <w:lang w:bidi="ar-SA"/>
        </w:rPr>
        <w:t xml:space="preserve">نسبها إليه ولده العلّامة السيّد أسد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الكبير على الشرائع</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صلاة الجمعة</w:t>
      </w:r>
    </w:p>
    <w:p>
      <w:pPr>
        <w:pStyle w:val="BookText"/>
        <w:rPr/>
      </w:pPr>
      <w:r>
        <w:rPr>
          <w:rFonts w:ascii="Amiri" w:hAnsi="Amiri" w:eastAsia="Amiri" w:cs="Amiri"/>
          <w:color w:val="111111"/>
          <w:sz w:val="28"/>
          <w:sz w:val="28"/>
          <w:szCs w:val="28"/>
          <w:rtl w:val="true"/>
          <w:lang w:bidi="ar-SA"/>
        </w:rPr>
        <w:t>صرّح بها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مطالع الأنوار</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اختار فيها وجوبها التخييريّ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العقد على أخت الزوجة المطلّقة</w:t>
      </w:r>
    </w:p>
    <w:p>
      <w:pPr>
        <w:pStyle w:val="BookText"/>
        <w:rPr/>
      </w:pPr>
      <w:r>
        <w:rPr>
          <w:rFonts w:ascii="Amiri" w:hAnsi="Amiri" w:eastAsia="Amiri" w:cs="Amiri"/>
          <w:color w:val="111111"/>
          <w:sz w:val="28"/>
          <w:sz w:val="28"/>
          <w:szCs w:val="28"/>
          <w:rtl w:val="true"/>
          <w:lang w:bidi="ar-SA"/>
        </w:rPr>
        <w:t>كتبها في جواب سائل سأله عن ذلك، مدرجة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السؤال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طبعت هذه الرسالة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حوزة أصفهان</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 بتحقيق حفيده حجّة الإسلام والمسلمين الحاجّ السيّد مهدي الشفتيّ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صلح حقّ الرجوع في الطلاق الرجعي</w:t>
      </w:r>
    </w:p>
    <w:p>
      <w:pPr>
        <w:pStyle w:val="BookText"/>
        <w:rPr/>
      </w:pPr>
      <w:r>
        <w:rPr>
          <w:rFonts w:ascii="Amiri" w:hAnsi="Amiri" w:eastAsia="Amiri" w:cs="Amiri"/>
          <w:color w:val="111111"/>
          <w:sz w:val="28"/>
          <w:sz w:val="28"/>
          <w:szCs w:val="28"/>
          <w:rtl w:val="true"/>
          <w:lang w:bidi="ar-SA"/>
        </w:rPr>
        <w:t>مدرجة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السؤال والجواب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في جواب مسألة سُئِل عنها، فرغ منها في مزرعة تندران من مزارع كرون من محالّ أصفهان في يوم الاثنين السابع من جمادى الآخرة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قد طبعت هذه الرسالة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حوزة أصفهان</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بتحقيق حفيده حجّة الإسلام والمسلمين الحاجّ السيّد مهدي الشفتيّ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جواز الاتّكال بقول النساء في انتفاء موانع النكاح فيها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بها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مطالع أنواره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وثاقته كما </w:t>
      </w:r>
    </w:p>
    <w:p>
      <w:pPr>
        <w:pStyle w:val="BookText"/>
        <w:rPr/>
      </w:pPr>
      <w:r>
        <w:rPr>
          <w:rFonts w:ascii="Amiri" w:hAnsi="Amiri" w:eastAsia="Amiri" w:cs="Amiri"/>
          <w:color w:val="111111"/>
          <w:sz w:val="28"/>
          <w:sz w:val="28"/>
          <w:szCs w:val="28"/>
          <w:rtl w:val="true"/>
          <w:lang w:bidi="ar-SA"/>
        </w:rPr>
        <w:t>حقّقناه في رسالتنا الموضوعة في جواز الاتّكال بقول المرأة في خلوّها عن موانع النكاح</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وذكرها كلّ من العَلَمَين الشيخ الطهرانيّ والسيّد الأمين قدّس سرّهما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الصلاة في جلد الميتة المدبوغ</w:t>
      </w:r>
    </w:p>
    <w:p>
      <w:pPr>
        <w:pStyle w:val="BookText"/>
        <w:rPr/>
      </w:pPr>
      <w:r>
        <w:rPr>
          <w:rFonts w:ascii="Amiri" w:hAnsi="Amiri" w:eastAsia="Amiri" w:cs="Amiri"/>
          <w:color w:val="111111"/>
          <w:sz w:val="28"/>
          <w:sz w:val="28"/>
          <w:szCs w:val="28"/>
          <w:rtl w:val="true"/>
          <w:lang w:bidi="ar-SA"/>
        </w:rPr>
        <w:t xml:space="preserve">هي رسالة كبيرة استدلاليّة كتبها في جواب السؤال عن حكم الصلاة في جلد الميتة المدبوغ، مدرجة في كتابه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والجواب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ثبوت الزنا واللواط بالإقرار</w:t>
      </w:r>
    </w:p>
    <w:p>
      <w:pPr>
        <w:pStyle w:val="BookText"/>
        <w:rPr/>
      </w:pPr>
      <w:r>
        <w:rPr>
          <w:rFonts w:ascii="Amiri" w:hAnsi="Amiri" w:eastAsia="Amiri" w:cs="Amiri"/>
          <w:color w:val="111111"/>
          <w:sz w:val="28"/>
          <w:sz w:val="28"/>
          <w:szCs w:val="28"/>
          <w:rtl w:val="true"/>
          <w:lang w:bidi="ar-SA"/>
        </w:rPr>
        <w:t>مدرجة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السؤال والجواب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كتبها في جواب مسألة سئل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شرح جواب المحقّق القمّي</w:t>
      </w:r>
    </w:p>
    <w:p>
      <w:pPr>
        <w:pStyle w:val="BookText"/>
        <w:rPr/>
      </w:pPr>
      <w:r>
        <w:rPr>
          <w:rFonts w:ascii="Amiri" w:hAnsi="Amiri" w:eastAsia="Amiri" w:cs="Amiri"/>
          <w:color w:val="111111"/>
          <w:sz w:val="28"/>
          <w:sz w:val="28"/>
          <w:szCs w:val="28"/>
          <w:rtl w:val="true"/>
          <w:lang w:bidi="ar-SA"/>
        </w:rPr>
        <w:t>شَرَح فيها جوابه عن مسألة في الطلاق، في حياته وحسب أمره، يذكر فيها جوابه، ثمّ إيضاح الجواب</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عدم جواز التقليد للمجتهد الميّت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أوجب فيها العدول إلى المجتهد الحيّ بمجرّد موت المجتهد، ولمّا رآها الميرزا عبد الوهّاب القزوينيّ</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ردّها 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المسترشدين في حكم </w:t>
      </w:r>
    </w:p>
    <w:p>
      <w:pPr>
        <w:pStyle w:val="BookText"/>
        <w:rPr/>
      </w:pPr>
      <w:r>
        <w:rPr>
          <w:rFonts w:ascii="Amiri" w:hAnsi="Amiri" w:eastAsia="Amiri" w:cs="Amiri"/>
          <w:color w:val="111111"/>
          <w:sz w:val="28"/>
          <w:sz w:val="28"/>
          <w:szCs w:val="28"/>
          <w:rtl w:val="true"/>
          <w:lang w:bidi="ar-SA"/>
        </w:rPr>
        <w:t>التقليد للعوام</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أحكام القناة</w:t>
      </w:r>
    </w:p>
    <w:p>
      <w:pPr>
        <w:pStyle w:val="BookText"/>
        <w:rPr/>
      </w:pPr>
      <w:r>
        <w:rPr>
          <w:rFonts w:ascii="Amiri" w:hAnsi="Amiri" w:eastAsia="Amiri" w:cs="Amiri"/>
          <w:color w:val="111111"/>
          <w:sz w:val="28"/>
          <w:sz w:val="28"/>
          <w:szCs w:val="28"/>
          <w:rtl w:val="true"/>
          <w:lang w:bidi="ar-SA"/>
        </w:rPr>
        <w:t>هي رسالة فارسيّة كتبها في جواب مسائل بعض أهالي يزد، مدرجة في كتابه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السؤال والجواب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ولاية الحاكم على البالغة غير الرشيدة</w:t>
      </w:r>
    </w:p>
    <w:p>
      <w:pPr>
        <w:pStyle w:val="BookText"/>
        <w:rPr/>
      </w:pPr>
      <w:r>
        <w:rPr>
          <w:rFonts w:ascii="Amiri" w:hAnsi="Amiri" w:eastAsia="Amiri" w:cs="Amiri"/>
          <w:color w:val="111111"/>
          <w:sz w:val="28"/>
          <w:sz w:val="28"/>
          <w:szCs w:val="28"/>
          <w:rtl w:val="true"/>
          <w:lang w:bidi="ar-SA"/>
        </w:rPr>
        <w:t>كتبها في جواب مَن سأله عن المسألة، مدرجة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السؤال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وطبعت هذه الرسالة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حوزة أصفهان</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بتحقيق حفيده حجّة الإسلام والمسلمين الحاجّ السيّد مهدي الشفتيّ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الصلاة عن الميّت</w:t>
      </w:r>
    </w:p>
    <w:p>
      <w:pPr>
        <w:pStyle w:val="BookText"/>
        <w:rPr/>
      </w:pPr>
      <w:r>
        <w:rPr>
          <w:rFonts w:ascii="Amiri" w:hAnsi="Amiri" w:eastAsia="Amiri" w:cs="Amiri"/>
          <w:color w:val="111111"/>
          <w:sz w:val="28"/>
          <w:sz w:val="28"/>
          <w:szCs w:val="28"/>
          <w:rtl w:val="true"/>
          <w:lang w:bidi="ar-SA"/>
        </w:rPr>
        <w:t>كتبها في جواب مسألة سئل عنها، مدرجة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السؤال والجواب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تحديد آية الكرسيّ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جواب مَن سأل عن تحديد هذه الآية، مدرجة في السؤال والجواب</w:t>
      </w:r>
      <w:r>
        <w:rPr>
          <w:rFonts w:eastAsia="Amiri" w:cs="Amiri" w:ascii="Amiri" w:hAnsi="Amiri"/>
          <w:color w:val="111111"/>
          <w:sz w:val="28"/>
          <w:szCs w:val="28"/>
          <w:rtl w:val="true"/>
          <w:lang w:bidi="ar-SA"/>
        </w:rPr>
        <w:t xml:space="preserve">. </w:t>
      </w:r>
      <w:bookmarkStart w:id="50" w:name="pg16214_221463"/>
    </w:p>
    <w:p>
      <w:pPr>
        <w:pStyle w:val="BookText"/>
        <w:rPr/>
      </w:pPr>
      <w:bookmarkEnd w:id="50"/>
      <w:r>
        <w:rPr>
          <w:rFonts w:ascii="Amiri" w:hAnsi="Amiri" w:eastAsia="Amiri" w:cs="Amiri"/>
          <w:color w:val="111111"/>
          <w:sz w:val="28"/>
          <w:sz w:val="28"/>
          <w:szCs w:val="28"/>
          <w:rtl w:val="true"/>
          <w:lang w:bidi="ar-SA"/>
        </w:rPr>
        <w:t xml:space="preserve">قد طبعت هذه الرسالة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حوزة أصفهان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بتحقيق حفيده حجّة الإسلام والمسلمين الحاجّ السيّد مهدي الشفتيّ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زيارة عاشوراء وكيفيّتها</w:t>
      </w:r>
    </w:p>
    <w:p>
      <w:pPr>
        <w:pStyle w:val="BookText"/>
        <w:rPr/>
      </w:pPr>
      <w:r>
        <w:rPr>
          <w:rFonts w:ascii="Amiri" w:hAnsi="Amiri" w:eastAsia="Amiri" w:cs="Amiri"/>
          <w:color w:val="111111"/>
          <w:sz w:val="28"/>
          <w:sz w:val="28"/>
          <w:szCs w:val="28"/>
          <w:rtl w:val="true"/>
          <w:lang w:bidi="ar-SA"/>
        </w:rPr>
        <w:t>مدرجة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السؤال والجواب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كتبها في جواب مَن سأله عن كيفيّة الزيارة وصلاتها، فأدرج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صلاتها ركعتان، لا أكثر، تفعلهما بعد الفراغ من اللعن والسلام والدعاء والسجدة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هذه الرسالة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نينوا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قامت بطبعها مكتبة مسجد السيّد حجّة الإسلام بأصفهان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صيغ النكاح</w:t>
      </w:r>
    </w:p>
    <w:p>
      <w:pPr>
        <w:pStyle w:val="BookText"/>
        <w:rPr/>
      </w:pPr>
      <w:r>
        <w:rPr>
          <w:rFonts w:ascii="Amiri" w:hAnsi="Amiri" w:eastAsia="Amiri" w:cs="Amiri"/>
          <w:color w:val="111111"/>
          <w:sz w:val="28"/>
          <w:sz w:val="28"/>
          <w:szCs w:val="28"/>
          <w:rtl w:val="true"/>
          <w:lang w:bidi="ar-SA"/>
        </w:rPr>
        <w:t>هي رسالة فارسيّة في بيان أنحاء إجراء الصيغة وأنواع تغييراته، ذكر فيها أربع عشرة صورة لصيغة النكاح</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3519599_1280447820"/>
      <w:bookmarkStart w:id="52" w:name="_Toc18"/>
      <w:bookmarkEnd w:id="51"/>
      <w:r>
        <w:rPr>
          <w:rtl w:val="true"/>
        </w:rPr>
        <w:t>«</w:t>
      </w:r>
      <w:r>
        <w:rPr>
          <w:rtl w:val="true"/>
        </w:rPr>
        <w:t>الكتب والرسائل الحديثيّة</w:t>
      </w:r>
      <w:r>
        <w:rPr>
          <w:rtl w:val="true"/>
        </w:rPr>
        <w:t>»</w:t>
      </w:r>
      <w:bookmarkEnd w:id="52"/>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الكافي</w:t>
      </w:r>
    </w:p>
    <w:p>
      <w:pPr>
        <w:pStyle w:val="BookText"/>
        <w:rPr/>
      </w:pPr>
      <w:r>
        <w:rPr>
          <w:rFonts w:ascii="Amiri" w:hAnsi="Amiri" w:eastAsia="Amiri" w:cs="Amiri"/>
          <w:color w:val="111111"/>
          <w:sz w:val="28"/>
          <w:sz w:val="28"/>
          <w:szCs w:val="28"/>
          <w:rtl w:val="true"/>
          <w:lang w:bidi="ar-SA"/>
        </w:rPr>
        <w:t>هي حواشٍ قليلة على كتاب الفروع من الكافي، من الطهارة إلى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الوافي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عليها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مطالع الأنوار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53" w:name="pg16214_221464"/>
    </w:p>
    <w:p>
      <w:pPr>
        <w:pStyle w:val="Heading5"/>
        <w:numPr>
          <w:ilvl w:val="4"/>
          <w:numId w:val="1"/>
        </w:numPr>
        <w:rPr/>
      </w:pPr>
      <w:bookmarkStart w:id="54" w:name="__RefHeading___Toc3519601_1280447820"/>
      <w:bookmarkStart w:id="55" w:name="_Toc19"/>
      <w:bookmarkEnd w:id="53"/>
      <w:bookmarkEnd w:id="54"/>
      <w:r>
        <w:rPr>
          <w:rtl w:val="true"/>
        </w:rPr>
        <w:t>«</w:t>
      </w:r>
      <w:r>
        <w:rPr>
          <w:rtl w:val="true"/>
        </w:rPr>
        <w:t>الكتب والرسائل الأصوليّة</w:t>
      </w:r>
      <w:r>
        <w:rPr>
          <w:rtl w:val="true"/>
        </w:rPr>
        <w:t>»</w:t>
      </w:r>
      <w:bookmarkEnd w:id="55"/>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الزهرة البارقة لمعرفة أحوال المجاز والحقيقة</w:t>
      </w:r>
    </w:p>
    <w:p>
      <w:pPr>
        <w:pStyle w:val="BookText"/>
        <w:rPr/>
      </w:pPr>
      <w:r>
        <w:rPr>
          <w:rFonts w:ascii="Amiri" w:hAnsi="Amiri" w:eastAsia="Amiri" w:cs="Amiri"/>
          <w:color w:val="111111"/>
          <w:sz w:val="28"/>
          <w:sz w:val="28"/>
          <w:szCs w:val="28"/>
          <w:rtl w:val="true"/>
          <w:lang w:bidi="ar-SA"/>
        </w:rPr>
        <w:t>وهو الكتاب الّذي بين يديك، وسيأتي الكلام عنه مفصّلًا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الاستصحاب</w:t>
      </w:r>
    </w:p>
    <w:p>
      <w:pPr>
        <w:pStyle w:val="BookText"/>
        <w:rPr/>
      </w:pPr>
      <w:r>
        <w:rPr>
          <w:rFonts w:ascii="Amiri" w:hAnsi="Amiri" w:eastAsia="Amiri" w:cs="Amiri"/>
          <w:color w:val="111111"/>
          <w:sz w:val="28"/>
          <w:sz w:val="28"/>
          <w:szCs w:val="28"/>
          <w:rtl w:val="true"/>
          <w:lang w:bidi="ar-SA"/>
        </w:rPr>
        <w:t xml:space="preserve">نصّ عليها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مطالع الأنوار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تهذيب الوصول</w:t>
      </w:r>
    </w:p>
    <w:p>
      <w:pPr>
        <w:pStyle w:val="BookText"/>
        <w:rPr/>
      </w:pPr>
      <w:r>
        <w:rPr>
          <w:rFonts w:ascii="Amiri" w:hAnsi="Amiri" w:eastAsia="Amiri" w:cs="Amiri"/>
          <w:color w:val="111111"/>
          <w:sz w:val="28"/>
          <w:sz w:val="28"/>
          <w:szCs w:val="28"/>
          <w:rtl w:val="true"/>
          <w:lang w:bidi="ar-SA"/>
        </w:rPr>
        <w:t>هي حاشية علميّة مفصّلة على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الوصول إلى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تأليف آية الله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ذكرها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الّذي بين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أصول معالم الدين</w:t>
      </w:r>
    </w:p>
    <w:p>
      <w:pPr>
        <w:pStyle w:val="BookText"/>
        <w:rPr/>
      </w:pPr>
      <w:r>
        <w:rPr>
          <w:rFonts w:ascii="Amiri" w:hAnsi="Amiri" w:eastAsia="Amiri" w:cs="Amiri"/>
          <w:color w:val="111111"/>
          <w:sz w:val="28"/>
          <w:sz w:val="28"/>
          <w:szCs w:val="28"/>
          <w:rtl w:val="true"/>
          <w:lang w:bidi="ar-SA"/>
        </w:rPr>
        <w:t xml:space="preserve">هي تعليقات مدوّنة بمنزلة شرح مبسوط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ابن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مطالع الأنوار</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وفي هذا الكتاب أيضًا</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3519603_1280447820"/>
      <w:bookmarkStart w:id="57" w:name="_Toc20"/>
      <w:bookmarkEnd w:id="56"/>
      <w:r>
        <w:rPr>
          <w:rtl w:val="true"/>
        </w:rPr>
        <w:t>«</w:t>
      </w:r>
      <w:r>
        <w:rPr>
          <w:rtl w:val="true"/>
        </w:rPr>
        <w:t>الكتب الرجاليّة</w:t>
      </w:r>
      <w:r>
        <w:rPr>
          <w:rtl w:val="true"/>
        </w:rPr>
        <w:t>»</w:t>
      </w:r>
      <w:bookmarkEnd w:id="57"/>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الرسائل الرجاليّة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تنيف على اثنتين وعشرين رسالة في أحوال عشرين رجلًا من الرواة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58" w:name="pg16214_221465"/>
    </w:p>
    <w:p>
      <w:pPr>
        <w:pStyle w:val="BookText"/>
        <w:rPr/>
      </w:pPr>
      <w:bookmarkEnd w:id="58"/>
      <w:r>
        <w:rPr>
          <w:rFonts w:ascii="Amiri" w:hAnsi="Amiri" w:eastAsia="Amiri" w:cs="Amiri"/>
          <w:color w:val="111111"/>
          <w:sz w:val="28"/>
          <w:sz w:val="28"/>
          <w:szCs w:val="28"/>
          <w:rtl w:val="true"/>
          <w:lang w:bidi="ar-SA"/>
        </w:rPr>
        <w:t xml:space="preserve">طبعت هذه الرسائل في مجلّد واحد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بتحقيق الحجّة الحاج 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بطبعها مكتبة مسجد السيّد حجّة الإسلام الشفتىّ بأصفهان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الرجال</w:t>
      </w:r>
    </w:p>
    <w:p>
      <w:pPr>
        <w:pStyle w:val="BookText"/>
        <w:rPr/>
      </w:pPr>
      <w:r>
        <w:rPr>
          <w:rFonts w:ascii="Amiri" w:hAnsi="Amiri" w:eastAsia="Amiri" w:cs="Amiri"/>
          <w:color w:val="111111"/>
          <w:sz w:val="28"/>
          <w:sz w:val="28"/>
          <w:szCs w:val="28"/>
          <w:rtl w:val="true"/>
          <w:lang w:bidi="ar-SA"/>
        </w:rPr>
        <w:t>هي تعليقات مختصرة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الفهرست</w:t>
      </w:r>
    </w:p>
    <w:p>
      <w:pPr>
        <w:pStyle w:val="BookText"/>
        <w:rPr/>
      </w:pPr>
      <w:r>
        <w:rPr>
          <w:rFonts w:ascii="Amiri" w:hAnsi="Amiri" w:eastAsia="Amiri" w:cs="Amiri"/>
          <w:color w:val="111111"/>
          <w:sz w:val="28"/>
          <w:sz w:val="28"/>
          <w:szCs w:val="28"/>
          <w:rtl w:val="true"/>
          <w:lang w:bidi="ar-SA"/>
        </w:rPr>
        <w:t>تعليقات مختصرة غير مدوّنة على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خلاصة الأقوال</w:t>
      </w:r>
    </w:p>
    <w:p>
      <w:pPr>
        <w:pStyle w:val="BookText"/>
        <w:rPr/>
      </w:pPr>
      <w:r>
        <w:rPr>
          <w:rFonts w:ascii="Amiri" w:hAnsi="Amiri" w:eastAsia="Amiri" w:cs="Amiri"/>
          <w:color w:val="111111"/>
          <w:sz w:val="28"/>
          <w:sz w:val="28"/>
          <w:szCs w:val="28"/>
          <w:rtl w:val="true"/>
          <w:lang w:bidi="ar-SA"/>
        </w:rPr>
        <w:t xml:space="preserve">صرّح بها في حاشية المجلّد الثاني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 الأنوار</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3519605_1280447820"/>
      <w:bookmarkStart w:id="60" w:name="_Toc21"/>
      <w:bookmarkEnd w:id="59"/>
      <w:r>
        <w:rPr>
          <w:rtl w:val="true"/>
        </w:rPr>
        <w:t>«</w:t>
      </w:r>
      <w:r>
        <w:rPr>
          <w:rtl w:val="true"/>
        </w:rPr>
        <w:t>الكتب والرسائل المتفرّقة</w:t>
      </w:r>
      <w:r>
        <w:rPr>
          <w:rtl w:val="true"/>
        </w:rPr>
        <w:t>»</w:t>
      </w:r>
      <w:bookmarkEnd w:id="60"/>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أصول الدين</w:t>
      </w:r>
    </w:p>
    <w:p>
      <w:pPr>
        <w:pStyle w:val="BookText"/>
        <w:rPr/>
      </w:pPr>
      <w:r>
        <w:rPr>
          <w:rFonts w:ascii="Amiri" w:hAnsi="Amiri" w:eastAsia="Amiri" w:cs="Amiri"/>
          <w:color w:val="111111"/>
          <w:sz w:val="28"/>
          <w:sz w:val="28"/>
          <w:szCs w:val="28"/>
          <w:rtl w:val="true"/>
          <w:lang w:bidi="ar-SA"/>
        </w:rPr>
        <w:t>فارسيّة، في عدّة أبواب</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وجواب</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بعض عقائد الشيخيّة، بالفارسيّة، طبع أوّلًا بعد وفاته سنة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كما ذكره صاحب الذريعة</w:t>
      </w:r>
      <w:r>
        <w:rPr>
          <w:rStyle w:val="FootnoteAnchor"/>
          <w:rtl w:val="true"/>
        </w:rPr>
        <w:footnoteReference w:id="61"/>
      </w:r>
      <w:r>
        <w:rPr>
          <w:rFonts w:ascii="Amiri" w:hAnsi="Amiri" w:eastAsia="Amiri" w:cs="Amiri"/>
          <w:color w:val="111111"/>
          <w:sz w:val="28"/>
          <w:sz w:val="28"/>
          <w:szCs w:val="28"/>
          <w:rtl w:val="true"/>
          <w:lang w:bidi="ar-SA"/>
        </w:rPr>
        <w:t xml:space="preserve">، وقد طبع ثانيًا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طباعة حروفيّة محقّقة، قامت بتحقيقه وطبعه مكتبة مسجد السيّد</w:t>
      </w:r>
      <w:r>
        <w:rPr>
          <w:rFonts w:eastAsia="Amiri" w:cs="Amiri" w:ascii="Amiri" w:hAnsi="Amiri"/>
          <w:color w:val="111111"/>
          <w:sz w:val="28"/>
          <w:szCs w:val="28"/>
          <w:rtl w:val="true"/>
          <w:lang w:bidi="ar-SA"/>
        </w:rPr>
        <w:t xml:space="preserve">. </w:t>
      </w:r>
      <w:bookmarkStart w:id="61" w:name="pg16214_221466"/>
    </w:p>
    <w:p>
      <w:pPr>
        <w:pStyle w:val="BookText"/>
        <w:rPr/>
      </w:pPr>
      <w:bookmarkEnd w:id="61"/>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الحلية اللامعة للبهجة المرضيّة</w:t>
      </w:r>
    </w:p>
    <w:p>
      <w:pPr>
        <w:pStyle w:val="BookText"/>
        <w:rPr/>
      </w:pPr>
      <w:r>
        <w:rPr>
          <w:rFonts w:ascii="Amiri" w:hAnsi="Amiri" w:eastAsia="Amiri" w:cs="Amiri"/>
          <w:color w:val="111111"/>
          <w:sz w:val="28"/>
          <w:sz w:val="28"/>
          <w:szCs w:val="28"/>
          <w:rtl w:val="true"/>
          <w:lang w:bidi="ar-SA"/>
        </w:rPr>
        <w:t>عبارة عن تعليقات مدوّنة بمنزلة شرح مبسوط على شرح الفاضل السيوطيّ على ألفيّة النحو</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قامت بطبعه مكتبة مسجد السيّد بأصفهان</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3519607_1280447820"/>
      <w:bookmarkStart w:id="63" w:name="_Toc22"/>
      <w:bookmarkEnd w:id="62"/>
      <w:r>
        <w:rPr>
          <w:rtl w:val="true"/>
        </w:rPr>
        <w:t>وفاته ومرقده</w:t>
      </w:r>
      <w:bookmarkEnd w:id="63"/>
    </w:p>
    <w:p>
      <w:p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سنة تقريبًا، ثمّ أجاب الدعوة الإلهيّة في عصيرة يوم الأحد، الثاني من شهر ربيع الثاني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 أول حمل ودويم ربيع 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زدامگاه جهان شد بسوى دار سلام</w:t>
      </w:r>
    </w:p>
    <w:p>
      <w:pPr>
        <w:pStyle w:val="BookText"/>
        <w:rPr/>
      </w:pPr>
      <w:r>
        <w:rPr>
          <w:rFonts w:ascii="IRNazanin" w:hAnsi="IRNazanin" w:eastAsia="IRNazanin"/>
          <w:color w:val="111111"/>
          <w:sz w:val="28"/>
          <w:sz w:val="28"/>
          <w:szCs w:val="28"/>
          <w:rtl w:val="true"/>
          <w:lang w:bidi="fa-IR"/>
        </w:rPr>
        <w:t xml:space="preserve">بلفظ تازى تاريخ رحلتش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بشمرى مأتين است وألف وستّين عام</w:t>
      </w:r>
    </w:p>
    <w:p>
      <w:pPr>
        <w:pStyle w:val="BookText"/>
        <w:rPr/>
      </w:pPr>
      <w:r>
        <w:rPr>
          <w:rFonts w:ascii="Amiri" w:hAnsi="Amiri" w:eastAsia="Amiri" w:cs="Amiri"/>
          <w:color w:val="111111"/>
          <w:sz w:val="28"/>
          <w:sz w:val="28"/>
          <w:szCs w:val="28"/>
          <w:rtl w:val="true"/>
          <w:lang w:bidi="ar-SA"/>
        </w:rPr>
        <w:t>على أصحّ الأقوال؛ ودفن بعد ثلاثة أيّام من وفاته في البقعة الّتي بناها لنفسه في جانب مسجده الكبير بأصبهان، وهي الآن مشهد معروف ومزار متبرّك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الچهارسوقي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الروضات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يرَ مثل يوم وفاته، يوم عظيم، ملأت زقاق البلد من أفواج الأنام رجالًا ونساءً، يبكون عليه بكاء الفاقد والده الرحيم ومشفقه الكريم، بحيث كانت همهمة الخلائق تسمع من وراء البلد، وغسّل في بيته الشريف، ثمّ أُتي به إلى المسجد، فصلّى عليه ولده الأفضل وخلفه الأسعد الأرشد والفقيه الأوحد والحبر المؤيّد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وسيّدنا السيّد أسد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أنشدت قصيدة طويلة في مرثيّته بالعربيّة، ومطلعها كما يمرّ بالنظر الفاتر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العزاء وهذه الزفرات ما هي في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السماء وفي الأرض الفساد به ظهر</w:t>
      </w:r>
    </w:p>
    <w:p>
      <w:pPr>
        <w:pStyle w:val="BookText"/>
        <w:rPr/>
      </w:pPr>
      <w:r>
        <w:rPr>
          <w:rFonts w:ascii="Amiri" w:hAnsi="Amiri" w:eastAsia="Amiri" w:cs="Amiri"/>
          <w:color w:val="111111"/>
          <w:sz w:val="28"/>
          <w:sz w:val="28"/>
          <w:szCs w:val="28"/>
          <w:rtl w:val="true"/>
          <w:lang w:bidi="ar-SA"/>
        </w:rPr>
        <w:t xml:space="preserve">وجرت عيون الدمع من صمّ الجبال وحاولت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زول وانشقّت جيوب الصبر واشتمل الضرر</w:t>
      </w:r>
    </w:p>
    <w:p>
      <w:pPr>
        <w:pStyle w:val="BookText"/>
        <w:rPr/>
      </w:pPr>
      <w:r>
        <w:rPr>
          <w:rFonts w:ascii="Amiri" w:hAnsi="Amiri" w:eastAsia="Amiri" w:cs="Amiri"/>
          <w:color w:val="111111"/>
          <w:sz w:val="28"/>
          <w:sz w:val="28"/>
          <w:szCs w:val="28"/>
          <w:rtl w:val="true"/>
          <w:lang w:bidi="ar-SA"/>
        </w:rPr>
        <w:t xml:space="preserve">واغبرّت الآفاق واختلّ السياق بأسره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وتغيّرت شمس المشارق منه وانخسف القمر</w:t>
      </w:r>
    </w:p>
    <w:p>
      <w:pPr>
        <w:pStyle w:val="BookText"/>
        <w:rPr/>
      </w:pPr>
      <w:r>
        <w:rPr>
          <w:rFonts w:ascii="Amiri" w:hAnsi="Amiri" w:eastAsia="Amiri" w:cs="Amiri"/>
          <w:color w:val="111111"/>
          <w:sz w:val="28"/>
          <w:sz w:val="28"/>
          <w:szCs w:val="28"/>
          <w:rtl w:val="true"/>
          <w:lang w:bidi="ar-SA"/>
        </w:rPr>
        <w:t xml:space="preserve">ما أكثر الحزن الجديد وأكبر الهول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الرزء المفخّم في الخلائق للبشر</w:t>
      </w:r>
    </w:p>
    <w:p>
      <w:pPr>
        <w:pStyle w:val="BookText"/>
        <w:rPr/>
      </w:pPr>
      <w:r>
        <w:rPr>
          <w:rFonts w:ascii="Amiri" w:hAnsi="Amiri" w:eastAsia="Amiri" w:cs="Amiri"/>
          <w:color w:val="111111"/>
          <w:sz w:val="28"/>
          <w:sz w:val="28"/>
          <w:szCs w:val="28"/>
          <w:rtl w:val="true"/>
          <w:lang w:bidi="ar-SA"/>
        </w:rPr>
        <w:t xml:space="preserve">من فقد سيّدنا الإمام الباقر العلم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عن العدّ المحامد منه والكرامات الكبر</w:t>
      </w:r>
    </w:p>
    <w:p>
      <w:pPr>
        <w:pStyle w:val="BookText"/>
        <w:rPr/>
      </w:pPr>
      <w:r>
        <w:rPr>
          <w:rFonts w:ascii="Amiri" w:hAnsi="Amiri" w:eastAsia="Amiri" w:cs="Amiri"/>
          <w:color w:val="111111"/>
          <w:sz w:val="28"/>
          <w:sz w:val="28"/>
          <w:szCs w:val="28"/>
          <w:rtl w:val="true"/>
          <w:lang w:bidi="ar-SA"/>
        </w:rPr>
        <w:t xml:space="preserve">بكّاء جوف الليل من خوف الإله ومقتدى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النهار على نيابته الإمام المنتظر</w:t>
      </w:r>
    </w:p>
    <w:p>
      <w:pPr>
        <w:pStyle w:val="BookText"/>
        <w:rPr/>
      </w:pPr>
      <w:r>
        <w:rPr>
          <w:rFonts w:ascii="Amiri" w:hAnsi="Amiri" w:eastAsia="Amiri" w:cs="Amiri"/>
          <w:color w:val="111111"/>
          <w:sz w:val="28"/>
          <w:sz w:val="28"/>
          <w:szCs w:val="28"/>
          <w:rtl w:val="true"/>
          <w:lang w:bidi="ar-SA"/>
        </w:rPr>
        <w:t>إلى تمام ثمانين بيتًا تقريبًا، ويقول في آخرها مؤرّخًا لوفاته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طبعي القرم عن تاريخ رحلته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ذيلًا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أنزله كريم المستقر</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 xml:space="preserve">) </w:t>
      </w:r>
      <w:bookmarkStart w:id="64" w:name="pg16214_221468"/>
    </w:p>
    <w:p>
      <w:pPr>
        <w:pStyle w:val="Heading3"/>
        <w:numPr>
          <w:ilvl w:val="2"/>
          <w:numId w:val="1"/>
        </w:numPr>
        <w:rPr/>
      </w:pPr>
      <w:bookmarkStart w:id="65" w:name="__RefHeading___Toc3519609_1280447820"/>
      <w:bookmarkStart w:id="66" w:name="_Toc23"/>
      <w:bookmarkEnd w:id="64"/>
      <w:bookmarkEnd w:id="65"/>
      <w:r>
        <w:rPr>
          <w:rtl w:val="true"/>
        </w:rPr>
        <w:t>بين يدي الكتاب</w:t>
      </w:r>
      <w:bookmarkEnd w:id="66"/>
    </w:p>
    <w:p>
      <w:pPr>
        <w:pStyle w:val="Heading4"/>
        <w:numPr>
          <w:ilvl w:val="3"/>
          <w:numId w:val="1"/>
        </w:numPr>
        <w:rPr/>
      </w:pPr>
      <w:bookmarkStart w:id="67" w:name="__RefHeading___Toc3519611_1280447820"/>
      <w:bookmarkStart w:id="68" w:name="_Toc24"/>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كتابنا الحاضر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الزهرة البارقة لمعرفة أحوال المجاز والحقيقة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مشتمل على جمّ غفير من المسائل الأصوليّة والعربيّة، ومباحث الألفاظ والمبادئ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 بعد خطبة مختصرة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مقالة أرادها منّي بعض من كنت أعتني بصلاح حاله وأهتمّ بإنجاح مقاله وسؤاله، قد بيّنت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بإعانة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الحقيقة والمجاز بما لم يبيّن إلى الآن في رسالة ولا كتاب، وأوضحت الأمر فيها بحيث يصل إلى حقيقة الحال كلّ من له أدنى دربة بلا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مصنّفات أستاذه حجّة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كتاب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 البارقة في أحوال المجاز والحقيقة، يشتمل على جمّ غفير من المسائل الأصوليّة والعربيّة ومباحث الألفاظ والمبادئ اللغويّة في نحو من ثمانية آلاف بيت</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من ذريعته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الزهرة البارقة،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الباهرة، في الحقيقة والمجاز، في ثمانية آلاف بيت، مشتمل على كثير من مباحث علم الأصول، للسيّد حجّة الإسلام محمّد باقر بن محمّد تقي</w:t>
      </w:r>
      <w:r>
        <w:rPr>
          <w:rStyle w:val="FootnoteAnchor"/>
          <w:rtl w:val="true"/>
        </w:rPr>
        <w:footnoteReference w:id="66"/>
      </w:r>
      <w:r>
        <w:rPr>
          <w:rFonts w:ascii="Amiri" w:hAnsi="Amiri" w:eastAsia="Amiri" w:cs="Amiri"/>
          <w:color w:val="111111"/>
          <w:sz w:val="28"/>
          <w:sz w:val="28"/>
          <w:szCs w:val="28"/>
          <w:rtl w:val="true"/>
          <w:lang w:bidi="ar-SA"/>
        </w:rPr>
        <w:t xml:space="preserve">الموسويّ الجيلانيّ الشفتيّ الأصفهانيّ المتوفّى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 xml:space="preserve">، ذكره في </w:t>
      </w:r>
      <w:bookmarkStart w:id="69" w:name="pg16214_221469"/>
    </w:p>
    <w:p>
      <w:pPr>
        <w:pStyle w:val="BookText"/>
        <w:rPr/>
      </w:pPr>
      <w:bookmarkEnd w:id="69"/>
      <w:r>
        <w:rPr>
          <w:rFonts w:ascii="Amiri" w:hAnsi="Amiri" w:eastAsia="Amiri" w:cs="Amiri"/>
          <w:color w:val="111111"/>
          <w:sz w:val="28"/>
          <w:sz w:val="28"/>
          <w:szCs w:val="28"/>
          <w:rtl w:val="true"/>
          <w:lang w:bidi="ar-SA"/>
        </w:rPr>
        <w:t>الروضات، وطبع بعد وفاته بأمر تلميذه وصهره الآقا محمّد مهدي ابن الحاج الكلباسيّ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 على مقدّمة وأبواب وخاتمة</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الطراز في الحقيقة والمجاز، أو الحقيقة والمجاز، كما مرّ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للسيّد محمّد باقر حجّة الإسلام الرشتيّ، كما في نسخة ميرزا محمّد طاهر التنكابنيّ المعاصر بطهران</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الصحيح في اسم الكتاب هو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البَارِقَةِ لمعرفة أحوال المجاز والحقيقة، كما سمّاه به مصنّفه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صريحًا</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3519613_1280447820"/>
      <w:bookmarkStart w:id="71" w:name="_Toc25"/>
      <w:bookmarkEnd w:id="70"/>
      <w:r>
        <w:rPr>
          <w:rtl w:val="true"/>
        </w:rPr>
        <w:t>فهرست ما في الكتاب</w:t>
      </w:r>
      <w:bookmarkEnd w:id="71"/>
    </w:p>
    <w:p>
      <w:pPr>
        <w:pStyle w:val="BookText"/>
        <w:rPr/>
      </w:pPr>
      <w:r>
        <w:rPr>
          <w:rFonts w:ascii="Amiri" w:hAnsi="Amiri" w:eastAsia="Amiri" w:cs="Amiri"/>
          <w:color w:val="111111"/>
          <w:sz w:val="28"/>
          <w:sz w:val="28"/>
          <w:szCs w:val="28"/>
          <w:rtl w:val="true"/>
          <w:lang w:bidi="ar-SA"/>
        </w:rPr>
        <w:t xml:space="preserve">رتّب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هذا على مقدّمة وأبواب وخاتمة كما ذكر في أوّله، لكنّ الموجود من نسخة الأصل ينتهي إلى الباب الرابع وليس فيها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ماهيّة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الّتي بها يحصل الامتياز بين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الواسطة في الألفاظ بين المجاز والحقيقة وتعارض الأحوال وغيرهما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الحقيقة والمجاز إلى الأقسام المعروفة، وما يتعلّق بها من الأمور المهمّة</w:t>
      </w:r>
      <w:r>
        <w:rPr>
          <w:rFonts w:eastAsia="Amiri" w:cs="Amiri" w:ascii="Amiri" w:hAnsi="Amiri"/>
          <w:color w:val="111111"/>
          <w:sz w:val="28"/>
          <w:szCs w:val="28"/>
          <w:rtl w:val="true"/>
          <w:lang w:bidi="ar-SA"/>
        </w:rPr>
        <w:t xml:space="preserve">. </w:t>
      </w:r>
      <w:bookmarkStart w:id="72" w:name="pg16214_221470"/>
    </w:p>
    <w:p>
      <w:pPr>
        <w:pStyle w:val="Heading4"/>
        <w:numPr>
          <w:ilvl w:val="3"/>
          <w:numId w:val="1"/>
        </w:numPr>
        <w:rPr/>
      </w:pPr>
      <w:bookmarkStart w:id="73" w:name="__RefHeading___Toc3519615_1280447820"/>
      <w:bookmarkStart w:id="74" w:name="_Toc26"/>
      <w:bookmarkEnd w:id="72"/>
      <w:bookmarkEnd w:id="73"/>
      <w:r>
        <w:rPr>
          <w:rtl w:val="true"/>
        </w:rPr>
        <w:t>تأريخ تصنيف الكتاب</w:t>
      </w:r>
      <w:bookmarkEnd w:id="74"/>
    </w:p>
    <w:p>
      <w:pPr>
        <w:pStyle w:val="BookText"/>
        <w:rPr/>
      </w:pPr>
      <w:r>
        <w:rPr>
          <w:rFonts w:ascii="Amiri" w:hAnsi="Amiri" w:eastAsia="Amiri" w:cs="Amiri"/>
          <w:color w:val="111111"/>
          <w:sz w:val="28"/>
          <w:sz w:val="28"/>
          <w:szCs w:val="28"/>
          <w:rtl w:val="true"/>
          <w:lang w:bidi="ar-SA"/>
        </w:rPr>
        <w:t xml:space="preserve">لم يذكر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التأليف، لكن يبدو من دعائه لأستاذه العلّامة المحقّق السيّد محمّد مهديّ الطباطبائيّ النجفيّ المعروف ببحر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ألّفه 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توفّي أستاذه فيها، حيث قال ما هذا نصّ كلامه رفع مقامه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ادّعى سيّد الأواخر والأوائل، ومفخر الأماثل والأفاضل، الّذي قد انتهت إليه مراتب الفضيلة والسعادة، وحاوت عليه السعادة الدنيويّة والأخرويّة، أستاذنا بل أستاذ البريّة في عصره أدام الله إفادته وإفاضته</w:t>
      </w:r>
      <w:r>
        <w:rPr>
          <w:rFonts w:eastAsia="Amiri" w:cs="Amiri" w:ascii="Amiri" w:hAnsi="Amiri"/>
          <w:color w:val="111111"/>
          <w:sz w:val="28"/>
          <w:szCs w:val="28"/>
          <w:rtl w:val="true"/>
          <w:lang w:bidi="ar-SA"/>
        </w:rPr>
        <w:t xml:space="preserve">». </w:t>
      </w:r>
      <w:bookmarkStart w:id="75" w:name="pg16214_221471"/>
    </w:p>
    <w:p>
      <w:pPr>
        <w:pStyle w:val="Heading3"/>
        <w:numPr>
          <w:ilvl w:val="2"/>
          <w:numId w:val="1"/>
        </w:numPr>
        <w:rPr/>
      </w:pPr>
      <w:bookmarkStart w:id="76" w:name="__RefHeading___Toc3519617_1280447820"/>
      <w:bookmarkStart w:id="77" w:name="_Toc27"/>
      <w:bookmarkEnd w:id="75"/>
      <w:bookmarkEnd w:id="76"/>
      <w:r>
        <w:rPr>
          <w:rtl w:val="true"/>
        </w:rPr>
        <w:t>عملنا في التحقيق</w:t>
      </w:r>
      <w:bookmarkEnd w:id="77"/>
    </w:p>
    <w:p>
      <w:pPr>
        <w:pStyle w:val="Heading4"/>
        <w:numPr>
          <w:ilvl w:val="3"/>
          <w:numId w:val="1"/>
        </w:numPr>
        <w:rPr/>
      </w:pPr>
      <w:bookmarkStart w:id="78" w:name="__RefHeading___Toc3519619_1280447820"/>
      <w:bookmarkStart w:id="79" w:name="_Toc28"/>
      <w:bookmarkEnd w:id="78"/>
      <w:r>
        <w:rPr>
          <w:rtl w:val="true"/>
        </w:rPr>
        <w:t>النسخ المعتمدة</w:t>
      </w:r>
      <w:bookmarkEnd w:id="79"/>
    </w:p>
    <w:p>
      <w:pPr>
        <w:pStyle w:val="BookText"/>
        <w:rPr/>
      </w:pPr>
      <w:r>
        <w:rPr>
          <w:rFonts w:ascii="Amiri" w:hAnsi="Amiri" w:eastAsia="Amiri" w:cs="Amiri"/>
          <w:color w:val="111111"/>
          <w:sz w:val="28"/>
          <w:sz w:val="28"/>
          <w:szCs w:val="28"/>
          <w:rtl w:val="true"/>
          <w:lang w:bidi="ar-SA"/>
        </w:rPr>
        <w:t>للكتاب نسخ كثيرة جدًّا في مختلف المكتبات، إلّا أنّا اعتمدنا في تحقيقه على ثلاث نسخ خطّيّة،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الأصليّة بخطّ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المكتبة المرعشيّة في قم المقدّسة برقم </w:t>
      </w:r>
      <w:r>
        <w:rPr>
          <w:rFonts w:eastAsia="Amiri" w:cs="Amiri" w:ascii="Amiri" w:hAnsi="Amiri"/>
          <w:color w:val="111111"/>
          <w:sz w:val="28"/>
          <w:szCs w:val="28"/>
          <w:lang w:bidi="ar-SA"/>
        </w:rPr>
        <w:t>5420</w:t>
      </w:r>
      <w:r>
        <w:rPr>
          <w:rFonts w:ascii="Amiri" w:hAnsi="Amiri" w:eastAsia="Amiri" w:cs="Amiri"/>
          <w:color w:val="111111"/>
          <w:sz w:val="28"/>
          <w:sz w:val="28"/>
          <w:szCs w:val="28"/>
          <w:rtl w:val="true"/>
          <w:lang w:bidi="ar-SA"/>
        </w:rPr>
        <w:t>، المذكورة في فهرس مخطوطاتها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واضحة الخطّ مقروءة، إلّا أنّ المصنّف جعل فيها تغييرات وزيادات، وحذف بعض العبارات ثمّ كتبها مرّة أخرى، كما أنّ بعض الأوراق منها مخطوط بخطّ يغاير الأصل؛ تقع في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بحجم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 مختلفة الأسطر، ناقصة من آخرها صفحة؛ قد أشرنا إليها بنسخة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الخطّيّة المحفوظة في المكتبة الرضويّة في مشهد المقدّسة تحت رقم </w:t>
      </w:r>
      <w:r>
        <w:rPr>
          <w:rFonts w:eastAsia="Amiri" w:cs="Amiri" w:ascii="Amiri" w:hAnsi="Amiri"/>
          <w:color w:val="111111"/>
          <w:sz w:val="28"/>
          <w:szCs w:val="28"/>
          <w:lang w:bidi="ar-SA"/>
        </w:rPr>
        <w:t>6867</w:t>
      </w:r>
      <w:r>
        <w:rPr>
          <w:rFonts w:ascii="Amiri" w:hAnsi="Amiri" w:eastAsia="Amiri" w:cs="Amiri"/>
          <w:color w:val="111111"/>
          <w:sz w:val="28"/>
          <w:sz w:val="28"/>
          <w:szCs w:val="28"/>
          <w:rtl w:val="true"/>
          <w:lang w:bidi="ar-SA"/>
        </w:rPr>
        <w:t xml:space="preserve">، وهي بخطّ النسخ، مجهولة الكاتب، تقع في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بحجم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 مختلفة الأسطر، وقد رمزنا لها بالحرف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الخطّيّة المحفوظة في مكتبة مجلس الشورى الإسلاميّ في طهران برقم </w:t>
      </w:r>
      <w:r>
        <w:rPr>
          <w:rFonts w:eastAsia="Amiri" w:cs="Amiri" w:ascii="Amiri" w:hAnsi="Amiri"/>
          <w:color w:val="111111"/>
          <w:sz w:val="28"/>
          <w:szCs w:val="28"/>
          <w:lang w:bidi="ar-SA"/>
        </w:rPr>
        <w:t>7661</w:t>
      </w:r>
      <w:r>
        <w:rPr>
          <w:rFonts w:ascii="Amiri" w:hAnsi="Amiri" w:eastAsia="Amiri" w:cs="Amiri"/>
          <w:color w:val="111111"/>
          <w:sz w:val="28"/>
          <w:sz w:val="28"/>
          <w:szCs w:val="28"/>
          <w:rtl w:val="true"/>
          <w:lang w:bidi="ar-SA"/>
        </w:rPr>
        <w:t>، المذكورة في فهرس مخطوطاتها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بخطّ النسخ، مجهولة الكاتب، تقع في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بحجم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وكلّ ورقة تحتوي على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وقد رمزنا لها بالحرف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bookmarkStart w:id="80" w:name="pg16214_221472"/>
    </w:p>
    <w:p>
      <w:pPr>
        <w:pStyle w:val="Heading4"/>
        <w:numPr>
          <w:ilvl w:val="3"/>
          <w:numId w:val="1"/>
        </w:numPr>
        <w:rPr/>
      </w:pPr>
      <w:bookmarkStart w:id="81" w:name="__RefHeading___Toc3519621_1280447820"/>
      <w:bookmarkStart w:id="82" w:name="_Toc29"/>
      <w:bookmarkEnd w:id="80"/>
      <w:bookmarkEnd w:id="81"/>
      <w:r>
        <w:rPr>
          <w:rtl w:val="true"/>
        </w:rPr>
        <w:t>منهجنا في التحقيق</w:t>
      </w:r>
      <w:bookmarkEnd w:id="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مقابلة النسخ الخطّيّة وضبط الاختلافات الواردة بينها، وترجيح نسخة الأصل على غيرها عند الاختلاف، إلّا إذا ثبت خطؤها، فرجّحنا غيرها مع الإشارة إلى ذلك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 الزيادات الّتي انفردت بها بعض النسخ دون بعض، والإشارة إليها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استخراج المصادر والمآخذ من الآيات القرآنيّة الكريمة، والأحاديث الشريفة، والأقوال الواردة، والشواهد الشعريّة، على قدر المستطاع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المواضع المشكلة والعبارات المبهمة، وشرح بعض اللغات الغريبة الواردة في المتن مع الاستعانة بكتب اللغة ومعاجم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العناوين الفرعيّة في المتن بين قوسين معقوفين كي يسهّل الوصول إلى تفاصيل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بذلنا قصارى جهدنا في تحقيق هذا السفر القيّم وإخراجه إلى عالم النور، فما وجد فيه من خلل أو خطأ فهو عن قصور لا تقصير، ونسأل الله تعالى أن يتقبّل منّا هذا القليل بقبول حسن، ونسأله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يوفّقنا لإحياء سائر آثار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لجزيل خدماته المباركة في إحياء الشريعة الغرّاء</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3519623_1280447820"/>
      <w:bookmarkStart w:id="84" w:name="_Toc30"/>
      <w:bookmarkEnd w:id="83"/>
      <w:r>
        <w:rPr>
          <w:rtl w:val="true"/>
        </w:rPr>
        <w:t>كلمة شكر وثناء</w:t>
      </w:r>
      <w:bookmarkEnd w:id="8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نتقدّم بالشكر الجزيل والثناء الجميل إلى الأستاذ المحقّق الحجّة الشيخ حسين حلبيان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ورعاه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لمساعدته في مقابلة الكتاب </w:t>
      </w:r>
    </w:p>
    <w:p>
      <w:pPr>
        <w:pStyle w:val="BookText"/>
        <w:rPr/>
      </w:pPr>
      <w:r>
        <w:rPr>
          <w:rFonts w:ascii="Amiri" w:hAnsi="Amiri" w:eastAsia="Amiri" w:cs="Amiri"/>
          <w:color w:val="111111"/>
          <w:sz w:val="28"/>
          <w:sz w:val="28"/>
          <w:szCs w:val="28"/>
          <w:rtl w:val="true"/>
          <w:lang w:bidi="ar-SA"/>
        </w:rPr>
        <w:t>مع النسخ الخطّيّة وتخريج بعض المصادر، فقد بذل في هذا السبيل كلّ وسعه، فللّه درّه وعليه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اللهَ وأشكرُهُ كثیرًا أنْ وفّقَني إلى إنجازِ هذا العملِ، وأرى من الواجبِ أن أَتقدّمَ بجزیلِ شكري وعظیِمِ امتناني إلى العتبةِ العبّاسیّةِ المقدّسةِ، وإلى سماحةِ المتولِّي الشَّرعيِّ السَّيِّدِ أحمدَ 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السّيّد محمّد الأُشيقر أمینِها العامِّ، وإلى سماحةِ الشّيخِ عمّارٍ الهلاليِّ رئيسِ قسمِ شؤونِ المعارفِ الإسلاميّةِ والإنسانيّةِ؛ لاهتمامِهم بنشْرِ آثارِ السَّلَفِ الصَّالحِ من أساطینِ علمائِنا الأَعاظمِ، ولا سيّما لمساعدتِهم في طَبْعِ هذا الأثرِ النّفیسِ وإخراجِهِ بهذهِ الحُلَّةِ القشیبةِ، راجینَ لهم دوامَ التوفیقِ لمثلِ هذهِ المشاریعِ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وأتقدّمُ بخالصِ شكري لكلِّ من أسهمَ أو نَصحَ وأرشدَ من أجلِ إخراجِ هذا السِّفْرِ القيِّمِ إلى النورِ، شكر اللهُ مساعیَهم الجمیلةَ، ووفّقَهم لما یحبُّ ویرضى، مع أصدقِ الدعواتِ بدوامِ الصِّحّةِ والعافیةِ والتوفیقِ لخدمةِ العِلْمِ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العالمینَ والصَّلاةُ والسَّلامُ علی محمّدٍ وآلهِ الطیّبینَ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p>
    <w:p>
      <w:pPr>
        <w:pStyle w:val="BookText"/>
        <w:rPr/>
      </w:pPr>
      <w:r>
        <w:rPr>
          <w:rFonts w:ascii="Amiri" w:hAnsi="Amiri" w:eastAsia="Amiri" w:cs="Amiri"/>
          <w:color w:val="111111"/>
          <w:sz w:val="28"/>
          <w:sz w:val="28"/>
          <w:szCs w:val="28"/>
          <w:rtl w:val="true"/>
          <w:lang w:bidi="ar-SA"/>
        </w:rPr>
        <w:t>السیّدُ محمّد رضا، ابن السيّد مهديّ، ابن السيّد محمّد رضا الثاني، ابن السيِّد محمّد باقر الثاني، ابن السيّد أسد الله، ابن الحاج السيّد محمّد باقر الشفتيّ المعروف بحجّةِ الإسلامِ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المظفّر سنة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bookmarkStart w:id="85" w:name="pg16214_22147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3519625_1280447820"/>
      <w:bookmarkStart w:id="87" w:name="_Toc31"/>
      <w:bookmarkEnd w:id="85"/>
      <w:bookmarkEnd w:id="86"/>
      <w:r>
        <w:rPr>
          <w:rtl w:val="true"/>
        </w:rPr>
        <w:t>نماذج من النسخ المعتمدة</w:t>
      </w:r>
      <w:bookmarkEnd w:id="8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الأصل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الأصل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غلاف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وبه نستعين</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الحمد لله الّذي تنزّهت حقيقته عن مجازيّة العقول القادسة، وتكبّرت صفاته عن صحّة السلب والمجاورة والمشابهة، واطّردت آلاؤه إلى عباده بالمبادرة والمسارعة، والصلاة والسلام على سيّد رسله وأفضل أنبيائه الزاكية وعترته الأماجد الفاخرة، سيّما ابن عمّه ووصيّه الّذي به ختمت علائق الفضيلة والسعادة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يقول أحوج العباد إلى غفران ربّه الغافر ابن محمّد نقي الموسويّ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مقالة أرادها منّي بعض من كنت أعتني بصلاح حاله وأهتمّ بإنجاح مقاله وسؤاله، قد بيّنت فيها بإعانة الله سبحانه مباحث الحقيقة والمجاز بما لم يبيّن إلى الآن في رسالة ولا كتاب، وأوضحت الأمر فيها بحيث يصل إلى حقيقة الحال كلّ من له أدنى دربة بلا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منه ومن سائر الإخوان الدعاء عند استيلاء الخلائق بالمنام، والصفح عن زلّاتي لاعترافي بأنّني من أضعف الأنام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وسمّيتها بالزُهَرَة البَارِقَة لمعرفة أحوال المجاز والحقيقة، ورتّبتها على مقدّمة وأبواب وخاتمة</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6214_221486"/>
      <w:bookmarkStart w:id="89" w:name="pg16214_221486"/>
      <w:bookmarkEnd w:id="89"/>
    </w:p>
    <w:p>
      <w:pPr>
        <w:pStyle w:val="Heading2"/>
        <w:numPr>
          <w:ilvl w:val="1"/>
          <w:numId w:val="1"/>
        </w:numPr>
        <w:rPr/>
      </w:pPr>
      <w:bookmarkStart w:id="90" w:name="pg16214_221486"/>
      <w:bookmarkStart w:id="91" w:name="__RefHeading___Toc3519627_1280447820"/>
      <w:bookmarkStart w:id="92" w:name="_Toc32"/>
      <w:bookmarkEnd w:id="90"/>
      <w:bookmarkEnd w:id="91"/>
      <w:r>
        <w:rPr>
          <w:rtl w:val="true"/>
        </w:rPr>
        <w:t>المقدّمة في بيان ماهيّتهما</w:t>
      </w:r>
      <w:bookmarkEnd w:id="92"/>
    </w:p>
    <w:p>
      <w:pPr>
        <w:pStyle w:val="Heading3"/>
        <w:numPr>
          <w:ilvl w:val="2"/>
          <w:numId w:val="1"/>
        </w:numPr>
        <w:rPr/>
      </w:pPr>
      <w:bookmarkStart w:id="93" w:name="__RefHeading___Toc3519629_1280447820"/>
      <w:bookmarkStart w:id="94" w:name="_Toc33"/>
      <w:bookmarkEnd w:id="93"/>
      <w:r>
        <w:rPr>
          <w:rtl w:val="true"/>
        </w:rPr>
        <w:t>في بيان ماهيّة الحقيقة</w:t>
      </w:r>
      <w:bookmarkEnd w:id="94"/>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الحقيقة فعيلة من حقّ الأمر إذا ثبت، أو من حقّقتُ الأمرَ إذا أثبتُّه؛ وعلى الأوّل يكون للفاعل، فمعناها الثابتة، وعلى الثاني يجوز أن يكون للمفعول أيضًا</w:t>
      </w:r>
      <w:r>
        <w:rPr>
          <w:rStyle w:val="FootnoteAnchor"/>
          <w:rtl w:val="true"/>
        </w:rPr>
        <w:footnoteReference w:id="70"/>
      </w:r>
      <w:r>
        <w:rPr>
          <w:rFonts w:ascii="Amiri" w:hAnsi="Amiri" w:eastAsia="Amiri" w:cs="Amiri"/>
          <w:color w:val="111111"/>
          <w:sz w:val="28"/>
          <w:sz w:val="28"/>
          <w:szCs w:val="28"/>
          <w:rtl w:val="true"/>
          <w:lang w:bidi="ar-SA"/>
        </w:rPr>
        <w:t>، فمعناها على هذا المثبِتة أو المثبَتة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للفاعل سواء كانت من اللازم أو المتعدّي، يجب فيها مراعاة التذكير والتأنيث؛ وأمّا إذا كانت للمفعول وجرت على موصوفها يستوي فيه الأمران</w:t>
      </w:r>
      <w:r>
        <w:rPr>
          <w:rStyle w:val="FootnoteAnchor"/>
          <w:rtl w:val="true"/>
        </w:rPr>
        <w:footnoteReference w:id="72"/>
      </w:r>
      <w:r>
        <w:rPr>
          <w:rFonts w:ascii="Amiri" w:hAnsi="Amiri" w:eastAsia="Amiri" w:cs="Amiri"/>
          <w:color w:val="111111"/>
          <w:sz w:val="28"/>
          <w:sz w:val="28"/>
          <w:szCs w:val="28"/>
          <w:rtl w:val="true"/>
          <w:lang w:bidi="ar-SA"/>
        </w:rPr>
        <w:t>، بخلاف ما إذا لم تكن جارية عليه، فكالأوّل دفعًا للالتباس،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فلان وقتيلته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الحقيقة، فلا شبهة في صحّته من حيث الصناعة فيما إذا كانت للفاعل، ويكون معناه بناءً على الاشتقاق من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الثابتة؛ </w:t>
      </w:r>
      <w:bookmarkStart w:id="95" w:name="pg16214_221487"/>
    </w:p>
    <w:p>
      <w:pPr>
        <w:pStyle w:val="BookText"/>
        <w:rPr/>
      </w:pPr>
      <w:bookmarkEnd w:id="95"/>
      <w:r>
        <w:rPr>
          <w:rFonts w:ascii="Amiri" w:hAnsi="Amiri" w:eastAsia="Amiri" w:cs="Amiri"/>
          <w:color w:val="111111"/>
          <w:sz w:val="28"/>
          <w:sz w:val="28"/>
          <w:szCs w:val="28"/>
          <w:rtl w:val="true"/>
          <w:lang w:bidi="ar-SA"/>
        </w:rPr>
        <w:t>لثبوتها في محلّها الأصليّ والموضوعة له؛ وبناءً على الاشتقاق من المتعدّيّ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المثبتة؛ لإثباتها المدّعى والمدلول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للمفعول فصحّته مشكلة، لما عرفت من التسوية بين الذكور والنسوة، إلّا أن يمنع أصل الاستعمال، أو يدّعى أنّ مرادهم من التسوية بينهما أنّه لا يعتبر فيها حينئذٍ إلحاق العلامة كما في الأوّل، لا أنّ المعتبر عدم الإلحاق، فإلحاقها حينئذٍ غير مضرّ ويكون معنى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المثبتة في محلّها الأصليّ؛ وأمّا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اللفظ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فينبغي أن لا يصحّ مطلقًا؛ لأنّ الموصوف مذكّر، فيجب التجريد من علامة التأنيث في جميع الحالات إلّا إذا أوّل اللفظ بالكلمة فكما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كانت محمولة على المعنى اللغويّ، وأمّا إذا كان المراد منها المعنى الاصطلاحيّ فالاستعمال صحيح في جميع الصور المتصوّرة؛ لأنّ التاء حينئذٍ ليست للتأنيث، بل للنقل من الوصفيّة إلى الاسميّة، والاسم من قبيل الجوامد، فلا يجب المطابقة</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3519631_1280447820"/>
      <w:bookmarkStart w:id="97" w:name="_Toc34"/>
      <w:bookmarkEnd w:id="96"/>
      <w:r>
        <w:rPr>
          <w:rtl w:val="true"/>
        </w:rPr>
        <w:t>عقد وحلّ</w:t>
      </w:r>
      <w:bookmarkEnd w:id="9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كون التاء للنقل من الوصفيّة إلى الاسميّة أنّ اللفظ إذا صار بنفسه اسمًا</w:t>
      </w:r>
      <w:r>
        <w:rPr>
          <w:rStyle w:val="FootnoteAnchor"/>
          <w:rtl w:val="true"/>
        </w:rPr>
        <w:footnoteReference w:id="74"/>
      </w:r>
      <w:r>
        <w:rPr>
          <w:rFonts w:ascii="Amiri" w:hAnsi="Amiri" w:eastAsia="Amiri" w:cs="Amiri"/>
          <w:color w:val="111111"/>
          <w:sz w:val="28"/>
          <w:sz w:val="28"/>
          <w:szCs w:val="28"/>
          <w:rtl w:val="true"/>
          <w:lang w:bidi="ar-SA"/>
        </w:rPr>
        <w:t>لغلبة الاستعمال بعد ما كان وصفًا كانت</w:t>
      </w:r>
      <w:r>
        <w:rPr>
          <w:rStyle w:val="FootnoteAnchor"/>
          <w:rtl w:val="true"/>
        </w:rPr>
        <w:footnoteReference w:id="75"/>
      </w:r>
      <w:r>
        <w:rPr>
          <w:rFonts w:ascii="Amiri" w:hAnsi="Amiri" w:eastAsia="Amiri" w:cs="Amiri"/>
          <w:color w:val="111111"/>
          <w:sz w:val="28"/>
          <w:sz w:val="28"/>
          <w:szCs w:val="28"/>
          <w:rtl w:val="true"/>
          <w:lang w:bidi="ar-SA"/>
        </w:rPr>
        <w:t xml:space="preserve">اسميّته فرعًا لوصفيّته، فيشبّه </w:t>
      </w:r>
    </w:p>
    <w:p>
      <w:pPr>
        <w:pStyle w:val="BookText"/>
        <w:rPr/>
      </w:pPr>
      <w:r>
        <w:rPr>
          <w:rFonts w:ascii="Amiri" w:hAnsi="Amiri" w:eastAsia="Amiri" w:cs="Amiri"/>
          <w:color w:val="111111"/>
          <w:sz w:val="28"/>
          <w:sz w:val="28"/>
          <w:szCs w:val="28"/>
          <w:rtl w:val="true"/>
          <w:lang w:bidi="ar-SA"/>
        </w:rPr>
        <w:t>بالمؤنّث؛ لأنّ المؤنّث فرعٌ للمذكّر</w:t>
      </w:r>
      <w:r>
        <w:rPr>
          <w:rStyle w:val="FootnoteAnchor"/>
          <w:rtl w:val="true"/>
        </w:rPr>
        <w:footnoteReference w:id="76"/>
      </w:r>
      <w:r>
        <w:rPr>
          <w:rFonts w:ascii="Amiri" w:hAnsi="Amiri" w:eastAsia="Amiri" w:cs="Amiri"/>
          <w:color w:val="111111"/>
          <w:sz w:val="28"/>
          <w:sz w:val="28"/>
          <w:szCs w:val="28"/>
          <w:rtl w:val="true"/>
          <w:lang w:bidi="ar-SA"/>
        </w:rPr>
        <w:t>، فيجعل التاء علامة للفرعيّة، كما جعل علامة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العلم، بناءً على أنّ كثرة الشيء فرع تحقّق أصله</w:t>
      </w:r>
      <w:r>
        <w:rPr>
          <w:rStyle w:val="FootnoteAnchor"/>
          <w:rtl w:val="true"/>
        </w:rPr>
        <w:footnoteReference w:id="7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تأمّل؛ لأنّ الظاهر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التاء للنقل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فائدتها نقل اللفظ من الوصفيّة إلى الاسميّة، فتحقّق النقل حينئذٍ متوقّف على إلحاق التاء؛ ومقتضى ما ذكره هذا القائل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الاسم</w:t>
      </w:r>
      <w:r>
        <w:rPr>
          <w:rStyle w:val="FootnoteAnchor"/>
          <w:rtl w:val="true"/>
        </w:rPr>
        <w:footnoteReference w:id="78"/>
      </w:r>
      <w:r>
        <w:rPr>
          <w:rFonts w:ascii="Amiri" w:hAnsi="Amiri" w:eastAsia="Amiri" w:cs="Amiri"/>
          <w:color w:val="111111"/>
          <w:sz w:val="28"/>
          <w:sz w:val="28"/>
          <w:szCs w:val="28"/>
          <w:rtl w:val="true"/>
          <w:lang w:bidi="ar-SA"/>
        </w:rPr>
        <w:t>إذا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إلحاقها متوقّفٌ على تحقّق النقل،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النقل موقوفٌ على إلحاق التاء، كما هو الظاهر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التاء للنقل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وإلحاقها موقوفٌ على تحقّق النقل على ما ذكره،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النقل موقوفٌ على تحقّق النقل، فيلزم الدور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تقدير الإغماض عن ذلك الظاهر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المنقول بعد تحقّق النقل ألحق فيه التاء،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الدور حينئذٍ وإن كان مندفعًا، لكنّه خلاف الواقع</w:t>
      </w:r>
      <w:r>
        <w:rPr>
          <w:rStyle w:val="FootnoteAnchor"/>
          <w:rtl w:val="true"/>
        </w:rPr>
        <w:footnoteReference w:id="79"/>
      </w:r>
      <w:r>
        <w:rPr>
          <w:rFonts w:ascii="Amiri" w:hAnsi="Amiri" w:eastAsia="Amiri" w:cs="Amiri"/>
          <w:color w:val="111111"/>
          <w:sz w:val="28"/>
          <w:sz w:val="28"/>
          <w:szCs w:val="28"/>
          <w:rtl w:val="true"/>
          <w:lang w:bidi="ar-SA"/>
        </w:rPr>
        <w:t>إذ اللفظ المصحوب بالتاء صار لغلبة الاستعمال اسمًا، فحينئذٍ لا يصدق أنّ التاء لأجل تحقّق النقل؛ لوجودها قبله أيضًا</w:t>
      </w:r>
      <w:r>
        <w:rPr>
          <w:rFonts w:eastAsia="Amiri" w:cs="Amiri" w:ascii="Amiri" w:hAnsi="Amiri"/>
          <w:color w:val="111111"/>
          <w:sz w:val="28"/>
          <w:szCs w:val="28"/>
          <w:rtl w:val="true"/>
          <w:lang w:bidi="ar-SA"/>
        </w:rPr>
        <w:t xml:space="preserve">. </w:t>
      </w:r>
      <w:bookmarkStart w:id="98" w:name="pg16214_221489"/>
    </w:p>
    <w:p>
      <w:pPr>
        <w:pStyle w:val="BookText"/>
        <w:rPr/>
      </w:pPr>
      <w:bookmarkEnd w:id="98"/>
      <w:r>
        <w:rPr>
          <w:rFonts w:ascii="Amiri" w:hAnsi="Amiri" w:eastAsia="Amiri" w:cs="Amiri"/>
          <w:color w:val="111111"/>
          <w:sz w:val="28"/>
          <w:sz w:val="28"/>
          <w:szCs w:val="28"/>
          <w:rtl w:val="true"/>
          <w:lang w:bidi="ar-SA"/>
        </w:rPr>
        <w:t xml:space="preserve">وأيضًا أنّ ما ذكره يقتضي إلحاق التاء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ممّا صارت الاسميّة فيه غالبة على الوصفيّة، بل</w:t>
      </w:r>
      <w:r>
        <w:rPr>
          <w:rStyle w:val="FootnoteAnchor"/>
          <w:rtl w:val="true"/>
        </w:rPr>
        <w:footnoteReference w:id="80"/>
      </w:r>
      <w:r>
        <w:rPr>
          <w:rFonts w:ascii="Amiri" w:hAnsi="Amiri" w:eastAsia="Amiri" w:cs="Amiri"/>
          <w:color w:val="111111"/>
          <w:sz w:val="28"/>
          <w:sz w:val="28"/>
          <w:szCs w:val="28"/>
          <w:rtl w:val="true"/>
          <w:lang w:bidi="ar-SA"/>
        </w:rPr>
        <w:t>وفي كلّ ما كان فرعًا لشيء، فكان اللازم إلحاقها في المعرفة؛ لكونها فرعًا للنكرة وغيرها مع أنّ الأمر ليس كذلك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التاء في الوصف وإن كانت موجودة قبل الغلبة، لكنّها لم تكن لازمة في تلك الحالة، بل كان اللازم إزالتها إذا كان الوصف جاريًا على المذكّر، وأمّا بعد بلوغه إلى حدّ الغلبة فهي لازمة مطلقًا، ولهذا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الحقيقة واللفظ الحقيقة، فعلى هذا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التاء للنقل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أنّ وجودها دائمًا أو لزومها لذلك</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بقي الكلام في سرّ لزوم التاء حينئذٍ،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أنّ الوصف بعد بلوغه إلى حدّ الاسميّة صار مشابهًا للأعلام، وهي غير متغيّرة لما بيّن في محلّه، فمشابهها أيضًا كذلك</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3519633_1280447820"/>
      <w:bookmarkStart w:id="100" w:name="_Toc35"/>
      <w:bookmarkEnd w:id="99"/>
      <w:r>
        <w:rPr>
          <w:rtl w:val="true"/>
        </w:rPr>
        <w:t>في بيان ماهيّة المجاز</w:t>
      </w:r>
      <w:bookmarkEnd w:id="10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المجاز، فهو إمّا مصدر ميميّ، أو اسم للمكان من الجواز، وأيّ منهما كان </w:t>
      </w:r>
    </w:p>
    <w:p>
      <w:pPr>
        <w:pStyle w:val="BookText"/>
        <w:rPr/>
      </w:pP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لأنّ المصدر الميميّ من الثلاثيّ المجرّد قياسه فتح العين كالمقتَل والمشرَب، وأمّا كسرها كالمَرْجِع، فقليل إلّا فيما كان فاؤه واوًا، فالأكثر فيه الكسر كالموضِع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اسم المكان فإنّه إذا كان من الفعل الّذي مضارعه مفتوح العين أو مضمومها ولم يكن من باب المثال، فالقياس فيه أيضًا كذلك على ما بيّن في محلّه، ولمّا كان ما قبل الواو حرفًا صحيحًا وساكنًا، نقلت فتحته إليه، فقلبت بالألف، فصار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ظهر لك أنّ إطلاق الحقيقة على اللفظ المستعمل في الموضوع له مجاز، والعلاقة المشابهة، وقد ظهرت ممّا تقدّم، فيكون استعارة، وأمّا إطلاق المجاز على المستعمل في غير الموضوع له فكذلك؛ لما عرفت من أنّه مشتقٌّ من الجواز، وهو إمّا بمعنى العبور والتعدّي،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المكان يجوزه جوازًا إذا تعدّاه</w:t>
      </w:r>
      <w:r>
        <w:rPr>
          <w:rStyle w:val="FootnoteAnchor"/>
          <w:rtl w:val="true"/>
        </w:rPr>
        <w:footnoteReference w:id="83"/>
      </w:r>
      <w:r>
        <w:rPr>
          <w:rFonts w:ascii="Amiri" w:hAnsi="Amiri" w:eastAsia="Amiri" w:cs="Amiri"/>
          <w:color w:val="111111"/>
          <w:sz w:val="28"/>
          <w:sz w:val="28"/>
          <w:szCs w:val="28"/>
          <w:rtl w:val="true"/>
          <w:lang w:bidi="ar-SA"/>
        </w:rPr>
        <w:t>، أو بمعنى الإمكان قسيم للواجب والحرام،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الشيء يجوز جوازًا،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تركه ولا في فعله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إمّا أن يكون مصدرًا ميميًّا، أو من أسماء المكان، فهنا احتمالات أربعة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المجاز مصدرًا ميميًّا من الجواز الّذي بمعنى العبور، ولا شبهة أنّ العبور من خواصّ الأجسام، فتكون نسبته إلى غيرها مجازًا لا محالة، فإطلاقه على اللفظ المخصوص مجازٌ والعلاقة المشابهة؛ لأنّ اللفظ المستعمل في غير الموضوع له قد تعدّ عن معناه الأصليّ، فكأنّه جاز مكانه الحقيقيّ، فيكون استعارة، </w:t>
      </w:r>
    </w:p>
    <w:p>
      <w:pPr>
        <w:pStyle w:val="BookText"/>
        <w:rPr/>
      </w:pPr>
      <w:r>
        <w:rPr>
          <w:rFonts w:ascii="Amiri" w:hAnsi="Amiri" w:eastAsia="Amiri" w:cs="Amiri"/>
          <w:color w:val="111111"/>
          <w:sz w:val="28"/>
          <w:sz w:val="28"/>
          <w:szCs w:val="28"/>
          <w:rtl w:val="true"/>
          <w:lang w:bidi="ar-SA"/>
        </w:rPr>
        <w:t>ولا يخفى أنّ المصدر حينئذٍ بمعنى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اسمًا للمكان من الجواز بمعنى العبور أيضًا، ومعناه الحقيقيّ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هو محلّ العبور، فإذا أُطلق وأُريد منه اللفظ المخصوص يكون مجازًا؛ والعلاقة المشابهة أيضًا؛ إذ المتكلّم لمّا استعمله في غير الموضوع له كأنّه محلّ جاز المتكلّم فيه عن المعنى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مصدرًا ميميًّا من الجواز الّذي بمعنى الإمكان، وهو إنّما يكون حقيقة إذا أُريد منه هذا المعنى، فإطلاقه على الكلمة المخصوصة مجاز، ويمكن التكلّف في تحقّق العلاقة بأنّه من قبيل إطلاق اسم المسبّب على السبب؛ لأنّ الكلمة صارت سببًا لاستعمالها في غير معناها الأصليّ؛ إذ لو لم يكن لما أمكن ذلك، فيكون المجاز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اسمًا للمكان منه أيضًا؛ 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حينئذٍ حقيقة؛ لأنّ الجواز بهذا المعنى كما يمكن حصوله للأجسام كذا يمكن حصوله في الأعراض، فاللفظ يكون موضعًا لذلك الجواز؛ لأنّه موضع لجواز أن يستعمل في غير معناه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كون الحقيقة والمجاز مجازين في اللفظين المخصوصين إنّما هو بحسب أصل اللغة،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مجازان لغويّان في اللفظين المخصوصين، وأمّا في الاصطلاح فحقيقتان، فإذا استعملهما المخاطب بالاصطلاح في معناهما اللغويّ يكونان مجازيّين بحسب الاصطلاح</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يعلم الجواب عمّا لو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حقيقة يكون مجازًا وحقيقة؟ وأيّ مجاز يكون حقيقة ومجازًا؟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استعمله المخاطب بعرف اللغة في </w:t>
      </w:r>
      <w:bookmarkStart w:id="101" w:name="pg16214_221492"/>
    </w:p>
    <w:p>
      <w:pPr>
        <w:pStyle w:val="BookText"/>
        <w:rPr/>
      </w:pPr>
      <w:bookmarkEnd w:id="101"/>
      <w:r>
        <w:rPr>
          <w:rFonts w:ascii="Amiri" w:hAnsi="Amiri" w:eastAsia="Amiri" w:cs="Amiri"/>
          <w:color w:val="111111"/>
          <w:sz w:val="28"/>
          <w:sz w:val="28"/>
          <w:szCs w:val="28"/>
          <w:rtl w:val="true"/>
          <w:lang w:bidi="ar-SA"/>
        </w:rPr>
        <w:t xml:space="preserve">المعنى اللغويّ واللفظ المخصوص يكون حقيقة في الأوّل ومجازًا في الثاني، وكذا إذا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المعنيين، فإنّه يكون حقيقة في اللغويّ ومجازًا في الاصطلاحيّ، وأمّا إذا استعمله المخاطب بعرف الاصطلاح، فيتعاكس الأمران</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3519635_1280447820"/>
      <w:bookmarkStart w:id="103" w:name="_Toc36"/>
      <w:bookmarkEnd w:id="102"/>
      <w:r>
        <w:rPr>
          <w:rtl w:val="true"/>
        </w:rPr>
        <w:t>في تحقيق معنى الحقيقة والمجاز بحسب الاصطلاح</w:t>
      </w:r>
      <w:bookmarkEnd w:id="103"/>
    </w:p>
    <w:p>
      <w:pPr>
        <w:pStyle w:val="BookText"/>
        <w:rPr/>
      </w:pPr>
      <w:r>
        <w:rPr>
          <w:rFonts w:ascii="Amiri" w:hAnsi="Amiri" w:eastAsia="Amiri" w:cs="Amiri"/>
          <w:color w:val="111111"/>
          <w:sz w:val="28"/>
          <w:sz w:val="28"/>
          <w:szCs w:val="28"/>
          <w:rtl w:val="true"/>
          <w:lang w:bidi="ar-SA"/>
        </w:rPr>
        <w:t>هذا معناهما اللغويّ، وأمّا الاصطلاحيّ فقد اختلف في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الحقيقة لفظ مستعمل فيما وضع له، ويعرف المجاز بالمقايسة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لاستلزامه انتقاض كلّ من الحقيقة والمجاز بالآخر؛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اللفظ إذا كان موضوعًا عند طائفة لمعنى وعند أخرى لآخر،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فإنّه موضوع في اللغة للحدث المعلوم، وعند النحاة للكلمة المخصوصة، فإذا استعمله المخاطب بعرف اللغة في الحدث يكون حقيقة لا محالة، مع أنّه يصدق عليه أنّه لفظٌ مستعملٌ في غير الموضوع له، وإذا استعمله في الكلمة يكون مجازًا كذلك مع أنّه يصدق عليه أنّه مستعملٌ في الموضوع له، فانتقض حدّ المجاز بالحقيقة وبالعكس</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الكلام فيما إذا استعمله المخاطب بعرف النحاة في الحدث والكلمة المخصوصة؛ ولهذا قيّد جماعة من الأعلام الحدّين المذكورين باصطلاح به التخاطب،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لفظٌ مستعملٌ فيما وضع له في اصطلاح به التخاطب</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04" w:name="pg16214_221493"/>
    </w:p>
    <w:p>
      <w:pPr>
        <w:pStyle w:val="BookText"/>
        <w:rPr/>
      </w:pPr>
      <w:bookmarkEnd w:id="104"/>
      <w:r>
        <w:rPr>
          <w:rFonts w:ascii="Amiri" w:hAnsi="Amiri" w:eastAsia="Amiri" w:cs="Amiri"/>
          <w:color w:val="111111"/>
          <w:sz w:val="28"/>
          <w:sz w:val="28"/>
          <w:szCs w:val="28"/>
          <w:rtl w:val="true"/>
          <w:lang w:bidi="ar-SA"/>
        </w:rPr>
        <w:t xml:space="preserve">وكذلك الكلام في حدّ المجاز، فَتُوُهِّمَ أنّه حينئذٍ يندفع النقض المذكور؛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استعمله المخاطب بعرف اللغة في الحدث لا يصدق عليه إلّا حدّ الحقيقة؛ إذ ليس هو إلّا الموضوع له بذلك الاصطلاح، فلا يصدق عليه حينئذٍ أنّه مستعملٌ في غير ما وضع له بذلك الاصطلاح وإن كان مستعملًا في غير ما وضع له باصطلاح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استعمله في الكلمة المخصوصة، فإنّه لا يصدق عليه حدّ الحقيقة، إذ لم يصدق عليه أنّه مستعملٌ في الموضوع له بهذا الاصطلاح وإن كان موضوعًا له باصطلاح آخر؛ وهكذا فيما إذا استعمله المخاطب بعرف النحاة فيهما</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3519637_1280447820"/>
      <w:bookmarkStart w:id="106" w:name="_Toc37"/>
      <w:bookmarkEnd w:id="105"/>
      <w:r>
        <w:rPr>
          <w:rtl w:val="true"/>
        </w:rPr>
        <w:t xml:space="preserve">قيد </w:t>
      </w:r>
      <w:r>
        <w:rPr>
          <w:rtl w:val="true"/>
        </w:rPr>
        <w:t>«</w:t>
      </w:r>
      <w:r>
        <w:rPr>
          <w:rtl w:val="true"/>
        </w:rPr>
        <w:t>اصطلاح التخاطب</w:t>
      </w:r>
      <w:r>
        <w:rPr>
          <w:rtl w:val="true"/>
        </w:rPr>
        <w:t xml:space="preserve">» </w:t>
      </w:r>
      <w:r>
        <w:rPr>
          <w:rtl w:val="true"/>
        </w:rPr>
        <w:t>لا يكفي لدفع الانتقاض</w:t>
      </w:r>
      <w:bookmarkEnd w:id="106"/>
    </w:p>
    <w:p>
      <w:pPr>
        <w:pStyle w:val="BookText"/>
        <w:rPr/>
      </w:pPr>
      <w:r>
        <w:rPr>
          <w:rFonts w:ascii="Amiri" w:hAnsi="Amiri" w:eastAsia="Amiri" w:cs="Amiri"/>
          <w:color w:val="111111"/>
          <w:sz w:val="28"/>
          <w:sz w:val="28"/>
          <w:szCs w:val="28"/>
          <w:rtl w:val="true"/>
          <w:lang w:bidi="ar-SA"/>
        </w:rPr>
        <w:t>وفيه نظر؛ لأنّا لا نسلّم سلامة الحدّين عن الانتقاض بزيادة القيد المذكور، أمّا إذا كان القيد متعلّقًا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إذ المعنى حينئذٍ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اللفظ المستعمل في اصطلاح به التخاطب في موضوع له، وهو لا يستلزم أن يكون ذلك موضوعًا له في ذلك الاصطلاح؛ لصدقه ولو لم يكن ذلك موضوعًا له بذلك الاصطلاح، بل كان موضوعًا له باصطلاح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متعلّقًا بالموضوع له، أو بما وضع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 والظاهر أنّ بناء الدفع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فلبقاء الانتقاض أيضًا في مواضع</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3519639_1280447820"/>
      <w:bookmarkStart w:id="108" w:name="_Toc38"/>
      <w:bookmarkEnd w:id="107"/>
      <w:r>
        <w:rPr>
          <w:rtl w:val="true"/>
        </w:rPr>
        <w:t>في اللفظ المشترك</w:t>
      </w:r>
      <w:bookmarkEnd w:id="10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اللفظ المشترك إذا استعمل في أحد معانيه لأجل المناسبة بينه وبين معنى آخر منها</w:t>
      </w:r>
      <w:r>
        <w:rPr>
          <w:rFonts w:eastAsia="Amiri" w:cs="Amiri" w:ascii="Amiri" w:hAnsi="Amiri"/>
          <w:color w:val="111111"/>
          <w:sz w:val="28"/>
          <w:szCs w:val="28"/>
          <w:rtl w:val="true"/>
          <w:lang w:bidi="ar-SA"/>
        </w:rPr>
        <w:t xml:space="preserve">. </w:t>
      </w:r>
      <w:bookmarkStart w:id="109" w:name="pg16214_221494"/>
    </w:p>
    <w:p>
      <w:pPr>
        <w:pStyle w:val="BookText"/>
        <w:rPr/>
      </w:pPr>
      <w:bookmarkEnd w:id="109"/>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اللفظ المشترك يمكن استعماله من 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في الموضوع له لملاحظة الوضع، وهو ظاهر؛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في بعض معانيه لا لذلك، بل لتحقّق المناسبة بينه وبين معنى آخر من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أنّه يصدق عليه في الصورتين أنّه استعمل في ما وضع له في اصطلاح به التخاطب، فيلزم أن يكون حقيقة فيهما، مع أنّه في الصورة الثانية مجاز قطعًا، 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نفعًا</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3519641_1280447820"/>
      <w:bookmarkStart w:id="111" w:name="_Toc39"/>
      <w:bookmarkEnd w:id="110"/>
      <w:r>
        <w:rPr>
          <w:rtl w:val="true"/>
        </w:rPr>
        <w:t>في النقل التعيّنيّ</w:t>
      </w:r>
      <w:bookmarkEnd w:id="111"/>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النقل التعيّنيّ، وهو أن يستعمل اللفظ في غير الموضوع له مجازًا، ثمّ كثر استعماله فيه إلى أن صار حقيقة فيه وهُجر المعنى الأوّل؛ ولا شكّ أنّ هذا اللفظ حقيقة في هذا المعنى بعد الغلبة مع أنّه يصدق عليه أنّه استعمل في غير الموضوع له في اصطلاح التخاطب، ومجاز قبل الغلبة مع أنّه يصدق عليه أنّه استعمل في الموضوع له في اصطلاح التخاطب في الجملة</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3519643_1280447820"/>
      <w:bookmarkStart w:id="113" w:name="_Toc40"/>
      <w:bookmarkEnd w:id="112"/>
      <w:r>
        <w:rPr>
          <w:rtl w:val="true"/>
        </w:rPr>
        <w:t>في النقل التعيينيّ</w:t>
      </w:r>
      <w:bookmarkEnd w:id="113"/>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النقل التعيينيّ، وهو أن يخصّص اللفظ في أوّل الأمر لغير معناه الموضوع له مع ملاحظة المناسبة بينهما؛ وهذا اللفظ عند المخاطب بعرف الناقل، سواء استعمل في المعنى المنقول منه، ثمّ في المنقول إليه، أو بالعكس، يصدق عليه أنّه استعمل في غير ما وضع له، أو فيه في اصطلاح التخاطب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 الاستعمال فيهما</w:t>
      </w:r>
      <w:r>
        <w:rPr>
          <w:rStyle w:val="FootnoteAnchor"/>
          <w:rtl w:val="true"/>
        </w:rPr>
        <w:footnoteReference w:id="86"/>
      </w:r>
      <w:r>
        <w:rPr>
          <w:rFonts w:ascii="Amiri" w:hAnsi="Amiri" w:eastAsia="Amiri" w:cs="Amiri"/>
          <w:color w:val="111111"/>
          <w:sz w:val="28"/>
          <w:sz w:val="28"/>
          <w:szCs w:val="28"/>
          <w:rtl w:val="true"/>
          <w:lang w:bidi="ar-SA"/>
        </w:rPr>
        <w:t xml:space="preserve">مع تعدّد المستعمل واتّحاد زمان الاستعمال، كان </w:t>
      </w:r>
    </w:p>
    <w:p>
      <w:pPr>
        <w:pStyle w:val="BookText"/>
        <w:rPr/>
      </w:pPr>
      <w:r>
        <w:rPr>
          <w:rFonts w:ascii="Amiri" w:hAnsi="Amiri" w:eastAsia="Amiri" w:cs="Amiri"/>
          <w:color w:val="111111"/>
          <w:sz w:val="28"/>
          <w:sz w:val="28"/>
          <w:szCs w:val="28"/>
          <w:rtl w:val="true"/>
          <w:lang w:bidi="ar-SA"/>
        </w:rPr>
        <w:t>الانتقاض أظهر؛ لعدم ورود دعوى ظهور المشتقّ في الحال حينئذٍ، كما عند اتّحاد المستعمل وتعدّد زمان الاستعمال، مع أنّ المعرّفين بأجمعهم لم يأتوا بصيغة المشتقّ الّذي يمكن دعوى ظهور الحال فيه، بل بعضهم أتى بصيغة الماضي</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الفرق بين الصورة الثانية والثالثة مع اشتراكهما في أصل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وحدة المعنى في الأولى وتعدّده في الثانية، ولهذا فرّقنا بينهما وإن أمكن إدخالهما في عنوان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اللفظ موضوعًا عند طائفة لمعنى وكان عندهم له معنى مجازيّ، فإنّه إذا استعمل في المعنى الحقيقيّ، ثمّ في المجازيّ، أو بالعكس، يصدق عليه حال استعماله في المعنى المجازيّ حدّ الحقيقة وفي المعنى الحقيقيّ حدّ المجاز ولو مع القيد المذكور، ولو فرضت الاستعمال هنا أيضًا مع تعدّد المستعمل واتّحاد زمان الاستعمال، كان الانتقاض أظهر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القيد لا يسلّم الانتقاض ولم يحصل بسببه الامتياز؛ ولهذا ترى أنّ جملة من الأعلام لم يلتفتوا إلى هذا القيد، بل اختاروا الحدّ المذكور للحقيقة والمجاز وأجابوا عن انتقاض كلّ منهما بالآخر باعتبار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أنّ الأمور الّتي تختلف بالاعتبار يعتبر في تعاريفها التقييد بالحيثيّة وإن لم يصرّح بها؛ لانسباق الذهن إليها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استعمله المخاطب بعرف اللغة في </w:t>
      </w:r>
      <w:bookmarkStart w:id="114" w:name="pg16214_221496"/>
    </w:p>
    <w:p>
      <w:pPr>
        <w:pStyle w:val="BookText"/>
        <w:rPr/>
      </w:pPr>
      <w:bookmarkEnd w:id="114"/>
      <w:r>
        <w:rPr>
          <w:rFonts w:ascii="Amiri" w:hAnsi="Amiri" w:eastAsia="Amiri" w:cs="Amiri"/>
          <w:color w:val="111111"/>
          <w:sz w:val="28"/>
          <w:sz w:val="28"/>
          <w:szCs w:val="28"/>
          <w:rtl w:val="true"/>
          <w:lang w:bidi="ar-SA"/>
        </w:rPr>
        <w:t>الكلمة المخصوصة، لم يصدق عليه حدّ الحقيقة؛ لوضوح أنّه لم يستعمل في الموضوع له من حيث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أيضًا؛ لأنّا لا نعرف فرقًا بين القيدين</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3519645_1280447820"/>
      <w:bookmarkStart w:id="116" w:name="_Toc41"/>
      <w:bookmarkEnd w:id="115"/>
      <w:r>
        <w:rPr>
          <w:rtl w:val="true"/>
        </w:rPr>
        <w:t xml:space="preserve">قيد </w:t>
      </w:r>
      <w:r>
        <w:rPr>
          <w:rtl w:val="true"/>
        </w:rPr>
        <w:t>«</w:t>
      </w:r>
      <w:r>
        <w:rPr>
          <w:rtl w:val="true"/>
        </w:rPr>
        <w:t>الحيثيّة</w:t>
      </w:r>
      <w:r>
        <w:rPr>
          <w:rtl w:val="true"/>
        </w:rPr>
        <w:t xml:space="preserve">» </w:t>
      </w:r>
      <w:r>
        <w:rPr>
          <w:rtl w:val="true"/>
        </w:rPr>
        <w:t>لا يدفع الانتقاض</w:t>
      </w:r>
      <w:bookmarkEnd w:id="116"/>
    </w:p>
    <w:p>
      <w:pPr>
        <w:pStyle w:val="BookText"/>
        <w:rPr/>
      </w:pPr>
      <w:r>
        <w:rPr>
          <w:rFonts w:ascii="Amiri" w:hAnsi="Amiri" w:eastAsia="Amiri" w:cs="Amiri"/>
          <w:color w:val="111111"/>
          <w:sz w:val="28"/>
          <w:sz w:val="28"/>
          <w:szCs w:val="28"/>
          <w:rtl w:val="true"/>
          <w:lang w:bidi="ar-SA"/>
        </w:rPr>
        <w:t>إذ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بعدم صدق حدّ الحقيقة المقيّد بالحيثيّة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المفروض، عدمُ الصدق بالنظر إلى مجرّد هذا الاستعمال فقط، فهو مسلّم،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المقيّد باصطلاح التخاطب أيضًا كذلك، ضرورة أنّه لا يصدق على ذلك اللفظ حينئذٍ بالنسبة إلى ذلك الاستعمال أنّه مستعملٌ في ما وضع له في اصطلاح به التخاطب،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الموضوع له بذلك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بعدم الصدق عدمه مطلقًا وإن كان مع قطع النظر عن خصوصيّة هذا الاستعمال، فهو ممنوعٌ، وكيف لا؟ مع أنّ المفروض أنّ هذا اللفظ قبل هذا الاستعمال أو معه قد استعمل في الموضوع له من حيث هو موضوع له، فيصدق عليه أنّه استعمل في الموضوع له من حيث هو موضوع له في الجملة، فيلزم أن يكون حقيقة في هذا الاستعمال مع أنّه مجاز، فيرد الانتقاض في جميع ما تقدّم من المواضع المذكورة، فلا فرق بين الحدّ المقيّد باصطلاح التخاطب أو الحيثيّة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الفرق بين الحدّ المقيّد بالقيدين إنّما يسلّم إذا كان المراد ثاني شقّي الترديد، وأمّا إذا كان المراد أوّلهما، فعدم الفرق في غير استعمال المشترك من المواضع المذكورة مسلّم</w:t>
      </w:r>
      <w:r>
        <w:rPr>
          <w:rStyle w:val="FootnoteAnchor"/>
          <w:rtl w:val="true"/>
        </w:rPr>
        <w:footnoteReference w:id="88"/>
      </w:r>
      <w:r>
        <w:rPr>
          <w:rFonts w:ascii="Amiri" w:hAnsi="Amiri" w:eastAsia="Amiri" w:cs="Amiri"/>
          <w:color w:val="111111"/>
          <w:sz w:val="28"/>
          <w:sz w:val="28"/>
          <w:szCs w:val="28"/>
          <w:rtl w:val="true"/>
          <w:lang w:bidi="ar-SA"/>
        </w:rPr>
        <w:t xml:space="preserve">، وأمّا فيه فلا، بل يندفع النقض به أيضًا مع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الحيثيّة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ويبقى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أولى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المناقشة بأنّا نرى كلمات المُكتفين بالحيثيّة مختلفة، فبعضهم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إن استعمل فيما وضع له فحقيقة، وإلّا فمجاز؛ 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اللفظ المستعمل في غير الموضوع له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ملاحظة الحيثيّة يكون التقرير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يستعمل اللفظ فيما وضع له من حيث إنّه الموضوع له فمجاز؛ 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اللفظ المستعمل في غير الموضوع له من حيث إنّه غير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 غير صادق بالنسبة إلى استعمال المشترك في الفرض المذكور؛ لعدم استعماله في غير الموضوع له، كما لا يصدق عليه حدّ الحقيقة لما مرّ، فيلزم أن لا يكون حقيقة ولا مجازًا، وفساده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صادقًا عليه؛ لوضوح أنّه يصدق على المشترك حينئذٍ أنّه لم يستعمل في الموضوع له من حيث هو موضوع له، لكن ينتقض طرد الحدّ حينئذٍ بالألفاظ المهملة والمستعملة في غير معانيها غلطًا،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مشيرًا إلى فرس، وكذا الألفاظ الموضوعة الغير المستعملة لا في معانيها الحقيقيّة ولا في غيرها؛ لصدقه على الجميع مع عدم كونه من أفراد المحدود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المجاز بناءً على الأوّل وإن كان منعكسًا، لكنّه ليس بمطّرد لما عرفت، وأمّا على الثاني فليس بمطّرد ولا منعكس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فلدخول الألفاظ المستعملة في غير معانيها غلطًا تحت الحدّ حينئذٍ، إذ يصدق عليها أنّها استعملت في غير الموضوع له من حيث إنّه كذلك،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عدم صدق الحدّ حينئذٍ على المشترك في الفرض المتقدّم،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هذا لم يصدق على شيء من المجازات الصحيحة؛ لوضوح أنّها لم تستعمل في غير الموضوع له من حيث إنّه غير الموضوع له، بل استعملت في غير الموضوع له من حيث وجدان العلاقة بينه وبين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الحيثيّة المذكورة في حدّ المجاز إمّا تعليليّة كما هي في حدّ الحقيقة كذلك، أو تقييديّة؛ وكلاهما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المصحّح للاستعمال المجازيّ ليس عدم الوضع، بل تحقّق العلاقة بين المعنى المجازي وبين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أيضًا من الانتقاض، إلّا أن يقال</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غير الموضوع له الّذي يكون بينه وبين الموضوع له علاقة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أسلم حدّ الحقيقة عن الانتقاض، لكن لم يسلم حدّ المجاز،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فمجرّده في حدّ المجاز غير كافٍ أيضًا، بل لا بدّ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اللفظ المستعمل في غير ما وضع له في اصطلاح به التخاطب، لعلاقة بينه وبين الموضوع له، أو نحو ذلك ممّا يؤدّي مؤدّاه، وإلّا لانتقض بالألفاظ المستعملة في غير معانيها غلطًا</w:t>
      </w:r>
      <w:r>
        <w:rPr>
          <w:rFonts w:eastAsia="Amiri" w:cs="Amiri" w:ascii="Amiri" w:hAnsi="Amiri"/>
          <w:color w:val="111111"/>
          <w:sz w:val="28"/>
          <w:szCs w:val="28"/>
          <w:rtl w:val="true"/>
          <w:lang w:bidi="ar-SA"/>
        </w:rPr>
        <w:t xml:space="preserve">. </w:t>
      </w:r>
      <w:bookmarkStart w:id="117" w:name="pg16214_221499"/>
    </w:p>
    <w:p>
      <w:pPr>
        <w:pStyle w:val="Heading3"/>
        <w:numPr>
          <w:ilvl w:val="2"/>
          <w:numId w:val="1"/>
        </w:numPr>
        <w:rPr/>
      </w:pPr>
      <w:bookmarkStart w:id="118" w:name="__RefHeading___Toc3519647_1280447820"/>
      <w:bookmarkStart w:id="119" w:name="_Toc42"/>
      <w:bookmarkEnd w:id="117"/>
      <w:bookmarkEnd w:id="118"/>
      <w:r>
        <w:rPr>
          <w:rtl w:val="true"/>
        </w:rPr>
        <w:t>حدّ آخر للحقيقة والمجاز</w:t>
      </w:r>
      <w:bookmarkEnd w:id="119"/>
    </w:p>
    <w:p>
      <w:pPr>
        <w:pStyle w:val="BookText"/>
        <w:rPr/>
      </w:pPr>
      <w:r>
        <w:rPr>
          <w:rFonts w:ascii="Amiri" w:hAnsi="Amiri" w:eastAsia="Amiri" w:cs="Amiri"/>
          <w:color w:val="111111"/>
          <w:sz w:val="28"/>
          <w:sz w:val="28"/>
          <w:szCs w:val="28"/>
          <w:rtl w:val="true"/>
          <w:lang w:bidi="ar-SA"/>
        </w:rPr>
        <w:t>وقال جمع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الحقيقةَ اللفظُ المستعمل في وضع أوّل، والمجاز في غيره لعلاقة، أي اللفظ المستعمل في غير وضع أوّل لعلاقة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هؤلاء الجماعة إمّا أن يجعلوا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الموضوع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للاستعمال، فيكون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الحقيقة اللفظ المستعمل في الموضوع له الأوّلي، فيرد عليهم جميع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 ثمرة له، بل هو مخلّ على ما سيأتي، فيحتاج لتصحيح الحدّ إمّا إلى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 التخاطب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عرفت حالهما؛ أو يبقونه على ظاهره ويجعلون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كما صرّح به الشارح العضديّ</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وهو عبد الرحمن بن ركن الدين أحمد بن عبد الغفّار البكريّ القاضي عضد الدين الإيجي الحنفيّ، له الكثير من التصانيف، ت سنة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فيكون الحاصل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الحقيقة لفظ مستعمل بسبب وضع أوّل، وهو مع عدم مأنوسيّته منظور فيه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طرده منقوض بالمجاز، إذ هو أيضًا مسبّب للوضع؛ لوضوح أنّه لو لم يتحقّق الوضع لم يتحقّق المجاز، وهو ظاهر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دُفع ذلك بإرادة السبب القريب من السببيّة، وهو غير متحقّق إلّا في الحقيقة؛ إذ الوضع وإن كان سببًا لاستعمال اللفظ في المعنى المجازيّ، إلّا أنّه سبب بعيد، والسبب القريب فيه وجودُ العلاقة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في الحقيقة بانفراده ليس سببًا قريبًا تامًّا، وكذا وجود العلاقة في المجاز، بل لا بدّ من انضمام الإرادة القريبة من المستعمل إليهما، فالسبب القريب التامّ في الأوّل الوضعُ وإرادة المستعمل، وفي الثاني وجودُ العلاقة مع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فلانتقاض عكسه بالمشترك عند استعماله في الموضوع له الثانوي فصاعدًا</w:t>
      </w:r>
      <w:r>
        <w:rPr>
          <w:rStyle w:val="FootnoteAnchor"/>
          <w:rtl w:val="true"/>
        </w:rPr>
        <w:footnoteReference w:id="93"/>
      </w:r>
      <w:r>
        <w:rPr>
          <w:rFonts w:ascii="Amiri" w:hAnsi="Amiri" w:eastAsia="Amiri" w:cs="Amiri"/>
          <w:color w:val="111111"/>
          <w:sz w:val="28"/>
          <w:sz w:val="28"/>
          <w:szCs w:val="28"/>
          <w:rtl w:val="true"/>
          <w:lang w:bidi="ar-SA"/>
        </w:rPr>
        <w:t>، إذ لم يصدق عليه حينئذٍ أنّه استعمل بسبب وضع أوّل، بل بسبب الثاني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ذلك أيضًا بأنّه يمكن أن يكون مرادهم بالوضع الأوّل ما لم يلاحظ فيه الوضع الآخر، سواء تحقّق للّفظ وضع آخر كما في المشترك، أو لا كما في الألفاظ الّتي لم يتحقّق لها إلّا وضع واحد؛ فعلى هذا يصدق على كلّ معنى من معاني المشترك أنّه وضع أوّل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التوجيه وإن أسلم عكس الحدّ بالنسبة إلى الألفاظ المشتركة، لكنّه يفسد عكسه بالنسبة إلى الألفاظ المنقولة، تخصيصيًّا كان النقل أو تخصّصيًّا؛ لوضوح أنّ ملاحظة الوضع الأوّل فيه معتبرة عند علماء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التخلّص عن ذلك بتكلّف، وهو أنّ المراد بالوضع الآخر المنفي ملاحظته في حدّ الحقيقة هو الوضع الّذي يكون باقيًا على حاله، وليس الأمر في المنقولات كذلك؛ لأنّها قد هجرت عن المعاني الأوّليّة وصارت مجازات فيها وحقائق في غيرها، فعلى هذا يكون المراد بالوضع الأوّل الوضع الذي لم يلاحظ فيه الوضع الآخر الّذي يكون باقيًا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الكلام في أنّه لا شكّ أنّه يجوز للواضع بعد وضعه اللفظ لمعنى أن يلاحظه، فيضعه لمعنى آخر مناسب للمعنى الأوّل مع بقاء المعنيين على حالهما، فيكون اللفظ مشتركًا بينهما، إذ لم يعتبر في المشترك لزوم عدم الملاحظة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 سابقًا من الانتقاض بالمشترك عند استعماله في أحد معانيه، لا لكونه موضوعًا له على ما مرّ، وبالنقل مطلقًا وغيره؛ لأنّه يصدق على كلّ منها أنّه لفظ استعمل بسبب وضع أوّل في الجملة، فيحتاج إلى أحد القيدين المذكورين وقد عرفت 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 على ما تقدّم سببيّة، فيكون معنى الحدّ في المجاز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استعمل بسبب غير وضع أوّل لعلاقة، وسخافته ظاهرة؛ لما عرفت من أنّ المراد بالسبب هو العلاقة، وحاصله حينئذٍ أنّه لفظ استعمل بسبب العلاقة للعلاقة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دفع ذلك بتكلّف،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المجاز لفظ استعمل في غيره 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صلة للاستعمال، لا للسببيّة، وإن كان في حدّ الحقيقة لها، وأنّ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عائدًا إلى الوضع الّذي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الحقيقة لفظ استعمل في وضع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المراد به هنا الموضوع له من باب </w:t>
      </w:r>
    </w:p>
    <w:p>
      <w:pPr>
        <w:pStyle w:val="BookText"/>
        <w:rPr/>
      </w:pPr>
      <w:r>
        <w:rPr>
          <w:rFonts w:ascii="Amiri" w:hAnsi="Amiri" w:eastAsia="Amiri" w:cs="Amiri"/>
          <w:color w:val="111111"/>
          <w:sz w:val="28"/>
          <w:sz w:val="28"/>
          <w:szCs w:val="28"/>
          <w:rtl w:val="true"/>
          <w:lang w:bidi="ar-SA"/>
        </w:rPr>
        <w:t>الاستخدام، فيكون المعنى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لفظ استعمل في غير الموضوع له لعلاقة بينه وبين الموضوع له؛ وهو وإن كان صحيحًا في نفسه، لكن عكسه منقوض باستعمال المشترك في الفرض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يدفع ذلك بجعل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للظرفيّة وإبقاء الوضع الّذي هو المرجع 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معناه، إذ المعنى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اللفظ المستعمل في غير وضع أوّل بعلاقة؛ وصدقه على المشترك في الاستعمال المفروض وغيره من المجازات الصحيحة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اختيار الحدّ المذكور سابقًا، لكن مع اعتبار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الحيثيّة</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المجاز، فالحقيقة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المستعمل في الموضوع له من حيث إنّه موضوع له؛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المستعمل في غير الموضوع له من حيث هو كذلك لعلاقة بينهما، لكن بعد إرادة الاستعمال الحالي من الاستعمال واعتبار صدق كلّ من الحدّين بالنسبة إلى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يرد شيء ممّا تقدّم، أمّا عدم ورود الانتقاض بالنقل مطلقًا؛ فلأنّ الناقل إذا استعمل اللفظ في المعنى المنقول منه، ثمّ في المنقول إليه، أو بالعكس، ففي حال استعماله في المنقول إليه لم يصدق عليه إلّا حدّ الحقيقة؛ لأنّه في هذا الاستعمال لم يستعمل إلّا في الموضوع له وإن استعمل قبله أو بعده في غيره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حال استعماله في المنقول منه لم يصدق عليه إلّا حدّ المجاز؛ لأنّه لم يستعمل في هذا الاستعمال إلّا في غير الموضوع له وإن استعمل قبله أو بعده في </w:t>
      </w:r>
    </w:p>
    <w:p>
      <w:pPr>
        <w:pStyle w:val="BookText"/>
        <w:rPr/>
      </w:pPr>
      <w:r>
        <w:rPr>
          <w:rFonts w:ascii="Amiri" w:hAnsi="Amiri" w:eastAsia="Amiri" w:cs="Amiri"/>
          <w:color w:val="111111"/>
          <w:sz w:val="28"/>
          <w:sz w:val="28"/>
          <w:szCs w:val="28"/>
          <w:rtl w:val="true"/>
          <w:lang w:bidi="ar-SA"/>
        </w:rPr>
        <w:t>الموضوع له، فإرادة الاستعمال الحالي من الاستعمال في الحدّين يسلم انتقاض كلّ منهما بالآخر فيما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الانتقاض مطلقًا ممنوعٌ ولو مع إرادة الاستعمال الحالي من الاستعمال؛ لأنّ اللفظ حين استعماله في المنقول إليه كما يصدق عليه أنّه مستعمل في الموضوع له، يصدق عليه أنّه استعمل في غير الموضوع له أيضًا في تلك الحالة؛ إذ هو غير الموضوع له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هو موضوع له في اصطلاح به وقعت المخاطبة وغيره في غيره، والمفروض أنّ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 التخاطب</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غير ملحوظ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المجاز على ما ذكرنا هو اللفظ المستعمل في غير الموضوع له من حيث إنّه غير الموضوع له، واللفظ المفروض في ذلك الاستعمال وإن كان يصدق عليه أنّه استعمل في غير الموضوع له، لكن لا من حيث إنّه غير الموضوع له، بل استعمل فيه من حيث إنّه موضوع له، فلا انتقاض</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فيما إذا كان زمان الاستعمال في المنقول إليه مغايرًا لزمان الاستعمال في المنقول منه، وأمّا إذا فرض اتّحاد زمان الاستعمالين بأن يكون الاستعمالان من شخصين في آن واحد، فحينئذٍ وإن كان حدّ كلّ واحد منهما صادقًا على الآخر، إلّا أنّه لمّا اعتبرنا صدق كلّ من الحدّين بالنسبة إلى معنى واحد، يدفع الانتقاض أيضًا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عدم ورود الانتقاض باللفظ الّذي له مجاز، فلمثل ما ذكرنا، سواء اتّحد المستعمل واختلف زمان الاستعمال،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النقض بالاشتراك، فدفعه بالنسبة إلى حدّ الحقيقة ظاهر؛ لأنّه عند استعماله في أحد معانيه، لا لكونه موضوعًا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لأجل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عليه أنّه استعمل في الموضوع له من حيث إنّه الموضوع له، بل استعمل في الموضوع له من حيث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حدّ المجاز فمشكل؛ لأنّ حدّه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المستعمل في غير ما وضع له من حيث هو كذلك لعلاقة، وهو غير صادق بالنسبة إليه حينئذٍ؛ لاستعماله في الموضوع له لأجل العلاقة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اللفظ المستعمل للعلاقة</w:t>
      </w:r>
      <w:r>
        <w:rPr>
          <w:rStyle w:val="FootnoteAnchor"/>
          <w:rtl w:val="true"/>
        </w:rPr>
        <w:footnoteReference w:id="98"/>
      </w:r>
      <w:r>
        <w:rPr>
          <w:rFonts w:ascii="Amiri" w:hAnsi="Amiri" w:eastAsia="Amiri" w:cs="Amiri"/>
          <w:color w:val="111111"/>
          <w:sz w:val="28"/>
          <w:sz w:val="28"/>
          <w:szCs w:val="28"/>
          <w:rtl w:val="true"/>
          <w:lang w:bidi="ar-SA"/>
        </w:rPr>
        <w:t>، يسلم من هذا أيضًا؛ لأنّ المفروض أنّه استعمل في الموضوع له لأجل العلاقة بينه وبين المعنى الآخر</w:t>
      </w:r>
      <w:r>
        <w:rPr>
          <w:rFonts w:eastAsia="Amiri" w:cs="Amiri" w:ascii="Amiri" w:hAnsi="Amiri"/>
          <w:color w:val="111111"/>
          <w:sz w:val="28"/>
          <w:szCs w:val="28"/>
          <w:rtl w:val="true"/>
          <w:lang w:bidi="ar-SA"/>
        </w:rPr>
        <w:t xml:space="preserve">. </w:t>
      </w:r>
      <w:bookmarkStart w:id="120" w:name="pg16214_221505"/>
    </w:p>
    <w:p>
      <w:pPr>
        <w:pStyle w:val="Heading3"/>
        <w:numPr>
          <w:ilvl w:val="2"/>
          <w:numId w:val="1"/>
        </w:numPr>
        <w:rPr/>
      </w:pPr>
      <w:bookmarkStart w:id="121" w:name="__RefHeading___Toc3519649_1280447820"/>
      <w:bookmarkStart w:id="122" w:name="_Toc43"/>
      <w:bookmarkEnd w:id="120"/>
      <w:bookmarkEnd w:id="121"/>
      <w:r>
        <w:rPr>
          <w:rtl w:val="true"/>
        </w:rPr>
        <w:t xml:space="preserve">أخذ </w:t>
      </w:r>
      <w:r>
        <w:rPr>
          <w:rtl w:val="true"/>
        </w:rPr>
        <w:t>«</w:t>
      </w:r>
      <w:r>
        <w:rPr>
          <w:rtl w:val="true"/>
        </w:rPr>
        <w:t>اللفظ</w:t>
      </w:r>
      <w:r>
        <w:rPr>
          <w:rtl w:val="true"/>
        </w:rPr>
        <w:t xml:space="preserve">» </w:t>
      </w:r>
      <w:r>
        <w:rPr>
          <w:rtl w:val="true"/>
        </w:rPr>
        <w:t xml:space="preserve">في حدّ الحقيقة والمجاز أولى من أخذ </w:t>
      </w:r>
      <w:r>
        <w:rPr>
          <w:rtl w:val="true"/>
        </w:rPr>
        <w:t>«</w:t>
      </w:r>
      <w:r>
        <w:rPr>
          <w:rtl w:val="true"/>
        </w:rPr>
        <w:t>الكلمة</w:t>
      </w:r>
      <w:r>
        <w:rPr>
          <w:rtl w:val="true"/>
        </w:rPr>
        <w:t>»</w:t>
      </w:r>
      <w:bookmarkEnd w:id="122"/>
    </w:p>
    <w:p>
      <w:pPr>
        <w:pStyle w:val="BookText"/>
        <w:rPr/>
      </w:pPr>
      <w:r>
        <w:rPr>
          <w:rFonts w:ascii="IRNazanin" w:hAnsi="IRNazanin" w:eastAsia="IRNazanin"/>
          <w:color w:val="111111"/>
          <w:sz w:val="28"/>
          <w:sz w:val="28"/>
          <w:szCs w:val="28"/>
          <w:rtl w:val="true"/>
          <w:lang w:bidi="fa-IR"/>
        </w:rPr>
        <w:t>إرشاد رشاد</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المتناول للمفرد والمرّكب في حدّي الحقيقة والمجاز كما أطبقت عليه ألسنة أئمّة الأصول</w:t>
      </w:r>
      <w:r>
        <w:rPr>
          <w:rStyle w:val="FootnoteAnchor"/>
          <w:rtl w:val="true"/>
        </w:rPr>
        <w:footnoteReference w:id="99"/>
      </w:r>
      <w:r>
        <w:rPr>
          <w:rFonts w:ascii="Amiri" w:hAnsi="Amiri" w:eastAsia="Amiri" w:cs="Amiri"/>
          <w:color w:val="111111"/>
          <w:sz w:val="28"/>
          <w:sz w:val="28"/>
          <w:szCs w:val="28"/>
          <w:rtl w:val="true"/>
          <w:lang w:bidi="ar-SA"/>
        </w:rPr>
        <w:t xml:space="preserve">،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المفرد على ما ذهب إليه أكثر علماء البيان</w:t>
      </w:r>
      <w:r>
        <w:rPr>
          <w:rStyle w:val="FootnoteAnchor"/>
          <w:rtl w:val="true"/>
        </w:rPr>
        <w:footnoteReference w:id="100"/>
      </w:r>
      <w:r>
        <w:rPr>
          <w:rFonts w:ascii="Amiri" w:hAnsi="Amiri" w:eastAsia="Amiri" w:cs="Amiri"/>
          <w:color w:val="111111"/>
          <w:sz w:val="28"/>
          <w:sz w:val="28"/>
          <w:szCs w:val="28"/>
          <w:rtl w:val="true"/>
          <w:lang w:bidi="ar-SA"/>
        </w:rPr>
        <w:t>لئلّا يتوهّم اختصاص الانقسام إليهما بالمفردات؛ لأنّه كما تتّصف المفردات بهما تتّصف المركّبات أيضًا؛ إذ المصحّح للاتّصاف بهما الوضع، وهو كما يتحقّق في المفردات يتحقّق في المركّبات أيضًا على ما سيأتي</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3519651_1280447820"/>
      <w:bookmarkStart w:id="124" w:name="_Toc44"/>
      <w:bookmarkEnd w:id="123"/>
      <w:r>
        <w:rPr>
          <w:rtl w:val="true"/>
        </w:rPr>
        <w:t>في بيان تحقّق الوضع في المركّبات</w:t>
      </w:r>
      <w:bookmarkEnd w:id="124"/>
    </w:p>
    <w:p>
      <w:pPr>
        <w:pStyle w:val="BookText"/>
        <w:rPr/>
      </w:pPr>
      <w:r>
        <w:rPr>
          <w:rFonts w:ascii="Amiri" w:hAnsi="Amiri" w:eastAsia="Amiri" w:cs="Amiri"/>
          <w:color w:val="111111"/>
          <w:sz w:val="28"/>
          <w:sz w:val="28"/>
          <w:szCs w:val="28"/>
          <w:rtl w:val="true"/>
          <w:lang w:bidi="ar-SA"/>
        </w:rPr>
        <w:t xml:space="preserve">فما توهّمه بعض الأعلام من اختصاص الانقسام إليهما بالمفردات، فيرجّح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الاختيار</w:t>
      </w:r>
      <w:r>
        <w:rPr>
          <w:rStyle w:val="FootnoteAnchor"/>
          <w:rtl w:val="true"/>
        </w:rPr>
        <w:footnoteReference w:id="101"/>
      </w:r>
      <w:r>
        <w:rPr>
          <w:rFonts w:ascii="Amiri" w:hAnsi="Amiri" w:eastAsia="Amiri" w:cs="Amiri"/>
          <w:color w:val="111111"/>
          <w:sz w:val="28"/>
          <w:sz w:val="28"/>
          <w:szCs w:val="28"/>
          <w:rtl w:val="true"/>
          <w:lang w:bidi="ar-SA"/>
        </w:rPr>
        <w:t>ففساده لا يحتاج إلى البيان؛ لأنّ منشأ هذا التوهّم إمّا تخصيص الوضع المعتبر في الحدّين وجودًا وعدمًا بالشخصيّ، أو توهّم انتفاء مطلق الوضع في المركّبات ولو كان نوعيًّا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وكلاهما فاسد،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فلاستلزامه عدم اتّصاف كثير من الألفاظ المفردة كالأفعال والصفات والمثنّى والمجموع والمصغّر والمنسوب بالحقيقة؛ لأنّ الوضع </w:t>
      </w:r>
    </w:p>
    <w:p>
      <w:pPr>
        <w:pStyle w:val="BookText"/>
        <w:rPr/>
      </w:pPr>
      <w:r>
        <w:rPr>
          <w:rFonts w:ascii="Amiri" w:hAnsi="Amiri" w:eastAsia="Amiri" w:cs="Amiri"/>
          <w:color w:val="111111"/>
          <w:sz w:val="28"/>
          <w:sz w:val="28"/>
          <w:szCs w:val="28"/>
          <w:rtl w:val="true"/>
          <w:lang w:bidi="ar-SA"/>
        </w:rPr>
        <w:t>المتحقّق فيها نوعيّ، فلا وجه لتخصيص الإخراج بالمركّبات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أئمّة الأصول والبيان اتّفقوا في بحث المجاز على تقسيمه إلى المجاز في المفرد والمجاز في المركّب</w:t>
      </w:r>
      <w:r>
        <w:rPr>
          <w:rStyle w:val="FootnoteAnchor"/>
          <w:rtl w:val="true"/>
        </w:rPr>
        <w:footnoteReference w:id="102"/>
      </w:r>
      <w:r>
        <w:rPr>
          <w:rFonts w:ascii="Amiri" w:hAnsi="Amiri" w:eastAsia="Amiri" w:cs="Amiri"/>
          <w:color w:val="111111"/>
          <w:sz w:val="28"/>
          <w:sz w:val="28"/>
          <w:szCs w:val="28"/>
          <w:rtl w:val="true"/>
          <w:lang w:bidi="ar-SA"/>
        </w:rPr>
        <w:t>، كما لا يخفى على من له أدنى اطّلاع على كتبهم، فلو لم يثبت الوضع في المركّبات أصلًا، لما كان لهذا التقسيم وجه؛ لأنّ المجاز استعمال اللفظ في غير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انتفى الوضع في المركّبات مطلقًا، لزم تحقّق الواسطة في الألفاظ المستعملة بالاستعمال الصحيح بين المجاز والحقيقة،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الشرطيّة؛ فلأنّ الألفاظ المركّبة المستعملة في المعاني المستفادة منها عند انتفاء الوضع فيها لا يكون حقيقة ولا مجازًا؛ أمّا الأوّل فظاهر، وأمّا الثاني فلأنّ المجاز فرع الوضع؛ إذ هو اللفظ المستعمل في غير الموضوع له لعلاقة بينه وبين الموضوع له، والمفروض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التالي؛ فلاتّفاقهم على أنّ الاستعمال الصحيح منحصرٌ فيهما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الوضع في المركّبات لو كان منتفيًا أصلًا، لزم عدم استفادة المعاني منها، والتالي باطل، فالمقدّم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الملازمة؛ فلاتّفاقهم على أنّ الدلالة اللفظيّة الوضعيّة منحصرةٌ في الحقائق والمجازات، وعلى تقدير عدم اتّصاف المركّبات بشيء منهما يلزم انتفاء 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التالي، فمعلوم بالوجدان ومشاهد بالعيان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المستفاد من المركّبات معنى واحد عند اتّحاد الهيئة ولو مع اختلاف المادّة، ومعانٍ مختلفة عند اختلاف الهيئة ولو مع وحدة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المستفاد من الهيئة الإسناديّة في التركيب الإسناديّ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هو المستفاد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شاعر، وخالد كاتب، وبكر فاضل، ونحوها، وكذا المستفاد من الهيئة الإضافيّة في الإضافيّ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زيدٍ، هو المستفاد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بكرٍ، وبيتُ خالدٍ، وابن وليد، ونحوها، وكذا الكلام في التوصيفيّ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الغلام، وعمرو الشاعر، وخالد الكاتب، وهكذا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المستفاد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ما هو المستفاد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والمستفاد منهما خلاف ما هو المستفاد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والمادّة في الجميع واحدة، والمعاني المستفادة منها مختلفة باختلاف الهيئة، ووحدة المعنى عند اتّحاد الهيئة ولو مع اختلاف المادّة واختلافه عند اختلافها ولو مع اتّحاد المادّة أمارةٌ ظاهرة وقرينةٌ لائحة على أنّه ليس إلّا لأجل تعيين الواضع كلًّا من تلك الهيئات بإزاء معنى خاصّ، وليس القصد من وضع المركّبات إلّا ذلك، وسيجيء لك مزيد توضيح في ذلك</w:t>
      </w:r>
      <w:r>
        <w:rPr>
          <w:rFonts w:eastAsia="Amiri" w:cs="Amiri" w:ascii="Amiri" w:hAnsi="Amiri"/>
          <w:color w:val="111111"/>
          <w:sz w:val="28"/>
          <w:szCs w:val="28"/>
          <w:rtl w:val="true"/>
          <w:lang w:bidi="ar-SA"/>
        </w:rPr>
        <w:t xml:space="preserve">. </w:t>
      </w:r>
      <w:bookmarkStart w:id="125" w:name="pg16214_221508"/>
    </w:p>
    <w:p>
      <w:pPr>
        <w:pStyle w:val="Heading3"/>
        <w:numPr>
          <w:ilvl w:val="2"/>
          <w:numId w:val="1"/>
        </w:numPr>
        <w:rPr/>
      </w:pPr>
      <w:bookmarkStart w:id="126" w:name="__RefHeading___Toc3519653_1280447820"/>
      <w:bookmarkStart w:id="127" w:name="_Toc45"/>
      <w:bookmarkEnd w:id="125"/>
      <w:bookmarkEnd w:id="126"/>
      <w:r>
        <w:rPr>
          <w:rtl w:val="true"/>
        </w:rPr>
        <w:t xml:space="preserve">في أنّ </w:t>
      </w:r>
      <w:r>
        <w:rPr>
          <w:rtl w:val="true"/>
        </w:rPr>
        <w:t>«</w:t>
      </w:r>
      <w:r>
        <w:rPr>
          <w:rtl w:val="true"/>
        </w:rPr>
        <w:t>الوضع</w:t>
      </w:r>
      <w:r>
        <w:rPr>
          <w:rtl w:val="true"/>
        </w:rPr>
        <w:t xml:space="preserve">» </w:t>
      </w:r>
      <w:r>
        <w:rPr>
          <w:rtl w:val="true"/>
        </w:rPr>
        <w:t>المأخوذ في حدّي الحقيقة والمجاز هل هو شخصيّ أو نوعيّ أو أعمّ منهما؟</w:t>
      </w:r>
      <w:bookmarkEnd w:id="127"/>
    </w:p>
    <w:p>
      <w:pPr>
        <w:pStyle w:val="BookText"/>
        <w:rPr/>
      </w:pPr>
      <w:r>
        <w:rPr>
          <w:rFonts w:ascii="Amiri" w:hAnsi="Amiri" w:eastAsia="Amiri" w:cs="Amiri"/>
          <w:color w:val="111111"/>
          <w:sz w:val="28"/>
          <w:sz w:val="28"/>
          <w:szCs w:val="28"/>
          <w:rtl w:val="true"/>
          <w:lang w:bidi="ar-SA"/>
        </w:rPr>
        <w:t>تعقيد وتفكيك</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في حدّ الحقيقة والمجاز إمّا شخصيّ فقط، أو نوعيّ كذلك، أو أعمّ؛ والجميع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انتقاض عكس الحدّ في الحقيقة بخروج الأفعال والصفات والمركّبات وما ضاهاها ممّا يكون الوضع فيه نوعيًّا، وطرد الحدّ في المجاز بدخول ما ذكر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انتقاض عكس الحدّ في الحقيقة بخروج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وزيد ونحوهما ممّا يكون الوضع فيه شخصيًّا، وطرده بدخول المجازات كلّها،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المجازات موضوعة بالوضع النوعيّ</w:t>
      </w:r>
      <w:r>
        <w:rPr>
          <w:rStyle w:val="FootnoteAnchor"/>
          <w:rtl w:val="true"/>
        </w:rPr>
        <w:footnoteReference w:id="103"/>
      </w:r>
      <w:r>
        <w:rPr>
          <w:rFonts w:ascii="Amiri" w:hAnsi="Amiri" w:eastAsia="Amiri" w:cs="Amiri"/>
          <w:color w:val="111111"/>
          <w:sz w:val="28"/>
          <w:sz w:val="28"/>
          <w:szCs w:val="28"/>
          <w:rtl w:val="true"/>
          <w:lang w:bidi="ar-SA"/>
        </w:rPr>
        <w:t>، وطرد حدّ المجاز بدخول ما كان الوضع فيه شخصيًّا عند استعمالها في معانيها الأصليّة، وعكسه بخروج المجازات، بل لا يبقى لحدّ المجاز مصداق؛ لما مرّ من أنّ المجازات موضوعة بالوضع النوعيّ، فلا يصدق أنّها مستعملة في غير ما وضعت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انتقاض طرد الحدّ في الحقيقة بدخول المجازات كلّها، وعكس الحدّ في المجاز بخروج المجازات، بل لا يبقى للحدّ مصداق وللمحدود أفراد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لكلّ من الوضع والوضع النوعيّ عندهم إطلاقين، تحقيق </w:t>
      </w:r>
    </w:p>
    <w:p>
      <w:pPr>
        <w:pStyle w:val="BookText"/>
        <w:rPr/>
      </w:pPr>
      <w:r>
        <w:rPr>
          <w:rFonts w:ascii="Amiri" w:hAnsi="Amiri" w:eastAsia="Amiri" w:cs="Amiri"/>
          <w:color w:val="111111"/>
          <w:sz w:val="28"/>
          <w:sz w:val="28"/>
          <w:szCs w:val="28"/>
          <w:rtl w:val="true"/>
          <w:lang w:bidi="ar-SA"/>
        </w:rPr>
        <w:t>المقام وتوضيح المرام يقتضي البسط في الكلام،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بالنسبة إلى الموضوع ينقسم إلى الوضع الشخصىّ والنوعيّ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شبهة في امتناع تحقّق الوضع من غير أن يتصوّر الموضوع، فالموضوع المتصوّر حين الوضع إمّا ملحوظ بحسب الهيئة والمادّة، كالإنسان وزيد والفرس والحيوان وأمثالها، فإنّ الواضع لاحظها بالاعتبارين المذكورين، ثمّ عيّنها لمعانيها المعلومة، أو ملحوظ بحسب الهيئة دون المادّة، كالأفعال والصفات والمثنّى والمجموع وما ضاهاها، فإنّ الملحوظ فيها هيئاتها دون الموادّ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الوضع فيه شخصيًّا؛ لتشخّص الموضوع الحاصل بهيئة</w:t>
      </w:r>
      <w:r>
        <w:rPr>
          <w:rStyle w:val="FootnoteAnchor"/>
          <w:rtl w:val="true"/>
        </w:rPr>
        <w:footnoteReference w:id="104"/>
      </w:r>
      <w:r>
        <w:rPr>
          <w:rFonts w:ascii="Amiri" w:hAnsi="Amiri" w:eastAsia="Amiri" w:cs="Amiri"/>
          <w:color w:val="111111"/>
          <w:sz w:val="28"/>
          <w:sz w:val="28"/>
          <w:szCs w:val="28"/>
          <w:rtl w:val="true"/>
          <w:lang w:bidi="ar-SA"/>
        </w:rPr>
        <w:t>مخصوصة في ضمن مادّة معيّنة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نوعيًّا؛ إذ المعتبر فيه نوع الهيئة لا شخصها المتشخّص في ضمن مادّة مخصوصة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الّذي عيّنه الواضع للإفادة إمّا أن يكون</w:t>
      </w:r>
      <w:r>
        <w:rPr>
          <w:rStyle w:val="FootnoteAnchor"/>
          <w:rtl w:val="true"/>
        </w:rPr>
        <w:footnoteReference w:id="106"/>
      </w:r>
      <w:r>
        <w:rPr>
          <w:rFonts w:ascii="Amiri" w:hAnsi="Amiri" w:eastAsia="Amiri" w:cs="Amiri"/>
          <w:color w:val="111111"/>
          <w:sz w:val="28"/>
          <w:sz w:val="28"/>
          <w:szCs w:val="28"/>
          <w:rtl w:val="true"/>
          <w:lang w:bidi="ar-SA"/>
        </w:rPr>
        <w:t>جهة التعيين فيه مستندة إلى كلّ من الهيئة والمادّة، أو إلى الأوّل دون الثاني، أو بالعكس، أو لا إلى شيء منهما، فههنا أربعة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الأمرين، إذ الإخلال بأيّ منهما كان موجبًا للإخلال بالإفادة؛ لاستنادها بتعيين الواضع إلى مجموعهما، فالمعتبر فيه شخص ذلك اللفظ، لكن بحيث يبقى</w:t>
      </w:r>
      <w:r>
        <w:rPr>
          <w:rStyle w:val="FootnoteAnchor"/>
          <w:rtl w:val="true"/>
        </w:rPr>
        <w:footnoteReference w:id="107"/>
      </w:r>
      <w:r>
        <w:rPr>
          <w:rFonts w:ascii="Amiri" w:hAnsi="Amiri" w:eastAsia="Amiri" w:cs="Amiri"/>
          <w:color w:val="111111"/>
          <w:sz w:val="28"/>
          <w:sz w:val="28"/>
          <w:szCs w:val="28"/>
          <w:rtl w:val="true"/>
          <w:lang w:bidi="ar-SA"/>
        </w:rPr>
        <w:t>الهيئة والمادّة مع ترتيب الحروف الّذي حالَ الوضع</w:t>
      </w:r>
      <w:r>
        <w:rPr>
          <w:rStyle w:val="FootnoteAnchor"/>
          <w:rtl w:val="true"/>
        </w:rPr>
        <w:footnoteReference w:id="108"/>
      </w:r>
      <w:r>
        <w:rPr>
          <w:rFonts w:ascii="Amiri" w:hAnsi="Amiri" w:eastAsia="Amiri" w:cs="Amiri"/>
          <w:color w:val="111111"/>
          <w:sz w:val="28"/>
          <w:sz w:val="28"/>
          <w:szCs w:val="28"/>
          <w:rtl w:val="true"/>
          <w:lang w:bidi="ar-SA"/>
        </w:rPr>
        <w:t>، فتعدّد المستعملين والاستعمال مع بقاء الترتيب غير مضرّ، وبقاء الهيئة والمادّة مع الإخلال به مخلّ؛ 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فيه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الهيئة فقط؛ إذ الإفادة دائرة مدارها، فلا دخل لشيء من الموادّ في إفادته، فالإخلال بموادّ مخصوصة غير مضرّ، إلّا أنّ أصل المادّة ممّا لا بدّ منه، لا لاستناد الإفادة إليه، بل لتحقّق الهيئة؛ ضرورة افتقار العرض إلى محلّ يقوم به، فالمعتبر في الإفادة حينئذٍ نوع تلك الهيئة 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فيه نوعيّ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الأمر في الثالث، لكن بالنسبة إلى المادّة، فالإخلال بالهيئة فيه غير مخلّ للإفادة؛ لاستنادها إلى المادّة، فيجب تحقّقها مع أيّ هيئة صاحبتها المادّة، فيكون الوضع فيه أيضًا نوعيًّا لما تقدّم، ويمكن التمثيل لهذا القسم بالمصادر، فإنّ دلالتها على الأحداث ثابتة، سواء وجدت مع هيئة الفعل أو الوصف، أو لا، فتأمّل</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28" w:name="pg16214_221511"/>
    </w:p>
    <w:p>
      <w:pPr>
        <w:pStyle w:val="BookText"/>
        <w:rPr/>
      </w:pPr>
      <w:bookmarkEnd w:id="128"/>
      <w:r>
        <w:rPr>
          <w:rFonts w:ascii="Amiri" w:hAnsi="Amiri" w:eastAsia="Amiri" w:cs="Amiri"/>
          <w:color w:val="111111"/>
          <w:sz w:val="28"/>
          <w:sz w:val="28"/>
          <w:szCs w:val="28"/>
          <w:rtl w:val="true"/>
          <w:lang w:bidi="ar-SA"/>
        </w:rPr>
        <w:t>وأمّا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فيترآى في بادي النظر أنّه غير متصوّر؛ لامتناع تعيين اللفظ للإفادة، ولا تكون جهة التعيين فيه مستندة إلى شيء منهما من المادّة والهيئة، لكنّ الأمر ليس كذلك، بل المجازات كلّها من هذا القبيل، فإنّها قد عُيّنت للدلالة على المعاني المجازيّة مع عدم استناد الإفادة إلى شيء من مادّة اللفظ وهيئته؛ لكون المعتبر فيها نوع العلاقة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أيّ لفظ تحقّق، من غير اعتبار هيئة دون أخرى ومادّة دون غيرها، ولا خصوص لفظ دون غيره، فتأمّل، وسيجيء لك زيادة توضيح في هذا المطلب</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3519655_1280447820"/>
      <w:bookmarkStart w:id="130" w:name="_Toc46"/>
      <w:bookmarkEnd w:id="129"/>
      <w:r>
        <w:rPr>
          <w:rtl w:val="true"/>
        </w:rPr>
        <w:t>كشفُ إجمال لتوضيح مقال</w:t>
      </w:r>
      <w:bookmarkEnd w:id="130"/>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كيفيّه صدور النوعين المذكورين للوضع من الواضع إمّا في الشخصيّ، فهي أنّ الواضع يتصوّر لفظًا متشخّصًا بمادّة وهيئة مخصوصة، ثمّ يعيّنه لمعنى مخصوص ليستعمله المُسْتَعْمِل فيه حتّى ينتقل إليه كلّ من له اطّلاع على وضعه، فالمعتبر في وضعه حينئذٍ تلك المادّة والهيئة مع الترتيب، دون شيء آخر من صدوره في زمان دون آخر ومن مستعمل دون غيره، فكلّ مخاطب باصطلاحه إذا استعمله في ذلك المعنى في أيّ زمان كان يصدق عليه أنّه ذلك اللفظ الموضوع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لا يتوهّم أنّ اللفظ المذكور لو استعمله غير الواضع مثلًا ينبغي أن لا يكون حقيقة، إذ من جملة مشخّصاته صدوره من الواضع مثلًا في زمان مخصوص؛ ومعلوم أنّ المتشخّص ينتفي بزوال تشخّصه، فحينئذٍ لا يصدق عليه أنّه ذلك </w:t>
      </w:r>
      <w:bookmarkStart w:id="131" w:name="pg16214_221512"/>
    </w:p>
    <w:p>
      <w:pPr>
        <w:pStyle w:val="BookText"/>
        <w:rPr/>
      </w:pPr>
      <w:bookmarkEnd w:id="131"/>
      <w:r>
        <w:rPr>
          <w:rFonts w:ascii="Amiri" w:hAnsi="Amiri" w:eastAsia="Amiri" w:cs="Amiri"/>
          <w:color w:val="111111"/>
          <w:sz w:val="28"/>
          <w:sz w:val="28"/>
          <w:szCs w:val="28"/>
          <w:rtl w:val="true"/>
          <w:lang w:bidi="ar-SA"/>
        </w:rPr>
        <w:t>اللفظ الموضوع، وعلى تقدير اعتبار المادّة والهيئة في الوضع دون غيرهما، لا يكون الوضع فيه شخصيًّا؛ لتحقّقها في ضمن أفراد 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اندفاع التوهّم الأوّل فظاهر، وأمّا الثاني فلأنّ المراد بتشخّص الموضوع في المقام بالنسبة إلى خصوصيّته مادّة وهيئة بمقابلة ما سيأتي، فلا يضرّ تعدّد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في الوضع النوعيّ، فهي أن يلاحظ الواضع حال الوضع نوع الهيئة، كهيئة المشتقّ مثلًا</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3519657_1280447820"/>
      <w:bookmarkStart w:id="133" w:name="_Toc47"/>
      <w:bookmarkEnd w:id="132"/>
      <w:r>
        <w:rPr>
          <w:rtl w:val="true"/>
        </w:rPr>
        <w:t>تحقيق في الوضع النوعيّ</w:t>
      </w:r>
      <w:bookmarkEnd w:id="133"/>
    </w:p>
    <w:p>
      <w:pPr>
        <w:pStyle w:val="Heading4"/>
        <w:numPr>
          <w:ilvl w:val="3"/>
          <w:numId w:val="1"/>
        </w:numPr>
        <w:rPr/>
      </w:pPr>
      <w:bookmarkStart w:id="134" w:name="__RefHeading___Toc3519659_1280447820"/>
      <w:bookmarkStart w:id="135" w:name="_Toc48"/>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تنقيحه يحتاج إلى بسط الكلام في مقامين</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3519661_1280447820"/>
      <w:bookmarkStart w:id="137" w:name="_Toc49"/>
      <w:bookmarkEnd w:id="136"/>
      <w:r>
        <w:rPr>
          <w:rtl w:val="true"/>
        </w:rPr>
        <w:t>المقام الأوّل</w:t>
      </w:r>
      <w:bookmarkEnd w:id="13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النوع أمر مبهم، والشيء ما لم يتشخّص لم يوجد، لا في الخارج ولا في الذهن، وكيف يتصوّر تعقّل النوع؟</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تعقّله يكون بأحد الوجهين، إمّا بأن يتعقّل الهيئة المتحصّلة من الحروف الّتي يكون أوّلها مفتوحًا وثانيها ألفًا وثالثها مكسورًا ورابعها منوّنًا؛ أو بأن يتعقّله في ضمن مادّة مخصوصة بأن يتعقّل الهيئة الّتي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3519663_1280447820"/>
      <w:bookmarkStart w:id="139" w:name="_Toc50"/>
      <w:bookmarkEnd w:id="138"/>
      <w:r>
        <w:rPr>
          <w:rtl w:val="true"/>
        </w:rPr>
        <w:t>المقام الثاني</w:t>
      </w:r>
      <w:bookmarkEnd w:id="13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الموضوع في الوضع النوعيّ، هل يكون النوع المتعقّل نفسه بأن يقول 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عيّنت الهيئة المتحصّلة من الحروف على النهج المذكور مثلًا للدلالة على ذات ما ثبت له المبدء المقترن بها، أو يكون الموضوع أفراد النوع المتعقّل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وضعت كلّ فرد من أفراد تلك الهيئة للدلالة، إلخ؟ </w:t>
      </w:r>
    </w:p>
    <w:p>
      <w:pPr>
        <w:pStyle w:val="BookText"/>
        <w:rPr/>
      </w:pPr>
      <w:r>
        <w:rPr>
          <w:rFonts w:ascii="Amiri" w:hAnsi="Amiri" w:eastAsia="Amiri" w:cs="Amiri"/>
          <w:color w:val="111111"/>
          <w:sz w:val="28"/>
          <w:sz w:val="28"/>
          <w:szCs w:val="28"/>
          <w:rtl w:val="true"/>
          <w:lang w:bidi="ar-SA"/>
        </w:rPr>
        <w:t>والفرق بين الاعتبارين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الموضوع في الأوّل نفس النوع، وفي الثاني أمر مغاير له، بل النوع حينئذٍ عنوان للموضوع وآلة لملاحظته؛ لكون الموضوع أفرادًا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والافتقار إلى تعقّل النوع أمّا في الصورة الأولى فظاهر</w:t>
      </w:r>
      <w:r>
        <w:rPr>
          <w:rStyle w:val="FootnoteAnchor"/>
          <w:rtl w:val="true"/>
        </w:rPr>
        <w:footnoteReference w:id="110"/>
      </w:r>
      <w:r>
        <w:rPr>
          <w:rFonts w:ascii="Amiri" w:hAnsi="Amiri" w:eastAsia="Amiri" w:cs="Amiri"/>
          <w:color w:val="111111"/>
          <w:sz w:val="28"/>
          <w:sz w:val="28"/>
          <w:szCs w:val="28"/>
          <w:rtl w:val="true"/>
          <w:lang w:bidi="ar-SA"/>
        </w:rPr>
        <w:t>، وأمّا في الصورة الثانية فلأنّ الجزئيّات لعدم انضباطها وانحصارها لا يمكن تعقّلها مفصّلًا، فيلزم تعقّلها مجملًا في ضمن النوع؛ لامتناع تحقّق الوضع من دون تعقّل الموضوع، لا مفصّلًا ولا مجملًا؛ وكون الوضع نوعيًّا في هذا القسم بناءً على الأوّل ظاهر، وأمّا على الثاني فلكون الموضوع متصوّرًا بنوعه لا بشخصه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أيضًا كذلك، ضرورة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يتكرّر بتكرّر الاستعمال، فتكون تلك الألفاظ المتكرّرة أفرادًا، فالوضع إمّا أن يتعلّق بالنوع، أو بالأفراد، وأيًّا ما كان يكون الوضع فيه كالثاني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ذكرنا أنّ التشخّص في هذا القسم باعتبار تشخّص المادّة والهيئة جميعًا، وليس الأمر في القسم الثاني كذلك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والتحقيق أن يكون متعلّق الوضع في النوعيّ أفراد النوع المتعقّل، لا النوع نفسه؛ إذ لو كان متعلّقه النوع لا الأفراد لزم أن لا تكون جزئيّات الهيئات المستعملة كالضارب والقاتل والآكل وأمثالها بخصوصيّاتها حقيقة مطلقًا، ولو عند استعمالها في المعاني المعلومة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القول بعدم وجود الكليّ الطبيعيّ في الخارج فظاهر؛ إذ الموضوع وهو النوع ليس بموجود في الخارج حينئذٍ، والموجود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الموضوع، والموضوع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 فيلزم عدم اتّصاف شيء من </w:t>
      </w:r>
      <w:bookmarkStart w:id="140" w:name="pg16214_221514"/>
    </w:p>
    <w:p>
      <w:pPr>
        <w:pStyle w:val="BookText"/>
        <w:rPr/>
      </w:pPr>
      <w:bookmarkEnd w:id="140"/>
      <w:r>
        <w:rPr>
          <w:rFonts w:ascii="Amiri" w:hAnsi="Amiri" w:eastAsia="Amiri" w:cs="Amiri"/>
          <w:color w:val="111111"/>
          <w:sz w:val="28"/>
          <w:sz w:val="28"/>
          <w:szCs w:val="28"/>
          <w:rtl w:val="true"/>
          <w:lang w:bidi="ar-SA"/>
        </w:rPr>
        <w:t>الألفاظ الّتي يكون الوضع فيها نوعيًّا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بوجوده فيه، فإنّه وإن كان النوع في الخارج موجودًا، إلّا أنّه في ضمن الأشخاص، فمع ملاحظة خصوصيّات الجزئيّات يكون المجموع غير الموضوع، فيلزم عدم اتّصاف تلك الجزئيّات بوصف الحقيقة؛ إذ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الموضوع المستعمل في الموضوع له، وجزئيّات النوع وأفراده على هذا التقدير ليست بموضوعة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خلاف الإنصاف، بل خلاف الوفاق، بل يلزم عدم اتّصافها بوصف المجازيّة أيضًا؛ إذ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الموضوع المستعمل في غير ما وضع له، وفيما نحن فيه قد استعمل الغير الموضوع فيما وضع له، فيلزم الواسطة في الألفاظ المستعملة بالاستعمال الصحيح بين الحقيقة والمجاز، وهو بيّن الفساد؛ لإطباقهم على انحصار اللفظ المستعمل بالاستعمال الصحيح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تحقّق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المتحقّق في الأفعال والصفات والمثنّى والمجموع والمصغّر والمنسوب كلّها من هذا القبيل، وكذا المركّبات على ما عرفت</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3519665_1280447820"/>
      <w:bookmarkStart w:id="142" w:name="_Toc51"/>
      <w:bookmarkEnd w:id="141"/>
      <w:r>
        <w:rPr>
          <w:rtl w:val="true"/>
        </w:rPr>
        <w:t>معنى آخر للوضع النوعيّ</w:t>
      </w:r>
      <w:bookmarkEnd w:id="142"/>
    </w:p>
    <w:p>
      <w:pPr>
        <w:pStyle w:val="BookText"/>
        <w:rPr/>
      </w:pPr>
      <w:r>
        <w:rPr>
          <w:rFonts w:ascii="Amiri" w:hAnsi="Amiri" w:eastAsia="Amiri" w:cs="Amiri"/>
          <w:color w:val="111111"/>
          <w:sz w:val="28"/>
          <w:sz w:val="28"/>
          <w:szCs w:val="28"/>
          <w:rtl w:val="true"/>
          <w:lang w:bidi="ar-SA"/>
        </w:rPr>
        <w:t>وللوضع النوعيّ معنى آخر، وهو مختصّ بالمجازات، وهو ثبوت الرخصة من الواضع بأنّ كلّ لفظ يكون بين معناه ومعنى آخر إحدى العلائق الآتية، يجوز استعمال ذلك اللفظ في هذا المعنى مع إقامة القرينة الدالّة على ذلك وإطلاق الوضع النوعيّ على ذلك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الوضع؛ فلأنّه لمّا ثبتت الرخصة من الواضع في استعمالها في تلك المعاني بشرط القرينة، فكأنّه قد عيّنها للدلالة عليها واستعمالها فيها بشرطها، وأمّا </w:t>
      </w:r>
      <w:bookmarkStart w:id="143" w:name="pg16214_221515"/>
    </w:p>
    <w:p>
      <w:pPr>
        <w:pStyle w:val="BookText"/>
        <w:rPr/>
      </w:pPr>
      <w:bookmarkEnd w:id="143"/>
      <w:r>
        <w:rPr>
          <w:rFonts w:ascii="Amiri" w:hAnsi="Amiri" w:eastAsia="Amiri" w:cs="Amiri"/>
          <w:color w:val="111111"/>
          <w:sz w:val="28"/>
          <w:sz w:val="28"/>
          <w:szCs w:val="28"/>
          <w:rtl w:val="true"/>
          <w:lang w:bidi="ar-SA"/>
        </w:rPr>
        <w:t>النوعيّ؛ فلأنّ المعتبر فيه نوع العلاقة والمناسبة، فأينما تحقّق جاز الاستعمال من دون مدخليّة فيه لخصوص لفظ دون آخر</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3519667_1280447820"/>
      <w:bookmarkStart w:id="145" w:name="_Toc52"/>
      <w:bookmarkEnd w:id="144"/>
      <w:r>
        <w:rPr>
          <w:rtl w:val="true"/>
        </w:rPr>
        <w:t>الفرق بين هذين القسمين للوضع النوعيّ</w:t>
      </w:r>
      <w:bookmarkEnd w:id="145"/>
    </w:p>
    <w:p>
      <w:pPr>
        <w:pStyle w:val="BookText"/>
        <w:rPr/>
      </w:pPr>
      <w:r>
        <w:rPr>
          <w:rFonts w:ascii="Amiri" w:hAnsi="Amiri" w:eastAsia="Amiri" w:cs="Amiri"/>
          <w:color w:val="111111"/>
          <w:sz w:val="28"/>
          <w:sz w:val="28"/>
          <w:szCs w:val="28"/>
          <w:rtl w:val="true"/>
          <w:lang w:bidi="ar-SA"/>
        </w:rPr>
        <w:t>والفرق بين هذين القسمين للوضع النوعيّ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النوعي الّذي في المجازات غير كافٍ في دلالة اللفظ على المعنى، بل لا بدّ من الاقتران بالقرينة كما عرفت، بخلاف الّذي تقدّم، فإنّه كافٍ في الدلالة من غير افتقار إلى قرينته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المعتبر في الوضع النوعيّ بالمعنى المتقدّم إمّا هيئة اللفظ أو مادّته النوعيّتان، بخلاف هذا القسم، فإنّه لم يعتبر فيه خصوصيّة هيئة دون أخرى ومادّة دون غيرها، بل المعتبر فيه نوع العلاقة في ضمن معنى أيّ لفظ اتّفق، بأيّة هيئة ومادّة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 من جملة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الكلّيّة والجزئيّة، فأينما تحقّقت يجوز إطلاق لفظ الموضوع للكلّ على الجزء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w:t>
      </w:r>
      <w:r>
        <w:rPr>
          <w:rFonts w:ascii="IRNazanin" w:hAnsi="IRNazanin" w:eastAsia="IRNazanin"/>
          <w:color w:val="111111"/>
          <w:sz w:val="28"/>
          <w:sz w:val="28"/>
          <w:szCs w:val="28"/>
          <w:rtl w:val="true"/>
          <w:lang w:bidi="fa-IR"/>
        </w:rPr>
        <w:t>، إلى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وَأَيْدِيكُمْ</w:t>
      </w:r>
      <w:r>
        <w:rPr>
          <w:rStyle w:val="FootnoteAnchor"/>
          <w:rtl w:val="true"/>
        </w:rPr>
        <w:footnoteReference w:id="112"/>
      </w: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يَجْعَلُونَ أَصَابِعَهُمْ فِي آَذَانِهِمْ</w:t>
      </w:r>
      <w:r>
        <w:rPr>
          <w:rStyle w:val="FootnoteAnchor"/>
          <w:rtl w:val="true"/>
        </w:rPr>
        <w:footnoteReference w:id="113"/>
      </w:r>
      <w:r>
        <w:rPr>
          <w:rFonts w:ascii="Amiri" w:hAnsi="Amiri" w:eastAsia="Amiri" w:cs="Amiri"/>
          <w:color w:val="111111"/>
          <w:sz w:val="28"/>
          <w:sz w:val="28"/>
          <w:szCs w:val="28"/>
          <w:rtl w:val="true"/>
          <w:lang w:bidi="ar-SA"/>
        </w:rPr>
        <w:t xml:space="preserve">، حيث أطلق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للعضو المخصوص من المنكب إلى الأشاجع</w:t>
      </w:r>
      <w:r>
        <w:rPr>
          <w:rStyle w:val="FootnoteAnchor"/>
          <w:rtl w:val="true"/>
        </w:rPr>
        <w:footnoteReference w:id="114"/>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 xml:space="preserve">جزئه، وهو الزند إلى التمام؛ وأطلق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للمعنى المعلوم على جزئه، وهو الأنامل، فلا يعتبر خصوص هيئة ومادّة دون أخرى، ولا خصوص لفظ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الجزئيّة والكلّيّة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رَقَبَةٍ مُؤْمِنَةٍ</w:t>
      </w:r>
      <w:r>
        <w:rPr>
          <w:rStyle w:val="FootnoteAnchor"/>
          <w:rtl w:val="true"/>
        </w:rPr>
        <w:footnoteReference w:id="115"/>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وَارْكَعُوا مَعَ الرَّاكِعِينَ</w:t>
      </w:r>
      <w:r>
        <w:rPr>
          <w:rStyle w:val="FootnoteAnchor"/>
          <w:rtl w:val="true"/>
        </w:rPr>
        <w:footnoteReference w:id="116"/>
      </w:r>
      <w:r>
        <w:rPr>
          <w:rFonts w:ascii="Amiri" w:hAnsi="Amiri" w:eastAsia="Amiri" w:cs="Amiri"/>
          <w:color w:val="111111"/>
          <w:sz w:val="28"/>
          <w:sz w:val="28"/>
          <w:szCs w:val="28"/>
          <w:rtl w:val="true"/>
          <w:lang w:bidi="ar-SA"/>
        </w:rPr>
        <w:t xml:space="preserve">، حيث أطلق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للجزء على الكلّ،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لجزء الصلاة عليها، بناءً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تسميته بالنوعيّ لأنّ المعتبر فيه نوع اللفظ؛ لما عرفت أنّ مرجع الوضع هنا إلى أنّ كلّ لفظ إذا وجد بين معناه وغيره إحدى العلائق الآتية جاز استعماله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جهة التعيين في هذا القسم غير راجعة إلى شيء من الهيئة والمادّة، فلو كان المعتبر فيه نوع اللفظ لزم استنادها إمّا إلى الهيئة والمادّة معًا،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فقط، وأيّ ما كان لا يخرج عن الأقسام المذكورة، فلا يكون مقابلًا لها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النوع في هذا المقام وفيما تقدّم، إذ النوع هناك سواء كان هيئة أو مادّة، كان المراد منه ما كان مصطلحًا بين أئمّة الميزان، كهيئة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بخلاف النوع فيما نحن فيه، فإنّ المراد منه ما هو الجنس عندهم</w:t>
      </w:r>
      <w:r>
        <w:rPr>
          <w:rFonts w:eastAsia="Amiri" w:cs="Amiri" w:ascii="Amiri" w:hAnsi="Amiri"/>
          <w:color w:val="111111"/>
          <w:sz w:val="28"/>
          <w:szCs w:val="28"/>
          <w:rtl w:val="true"/>
          <w:lang w:bidi="ar-SA"/>
        </w:rPr>
        <w:t xml:space="preserve">. </w:t>
      </w:r>
      <w:bookmarkStart w:id="146" w:name="pg16214_221517"/>
    </w:p>
    <w:p>
      <w:pPr>
        <w:pStyle w:val="BookText"/>
        <w:rPr/>
      </w:pPr>
      <w:bookmarkEnd w:id="146"/>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جهة التعيين في هذا القسم وإن استندت إلى مادّة اللفظ وهيئته كما في القسم الأوّل، لكنّهما هناك كانتا ملحوظتين تفصيلًا وهنا إجمالًا؛ لوضوح أنّ اللفظ الّذي استعمل في المعنى المجازيّ كانت هيئته ومادّته معتبرتين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بينه وبين الأقسام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في الأوّل يكون كلّ من الهيئة والمادّة ملحوظة تفصيلًا، كالهيئة في الثاني والمادّة في الثالث، وفيما نحن فيه لا تكون المادّة والهيئة معًا ملحوظتين ولا إحداهما كذلك، وهو لا ينافي كونهما ملحوظتين إجمالًا،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الملحوظ حين الوضع إمّا المادّة والهيئة تفصيلًا، أو إحداهما كذلك، أو لا يكون شيء منهما ملحوظًا كذلك، فحينئذٍ لا يلزم انتفاء الملحوظيّة مطلقًا، ضرورة أنّ نفي الأخصّ غير مستلزم لنفي الأعمّ</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3519669_1280447820"/>
      <w:bookmarkStart w:id="148" w:name="_Toc53"/>
      <w:bookmarkEnd w:id="147"/>
      <w:r>
        <w:rPr>
          <w:rtl w:val="true"/>
        </w:rPr>
        <w:t>الوضع المأخوذ في الحدّين أعمّ من الشخصي والنوعيّ</w:t>
      </w:r>
      <w:bookmarkEnd w:id="148"/>
    </w:p>
    <w:p>
      <w:pPr>
        <w:pStyle w:val="BookText"/>
        <w:rPr/>
      </w:pPr>
      <w:r>
        <w:rPr>
          <w:rFonts w:ascii="Amiri" w:hAnsi="Amiri" w:eastAsia="Amiri" w:cs="Amiri"/>
          <w:color w:val="111111"/>
          <w:sz w:val="28"/>
          <w:sz w:val="28"/>
          <w:szCs w:val="28"/>
          <w:rtl w:val="true"/>
          <w:lang w:bidi="ar-SA"/>
        </w:rPr>
        <w:t>إذا عرفت ذلك فلنعد إلى المطلوب،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بالوضع المأخوذ في الحدّين وجودًا وعدمًا ما بُيّن في الشقّ الثالث من الترديد، أي المراد أعمّ من الشخصيّ والنوعيّ، لكن بالمعنى الأوّل، ولا يلزم انتقاض طرد حدّ الحقيقة بدخول المجازات، ولا عدم بقاء المصداق لحدّ المجاز؛ لأنّ الوضع الثابت فيها</w:t>
      </w:r>
      <w:r>
        <w:rPr>
          <w:rStyle w:val="FootnoteAnchor"/>
          <w:rtl w:val="true"/>
        </w:rPr>
        <w:footnoteReference w:id="117"/>
      </w:r>
      <w:r>
        <w:rPr>
          <w:rFonts w:ascii="Amiri" w:hAnsi="Amiri" w:eastAsia="Amiri" w:cs="Amiri"/>
          <w:color w:val="111111"/>
          <w:sz w:val="28"/>
          <w:sz w:val="28"/>
          <w:szCs w:val="28"/>
          <w:rtl w:val="true"/>
          <w:lang w:bidi="ar-SA"/>
        </w:rPr>
        <w:t>النوعيّ بالمعنى الثاني، لا الأوّل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المستعمل في ما وضع له بالوضع الشخصىّ أو النوعيّ، لكن بالمعنى الأوّل؛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المستعمل في غير ما وضع له بالوضع الشخصيّ أو النوعيّ بذلك المعنى أيضًا، فلا منافاة بينه وبين ثبوت الوضع النوعيّ بالمعنى </w:t>
      </w:r>
      <w:bookmarkStart w:id="149" w:name="pg16214_221518"/>
    </w:p>
    <w:p>
      <w:pPr>
        <w:pStyle w:val="BookText"/>
        <w:rPr/>
      </w:pPr>
      <w:bookmarkEnd w:id="149"/>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للوضع إطلاقين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وهو تعيين اللفظ للدلالة على المعنى بنفسه؛ وعامّ، وهو تعيين اللفظ للدلالة على المعنى مطلقًا، أعمّ من أن يكون بنفسه أو بالقرينة؛ والمعتبر في الحدّين وجودًا في حدّ الحقيقة وعدمًا في حدّ المجاز هو المعنى الخاصّ، فلا يلزم انتفاء مطلق الوضع في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ظهر الجواب عن توهّم التناقض في كلامهم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المجازات موضوعة بالوضع النوعيّ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المجاز لفظ مستعمل في غير الموضوع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ظهر أنّ الوضع المنفيّ في المجاز هو الوضع بالمعنى الخاصّ، والثابت فيه الوضع بالمعنى العامّ، فلا يلزم المنافاة</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3519671_1280447820"/>
      <w:bookmarkStart w:id="151" w:name="_Toc54"/>
      <w:bookmarkEnd w:id="150"/>
      <w:r>
        <w:rPr>
          <w:rtl w:val="true"/>
        </w:rPr>
        <w:t>شبهة في أنّ الألفاظ المشتركة عند استعمالها في معانيها يلزم أن يكون مجازًا لا حقيقة، مع الجواب عنها</w:t>
      </w:r>
      <w:bookmarkEnd w:id="151"/>
    </w:p>
    <w:p>
      <w:pPr>
        <w:pStyle w:val="Heading3"/>
        <w:numPr>
          <w:ilvl w:val="2"/>
          <w:numId w:val="1"/>
        </w:numPr>
        <w:rPr/>
      </w:pPr>
      <w:bookmarkStart w:id="152" w:name="__RefHeading___Toc3519673_1280447820"/>
      <w:bookmarkStart w:id="153" w:name="_Toc55"/>
      <w:bookmarkEnd w:id="152"/>
      <w:r>
        <w:rPr>
          <w:rtl w:val="true"/>
        </w:rPr>
        <w:t>إشكالات وتفصّيات</w:t>
      </w:r>
      <w:bookmarkEnd w:id="153"/>
    </w:p>
    <w:p>
      <w:pPr>
        <w:pStyle w:val="Heading4"/>
        <w:numPr>
          <w:ilvl w:val="3"/>
          <w:numId w:val="1"/>
        </w:numPr>
        <w:rPr/>
      </w:pPr>
      <w:bookmarkStart w:id="154" w:name="__RefHeading___Toc3519675_1280447820"/>
      <w:bookmarkStart w:id="155" w:name="_Toc56"/>
      <w:bookmarkEnd w:id="154"/>
      <w:r>
        <w:rPr>
          <w:rtl w:val="true"/>
        </w:rPr>
        <w:t>الإشكال الأوّل</w:t>
      </w:r>
      <w:bookmarkEnd w:id="155"/>
    </w:p>
    <w:p>
      <w:pPr>
        <w:pStyle w:val="Heading5"/>
        <w:numPr>
          <w:ilvl w:val="4"/>
          <w:numId w:val="1"/>
        </w:numPr>
        <w:rPr/>
      </w:pPr>
      <w:bookmarkStart w:id="156" w:name="__RefHeading___Toc3519677_1280447820"/>
      <w:bookmarkStart w:id="157" w:name="_Toc57"/>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الإشكال الأوّل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الوضع المعتبر في حدّي الحقيقة والمجاز وجودًا وعدمًا الوضع بالمعنى الأوّل، لزم أن لا تكون الألفاظ المشتركة عند استعمالها في معانيها حقيقة، بل مجاز، والتالي باطل، فالمقدّم مثله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الوضع المعتبر في حدّ الحقيقة حينئذٍ هو تعيين اللفظ للدلالة على المعنى بنفسه، ومعلوم أنّ الألفاظ المشتركة غير دالّة على شيء من معانيها إلّا بالقرينة، فيلزم خروجها عن حدّ الحقيقة ودخولها في حدّ المجاز؛ وأمّا </w:t>
      </w:r>
      <w:bookmarkStart w:id="158" w:name="pg16214_221519"/>
    </w:p>
    <w:p>
      <w:pPr>
        <w:pStyle w:val="BookText"/>
        <w:rPr/>
      </w:pPr>
      <w:bookmarkEnd w:id="158"/>
      <w:r>
        <w:rPr>
          <w:rFonts w:ascii="Amiri" w:hAnsi="Amiri" w:eastAsia="Amiri" w:cs="Amiri"/>
          <w:color w:val="111111"/>
          <w:sz w:val="28"/>
          <w:sz w:val="28"/>
          <w:szCs w:val="28"/>
          <w:rtl w:val="true"/>
          <w:lang w:bidi="ar-SA"/>
        </w:rPr>
        <w:t>بطلان التالي فبالاتّفاق</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3519679_1280447820"/>
      <w:bookmarkStart w:id="160" w:name="_Toc58"/>
      <w:bookmarkEnd w:id="159"/>
      <w:r>
        <w:rPr>
          <w:rtl w:val="true"/>
        </w:rPr>
        <w:t>الجواب عن الإشكال الأوّل</w:t>
      </w:r>
      <w:bookmarkEnd w:id="160"/>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أنّا لا نسلّم انتفاء الوضع بهذا المعنى في الألفاظ المشتركة، وافتقارها في الدلالة على شيء من معانيها بعينه غير مستلزم لذلك؛ لجواز أن تكون معيّنة للدلالة على كلّ من معانيها بأنفسها، لكن لم تحصل الدلالة لمانع الاشتراك، بل الظاهر أنّ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الاعتراض متوجّهًا لو كان المأخوذ في الحدّ الدلالة على المعنى بالنفس، وأين هذا من تعيين اللفظ للدلالة على المعنى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فعلًا وغاية؛ غاية ما هناك انتفاء الغاية، أي دلالة اللفظ على المعنى بنفسه، وظاهرٌ أنّ انتفاء الغاية غير مستلزم لانتفاء الفعل الّذي لأجلها، وربّ فعل لا يترتّب عليه غايته لمانع،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بل لا شبهة في انّ الواضع في بادي الأمر إنّما عيّن المشترك للدلالة على المعنى بنفسه، وهذه الغاية كانت لا محالة مترتّبة عليه لو لم يعرض الاشتراك، وأمّا بعد عروضه فلا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الجواب ممّا لا شبهة فيه عند تعدّد الواضع للمشترك</w:t>
      </w:r>
      <w:r>
        <w:rPr>
          <w:rStyle w:val="FootnoteAnchor"/>
          <w:rtl w:val="true"/>
        </w:rPr>
        <w:footnoteReference w:id="119"/>
      </w:r>
      <w:r>
        <w:rPr>
          <w:rFonts w:ascii="Amiri" w:hAnsi="Amiri" w:eastAsia="Amiri" w:cs="Amiri"/>
          <w:color w:val="111111"/>
          <w:sz w:val="28"/>
          <w:sz w:val="28"/>
          <w:szCs w:val="28"/>
          <w:rtl w:val="true"/>
          <w:lang w:bidi="ar-SA"/>
        </w:rPr>
        <w:t xml:space="preserve">، وأمّا عند </w:t>
      </w:r>
    </w:p>
    <w:p>
      <w:pPr>
        <w:pStyle w:val="BookText"/>
        <w:rPr/>
      </w:pPr>
      <w:r>
        <w:rPr>
          <w:rFonts w:ascii="Amiri" w:hAnsi="Amiri" w:eastAsia="Amiri" w:cs="Amiri"/>
          <w:color w:val="111111"/>
          <w:sz w:val="28"/>
          <w:sz w:val="28"/>
          <w:szCs w:val="28"/>
          <w:rtl w:val="true"/>
          <w:lang w:bidi="ar-SA"/>
        </w:rPr>
        <w:t>وحدته فمشكل، بناءً على أنّه كيف يتصوّر من عاقل صدور فعل لأجل غاية مع علمه بعدم ترتّبها عليه حين الصدور، بل مع صدور ما يمنع عن ترتّبه عليه منه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مثل هذا الشخص مقبوح عند العقلاء ومعدود في زمرة السفهاء؛ للزوم أن تكون غاية فعل كلّ فاعل عاقل ممكنة الحصول عنده ومرجوّة الوقوع لديه، لاسيّما بالنسبة إلى الواضع، لاسيّما إذا كان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صدور الفعل وعدم ترتّب الغاية وإن لم يكن محالًا، بل جائز وواقع كما مرّ، إلّا أنّه فيما إذا لم يعلم الفاعل حين الفعل ذلك، لاسيّما إذا كان المانع من الترتّب</w:t>
      </w:r>
      <w:r>
        <w:rPr>
          <w:rStyle w:val="FootnoteAnchor"/>
          <w:rtl w:val="true"/>
        </w:rPr>
        <w:footnoteReference w:id="121"/>
      </w:r>
      <w:r>
        <w:rPr>
          <w:rFonts w:ascii="Amiri" w:hAnsi="Amiri" w:eastAsia="Amiri" w:cs="Amiri"/>
          <w:color w:val="111111"/>
          <w:sz w:val="28"/>
          <w:sz w:val="28"/>
          <w:szCs w:val="28"/>
          <w:rtl w:val="true"/>
          <w:lang w:bidi="ar-SA"/>
        </w:rPr>
        <w:t>منه، وأمّا معه فلا كما لا يخفى، وما نحن فيه من هذا القبيل</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في الجواب أن يمنع انتفاء الدلالة في المشترك وتوقّفها على القرينة؛ لأنّه لا شبهة أنّ العالِم بالوضع والموضوع له إذا سمع اللفظ المنفرد، كما ينتقل ذهنه إلى </w:t>
      </w:r>
      <w:bookmarkStart w:id="161" w:name="pg16214_221521"/>
    </w:p>
    <w:p>
      <w:pPr>
        <w:pStyle w:val="BookText"/>
        <w:rPr/>
      </w:pPr>
      <w:bookmarkEnd w:id="161"/>
      <w:r>
        <w:rPr>
          <w:rFonts w:ascii="Amiri" w:hAnsi="Amiri" w:eastAsia="Amiri" w:cs="Amiri"/>
          <w:color w:val="111111"/>
          <w:sz w:val="28"/>
          <w:sz w:val="28"/>
          <w:szCs w:val="28"/>
          <w:rtl w:val="true"/>
          <w:lang w:bidi="ar-SA"/>
        </w:rPr>
        <w:t>معناه، ينبغي أن يكون بالنسبة إلى اللفظ المشترك أيضًا كذلك؛ لأنّا نقطع بأنّ المقتضي للدلالة في الأوّل هو اللفظ المعلوم الوضع، وهو متحقّق فيما نحن فيه أيضًا، فيجب حصول الدلالة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هناك كان منفردًا وههنا متعدّد، والضرورة قاضية بأنّ تعدّده لا يوجب فقدان ثمرة الوضع، وهو الانتقال إلى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وقصارى ما يتخيّل في المقام أنّه بناءً على المذهب الحقّ من عدم جواز استعمال المشترك في أكثر من معنى واحد، يبقى متردّدًا في أنّ مراد المستعمل أيّ من المعاني المدلول عليها بالمشترك، فلا بدّ من الاقتران بالقرينة ليعيّن ذلك، فافتقار المشترك إلى القرينة إنّما هو لتعيين المراد بين المعاني المدلول عليها، لا لإثبات الدلالة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3519681_1280447820"/>
      <w:bookmarkStart w:id="163" w:name="_Toc59"/>
      <w:bookmarkEnd w:id="162"/>
      <w:r>
        <w:rPr>
          <w:rtl w:val="true"/>
        </w:rPr>
        <w:t>توضيح وتكميل</w:t>
      </w:r>
      <w:bookmarkEnd w:id="163"/>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الأمور الظاهرة أنّ المقتضي للدلالة هو اللفظ المعلوم الوضع، فإذا صدر من المستعمل باستعمال صحيح وكان منفردًا، كما ينتقل السامع منه إلى معناه، كذا يظهر عليه أنّ مراده ذلك المعنى، فيصل إلى المقصود، فلا حاجة له إلى قرينة أصلًا، لا لإثبات الدلالة ولا لتعيين المقصود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اللفظ المشترك، فعند استماعه وإن يفهم معناه أيضًا، لكن لمّا كان متعدّدًا ولم يجز استعماله في الجميع، يزاحم المعنى المقصود غيره، فلم يظهر المراد بعينه، فلا بدّ على المستعمل أن يقارنه بالقرينة؛ لتكون دافعة للمزاحمة ومعيّنة للإرادة، فالقرينة فيه لدفع المزاحمة، لا لإثبات الدلالة؛ لتحقّقها مع انتفائها أيضًا</w:t>
      </w:r>
      <w:r>
        <w:rPr>
          <w:rFonts w:eastAsia="Amiri" w:cs="Amiri" w:ascii="Amiri" w:hAnsi="Amiri"/>
          <w:color w:val="111111"/>
          <w:sz w:val="28"/>
          <w:szCs w:val="28"/>
          <w:rtl w:val="true"/>
          <w:lang w:bidi="ar-SA"/>
        </w:rPr>
        <w:t xml:space="preserve">. </w:t>
      </w:r>
      <w:bookmarkStart w:id="164" w:name="pg16214_221522"/>
    </w:p>
    <w:p>
      <w:pPr>
        <w:pStyle w:val="Heading5"/>
        <w:numPr>
          <w:ilvl w:val="4"/>
          <w:numId w:val="1"/>
        </w:numPr>
        <w:rPr/>
      </w:pPr>
      <w:bookmarkStart w:id="165" w:name="__RefHeading___Toc3519683_1280447820"/>
      <w:bookmarkStart w:id="166" w:name="_Toc60"/>
      <w:bookmarkEnd w:id="164"/>
      <w:bookmarkEnd w:id="165"/>
      <w:r>
        <w:rPr>
          <w:rtl w:val="true"/>
        </w:rPr>
        <w:t>في الفرق بين القرينة الّتي في المشترك والّتي في المجاز</w:t>
      </w:r>
      <w:bookmarkEnd w:id="166"/>
    </w:p>
    <w:p>
      <w:pPr>
        <w:pStyle w:val="BookText"/>
        <w:rPr/>
      </w:pPr>
      <w:r>
        <w:rPr>
          <w:rFonts w:ascii="Amiri" w:hAnsi="Amiri" w:eastAsia="Amiri" w:cs="Amiri"/>
          <w:color w:val="111111"/>
          <w:sz w:val="28"/>
          <w:sz w:val="28"/>
          <w:szCs w:val="28"/>
          <w:rtl w:val="true"/>
          <w:lang w:bidi="ar-SA"/>
        </w:rPr>
        <w:t>ومنه يعلم الفرق بين القرينة المفتقر إليها في المشترك والمجاز، بأنّها في المشترك لدفع المزاحمة وتعيين المدلول، لا لإثبات أصل الدلالة، وظاهرٌ أنّها في المجاز معتبرة في نفس الدلالة، ولذا لا تحصل بالنسبة إلى المعنى المجازيّ إلّا بها، فلا يلزم أن يكون المشترك عند استعماله في معناه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المشترك عند تجرّده دلالتُهُ ثابتةٌ، وإنّما المنتفي العلم بالمراد؛ والإرادة ليست عين الدلالة ولا مستلزمة لها حتّى يلزم من انتفائها انتفاؤها، والافتقار إلى القرينة إنّما هو في الإرادة، لا الدلالة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3519685_1280447820"/>
      <w:bookmarkStart w:id="168" w:name="_Toc61"/>
      <w:bookmarkEnd w:id="167"/>
      <w:r>
        <w:rPr>
          <w:rtl w:val="true"/>
        </w:rPr>
        <w:t>اعتبار الإرادة في معنى الدلالة لا وجه له</w:t>
      </w:r>
      <w:bookmarkEnd w:id="16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الاعتراض إنّما يكون وجيهًا لو اعتبرنا الإرادة في الدلالة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دلالة اللفظ كونه بحيث يفهم منه المعنى على أنّه مراد للمتكلّم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ذهب إليه بعض من لا تحقيق له</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انتفاء العلم بالإرادة لم يوجد</w:t>
      </w:r>
      <w:r>
        <w:rPr>
          <w:rStyle w:val="FootnoteAnchor"/>
          <w:rtl w:val="true"/>
        </w:rPr>
        <w:footnoteReference w:id="126"/>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فاسد، إذ لو كانت الإرادة معتبرة في الدلالة، يلزم انتفاؤها عند انتفاء العلم بالمراد،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الملازمة فبيّنة، وأمّا بطلان التالي فلأنّا كثيرًا ما نقطع بانتفاء الإرادة من المستعمل مع تحقّق الدلالة، كالألفاظ الموضوعة الصادرة من النائم والساهي والهاذل، فإنّه لا شبهة في الانتقال منها إلى معانيها مع العلم بانتفاء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الكلام في الاستعارات، فإنّها دالّة على معانيها بواسطة دلالتها على معانيها الحقيقيّة الغير المقصودة،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معناه الموضوع له ودلّت القرينة على عدم إرادته، انتقل الذهن عنه إلى أنّ المراد ما يشبهه ويشاركه في أخصّ صفاته وأظهرها، وهو الرجل الشجاع، بل المجازات كلّها من هذا القبيل، فإنّه مع العلم بعدم إرادة الموضوع له للقرينة الصارفة ينتقل الذهن منها إليه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الكلام في الألفاظ الصادرة عمّن لا اطّلاع له بأوضاعها، كاللغات الغريبة وغيرها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الأمر في الألفاظ الّتي لها معانٍ عند اصطلاح وراء المعاني الّتي لها عند اصطلاح آخر، فإنّ المتبادر عند أهل كلّ اصطلاح هو المعنى الّذي اصطلحوا عليه وإن كان المستعمل من أهل اصطلاح آخر، فإنّ خصوصيّة المستعمل وإن كانت صارفة عن المعنى الّذي عند غيره، إلّا أنّها إنّما تصرف عن الحمل على المتبادر، لا عن أصل الفهم والتبادر، ففي جميع هذه الأمثلة تحقّقت الدلالة الوضعيّة منفكّة </w:t>
      </w:r>
      <w:bookmarkStart w:id="169" w:name="pg16214_221524"/>
    </w:p>
    <w:p>
      <w:pPr>
        <w:pStyle w:val="BookText"/>
        <w:rPr/>
      </w:pPr>
      <w:bookmarkEnd w:id="169"/>
      <w:r>
        <w:rPr>
          <w:rFonts w:ascii="Amiri" w:hAnsi="Amiri" w:eastAsia="Amiri" w:cs="Amiri"/>
          <w:color w:val="111111"/>
          <w:sz w:val="28"/>
          <w:sz w:val="28"/>
          <w:szCs w:val="28"/>
          <w:rtl w:val="true"/>
          <w:lang w:bidi="ar-SA"/>
        </w:rPr>
        <w:t>عن الإرادة، فاعتبار الإرادة في معنى الدلالة لا وجه له</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3519687_1280447820"/>
      <w:bookmarkStart w:id="171" w:name="_Toc62"/>
      <w:bookmarkEnd w:id="170"/>
      <w:r>
        <w:rPr>
          <w:rtl w:val="true"/>
        </w:rPr>
        <w:t>الدلالة لم تكن مشروطة بالإرادة</w:t>
      </w:r>
      <w:bookmarkEnd w:id="171"/>
    </w:p>
    <w:p>
      <w:pPr>
        <w:pStyle w:val="BookText"/>
        <w:rPr/>
      </w:pPr>
      <w:r>
        <w:rPr>
          <w:rFonts w:ascii="Amiri" w:hAnsi="Amiri" w:eastAsia="Amiri" w:cs="Amiri"/>
          <w:color w:val="111111"/>
          <w:sz w:val="28"/>
          <w:sz w:val="28"/>
          <w:szCs w:val="28"/>
          <w:rtl w:val="true"/>
          <w:lang w:bidi="ar-SA"/>
        </w:rPr>
        <w:t>وأضعف من ذلك</w:t>
      </w:r>
      <w:r>
        <w:rPr>
          <w:rStyle w:val="FootnoteAnchor"/>
          <w:rtl w:val="true"/>
        </w:rPr>
        <w:footnoteReference w:id="128"/>
      </w:r>
      <w:r>
        <w:rPr>
          <w:rFonts w:ascii="Amiri" w:hAnsi="Amiri" w:eastAsia="Amiri" w:cs="Amiri"/>
          <w:color w:val="111111"/>
          <w:sz w:val="28"/>
          <w:sz w:val="28"/>
          <w:szCs w:val="28"/>
          <w:rtl w:val="true"/>
          <w:lang w:bidi="ar-SA"/>
        </w:rPr>
        <w:t>ما ذهب إليه بعض آخر، وهو أنّ الإرادة وإن لم تؤخذ في معنى الدلالة، لكنّها ممّا اشترط في الدلالة وتوقّفت عليه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لو كانت مشروطة بالإرادة؛ لما وجدت بدونها، والتالي باطل، فالمقدّم مثله، والشرطيّة ظاهرة، وبطلان التالي قد ظهر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المراد من اشتراط الدلالة بالإرادة إمّا أن يكون أنّها مشروطة بالإرادة النفس الأمريّة، أو بالعلم بها؛ وكلاهما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الارتباط والعلاقة بين الدلالة والإرادة الواقعيّة، فلا وجه لجعلها شرطًا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الدور أو التسلسل؛ لأنّ المفروض أنّ دلالة اللفظ موقوفة على العلم بالإرادة، والعلم بالإرادة إن كان من دلالة اللفظ بعينه، فذلك دور ظاهر، وإن كان من لفظ آخر ننقل الكلام إلى دلالته، فيلزم الدور أو التسلسل، فيلزم انسداد باب الإفادة والاستفادة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الثاني ونمنع لزوم المحذور، لإمكان العلم بالإرادة من </w:t>
      </w:r>
      <w:bookmarkStart w:id="172" w:name="pg16214_221525"/>
    </w:p>
    <w:p>
      <w:pPr>
        <w:pStyle w:val="BookText"/>
        <w:rPr/>
      </w:pPr>
      <w:bookmarkEnd w:id="172"/>
      <w:r>
        <w:rPr>
          <w:rFonts w:ascii="Amiri" w:hAnsi="Amiri" w:eastAsia="Amiri" w:cs="Amiri"/>
          <w:color w:val="111111"/>
          <w:sz w:val="28"/>
          <w:sz w:val="28"/>
          <w:szCs w:val="28"/>
          <w:rtl w:val="true"/>
          <w:lang w:bidi="ar-SA"/>
        </w:rPr>
        <w:t>القرينة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فاسد،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انسداد باب الإفادة والاستفادة من جهة الألفاظ، والضرورة قاضية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فلورود الاعتراض المذكور بالنسبة إلى جميع الألفاظ وإن كانت متّحدة المعاني، فيكون تفسير الوضع بتعيين اللفظ للدلالة على المعنى بنفسه فاسدًا كما لا يخفى، فيلزم أن تكون جميع الحقائق مجازات ولا مدفع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وجه لنسبة الدلالة إلى اللفظ؛ لاستقلال تلك القرينة حينئذٍ بها</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3519689_1280447820"/>
      <w:bookmarkStart w:id="174" w:name="_Toc63"/>
      <w:bookmarkEnd w:id="173"/>
      <w:r>
        <w:rPr>
          <w:rtl w:val="true"/>
        </w:rPr>
        <w:t>الإشكال الثاني</w:t>
      </w:r>
      <w:bookmarkEnd w:id="174"/>
    </w:p>
    <w:p>
      <w:pPr>
        <w:pStyle w:val="Heading5"/>
        <w:numPr>
          <w:ilvl w:val="4"/>
          <w:numId w:val="1"/>
        </w:numPr>
        <w:rPr/>
      </w:pPr>
      <w:bookmarkStart w:id="175" w:name="__RefHeading___Toc3519691_1280447820"/>
      <w:bookmarkStart w:id="176" w:name="_Toc64"/>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والإشكال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المعتبر في الحقيقة والمجاز لو كان الوضع بالمعنى المذكور، لزم أن لا تكون الألفاظ الّتي يكون الوضع فيها عامًّا والموضوع له خاصًّا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كالمضمرات والموصولات وأسماء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استعمالها في المعاني الجزئيّة حقيقة ولا مجازًا؛ والتالي باطل لما تقدّم من انحصار الألفاظ المستعملة بالاستعمال الصحيح فيهما، فالمقدّم مثله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الحقيقة؛ فلأنّ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وهو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يتوقّف على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دلالته على أنّ المشار إليه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 على الإشارة إليه؛ والّذي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الّذي هو ابن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دلالته على أنّ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الصلة، وهكذا الكلام في أمثالها، فلا تكون الدلالة على شيء من هذه الألفاظ بالنسبة إلى تلك المعاني بأنفسها، فلا تكون حقيقة</w:t>
      </w:r>
      <w:r>
        <w:rPr>
          <w:rFonts w:eastAsia="Amiri" w:cs="Amiri" w:ascii="Amiri" w:hAnsi="Amiri"/>
          <w:color w:val="111111"/>
          <w:sz w:val="28"/>
          <w:szCs w:val="28"/>
          <w:rtl w:val="true"/>
          <w:lang w:bidi="ar-SA"/>
        </w:rPr>
        <w:t xml:space="preserve">. </w:t>
      </w:r>
      <w:bookmarkStart w:id="177" w:name="pg16214_221526"/>
    </w:p>
    <w:p>
      <w:pPr>
        <w:pStyle w:val="BookText"/>
        <w:rPr/>
      </w:pPr>
      <w:bookmarkEnd w:id="177"/>
      <w:r>
        <w:rPr>
          <w:rFonts w:ascii="Amiri" w:hAnsi="Amiri" w:eastAsia="Amiri" w:cs="Amiri"/>
          <w:color w:val="111111"/>
          <w:sz w:val="28"/>
          <w:sz w:val="28"/>
          <w:szCs w:val="28"/>
          <w:rtl w:val="true"/>
          <w:lang w:bidi="ar-SA"/>
        </w:rPr>
        <w:t>وأمّا بالنسبة إلى المجاز؛ فلأنّه اللفظ المستعمل في غير الموضوع له، وهذه الألفاظ قد استعملت في المعاني الموضوعة له؛ لأنّ المفروض أنّها قد وضعت لكلّ من تلك المعاني الجزئيّة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بالمعنى المذكور يشتمل على فعل وغاية كما تقدّم، وغاية ما هناك انتفاء الغاية، وهو غير مستلزم لانتفاء الفعل،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موضوعة للدلالة على المعاني بأنفسها، لكن لمّا وضعت لكلّ من تلك المعاني بخصوصيّاتها فزاحم كلّ منها صاحبها في الدلالة؛ فلأجل تلك المزاحمة انتفت الدلالة مع تحقّق التعيين لها، فالتعيين للدلالة على المعاني فيها متحقّق، لكنّها قد انتفت لأجل المانع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الجواب عن ذلك ممّا ذكرناه،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غاية فعل كلّ عاقل لا بدّ أن تكون ممكنة الحصول عنده ومرجوّة الوقوع لديه في حال الفعل، وإلّا يقبح عند العقلاء ويعدّ في زمرة السفهاء، لاسيّما إذا كان المانع منه كما فيما نحن فيه؛ إذ المانع هو الوضع لكلّ واحد من تلك المعاني، وهو إنّما نشأ من الواضع للمعاني</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3519693_1280447820"/>
      <w:bookmarkStart w:id="179" w:name="_Toc65"/>
      <w:bookmarkEnd w:id="178"/>
      <w:r>
        <w:rPr>
          <w:rtl w:val="true"/>
        </w:rPr>
        <w:t>الجواب عن الإشكال الثاني</w:t>
      </w:r>
      <w:bookmarkEnd w:id="17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نسلّم انتفاء مطلق الدلالة في الألفاظ المذكورة، للقطع بأنّ الإنسان حين استماع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ذهنه إلى أنّ المراد به </w:t>
      </w:r>
      <w:bookmarkStart w:id="180" w:name="pg16214_221527"/>
    </w:p>
    <w:p>
      <w:pPr>
        <w:pStyle w:val="BookText"/>
        <w:rPr/>
      </w:pPr>
      <w:bookmarkEnd w:id="180"/>
      <w:r>
        <w:rPr>
          <w:rFonts w:ascii="Amiri" w:hAnsi="Amiri" w:eastAsia="Amiri" w:cs="Amiri"/>
          <w:color w:val="111111"/>
          <w:sz w:val="28"/>
          <w:sz w:val="28"/>
          <w:szCs w:val="28"/>
          <w:rtl w:val="true"/>
          <w:lang w:bidi="ar-SA"/>
        </w:rPr>
        <w:t xml:space="preserve">واحد من المفرد المذكّر الغائب، وعند استماع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ذهنه إلى أنّ المراد به فرد من الأفراد المشار إليه القريب، وتحيّره ليس إلّا لأجل تعيين فرد من تلك الأفراد، فالافتقار إلى القرينة إنّما هو لتعيين المدلول، لا لإثبات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المنتفي في تلك الألفاظ الدلالة التفصيليّة والافتقار إلى القرينة لتحصيلها، وأمّا الإجماليّة فتحقّقه فيها بأنفسها؛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الوضع تعيين اللفظ للدلالة على المعنى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التفصيليّة والإجماليّة</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3519695_1280447820"/>
      <w:bookmarkStart w:id="182" w:name="_Toc66"/>
      <w:bookmarkEnd w:id="181"/>
      <w:r>
        <w:rPr>
          <w:rtl w:val="true"/>
        </w:rPr>
        <w:t>الإشكال الثالث</w:t>
      </w:r>
      <w:bookmarkEnd w:id="182"/>
    </w:p>
    <w:p>
      <w:pPr>
        <w:pStyle w:val="Heading5"/>
        <w:numPr>
          <w:ilvl w:val="4"/>
          <w:numId w:val="1"/>
        </w:numPr>
        <w:rPr/>
      </w:pPr>
      <w:bookmarkStart w:id="183" w:name="__RefHeading___Toc3519697_1280447820"/>
      <w:bookmarkStart w:id="184" w:name="_Toc67"/>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والإشكال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الوضع المعتبر في حدّ الحقيقة لو كان بالمعنى المذكور، لزم أن لا تكون المنقولات التعينيّة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أكثر المصطلحات العرفيّة عند استعمالها في المعاني المنقول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لأنّها غير معيّنة للدلالة على معانيها المنقولة إليها بأنفسها، بل استعملت فيها على سبيل المجاز، ثمّ شاع الاستعمال فيها إلى أن هجرت المعاني الأصليّة واستفيدت تلك المعاني منها من غير قرينة، فالمتحقّق فيها الدلالة على المعاني المنقول إليها بأنفسها من غير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ذكرنا أنّ الوضع بالمعنى المذكور يشتمل على فعل وغاية، والنقض في الألفاظ المشتركة بالنسبة إلى انتفاء الغاية مع تحقّق الفعل فيها، والأمر ههنا بالعكس، إذ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الدلالة على المعنى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متحقّقة فيها، والمنتفي الفعل، وهو التعيين لما عرفت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بطلان التالي؛ فلاتّفاقهم على تقسيم الحقيقة إلى اللغويّة والشرعيّة والعرفيّة، سواء كانت تعيينيّة أو تعيّنيّة، ولتحقّق خواصّ الحقيقة فيها</w:t>
      </w:r>
      <w:r>
        <w:rPr>
          <w:rFonts w:eastAsia="Amiri" w:cs="Amiri" w:ascii="Amiri" w:hAnsi="Amiri"/>
          <w:color w:val="111111"/>
          <w:sz w:val="28"/>
          <w:szCs w:val="28"/>
          <w:rtl w:val="true"/>
          <w:lang w:bidi="ar-SA"/>
        </w:rPr>
        <w:t xml:space="preserve">. </w:t>
      </w:r>
      <w:bookmarkStart w:id="185" w:name="pg16214_221528"/>
    </w:p>
    <w:p>
      <w:pPr>
        <w:pStyle w:val="Heading5"/>
        <w:numPr>
          <w:ilvl w:val="4"/>
          <w:numId w:val="1"/>
        </w:numPr>
        <w:rPr/>
      </w:pPr>
      <w:bookmarkStart w:id="186" w:name="__RefHeading___Toc3519699_1280447820"/>
      <w:bookmarkStart w:id="187" w:name="_Toc68"/>
      <w:bookmarkEnd w:id="185"/>
      <w:bookmarkEnd w:id="186"/>
      <w:r>
        <w:rPr>
          <w:rtl w:val="true"/>
        </w:rPr>
        <w:t>الجواب عن الإشكال الثالث</w:t>
      </w:r>
      <w:bookmarkEnd w:id="187"/>
    </w:p>
    <w:p>
      <w:pPr>
        <w:pStyle w:val="Heading6"/>
        <w:numPr>
          <w:ilvl w:val="5"/>
          <w:numId w:val="1"/>
        </w:numPr>
        <w:rPr/>
      </w:pPr>
      <w:bookmarkStart w:id="188" w:name="__RefHeading___Toc3519701_1280447820"/>
      <w:bookmarkStart w:id="189" w:name="_Toc69"/>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والجواب عنه يمكن من وجهين</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3519703_1280447820"/>
      <w:bookmarkStart w:id="191" w:name="_Toc70"/>
      <w:bookmarkEnd w:id="190"/>
      <w:r>
        <w:rPr>
          <w:rtl w:val="true"/>
        </w:rPr>
        <w:t>الوجه الأوّل</w:t>
      </w:r>
      <w:bookmarkEnd w:id="19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انتفاء مطلق التعيين فيها، بل المنتفي تعيين خاصّ، وأمّا الثابت فيها فهو الّذي منشؤه شيوع الاستعمال وكثرته،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استعمال تلك الألفاظ في تلك المعاني معيّنة إيّاها للدلالة عليها بأنفسها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في الباب أنّ المتبادر من تعيين شيء لشيء آخر، جعل الأوّل للثاني بالقصد والإرادة، وحيثما وجدت القرينة على عدم إرادة هذا الظاهر، وجب العمل بمقتضاها، والقرينة في المقام هو ما تقدّم من اتّفاقهم على أنّ من أقسام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العرفيّة ولو كانت تعيّنيّة، فاتّفاقهم قرينة على عدم إمكان إرادة المعنى المتبادر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اللفظ على خلاف ظاهره عند وجدان القرينة ليس بمتروك في كلمات العرب ولا بمهجور عند أئمّة الأدب، لكن وجب حمل اللفظ في المقام على المعنى العامّ الشامل للمعنى المتبادر وغيره، لا على كلّ واحد منهما حتّى لا يلزم استعمال اللفظ في استعمال واحد في المعنى الحقيقيّ والمجازيّ</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3519705_1280447820"/>
      <w:bookmarkStart w:id="193" w:name="_Toc71"/>
      <w:bookmarkEnd w:id="192"/>
      <w:r>
        <w:rPr>
          <w:rtl w:val="true"/>
        </w:rPr>
        <w:t>الوجه الثاني</w:t>
      </w:r>
      <w:bookmarkEnd w:id="19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يحمل التعيين على التعيّن،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الوضع تعيّن اللفظ للدلالة على المعنى بنفسه، ولا شبهة في تحقّقه في جميع الحقائق منقولًا كان أو غيره، تعيينيًّا كان الأوّل أو تعيّنيًّا، إلّا أنّه لمّا كان التعيّن والتعيين من الأمور المتضايفة، فلا </w:t>
      </w:r>
      <w:bookmarkStart w:id="194" w:name="pg16214_221529"/>
    </w:p>
    <w:p>
      <w:pPr>
        <w:pStyle w:val="BookText"/>
        <w:rPr/>
      </w:pPr>
      <w:bookmarkEnd w:id="194"/>
      <w:r>
        <w:rPr>
          <w:rFonts w:ascii="Amiri" w:hAnsi="Amiri" w:eastAsia="Amiri" w:cs="Amiri"/>
          <w:color w:val="111111"/>
          <w:sz w:val="28"/>
          <w:sz w:val="28"/>
          <w:szCs w:val="28"/>
          <w:rtl w:val="true"/>
          <w:lang w:bidi="ar-SA"/>
        </w:rPr>
        <w:t>ينفك أحدهما عن الآخر لا محالة، فالمتعيّن يفتقر إلى معيّن البتّة، وهو في المنقولات التعيّنيّة إمّا كثرة الاستعمال وشيوعه أو المستعملين؛ لكون الاستعمال من 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منهما كان، إطلاق التعيين عليه إطلاق اللفظ على خلاف ظاهره، أمّا على الأوّل فظاهر، وأمّا على الثاني فلما عرفت من أنّ الظاهر من التعيين جعل شيء لآخر بالقصد والإرادة، والمستعملون وإن كانوا من أهل القصد والإرادة، لكنّهم لم يقصدوا من استعمالهم اللفظ فيما نحن فيه تعيّنه للإفادة بنفسه كما لا يخفى، بل إنّما هو أمر نشأ من غلبة الاستعمال، إلّا أنّ انقسام النقل إلى التعيينيّ والتعيّنيّ والتخصيصيّ والتخصّصيّ ممّا يوجب المصير إلى أحد الحملين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في المقام شيء، وهو أنّ الجوابين المذكورين يوجبان إطلاق الواضع على الكثرة أو المستعملين للألفاظ المنقولة الّتي كلامنا فيها مع عدم قصدهم التعيين، لكنّا نلتزم ذلك</w:t>
      </w:r>
      <w:r>
        <w:rPr>
          <w:rStyle w:val="FootnoteAnchor"/>
          <w:rtl w:val="true"/>
        </w:rPr>
        <w:footnoteReference w:id="131"/>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إلّا استعمال اللفظ وإرادة خلاف ظاهره مع قيام القرينة على ما تقدّمت إليه الإشارة، فلا تغفل</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3519707_1280447820"/>
      <w:bookmarkStart w:id="196" w:name="_Toc72"/>
      <w:bookmarkEnd w:id="195"/>
      <w:r>
        <w:rPr>
          <w:rtl w:val="true"/>
        </w:rPr>
        <w:t>الإشكال الرابع</w:t>
      </w:r>
      <w:bookmarkEnd w:id="196"/>
    </w:p>
    <w:p>
      <w:pPr>
        <w:pStyle w:val="Heading5"/>
        <w:numPr>
          <w:ilvl w:val="4"/>
          <w:numId w:val="1"/>
        </w:numPr>
        <w:rPr/>
      </w:pPr>
      <w:bookmarkStart w:id="197" w:name="__RefHeading___Toc3519709_1280447820"/>
      <w:bookmarkStart w:id="198" w:name="_Toc73"/>
      <w:bookmarkEnd w:id="197"/>
      <w:r>
        <w:rPr>
          <w:rtl w:val="true"/>
        </w:rPr>
        <w:t>اشارة</w:t>
      </w:r>
      <w:bookmarkEnd w:id="19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اعتبار الوضع بالمعنى المذكور في الحقيقة يستلزم عدم اتّصاف شيء من الحروف بها ولو عند استعمالها في معانيها؛ لأنّ الحقيقة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المستعمل في الموضوع له بالوضع الّذي هو تعيين اللفظ للدلالة على المعنى لذاته؛ ودلالة الحروف على معانيها الإفراديّة ليست بأنفسها، بل موقوفة </w:t>
      </w:r>
      <w:bookmarkStart w:id="199" w:name="pg16214_221530"/>
    </w:p>
    <w:p>
      <w:pPr>
        <w:pStyle w:val="BookText"/>
        <w:rPr/>
      </w:pPr>
      <w:bookmarkEnd w:id="199"/>
      <w:r>
        <w:rPr>
          <w:rFonts w:ascii="Amiri" w:hAnsi="Amiri" w:eastAsia="Amiri" w:cs="Amiri"/>
          <w:color w:val="111111"/>
          <w:sz w:val="28"/>
          <w:sz w:val="28"/>
          <w:szCs w:val="28"/>
          <w:rtl w:val="true"/>
          <w:lang w:bidi="ar-SA"/>
        </w:rPr>
        <w:t>على انضمام المتعلّق إليها، لحكم النحاة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الحرف ما يدلّ على معنى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بواسطة غيره، وهو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التالي؛ فللقطع بأنّه كما تنقسم الأسماء والأفعال إلى الحقيقة والمجاز، كذلك الحروف، وتصريحهم في كثير من الحروف بأنّها حقيقة في بعض المعاني ومجاز في الآخر، شاهد صدق على ذلك</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3519711_1280447820"/>
      <w:bookmarkStart w:id="201" w:name="_Toc74"/>
      <w:bookmarkEnd w:id="200"/>
      <w:r>
        <w:rPr>
          <w:rtl w:val="true"/>
        </w:rPr>
        <w:t>الجواب عن الإشكال الرابع</w:t>
      </w:r>
      <w:bookmarkEnd w:id="201"/>
    </w:p>
    <w:p>
      <w:pPr>
        <w:pStyle w:val="BookText"/>
        <w:rPr/>
      </w:pPr>
      <w:r>
        <w:rPr>
          <w:rFonts w:ascii="Amiri" w:hAnsi="Amiri" w:eastAsia="Amiri" w:cs="Amiri"/>
          <w:color w:val="111111"/>
          <w:sz w:val="28"/>
          <w:sz w:val="28"/>
          <w:szCs w:val="28"/>
          <w:rtl w:val="true"/>
          <w:lang w:bidi="ar-SA"/>
        </w:rPr>
        <w:t>والجواب عنه يستدعي التكلّم في كلام النحاة، ثمّ الإشارة إلى ما هو الحقّ في المقام عند فحول المحقّقين من الأعلام، فأقول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بأنّ الحرف غير مستقلّ في الدلالة على المعنى الإفراديّ ليس لأجل استقلاله بالدلالة على المعنى التركيبيّ، بل لاشتراك كلّ من الاسم والفعل والحرف في عدم الاستقلال بالنسبة إلى دلالة المعاني التركيبيّة، والمراد بالمعنى الإفراديّ ما فهم من اللفظ حال الإفراد، ومن التركيبيّ ما يتّصف اللفظ به حال التركيب، كالفاعليّة والمفعوليّة والابتدائيّة والخبريّة وهكذا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أنّ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الفاعليّة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المفعوليّة موقوفة على انضمام الفعل في الموضعين إليه، وكذا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الخبريّة موقوفة على انضمام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فامتياز الحرف عن أخويه بالنسبة إلى الدلالة على المعاني الإفراديّة حيث يستقلّان</w:t>
      </w:r>
      <w:r>
        <w:rPr>
          <w:rStyle w:val="FootnoteAnchor"/>
          <w:rtl w:val="true"/>
        </w:rPr>
        <w:footnoteReference w:id="132"/>
      </w:r>
      <w:r>
        <w:rPr>
          <w:rFonts w:ascii="Amiri" w:hAnsi="Amiri" w:eastAsia="Amiri" w:cs="Amiri"/>
          <w:color w:val="111111"/>
          <w:sz w:val="28"/>
          <w:sz w:val="28"/>
          <w:szCs w:val="28"/>
          <w:rtl w:val="true"/>
          <w:lang w:bidi="ar-SA"/>
        </w:rPr>
        <w:t>في ذلك دونه، 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الحرف غير مستقلّ في الدلالة على المعنى الإفراديّ وإن كان معناه </w:t>
      </w:r>
      <w:bookmarkStart w:id="202" w:name="pg16214_221531"/>
    </w:p>
    <w:p>
      <w:pPr>
        <w:pStyle w:val="BookText"/>
        <w:rPr/>
      </w:pPr>
      <w:bookmarkEnd w:id="202"/>
      <w:r>
        <w:rPr>
          <w:rFonts w:ascii="Amiri" w:hAnsi="Amiri" w:eastAsia="Amiri" w:cs="Amiri"/>
          <w:color w:val="111111"/>
          <w:sz w:val="28"/>
          <w:sz w:val="28"/>
          <w:szCs w:val="28"/>
          <w:rtl w:val="true"/>
          <w:lang w:bidi="ar-SA"/>
        </w:rPr>
        <w:t>غير مختلف في حالة التركيب والإفراد</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3519713_1280447820"/>
      <w:bookmarkStart w:id="204" w:name="_Toc75"/>
      <w:bookmarkEnd w:id="203"/>
      <w:r>
        <w:rPr>
          <w:rtl w:val="true"/>
        </w:rPr>
        <w:t>تعريف الاسم والحرف عند النحاة</w:t>
      </w:r>
      <w:bookmarkEnd w:id="204"/>
    </w:p>
    <w:p>
      <w:pPr>
        <w:pStyle w:val="Heading6"/>
        <w:numPr>
          <w:ilvl w:val="5"/>
          <w:numId w:val="1"/>
        </w:numPr>
        <w:rPr/>
      </w:pPr>
      <w:bookmarkStart w:id="205" w:name="__RefHeading___Toc3519715_1280447820"/>
      <w:bookmarkStart w:id="206" w:name="_Toc76"/>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ثمّ إنّ النحاة على ما رأينا منهم عرّفوا الاسم والحرف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دالّ على معنى في نفسه، إلى آخر ما ذكروا؛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دالّ على معنى في غيره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يفتقر إلى مرجع، وهو إمّا الاسم مثلًا، أو اللفظ، أو المعنى؛ وعلى التقادير إمّا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للظرفيّة أو السببيّة، وعلى التقادير الستّة الظرف إمّا لغو أو مستقرّ، وعلى تقدير الاستقرار إمّا صفة لمعنى أو حال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فالأقسام ثمانية عشر</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جعل الاسم مرجعًا فاسد؛ لاستلزامه أخذ المحدود في الحدّ، فبطل</w:t>
      </w:r>
      <w:r>
        <w:rPr>
          <w:rStyle w:val="FootnoteAnchor"/>
          <w:rtl w:val="true"/>
        </w:rPr>
        <w:footnoteReference w:id="135"/>
      </w:r>
      <w:r>
        <w:rPr>
          <w:rFonts w:ascii="Amiri" w:hAnsi="Amiri" w:eastAsia="Amiri" w:cs="Amiri"/>
          <w:color w:val="111111"/>
          <w:sz w:val="28"/>
          <w:sz w:val="28"/>
          <w:szCs w:val="28"/>
          <w:rtl w:val="true"/>
          <w:lang w:bidi="ar-SA"/>
        </w:rPr>
        <w:t>من الأقسام ستّة، وبقي اثنا عشر</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3519717_1280447820"/>
      <w:bookmarkStart w:id="208" w:name="_Toc77"/>
      <w:bookmarkEnd w:id="207"/>
      <w:r>
        <w:rPr>
          <w:rtl w:val="true"/>
        </w:rPr>
        <w:t>القسم الأوّل</w:t>
      </w:r>
      <w:bookmarkEnd w:id="20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المرجع في الموضعين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والمتعلّق الفعل المذكور، والمعنى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ما دلّ على معنى باعتبار نفس ذلك المعنى لا باعتبار غيره، 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الحرف ما دلّ على معنى باعتبار غير </w:t>
      </w:r>
      <w:bookmarkStart w:id="209" w:name="pg16214_221532"/>
    </w:p>
    <w:p>
      <w:pPr>
        <w:pStyle w:val="BookText"/>
        <w:rPr/>
      </w:pPr>
      <w:bookmarkEnd w:id="209"/>
      <w:r>
        <w:rPr>
          <w:rFonts w:ascii="Amiri" w:hAnsi="Amiri" w:eastAsia="Amiri" w:cs="Amiri"/>
          <w:color w:val="111111"/>
          <w:sz w:val="28"/>
          <w:sz w:val="28"/>
          <w:szCs w:val="28"/>
          <w:rtl w:val="true"/>
          <w:lang w:bidi="ar-SA"/>
        </w:rPr>
        <w:t>ذلك المعنى، أي المتعلّق</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3519719_1280447820"/>
      <w:bookmarkStart w:id="211" w:name="_Toc78"/>
      <w:bookmarkEnd w:id="210"/>
      <w:r>
        <w:rPr>
          <w:rtl w:val="true"/>
        </w:rPr>
        <w:t>القسم الثاني</w:t>
      </w:r>
      <w:bookmarkEnd w:id="211"/>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 إلّا أنّ المتعلّق محذوف،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ما دلّ على معنى حاصل في ذهن المتكلّم باعتبار نفسه؛ والحرف ما دلّ على معنى حاصل في ذهنه</w:t>
      </w:r>
      <w:r>
        <w:rPr>
          <w:rStyle w:val="FootnoteAnchor"/>
          <w:rtl w:val="true"/>
        </w:rPr>
        <w:footnoteReference w:id="136"/>
      </w:r>
      <w:r>
        <w:rPr>
          <w:rFonts w:ascii="Amiri" w:hAnsi="Amiri" w:eastAsia="Amiri" w:cs="Amiri"/>
          <w:color w:val="111111"/>
          <w:sz w:val="28"/>
          <w:sz w:val="28"/>
          <w:szCs w:val="28"/>
          <w:rtl w:val="true"/>
          <w:lang w:bidi="ar-SA"/>
        </w:rPr>
        <w:t>لا باعتبار نفسه، بل باعتبار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ابن الحاجب</w:t>
      </w:r>
      <w:r>
        <w:rPr>
          <w:rStyle w:val="FootnoteAnchor"/>
          <w:rtl w:val="true"/>
        </w:rPr>
        <w:footnoteReference w:id="137"/>
      </w:r>
      <w:r>
        <w:rPr>
          <w:rFonts w:ascii="Amiri" w:hAnsi="Amiri" w:eastAsia="Amiri" w:cs="Amiri"/>
          <w:color w:val="111111"/>
          <w:sz w:val="28"/>
          <w:sz w:val="28"/>
          <w:szCs w:val="28"/>
          <w:rtl w:val="true"/>
          <w:lang w:bidi="ar-SA"/>
        </w:rPr>
        <w:t>في الإيضاح على ما حكاه المحقّق الشريف</w:t>
      </w:r>
      <w:r>
        <w:rPr>
          <w:rStyle w:val="FootnoteAnchor"/>
          <w:rtl w:val="true"/>
        </w:rPr>
        <w:footnoteReference w:id="138"/>
      </w:r>
      <w:r>
        <w:rPr>
          <w:rFonts w:ascii="Amiri" w:hAnsi="Amiri" w:eastAsia="Amiri" w:cs="Amiri"/>
          <w:color w:val="111111"/>
          <w:sz w:val="28"/>
          <w:sz w:val="28"/>
          <w:szCs w:val="28"/>
          <w:rtl w:val="true"/>
          <w:lang w:bidi="ar-SA"/>
        </w:rPr>
        <w:t>عنه يحتملهما، لكن مع ظهور الكلام المنقول في حدّ الاسم في المعنى الأوّل، وفي حدّ الحرف في الثاني؛ لأنّه</w:t>
      </w:r>
      <w:r>
        <w:rPr>
          <w:rStyle w:val="FootnoteAnchor"/>
          <w:rtl w:val="true"/>
        </w:rPr>
        <w:footnoteReference w:id="1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معنى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دلّ على معنى باعتباره في نفسه وبالنظر إليه في نفسه، لا باعتبار أمر خارج عنها</w:t>
      </w:r>
      <w:r>
        <w:rPr>
          <w:rStyle w:val="FootnoteAnchor"/>
          <w:rtl w:val="true"/>
        </w:rPr>
        <w:footnoteReference w:id="140"/>
      </w:r>
      <w:r>
        <w:rPr>
          <w:rFonts w:ascii="Amiri" w:hAnsi="Amiri" w:eastAsia="Amiri" w:cs="Amiri"/>
          <w:color w:val="111111"/>
          <w:sz w:val="28"/>
          <w:sz w:val="28"/>
          <w:szCs w:val="28"/>
          <w:rtl w:val="true"/>
          <w:lang w:bidi="ar-SA"/>
        </w:rPr>
        <w:t>ولذلك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w:t>
      </w:r>
      <w:r>
        <w:rPr>
          <w:rStyle w:val="FootnoteAnchor"/>
          <w:rtl w:val="true"/>
        </w:rPr>
        <w:footnoteReference w:id="141"/>
      </w:r>
      <w:r>
        <w:rPr>
          <w:rFonts w:ascii="Amiri" w:hAnsi="Amiri" w:eastAsia="Amiri" w:cs="Amiri"/>
          <w:color w:val="111111"/>
          <w:sz w:val="28"/>
          <w:sz w:val="28"/>
          <w:szCs w:val="28"/>
          <w:rtl w:val="true"/>
          <w:lang w:bidi="ar-SA"/>
        </w:rPr>
        <w:t xml:space="preserve">ما دلّ على معنى في غيره، أي حاصل في غيره، أي </w:t>
      </w:r>
      <w:bookmarkStart w:id="212" w:name="pg16214_221533"/>
    </w:p>
    <w:p>
      <w:pPr>
        <w:pStyle w:val="BookText"/>
        <w:rPr/>
      </w:pPr>
      <w:bookmarkEnd w:id="212"/>
      <w:r>
        <w:rPr>
          <w:rFonts w:ascii="Amiri" w:hAnsi="Amiri" w:eastAsia="Amiri" w:cs="Amiri"/>
          <w:color w:val="111111"/>
          <w:sz w:val="28"/>
          <w:sz w:val="28"/>
          <w:szCs w:val="28"/>
          <w:rtl w:val="true"/>
          <w:lang w:bidi="ar-SA"/>
        </w:rPr>
        <w:t>باعتبار متعلّقه لا باعتباره في نفسه</w:t>
      </w:r>
      <w:r>
        <w:rPr>
          <w:rStyle w:val="FootnoteAnchor"/>
          <w:rtl w:val="true"/>
        </w:rPr>
        <w:footnoteReference w:id="14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المذكور في بعض نسخ الإيضاح على ما رأينا، غير مطابق لذلك</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3519721_1280447820"/>
      <w:bookmarkStart w:id="214" w:name="_Toc79"/>
      <w:bookmarkEnd w:id="213"/>
      <w:r>
        <w:rPr>
          <w:rtl w:val="true"/>
        </w:rPr>
        <w:t>القسم الثالث</w:t>
      </w:r>
      <w:bookmarkEnd w:id="214"/>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وظاهره فاسد، سواء كان في حدّ الاسم أو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المعنى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ما دلّ على معنى، وتلك الدلالة في نفس ذلك المعنى، والدلالة منسوبة إلى اللفظ وصفة له وقائمة به، فانتسابها إلى المعنى فاسد، إلّا أن يوجّه بأنّه لمّا كان المعنى مستقلًّا، فاستقلاله سبب لدلالة اللفظ عليه بانفراده، ولهذا</w:t>
      </w:r>
      <w:r>
        <w:rPr>
          <w:rStyle w:val="FootnoteAnchor"/>
          <w:rtl w:val="true"/>
        </w:rPr>
        <w:footnoteReference w:id="143"/>
      </w:r>
      <w:r>
        <w:rPr>
          <w:rFonts w:ascii="Amiri" w:hAnsi="Amiri" w:eastAsia="Amiri" w:cs="Amiri"/>
          <w:color w:val="111111"/>
          <w:sz w:val="28"/>
          <w:sz w:val="28"/>
          <w:szCs w:val="28"/>
          <w:rtl w:val="true"/>
          <w:lang w:bidi="ar-SA"/>
        </w:rPr>
        <w:t>نسبت الدلالة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المعنى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الحرف ما دلّ على معنى</w:t>
      </w:r>
      <w:r>
        <w:rPr>
          <w:rStyle w:val="FootnoteAnchor"/>
          <w:rtl w:val="true"/>
        </w:rPr>
        <w:footnoteReference w:id="144"/>
      </w:r>
      <w:r>
        <w:rPr>
          <w:rFonts w:ascii="Amiri" w:hAnsi="Amiri" w:eastAsia="Amiri" w:cs="Amiri"/>
          <w:color w:val="111111"/>
          <w:sz w:val="28"/>
          <w:sz w:val="28"/>
          <w:szCs w:val="28"/>
          <w:rtl w:val="true"/>
          <w:lang w:bidi="ar-SA"/>
        </w:rPr>
        <w:t>، وتلك الدلالة في غير ذلك المعنى؛ وفساده إنّما هو إذا أريد من غير المعنى المتعلّق، ووجه الفساد يظهر ممّا ذكر آنفًا، وأمّا إذا أريد منه نفس الحرف، فصحّته ظاهرة، لكنّ التكلّف فيه ظاهر</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3519723_1280447820"/>
      <w:bookmarkStart w:id="216" w:name="_Toc80"/>
      <w:bookmarkEnd w:id="215"/>
      <w:r>
        <w:rPr>
          <w:rtl w:val="true"/>
        </w:rPr>
        <w:t>القسم الرابع</w:t>
      </w:r>
      <w:bookmarkEnd w:id="21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كالثاني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فكالثالث؛ وظاهره في حدّ الاسم لا معنى له، وأمّا في الحرف</w:t>
      </w:r>
      <w:r>
        <w:rPr>
          <w:rStyle w:val="FootnoteAnchor"/>
          <w:rtl w:val="true"/>
        </w:rPr>
        <w:footnoteReference w:id="145"/>
      </w:r>
      <w:r>
        <w:rPr>
          <w:rFonts w:ascii="Amiri" w:hAnsi="Amiri" w:eastAsia="Amiri" w:cs="Amiri"/>
          <w:color w:val="111111"/>
          <w:sz w:val="28"/>
          <w:sz w:val="28"/>
          <w:szCs w:val="28"/>
          <w:rtl w:val="true"/>
          <w:lang w:bidi="ar-SA"/>
        </w:rPr>
        <w:t xml:space="preserve">فالمعنى أنّه ما دلّ على معنى حاصل في غير ذلك المعنى، وذلك الغير </w:t>
      </w:r>
      <w:bookmarkStart w:id="217" w:name="pg16214_221534"/>
    </w:p>
    <w:p>
      <w:pPr>
        <w:pStyle w:val="BookText"/>
        <w:rPr/>
      </w:pPr>
      <w:bookmarkEnd w:id="217"/>
      <w:r>
        <w:rPr>
          <w:rFonts w:ascii="Amiri" w:hAnsi="Amiri" w:eastAsia="Amiri" w:cs="Amiri"/>
          <w:color w:val="111111"/>
          <w:sz w:val="28"/>
          <w:sz w:val="28"/>
          <w:szCs w:val="28"/>
          <w:rtl w:val="true"/>
          <w:lang w:bidi="ar-SA"/>
        </w:rPr>
        <w:t>إمّا في ذهن المتكلّم</w:t>
      </w:r>
      <w:r>
        <w:rPr>
          <w:rStyle w:val="FootnoteAnchor"/>
          <w:rtl w:val="true"/>
        </w:rPr>
        <w:footnoteReference w:id="146"/>
      </w:r>
      <w:r>
        <w:rPr>
          <w:rFonts w:ascii="Amiri" w:hAnsi="Amiri" w:eastAsia="Amiri" w:cs="Amiri"/>
          <w:color w:val="111111"/>
          <w:sz w:val="28"/>
          <w:sz w:val="28"/>
          <w:szCs w:val="28"/>
          <w:rtl w:val="true"/>
          <w:lang w:bidi="ar-SA"/>
        </w:rPr>
        <w:t>أو متعلّقه، وسيظهر لك ذلك عن قريب</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3519725_1280447820"/>
      <w:bookmarkStart w:id="219" w:name="_Toc81"/>
      <w:bookmarkEnd w:id="218"/>
      <w:r>
        <w:rPr>
          <w:rtl w:val="true"/>
        </w:rPr>
        <w:t>القسم الخامس</w:t>
      </w:r>
      <w:bookmarkEnd w:id="219"/>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 أيضًا، إلّا أنّ المرجع فيه اللفظ، والمعنى في حدّ الاسم أنّه لفظ دالّ على معنى باعتبار نفس ذلك اللفظ، لا باعتبار غيره، وفي حدّ الحرف أنّه لفظ دالّ على معنى باعتبار غير ذلك اللفظ، لا باعتبار نفسه</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3519727_1280447820"/>
      <w:bookmarkStart w:id="221" w:name="_Toc82"/>
      <w:bookmarkEnd w:id="220"/>
      <w:r>
        <w:rPr>
          <w:rtl w:val="true"/>
        </w:rPr>
        <w:t>القسم السادس</w:t>
      </w:r>
      <w:bookmarkEnd w:id="221"/>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كالثاني إلّا في المرجع فكالخامس، والمعنى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لفظ دالّ على معنى حاصل في ذهن المتكلّم باعتبار نفس ذلك اللفظ، لا باعتبار غيره، 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الحرف لفظ دالّ على معنى حاصل باعتبار غير ذلك اللفظ، لا باعتبار نفسه</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3519729_1280447820"/>
      <w:bookmarkStart w:id="223" w:name="_Toc83"/>
      <w:bookmarkEnd w:id="222"/>
      <w:r>
        <w:rPr>
          <w:rtl w:val="true"/>
        </w:rPr>
        <w:t>القسم السابع</w:t>
      </w:r>
      <w:bookmarkEnd w:id="223"/>
    </w:p>
    <w:p>
      <w:p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كالثالث إلّا في المرجع فكالخامس؛ والمعنى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لفظ دالّ على معنى في نفس ذلك اللفظ؛ 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الحرف لفظ دالّ على معنى في غير ذلك اللفظ؛ وهذا بظاهره هنا وإن كان فاسدًا، لكنّه في الأوّل لا بأس به</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3519731_1280447820"/>
      <w:bookmarkStart w:id="225" w:name="_Toc84"/>
      <w:bookmarkEnd w:id="224"/>
      <w:r>
        <w:rPr>
          <w:rtl w:val="true"/>
        </w:rPr>
        <w:t>القسم الثامن</w:t>
      </w:r>
      <w:bookmarkEnd w:id="22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كالرابع إلّا في المرجع فكالسابع، والمعنى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لفظ دالّ على معنى ثابت في نفس ذلك اللفظ، 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الحرف لفظ دالّ على معنى </w:t>
      </w:r>
      <w:bookmarkStart w:id="226" w:name="pg16214_221535"/>
    </w:p>
    <w:p>
      <w:pPr>
        <w:pStyle w:val="BookText"/>
        <w:rPr/>
      </w:pPr>
      <w:bookmarkEnd w:id="226"/>
      <w:r>
        <w:rPr>
          <w:rFonts w:ascii="Amiri" w:hAnsi="Amiri" w:eastAsia="Amiri" w:cs="Amiri"/>
          <w:color w:val="111111"/>
          <w:sz w:val="28"/>
          <w:sz w:val="28"/>
          <w:szCs w:val="28"/>
          <w:rtl w:val="true"/>
          <w:lang w:bidi="ar-SA"/>
        </w:rPr>
        <w:t>ثابت في غير ذلك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بعد الإحاطة بما ذكر متمكّن من استخراج بقيّة الأقسام</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3519733_1280447820"/>
      <w:bookmarkStart w:id="228" w:name="_Toc85"/>
      <w:bookmarkEnd w:id="227"/>
      <w:r>
        <w:rPr>
          <w:rtl w:val="true"/>
        </w:rPr>
        <w:t>الجواب عن الإشكال الرابع</w:t>
      </w:r>
      <w:bookmarkEnd w:id="228"/>
    </w:p>
    <w:p>
      <w:pPr>
        <w:pStyle w:val="Heading6"/>
        <w:numPr>
          <w:ilvl w:val="5"/>
          <w:numId w:val="1"/>
        </w:numPr>
        <w:rPr/>
      </w:pPr>
      <w:bookmarkStart w:id="229" w:name="__RefHeading___Toc3519735_1280447820"/>
      <w:bookmarkStart w:id="230" w:name="_Toc86"/>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عن الاعتراض المذكور يمكن من وجوه</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3519737_1280447820"/>
      <w:bookmarkStart w:id="232" w:name="_Toc87"/>
      <w:bookmarkEnd w:id="231"/>
      <w:r>
        <w:rPr>
          <w:rtl w:val="true"/>
        </w:rPr>
        <w:t>الجواب الأوّل</w:t>
      </w:r>
      <w:bookmarkEnd w:id="23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مقصود النحاة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الحرف ما دلّ</w:t>
      </w:r>
      <w:r>
        <w:rPr>
          <w:rStyle w:val="FootnoteAnchor"/>
          <w:rtl w:val="true"/>
        </w:rPr>
        <w:footnoteReference w:id="147"/>
      </w:r>
      <w:r>
        <w:rPr>
          <w:rFonts w:ascii="Amiri" w:hAnsi="Amiri" w:eastAsia="Amiri" w:cs="Amiri"/>
          <w:color w:val="111111"/>
          <w:sz w:val="28"/>
          <w:sz w:val="28"/>
          <w:szCs w:val="28"/>
          <w:rtl w:val="true"/>
          <w:lang w:bidi="ar-SA"/>
        </w:rPr>
        <w:t>على معنى في غيره</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هو المعنى الثامن، فالاعتراض حينئذٍ مندفع؛ لأنّ معنى الحدّ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معنى ثابت في غير ذلك اللفظ، ولا يدلّ على أنّ ذلك الغير شرط في الدلالة حتّى لا تكون دلالة الحرف على المعنى بنفسه، فيلزم انتفاء الوضع فيه، فلا يتّصف بالحقيقة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الجواب لا شبهة فيه إن صحّت إرادة هذا المعنى في المقام، فاللازم صرف العنان إلى بيان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هو الّذي ارتضاه نجم الأئمّة وبنى عليه حمل كلامهم وتصدّى لبيانه وأطال فيه الكلام، فلا بأس بذكر مقالته في المقام، ثمّ التعرّض بما يتوجّه عليه من النقض والإبرام، فاعلم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الكلام على ما اخترناه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والضمير </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149"/>
      </w:r>
      <w:r>
        <w:rPr>
          <w:rFonts w:ascii="Amiri" w:hAnsi="Amiri" w:eastAsia="Amiri" w:cs="Amiri"/>
          <w:color w:val="111111"/>
          <w:sz w:val="28"/>
          <w:sz w:val="28"/>
          <w:szCs w:val="28"/>
          <w:rtl w:val="true"/>
          <w:lang w:bidi="ar-SA"/>
        </w:rPr>
        <w:t>الاسم كلمة دلّت على معنى ثابت في نفس تلك الكلمة، والحرف كلمة دلّت على معنى ثابت في لفظ غيرها،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اللفظ الّذي فيه معنى الحرف مفردًا كالمعرّف باللّام والمنكّر بتنوين التنكير، وقد يكون جملة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الاستفهام معنى في الجملة، إذ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مستفهم عنه، وكذا النفي في نحو</w:t>
      </w:r>
      <w:r>
        <w:rPr>
          <w:rStyle w:val="FootnoteAnchor"/>
          <w:rtl w:val="true"/>
        </w:rPr>
        <w:footnoteReference w:id="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قيام زيد منفيّ، فالحرف موجد لمعناه في لفظ غيره، إمّا مقدّم عليه كما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مؤخّر عنه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والأكثر أن يكون معنى الحرف مضمون ذلك اللفظ، فيكون متضمّنًا للمعنى الّذي أحدث فيه الحرف مع دلالته على معناه الأصليّ، إلّا أنّ هذا تضمّن معنى لم يدلّ عليه لفظ المتضمّن، كما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متضمّنًا لمعنى الجدار ودالًّا عليه، بل الدالّ على المضمون فيما نحن فيه لفظ آخر مقترن بالمتضمّن، فرجل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متضمّن لمعنى التعريف الّذي أحدث فيه اللام المقترن به،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متضمّن لمعنى الاستفهام،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مستفهم عنه، ولا بدّ في المستفهم عنه من معنى الاستفهام، وموجده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معنى الحرف ما دلّ عليه غيره مطابقة وذلك إذا كان ذلك الغير لازم الإضمار، كما دلّت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الضميرين اللازم إضمارهما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يكون الحرف دالًّا على معنيين كلّ منهما في كلمة، كحروف المضارعة الدالّة على معنى في الفعل ومعنى في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والأغلب في معنى الحرف أن يكون معنى الأسماء الدالّة على المعاني دون الأعيان، وقد تكون دالّة على العين أيضًا، كالهمزة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 المذكّر، فإنّها تفيد معاني الفاعلين بعد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إلّا أنّ الفرق بينهما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مدلوله مضمون لفظ آخر، بل مدلوله معناه الّذي في نفسه مطابقة،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لفظ آخر يضاف ذلك المضمون إلى معنى ذلك اللفظ الأصليّ، فلهذا جاز الإخبار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خير من الانتهاء، ولم يجز الإخبار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الابتداء الّذي هو مدلولها في لفظ آخر، فكيف يخبر عن لفظ ليس معناه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لفظ غيره؛ وإنّما يخبر عن الشيء باعتبار المعنى الّذي في نفسه 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فالحرف وحده لامعنى له أصلًا، إذ هو كالمنصوب</w:t>
      </w:r>
      <w:r>
        <w:rPr>
          <w:rStyle w:val="FootnoteAnchor"/>
          <w:rtl w:val="true"/>
        </w:rPr>
        <w:footnoteReference w:id="151"/>
      </w:r>
      <w:r>
        <w:rPr>
          <w:rFonts w:ascii="Amiri" w:hAnsi="Amiri" w:eastAsia="Amiri" w:cs="Amiri"/>
          <w:color w:val="111111"/>
          <w:sz w:val="28"/>
          <w:sz w:val="28"/>
          <w:szCs w:val="28"/>
          <w:rtl w:val="true"/>
          <w:lang w:bidi="ar-SA"/>
        </w:rPr>
        <w:t>بجنب شيء ليدلّ على أنّ في ذلك الشيء فائدة ما</w:t>
      </w:r>
      <w:r>
        <w:rPr>
          <w:rStyle w:val="FootnoteAnchor"/>
          <w:rtl w:val="true"/>
        </w:rPr>
        <w:footnoteReference w:id="152"/>
      </w:r>
      <w:r>
        <w:rPr>
          <w:rFonts w:ascii="IRNazanin" w:hAnsi="IRNazanin" w:eastAsia="IRNazanin"/>
          <w:color w:val="111111"/>
          <w:sz w:val="28"/>
          <w:sz w:val="28"/>
          <w:szCs w:val="28"/>
          <w:rtl w:val="true"/>
          <w:lang w:bidi="fa-IR"/>
        </w:rPr>
        <w:t>، فإذا أفرد</w:t>
      </w:r>
      <w:r>
        <w:rPr>
          <w:rStyle w:val="FootnoteAnchor"/>
          <w:rtl w:val="true"/>
        </w:rPr>
        <w:footnoteReference w:id="153"/>
      </w:r>
      <w:r>
        <w:rPr>
          <w:rFonts w:ascii="Amiri" w:hAnsi="Amiri" w:eastAsia="Amiri" w:cs="Amiri"/>
          <w:color w:val="111111"/>
          <w:sz w:val="28"/>
          <w:sz w:val="28"/>
          <w:szCs w:val="28"/>
          <w:rtl w:val="true"/>
          <w:lang w:bidi="ar-SA"/>
        </w:rPr>
        <w:t>عن ذلك الشيء بقي غير دالّ على معنى أصلًا؛ فظهر بهذا أنّ المعنى الإفراديّ للاسم والفعل في أنفسهما وللحرف في غيره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يصحّ الاعتراض على حدّ الحرف بالصفات؛ وذلك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مثلًا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رجل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موجد لمعناه، أي الطول في موصوفه حتّى صار الموصوف متضمّنًا له؛ وذلك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طول، فهو دالّ على معنيين أحدهما قائم بالآخر، إذ الطول قائم بذي طول</w:t>
      </w:r>
      <w:r>
        <w:rPr>
          <w:rStyle w:val="FootnoteAnchor"/>
          <w:rtl w:val="true"/>
        </w:rPr>
        <w:footnoteReference w:id="155"/>
      </w:r>
      <w:r>
        <w:rPr>
          <w:rFonts w:ascii="Amiri" w:hAnsi="Amiri" w:eastAsia="Amiri" w:cs="Amiri"/>
          <w:color w:val="111111"/>
          <w:sz w:val="28"/>
          <w:sz w:val="28"/>
          <w:szCs w:val="28"/>
          <w:rtl w:val="true"/>
          <w:lang w:bidi="ar-SA"/>
        </w:rPr>
        <w:t xml:space="preserve">، فمعناه الطول وصاحبه، لا مجرّد الطول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ذكر الموصوف قبله ليعيّن ذلك الصاحب الّذي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به الطول، لا ليقوم به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النعت دالّ على معنى في متبوعه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فلكون المتبوع معيّنًا لذلك الّذي قام به المعنى ومخصّصًا له وكونه إيّاه، بل المصدر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مفيد لمعنى في لفظ غيره، أعني ضاربيّة زيد، لكنّهم احترزوا عن مثله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دلّ بالوضع، ولم يوضع المصدر ليفيد في لفظ غيره معنى، إذ يصحّ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الضرب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يذكر الضارب، ولا يخرج بذلك عن الوضع</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ويصحّ أن يعترض عليه بالأفعال،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w:t>
      </w:r>
      <w:r>
        <w:rPr>
          <w:rStyle w:val="FootnoteAnchor"/>
          <w:rtl w:val="true"/>
        </w:rPr>
        <w:footnoteReference w:id="156"/>
      </w:r>
      <w:r>
        <w:rPr>
          <w:rFonts w:ascii="Amiri" w:hAnsi="Amiri" w:eastAsia="Amiri" w:cs="Amiri"/>
          <w:color w:val="111111"/>
          <w:sz w:val="28"/>
          <w:sz w:val="28"/>
          <w:szCs w:val="28"/>
          <w:rtl w:val="true"/>
          <w:lang w:bidi="ar-SA"/>
        </w:rPr>
        <w:t>ليدلّ على ضاربيّة ما ارتفع به، ولا يندفع هذا الاعتراض إلّا بما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الحرف ما لا يدلّ إلّا على معنى في غيره</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في نفسه الإخبار عن وقوع ضرب وفي فاعله عن ضاربيّته،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يفيد إلّا معنى الابتداء</w:t>
      </w:r>
      <w:r>
        <w:rPr>
          <w:rStyle w:val="FootnoteAnchor"/>
          <w:rtl w:val="true"/>
        </w:rPr>
        <w:footnoteReference w:id="158"/>
      </w:r>
      <w:r>
        <w:rPr>
          <w:rFonts w:ascii="Amiri" w:hAnsi="Amiri" w:eastAsia="Amiri" w:cs="Amiri"/>
          <w:color w:val="111111"/>
          <w:sz w:val="28"/>
          <w:sz w:val="28"/>
          <w:szCs w:val="28"/>
          <w:rtl w:val="true"/>
          <w:lang w:bidi="ar-SA"/>
        </w:rPr>
        <w:t>في غيره</w:t>
      </w:r>
      <w:r>
        <w:rPr>
          <w:rStyle w:val="FootnoteAnchor"/>
          <w:rtl w:val="true"/>
        </w:rPr>
        <w:footnoteReference w:id="159"/>
      </w:r>
      <w:r>
        <w:rPr>
          <w:rFonts w:ascii="Amiri" w:hAnsi="Amiri" w:eastAsia="Amiri" w:cs="Amiri"/>
          <w:color w:val="111111"/>
          <w:sz w:val="28"/>
          <w:sz w:val="28"/>
          <w:szCs w:val="28"/>
          <w:rtl w:val="true"/>
          <w:lang w:bidi="ar-SA"/>
        </w:rPr>
        <w:t>، انتهى كلامه أعلى الله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نظر؛ لأنّ ثبوت معنى الكلمة في نفسها، أو في لفظ غيرها، ممّا لا نفهم له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كثيرًا من الأسماء يكون المعاني المدلول عليها بها جواهر، كزيد مثلًا، إذ معناه الذات المسمّى، وهو غير ثابت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ثبوته وقيامه به يستلزم قيام الجوهر بالعرض، وهو ممّا لا يكاد يشكّ في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الأسماء الّتي تكون المعاني المستفادة منها أعراضًا، كالأكل والشرب والضرب والقتل وأمثالها، فإنّه وإن لم يكن فيها تلك المفسدة، إذ قيام العرض بالعرض غير عزيز، كقيام السرعة والبطئ في الحركة وغيره على ما بيّن في محلّه</w:t>
      </w:r>
      <w:r>
        <w:rPr>
          <w:rStyle w:val="FootnoteAnchor"/>
          <w:rtl w:val="true"/>
        </w:rPr>
        <w:footnoteReference w:id="160"/>
      </w:r>
      <w:r>
        <w:rPr>
          <w:rFonts w:ascii="Amiri" w:hAnsi="Amiri" w:eastAsia="Amiri" w:cs="Amiri"/>
          <w:color w:val="111111"/>
          <w:sz w:val="28"/>
          <w:sz w:val="28"/>
          <w:szCs w:val="28"/>
          <w:rtl w:val="true"/>
          <w:lang w:bidi="ar-SA"/>
        </w:rPr>
        <w:t>، لكنّا نقطع بانتفاء كون الأمر في الواقع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مقتضى قيام العرض بالعرض عدم انفكاك الأوّل عن الثاني في الوجود وإن أمكن انفكاك الثاني عنه؛ وليس الأمر فيما نحن فيه كذلك؛ لوضوح أنّه كثيرًا ما يتحقّق معنى الضرب في الخارج مع عدم التلفّظ 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دلالة الحرف على معنى ثابت في لفظ غيره فهو أيضًا ممّا لا ريب في فساده، إذ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والانتهاء، وكيف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ثابتان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من البصرة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قد عرفت أنّ مقتضى قيام العرض بالآخر هو ما تقدّم، فيرد عليه ما قد سبق ذكره، وأيضًا لو كان معنى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العين، فيلزم من ثبوته وقيامه في لفظ آخر قيام الجوهر بالعرض كما لا يخفى؛ وما ذكره من ثبوت التعريف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والاستفهام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 معلوم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إن حمل الكلام على ظاهره، ولو حمل على خلاف الظاهر بأن يقدّر مضاف في العبارة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إنّ الحرف يدلّ على معنى ثابت في معنى لفظ غيره،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اللفظ الّذي فيه معنى 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معناه معنى الحرف، ففيه أيضًا أنّه يلزم على هذا أن يكون معنى الكلام في حدّ الاسم أنّه دالّ على معنى ثابت في معنى نفسه، فيلزم ظرفيّة الشيء لنفسه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على هذا التقدير ينبغي إرجاع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المعنى حتّى لا يلزم منه تقدير مضاف، ثمّ بناءً على هذا المعنى يشاهد الاختلاف بين الحروف في تحقّق هذا المعنى فيه، إذ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ممّا لا بأس به؛ إذ هي للظرفيّة، وثبوتها في الكوز وقيامها به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في الكوز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المثليّة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الكاف ثابتة في معنى أحد اللفظين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 للفرس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إلّا أنّ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وليت وهل ومن وإلى في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زيدًا قائم، وليت الشباب يعود، وهل زيد قائم، وسرت من البصرة إلى الكوفة، ونحوها، تحقّق المعنى المذكور فيه مشكل؛ لأنّ كلًا من الترجّي والتمنّي والاستفهام والابتداء والانتهاء ثابت في المتكلّم، لا في معنى الجمل المذكورة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الابتداء والانتهاء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ثابتان في البصرة والكوفة، ضرورة تحقّق ابتداء كلّ شيء وكذا انتهائه فيه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للابتداء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للانتهاء، أنّهما للابتداء والانتهاء الّذين لمدخولهما، بل المراد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أنّ أوّل زمان تلبّس </w:t>
      </w:r>
    </w:p>
    <w:p>
      <w:pPr>
        <w:pStyle w:val="BookText"/>
        <w:rPr/>
      </w:pPr>
      <w:r>
        <w:rPr>
          <w:rFonts w:ascii="Amiri" w:hAnsi="Amiri" w:eastAsia="Amiri" w:cs="Amiri"/>
          <w:color w:val="111111"/>
          <w:sz w:val="28"/>
          <w:sz w:val="28"/>
          <w:szCs w:val="28"/>
          <w:rtl w:val="true"/>
          <w:lang w:bidi="ar-SA"/>
        </w:rPr>
        <w:t xml:space="preserve">الفاعل بالفعل المذكور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بعدها،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مفادها أنّ انتهاء تلبّسه بذلك الفعل فيما بعدها، ولهذا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ابتداء السير من وسط البصرة، بل وآخرها، وانتهائه في</w:t>
      </w:r>
      <w:r>
        <w:rPr>
          <w:rStyle w:val="FootnoteAnchor"/>
          <w:rtl w:val="true"/>
        </w:rPr>
        <w:footnoteReference w:id="162"/>
      </w:r>
      <w:r>
        <w:rPr>
          <w:rFonts w:ascii="Amiri" w:hAnsi="Amiri" w:eastAsia="Amiri" w:cs="Amiri"/>
          <w:color w:val="111111"/>
          <w:sz w:val="28"/>
          <w:sz w:val="28"/>
          <w:szCs w:val="28"/>
          <w:rtl w:val="true"/>
          <w:lang w:bidi="ar-SA"/>
        </w:rPr>
        <w:t>أوّل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 من الترجّي والتمنّي والاستفهام ونحوها متعلّق بمعاني الجمل المذكورة بعدها، لا أنّها ثابتة فيها، وإرادة هذا المعنى من الثبوت فيها</w:t>
      </w:r>
      <w:r>
        <w:rPr>
          <w:rStyle w:val="FootnoteAnchor"/>
          <w:rtl w:val="true"/>
        </w:rPr>
        <w:footnoteReference w:id="163"/>
      </w:r>
      <w:r>
        <w:rPr>
          <w:rFonts w:ascii="Amiri" w:hAnsi="Amiri" w:eastAsia="Amiri" w:cs="Amiri"/>
          <w:color w:val="111111"/>
          <w:sz w:val="28"/>
          <w:sz w:val="28"/>
          <w:szCs w:val="28"/>
          <w:rtl w:val="true"/>
          <w:lang w:bidi="ar-SA"/>
        </w:rPr>
        <w:t xml:space="preserve">يستلزم انتقاض طرد حدّ الحرف بدخول هذه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التمنّي والترجّي ونحوهما من الأسماء الدالّة على المعاني المتعلّقة بمعاني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إذا كان معنى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ما دلّت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يكون معنى الحرف غير مستقلّ بالمفهوميّة، وكيف يحكم بحرفيّة بعضها واسميّة الآخر مع اشتراكهما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تسليم الجميع، حملُ الكلام عليه غير مجد لدفع الاعتراض؛ لتصريحه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الحرف وحده لا معنى له أصلًا،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أفرد عن متعلّقه بقي غير دالّ على معنى أصلًا</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فتكون دلالته على معناه موقوفة على ذكر المتعلّق، فلا تكون دلالته بنفسه، وهو عين الاعتراض</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مأخوذ في وضع الحرف، فإذا أفرد عن المتعلّق لم يكن مستعملًا فيما وضع له، فاستعماله فيما وضع له إنّما يكون إذا ذكر مع المتعلّق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معنى له؛ لأنّ الموضوع له للفظ هو ما عيّن اللفظ بإزائه، والاقتران بالمتعلّق لا يجعل غير الموضوع له موضوعًا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الواضع جعل الاقتران بالمتعلّق شرطًا للدلالة على الموضوع له، فإذا أفرد عنه انتفت الدلالة؛ لانتفاء شرطها على ما ذهب إليه بعضهم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بناءً الكلام عليه غير حاسم للإشكال على ما هو غنيّ عن البيان، مع أنّه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الحرف الّذي اشترط ذكر المتعلّق في دلالته عليه لا يخلو إمّا أن يمكن دلالة الحرف عليه من دون أن يذكر المتعلّق، أم لا؛ وكلاهما فاسد،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يكون إذا كان</w:t>
      </w:r>
      <w:r>
        <w:rPr>
          <w:rStyle w:val="FootnoteAnchor"/>
          <w:rtl w:val="true"/>
        </w:rPr>
        <w:footnoteReference w:id="166"/>
      </w:r>
      <w:r>
        <w:rPr>
          <w:rFonts w:ascii="Amiri" w:hAnsi="Amiri" w:eastAsia="Amiri" w:cs="Amiri"/>
          <w:color w:val="111111"/>
          <w:sz w:val="28"/>
          <w:sz w:val="28"/>
          <w:szCs w:val="28"/>
          <w:rtl w:val="true"/>
          <w:lang w:bidi="ar-SA"/>
        </w:rPr>
        <w:t xml:space="preserve">الحروف موضوعة للنسب المطلقة الّتي يعبّر عنها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كالابتداء والانتهاء والغرض</w:t>
      </w:r>
      <w:r>
        <w:rPr>
          <w:rStyle w:val="FootnoteAnchor"/>
          <w:rtl w:val="true"/>
        </w:rPr>
        <w:footnoteReference w:id="167"/>
      </w:r>
      <w:r>
        <w:rPr>
          <w:rFonts w:ascii="Amiri" w:hAnsi="Amiri" w:eastAsia="Amiri" w:cs="Amiri"/>
          <w:color w:val="111111"/>
          <w:sz w:val="28"/>
          <w:sz w:val="28"/>
          <w:szCs w:val="28"/>
          <w:rtl w:val="true"/>
          <w:lang w:bidi="ar-SA"/>
        </w:rPr>
        <w:t>ونحوها، فيلزم اتّحاد المعنى الحرفيّ والاسميّ، فتكون معاني الحروف مستقلّة، فحينئذٍ يصحّ وقوعه محكومًا عليه وبه، فيبطل</w:t>
      </w:r>
      <w:r>
        <w:rPr>
          <w:rStyle w:val="FootnoteAnchor"/>
          <w:rtl w:val="true"/>
        </w:rPr>
        <w:footnoteReference w:id="168"/>
      </w:r>
      <w:r>
        <w:rPr>
          <w:rFonts w:ascii="IRNazanin" w:hAnsi="IRNazanin" w:eastAsia="IRNazanin"/>
          <w:color w:val="111111"/>
          <w:sz w:val="28"/>
          <w:sz w:val="28"/>
          <w:szCs w:val="28"/>
          <w:rtl w:val="true"/>
          <w:lang w:bidi="fa-IR"/>
        </w:rPr>
        <w:t>اتّفاقهم على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لو كانت المعاني الحرفيّة ما ذكر، يلزم من اشتراط الدلالة بذكر المتعلّق إمّا خروج الشرط عن كونه شرطًا، أو تخلّف المعلول عن علّته التامّة، والتالي بشقّيه باطل، فالمقدّم مثله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الشرطيّة فلأنّا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استعمل الحرف من غير ذكر المتعلّق، إمّا أن </w:t>
      </w:r>
      <w:bookmarkStart w:id="233" w:name="pg16214_221543"/>
    </w:p>
    <w:p>
      <w:pPr>
        <w:pStyle w:val="BookText"/>
        <w:rPr/>
      </w:pPr>
      <w:bookmarkEnd w:id="233"/>
      <w:r>
        <w:rPr>
          <w:rFonts w:ascii="Amiri" w:hAnsi="Amiri" w:eastAsia="Amiri" w:cs="Amiri"/>
          <w:color w:val="111111"/>
          <w:sz w:val="28"/>
          <w:sz w:val="28"/>
          <w:szCs w:val="28"/>
          <w:rtl w:val="true"/>
          <w:lang w:bidi="ar-SA"/>
        </w:rPr>
        <w:t>يكون دالًّا على معناه حينئذٍ وينتقل المخاطب منه إليه، أو لا؛ وعلى الأوّل يلزم الأوّل؛ لأنّ المفروض أنّ ذكر المتعلّق شرط في تحقّق الدلالة وقد تحقّقت مع انتفائه، وعلى الثاني الثاني؛ إذ وضع اللفظ لمعنى مستقلّ مع علم المخاطب بوضعه له علّة تامّة لدلالته عليه وانتقاله منه إليه والمفروض تحقّقه مع انتفاء الدلالة، فيلزم التخلّف، وأمّا بطلان التالي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كانت المعاني الحرفيّة ما ذكر، يمكن الاستغناء في الدلالة عليها عن الاشتراط كما في الأسماء، فالاشتراط مع إمكان الاستغناء عنه لغوٌ بحتٌ لا يصار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ما إذا لم تكن دلالة الحرف على المعنى إلّا بذكر المتعلّق، وذلك إنّما يكون إذا كان المعنى النسب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ذكر المتعلّق حينئذٍ ضروريّ يحكم به العقل؛ لوضوح أنّ النسبة لا تتعيّن إلّا بالمنسوب إليه، فما لم يذكر متعلّق الحرف لا يتحصّل معناه لا في العقل ولا في الخارج على ما سيجيء تحقيقه، فلا افتقار إلى اشتراط الواضع</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4" w:name="__RefHeading___Toc3519739_1280447820"/>
      <w:bookmarkStart w:id="235" w:name="_Toc88"/>
      <w:bookmarkEnd w:id="234"/>
      <w:r>
        <w:rPr>
          <w:rtl w:val="true"/>
        </w:rPr>
        <w:t>الجواب الثاني عن الإشكال الرابع</w:t>
      </w:r>
      <w:bookmarkEnd w:id="23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الثاني عن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بعضهم</w:t>
      </w:r>
      <w:r>
        <w:rPr>
          <w:rStyle w:val="FootnoteAnchor"/>
          <w:rtl w:val="true"/>
        </w:rPr>
        <w:footnoteReference w:id="170"/>
      </w:r>
      <w:r>
        <w:rPr>
          <w:rFonts w:ascii="Amiri" w:hAnsi="Amiri" w:eastAsia="Amiri" w:cs="Amiri"/>
          <w:color w:val="111111"/>
          <w:sz w:val="28"/>
          <w:sz w:val="28"/>
          <w:szCs w:val="28"/>
          <w:rtl w:val="true"/>
          <w:lang w:bidi="ar-SA"/>
        </w:rPr>
        <w:t>،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الاعتراض مبنيّ على حمل الدلالة بنفسه المأخوذ في حدّ الوضع على أن تكون</w:t>
      </w:r>
      <w:r>
        <w:rPr>
          <w:rStyle w:val="FootnoteAnchor"/>
          <w:rtl w:val="true"/>
        </w:rPr>
        <w:footnoteReference w:id="171"/>
      </w:r>
      <w:r>
        <w:rPr>
          <w:rFonts w:ascii="Amiri" w:hAnsi="Amiri" w:eastAsia="Amiri" w:cs="Amiri"/>
          <w:color w:val="111111"/>
          <w:sz w:val="28"/>
          <w:sz w:val="28"/>
          <w:szCs w:val="28"/>
          <w:rtl w:val="true"/>
          <w:lang w:bidi="ar-SA"/>
        </w:rPr>
        <w:t xml:space="preserve">الدلالة </w:t>
      </w:r>
    </w:p>
    <w:p>
      <w:pPr>
        <w:pStyle w:val="BookText"/>
        <w:rPr/>
      </w:pPr>
      <w:r>
        <w:rPr>
          <w:rFonts w:ascii="Amiri" w:hAnsi="Amiri" w:eastAsia="Amiri" w:cs="Amiri"/>
          <w:color w:val="111111"/>
          <w:sz w:val="28"/>
          <w:sz w:val="28"/>
          <w:szCs w:val="28"/>
          <w:rtl w:val="true"/>
          <w:lang w:bidi="ar-SA"/>
        </w:rPr>
        <w:t>مستندة إلى نفس اللفظ الموضوع من غير افتقار إلى غيره مطلقًا؛ وهو ليس بلازم؛ لجواز أن يكون المراد من الدلالة بنفسه أن لا يكون بواسطة قرينة مانعة عن المعنى الأصليّ، فلا يضرّ الافتقار في الدلالة إلى ما لم يكن كذلك،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الحرف وإن كان دالًّا على المعنى بواسطة المتعلّق، لكنّه ليس مانعًا عن المعنى الأصليّ في الحرف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كأنّه مبنيّ على حمل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 على السببيّة وجعل الظرف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نظر،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بالمعنى الأصليّ إمّا الموضوع له، أو غيره، وكلاهما فاسد، أمّا الأوّل فلاستلزامه الدور؛ لأنّه في قوّة أخذ الوضع في تعريفه،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غير معلوم، فيلزم جهالة الشيء المأخوذ في الحدّ، وهي غير جائزة؛ لأنّ التحديد إنّما هو لتحصيل المعنى المحدود، وهو مع الجهل بالحدّ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بالمعنى الأصليّ ما لا يستعمل اللفظ باعتباره إلّا فيه، أو فيما يناسبه، فلا يلزم جهالة المأخوذ في الحدّ كما لا يخفى، ولا الدور؛ لأنّ تصوّر المعنى الأصليّ بهذا الوجه غير متوقّف على معرفة الوضع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راجع إلى الوضع، أو إلى المعنى، لا سبيل إلى الثاني؛ لأنّ استعمال اللفظ في المعنى ليس باعتباره، ألا ترى أنّه لو لم يتحقّق الوضع له، لا يمكن استعماله فيه أبدًا، بل السبب لصحّة استعمال اللفظ في المعنى إنّما هو الوضع، فتعيّن الأوّل، فيلزم الدور لما مرّ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الانحصار المذكور إنّما يصحّ في الألفاظ المفردة، وأمّا في الألفاظ المشتركة فلا؛ لأنّه كما يصحّ استعمال اللفظ المشترك باعتبار الوضع لمعنى فيه وفيما </w:t>
      </w:r>
      <w:bookmarkStart w:id="236" w:name="pg16214_221545"/>
    </w:p>
    <w:p>
      <w:pPr>
        <w:pStyle w:val="BookText"/>
        <w:rPr/>
      </w:pPr>
      <w:bookmarkEnd w:id="236"/>
      <w:r>
        <w:rPr>
          <w:rFonts w:ascii="Amiri" w:hAnsi="Amiri" w:eastAsia="Amiri" w:cs="Amiri"/>
          <w:color w:val="111111"/>
          <w:sz w:val="28"/>
          <w:sz w:val="28"/>
          <w:szCs w:val="28"/>
          <w:rtl w:val="true"/>
          <w:lang w:bidi="ar-SA"/>
        </w:rPr>
        <w:t>يناسبه، كذلك يصحّ استعماله باعتباره أيضًا في غيره، وهو المعنى الآخر له وما يناسبه،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دلالة اللفظ لذاته أو لنفسه، استقلاله في الدلالة وعدم توقّفه على شيء أصلًا، لا على القرينة المانعة عن المعنى الأصليّ ولا على غيرها، فحمله على المعنى المذكور لما فيه من شدّة المخالفة لظاهر اللفظ لا يصار إليه في مقام الحدود والتعاريف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يقتضي ثبوت الوضع بالمعنى المذكور في الكناية؛ لأنّ القرينة فيها ليست مانعة عن إرادة المعنى الأصلي، فيلزم أن تكون الكناية حقيقة؛ لاتّفاقهم على انحصار الوضع بالمعنى المذكور في الحقائق، وهو فاسد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أجيب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دلالة اللفظ بنفسه أن لا تكون دلالته على المعنى بواسطة قرينة مانعة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وإن كان يفترق عن الجواب المذكور بسلامته عن الاعتراض الأوّل، لكن يشترك معه في الاعتراضين الأخيرين كما لا يخفى، إذ هما في المآل متقاربان، ولهذا أدرجناه في ضمنه</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3519741_1280447820"/>
      <w:bookmarkStart w:id="238" w:name="_Toc89"/>
      <w:bookmarkEnd w:id="237"/>
      <w:r>
        <w:rPr>
          <w:rtl w:val="true"/>
        </w:rPr>
        <w:t>الجواب الثالث عن الإشكال الرابع</w:t>
      </w:r>
      <w:bookmarkEnd w:id="23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الثالث عن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جمع من المحقّقين</w:t>
      </w:r>
      <w:r>
        <w:rPr>
          <w:rStyle w:val="FootnoteAnchor"/>
          <w:rtl w:val="true"/>
        </w:rPr>
        <w:footnoteReference w:id="172"/>
      </w:r>
      <w:r>
        <w:rPr>
          <w:rFonts w:ascii="Amiri" w:hAnsi="Amiri" w:eastAsia="Amiri" w:cs="Amiri"/>
          <w:color w:val="111111"/>
          <w:sz w:val="28"/>
          <w:sz w:val="28"/>
          <w:szCs w:val="28"/>
          <w:rtl w:val="true"/>
          <w:lang w:bidi="ar-SA"/>
        </w:rPr>
        <w:t>،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نسلّم انتفاء الوضع بالمعنى المذكور في الحروف؛ وما اشتهر في ألسنة النحاة من نسبة </w:t>
      </w:r>
    </w:p>
    <w:p>
      <w:pPr>
        <w:pStyle w:val="BookText"/>
        <w:rPr/>
      </w:pPr>
      <w:r>
        <w:rPr>
          <w:rFonts w:ascii="IRNazanin" w:hAnsi="IRNazanin" w:eastAsia="IRNazanin"/>
          <w:color w:val="111111"/>
          <w:sz w:val="28"/>
          <w:sz w:val="28"/>
          <w:szCs w:val="28"/>
          <w:rtl w:val="true"/>
          <w:lang w:bidi="fa-IR"/>
        </w:rPr>
        <w:t>الحرف</w:t>
      </w:r>
      <w:r>
        <w:rPr>
          <w:rStyle w:val="FootnoteAnchor"/>
          <w:rtl w:val="true"/>
        </w:rPr>
        <w:footnoteReference w:id="173"/>
      </w:r>
      <w:r>
        <w:rPr>
          <w:rFonts w:ascii="Amiri" w:hAnsi="Amiri" w:eastAsia="Amiri" w:cs="Amiri"/>
          <w:color w:val="111111"/>
          <w:sz w:val="28"/>
          <w:sz w:val="28"/>
          <w:szCs w:val="28"/>
          <w:rtl w:val="true"/>
          <w:lang w:bidi="ar-SA"/>
        </w:rPr>
        <w:t>إلى عدم الاستقلال إمّا يكون منافيًا لذلك إذا كان مرادهم عدم الاستقلال في الدلالة؛ وهو غير مسلّم؛ لتصريحهم بأنّ المراد عدم الاستقلال بحسب المفهوم، بناءً على أنّ معنى الحرف أمر نسبيّ، والنسبة لا تتعيّن ولا تتحصّل إلّا بتعيّن</w:t>
      </w:r>
      <w:r>
        <w:rPr>
          <w:rStyle w:val="FootnoteAnchor"/>
          <w:rtl w:val="true"/>
        </w:rPr>
        <w:footnoteReference w:id="174"/>
      </w:r>
      <w:r>
        <w:rPr>
          <w:rFonts w:ascii="Amiri" w:hAnsi="Amiri" w:eastAsia="Amiri" w:cs="Amiri"/>
          <w:color w:val="111111"/>
          <w:sz w:val="28"/>
          <w:sz w:val="28"/>
          <w:szCs w:val="28"/>
          <w:rtl w:val="true"/>
          <w:lang w:bidi="ar-SA"/>
        </w:rPr>
        <w:t>المنسوب إليه وتحصّله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الحرفيّ لقصوره في نفسه ونقصانه في حدّ ذاته لكونه تعلّقيًّا، لا يمكن أن يتعقّل إلّا بذكر متعلّقه، ولا أن يتحصّل إلّا بتحصّله، فعدم الاستقلال إمّا هو لذلك، وكذا الافتقار إلى ذكر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المعاني الحرفيّة في الأذهان كالأعراض الموجودة في الأعيان، وكما أنّ تحصّل الأعراض وتحقّقها في الخارج لا يمكن إلّا بموضوع تقوم به ومحلّ تتحصّل بتحصّله، كذلك المعنى الحرفيّ لنقصانه في ذاته لا يمكن أن يتحصّل في الذهن إلّا بتحصّل متعلّقه، فما لم يوجد المتعلّق في الذهن ولم يعقل لا يمكن وجود المعنى الحرفيّ فيه وتعقّله؛ لكونه حالته، فلا يكون ذكر المتعلّق لافتقار الحرف في الدلالة إليه واشتراطها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بالمعنى المذكور متحقّق في الحروف، وهي مستقلّة في الدلالة على معانيها وإن لم يكن وجودها كافيًا لوجود المدلول لنقصانه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الباري تعالى قادر على أشدّ أنحاء القدرة ومستقلّ فيها بأكمل وجوه الاستقلال، ومع ذلك لا يُوْجد الممتنع كشريك الباري واجتماع النقيضين؛ لكون نفسه آبية عن الوجود وناقصة عن التحصّل، وكما أنّ نقصان ذاته </w:t>
      </w:r>
    </w:p>
    <w:p>
      <w:pPr>
        <w:pStyle w:val="BookText"/>
        <w:rPr/>
      </w:pPr>
      <w:r>
        <w:rPr>
          <w:rFonts w:ascii="Amiri" w:hAnsi="Amiri" w:eastAsia="Amiri" w:cs="Amiri"/>
          <w:color w:val="111111"/>
          <w:sz w:val="28"/>
          <w:sz w:val="28"/>
          <w:szCs w:val="28"/>
          <w:rtl w:val="true"/>
          <w:lang w:bidi="ar-SA"/>
        </w:rPr>
        <w:t>عن التحصّل وإباء نفسه عن الموجوديّة لا يصير دليلًا على ضعف قدرة القادر وعدم استقلاله فيها، كذلك نقصان المعنى الحرفيّ في ذاته وإبائه عن التعقّل منفكًّا عن المتعلّق لا يصير دليلًا على ضعف دلالة الدالّ وعدم استقلاله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على ما عرّفها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بحيث يحصل من العلم به العلم بشيء آخر، وهو المدلول</w:t>
      </w:r>
      <w:r>
        <w:rPr>
          <w:rStyle w:val="FootnoteAnchor"/>
          <w:rtl w:val="true"/>
        </w:rPr>
        <w:footnoteReference w:id="175"/>
      </w:r>
      <w:r>
        <w:rPr>
          <w:rFonts w:ascii="Amiri" w:hAnsi="Amiri" w:eastAsia="Amiri" w:cs="Amiri"/>
          <w:color w:val="111111"/>
          <w:sz w:val="28"/>
          <w:sz w:val="28"/>
          <w:szCs w:val="28"/>
          <w:rtl w:val="true"/>
          <w:lang w:bidi="ar-SA"/>
        </w:rPr>
        <w:t>، واستقلال الحرف فيها مع عدم العلم بالمدلول منافٍ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بالدالّ إنّما يستلزم العلم بالمفهوم إذا أمكن العلم به بمجرّد ذلك العلم، أي عند انتفاء المانع، وقد عرفت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من التفسير المذكور للدلالة أنّ العلم بالدلالة يستلزم العلم بالمدلول، والعلم بها في الحروف إنّما هو عند اقترانها بالمتعلّق، فحينئذٍ يحصل العلم بالمفهوم، وأمّا عند عدمه فلا؛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استقلال الحرف في الدلالة غير كافٍ لحصول المفهوم وتعقّله، بل لا بدّ في ذلك من ذكر المتعلّق، فالحكم باستقلاله فيها وعدم اشتراطها بذكر المتعلّق مع عدم حصولها إلّا به تحكّم ظاهر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رأيناهم مطبقين على اتّصاف الحروف بالحقيقة وأنّها غير منفكّة عن الوضع بالمعنى المذكور، لزمنا الحكم بذلك؛ وإنّما المقصود في هذا المقام التنبيه على أنّ ما اشتهر بينهم من عدم استقلال الحروف بحسب المفهوم غير منافٍ لذلك لما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الحرف ما دلّ على معنى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منافٍ أيضًا؛ لجواز أن يكون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والظرف مستقرًّا صفة،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ما دلّ على معنى حاصل بسبب غيره على ما تقدّم، والّذي يلزم من ذلك حصول المعنى الحرفيّ بسبب الغير، وهو ممّا لا ريب فيه كما عرفت، لا أن تكون دلالته بالغير حتّى يلزم</w:t>
      </w:r>
      <w:r>
        <w:rPr>
          <w:rStyle w:val="FootnoteAnchor"/>
          <w:rtl w:val="true"/>
        </w:rPr>
        <w:footnoteReference w:id="176"/>
      </w:r>
      <w:r>
        <w:rPr>
          <w:rFonts w:ascii="Amiri" w:hAnsi="Amiri" w:eastAsia="Amiri" w:cs="Amiri"/>
          <w:color w:val="111111"/>
          <w:sz w:val="28"/>
          <w:sz w:val="28"/>
          <w:szCs w:val="28"/>
          <w:rtl w:val="true"/>
          <w:lang w:bidi="ar-SA"/>
        </w:rPr>
        <w:t>عدم الاستقلال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مع أنّه لو كان المراد ذلك، ينتقض طرد حدّ الحرف بدخول المجازات بأسرها فيه، لكن يمكن دفع ذلك بأنّ المراد بالغير في تفسير الحرف متعلّق المعنى الحرفيّ كما صرّحوا به، والّذي يكون لأجله دلالة المجازات على المعاني المجازيّة هو القرينة، لا متعلّق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هذا المعنى ما وقع من صاحب التسهيل في تعريف الكلمة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لفظ مستقلّ دالّ بالوضع، إلى آخره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الكلمة منقسمة إلى الاسم والفعل والحرف، فلا بدّ أن يكون الحدّ شاملًا لكلّ من أقسام المحدود كما لا يخفى، فيجب أن يكون الحرف أيضًا مستقلًّا دالًا بالوضع، والاستقلال إمّا بحسب المفهوم أو الدلالة، وحيث قد عرفت عدم جواز إرادة المعنى الأوّل، فقد تعيّنت إرادة الثاني، وهو المطلوب، فلا حاجة إلى ما حملنا الكلام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 اللامعة</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وأيضًا يجب صدق الدالّيّة بالوضع بالنسبة إلى جميع الأقسام، وحيث قد كانت الدلالة في أخويه على سبيل الاستقلال، ينبغي أن تكون بالنسبة إليه أيضًا كذلك؛ مضافًا إلى أنّه الظاهر المتبادر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بالوضع،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وإرادة الدلالة الاستقلاليّة بالنسبة إلى الاسم والفعل وغيرها بالنسبة إلى الحرف يستلزم الجمع بين المعنى الراجح والمرجوح، بل الحقيقة والمجاز، وهو غير جائز في نفسه، سيّما في مقام الحدود والتعاريف،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أردت تكميل المرام بتوضيح المقام،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المعاني الحرفيّة والاسميّة متّحدة بالذات ومختلفة بالاعتبار، وتتّصف</w:t>
      </w:r>
      <w:r>
        <w:rPr>
          <w:rStyle w:val="FootnoteAnchor"/>
          <w:rtl w:val="true"/>
        </w:rPr>
        <w:footnoteReference w:id="179"/>
      </w:r>
      <w:r>
        <w:rPr>
          <w:rFonts w:ascii="Amiri" w:hAnsi="Amiri" w:eastAsia="Amiri" w:cs="Amiri"/>
          <w:color w:val="111111"/>
          <w:sz w:val="28"/>
          <w:sz w:val="28"/>
          <w:szCs w:val="28"/>
          <w:rtl w:val="true"/>
          <w:lang w:bidi="ar-SA"/>
        </w:rPr>
        <w:t>بالاستقلال وعدمه باختلاف المقاصد والأغراض، فإذا لوحظت قصدًا وبالذات تكون معاني اسميّة مستقلّة؛ وإذا لوحظت لا من هذه</w:t>
      </w:r>
      <w:r>
        <w:rPr>
          <w:rStyle w:val="FootnoteAnchor"/>
          <w:rtl w:val="true"/>
        </w:rPr>
        <w:footnoteReference w:id="180"/>
      </w:r>
      <w:r>
        <w:rPr>
          <w:rFonts w:ascii="Amiri" w:hAnsi="Amiri" w:eastAsia="Amiri" w:cs="Amiri"/>
          <w:color w:val="111111"/>
          <w:sz w:val="28"/>
          <w:sz w:val="28"/>
          <w:szCs w:val="28"/>
          <w:rtl w:val="true"/>
          <w:lang w:bidi="ar-SA"/>
        </w:rPr>
        <w:t>الحيثيّة، بل آلة لملاحظة حال الغير ووصلة لتعرّف حاله، تكون معاني حرفيّة غير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فالابتداء مثلًا معنى متعلّق بالغير وحالة له إذا لاحظه العقل بذاته ويكون المقصود من تعقّله ذاته، لا أن يكون آلة لتعرّف حال متعلّقه، يكون معنى مستقلًّا في نفسه ملحوظًا في ذاته صالحًا لأن يحكم عليه وبه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خير من الانتهاء مثلًا، ويلزمه تعقّل متعلّقه إجمالًا وتبعًا، ضرورة أنّ الابتداء لا ينفك عمّا له الابتداء، وهو بهذا الاعتبار مدلول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لاحظه من حيث إنّه آلة لتعرّف حال الغير، كما إذا لاحظه من حيث هو حالة بين السير والبصرة، وجعله آلة لتعرّف حالهما بأن يكون السير منها لا من </w:t>
      </w:r>
    </w:p>
    <w:p>
      <w:pPr>
        <w:pStyle w:val="BookText"/>
        <w:rPr/>
      </w:pPr>
      <w:r>
        <w:rPr>
          <w:rFonts w:ascii="Amiri" w:hAnsi="Amiri" w:eastAsia="Amiri" w:cs="Amiri"/>
          <w:color w:val="111111"/>
          <w:sz w:val="28"/>
          <w:sz w:val="28"/>
          <w:szCs w:val="28"/>
          <w:rtl w:val="true"/>
          <w:lang w:bidi="ar-SA"/>
        </w:rPr>
        <w:t xml:space="preserve">غيرها، كان معنى غير مستقلّ بنفسه، لا يصلح أن يحكم عليه وبه؛ لأنّ الحكم على الشيء أو به إنّما يمكن إذا كان ملحوظًا قصدًا ليمكن اعتبار النسبة بينه وبين غيره، وهو بهذا الاعتبار مدلول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في تحيّر في تصوير ذلك وريب في الفرق بين المعاني الاسميّة والحرفيّة،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المدركات بالقوى الباطنة كالمحسوسات بالقوى الظاهرة، فكما أنّك تنظر تارةً إلى المرآة ويكون الداعي إلى ذلك اختبار حال الصورة، فلا شكّ أنّ لك حينئذٍ مبصَرَين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والمرآة، لكن لا شبهة في أنّ المشاهد ذاتًا وقصدًا الصورة، وإنّما تكون المرآة مشاهدة بتبعيّتها؛ لأنّك جعلتها آلة لملاحظتها ووصلة لتعرّف حالها، ولا ريب أنّ الصورة حينئذٍ بحيث نقدر أن نحكم عليها بالحسن أو القبح، وأمّا المرآة فإنّها ليست بمشاهدتها على هذا الوجه بحيث نقدر أن نحكم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يتعاكس الأمر بأن تنظر إلى المرآة ويكون الداعي اختبار حالها</w:t>
      </w:r>
      <w:r>
        <w:rPr>
          <w:rStyle w:val="FootnoteAnchor"/>
          <w:rtl w:val="true"/>
        </w:rPr>
        <w:footnoteReference w:id="181"/>
      </w:r>
      <w:r>
        <w:rPr>
          <w:rFonts w:ascii="Amiri" w:hAnsi="Amiri" w:eastAsia="Amiri" w:cs="Amiri"/>
          <w:color w:val="111111"/>
          <w:sz w:val="28"/>
          <w:sz w:val="28"/>
          <w:szCs w:val="28"/>
          <w:rtl w:val="true"/>
          <w:lang w:bidi="ar-SA"/>
        </w:rPr>
        <w:t>، فلا شكّ أنّ لك حينئذٍ مبصَرَين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المرآة والصورة، والكلام في الملحوظ قصدًا وتبعًا ظاهر، ولا شبهة أنّ المرآة حينئذٍ بحيث تقدر أن تحكم عليها، وأمّا الصورة</w:t>
      </w:r>
      <w:r>
        <w:rPr>
          <w:rStyle w:val="FootnoteAnchor"/>
          <w:rtl w:val="true"/>
        </w:rPr>
        <w:footnoteReference w:id="182"/>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الأمر في اللمس والذوق والشمّ والسمع، فإنّك قد تلمس أو تذوق أو تشمّ أو تسمع شيئًا ويكون الداعي اختبار حال الملموس والمذوق والمشموم </w:t>
      </w:r>
    </w:p>
    <w:p>
      <w:pPr>
        <w:pStyle w:val="BookText"/>
        <w:rPr/>
      </w:pPr>
      <w:r>
        <w:rPr>
          <w:rFonts w:ascii="Amiri" w:hAnsi="Amiri" w:eastAsia="Amiri" w:cs="Amiri"/>
          <w:color w:val="111111"/>
          <w:sz w:val="28"/>
          <w:sz w:val="28"/>
          <w:szCs w:val="28"/>
          <w:rtl w:val="true"/>
          <w:lang w:bidi="ar-SA"/>
        </w:rPr>
        <w:t>والمسموع، ولا شبهة أنّ هذه الأشياء في تلك الحالة مقصودة قصدًا يمكن أن يحكم عليها أو بها؛ وأمّا الحواسّ المذكورة فإنّما جعلت آلة لملاحظة حالها ووصلة لتعرف أحوالها وملحوظة تبعًا، فلا ريب أنّها حينئذٍ ليست بحيث تقدر أن تحكم عليها أو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الداعي إلى الإحساس اختبار حال الحواسّ، فإنّها حينئذٍ ملحوظة قصدًا، والأمور المذكورة من المذوق والمشموم ونحوها ملحوظة تبعًا وجعلت آلة لتعرف حالها عكس ما في الأوّل، والحال في صلاحيّة الحكم والعدم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المدركات بالقوى الباطنة، فإنّ معنى واحدًا كالابتداء مثلًا قد يدرك ملحوظًا قصدًا ويكون الداعي إلى الإدراك ملاحظة نفسه، لا أن يجعل آلة لملاحظة غيره، فإنّه حينئذٍ يكون معنى اسميًّا مستقلًّا يصلح أن يحكم عليه أو به، وقد يدرك لا قصدًا، بل تبعًا وآلة لملاحظة غيره ووصلة لتعرف حاله، فحينئذٍ يكون معنى حرفيًّا غير مستقلّ لا يصلح لأن يحكم عليه أو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النسبة الّتي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الكتابة إلى زيد، فإنّها في الأوّل مدركة من حيث إنّها حالة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وآلة لتعرف حالهما، فكأنّها مرآة تشاهدهما بها مرتبطًا أحدهما بالآخر، فيكون معنى حرفيًّا غير مستقلّ بالمفهوميّة، فلا يمكن أن يحكم عليها أو بها ما دامت مدركة على هذا الوجه، وفي الثاني ملحوظة في ذاتها مدركة بنفسها من غير أن يجعل آلة لملاحظة الغير ووصلة لتعرف حاله، فيكون معنًا اسميًّا مستقلًّا بالمفهوميّة صالحًا لأن يحكم عليه أو به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الكلام في الظرفيّة والغرض</w:t>
      </w:r>
      <w:r>
        <w:rPr>
          <w:rStyle w:val="FootnoteAnchor"/>
          <w:rtl w:val="true"/>
        </w:rPr>
        <w:footnoteReference w:id="183"/>
      </w:r>
      <w:r>
        <w:rPr>
          <w:rFonts w:ascii="Amiri" w:hAnsi="Amiri" w:eastAsia="Amiri" w:cs="Amiri"/>
          <w:color w:val="111111"/>
          <w:sz w:val="28"/>
          <w:sz w:val="28"/>
          <w:szCs w:val="28"/>
          <w:rtl w:val="true"/>
          <w:lang w:bidi="ar-SA"/>
        </w:rPr>
        <w:t>والتمنّي والترجّي ونحوها، ولهذا يقال</w:t>
      </w:r>
      <w:r>
        <w:rPr>
          <w:rFonts w:eastAsia="Amiri" w:cs="Amiri" w:ascii="Amiri" w:hAnsi="Amiri"/>
          <w:color w:val="111111"/>
          <w:sz w:val="28"/>
          <w:szCs w:val="28"/>
          <w:rtl w:val="true"/>
          <w:lang w:bidi="ar-SA"/>
        </w:rPr>
        <w:t xml:space="preserve">: </w:t>
      </w:r>
      <w:bookmarkStart w:id="239" w:name="pg16214_221552"/>
    </w:p>
    <w:p>
      <w:pPr>
        <w:pStyle w:val="BookText"/>
        <w:rPr/>
      </w:pPr>
      <w:bookmarkEnd w:id="239"/>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موضوعة لكلّ واحد من جزئيّات الابتداء المخصوصة المتعقّلة من حيث إنّها حالات لمتعلّقاتها وآلات لتعرف أحوالها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المعنى الحرفيّ، ظهر لك أنّه لو لم يذكر متعلّقه لا يتحصّل معناه، لا في العقل ولا في الخارج، وإنّما يتحصّل بتحصّله ويتعقّل بتعقّله، فذكر المتعلّق إنّما هو ممّا حكم به العقل وقضى به الفطرة في تحصّل معناه، لا أنّه ممّا يشترط به الواضع في دلالة الحرف حتّى يلزم عدم الاستقلال فيها كما تقدّم</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3519743_1280447820"/>
      <w:bookmarkStart w:id="241" w:name="_Toc90"/>
      <w:bookmarkEnd w:id="240"/>
      <w:r>
        <w:rPr>
          <w:rtl w:val="true"/>
        </w:rPr>
        <w:t>الجواب الرابع عن الإشكال الرابع</w:t>
      </w:r>
      <w:bookmarkEnd w:id="241"/>
    </w:p>
    <w:p>
      <w:pPr>
        <w:pStyle w:val="BookText"/>
        <w:rPr/>
      </w:pPr>
      <w:r>
        <w:rPr>
          <w:rFonts w:ascii="Amiri" w:hAnsi="Amiri" w:eastAsia="Amiri" w:cs="Amiri"/>
          <w:color w:val="111111"/>
          <w:sz w:val="28"/>
          <w:sz w:val="28"/>
          <w:szCs w:val="28"/>
          <w:rtl w:val="true"/>
          <w:lang w:bidi="ar-SA"/>
        </w:rPr>
        <w:t>والجواب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إن كان المراد بالدلالة التفصيليّة، فانتفاؤها في الحروف وإن كان مسلّمًا، لكن لا نسلّم اعتبارها في حدّ الوضع،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اختصاص له بالحروف، إذ كثير من الأسماء كذلك، كما عرفت في الألفاظ المشتركة وغيرها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أعمّ، فاعتبارها في تعريف الوضع وإن كان مسلّمًا، لكن لا نسلّم انتفاء الدلالة الإجماليّة في الحروف؛ لظهور انتقال الذهن حين استماع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واحد من الابتداءات الجزئيّة الربطيّة، كما لا يخفى، وكذا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وهو ظاهر، والافتقار إلى ذكر المتعلّق إنّما هو للدلالة التفصيليّة، كالقرينة في المشترك، فالدلالة الإجماليّة في الحروف ذاتيّة، وهو يكفي لدفع المحذور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الجواب أيضًا بعد تسليم انتفاء الدلالة الذاتيّة في الحروف، بأنّ انتفاء الدلالة الذاتيّة فيها لا ينافي ثبوت الوضع بالمعنى المذكور فيها؛ لما تقدّم سابقًا من أنّ الوضع بالمعنى المذكور يشتمل على فعل وغاية، وغاية ما يلزم بعد تسليم انتفاء الدلالة الذاتيّة انتفاء الغاية، وهو غير مستلزم لانتفاء الفعل، إذ ربّ فعل لا يترتّب عليه غايته،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الوضع بالمعنى المذكور فيها متحقّقًا، ومع ذلك تكون الدلالة متوقّفة على الغير، فالإيراد إنّما يكون متوجّهًا إذا اعتبرت الدلالة الذاتيّة في الحقيقة أو الوضع، لكنّ الأمر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الوضع بالمعنى المذكور ينبغي أن يكون مستلزمًا لتحقّق الغاية، وكذا انتفائها ينبغي أن يكون مستلزمًا لانتفاء الوضع، وإلّا يلزم خلوّ الوضع عن الفائدة، وهو فاسد؛ لأنّ الفاعل المختار لا ينفك فعله عن الفائدة كما حقّق</w:t>
      </w:r>
      <w:r>
        <w:rPr>
          <w:rStyle w:val="FootnoteAnchor"/>
          <w:rtl w:val="true"/>
        </w:rPr>
        <w:footnoteReference w:id="185"/>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الفاعل المختار اعتقاد الفائدة وكون الفعل لأجلها، وأمّا مطابقة هذا الاعتقاد للواقع فلا، كما لا يخفى، واللازم على تقدير انتفاء الدلالة الذاتيّة فيما نحن فيه عدم مطابقته للواقع، لا عدم الاعتقاد، فاللازم غير محذور والمحذور غير لازم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يتوجّه حينئذٍ ما سبق إليه الإشارة من أنّ تحقّق الفعل وانتفاء الغاية وإن لم يكن ممتنعًا، لكن ذلك إنّما يكون إذا لم يكن الفاعل حال الفعل عالمًا بعدم ترتّبها عليه، وأمّا معه فلا، إذ الفعل مع العلم بعدم ترتّب الفائدة كالفعل مع عدم الاعتقاد بها أو اعتقاد عدمها</w:t>
      </w:r>
      <w:r>
        <w:rPr>
          <w:rFonts w:eastAsia="Amiri" w:cs="Amiri" w:ascii="Amiri" w:hAnsi="Amiri"/>
          <w:color w:val="111111"/>
          <w:sz w:val="28"/>
          <w:szCs w:val="28"/>
          <w:rtl w:val="true"/>
          <w:lang w:bidi="ar-SA"/>
        </w:rPr>
        <w:t xml:space="preserve">. </w:t>
      </w:r>
      <w:bookmarkStart w:id="242" w:name="pg16214_221554"/>
    </w:p>
    <w:p>
      <w:pPr>
        <w:pStyle w:val="BookText"/>
        <w:rPr/>
      </w:pPr>
      <w:bookmarkEnd w:id="242"/>
      <w:r>
        <w:rPr>
          <w:rFonts w:ascii="Amiri" w:hAnsi="Amiri" w:eastAsia="Amiri" w:cs="Amiri"/>
          <w:color w:val="111111"/>
          <w:sz w:val="28"/>
          <w:sz w:val="28"/>
          <w:szCs w:val="28"/>
          <w:rtl w:val="true"/>
          <w:lang w:bidi="ar-SA"/>
        </w:rPr>
        <w:t>ويمكن الجواب عنه بأنّ المعاني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مستقلّة وغير مستقلّة، والمحوج إلى وضع اللفظ للقسم الأوّل محوج إلى وضعه للقسم الثاني أيضًا، إذ كما أنّ الحاجة داعية إلى التعبير عن القسم الأوّل، كذلك داعية إلى التعبير عن القسم الثاني أيضًا، فكما يجب وضع اللفظ لذاك يجب وضعه لذا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لكنّ الكلام في التعيين للدلالة الذاتيّة أو لا، فيمكن وضع اللفظ له وتجعل دلالته مشروطة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في المقام توقّف حصول المعنى فيما نحن فيه بالغير كما سبق مشروحًا، وكذا توقّف الدلالة على التسليم، وأمّا كون الاشتراط فيها</w:t>
      </w:r>
      <w:r>
        <w:rPr>
          <w:rStyle w:val="FootnoteAnchor"/>
          <w:rtl w:val="true"/>
        </w:rPr>
        <w:footnoteReference w:id="186"/>
      </w:r>
      <w:r>
        <w:rPr>
          <w:rFonts w:ascii="Amiri" w:hAnsi="Amiri" w:eastAsia="Amiri" w:cs="Amiri"/>
          <w:color w:val="111111"/>
          <w:sz w:val="28"/>
          <w:sz w:val="28"/>
          <w:szCs w:val="28"/>
          <w:rtl w:val="true"/>
          <w:lang w:bidi="ar-SA"/>
        </w:rPr>
        <w:t>من الواضع حتّى يلزم انتفاء الوضع بالمعنى المذكور في الحروف، فغير معلوم وغير مسلّم،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الفعل لا يلزم أن يكون حقيقة ولا مجازًا مع الجواب عنه</w:t>
      </w:r>
    </w:p>
    <w:p>
      <w:pPr>
        <w:pStyle w:val="Heading4"/>
        <w:numPr>
          <w:ilvl w:val="3"/>
          <w:numId w:val="1"/>
        </w:numPr>
        <w:rPr/>
      </w:pPr>
      <w:bookmarkStart w:id="243" w:name="__RefHeading___Toc3519745_1280447820"/>
      <w:bookmarkStart w:id="244" w:name="_Toc91"/>
      <w:bookmarkEnd w:id="243"/>
      <w:r>
        <w:rPr>
          <w:rtl w:val="true"/>
        </w:rPr>
        <w:t>الإشكال الخامس</w:t>
      </w:r>
      <w:bookmarkEnd w:id="244"/>
    </w:p>
    <w:p>
      <w:pPr>
        <w:pStyle w:val="Heading5"/>
        <w:numPr>
          <w:ilvl w:val="4"/>
          <w:numId w:val="1"/>
        </w:numPr>
        <w:rPr/>
      </w:pPr>
      <w:bookmarkStart w:id="245" w:name="__RefHeading___Toc3519747_1280447820"/>
      <w:bookmarkStart w:id="246" w:name="_Toc92"/>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والإشكال الخامس، هو أنّه لو كان الوضع المعتبر في الحقيقة والمجاز الوضع بالمعنى المذكور، يلزم أن لا تكون الأفعال حقيقة ولا مجازًا، واللازم باطل لما عرفت مرارًا، فالملزوم مثله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الملازمة؛ فلأنّهم ذكروا أنّ الأفعال موضوعة للحدث والزمان والنسبة إلى فاعل معيّن، ومعلوم أنّه لو لم يذكر الفاعل المعيّن لا يدلّ على النسبة، فلا تحصل دلالته على المعنى الموضوع له؛ لأنّ توقّف دلالته على الجزء على الغير يستلزم </w:t>
      </w:r>
      <w:bookmarkStart w:id="247" w:name="pg16214_221555"/>
    </w:p>
    <w:p>
      <w:pPr>
        <w:pStyle w:val="BookText"/>
        <w:rPr/>
      </w:pPr>
      <w:bookmarkEnd w:id="247"/>
      <w:r>
        <w:rPr>
          <w:rFonts w:ascii="Amiri" w:hAnsi="Amiri" w:eastAsia="Amiri" w:cs="Amiri"/>
          <w:color w:val="111111"/>
          <w:sz w:val="28"/>
          <w:sz w:val="28"/>
          <w:szCs w:val="28"/>
          <w:rtl w:val="true"/>
          <w:lang w:bidi="ar-SA"/>
        </w:rPr>
        <w:t>توقّف الدلالة على الكلّ عليه، فثبت أنّ الفعل لا يدلّ على المعنى الموضوع له بنفسه، ولمّا كان المعتبر في الوضع المعتبر في الحقيقة الدلالة النفسيّة، فلا يكون الفعل عند استعماله فيما وضع 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كونه مجازًا؛ فلأنّ المجاز اللفظ المستعمل في غير الموضوع له بذلك المعنى، فيتوقّف تحقّقه على ثبوت الوضع بذلك المعنى، وقد عرفت انتفاءه، ومن البيّن أنّ انتفاء الموقوف عليه يستلزم انتفاء الموقوف، فيلزم أن لا تتّصف الأفعال بالحقيقة ولو عند استعمالها فيما وضعت له، ولا بالمجازيّة ولو عند استعمالها في غيره</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3519749_1280447820"/>
      <w:bookmarkStart w:id="249" w:name="_Toc93"/>
      <w:bookmarkEnd w:id="248"/>
      <w:r>
        <w:rPr>
          <w:rtl w:val="true"/>
        </w:rPr>
        <w:t>الجواب عن الإشكال الخامس</w:t>
      </w:r>
      <w:bookmarkEnd w:id="249"/>
    </w:p>
    <w:p>
      <w:pPr>
        <w:pStyle w:val="Heading6"/>
        <w:numPr>
          <w:ilvl w:val="5"/>
          <w:numId w:val="1"/>
        </w:numPr>
        <w:rPr/>
      </w:pPr>
      <w:bookmarkStart w:id="250" w:name="__RefHeading___Toc3519751_1280447820"/>
      <w:bookmarkStart w:id="251" w:name="_Toc94"/>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ويمكن الجواب عنه من وجوه</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3519753_1280447820"/>
      <w:bookmarkStart w:id="253" w:name="_Toc95"/>
      <w:bookmarkEnd w:id="252"/>
      <w:r>
        <w:rPr>
          <w:rtl w:val="true"/>
        </w:rPr>
        <w:t>الجواب الأوّل</w:t>
      </w:r>
      <w:bookmarkEnd w:id="25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 في الحرف</w:t>
      </w:r>
      <w:r>
        <w:rPr>
          <w:rStyle w:val="FootnoteAnchor"/>
          <w:rtl w:val="true"/>
        </w:rPr>
        <w:footnoteReference w:id="187"/>
      </w:r>
      <w:r>
        <w:rPr>
          <w:rFonts w:ascii="Amiri" w:hAnsi="Amiri" w:eastAsia="Amiri" w:cs="Amiri"/>
          <w:color w:val="111111"/>
          <w:sz w:val="28"/>
          <w:sz w:val="28"/>
          <w:szCs w:val="28"/>
          <w:rtl w:val="true"/>
          <w:lang w:bidi="ar-SA"/>
        </w:rPr>
        <w:t>،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الافتقار إلى الغير إنّما هو لقصور المعنى ونقصه، بناءً على أنّ النسبة لمّا كانت مأخوذة في معنى الفعل، ومعلوم أنّها لا تعقل إلّا بتعقّل طرفيه، فما لم يذكر الفاعل لا يتحصّل معناه، فلا يمكن تعقّله، فالافتقار إلى ذكر الفاعل لذلك، لا لعدم استقلال الفعل في الدلالة حتّى يلزم انتفاء الدلالة الذاتيّة فيه، فيرد الانتقاض به</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3519755_1280447820"/>
      <w:bookmarkStart w:id="255" w:name="_Toc96"/>
      <w:bookmarkEnd w:id="254"/>
      <w:r>
        <w:rPr>
          <w:rtl w:val="true"/>
        </w:rPr>
        <w:t>الجواب الثاني</w:t>
      </w:r>
      <w:bookmarkEnd w:id="25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الجواب الرابع في الحروف، فتدبّر حتّى يظهر لك الحال، فلا افتقار إلى تفصيل المقال</w:t>
      </w:r>
      <w:r>
        <w:rPr>
          <w:rFonts w:eastAsia="Amiri" w:cs="Amiri" w:ascii="Amiri" w:hAnsi="Amiri"/>
          <w:color w:val="111111"/>
          <w:sz w:val="28"/>
          <w:szCs w:val="28"/>
          <w:rtl w:val="true"/>
          <w:lang w:bidi="ar-SA"/>
        </w:rPr>
        <w:t xml:space="preserve">. </w:t>
      </w:r>
      <w:bookmarkStart w:id="256" w:name="pg16214_221556"/>
    </w:p>
    <w:p>
      <w:pPr>
        <w:pStyle w:val="Heading6"/>
        <w:numPr>
          <w:ilvl w:val="5"/>
          <w:numId w:val="1"/>
        </w:numPr>
        <w:rPr/>
      </w:pPr>
      <w:bookmarkStart w:id="257" w:name="__RefHeading___Toc3519757_1280447820"/>
      <w:bookmarkStart w:id="258" w:name="_Toc97"/>
      <w:bookmarkEnd w:id="256"/>
      <w:bookmarkEnd w:id="257"/>
      <w:r>
        <w:rPr>
          <w:rtl w:val="true"/>
        </w:rPr>
        <w:t>الجواب الثالث</w:t>
      </w:r>
      <w:bookmarkEnd w:id="258"/>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الفعل له مدلول مطابقيّ، وهو الحدث والزمان مع نسبة الأوّل إلى فاعل معيّن، ومدلول تضمّنيّ، وهو كلّ من الحدث والزمان، وانتفاء الدلالة الذاتيّة إنّما هو بالنسبة إلى المدلول المطابقيّ، وأمّا بالنسبة إلى الدلالة التضمّنيّة فثابتة؛ لوضوح أنّ الفعل بالنسبة إلى الدلالة على الحدث مثلًا لا يتوقّف على انضمام ضميمة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 في تفسير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تعيين اللفظ للدلالة على المعنى لذاته</w:t>
      </w:r>
      <w:r>
        <w:rPr>
          <w:rStyle w:val="FootnoteAnchor"/>
          <w:rtl w:val="true"/>
        </w:rPr>
        <w:footnoteReference w:id="188"/>
      </w:r>
      <w:r>
        <w:rPr>
          <w:rFonts w:ascii="Amiri" w:hAnsi="Amiri" w:eastAsia="Amiri" w:cs="Amiri"/>
          <w:color w:val="111111"/>
          <w:sz w:val="28"/>
          <w:sz w:val="28"/>
          <w:szCs w:val="28"/>
          <w:rtl w:val="true"/>
          <w:lang w:bidi="ar-SA"/>
        </w:rPr>
        <w:t>، أعمّ من أن يكون المعنى مطابقيًّا أو تضمّنيًّا، فالدلالة الذاتيّة بالنسبة إلى أيّ منهما كانت كافية لتحقّق الوضع، وإنّما ينتفي بانتفائها ولو بالنسبة إلى الدلالة التضمّنيّة، فتأمّل</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فعلم من ذلك أنّ الفعل له معنى غير مستقلّ، وهو المدلول المطابقيّ، ومعنى مستقلّ، وهو المدلول التضمّنيّ، وانتفاء الدلالة الذاتيّة إنّما هو بالنسبة إلى الأوّل دون الثاني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يرد هنا إشكال، وهو أنّ الدلالة التضمّنيّة دلالة اللفظ على الجزء في ضمن دلالته على الكلّ، أي المدلول المطابقيّ، فلا يمكن انفكاكها عنها، فكيف يمكن أن تكون الدلالة التضمّنيّة لذاته مع كونها متوقّفة على الدلالة </w:t>
      </w:r>
      <w:bookmarkStart w:id="259" w:name="pg16214_221557"/>
    </w:p>
    <w:p>
      <w:pPr>
        <w:pStyle w:val="BookText"/>
        <w:rPr/>
      </w:pPr>
      <w:bookmarkEnd w:id="259"/>
      <w:r>
        <w:rPr>
          <w:rFonts w:ascii="Amiri" w:hAnsi="Amiri" w:eastAsia="Amiri" w:cs="Amiri"/>
          <w:color w:val="111111"/>
          <w:sz w:val="28"/>
          <w:sz w:val="28"/>
          <w:szCs w:val="28"/>
          <w:rtl w:val="true"/>
          <w:lang w:bidi="ar-SA"/>
        </w:rPr>
        <w:t>المطابقيّة المتوقّفة دلالتها على الغير؟</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3519759_1280447820"/>
      <w:bookmarkStart w:id="261" w:name="_Toc98"/>
      <w:bookmarkEnd w:id="260"/>
      <w:r>
        <w:rPr>
          <w:rtl w:val="true"/>
        </w:rPr>
        <w:t>الجواب الرابع</w:t>
      </w:r>
      <w:bookmarkEnd w:id="261"/>
    </w:p>
    <w:p>
      <w:pPr>
        <w:pStyle w:val="BookText"/>
        <w:rPr/>
      </w:pPr>
      <w:r>
        <w:rPr>
          <w:rFonts w:ascii="Amiri" w:hAnsi="Amiri" w:eastAsia="Amiri" w:cs="Amiri"/>
          <w:color w:val="111111"/>
          <w:sz w:val="28"/>
          <w:sz w:val="28"/>
          <w:szCs w:val="28"/>
          <w:rtl w:val="true"/>
          <w:lang w:bidi="ar-SA"/>
        </w:rPr>
        <w:t>والجواب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مبنيّ على أن تكون النسبة إلى فاعل معيّن مأخوذةً في وضع الفعل، وهو غير صحيح، بل الحقّ وفاقًا لبعض المحقّقين أنّه موضوع للحدث والزمان مع نسبة الأوّل إلى فاعل ما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يحتاج في الدلالة على هذا المعنى إلى ضميمة، ضرورة أنّه عند استماع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الذهن إلى الحدث والزمان المخصوص ونسبة الحدث إلى فاعل ما، فلو كانت النسبة إلى فاعل معيّن معتبرة في وضعه، لكان معناه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والزمان ونسبته إلى فاعل معيّن، فما لم يذكر الفاعل المعيّن لم يتحصّل المعنى المطابقيّ، فيلزمه عدم تحصّل المعنى التضمّنيّ أيضًا لما عرفت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والضرورة قاضية بفساده، إذ يلزم منه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حين التجرّد من الفاعل المعيّن لا يفهم منه الحدث أيضًا، أو يلزم تحقّق الدلالة التضمّنيّة من دون الدلالة المطابقيّة، وهو ينافي اتّفاق أئمّة الميزان</w:t>
      </w:r>
      <w:r>
        <w:rPr>
          <w:rStyle w:val="FootnoteAnchor"/>
          <w:rtl w:val="true"/>
        </w:rPr>
        <w:footnoteReference w:id="191"/>
      </w:r>
      <w:r>
        <w:rPr>
          <w:rFonts w:ascii="Amiri" w:hAnsi="Amiri" w:eastAsia="Amiri" w:cs="Amiri"/>
          <w:color w:val="111111"/>
          <w:sz w:val="28"/>
          <w:sz w:val="28"/>
          <w:szCs w:val="28"/>
          <w:rtl w:val="true"/>
          <w:lang w:bidi="ar-SA"/>
        </w:rPr>
        <w:t>على عدم تحقّق التضمّن بدون المطابقة، فيكون الفعل مستقلًّا في الدلالة، فاندفع الانتقاض بإعانة المؤيّد الفيّاض، فتأمّل</w:t>
      </w:r>
      <w:r>
        <w:rPr>
          <w:rFonts w:eastAsia="Amiri" w:cs="Amiri" w:ascii="Amiri" w:hAnsi="Amiri"/>
          <w:color w:val="111111"/>
          <w:sz w:val="28"/>
          <w:szCs w:val="28"/>
          <w:rtl w:val="true"/>
          <w:lang w:bidi="ar-SA"/>
        </w:rPr>
        <w:t xml:space="preserve">. </w:t>
      </w:r>
      <w:bookmarkStart w:id="262" w:name="pg16214_221558"/>
    </w:p>
    <w:p>
      <w:pPr>
        <w:pStyle w:val="Heading5"/>
        <w:numPr>
          <w:ilvl w:val="4"/>
          <w:numId w:val="1"/>
        </w:numPr>
        <w:rPr/>
      </w:pPr>
      <w:bookmarkStart w:id="263" w:name="__RefHeading___Toc3519761_1280447820"/>
      <w:bookmarkStart w:id="264" w:name="_Toc99"/>
      <w:bookmarkEnd w:id="262"/>
      <w:bookmarkEnd w:id="263"/>
      <w:r>
        <w:rPr>
          <w:rtl w:val="true"/>
        </w:rPr>
        <w:t>لِمّ عدم وقوع الفعل مسندًا ووقوع الاسم مسندًا ومسندًا إليه</w:t>
      </w:r>
      <w:bookmarkEnd w:id="264"/>
    </w:p>
    <w:p>
      <w:pPr>
        <w:pStyle w:val="BookText"/>
        <w:rPr/>
      </w:pPr>
      <w:r>
        <w:rPr>
          <w:rFonts w:ascii="Amiri" w:hAnsi="Amiri" w:eastAsia="Amiri" w:cs="Amiri"/>
          <w:color w:val="111111"/>
          <w:sz w:val="28"/>
          <w:sz w:val="28"/>
          <w:szCs w:val="28"/>
          <w:rtl w:val="true"/>
          <w:lang w:bidi="ar-SA"/>
        </w:rPr>
        <w:t>لِمّ عدم وقوع الفعل مسندًا</w:t>
      </w:r>
      <w:r>
        <w:rPr>
          <w:rStyle w:val="FootnoteAnchor"/>
          <w:rtl w:val="true"/>
        </w:rPr>
        <w:footnoteReference w:id="192"/>
      </w:r>
      <w:r>
        <w:rPr>
          <w:rFonts w:ascii="Amiri" w:hAnsi="Amiri" w:eastAsia="Amiri" w:cs="Amiri"/>
          <w:color w:val="111111"/>
          <w:sz w:val="28"/>
          <w:sz w:val="28"/>
          <w:szCs w:val="28"/>
          <w:rtl w:val="true"/>
          <w:lang w:bidi="ar-SA"/>
        </w:rPr>
        <w:t>ووقوع الاسم مسندًا ومسندًا إليه</w:t>
      </w:r>
    </w:p>
    <w:p>
      <w:pPr>
        <w:pStyle w:val="BookText"/>
        <w:rPr/>
      </w:pPr>
      <w:r>
        <w:rPr>
          <w:rFonts w:ascii="Amiri" w:hAnsi="Amiri" w:eastAsia="Amiri" w:cs="Amiri"/>
          <w:color w:val="111111"/>
          <w:sz w:val="28"/>
          <w:sz w:val="28"/>
          <w:szCs w:val="28"/>
          <w:rtl w:val="true"/>
          <w:lang w:bidi="ar-SA"/>
        </w:rPr>
        <w:t>ذِكْرُ تعليلٍ لحكمٍ مشهورٍ</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 ممّا ذكرنا سرّ ما اشتهر من وقوع الفعل مسندًا وعدم وقوعه مسندًا إليه؛ إذ قد عرفت أنّه موضوع للحدث مع نسبته إلى الفاعل، فالمسنديّة مأخوذة في وضعه، فوقوعه مسندًا إليه يستلزم خروجه عن وضعه، وأمّا الاسم فلمّا كان موضوعًا لمعنى مستقلّ من غير أن يعتبر نسبته إلى غيره أو نسبة الغير إليه، فلهذا قد يلاحظ على النحو الأوّل، فيقع مسندًا، وقد يلاحظ على الثاني، فيقع مسندًا إليه</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3519763_1280447820"/>
      <w:bookmarkStart w:id="266" w:name="_Toc100"/>
      <w:bookmarkEnd w:id="265"/>
      <w:r>
        <w:rPr>
          <w:rtl w:val="true"/>
        </w:rPr>
        <w:t>في الفرق بين اسم الفاعل والفعل</w:t>
      </w:r>
      <w:bookmarkEnd w:id="266"/>
    </w:p>
    <w:p>
      <w:pPr>
        <w:pStyle w:val="BookText"/>
        <w:rPr/>
      </w:pPr>
      <w:r>
        <w:rPr>
          <w:rFonts w:ascii="Amiri" w:hAnsi="Amiri" w:eastAsia="Amiri" w:cs="Amiri"/>
          <w:color w:val="111111"/>
          <w:sz w:val="28"/>
          <w:sz w:val="28"/>
          <w:szCs w:val="28"/>
          <w:rtl w:val="true"/>
          <w:lang w:bidi="ar-SA"/>
        </w:rPr>
        <w:t>دفع إيهام لتتميم مقام</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كون الفعل موضوعًا للحدث والنسبة إلى فاعل ما، يقتضي أن يكون اسم الفاعل فعلًا؛ لكونه أيضًا للحدث ونسبته إلى ذات ما، فيردّ عليه شيئان،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وقوعه إلّا محكومًا به كالفعل؛ وهما خلاف الوفاق</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جزء من مفهوم الفعل كما تقدّم، واسم الفاعل لم يكن كذلك؛ لأنّه موضوع للذات المتّصفة بالمبدأ، فالفرق</w:t>
      </w:r>
      <w:r>
        <w:rPr>
          <w:rStyle w:val="FootnoteAnchor"/>
          <w:rtl w:val="true"/>
        </w:rPr>
        <w:footnoteReference w:id="193"/>
      </w:r>
      <w:r>
        <w:rPr>
          <w:rFonts w:ascii="Amiri" w:hAnsi="Amiri" w:eastAsia="Amiri" w:cs="Amiri"/>
          <w:color w:val="111111"/>
          <w:sz w:val="28"/>
          <w:sz w:val="28"/>
          <w:szCs w:val="28"/>
          <w:rtl w:val="true"/>
          <w:lang w:bidi="ar-SA"/>
        </w:rPr>
        <w:t>بينهما من وجهين،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جزء من مفهوم الفعل، بخلاف اسم الفاعل، فإنّه لا مدخليّة للزمان في معناه بحسب الوضع،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الفعل موضوع للحدث المنسوب إلى </w:t>
      </w:r>
    </w:p>
    <w:p>
      <w:pPr>
        <w:pStyle w:val="BookText"/>
        <w:rPr/>
      </w:pPr>
      <w:r>
        <w:rPr>
          <w:rFonts w:ascii="Amiri" w:hAnsi="Amiri" w:eastAsia="Amiri" w:cs="Amiri"/>
          <w:color w:val="111111"/>
          <w:sz w:val="28"/>
          <w:sz w:val="28"/>
          <w:szCs w:val="28"/>
          <w:rtl w:val="true"/>
          <w:lang w:bidi="ar-SA"/>
        </w:rPr>
        <w:t>الذات، واسم الفاعل موضوع للذات المنسوب إليها الحدث، أي المتّصفة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يكون الزمان داخلًا في مفهوم اسم الفاعل مع أنّ تقسيم النحاة إيّاه إلى الماضي والحال والاستقبال مشهور بينهم، وخلاف أئمّة الأصول في حقيقته في الحال فقط أو في الماضي أيضًا معروف فيما بينهم؟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مرادهم من ذلك أنّ الزمان جزء من مدلوله، بل مرادهم إطلاق اسم الفاعل على الذات المتّصفة بالمبدأ في الحال أو في الماضي أو في الاستقبال، لا أن يكون ذلك الزمان جزءًا من مفهومه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على هذا أن لا يكون اسم الفاعل إلّا مسندًا إليه مع أنّه خلاف الواقع؛ لأنّ اللزوم ممنوع، إذ حاصل ما ذكر أنّ اسم الفاعل موضوع للدلالة على الذات المتّصفة بالحدث المدلول عليه بمادّته، فتلك الذات المتّصفة بذلك الحدث المدلول عليها باسم الفاعل مبهمة، إذ ليس معنى اسم الفاعل كضارب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على ما ذكر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المقصود تعيين تلك الذات،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 مثلًا، أي زيد نفس تلك الذات المتّصفة بالمبدأ، فيكون اسم الفاعل حينئذٍ مسندًا؛ وقد لا يكون المقصود من ذكر اسم الفاعل ذلك، بل المقصود إثبات حكم لتلك الذات المتّصفة بالمبدأ</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حكم لما صدق عليه تلك الذات،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وَالسَّارِقُ وَالسَّارِقَةُ فَاقْطَعُوا أَيْدِيَهُمَا</w:t>
      </w:r>
      <w:r>
        <w:rPr>
          <w:rStyle w:val="FootnoteAnchor"/>
          <w:rtl w:val="true"/>
        </w:rPr>
        <w:footnoteReference w:id="194"/>
      </w:r>
      <w:r>
        <w:rPr>
          <w:rFonts w:ascii="Amiri" w:hAnsi="Amiri" w:eastAsia="Amiri" w:cs="Amiri"/>
          <w:color w:val="111111"/>
          <w:sz w:val="28"/>
          <w:sz w:val="28"/>
          <w:szCs w:val="28"/>
          <w:rtl w:val="true"/>
          <w:lang w:bidi="ar-SA"/>
        </w:rPr>
        <w:t>، وكذا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وَالزَّانِي فَاجْلِدُوا كُلَّ وَاحِدٍ مِنْهُمَا مِئَةَ جَلْدَةٍ</w:t>
      </w:r>
      <w:r>
        <w:rPr>
          <w:rStyle w:val="FootnoteAnchor"/>
          <w:rtl w:val="true"/>
        </w:rPr>
        <w:footnoteReference w:id="195"/>
      </w:r>
      <w:r>
        <w:rPr>
          <w:rFonts w:ascii="Amiri" w:hAnsi="Amiri" w:eastAsia="Amiri" w:cs="Amiri"/>
          <w:color w:val="111111"/>
          <w:sz w:val="28"/>
          <w:sz w:val="28"/>
          <w:szCs w:val="28"/>
          <w:rtl w:val="true"/>
          <w:lang w:bidi="ar-SA"/>
        </w:rPr>
        <w:t>ونحوهما، فحينئذٍ يكون اسم الفاعل مسندًا إليه</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الأوّل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16214_221562"/>
      <w:bookmarkStart w:id="268" w:name="pg16214_221562"/>
      <w:bookmarkEnd w:id="268"/>
    </w:p>
    <w:p>
      <w:pPr>
        <w:pStyle w:val="Heading2"/>
        <w:numPr>
          <w:ilvl w:val="1"/>
          <w:numId w:val="1"/>
        </w:numPr>
        <w:rPr/>
      </w:pPr>
      <w:bookmarkStart w:id="269" w:name="pg16214_221562"/>
      <w:bookmarkStart w:id="270" w:name="__RefHeading___Toc3519765_1280447820"/>
      <w:bookmarkStart w:id="271" w:name="_Toc101"/>
      <w:bookmarkEnd w:id="269"/>
      <w:bookmarkEnd w:id="270"/>
      <w:r>
        <w:rPr>
          <w:rtl w:val="true"/>
        </w:rPr>
        <w:t>الباب الأوّل</w:t>
      </w:r>
      <w:r>
        <w:rPr>
          <w:rtl w:val="true"/>
        </w:rPr>
        <w:t xml:space="preserve">: </w:t>
      </w:r>
      <w:r>
        <w:rPr>
          <w:rtl w:val="true"/>
        </w:rPr>
        <w:t>في تحقيق العلاقة</w:t>
      </w:r>
      <w:bookmarkEnd w:id="271"/>
    </w:p>
    <w:p>
      <w:pPr>
        <w:pStyle w:val="Heading3"/>
        <w:numPr>
          <w:ilvl w:val="2"/>
          <w:numId w:val="1"/>
        </w:numPr>
        <w:rPr/>
      </w:pPr>
      <w:bookmarkStart w:id="272" w:name="__RefHeading___Toc3519767_1280447820"/>
      <w:bookmarkStart w:id="273" w:name="_Toc102"/>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 xml:space="preserve">لمّا كان المأخوذ في حدّ المجاز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توقّفت معرفته على معرفتها، فلهذا قدّمنا الكلام في بيانها على المباحث الآتية،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الحال فيها يقتضي التكلّم في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اعتبار العلاقة في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تحديدها وبيان أنواعها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تكتفي في التجوّز بوجدان العلاقة، أو لا بدّ نقل الآحاد عن أهل اللغة؟ </w:t>
      </w:r>
      <w:bookmarkStart w:id="274" w:name="pg16214_221563"/>
    </w:p>
    <w:p>
      <w:pPr>
        <w:pStyle w:val="Heading3"/>
        <w:numPr>
          <w:ilvl w:val="2"/>
          <w:numId w:val="1"/>
        </w:numPr>
        <w:rPr/>
      </w:pPr>
      <w:bookmarkStart w:id="275" w:name="__RefHeading___Toc3519769_1280447820"/>
      <w:bookmarkStart w:id="276" w:name="_Toc103"/>
      <w:bookmarkEnd w:id="274"/>
      <w:bookmarkEnd w:id="275"/>
      <w:r>
        <w:rPr>
          <w:rtl w:val="true"/>
        </w:rPr>
        <w:t>المبحث الأوّل</w:t>
      </w:r>
      <w:r>
        <w:rPr>
          <w:rtl w:val="true"/>
        </w:rPr>
        <w:t xml:space="preserve">: </w:t>
      </w:r>
      <w:r>
        <w:rPr>
          <w:rtl w:val="true"/>
        </w:rPr>
        <w:t>في وجه اعتبار العلاقة في المجازات</w:t>
      </w:r>
      <w:bookmarkEnd w:id="276"/>
    </w:p>
    <w:p>
      <w:pPr>
        <w:pStyle w:val="Heading4"/>
        <w:numPr>
          <w:ilvl w:val="3"/>
          <w:numId w:val="1"/>
        </w:numPr>
        <w:rPr/>
      </w:pPr>
      <w:bookmarkStart w:id="277" w:name="__RefHeading___Toc3519771_1280447820"/>
      <w:bookmarkStart w:id="278" w:name="_Toc104"/>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اعتبارها في المجازات هو أنّ أمر اللغات توقيفيّ، والتخطّي في الأمور التوقيفيّة يجب أن يكون على قدر ما حصلت فيه الرخصة والّذي علم الإذن فيه من الواضع</w:t>
      </w:r>
      <w:r>
        <w:rPr>
          <w:rStyle w:val="FootnoteAnchor"/>
          <w:rtl w:val="true"/>
        </w:rPr>
        <w:footnoteReference w:id="197"/>
      </w:r>
      <w:r>
        <w:rPr>
          <w:rFonts w:ascii="Amiri" w:hAnsi="Amiri" w:eastAsia="Amiri" w:cs="Amiri"/>
          <w:color w:val="111111"/>
          <w:sz w:val="28"/>
          <w:sz w:val="28"/>
          <w:szCs w:val="28"/>
          <w:rtl w:val="true"/>
          <w:lang w:bidi="ar-SA"/>
        </w:rPr>
        <w:t>في استعمال اللفظ في غير ما وضع له عند تحقّق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استعمال اللفظ في غير ما وضع له ارتكاب لما خالف الأصل؛ لأنّ اللفظ إنّما وضع للدلالة على الموضوع له، فاستعماله في غيره إخراج للشيء عن محلّه إلى غيره، والواجب في مخالفة الأصل الاقتصار على القدر الّذي علم الأمن بفساده، وهو فيما نحن فيه إنّما يكون مع تحقّق العلاقة بين الموضوع له وغيره</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3519773_1280447820"/>
      <w:bookmarkStart w:id="280" w:name="_Toc105"/>
      <w:bookmarkEnd w:id="279"/>
      <w:r>
        <w:rPr>
          <w:rtl w:val="true"/>
        </w:rPr>
        <w:t>وجه اشتراط العلاقة في المعاني المجازيّة</w:t>
      </w:r>
      <w:bookmarkEnd w:id="280"/>
    </w:p>
    <w:p>
      <w:pPr>
        <w:pStyle w:val="BookText"/>
        <w:rPr/>
      </w:pPr>
      <w:r>
        <w:rPr>
          <w:rFonts w:ascii="Amiri" w:hAnsi="Amiri" w:eastAsia="Amiri" w:cs="Amiri"/>
          <w:color w:val="111111"/>
          <w:sz w:val="28"/>
          <w:sz w:val="28"/>
          <w:szCs w:val="28"/>
          <w:rtl w:val="true"/>
          <w:lang w:bidi="ar-SA"/>
        </w:rPr>
        <w:t>وأيضًا قد عرفت أنّ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المستعمل في غير الموضوع له، ومعلوم أنّ المعاني الغير الموضوع لها غير محصورة ولا متناهية، فلا يمكن استعماله في الجميع كما لا يخفى، فعُيّن</w:t>
      </w:r>
      <w:r>
        <w:rPr>
          <w:rStyle w:val="FootnoteAnchor"/>
          <w:rtl w:val="true"/>
        </w:rPr>
        <w:footnoteReference w:id="198"/>
      </w:r>
      <w:r>
        <w:rPr>
          <w:rFonts w:ascii="Amiri" w:hAnsi="Amiri" w:eastAsia="Amiri" w:cs="Amiri"/>
          <w:color w:val="111111"/>
          <w:sz w:val="28"/>
          <w:sz w:val="28"/>
          <w:szCs w:val="28"/>
          <w:rtl w:val="true"/>
          <w:lang w:bidi="ar-SA"/>
        </w:rPr>
        <w:t>بعضها الّذي تحقّقت المناسبة بينه وبين الموضوع له لذلك؛ لئلّا يلزم الترجيح من غير مرجّح</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دلالة المجاز على معناه المجازيّ دلالة للفظ على غير معناه الموضوع له، فلو لم يشترط فيه العلاقة يكون</w:t>
      </w:r>
      <w:r>
        <w:rPr>
          <w:rStyle w:val="FootnoteAnchor"/>
          <w:rtl w:val="true"/>
        </w:rPr>
        <w:footnoteReference w:id="199"/>
      </w:r>
      <w:r>
        <w:rPr>
          <w:rFonts w:ascii="Amiri" w:hAnsi="Amiri" w:eastAsia="Amiri" w:cs="Amiri"/>
          <w:color w:val="111111"/>
          <w:sz w:val="28"/>
          <w:sz w:val="28"/>
          <w:szCs w:val="28"/>
          <w:rtl w:val="true"/>
          <w:lang w:bidi="ar-SA"/>
        </w:rPr>
        <w:t xml:space="preserve">دلالته على بعض المعاني دون غيره تخصيصًا من </w:t>
      </w:r>
    </w:p>
    <w:p>
      <w:pPr>
        <w:pStyle w:val="BookText"/>
        <w:rPr/>
      </w:pPr>
      <w:r>
        <w:rPr>
          <w:rFonts w:ascii="Amiri" w:hAnsi="Amiri" w:eastAsia="Amiri" w:cs="Amiri"/>
          <w:color w:val="111111"/>
          <w:sz w:val="28"/>
          <w:sz w:val="28"/>
          <w:szCs w:val="28"/>
          <w:rtl w:val="true"/>
          <w:lang w:bidi="ar-SA"/>
        </w:rPr>
        <w:t>غير مخصّص؛ لأنّ نسبة ذلك البعض إلى اللفظ الموضوع كنسبة غيره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إنّ دلالة المجاز بالنسبة إلى المعنى المجازيّ إمّا من الدلالة الوضعيّة كما عليه علماء الميزان، أو العقليّة كما عليه أئمّة البيان</w:t>
      </w:r>
      <w:r>
        <w:rPr>
          <w:rStyle w:val="FootnoteAnchor"/>
          <w:rtl w:val="true"/>
        </w:rPr>
        <w:footnoteReference w:id="200"/>
      </w:r>
      <w:r>
        <w:rPr>
          <w:rFonts w:ascii="Amiri" w:hAnsi="Amiri" w:eastAsia="Amiri" w:cs="Amiri"/>
          <w:color w:val="111111"/>
          <w:sz w:val="28"/>
          <w:sz w:val="28"/>
          <w:szCs w:val="28"/>
          <w:rtl w:val="true"/>
          <w:lang w:bidi="ar-SA"/>
        </w:rPr>
        <w:t>وأيّ منهما كان يستلزم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الوضعيّة؛ فللانتساب إلى الوضع، فلو لم يكن بين المستعمل له</w:t>
      </w:r>
      <w:r>
        <w:rPr>
          <w:rStyle w:val="FootnoteAnchor"/>
          <w:rtl w:val="true"/>
        </w:rPr>
        <w:footnoteReference w:id="201"/>
      </w:r>
      <w:r>
        <w:rPr>
          <w:rFonts w:ascii="Amiri" w:hAnsi="Amiri" w:eastAsia="Amiri" w:cs="Amiri"/>
          <w:color w:val="111111"/>
          <w:sz w:val="28"/>
          <w:sz w:val="28"/>
          <w:szCs w:val="28"/>
          <w:rtl w:val="true"/>
          <w:lang w:bidi="ar-SA"/>
        </w:rPr>
        <w:t>والموضوع له مناسبة، لما كان لهذه النسبة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سمّي بذلك لانتقال العقل من الموضوع له إلى غيره، إمّا على الفور، أو بعد التأمّل في القرائن؛ وذلك إنّما يكون لأجل المناسبة والعلاقة بينهما، حيث يستبق الذهن إلى المعنى الموضوع له، لكن لمّا قامت القرينة على عدم إرادته، ينتقل منه إلى ما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لم يعتبر</w:t>
      </w:r>
      <w:r>
        <w:rPr>
          <w:rStyle w:val="FootnoteAnchor"/>
          <w:rtl w:val="true"/>
        </w:rPr>
        <w:footnoteReference w:id="202"/>
      </w:r>
      <w:r>
        <w:rPr>
          <w:rFonts w:ascii="Amiri" w:hAnsi="Amiri" w:eastAsia="Amiri" w:cs="Amiri"/>
          <w:color w:val="111111"/>
          <w:sz w:val="28"/>
          <w:sz w:val="28"/>
          <w:szCs w:val="28"/>
          <w:rtl w:val="true"/>
          <w:lang w:bidi="ar-SA"/>
        </w:rPr>
        <w:t>العلاقة في المجاز، لكان المجاز إمّا موضوعًا جديدًا، أو غير مفيد؛ والتالي بشقّيه باطل، فالمقدّم مثله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المعنى المستعمل فيه إمّا أن يكون قد عيّن ذلك اللفظ له، أو لا، وعلى الأوّل يلزم الأوّل، وهو ظاهر، وعلى الثاني يلزم الثاني؛ لأنّ الدلالة ليست صفة ذاتيّة للفظ حتّى لا يمكن انفكاكها عنه</w:t>
      </w:r>
      <w:r>
        <w:rPr>
          <w:rStyle w:val="FootnoteAnchor"/>
          <w:rtl w:val="true"/>
        </w:rPr>
        <w:footnoteReference w:id="203"/>
      </w:r>
      <w:r>
        <w:rPr>
          <w:rFonts w:ascii="Amiri" w:hAnsi="Amiri" w:eastAsia="Amiri" w:cs="Amiri"/>
          <w:color w:val="111111"/>
          <w:sz w:val="28"/>
          <w:sz w:val="28"/>
          <w:szCs w:val="28"/>
          <w:rtl w:val="true"/>
          <w:lang w:bidi="ar-SA"/>
        </w:rPr>
        <w:t xml:space="preserve">، بل يحتاج في ثبوتها له إلى واسطة، وهو تعيين الواضع إيّاه لشيء، وحيث قد انتفى التعيين كما هو المفروض، </w:t>
      </w:r>
    </w:p>
    <w:p>
      <w:pPr>
        <w:pStyle w:val="BookText"/>
        <w:rPr/>
      </w:pPr>
      <w:r>
        <w:rPr>
          <w:rFonts w:ascii="Amiri" w:hAnsi="Amiri" w:eastAsia="Amiri" w:cs="Amiri"/>
          <w:color w:val="111111"/>
          <w:sz w:val="28"/>
          <w:sz w:val="28"/>
          <w:szCs w:val="28"/>
          <w:rtl w:val="true"/>
          <w:lang w:bidi="ar-SA"/>
        </w:rPr>
        <w:t>ينتفي</w:t>
      </w:r>
      <w:r>
        <w:rPr>
          <w:rStyle w:val="FootnoteAnchor"/>
          <w:rtl w:val="true"/>
        </w:rPr>
        <w:footnoteReference w:id="204"/>
      </w:r>
      <w:r>
        <w:rPr>
          <w:rFonts w:ascii="Amiri" w:hAnsi="Amiri" w:eastAsia="Amiri" w:cs="Amiri"/>
          <w:color w:val="111111"/>
          <w:sz w:val="28"/>
          <w:sz w:val="28"/>
          <w:szCs w:val="28"/>
          <w:rtl w:val="true"/>
          <w:lang w:bidi="ar-SA"/>
        </w:rPr>
        <w:t>الدلالة ضرورة انتفاء المعلول بانتفاء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مشترك الورود؛ لوضوح انتفاء التعيين بالنسبة إلى المعنى المجازي في صورة وجدان العلاقة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وإن كان منتفيًا في تلك الصورة أيضًا، لكن لمّا تحقّقت المناسبة بينه وبين ما عيّن اللفظ له ووجدت القرينة على عدم إرادته، يمكن انتقال الذهن من ذلك اللفظ بمعونة المناسبة والقرينة إلى المعنى المناسب للموضوع له، فتتحقّق الدلالة، وأمّا في صورة فقدان العلاقة، فقد انتفى التعيين والمناسبة، فلا سبيل للإفادة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الشقّ الأوّل من التالي فظاهر، وأمّا الشقّ الثاني؛ فلأنّ وضع الألفاظ للإفادة والاستفادة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انتفاء الإفادة عند انتفاء المناسبة؛ لوضوح أنّ المخاطب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الفرس، ينتقل ذهنه إلى أنّ المراد الفرس، فتحقّقت الإفادة مع فقدان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وإن كان متحقّقًا، لكنّه ليس لأجل إفادة اللفظ، بل من الإشارة الّتي يستلزم تعيّن المشار إليه، فوجود اللفظ وعدمه بالنسبة إلى ذلك الانتقال سيّان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التكلّم بالكلام لإفادة المرام، وحيث قد حصلت ينبغي أن يكون صحيحًا، سواء كانت مستندة إلى اللفظ أو القرينة، فلا يضرّ انتفاء العلاقة مع تحصّل الغاية للاستعمال والمحاورة</w:t>
      </w:r>
      <w:r>
        <w:rPr>
          <w:rFonts w:eastAsia="Amiri" w:cs="Amiri" w:ascii="Amiri" w:hAnsi="Amiri"/>
          <w:color w:val="111111"/>
          <w:sz w:val="28"/>
          <w:szCs w:val="28"/>
          <w:rtl w:val="true"/>
          <w:lang w:bidi="ar-SA"/>
        </w:rPr>
        <w:t xml:space="preserve">. </w:t>
      </w:r>
      <w:bookmarkStart w:id="281" w:name="pg16214_221566"/>
    </w:p>
    <w:p>
      <w:pPr>
        <w:pStyle w:val="BookText"/>
        <w:rPr/>
      </w:pPr>
      <w:bookmarkEnd w:id="28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البيّن</w:t>
      </w:r>
      <w:r>
        <w:rPr>
          <w:rStyle w:val="FootnoteAnchor"/>
          <w:rtl w:val="true"/>
        </w:rPr>
        <w:footnoteReference w:id="205"/>
      </w:r>
      <w:r>
        <w:rPr>
          <w:rFonts w:ascii="Amiri" w:hAnsi="Amiri" w:eastAsia="Amiri" w:cs="Amiri"/>
          <w:color w:val="111111"/>
          <w:sz w:val="28"/>
          <w:sz w:val="28"/>
          <w:szCs w:val="28"/>
          <w:rtl w:val="true"/>
          <w:lang w:bidi="ar-SA"/>
        </w:rPr>
        <w:t>أنّه لا يلزم أن تكون القرينة في المجازات إشارة، وحيث كانت غيرها لم يحصل الغاية، وعلى تقدير أن تكون إيّاها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مستقلّة في الدلالة ولا مدخليّة للفظ في ذلك أصلًا، فلا فائدة لذكره، فيكون لغوًا، فينبغي أن لا يكون صحيحًا، سيّما إذا كان ذكره محتملًا للإخلال، بل ظاهرًا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من هذا القبيل؛ لوضوح أنّه لو لم يذكر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واكتفى بالإشارة، ينتقل المخاطب إلى المشار إليه، وأمّا مع ذكره فيبقى متردّدًا من حيث الإشارة وعدم المناسبة بين المشار إليه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فيقرب تارةً من المقصود ويبعد عنه أخرى، وقد اتّفقوا على أنّ الدالّ على المراد في المجازات هو اللفظ بشرط القرينة أو مجموعهما، وكيف يكون الدالّ على الشيء موجبًا للإخلال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واتّضح اعتبار العلاقة في المجازات بتأييد المؤيّد للخيرات والموفّق للحسنات</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3519775_1280447820"/>
      <w:bookmarkStart w:id="283" w:name="_Toc106"/>
      <w:bookmarkEnd w:id="282"/>
      <w:r>
        <w:rPr>
          <w:rtl w:val="true"/>
        </w:rPr>
        <w:t>والتحقيق أنّ الدالّ في المجازات اللفظ بشرط القرينة لا مجموعهما</w:t>
      </w:r>
      <w:bookmarkEnd w:id="283"/>
    </w:p>
    <w:p>
      <w:pPr>
        <w:pStyle w:val="BookText"/>
        <w:rPr/>
      </w:pPr>
      <w:r>
        <w:rPr>
          <w:rFonts w:ascii="Amiri" w:hAnsi="Amiri" w:eastAsia="Amiri" w:cs="Amiri"/>
          <w:color w:val="111111"/>
          <w:sz w:val="28"/>
          <w:sz w:val="28"/>
          <w:szCs w:val="28"/>
          <w:rtl w:val="true"/>
          <w:lang w:bidi="ar-SA"/>
        </w:rPr>
        <w:t>تعليق جميل</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قد</w:t>
      </w:r>
      <w:r>
        <w:rPr>
          <w:rStyle w:val="FootnoteAnchor"/>
          <w:rtl w:val="true"/>
        </w:rPr>
        <w:footnoteReference w:id="206"/>
      </w:r>
      <w:r>
        <w:rPr>
          <w:rFonts w:ascii="Amiri" w:hAnsi="Amiri" w:eastAsia="Amiri" w:cs="Amiri"/>
          <w:color w:val="111111"/>
          <w:sz w:val="28"/>
          <w:sz w:val="28"/>
          <w:szCs w:val="28"/>
          <w:rtl w:val="true"/>
          <w:lang w:bidi="ar-SA"/>
        </w:rPr>
        <w:t>أنجرّ الكلام إلى أنّ الدالّ على المراد في المجازات هو اللفظ بشرط القرينة أو مجموعهما، فبالحريّ أن نعطف العنان إلى إظهار الحقّ في ذلك المرام، فإنّي إلى الآن ما رأيت أحدًا منهم قد أبان الحقّ فيه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 اللفظ بشرط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أنّ السامع حين استماع </w:t>
      </w:r>
      <w:bookmarkStart w:id="284" w:name="pg16214_221567"/>
    </w:p>
    <w:p>
      <w:pPr>
        <w:pStyle w:val="BookText"/>
        <w:rPr/>
      </w:pPr>
      <w:bookmarkEnd w:id="284"/>
      <w:r>
        <w:rPr>
          <w:rFonts w:ascii="Amiri" w:hAnsi="Amiri" w:eastAsia="Amiri" w:cs="Amiri"/>
          <w:color w:val="111111"/>
          <w:sz w:val="28"/>
          <w:sz w:val="28"/>
          <w:szCs w:val="28"/>
          <w:rtl w:val="true"/>
          <w:lang w:bidi="ar-SA"/>
        </w:rPr>
        <w:t>اللفظ ينتقل ذهنه إلى الموضوع له، وانتقاله إلى أنّ المراد منه غيره متوقّف على قيام القرينة الصارفة عن الموضوع له، فعند انتفاء القرينة يكون الدالّ موجودًا، لكن وصف الدلالة بالنسبة إلى المعنى المجازيّ غير ثابت، فالقرينةُ مثبتةٌ له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الدالّ هو المجموع، فعند انتفائها وإن انتقل الذهن إلى الموضوع له وأنّه يتوقّف الانتقال إلى غيره على وجودها، لكن الدالّ ليس بموجود عند انتفائها، بل جزؤه</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3519777_1280447820"/>
      <w:bookmarkStart w:id="286" w:name="_Toc107"/>
      <w:bookmarkEnd w:id="285"/>
      <w:r>
        <w:rPr>
          <w:rtl w:val="true"/>
        </w:rPr>
        <w:t xml:space="preserve">رأي المؤلّف </w:t>
      </w:r>
      <w:r>
        <w:rPr>
          <w:rtl w:val="true"/>
        </w:rPr>
        <w:t>(</w:t>
      </w:r>
      <w:r>
        <w:rPr>
          <w:rtl w:val="true"/>
        </w:rPr>
        <w:t>قدس سره</w:t>
      </w:r>
      <w:r>
        <w:rPr>
          <w:rtl w:val="true"/>
        </w:rPr>
        <w:t>)</w:t>
      </w:r>
      <w:bookmarkEnd w:id="286"/>
    </w:p>
    <w:p>
      <w:pPr>
        <w:pStyle w:val="BookText"/>
        <w:rPr/>
      </w:pPr>
      <w:r>
        <w:rPr>
          <w:rFonts w:ascii="Amiri" w:hAnsi="Amiri" w:eastAsia="Amiri" w:cs="Amiri"/>
          <w:color w:val="111111"/>
          <w:sz w:val="28"/>
          <w:sz w:val="28"/>
          <w:szCs w:val="28"/>
          <w:rtl w:val="true"/>
          <w:lang w:bidi="ar-SA"/>
        </w:rPr>
        <w:t>والتحقيق هو الأوّل، أمّا أوّلًا؛ فلأنّ للوضع عندهم إطلاقين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وخاصّ؛ وظاهرهم الاتّفاق على ثبوت الوضع بالمعنى العامّ في المجازات، وهو تعيين اللفظ للدلالة على المعنى، سواء كان بنفسه أو بواسطة غيره، والمراد باللفظ هو المجاز، فتعيّن أن يكون هو الدالّ في المجازات، لا مجموع اللفظ والقرينة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منافاة ثبوت الوضع بالمعنى العامّ في المجازات، للقول بأنّ الدالّ مجموع اللفظ والقرينة؛ لجواز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القرينة أيضًا، ففي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في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عيّن مجموع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فاسد،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القرينة لا يلزم أن تكون لفظًا دائمًا، بل يجوز أن تكون غيره أيضًا، فحينئذٍ لا يمكن أن يطلق اللفظ على مجموع القرينة وذيها كما لا يخفى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المفروض ثبوت الوضع بالمعنى المذكور في المجازات، فلو كان المراد من اللفظ ما ذكر يلزم أن يكون المجاز عبارة عن مجموع القرينة وذيها؛ </w:t>
      </w:r>
    </w:p>
    <w:p>
      <w:pPr>
        <w:pStyle w:val="BookText"/>
        <w:rPr/>
      </w:pPr>
      <w:r>
        <w:rPr>
          <w:rFonts w:ascii="Amiri" w:hAnsi="Amiri" w:eastAsia="Amiri" w:cs="Amiri"/>
          <w:color w:val="111111"/>
          <w:sz w:val="28"/>
          <w:sz w:val="28"/>
          <w:szCs w:val="28"/>
          <w:rtl w:val="true"/>
          <w:lang w:bidi="ar-SA"/>
        </w:rPr>
        <w:t>وفساده لا يحتاج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الوضع الثابت في المجاز هو تعيين اللفظ للدلالة على المعنى بواسطة غيره، والمراد بالغير القرينة، فلا يجوز أن يكون المراد من اللفظ ما يشمل القرينة؛ لعدم كونها مغايرة اللّفظ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المغايرة بين الجزء والكلّ، فيمكن أن يكون مجموع اللفظ دالًا بواسطة جزئه، لكن لا يخفى ما فيه من التعسّف والتكلّف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المانع عند كون المراد هو اللفظ المجازيّ مع كون الدالّ هو المجموع؟</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الدالّ المجموع، لكان اللفظ في المجازات جزءًا للمعيّن والدالّ، فلا يصحّ استناد التعيين والدلالة إليه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 من قبيل تسمية الجزء باسم الكلّ وإن كان ممكنًا، لكنّه مع ما فيه من ارتكاب خلاف الظاهر الّذي يحترز عنه في الحدود، لا يساعده مقابلة هذا المعنى للوضع بالمعنى الخاصّ له المختصّ بالحقيقة، وهو تعيين اللفظ للدلالة على المعنى بنفسه، حيث إنّ المعيّن والدالّ هناك نفس اللفظ من غير افتقار إلى القرينة، فينبغي أن يكون في مقابله أيضًا نفس اللفظ، لكن أعمّ من أن يكون بنفسه أو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 اتّفقوا على ثبوت الوضع بالمعنى العامّ في الحقائق أيضًا، ولا شبهة أنّ الدالّ هناك نفس اللفظ، فينبغي أن يكون فيما نحن فيه أيضًا ذلك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 فلأنّه قد تقدّم أنّ الدلالة ليست وصفًا ذاتيًّا للّفظ، بل فيما نحن فيه بمعونة الوضع،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 اللفظ يفهم منه العالم بالوضع المعنى الموضوع له لتعيينه الواضع لأجله، وحيث ما وجدت القرينة الصارفة عن ذلك المعنى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ذلك اللفظ إلى المعنى المناسب لِمَا عيّن له أولى من نسبته إلى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نسبة ذلك المعنى المناسب من بين المعاني إلى ذلك اللفظ أولى من نسبة غيره إليه، فلأجل ذلك ينتقل الذهن منه إليه، وهو معنى دلالة اللفظ على ذلك المعنى، لكن لمّا كان هذا الانتقال متوقّفًا على وجود تلك القرينة على ما تقدّم،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الدالّ على المعاني المجازيّة هو اللفظ بشرطها، ولا يمكن انتساب الدلالة على ذلك المعنى إلى القرينة، سواء كانت على سبيل الاستقلال، أو جزءًا للدالّ؛ لأنّ ذلك المعنى لم يكن موضوعًا لتلك القرينة، ولا يلزم أن يكون مناسبًا لما وضعت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إذ الكلام على تقديره، وإلّا لم تكن قرينة ولا ممّا يكون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لم يشترط أحدٌ العلاقة بين المعنى المجازيّ ومعنى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العلاقة المعتبرة في المجازات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وسيجيء الكلام في تحقيقها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المناسبة بين المعنى المستعمل فيه اللفظ وبين ما وضع له ذلك اللفظ، لا بينه وبين ما وضع له لفظ آخر؛ فلو كان الدالّ في المجازات مجموع اللفظ والقرينة، لزم اعتبار العلاقة بين المعنى المجازيّ وبين المعنى الحقيقيّ لكلا اللفظين، والتالي باطل؛ لما عرفت من عدم اشتراط أحد ذلك، فالمقدّم مثله، والملازمة ظاهرة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المجاز يفتقر إلى قرينتين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صارفة ومعيّنة، والقرينة المعيّنة هي ما عيّنت معنى واحدًا من بين المعاني للفظ، فلو لم تكن القرينة دالّة على المعنى المجازيّ لما أمكن تعيينه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افتقار المجاز على سبيل الإطلاق إلى قرينتين، بل اللازم فيه الصارفة، وأمّا المعيّنة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المجازيّ للّفظ إمّا أن يكون واحدًا أو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اللازم على المستعمل لذلك اللفظ في المعنى المجازيّ أن يقارنه بالقرينة المانعة عن إرادة المعنى الحقيقيّ، وهي المسمّاة بالقرينة الصارفة، ولا حاجة له حينئذٍ إلى القرينة المعيّنة، بل لا معنى لها أيضًا؛ لتعيّن المعنى المجازيّ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المعاني المجازيّة</w:t>
      </w:r>
      <w:r>
        <w:rPr>
          <w:rStyle w:val="FootnoteAnchor"/>
          <w:rtl w:val="true"/>
        </w:rPr>
        <w:footnoteReference w:id="207"/>
      </w:r>
      <w:r>
        <w:rPr>
          <w:rFonts w:ascii="Amiri" w:hAnsi="Amiri" w:eastAsia="Amiri" w:cs="Amiri"/>
          <w:color w:val="111111"/>
          <w:sz w:val="28"/>
          <w:sz w:val="28"/>
          <w:szCs w:val="28"/>
          <w:rtl w:val="true"/>
          <w:lang w:bidi="ar-SA"/>
        </w:rPr>
        <w:t>إمّا أن يكون لبعضها رجحان بأيّ رجحان كان على غيره، أم لا، وعلى الأوّل إمّا أن يكون البعض الراجح واحدًا أو متعدّدًا، وعلى تقدير التعدّد في الراجح إمّا أن تكون المعاني الراجحة متساوية في الرجحان، أو متفاوتة بالشدّة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والقدر اللازم على المتجوّز عند وحدة الراجح أو الأرجح إذا لم يكن مراده غير الراجح أو الأرجح، هو إقامة القرينة الصارفة لا غيره، إذ الرجحان أو الأرجحيّة يوجب المصير إليهما</w:t>
      </w:r>
      <w:r>
        <w:rPr>
          <w:rStyle w:val="FootnoteAnchor"/>
          <w:rtl w:val="true"/>
        </w:rPr>
        <w:footnoteReference w:id="208"/>
      </w:r>
      <w:r>
        <w:rPr>
          <w:rFonts w:ascii="Amiri" w:hAnsi="Amiri" w:eastAsia="Amiri" w:cs="Amiri"/>
          <w:color w:val="111111"/>
          <w:sz w:val="28"/>
          <w:sz w:val="28"/>
          <w:szCs w:val="28"/>
          <w:rtl w:val="true"/>
          <w:lang w:bidi="ar-SA"/>
        </w:rPr>
        <w:t>، فلا حاجة أيضًا إلى المعيّنة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شبهة في حصول الدلالة على المعاني المجازيّة في الصور المفروضة،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ثبتت الدلالة مع عدم مدخليّة للقرينة فيها</w:t>
      </w:r>
      <w:r>
        <w:rPr>
          <w:rStyle w:val="FootnoteAnchor"/>
          <w:rtl w:val="true"/>
        </w:rPr>
        <w:footnoteReference w:id="2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للصارفة فلما </w:t>
      </w:r>
    </w:p>
    <w:p>
      <w:pPr>
        <w:pStyle w:val="BookText"/>
        <w:rPr/>
      </w:pPr>
      <w:r>
        <w:rPr>
          <w:rFonts w:ascii="Amiri" w:hAnsi="Amiri" w:eastAsia="Amiri" w:cs="Amiri"/>
          <w:color w:val="111111"/>
          <w:sz w:val="28"/>
          <w:sz w:val="28"/>
          <w:szCs w:val="28"/>
          <w:rtl w:val="true"/>
          <w:lang w:bidi="ar-SA"/>
        </w:rPr>
        <w:t>تقدّم</w:t>
      </w:r>
      <w:r>
        <w:rPr>
          <w:rStyle w:val="FootnoteAnchor"/>
          <w:rtl w:val="true"/>
        </w:rPr>
        <w:footnoteReference w:id="211"/>
      </w:r>
      <w:r>
        <w:rPr>
          <w:rFonts w:ascii="Amiri" w:hAnsi="Amiri" w:eastAsia="Amiri" w:cs="Amiri"/>
          <w:color w:val="111111"/>
          <w:sz w:val="28"/>
          <w:sz w:val="28"/>
          <w:szCs w:val="28"/>
          <w:rtl w:val="true"/>
          <w:lang w:bidi="ar-SA"/>
        </w:rPr>
        <w:t>، وأمّا للمعيّنة فلأنّ المفروض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 أن ليس الدالّ مجموع اللفظ والقرينة، وحيث كان هذا الانتقال متوقّفًا على القرينة</w:t>
      </w:r>
      <w:r>
        <w:rPr>
          <w:rStyle w:val="FootnoteAnchor"/>
          <w:rtl w:val="true"/>
        </w:rPr>
        <w:footnoteReference w:id="212"/>
      </w:r>
      <w:r>
        <w:rPr>
          <w:rFonts w:ascii="IRNazanin" w:hAnsi="IRNazanin" w:eastAsia="IRNazanin"/>
          <w:color w:val="111111"/>
          <w:sz w:val="28"/>
          <w:sz w:val="28"/>
          <w:szCs w:val="28"/>
          <w:rtl w:val="true"/>
          <w:lang w:bidi="fa-IR"/>
        </w:rPr>
        <w:t>، ثبت المدّعى بتمامه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 صورة التعدّد مع انتفاء الراجح والأرجح، فحينئذٍ وإن كان اللازم إقامة القرينتين أو واحدة ذات جهتين،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المعيّنة حينئذٍ دالّة أو جزءًا للدالّ؛ لانتفاء القول بالفصل؛ ولأنّها لو كانت كذلك لزم انتفاء الدلالة عند انتفائها، والتالي باطل، فالمقدّم مثله، والملازمة بيّنة، وأمّا بطلان التالي فلما عرفت من تحقّق الدلالة في الصور المتقدّمة مع انتفاء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في الباب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في الصور السابقة مشروطة بقرينة واحدة، وههنا</w:t>
      </w:r>
      <w:r>
        <w:rPr>
          <w:rStyle w:val="FootnoteAnchor"/>
          <w:rtl w:val="true"/>
        </w:rPr>
        <w:footnoteReference w:id="213"/>
      </w:r>
      <w:r>
        <w:rPr>
          <w:rFonts w:ascii="Amiri" w:hAnsi="Amiri" w:eastAsia="Amiri" w:cs="Amiri"/>
          <w:color w:val="111111"/>
          <w:sz w:val="28"/>
          <w:sz w:val="28"/>
          <w:szCs w:val="28"/>
          <w:rtl w:val="true"/>
          <w:lang w:bidi="ar-SA"/>
        </w:rPr>
        <w:t>مشروطة بقرينتين أو ذات جهتين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الاشتراط أيضًا في المقام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القرينة المعيّنة في المعاني المجازيّة كالقرينة في الألفاظ المشتركة؛ وحيث قد عرفت أنّها فيها لتعيين </w:t>
      </w:r>
    </w:p>
    <w:p>
      <w:pPr>
        <w:pStyle w:val="BookText"/>
        <w:rPr/>
      </w:pPr>
      <w:r>
        <w:rPr>
          <w:rFonts w:ascii="Amiri" w:hAnsi="Amiri" w:eastAsia="Amiri" w:cs="Amiri"/>
          <w:color w:val="111111"/>
          <w:sz w:val="28"/>
          <w:sz w:val="28"/>
          <w:szCs w:val="28"/>
          <w:rtl w:val="true"/>
          <w:lang w:bidi="ar-SA"/>
        </w:rPr>
        <w:t>المدلول لا لإثبات الدلالة،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المقام أيضًا كذلك بأنّ اللفظ عند قيام القرينة الصارفة عن حمله على الموضوع له، ينتقل الذهن منه إلى جميع المعاني المناسبة له لما تقدّم؛ ولمّا لم يجز استعماله في الجميع، يبقى متردّدًا في أنّ مراد المستعمل أيّ معنى من تلك المعاني المناسبة المدلول عليها بلفظ المجاز المقترن بالقرينة الصارفة، فيحتاج إلى قرينة معيّنة لذلك المعنى من بين تلك المعاني، فالافتقار إلى القرينة المعيّنة حينئذٍ لتعيين المراد والمدلول، لا لإثبات الدلالة، كما سبق تحقيقه في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منافٍ لما سبق في الفرق بين القرينة في المجاز والمشترك من أنّ القرينة في الأوّل لإثبات الدلالة، وفي الثاني لتعيين المدلول ودفع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المذكور إنّما كان بالنسبة إلى القرينة الصارفة في المجازات، وأمّا بالنسبة إلى المعيّنة فيها فكلّا، بل هي في المجازات كالقرينة في المشتركات بعينها، فلا فرق بينهما من تلك الجهة أصلًا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الفرق بينهما من جهة أخرى، وهي أنّها في المجازات معيّنة لمعنى من المعاني المجازيّة، وهناك معيّنة لمعنى من الحقيقيّة</w:t>
      </w:r>
      <w:r>
        <w:rPr>
          <w:rFonts w:eastAsia="Amiri" w:cs="Amiri" w:ascii="Amiri" w:hAnsi="Amiri"/>
          <w:color w:val="111111"/>
          <w:sz w:val="28"/>
          <w:szCs w:val="28"/>
          <w:rtl w:val="true"/>
          <w:lang w:bidi="ar-SA"/>
        </w:rPr>
        <w:t xml:space="preserve">. </w:t>
      </w:r>
      <w:bookmarkStart w:id="287" w:name="pg16214_221573"/>
    </w:p>
    <w:p>
      <w:pPr>
        <w:pStyle w:val="BookText"/>
        <w:rPr/>
      </w:pPr>
      <w:bookmarkEnd w:id="287"/>
      <w:r>
        <w:rPr>
          <w:rFonts w:ascii="Amiri" w:hAnsi="Amiri" w:eastAsia="Amiri" w:cs="Amiri"/>
          <w:color w:val="111111"/>
          <w:sz w:val="28"/>
          <w:sz w:val="28"/>
          <w:szCs w:val="28"/>
          <w:rtl w:val="true"/>
          <w:lang w:bidi="ar-SA"/>
        </w:rPr>
        <w:t>في تحقيق العلاقة وبيان أنواعها</w:t>
      </w:r>
    </w:p>
    <w:p>
      <w:pPr>
        <w:pStyle w:val="Heading3"/>
        <w:numPr>
          <w:ilvl w:val="2"/>
          <w:numId w:val="1"/>
        </w:numPr>
        <w:rPr/>
      </w:pPr>
      <w:bookmarkStart w:id="288" w:name="__RefHeading___Toc3519779_1280447820"/>
      <w:bookmarkStart w:id="289" w:name="_Toc108"/>
      <w:bookmarkEnd w:id="288"/>
      <w:r>
        <w:rPr>
          <w:rtl w:val="true"/>
        </w:rPr>
        <w:t>المبحث الثاني</w:t>
      </w:r>
      <w:r>
        <w:rPr>
          <w:rtl w:val="true"/>
        </w:rPr>
        <w:t xml:space="preserve">: </w:t>
      </w:r>
      <w:r>
        <w:rPr>
          <w:rtl w:val="true"/>
        </w:rPr>
        <w:t>في تحقيق العلاقة وبيان أنواعها</w:t>
      </w:r>
      <w:bookmarkEnd w:id="289"/>
    </w:p>
    <w:p>
      <w:pPr>
        <w:pStyle w:val="Heading4"/>
        <w:numPr>
          <w:ilvl w:val="3"/>
          <w:numId w:val="1"/>
        </w:numPr>
        <w:rPr/>
      </w:pPr>
      <w:bookmarkStart w:id="290" w:name="__RefHeading___Toc3519781_1280447820"/>
      <w:bookmarkStart w:id="291" w:name="_Toc109"/>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العلاقة قد فسّرت بأنّها اتّصال ما للمعنى المستعمل فيه بالمعنى الموضوع له</w:t>
      </w:r>
      <w:r>
        <w:rPr>
          <w:rStyle w:val="FootnoteAnchor"/>
          <w:rtl w:val="true"/>
        </w:rPr>
        <w:footnoteReference w:id="214"/>
      </w:r>
      <w:r>
        <w:rPr>
          <w:rFonts w:ascii="Amiri" w:hAnsi="Amiri" w:eastAsia="Amiri" w:cs="Amiri"/>
          <w:color w:val="111111"/>
          <w:sz w:val="28"/>
          <w:sz w:val="28"/>
          <w:szCs w:val="28"/>
          <w:rtl w:val="true"/>
          <w:lang w:bidi="ar-SA"/>
        </w:rPr>
        <w:t>، والطرق المنضبطة لتحقّقها خمس وعشرون</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3519783_1280447820"/>
      <w:bookmarkStart w:id="293" w:name="_Toc110"/>
      <w:bookmarkEnd w:id="292"/>
      <w:r>
        <w:rPr>
          <w:rtl w:val="true"/>
        </w:rPr>
        <w:t>الأوّل والثاني</w:t>
      </w:r>
      <w:r>
        <w:rPr>
          <w:rtl w:val="true"/>
        </w:rPr>
        <w:t xml:space="preserve">: </w:t>
      </w:r>
      <w:r>
        <w:rPr>
          <w:rtl w:val="true"/>
        </w:rPr>
        <w:t>الجزئيّة والكلّية</w:t>
      </w:r>
      <w:bookmarkEnd w:id="293"/>
    </w:p>
    <w:p>
      <w:pPr>
        <w:pStyle w:val="Heading5"/>
        <w:numPr>
          <w:ilvl w:val="4"/>
          <w:numId w:val="1"/>
        </w:numPr>
        <w:rPr/>
      </w:pPr>
      <w:bookmarkStart w:id="294" w:name="__RefHeading___Toc3519785_1280447820"/>
      <w:bookmarkStart w:id="295" w:name="_Toc111"/>
      <w:bookmarkEnd w:id="294"/>
      <w:r>
        <w:rPr>
          <w:rtl w:val="true"/>
        </w:rPr>
        <w:t>اشارة</w:t>
      </w:r>
      <w:bookmarkEnd w:id="29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الجزئيّة والكلّيّة، فيطلق الاسم الموضوع للكلّ على الجزء، </w:t>
      </w:r>
    </w:p>
    <w:p>
      <w:pPr>
        <w:pStyle w:val="BookText"/>
        <w:rPr/>
      </w:pPr>
      <w:r>
        <w:rPr>
          <w:rFonts w:ascii="Amiri" w:hAnsi="Amiri" w:eastAsia="Amiri" w:cs="Amiri"/>
          <w:color w:val="111111"/>
          <w:sz w:val="28"/>
          <w:sz w:val="28"/>
          <w:szCs w:val="28"/>
          <w:rtl w:val="true"/>
          <w:lang w:bidi="ar-SA"/>
        </w:rPr>
        <w:t>ومصحّح الاستعمال جزئيّة المستعمل فيه،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يَجْعَلُونَ أَصَابِعَهُمْ فِي آَذَانِهِمْ مِنَ الصَّوَاعِقِ حَذَرَ الْمَوْتِ</w:t>
      </w:r>
      <w:r>
        <w:rPr>
          <w:rStyle w:val="FootnoteAnchor"/>
          <w:rtl w:val="true"/>
        </w:rPr>
        <w:footnoteReference w:id="216"/>
      </w:r>
      <w:r>
        <w:rPr>
          <w:rFonts w:ascii="Amiri" w:hAnsi="Amiri" w:eastAsia="Amiri" w:cs="Amiri"/>
          <w:color w:val="111111"/>
          <w:sz w:val="28"/>
          <w:sz w:val="28"/>
          <w:szCs w:val="28"/>
          <w:rtl w:val="true"/>
          <w:lang w:bidi="ar-SA"/>
        </w:rPr>
        <w:t>، فأطلق الأصابع على الأنامل؛ لأنّ الموضوع في الأذن الأنملة الّتي هي جزء من الأصابع، والغرض منه</w:t>
      </w:r>
      <w:r>
        <w:rPr>
          <w:rStyle w:val="FootnoteAnchor"/>
          <w:rtl w:val="true"/>
        </w:rPr>
        <w:footnoteReference w:id="217"/>
      </w:r>
      <w:r>
        <w:rPr>
          <w:rFonts w:ascii="Amiri" w:hAnsi="Amiri" w:eastAsia="Amiri" w:cs="Amiri"/>
          <w:color w:val="111111"/>
          <w:sz w:val="28"/>
          <w:sz w:val="28"/>
          <w:szCs w:val="28"/>
          <w:rtl w:val="true"/>
          <w:lang w:bidi="ar-SA"/>
        </w:rPr>
        <w:t>المبالغة، كأنّهم جعلوا جميع الإصبع في الأذن حتّى لا يسمعوا شيئًا من الصاعقة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المناقشة في مجازيّة الآية الشريفة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الإصبع كما يطلق على الأصابع إلى الأشاجع</w:t>
      </w:r>
      <w:r>
        <w:rPr>
          <w:rStyle w:val="FootnoteAnchor"/>
          <w:rtl w:val="true"/>
        </w:rPr>
        <w:footnoteReference w:id="219"/>
      </w:r>
      <w:r>
        <w:rPr>
          <w:rFonts w:ascii="Amiri" w:hAnsi="Amiri" w:eastAsia="Amiri" w:cs="Amiri"/>
          <w:color w:val="111111"/>
          <w:sz w:val="28"/>
          <w:sz w:val="28"/>
          <w:szCs w:val="28"/>
          <w:rtl w:val="true"/>
          <w:lang w:bidi="ar-SA"/>
        </w:rPr>
        <w:t>، كذا يطلق على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الإطلاق ليس بمجازيّ؛ لعدم صحّة السلب؛ ألا ترى أنّ من أدخل</w:t>
      </w:r>
      <w:r>
        <w:rPr>
          <w:rStyle w:val="FootnoteAnchor"/>
          <w:rtl w:val="true"/>
        </w:rPr>
        <w:footnoteReference w:id="220"/>
      </w:r>
      <w:r>
        <w:rPr>
          <w:rFonts w:ascii="Amiri" w:hAnsi="Amiri" w:eastAsia="Amiri" w:cs="Amiri"/>
          <w:color w:val="111111"/>
          <w:sz w:val="28"/>
          <w:sz w:val="28"/>
          <w:szCs w:val="28"/>
          <w:rtl w:val="true"/>
          <w:lang w:bidi="ar-SA"/>
        </w:rPr>
        <w:t>أنامله في شيء، لم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أدخل إصبعه فيه؛ وأيضًا إذا حلف أحد أن لا يدخل أصابعه في شيء، والظاهر أنّه يلزمه الحنث بدخول الأنامل، فلو كان الإطلاق مجازيًّا لم يكن الأمر كذلك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وإن كان مسلّمًا، لكنّ اللازم منه حقيقيّة الإضافة، أي جعل الإصبع في الأذن، ولا يلزم منه حقيقيّة المضاف إليه، والكلام إنّما هو في ذلك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هذه الإضافة وإن كانت حقيقة فيما إذا كان العمل في بعض النهار مثلًا، لكن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مجاز،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مع </w:t>
      </w:r>
      <w:bookmarkStart w:id="296" w:name="pg16214_221575"/>
    </w:p>
    <w:p>
      <w:pPr>
        <w:pStyle w:val="BookText"/>
        <w:rPr/>
      </w:pPr>
      <w:bookmarkEnd w:id="296"/>
      <w:r>
        <w:rPr>
          <w:rFonts w:ascii="Amiri" w:hAnsi="Amiri" w:eastAsia="Amiri" w:cs="Amiri"/>
          <w:color w:val="111111"/>
          <w:sz w:val="28"/>
          <w:sz w:val="28"/>
          <w:szCs w:val="28"/>
          <w:rtl w:val="true"/>
          <w:lang w:bidi="ar-SA"/>
        </w:rPr>
        <w:t xml:space="preserve">كون الضرب واقعًا على بعض أجزائه، ولا شبهة في 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الجزء مجاز؛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يطلق الاسم الموضوع للجزء على الكلّ، والمصحّح كلّيّة المستعمل فيه للموضوع له،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للعضو المخصوص على صاحبه</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3519787_1280447820"/>
      <w:bookmarkStart w:id="298" w:name="_Toc112"/>
      <w:bookmarkEnd w:id="297"/>
      <w:r>
        <w:rPr>
          <w:rtl w:val="true"/>
        </w:rPr>
        <w:t>يشترط في إطلاق اللفظ الموضوع للجزء على الكلّ أمران</w:t>
      </w:r>
      <w:bookmarkEnd w:id="298"/>
    </w:p>
    <w:p>
      <w:pPr>
        <w:pStyle w:val="Heading6"/>
        <w:numPr>
          <w:ilvl w:val="5"/>
          <w:numId w:val="1"/>
        </w:numPr>
        <w:rPr/>
      </w:pPr>
      <w:bookmarkStart w:id="299" w:name="__RefHeading___Toc3519789_1280447820"/>
      <w:bookmarkStart w:id="300" w:name="_Toc113"/>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اشترط العلماء في إطلاق اللفظ الموضوع للجزء على الكلّ أمرين، أحدهما راجع إلى الجزء، والثاني إلى الكلّ</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3519791_1280447820"/>
      <w:bookmarkStart w:id="302" w:name="_Toc114"/>
      <w:bookmarkEnd w:id="301"/>
      <w:r>
        <w:rPr>
          <w:rtl w:val="true"/>
        </w:rPr>
        <w:t>الأمر الأوّل</w:t>
      </w:r>
      <w:bookmarkEnd w:id="302"/>
    </w:p>
    <w:p>
      <w:pPr>
        <w:pStyle w:val="Heading6"/>
        <w:numPr>
          <w:ilvl w:val="5"/>
          <w:numId w:val="1"/>
        </w:numPr>
        <w:rPr/>
      </w:pPr>
      <w:bookmarkStart w:id="303" w:name="__RefHeading___Toc3519793_1280447820"/>
      <w:bookmarkStart w:id="304" w:name="_Toc115"/>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يكون ذلك الجزء ممتازًا من</w:t>
      </w:r>
      <w:r>
        <w:rPr>
          <w:rStyle w:val="FootnoteAnchor"/>
          <w:rtl w:val="true"/>
        </w:rPr>
        <w:footnoteReference w:id="221"/>
      </w:r>
      <w:r>
        <w:rPr>
          <w:rFonts w:ascii="Amiri" w:hAnsi="Amiri" w:eastAsia="Amiri" w:cs="Amiri"/>
          <w:color w:val="111111"/>
          <w:sz w:val="28"/>
          <w:sz w:val="28"/>
          <w:szCs w:val="28"/>
          <w:rtl w:val="true"/>
          <w:lang w:bidi="ar-SA"/>
        </w:rPr>
        <w:t>بين سائر الأجزاء بأن يكون ممّا يلزم من انتفائه انتفاء الكلّ، فلا يصحّ الإطلاق بالنسبة إلى الجزء الّذي لم يكن الأمر فيه كذلك، فلا يصحّ إطلاق الأنامل ولا الأصابع ولا الأذن وأمثالها على الإنسان؛ لعدم لزوم انتفائه بانتفائها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منك هذه المقالة مع أنّ الحكم بأنّ المركّب ينتفي بانتفاء الجزء من الأمور المشهورة المسلّمة، ولا تقييد في ذلك بجزء دون آخر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اشتهرت هذه المقالة الّتي مقتضى إطلاقها لزوم</w:t>
      </w:r>
      <w:r>
        <w:rPr>
          <w:rStyle w:val="FootnoteAnchor"/>
          <w:rtl w:val="true"/>
        </w:rPr>
        <w:footnoteReference w:id="222"/>
      </w:r>
      <w:r>
        <w:rPr>
          <w:rFonts w:ascii="Amiri" w:hAnsi="Amiri" w:eastAsia="Amiri" w:cs="Amiri"/>
          <w:color w:val="111111"/>
          <w:sz w:val="28"/>
          <w:sz w:val="28"/>
          <w:szCs w:val="28"/>
          <w:rtl w:val="true"/>
          <w:lang w:bidi="ar-SA"/>
        </w:rPr>
        <w:t xml:space="preserve">انتفاء المركّب بانتفاء أيّ جزء كان، كذا اشتهرت تلك المقالة الدالّة على عدم إرادة الإطلاق من هذه </w:t>
      </w:r>
      <w:bookmarkStart w:id="305" w:name="pg16214_221576"/>
    </w:p>
    <w:p>
      <w:pPr>
        <w:pStyle w:val="BookText"/>
        <w:rPr/>
      </w:pPr>
      <w:bookmarkEnd w:id="305"/>
      <w:r>
        <w:rPr>
          <w:rFonts w:ascii="Amiri" w:hAnsi="Amiri" w:eastAsia="Amiri" w:cs="Amiri"/>
          <w:color w:val="111111"/>
          <w:sz w:val="28"/>
          <w:sz w:val="28"/>
          <w:szCs w:val="28"/>
          <w:rtl w:val="true"/>
          <w:lang w:bidi="ar-SA"/>
        </w:rPr>
        <w:t>المقدّمة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الجزء إذا لوحظ بالنسبة إلى المركّب إمّا أن يكون له دخل في قوامه، أو لا، بل له دخل في كماله، لا في قوامه، والمراد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المركّب ينتفي بانتفاء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الجزء الّذي يكون من قبيل الأوّل، فلا شبهة في صحّة الكلام حينئذٍ، وأمّا الجزء الّذي لا يكون الأمر فيه كذلك، بل له مدخليّة في كماله، فاللازم من انتفائه انتفاء الكمال، لا انتفاء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الاشتراط في هذا المقام أن لا يكون الجزء الّذي يطلق لفظه على الكلّ من هذا القبيل، بل يكون من قبيل</w:t>
      </w:r>
      <w:r>
        <w:rPr>
          <w:rStyle w:val="FootnoteAnchor"/>
          <w:rtl w:val="true"/>
        </w:rPr>
        <w:footnoteReference w:id="223"/>
      </w:r>
      <w:r>
        <w:rPr>
          <w:rFonts w:ascii="Amiri" w:hAnsi="Amiri" w:eastAsia="Amiri" w:cs="Amiri"/>
          <w:color w:val="111111"/>
          <w:sz w:val="28"/>
          <w:sz w:val="28"/>
          <w:szCs w:val="28"/>
          <w:rtl w:val="true"/>
          <w:lang w:bidi="ar-SA"/>
        </w:rPr>
        <w:t>الأوّل، فلا تنافي بين الكلامين</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3519795_1280447820"/>
      <w:bookmarkStart w:id="307" w:name="_Toc116"/>
      <w:bookmarkEnd w:id="306"/>
      <w:r>
        <w:rPr>
          <w:rtl w:val="true"/>
        </w:rPr>
        <w:t>سرّ الاشتراط المذكور</w:t>
      </w:r>
      <w:bookmarkEnd w:id="307"/>
    </w:p>
    <w:p>
      <w:pPr>
        <w:pStyle w:val="BookText"/>
        <w:rPr/>
      </w:pPr>
      <w:r>
        <w:rPr>
          <w:rFonts w:ascii="Amiri" w:hAnsi="Amiri" w:eastAsia="Amiri" w:cs="Amiri"/>
          <w:color w:val="111111"/>
          <w:sz w:val="28"/>
          <w:sz w:val="28"/>
          <w:szCs w:val="28"/>
          <w:rtl w:val="true"/>
          <w:lang w:bidi="ar-SA"/>
        </w:rPr>
        <w:t>نعم، بقي الكلام في سرّ الاشتراط المذكور، ووجه عدم جواز الإطلاق إذا كان الجزء من قبيل</w:t>
      </w:r>
      <w:r>
        <w:rPr>
          <w:rStyle w:val="FootnoteAnchor"/>
          <w:rtl w:val="true"/>
        </w:rPr>
        <w:footnoteReference w:id="224"/>
      </w:r>
      <w:r>
        <w:rPr>
          <w:rFonts w:ascii="Amiri" w:hAnsi="Amiri" w:eastAsia="Amiri" w:cs="Amiri"/>
          <w:color w:val="111111"/>
          <w:sz w:val="28"/>
          <w:sz w:val="28"/>
          <w:szCs w:val="28"/>
          <w:rtl w:val="true"/>
          <w:lang w:bidi="ar-SA"/>
        </w:rPr>
        <w:t>الثاني، فنقول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مرارًا أنّ أمر اللغات توقيفيّ وأنّه قد منع التصرّف في الأمور التوقيفيّة إلّا على القدر الّذي علم أو ظنّ فيه الرخصة، و</w:t>
      </w:r>
      <w:r>
        <w:rPr>
          <w:rStyle w:val="FootnoteAnchor"/>
          <w:rtl w:val="true"/>
        </w:rPr>
        <w:footnoteReference w:id="225"/>
      </w:r>
      <w:r>
        <w:rPr>
          <w:rFonts w:ascii="Amiri" w:hAnsi="Amiri" w:eastAsia="Amiri" w:cs="Amiri"/>
          <w:color w:val="111111"/>
          <w:sz w:val="28"/>
          <w:sz w:val="28"/>
          <w:szCs w:val="28"/>
          <w:rtl w:val="true"/>
          <w:lang w:bidi="ar-SA"/>
        </w:rPr>
        <w:t>أنّ استعمال اللفظ في غير الموضوع له خلاف الأصل، والواجب فيما خالف الأصل الاقتصار على المقدار</w:t>
      </w:r>
      <w:r>
        <w:rPr>
          <w:rStyle w:val="FootnoteAnchor"/>
          <w:rtl w:val="true"/>
        </w:rPr>
        <w:footnoteReference w:id="226"/>
      </w:r>
      <w:r>
        <w:rPr>
          <w:rFonts w:ascii="Amiri" w:hAnsi="Amiri" w:eastAsia="Amiri" w:cs="Amiri"/>
          <w:color w:val="111111"/>
          <w:sz w:val="28"/>
          <w:sz w:val="28"/>
          <w:szCs w:val="28"/>
          <w:rtl w:val="true"/>
          <w:lang w:bidi="ar-SA"/>
        </w:rPr>
        <w:t>المتيقّن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ثبت فيه الرخصة من الواضع بالنسبة إلى استعمال اللفظ الموضوع </w:t>
      </w:r>
      <w:bookmarkStart w:id="308" w:name="pg16214_221577"/>
    </w:p>
    <w:p>
      <w:pPr>
        <w:pStyle w:val="BookText"/>
        <w:rPr/>
      </w:pPr>
      <w:bookmarkEnd w:id="308"/>
      <w:r>
        <w:rPr>
          <w:rFonts w:ascii="Amiri" w:hAnsi="Amiri" w:eastAsia="Amiri" w:cs="Amiri"/>
          <w:color w:val="111111"/>
          <w:sz w:val="28"/>
          <w:sz w:val="28"/>
          <w:szCs w:val="28"/>
          <w:rtl w:val="true"/>
          <w:lang w:bidi="ar-SA"/>
        </w:rPr>
        <w:t>للجزء في الكلّ، هو ما إذا كان الأمر كذلك دون غيره، وعدم ثبوت الإذن كافٍ لعدم جواز الاستعمال؛ لعدم تصريح الواضع بأنّ كلّ جزء يصحّ إطلاق لفظه على كلّه، لا على سبيل العموم ولا على سبيل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كفاية الإطلاق في أمثال المقام محلّ كلام، بل ظهر بالتصفّح في كلمات البلغاء والتتبّع في محاورات الفصحاء تجويزهم استعمال لفظ الجزء في كلّه، لكنّ الواجب الاقتصار على أفراد النوع الّذي هو مورد استعمالاتهم ومحلّ مخاطباتهم، وهو ما إذا كان الجزء متّصفًا بالصفة المذكورة دون غيره</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3519797_1280447820"/>
      <w:bookmarkStart w:id="310" w:name="_Toc117"/>
      <w:bookmarkEnd w:id="309"/>
      <w:r>
        <w:rPr>
          <w:rtl w:val="true"/>
        </w:rPr>
        <w:t>الأمر الثاني</w:t>
      </w:r>
      <w:bookmarkEnd w:id="310"/>
    </w:p>
    <w:p>
      <w:pPr>
        <w:pStyle w:val="Heading6"/>
        <w:numPr>
          <w:ilvl w:val="5"/>
          <w:numId w:val="1"/>
        </w:numPr>
        <w:rPr/>
      </w:pPr>
      <w:bookmarkStart w:id="311" w:name="__RefHeading___Toc3519799_1280447820"/>
      <w:bookmarkStart w:id="312" w:name="_Toc118"/>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والأمر الثاني الراجع إلى الكلّ هو ما كان للكلّ تركّب حقيقيّ حسّيّ</w:t>
      </w:r>
      <w:r>
        <w:rPr>
          <w:rStyle w:val="FootnoteAnchor"/>
          <w:rtl w:val="true"/>
        </w:rPr>
        <w:footnoteReference w:id="227"/>
      </w:r>
      <w:r>
        <w:rPr>
          <w:rFonts w:ascii="Amiri" w:hAnsi="Amiri" w:eastAsia="Amiri" w:cs="Amiri"/>
          <w:color w:val="111111"/>
          <w:sz w:val="28"/>
          <w:sz w:val="28"/>
          <w:szCs w:val="28"/>
          <w:rtl w:val="true"/>
          <w:lang w:bidi="ar-SA"/>
        </w:rPr>
        <w:t>كالإنسان؛ والسرّ في الاشتراط هنا هو ما ذكرنا آنفًا، فلا يحتاج إلى الذكر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إطلاق الكلّ على الجزء، فقد احتملنا في بعض تعليقاتنا</w:t>
      </w:r>
      <w:r>
        <w:rPr>
          <w:rStyle w:val="FootnoteAnchor"/>
          <w:rtl w:val="true"/>
        </w:rPr>
        <w:footnoteReference w:id="228"/>
      </w:r>
      <w:r>
        <w:rPr>
          <w:rFonts w:ascii="Amiri" w:hAnsi="Amiri" w:eastAsia="Amiri" w:cs="Amiri"/>
          <w:color w:val="111111"/>
          <w:sz w:val="28"/>
          <w:sz w:val="28"/>
          <w:szCs w:val="28"/>
          <w:rtl w:val="true"/>
          <w:lang w:bidi="ar-SA"/>
        </w:rPr>
        <w:t>اعتبار الأمرين المذكورين فيه أيضًا، لكن لم يظهر منهم اشتراطه بما ذكر، وكأنّه قد ظهر لهم أنّ موارد الاستعمال فيه أعمّ من ذلك</w:t>
      </w:r>
      <w:r>
        <w:rPr>
          <w:rFonts w:eastAsia="Amiri" w:cs="Amiri" w:ascii="Amiri" w:hAnsi="Amiri"/>
          <w:color w:val="111111"/>
          <w:sz w:val="28"/>
          <w:szCs w:val="28"/>
          <w:rtl w:val="true"/>
          <w:lang w:bidi="ar-SA"/>
        </w:rPr>
        <w:t xml:space="preserve">. </w:t>
      </w:r>
      <w:bookmarkStart w:id="313" w:name="pg16214_221578"/>
    </w:p>
    <w:p>
      <w:pPr>
        <w:pStyle w:val="Heading6"/>
        <w:numPr>
          <w:ilvl w:val="5"/>
          <w:numId w:val="1"/>
        </w:numPr>
        <w:rPr/>
      </w:pPr>
      <w:bookmarkStart w:id="314" w:name="__RefHeading___Toc3519801_1280447820"/>
      <w:bookmarkStart w:id="315" w:name="_Toc119"/>
      <w:bookmarkEnd w:id="313"/>
      <w:bookmarkEnd w:id="314"/>
      <w:r>
        <w:rPr>
          <w:rtl w:val="true"/>
        </w:rPr>
        <w:t>الكلام في اندراج هاتين العلاقتين تحت الحدّ المذكور للعلاقة</w:t>
      </w:r>
      <w:bookmarkEnd w:id="315"/>
    </w:p>
    <w:p>
      <w:pPr>
        <w:pStyle w:val="BookText"/>
        <w:rPr/>
      </w:pPr>
      <w:r>
        <w:rPr>
          <w:rFonts w:ascii="Amiri" w:hAnsi="Amiri" w:eastAsia="Amiri" w:cs="Amiri"/>
          <w:color w:val="111111"/>
          <w:sz w:val="28"/>
          <w:sz w:val="28"/>
          <w:szCs w:val="28"/>
          <w:rtl w:val="true"/>
          <w:lang w:bidi="ar-SA"/>
        </w:rPr>
        <w:t>ثمّ اندراج هاتين العلاقتين تحت الحدّ المذكور للعلاقة ممّا لا شبهة فيه؛ لوضوح اتّصال الجزء بكلّه وكذا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تعريف العلاقة المعتبرة في المجاز بما ذكر تعريفٌ بالأعمّ؛ لوضوح تحقّق الاتّصال بين الكلّ وجزئه مطلقًا وإن لم يكن الكلّ ولا الجزء متّصفًا بالصفة المذكورة، 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العلاقة عبارة عن اتّصال ما بين المستعمل فيه والموضوع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جواز إطلاق اسم الكلّ على الأذن مثلًا، مع أنّ الأمر ليس كذلك، فالحدّ غير 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وإن كان كذلك</w:t>
      </w:r>
      <w:r>
        <w:rPr>
          <w:rStyle w:val="FootnoteAnchor"/>
          <w:rtl w:val="true"/>
        </w:rPr>
        <w:footnoteReference w:id="229"/>
      </w:r>
      <w:r>
        <w:rPr>
          <w:rFonts w:ascii="Amiri" w:hAnsi="Amiri" w:eastAsia="Amiri" w:cs="Amiri"/>
          <w:color w:val="111111"/>
          <w:sz w:val="28"/>
          <w:sz w:val="28"/>
          <w:szCs w:val="28"/>
          <w:rtl w:val="true"/>
          <w:lang w:bidi="ar-SA"/>
        </w:rPr>
        <w:t>، لكنّ التعريف المذكور ليس للعلاقة المعتبرة في المجاز، بل لمطلق العلاقة، فتأمّل</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3519803_1280447820"/>
      <w:bookmarkStart w:id="317" w:name="_Toc120"/>
      <w:bookmarkEnd w:id="316"/>
      <w:r>
        <w:rPr>
          <w:rtl w:val="true"/>
        </w:rPr>
        <w:t>الثالث من أنواع العلاقة</w:t>
      </w:r>
      <w:r>
        <w:rPr>
          <w:rtl w:val="true"/>
        </w:rPr>
        <w:t xml:space="preserve">: </w:t>
      </w:r>
      <w:r>
        <w:rPr>
          <w:rtl w:val="true"/>
        </w:rPr>
        <w:t>المشابهة في الشكل والصفة</w:t>
      </w:r>
      <w:bookmarkEnd w:id="317"/>
    </w:p>
    <w:p>
      <w:pPr>
        <w:pStyle w:val="Heading5"/>
        <w:numPr>
          <w:ilvl w:val="4"/>
          <w:numId w:val="1"/>
        </w:numPr>
        <w:rPr/>
      </w:pPr>
      <w:bookmarkStart w:id="318" w:name="__RefHeading___Toc3519805_1280447820"/>
      <w:bookmarkStart w:id="319" w:name="_Toc121"/>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والثالث من الطرق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المشابهة، أي مشابهة المستعمل فيه لما وضع له، وتلك الشباهة إمّا في الشكل، كإطلاق الإنسان والفرس على المنقوش في الجدار؛ أو في الصفة، كإطلاق الأسد على الشجاع؛ لمشابهته إيّاه في وصف الشجاعة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الرجل الشجاع شابه الأسد في الشجاعة، فقد شابهه الأسد أيضًا، كما جاز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ينبغي أن يجوز العكس أيضًا، وكذا الكلام في الشكل والمتشكّل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في تلك الصفة، وإنّ الصفة صفته حقيقة،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متطفّل عليه وفرع له، ولهذا صار الأوّل مشبّهًا به والثاني مشبّهًا، وجاز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دون العكس، وهكذا الأمر في الشكل والمتشكّل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الشكل لكلّ متشكّل أمرًا واحدًا؛ لأنّه عبارة عن الهيئة المحيطة به، ومعلوم أنّه لا تعدّد فيها</w:t>
      </w:r>
      <w:r>
        <w:rPr>
          <w:rStyle w:val="FootnoteAnchor"/>
          <w:rtl w:val="true"/>
        </w:rPr>
        <w:footnoteReference w:id="231"/>
      </w:r>
      <w:r>
        <w:rPr>
          <w:rFonts w:ascii="Amiri" w:hAnsi="Amiri" w:eastAsia="Amiri" w:cs="Amiri"/>
          <w:color w:val="111111"/>
          <w:sz w:val="28"/>
          <w:sz w:val="28"/>
          <w:szCs w:val="28"/>
          <w:rtl w:val="true"/>
          <w:lang w:bidi="ar-SA"/>
        </w:rPr>
        <w:t>ولا اختلاف، لم يشترط فيه شكل دون آخر؛ ولمّا كان هو أمرًا محسوسًا من كلّ متشكّل، فلا محالة يكون ظاهر الثبوت له، فلا يحتاج إلى اشتراط الظهور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الصفة فلمّا لم يكن الأمر فيها كذلك؛ لوضوح أنّه يجوز أن يكون لموصوف واحد صفات متعدّدة مختلفة بالظهور والخفاء ولم يكن الاشتراك في أيّ صفة، كانت مصحّحًا، لم يكتفوا في جواز التجوّز بمطلق الاشتراك في الصفة، بل اشترطوا الاشتراك في صفة ظاهرة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w:t>
      </w:r>
      <w:r>
        <w:rPr>
          <w:rStyle w:val="FootnoteAnchor"/>
          <w:rtl w:val="true"/>
        </w:rPr>
        <w:footnoteReference w:id="232"/>
      </w:r>
      <w:r>
        <w:rPr>
          <w:rFonts w:ascii="Amiri" w:hAnsi="Amiri" w:eastAsia="Amiri" w:cs="Amiri"/>
          <w:color w:val="111111"/>
          <w:sz w:val="28"/>
          <w:sz w:val="28"/>
          <w:szCs w:val="28"/>
          <w:rtl w:val="true"/>
          <w:lang w:bidi="ar-SA"/>
        </w:rPr>
        <w:t>لأنّ استعمال اللفظ في غير معناه لا بدّ أن يكون بحيث يمكن للسامع بسهولة الانتقال إلى سرّه</w:t>
      </w:r>
      <w:r>
        <w:rPr>
          <w:rStyle w:val="FootnoteAnchor"/>
          <w:rtl w:val="true"/>
        </w:rPr>
        <w:footnoteReference w:id="233"/>
      </w:r>
      <w:r>
        <w:rPr>
          <w:rFonts w:ascii="Amiri" w:hAnsi="Amiri" w:eastAsia="Amiri" w:cs="Amiri"/>
          <w:color w:val="111111"/>
          <w:sz w:val="28"/>
          <w:sz w:val="28"/>
          <w:szCs w:val="28"/>
          <w:rtl w:val="true"/>
          <w:lang w:bidi="ar-SA"/>
        </w:rPr>
        <w:t>، وإذا كانت الصفة ظاهرة الثبوت بالنسبة إلى المعنى الحقيقيّ للّفظ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ينتقل السامع إلى المعنى الموضوع له عند استعماله فيه، ينتقل إلى تلك الصفة أيضًا لظهورها بالنسبة إليه، فإذا استعمل في غيره، سواء عيّن ذلك الغير بالقرينة المعيّنة أم لا، يمكن للسامع التنبّه إلى سرّ ذلك الاستعمال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الصفة كانت ثابتة للمعنى الحقيقيّ لهذا اللفظ، واستعماله في غيره لعلّه لثبوت تلك الصفة له، فيظهر له وجه الاستعمال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لم يكن</w:t>
      </w:r>
      <w:r>
        <w:rPr>
          <w:rStyle w:val="FootnoteAnchor"/>
          <w:rtl w:val="true"/>
        </w:rPr>
        <w:footnoteReference w:id="234"/>
      </w:r>
      <w:r>
        <w:rPr>
          <w:rFonts w:ascii="Amiri" w:hAnsi="Amiri" w:eastAsia="Amiri" w:cs="Amiri"/>
          <w:color w:val="111111"/>
          <w:sz w:val="28"/>
          <w:sz w:val="28"/>
          <w:szCs w:val="28"/>
          <w:rtl w:val="true"/>
          <w:lang w:bidi="ar-SA"/>
        </w:rPr>
        <w:t>الصفة كذلك</w:t>
      </w:r>
      <w:r>
        <w:rPr>
          <w:rStyle w:val="FootnoteAnchor"/>
          <w:rtl w:val="true"/>
        </w:rPr>
        <w:footnoteReference w:id="235"/>
      </w:r>
      <w:r>
        <w:rPr>
          <w:rFonts w:ascii="Amiri" w:hAnsi="Amiri" w:eastAsia="Amiri" w:cs="Amiri"/>
          <w:color w:val="111111"/>
          <w:sz w:val="28"/>
          <w:sz w:val="28"/>
          <w:szCs w:val="28"/>
          <w:rtl w:val="true"/>
          <w:lang w:bidi="ar-SA"/>
        </w:rPr>
        <w:t>، فيمكن أن لا ينتقل إليها عند استعماله فيه، فعند</w:t>
      </w:r>
      <w:r>
        <w:rPr>
          <w:rStyle w:val="FootnoteAnchor"/>
          <w:rtl w:val="true"/>
        </w:rPr>
        <w:footnoteReference w:id="236"/>
      </w:r>
      <w:r>
        <w:rPr>
          <w:rFonts w:ascii="Amiri" w:hAnsi="Amiri" w:eastAsia="Amiri" w:cs="Amiri"/>
          <w:color w:val="111111"/>
          <w:sz w:val="28"/>
          <w:sz w:val="28"/>
          <w:szCs w:val="28"/>
          <w:rtl w:val="true"/>
          <w:lang w:bidi="ar-SA"/>
        </w:rPr>
        <w:t>استعماله في غيره لا يظهر سرّ الاستعمال، فيفوت ما يوجد في البلاغة من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 عرفت مرارًا أنّ أمر اللغات توقيفيّ، والتصرّف في الأمور التوقيفيّة يجب أن يكون على قدر ثبتت فيه الرخصة، والقدر الثابت في استعمال اللفظ في غير معناه الموضوع له لأجل الشباهة إنّما هو إذا كانت الشباهة في شكل، أو في صفة ظاهرة، وعدم الثبوت كافٍ لعدم الجواز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أنّ استعمال اللفظ في غير ما وضع له مخالف للأصل، والواجب فيما خالف الأصل الاقتصار على القدر المتيقّن، وهو ما تقدّم دون غيره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قد عرفت أنّ التحقيق الدالّ في المجازات هو اللفظ بشرط القرينة، وأنّ دلالته عليها إنّما هو لأجل المناسبة بين المعاني المجازيّة والموضوع له؛ والمناسبة فيما نحن فيه لأجل الاشتراك في صفة، فإذا لم تكن الصفة ظاهرة لم تظهر المناسبة، فلا تتحقّق الدلالة، هذا</w:t>
      </w:r>
      <w:r>
        <w:rPr>
          <w:rFonts w:eastAsia="Amiri" w:cs="Amiri" w:ascii="Amiri" w:hAnsi="Amiri"/>
          <w:color w:val="111111"/>
          <w:sz w:val="28"/>
          <w:szCs w:val="28"/>
          <w:rtl w:val="true"/>
          <w:lang w:bidi="ar-SA"/>
        </w:rPr>
        <w:t xml:space="preserve">. </w:t>
      </w:r>
      <w:bookmarkStart w:id="320" w:name="pg16214_221581"/>
    </w:p>
    <w:p>
      <w:pPr>
        <w:pStyle w:val="Heading5"/>
        <w:numPr>
          <w:ilvl w:val="4"/>
          <w:numId w:val="1"/>
        </w:numPr>
        <w:rPr/>
      </w:pPr>
      <w:bookmarkStart w:id="321" w:name="__RefHeading___Toc3519807_1280447820"/>
      <w:bookmarkStart w:id="322" w:name="_Toc122"/>
      <w:bookmarkEnd w:id="320"/>
      <w:bookmarkEnd w:id="321"/>
      <w:r>
        <w:rPr>
          <w:rtl w:val="true"/>
        </w:rPr>
        <w:t>الكلام في اندراج هذه العلاقة تحت حدّها المتقدّم</w:t>
      </w:r>
      <w:bookmarkEnd w:id="322"/>
    </w:p>
    <w:p>
      <w:pPr>
        <w:pStyle w:val="BookText"/>
        <w:rPr/>
      </w:pPr>
      <w:r>
        <w:rPr>
          <w:rFonts w:ascii="Amiri" w:hAnsi="Amiri" w:eastAsia="Amiri" w:cs="Amiri"/>
          <w:color w:val="111111"/>
          <w:sz w:val="28"/>
          <w:sz w:val="28"/>
          <w:szCs w:val="28"/>
          <w:rtl w:val="true"/>
          <w:lang w:bidi="ar-SA"/>
        </w:rPr>
        <w:t>بقي الكلام في صدق الحدّ المذكور للعلاقة على هذا النوع الّذي كلامنا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الشكل، فإذا كان هو المستعمل فيه اللفظ المجازيّ، فصدق الحدّ حينئذٍ ظاهر؛ إذ لا شبهة في اتّصال كلّ شكل بمتشكّله، لكنّ الأمر ليس كذلك، بل المستعمل فيه والمعنى المجازيّ هو ما حلّت فيه الصورة،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ويرشدك إلى ذلك التوجّه</w:t>
      </w:r>
      <w:r>
        <w:rPr>
          <w:rStyle w:val="FootnoteAnchor"/>
          <w:rtl w:val="true"/>
        </w:rPr>
        <w:footnoteReference w:id="237"/>
      </w:r>
      <w:r>
        <w:rPr>
          <w:rFonts w:ascii="Amiri" w:hAnsi="Amiri" w:eastAsia="Amiri" w:cs="Amiri"/>
          <w:color w:val="111111"/>
          <w:sz w:val="28"/>
          <w:sz w:val="28"/>
          <w:szCs w:val="28"/>
          <w:rtl w:val="true"/>
          <w:lang w:bidi="ar-SA"/>
        </w:rPr>
        <w:t>إلى المراد، إذ المقصود أنّ العلاقة تتحقّق باشتراك في الشكل أو الصفة، أي اشتراك المستعمل فيه للموضوع له في الشكل كما في الصفة، وحينئذٍ يشكل الأمر؛ لانتفاء الاتّصال بين المستعمل فيه الّذي هو المحلّ للصورة وبين الموضوع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الصفة فكذلك؛ لوضوح أنّ المستعمل فيه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في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الرجل الشجاع، وعدم اتّصاله بالحيوان المفترس الّذي هو الموضوع له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لاريب فيه؛ وحمل الاتّصال بالموضوع له على الاتّصال بشكله في الأوّل وبصفته في الثاني وإن كان ممكنًا في نفس الأمر، لكن ارتكاب مثله في الحدود مهجور وفي الرسوم متروك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الاتّصال أعمّ من أن يكون في الأعيان أو في الأذهان، ولا نسلّم انتفاء مطلق الاتّصال في المقام، بل القدر المسلّم انتفاء الاتّصال الخارجيّ، ولا يلزم منه انتفاء المطلق؛ لعدم استلزام انتفاء الخاصّ لانتفاء العامّ،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الاتّصال الذهنيّ متحقّقٌ في المقام؛ لوضوح انتقال السامع عند إطلاق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المشابه لشكله إلى المعنى المستعمل فيه والموضوع له كليهما، وكذا عند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نظر؛ لأنّه قد تقدّم أنّ الدلالة في المجازات لأجل المناسبة والعلاقة، وهي مفسّرة باتّصال المعنيين، فلو كان المراد بالاتّصال الاتّصال الذهنيّ الّذي عبارة عن حصول المعنيين فيه مجتمعًا</w:t>
      </w:r>
      <w:r>
        <w:rPr>
          <w:rStyle w:val="FootnoteAnchor"/>
          <w:rtl w:val="true"/>
        </w:rPr>
        <w:footnoteReference w:id="238"/>
      </w:r>
      <w:r>
        <w:rPr>
          <w:rFonts w:ascii="Amiri" w:hAnsi="Amiri" w:eastAsia="Amiri" w:cs="Amiri"/>
          <w:color w:val="111111"/>
          <w:sz w:val="28"/>
          <w:sz w:val="28"/>
          <w:szCs w:val="28"/>
          <w:rtl w:val="true"/>
          <w:lang w:bidi="ar-SA"/>
        </w:rPr>
        <w:t xml:space="preserve">، لزم الدور؛ لأنّ الدلالة على المعنى المجازيّ وفهمه من اللفظ الّذي عبارة عن حصوله في الذهن موقوف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العلاقة الّتي مفسّرة</w:t>
      </w:r>
      <w:r>
        <w:rPr>
          <w:rStyle w:val="FootnoteAnchor"/>
          <w:rtl w:val="true"/>
        </w:rPr>
        <w:footnoteReference w:id="239"/>
      </w:r>
      <w:r>
        <w:rPr>
          <w:rFonts w:ascii="Amiri" w:hAnsi="Amiri" w:eastAsia="Amiri" w:cs="Amiri"/>
          <w:color w:val="111111"/>
          <w:sz w:val="28"/>
          <w:sz w:val="28"/>
          <w:szCs w:val="28"/>
          <w:rtl w:val="true"/>
          <w:lang w:bidi="ar-SA"/>
        </w:rPr>
        <w:t>باتّصال المعنيين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المراد باتّصالهما الاتّصال الذهنيّ، يكون الاتّصال موقوفًا على الحصول في الذهن، وهو دور ظاهر؛ لأنّ حصول المعنى المجازيّ في الذهن موقوف على دلالة اللفظ عليه، ودلالة اللفظ عليه موقوفة على اتّصاله بالموضوع له، واتّصاله به موقوف على حصوله في الذهن،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المعنى المجازيّ في الذهن موقوف على حصوله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أنّ حصول المعنى المجازيّ في الذهن موقوف على دلالة اللفظ عليه، بل الأمر بالعكس؛ لأنّ معنى اللفظ حقيقيًّا كان أو مجازيًّا لو لم يظهر للسامع ولم يعلم وضع اللفظ له، لم يمكن فهمه منه كما لا يخفى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فهم المعنى</w:t>
      </w:r>
      <w:r>
        <w:rPr>
          <w:rStyle w:val="FootnoteAnchor"/>
          <w:rtl w:val="true"/>
        </w:rPr>
        <w:footnoteReference w:id="240"/>
      </w:r>
      <w:r>
        <w:rPr>
          <w:rFonts w:ascii="Amiri" w:hAnsi="Amiri" w:eastAsia="Amiri" w:cs="Amiri"/>
          <w:color w:val="111111"/>
          <w:sz w:val="28"/>
          <w:sz w:val="28"/>
          <w:szCs w:val="28"/>
          <w:rtl w:val="true"/>
          <w:lang w:bidi="ar-SA"/>
        </w:rPr>
        <w:t>على أنّه مراد للمتكلّم</w:t>
      </w:r>
      <w:r>
        <w:rPr>
          <w:rStyle w:val="FootnoteAnchor"/>
          <w:rtl w:val="true"/>
        </w:rPr>
        <w:footnoteReference w:id="241"/>
      </w:r>
      <w:r>
        <w:rPr>
          <w:rFonts w:ascii="Amiri" w:hAnsi="Amiri" w:eastAsia="Amiri" w:cs="Amiri"/>
          <w:color w:val="111111"/>
          <w:sz w:val="28"/>
          <w:sz w:val="28"/>
          <w:szCs w:val="28"/>
          <w:rtl w:val="true"/>
          <w:lang w:bidi="ar-SA"/>
        </w:rPr>
        <w:t xml:space="preserve">دون غيره موقوفٌ على دلالة اللفظ </w:t>
      </w:r>
      <w:bookmarkStart w:id="323" w:name="pg16214_221583"/>
    </w:p>
    <w:p>
      <w:pPr>
        <w:pStyle w:val="BookText"/>
        <w:rPr/>
      </w:pPr>
      <w:bookmarkEnd w:id="323"/>
      <w:r>
        <w:rPr>
          <w:rFonts w:ascii="Amiri" w:hAnsi="Amiri" w:eastAsia="Amiri" w:cs="Amiri"/>
          <w:color w:val="111111"/>
          <w:sz w:val="28"/>
          <w:sz w:val="28"/>
          <w:szCs w:val="28"/>
          <w:rtl w:val="true"/>
          <w:lang w:bidi="ar-SA"/>
        </w:rPr>
        <w:t>عليه، وذلك بالنسبة إلى المعنى المجازيّ فيما نحن فيه متوقّف على اتّصاله بالمعنى الموضوع له في الذهن، وذلك يتوقّف على حصول سابق للمعنيين فيه والعلم بوضع ذلك اللفظ لذلك المعنى واتّصال المعنى المجازيّ له، فلا يلزم دور ولا فساد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يمكن التوجيه بحمل الاتّصال بالموضوع له على مطلق التعلّق به والمناسبة له، سواء كان على سبيل الاتّصال كما في الكلّيّة والجزئيّة ونحوهما، أو لا كما فيما نحن فيه ومثله، لا سيّما بعد ملاحظة التعميم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اتّصال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المقدار كافٍ في المقام، فيصحّح به سقم الكلام</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3519809_1280447820"/>
      <w:bookmarkStart w:id="325" w:name="_Toc123"/>
      <w:bookmarkEnd w:id="324"/>
      <w:r>
        <w:rPr>
          <w:rtl w:val="true"/>
        </w:rPr>
        <w:t>النوع الرابع من العلاقة</w:t>
      </w:r>
      <w:r>
        <w:rPr>
          <w:rtl w:val="true"/>
        </w:rPr>
        <w:t xml:space="preserve">: </w:t>
      </w:r>
      <w:r>
        <w:rPr>
          <w:rtl w:val="true"/>
        </w:rPr>
        <w:t>كون المستعمل فيه على صفة</w:t>
      </w:r>
      <w:bookmarkEnd w:id="325"/>
    </w:p>
    <w:p>
      <w:pPr>
        <w:pStyle w:val="Heading5"/>
        <w:numPr>
          <w:ilvl w:val="4"/>
          <w:numId w:val="1"/>
        </w:numPr>
        <w:rPr/>
      </w:pPr>
      <w:bookmarkStart w:id="326" w:name="__RefHeading___Toc3519811_1280447820"/>
      <w:bookmarkStart w:id="327" w:name="_Toc124"/>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الرابع من تلك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المستعمل فيه على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المقام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الموصوف قد يتّصف بصفات متعدّدة، لكن لا على سبيل التعاقب، بل اجتماعها فيه ممكن، كاتّصاف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بالمشي والأكل والنظر ونحوها، وليس الكلام في مثل ذلك، بل إطلاق الكلّ على ذلك الموصوف على سبيل الحقيقة</w:t>
      </w:r>
      <w:r>
        <w:rPr>
          <w:rStyle w:val="FootnoteAnchor"/>
          <w:rtl w:val="true"/>
        </w:rPr>
        <w:footnoteReference w:id="242"/>
      </w:r>
      <w:r>
        <w:rPr>
          <w:rFonts w:ascii="Amiri" w:hAnsi="Amiri" w:eastAsia="Amiri" w:cs="Amiri"/>
          <w:color w:val="111111"/>
          <w:sz w:val="28"/>
          <w:sz w:val="28"/>
          <w:szCs w:val="28"/>
          <w:rtl w:val="true"/>
          <w:lang w:bidi="ar-SA"/>
        </w:rPr>
        <w:t>،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 وآكلٌ وناظرٌ حقيقةً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يتّصف بصفات متعدّدة على سبيل التعاقب، بمعنى أنّ اتّصافه باللاحقة يستلزم زوال السابقة، كالحريّة والرقّية والبلوغيّة والصغريّة</w:t>
      </w:r>
      <w:r>
        <w:rPr>
          <w:rStyle w:val="FootnoteAnchor"/>
          <w:rtl w:val="true"/>
        </w:rPr>
        <w:footnoteReference w:id="243"/>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وكلامنا في هذا المقام فيما ينتظم بهذا النظام، فالمراد أنّ اللفظ الّذي يطلق على ذلك الموصوف حقيقة عند اتّصافه بالصفة السابقة يجوز إطلاقه عليه مجازًا عند اتّصافه باللاحقة الموجبة لزوالها حينئذٍ؛ لاتّصافه بها سابقًا، كإطلاق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المعتق ونحوه، فتكون هذه العلاقة عكس العلاقة السابقة، إذ المعتبر هناك تعدّد الذات ووحدة الصفة، وفيما نحن فيه وحدة الذات وتعدّد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اللفظ كالعبد مثلًا لا يخلو إمّا كان موضوعًا للذات وحدها، أو صفتها السابقة كذلك، أو لهما معًا، وأيّ منها كان لا يستقيم الكلام،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بقاء الذات في كلا الحالين، فينبغي أن يكون الاستعمال في الحالة الثانية أيضًا على سبيل الحقيقة؛ لكونه استعمالًا للّفظ 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فللقطع بعدم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موضوعًا لوصف الرقّيّة فقط، وعلى فرض تسليم ذلك يكون ذلك من إطلاق لفظ الحال على المحلّ، فيندرج تحت تلك العلاقة، فلا وجه لإفراده عنها الموجبِ للكلامِ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موضوعًا لتلك الصفة،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موضوعًا لصفة</w:t>
      </w:r>
      <w:r>
        <w:rPr>
          <w:rStyle w:val="FootnoteAnchor"/>
          <w:rtl w:val="true"/>
        </w:rPr>
        <w:footnoteReference w:id="244"/>
      </w:r>
      <w:r>
        <w:rPr>
          <w:rFonts w:ascii="Amiri" w:hAnsi="Amiri" w:eastAsia="Amiri" w:cs="Amiri"/>
          <w:color w:val="111111"/>
          <w:sz w:val="28"/>
          <w:sz w:val="28"/>
          <w:szCs w:val="28"/>
          <w:rtl w:val="true"/>
          <w:lang w:bidi="ar-SA"/>
        </w:rPr>
        <w:t>الحرّيّة؛ لعدم الفرق بينهما، فالتفرقة تحكّم، وحينئذٍ يفسد الكلام؛ لظهور أنّ وصف الحرّيّة لم يكن على صفة الرقّيّة، بل الموصوف به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استلزام كون الموضوع له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الحرّيّة كون المستعمل فيه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حتّى يلزم المحذور؛ لجواز أن يكون المستعمل فيه له الموصوف بتلك الصفة، مع كون الموضوع له 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إيّاها</w:t>
      </w:r>
      <w:r>
        <w:rPr>
          <w:rStyle w:val="FootnoteAnchor"/>
          <w:rtl w:val="true"/>
        </w:rPr>
        <w:footnoteReference w:id="245"/>
      </w:r>
      <w:r>
        <w:rPr>
          <w:rFonts w:ascii="Amiri" w:hAnsi="Amiri" w:eastAsia="Amiri" w:cs="Amiri"/>
          <w:color w:val="111111"/>
          <w:sz w:val="28"/>
          <w:sz w:val="28"/>
          <w:szCs w:val="28"/>
          <w:rtl w:val="true"/>
          <w:lang w:bidi="ar-SA"/>
        </w:rPr>
        <w:t xml:space="preserve">، وحينئذٍ لا </w:t>
      </w:r>
    </w:p>
    <w:p>
      <w:pPr>
        <w:pStyle w:val="BookText"/>
        <w:rPr/>
      </w:pPr>
      <w:r>
        <w:rPr>
          <w:rFonts w:ascii="Amiri" w:hAnsi="Amiri" w:eastAsia="Amiri" w:cs="Amiri"/>
          <w:color w:val="111111"/>
          <w:sz w:val="28"/>
          <w:sz w:val="28"/>
          <w:szCs w:val="28"/>
          <w:rtl w:val="true"/>
          <w:lang w:bidi="ar-SA"/>
        </w:rPr>
        <w:t>يلزم المحذور؛ لوضوح اتّصاف الموصوف بوصف الرقّيّة سابقًا، وليس المراد من الكون على الصفة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الإنصاف؛ لأنّ ظاهرهم أنّ المعنى الّذي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فيه إذا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يكون مجازًا والعلاقة ما تقدّم، فإذا كان الموضوع له الوصف المذكور، يلزم ما تقدّم من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كان الموضوع له مجموع الصفة والموصوف، يكون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الذات حينئذٍ إطلاقًا لاسم الموضوع للكلّ على جزئه، فالعلاقة حينئذٍ الجزئيّة، فينبغي الاكتفاء عن ذكر هذه العلاقة بذكر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له هو الذات في حالة اتّصافه بتلك الصفة، فالموضوع له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هو الذات المعلومة، لكن لا مطلقًا، بل بشرط ثبوت وصف الرقّيّة وفي حالة ثبوته له، وإنّما يكون حقيقة عند استعماله في تلك الذات في حالة اتّصافها بها، فإذا استعمل فيها عند زوالها واتّصافها بصفة أخرى مضادّة لها، يكون ذلك استعمالًا له في غير الموضوع له، ولا نعني بالمجاز إلّا ذلك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الذات حينئذٍ لها ثلاثة ألفاظ مثلًا، اثنان منها بشرط شيء،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والمعتق، فإنّ الأوّل موضوع لها بشرط اتّصافها بالرقيّة، والثاني موضوع لها بشرط زوالها واتّصافها بالحريّة، فإذا استعمل الأوّل فيها في الحالة الأولى والثاني في الحالة الثانية، يكون استعمالًا للّفظ في الموضوع له، وأمّا في غيرها، فيكون استعمالًا له في غيره، وواحد منها لا بشرط شيء كالإنسان، أو الاسم الّذي لقّب به، ولهذا يكون إطلاقه عليها في كلتا الحالتين على سبيل الحقيقة</w:t>
      </w:r>
      <w:r>
        <w:rPr>
          <w:rFonts w:eastAsia="Amiri" w:cs="Amiri" w:ascii="Amiri" w:hAnsi="Amiri"/>
          <w:color w:val="111111"/>
          <w:sz w:val="28"/>
          <w:szCs w:val="28"/>
          <w:rtl w:val="true"/>
          <w:lang w:bidi="ar-SA"/>
        </w:rPr>
        <w:t xml:space="preserve">. </w:t>
      </w:r>
      <w:bookmarkStart w:id="328" w:name="pg16214_221586"/>
    </w:p>
    <w:p>
      <w:pPr>
        <w:pStyle w:val="Heading5"/>
        <w:numPr>
          <w:ilvl w:val="4"/>
          <w:numId w:val="1"/>
        </w:numPr>
        <w:rPr/>
      </w:pPr>
      <w:bookmarkStart w:id="329" w:name="__RefHeading___Toc3519813_1280447820"/>
      <w:bookmarkStart w:id="330" w:name="_Toc125"/>
      <w:bookmarkEnd w:id="328"/>
      <w:bookmarkEnd w:id="329"/>
      <w:r>
        <w:rPr>
          <w:rtl w:val="true"/>
        </w:rPr>
        <w:t>الإشكال في أنّ حكمهم بمجازيّة اللفظ باعتبار ما كان، ينافي حكمهم</w:t>
      </w:r>
      <w:r>
        <w:rPr>
          <w:rtl w:val="true"/>
        </w:rPr>
        <w:t xml:space="preserve">: </w:t>
      </w:r>
      <w:r>
        <w:rPr>
          <w:rtl w:val="true"/>
        </w:rPr>
        <w:t>أنّ إطلاق المشتقّ على الذات لا يتوقّف على بقاء المبدأ، مع الجواب عنه</w:t>
      </w:r>
      <w:bookmarkEnd w:id="330"/>
    </w:p>
    <w:p>
      <w:pPr>
        <w:pStyle w:val="BookText"/>
        <w:rPr/>
      </w:pPr>
      <w:r>
        <w:rPr>
          <w:rFonts w:ascii="Amiri" w:hAnsi="Amiri" w:eastAsia="Amiri" w:cs="Amiri"/>
          <w:color w:val="111111"/>
          <w:sz w:val="28"/>
          <w:sz w:val="28"/>
          <w:szCs w:val="28"/>
          <w:rtl w:val="true"/>
          <w:lang w:bidi="ar-SA"/>
        </w:rPr>
        <w:t>بحث وتخليص</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إشكالًا، وهو أنّهم قد اختلفوا في أنّ صدق المشتقّ على الذات حقيقة، هل يكون متوقّفًا على بقاء المبدأ، أو لا؟ والمنقول من المعتزلة والإماميّة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منافٍ لما اتّفقوا عليه في بحث المجاز من أنّ بعض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المطلق على المستعمل فيه باعتبار ما كان عليه، فإنّ مقتضى المقالة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أطلق على ذات باعتبار صدور المبدأ منها مع عدم البقاء، يكون حقيقة، ومقتضى المقالة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مجاز، فيلزم أن يكون اللفظ الواحد بالنسبة إلى معنى واحد في حالة واحدة حقيقة ومجازًا، ولا شبهة في استحالته</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3519815_1280447820"/>
      <w:bookmarkStart w:id="332" w:name="_Toc126"/>
      <w:bookmarkEnd w:id="331"/>
      <w:r>
        <w:rPr>
          <w:rtl w:val="true"/>
        </w:rPr>
        <w:t>الجواب عن الإشكال</w:t>
      </w:r>
      <w:bookmarkEnd w:id="332"/>
    </w:p>
    <w:p>
      <w:pPr>
        <w:pStyle w:val="Heading6"/>
        <w:numPr>
          <w:ilvl w:val="5"/>
          <w:numId w:val="1"/>
        </w:numPr>
        <w:rPr/>
      </w:pPr>
      <w:bookmarkStart w:id="333" w:name="__RefHeading___Toc3519817_1280447820"/>
      <w:bookmarkStart w:id="334" w:name="_Toc127"/>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ويمكن الجواب عنه من وجهين</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3519819_1280447820"/>
      <w:bookmarkStart w:id="336" w:name="_Toc128"/>
      <w:bookmarkEnd w:id="335"/>
      <w:r>
        <w:rPr>
          <w:rtl w:val="true"/>
        </w:rPr>
        <w:t>الجواب الأوّل</w:t>
      </w:r>
      <w:bookmarkEnd w:id="33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مبنى الإشكال إنّما هو على إبقاء المقالتين على ظاهريهما، وهو غير لازم؛ لجواز أن يكون مرادهم ممّا قالوا في المشتقّ فيما لم يكن زوال ذلك </w:t>
      </w:r>
      <w:bookmarkStart w:id="337" w:name="pg16214_221587"/>
    </w:p>
    <w:p>
      <w:pPr>
        <w:pStyle w:val="BookText"/>
        <w:rPr/>
      </w:pPr>
      <w:bookmarkEnd w:id="337"/>
      <w:r>
        <w:rPr>
          <w:rFonts w:ascii="Amiri" w:hAnsi="Amiri" w:eastAsia="Amiri" w:cs="Amiri"/>
          <w:color w:val="111111"/>
          <w:sz w:val="28"/>
          <w:sz w:val="28"/>
          <w:szCs w:val="28"/>
          <w:rtl w:val="true"/>
          <w:lang w:bidi="ar-SA"/>
        </w:rPr>
        <w:t>المبدأ عن الذات فيه باعتبار طريان صفة لا يمكن العود إليه</w:t>
      </w:r>
      <w:r>
        <w:rPr>
          <w:rStyle w:val="FootnoteAnchor"/>
          <w:rtl w:val="true"/>
        </w:rPr>
        <w:footnoteReference w:id="247"/>
      </w:r>
      <w:r>
        <w:rPr>
          <w:rFonts w:ascii="Amiri" w:hAnsi="Amiri" w:eastAsia="Amiri" w:cs="Amiri"/>
          <w:color w:val="111111"/>
          <w:sz w:val="28"/>
          <w:sz w:val="28"/>
          <w:szCs w:val="28"/>
          <w:rtl w:val="true"/>
          <w:lang w:bidi="ar-SA"/>
        </w:rPr>
        <w:t>، كالكتابة مثلًا، فإنّ اتّصافها بها إنّما هو بتحريك الأصابع، وزوالها بانتفاء ذلك التحريك، وكذا الضرب، فإنّ اتّصافها به إنّما هو عند الاتّصاف بالهيئة المعلومة وزواله بزوالها، لكن بحيث لو أراد يمكن الاتّصاف بكلّ منهما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ممّا قالوا في هذا المقام فيما يكون زوال تلك الصفة فيه بطريان صفة لا يمكن العود إليها أبدًا كالرقّيّة مثلًا، فإنّ زوالها بطريان وصف العتقيّة الّتي لا يمكن بعدها العود إليها أبدًا، والصغريّة فإنّ زوالها بطريان وصف البلوغيّة الّتي لا يمكن بعدها العود إليها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القول بتعميم محلّ النزاع في مسألة المشتقّ، سواء طرأ على المحلّ وصف وجوديّ يناقض الأوّل أو يضادّه، أم لا، وأمّا على القول بتخصيصه بغير الأوّل، تكون دائرة المجاز لعلاقة الكون عليه أوسع، إذ حينئذٍ لا يعتبر في المجازيّة عدم إمكان العود إلى الوصف الأوّل كما لا يخفى، فتضيق دائرة الحقيقة في المشتقّ وينعكس الأمر على تقدير التعميم</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3519821_1280447820"/>
      <w:bookmarkStart w:id="339" w:name="_Toc129"/>
      <w:bookmarkEnd w:id="338"/>
      <w:r>
        <w:rPr>
          <w:rtl w:val="true"/>
        </w:rPr>
        <w:t>الجواب الثاني</w:t>
      </w:r>
      <w:bookmarkEnd w:id="33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التنافي إنّما يكون إذا كان الحكمان واردين على موضوع واحد، وهو غير مسلّم؛ لأنّ مرادهم ممّا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 المشتقّ حقيقة لا يقتضي بقاء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المشتقّ مطلقًا، بل اسم الفاعل والصفة المشبّهة على ما صرّح به بعضهم</w:t>
      </w:r>
      <w:r>
        <w:rPr>
          <w:rFonts w:eastAsia="Amiri" w:cs="Amiri" w:ascii="Amiri" w:hAnsi="Amiri"/>
          <w:color w:val="111111"/>
          <w:sz w:val="28"/>
          <w:szCs w:val="28"/>
          <w:rtl w:val="true"/>
          <w:lang w:bidi="ar-SA"/>
        </w:rPr>
        <w:t xml:space="preserve">. </w:t>
      </w:r>
      <w:bookmarkStart w:id="340" w:name="pg16214_221588"/>
    </w:p>
    <w:p>
      <w:pPr>
        <w:pStyle w:val="BookText"/>
        <w:rPr/>
      </w:pPr>
      <w:bookmarkEnd w:id="340"/>
      <w:r>
        <w:rPr>
          <w:rFonts w:ascii="Amiri" w:hAnsi="Amiri" w:eastAsia="Amiri" w:cs="Amiri"/>
          <w:color w:val="111111"/>
          <w:sz w:val="28"/>
          <w:sz w:val="28"/>
          <w:szCs w:val="28"/>
          <w:rtl w:val="true"/>
          <w:lang w:bidi="ar-SA"/>
        </w:rPr>
        <w:t>ويكون المراد ممّا قالوا في المجاز ما إذا لم يكن اللفظ ممّا ذكر، سواء كان مشتقًّا لكن لم يكن ممّا ذكر، أو لم يكن مشتقًّا أصلًا كالحجر المنقلب من الماء، فإنّه يجوز إطلاق الماء عليه باعتبار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نظر؛ لأنّ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المشبّهة، مع أنّهم مصرّحون بالمجازيّة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اندراج هذا النوع من العلاقة تحت الحدّ المذكور لها بعد التوجيه المذكور ظاهر</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3519823_1280447820"/>
      <w:bookmarkStart w:id="342" w:name="_Toc130"/>
      <w:bookmarkEnd w:id="341"/>
      <w:r>
        <w:rPr>
          <w:rtl w:val="true"/>
        </w:rPr>
        <w:t>النوع الخامس من العلاقة</w:t>
      </w:r>
      <w:r>
        <w:rPr>
          <w:rtl w:val="true"/>
        </w:rPr>
        <w:t xml:space="preserve">: </w:t>
      </w:r>
      <w:r>
        <w:rPr>
          <w:rtl w:val="true"/>
        </w:rPr>
        <w:t>إطلاق اللفظ على ما يؤول إلى ما وضع ذلك اللفظ له</w:t>
      </w:r>
      <w:bookmarkEnd w:id="342"/>
    </w:p>
    <w:p>
      <w:pPr>
        <w:pStyle w:val="Heading5"/>
        <w:numPr>
          <w:ilvl w:val="4"/>
          <w:numId w:val="1"/>
        </w:numPr>
        <w:rPr/>
      </w:pPr>
      <w:bookmarkStart w:id="343" w:name="__RefHeading___Toc3519825_1280447820"/>
      <w:bookmarkStart w:id="344" w:name="_Toc131"/>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الخامس من الطرق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اللفظ على ما يؤول إلى ما وضع ذلك اللفظ له،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أَرَانِي أَعْصِرُ خَمْرًا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ذلك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النوع من العلاقة يشترك مع السابقة في اعتبار وحدة الذات وتعدّد الصفة، وفي أنّه وُضع لتلك الذات بإزاء كلّ من تلك الصفة لفظ خاصّ، كالشارب والسكران مثلًا، فإنّ الأوّل وضع باعتبار وصف الشرب، والثاني باعتبار وصف آخر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العصير</w:t>
      </w:r>
      <w:r>
        <w:rPr>
          <w:rStyle w:val="FootnoteAnchor"/>
          <w:rtl w:val="true"/>
        </w:rPr>
        <w:footnoteReference w:id="249"/>
      </w:r>
      <w:r>
        <w:rPr>
          <w:rFonts w:ascii="Amiri" w:hAnsi="Amiri" w:eastAsia="Amiri" w:cs="Amiri"/>
          <w:color w:val="111111"/>
          <w:sz w:val="28"/>
          <w:sz w:val="28"/>
          <w:szCs w:val="28"/>
          <w:rtl w:val="true"/>
          <w:lang w:bidi="ar-SA"/>
        </w:rPr>
        <w:t>والخمر ونحوهما، إلّا أنّه يفترق عنها باعتبار أنّ المجازيّة كانت هناك في حالة الاتّصاف بالصفة اللاحقة باعتبار الصفة السابقة على ما تقدّم تحقيقه؛ وهنا</w:t>
      </w:r>
      <w:r>
        <w:rPr>
          <w:rStyle w:val="FootnoteAnchor"/>
          <w:rtl w:val="true"/>
        </w:rPr>
        <w:footnoteReference w:id="250"/>
      </w:r>
      <w:r>
        <w:rPr>
          <w:rFonts w:ascii="Amiri" w:hAnsi="Amiri" w:eastAsia="Amiri" w:cs="Amiri"/>
          <w:color w:val="111111"/>
          <w:sz w:val="28"/>
          <w:sz w:val="28"/>
          <w:szCs w:val="28"/>
          <w:rtl w:val="true"/>
          <w:lang w:bidi="ar-SA"/>
        </w:rPr>
        <w:t xml:space="preserve">يكون الأمر بالعكس، أي المجازيّة في حالة اتّصافها بالصفة </w:t>
      </w:r>
      <w:bookmarkStart w:id="345" w:name="pg16214_221589"/>
    </w:p>
    <w:p>
      <w:pPr>
        <w:pStyle w:val="BookText"/>
        <w:rPr/>
      </w:pPr>
      <w:bookmarkEnd w:id="345"/>
      <w:r>
        <w:rPr>
          <w:rFonts w:ascii="Amiri" w:hAnsi="Amiri" w:eastAsia="Amiri" w:cs="Amiri"/>
          <w:color w:val="111111"/>
          <w:sz w:val="28"/>
          <w:sz w:val="28"/>
          <w:szCs w:val="28"/>
          <w:rtl w:val="true"/>
          <w:lang w:bidi="ar-SA"/>
        </w:rPr>
        <w:t>السابقة باعتبار اللاحقة، فيطلق اللفظ الّذي كان للذات عند اتّصافها بالصفة اللاحقة في حالة اتّصافها بالصفة السابقة؛ لاتّصافها بها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ظهر لك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أَرَانِي أَعْصِرُ خَمْرًا لو فسّر بأنّي أستخرج عصيرًا، يكون من هذا القبيل؛ لكون العصير آيلًا إلى الخمر، وأمّا لو فسّر بأنّي أعصر عنبًا، فالظاهر أنّه لا يكون كذلك؛ لعدم بقاء الذات في الحالين، بل يكون من قبيل إطلاق اسم الشيء على علّته المادّيّة، وسيجيء الكلام في تحقيقه</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3519827_1280447820"/>
      <w:bookmarkStart w:id="347" w:name="_Toc132"/>
      <w:bookmarkEnd w:id="346"/>
      <w:r>
        <w:rPr>
          <w:rtl w:val="true"/>
        </w:rPr>
        <w:t>وهمٌ وإزاحةٌ</w:t>
      </w:r>
      <w:bookmarkEnd w:id="347"/>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كلام الأصوليّين تكرارًا؛ لأنّهم ذكروا في بحث المشتقّ أنّ إطلاقه على الذات في حالة تلبّسه بالمبدأ حقيقة اتّفاقًا، وفيما لم يتلبّس به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سوف يتلبّس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كذلك؛ وهذا هو الّذي ذكروه في مبحث المجاز في هذا المقام الّذي كلامنا فيه، وذكره في أحد الموضعين كان مغنيًا عن الذكر في الآخر، فما وجه التكرار؟</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 ذلك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التكرار ممنوع؛ لأنّ المراد ممّا ذكروا في مبحث المشتقّ هو أنّ إطلاق المشتقّ متى يكون على سبيل الحقيقة ومتى يكون على سبيل المجاز، وما ذكروا في بحث المجاز بيانٌ لما يصحّح المجازيّة، وأين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بينهما غاية الخلاف، فمِن أين التكرار؟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ما ذكروه في بحث المجاز لا اختصاص له بالمشتقّ، إذ المقصود أنّه يصحّ إطلاق كلّ لفظ على ما يؤول إلى ما وضع ذلك اللفظ له، أعمّ من أن يكون مشتقًّا أو غيره، كإطلاق الحجر على الماء الّذي ينقلب إليه، والهواء على الماء </w:t>
      </w:r>
      <w:bookmarkStart w:id="348" w:name="pg16214_221590"/>
    </w:p>
    <w:p>
      <w:pPr>
        <w:pStyle w:val="BookText"/>
        <w:rPr/>
      </w:pPr>
      <w:bookmarkEnd w:id="348"/>
      <w:r>
        <w:rPr>
          <w:rFonts w:ascii="Amiri" w:hAnsi="Amiri" w:eastAsia="Amiri" w:cs="Amiri"/>
          <w:color w:val="111111"/>
          <w:sz w:val="28"/>
          <w:sz w:val="28"/>
          <w:szCs w:val="28"/>
          <w:rtl w:val="true"/>
          <w:lang w:bidi="ar-SA"/>
        </w:rPr>
        <w:t>الّذي ينقلب إليه،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الوصف في العلاقة المتقدّمة بما لا يمكن بعده العود إلى السابقة غير مرعيّ في هذه العلاقة، فيعمّ الحكم ولو كان الوصف ممّا يمكن بعده العود إلى السابقة أيضًا</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3519829_1280447820"/>
      <w:bookmarkStart w:id="350" w:name="_Toc133"/>
      <w:bookmarkEnd w:id="349"/>
      <w:r>
        <w:rPr>
          <w:rtl w:val="true"/>
        </w:rPr>
        <w:t>النوع السادس من العلاقة</w:t>
      </w:r>
      <w:r>
        <w:rPr>
          <w:rtl w:val="true"/>
        </w:rPr>
        <w:t xml:space="preserve">: </w:t>
      </w:r>
      <w:r>
        <w:rPr>
          <w:rtl w:val="true"/>
        </w:rPr>
        <w:t>المجاورة</w:t>
      </w:r>
      <w:bookmarkEnd w:id="350"/>
    </w:p>
    <w:p>
      <w:pPr>
        <w:pStyle w:val="Heading5"/>
        <w:numPr>
          <w:ilvl w:val="4"/>
          <w:numId w:val="1"/>
        </w:numPr>
        <w:rPr/>
      </w:pPr>
      <w:bookmarkStart w:id="351" w:name="__RefHeading___Toc3519831_1280447820"/>
      <w:bookmarkStart w:id="352" w:name="_Toc134"/>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السادس من الطرق المنضبطة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المجاورة، أي كون الشيء مجاورًا لما وضع له اللفظ، فيصحّ إطلاق ذلك اللفظ على ذلك الشيء المجاور</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3519833_1280447820"/>
      <w:bookmarkStart w:id="354" w:name="_Toc135"/>
      <w:bookmarkEnd w:id="353"/>
      <w:r>
        <w:rPr>
          <w:rtl w:val="true"/>
        </w:rPr>
        <w:t>عقدٌ وحلٌّ</w:t>
      </w:r>
      <w:bookmarkEnd w:id="354"/>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مجاورة الشيء لآخر لو كان مصحّحًا لإطلاق لفظه عليه، لجاز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البيت الّذي بجواره وبالعكس، أو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البيت وبالعكس،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وبالعكس، 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الفُرُش المبسوطة في بيته وبالعكس، 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وبالعكس، وهكذا الكلام في كثير من الأشياء، بل جميعها، إذ ما من شيء إلّا وله مجاور، والتالي باطل؛ لانّا نقطع بعدم الجواز في كثير منها، فالمقدّم مثله، والملازمة بيّنة</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3519835_1280447820"/>
      <w:bookmarkStart w:id="356" w:name="_Toc136"/>
      <w:bookmarkEnd w:id="355"/>
      <w:r>
        <w:rPr>
          <w:rtl w:val="true"/>
        </w:rPr>
        <w:t>في تحقيق المجاورة وبيان أقسامها</w:t>
      </w:r>
      <w:bookmarkEnd w:id="356"/>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المقام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مجاورة شيء لآخر على أقسام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على سبيل الاتّصال به</w:t>
      </w:r>
      <w:r>
        <w:rPr>
          <w:rStyle w:val="FootnoteAnchor"/>
          <w:rtl w:val="true"/>
        </w:rPr>
        <w:footnoteReference w:id="251"/>
      </w:r>
      <w:r>
        <w:rPr>
          <w:rFonts w:ascii="Amiri" w:hAnsi="Amiri" w:eastAsia="Amiri" w:cs="Amiri"/>
          <w:color w:val="111111"/>
          <w:sz w:val="28"/>
          <w:sz w:val="28"/>
          <w:szCs w:val="28"/>
          <w:rtl w:val="true"/>
          <w:lang w:bidi="ar-SA"/>
        </w:rPr>
        <w:t>والانضمام معه،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p>
    <w:p>
      <w:pPr>
        <w:pStyle w:val="BookText"/>
        <w:rPr/>
      </w:pPr>
      <w:r>
        <w:rPr>
          <w:rFonts w:ascii="Amiri" w:hAnsi="Amiri" w:eastAsia="Amiri" w:cs="Amiri"/>
          <w:color w:val="111111"/>
          <w:sz w:val="28"/>
          <w:sz w:val="28"/>
          <w:szCs w:val="28"/>
          <w:rtl w:val="true"/>
          <w:lang w:bidi="ar-SA"/>
        </w:rPr>
        <w:t>يرجو في مجاورة الإمام الاستخلاص من العقاب والتوصّل إلى الآمال والثواب، وكما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البيت بيت فلان؛ لأنّه في مجاورة النهر والمسجد والحمّام والسوق، مع أنّه لم يتّصل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سبيل الاتّصال، لكن لا على حدّ الغلبة أو الدوام</w:t>
      </w:r>
      <w:r>
        <w:rPr>
          <w:rStyle w:val="FootnoteAnchor"/>
          <w:rtl w:val="true"/>
        </w:rPr>
        <w:footnoteReference w:id="252"/>
      </w:r>
      <w:r>
        <w:rPr>
          <w:rFonts w:ascii="Amiri" w:hAnsi="Amiri" w:eastAsia="Amiri" w:cs="Amiri"/>
          <w:color w:val="111111"/>
          <w:sz w:val="28"/>
          <w:sz w:val="28"/>
          <w:szCs w:val="28"/>
          <w:rtl w:val="true"/>
          <w:lang w:bidi="ar-SA"/>
        </w:rPr>
        <w:t>بحيث أن يكون</w:t>
      </w:r>
      <w:r>
        <w:rPr>
          <w:rStyle w:val="FootnoteAnchor"/>
          <w:rtl w:val="true"/>
        </w:rPr>
        <w:footnoteReference w:id="253"/>
      </w:r>
      <w:r>
        <w:rPr>
          <w:rFonts w:ascii="Amiri" w:hAnsi="Amiri" w:eastAsia="Amiri" w:cs="Amiri"/>
          <w:color w:val="111111"/>
          <w:sz w:val="28"/>
          <w:sz w:val="28"/>
          <w:szCs w:val="28"/>
          <w:rtl w:val="true"/>
          <w:lang w:bidi="ar-SA"/>
        </w:rPr>
        <w:t>ملحوظة في الأنظار ومعهودة في الأوهام، كالشبكة والصيد وغيرهما ممّا ينتظم بهذا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الاتّصال على سبيل الشيوع أو الدوام، لكن بحيث أن لا يكون ذلك معهودًا في الأنظار ومركوزًا في الخاطر والخيال، كالبيوت المتّصلة بالمساجد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الاتّصال على النهج المذكور، لكن بحيث يكون ذلك معهودًا في الأنظار ومركوزًا في الخاطر والخيال وملحوظًا ومعمولًا بين الناس، حتّى لو استعمل اللفظ في معناه الموضوع له ينتقل الذهن إلى مجاوره، أو يقرب من ذلك، كالمياه بالنسبة إلى الأنهار والميزاب والعيون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والمصحّح للاستعمال هو القسم الرابع، فلو كان شيء مجاورًا لآخر على النحو المذكور يجوز استعمال لفظه فيه،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الميزاب وجرت الأنهار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مَوَازِينُهُ</w:t>
      </w:r>
      <w:r>
        <w:rPr>
          <w:rStyle w:val="FootnoteAnchor"/>
          <w:rtl w:val="true"/>
        </w:rPr>
        <w:footnoteReference w:id="254"/>
      </w:r>
      <w:r>
        <w:rPr>
          <w:rFonts w:ascii="Amiri" w:hAnsi="Amiri" w:eastAsia="Amiri" w:cs="Amiri"/>
          <w:color w:val="111111"/>
          <w:sz w:val="28"/>
          <w:sz w:val="28"/>
          <w:szCs w:val="28"/>
          <w:rtl w:val="true"/>
          <w:lang w:bidi="ar-SA"/>
        </w:rPr>
        <w:t xml:space="preserve">، بناءً على أنّه جمع للميزان </w:t>
      </w:r>
    </w:p>
    <w:p>
      <w:pPr>
        <w:pStyle w:val="BookText"/>
        <w:rPr/>
      </w:pP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يوزن به، والمراد منه في المقام الموزون، ومثله الكلام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مَوَازِينُهُ</w:t>
      </w:r>
      <w:r>
        <w:rPr>
          <w:rStyle w:val="FootnoteAnchor"/>
          <w:rtl w:val="true"/>
        </w:rPr>
        <w:footnoteReference w:id="255"/>
      </w:r>
      <w:r>
        <w:rPr>
          <w:rFonts w:ascii="Amiri" w:hAnsi="Amiri" w:eastAsia="Amiri" w:cs="Amiri"/>
          <w:color w:val="111111"/>
          <w:sz w:val="28"/>
          <w:sz w:val="28"/>
          <w:szCs w:val="28"/>
          <w:rtl w:val="true"/>
          <w:lang w:bidi="ar-SA"/>
        </w:rPr>
        <w:t>، وكذا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w:t>
      </w:r>
      <w:r>
        <w:rPr>
          <w:rStyle w:val="FootnoteAnchor"/>
          <w:rtl w:val="true"/>
        </w:rPr>
        <w:footnoteReference w:id="25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يشرب منه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الأقسام الأُوَل فلا يتصحّح بها الاستعمال؛ لما تقدّم مرارًا من توقيفيّة أمر اللغات، وأنّ التصرّف في الأمور التوقيفيّة لا يجوز إلّا على</w:t>
      </w:r>
      <w:r>
        <w:rPr>
          <w:rStyle w:val="FootnoteAnchor"/>
          <w:rtl w:val="true"/>
        </w:rPr>
        <w:footnoteReference w:id="258"/>
      </w:r>
      <w:r>
        <w:rPr>
          <w:rFonts w:ascii="Amiri" w:hAnsi="Amiri" w:eastAsia="Amiri" w:cs="Amiri"/>
          <w:color w:val="111111"/>
          <w:sz w:val="28"/>
          <w:sz w:val="28"/>
          <w:szCs w:val="28"/>
          <w:rtl w:val="true"/>
          <w:lang w:bidi="ar-SA"/>
        </w:rPr>
        <w:t>ما ثبت فيه الرخصة، وأنّ استعمال اللفظ في غير الموضوع له مخالف للأصل، واللازم فيما خالف الأصل الاقتصار على القدر المتيقّن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المقصود من الاستعمال انتقال السامع إلى المراد، فلو كان المستعمل فيه معناه الموضوع له يتحصّل الغاية للعلم بالوضع، وكذا إذا كان الشيء مجاورًا مع كون المجاورة على النحو الّذي مرّت إليه الإشارة؛ لوجود القرينة الصارفة عن المعنى الموضوع له، فينتقل الذهن إلى مجاوره، وأمّا إذا لم يكن الأمر كذلك، فليس فيه الأمن من انتفاء الغاية، فتأمّل</w:t>
      </w:r>
      <w:r>
        <w:rPr>
          <w:rFonts w:eastAsia="Amiri" w:cs="Amiri" w:ascii="Amiri" w:hAnsi="Amiri"/>
          <w:color w:val="111111"/>
          <w:sz w:val="28"/>
          <w:szCs w:val="28"/>
          <w:rtl w:val="true"/>
          <w:lang w:bidi="ar-SA"/>
        </w:rPr>
        <w:t xml:space="preserve">. </w:t>
      </w:r>
      <w:bookmarkStart w:id="357" w:name="pg16214_221593"/>
    </w:p>
    <w:p>
      <w:pPr>
        <w:pStyle w:val="Heading5"/>
        <w:numPr>
          <w:ilvl w:val="4"/>
          <w:numId w:val="1"/>
        </w:numPr>
        <w:rPr/>
      </w:pPr>
      <w:bookmarkStart w:id="358" w:name="__RefHeading___Toc3519837_1280447820"/>
      <w:bookmarkStart w:id="359" w:name="_Toc137"/>
      <w:bookmarkEnd w:id="357"/>
      <w:bookmarkEnd w:id="358"/>
      <w:r>
        <w:rPr>
          <w:rtl w:val="true"/>
        </w:rPr>
        <w:t>الكلام في اندراج هذه العلاقة تحت حدّها المتقدّم</w:t>
      </w:r>
      <w:bookmarkEnd w:id="359"/>
    </w:p>
    <w:p>
      <w:pPr>
        <w:pStyle w:val="BookText"/>
        <w:rPr/>
      </w:pPr>
      <w:r>
        <w:rPr>
          <w:rFonts w:ascii="Amiri" w:hAnsi="Amiri" w:eastAsia="Amiri" w:cs="Amiri"/>
          <w:color w:val="111111"/>
          <w:sz w:val="28"/>
          <w:sz w:val="28"/>
          <w:szCs w:val="28"/>
          <w:rtl w:val="true"/>
          <w:lang w:bidi="ar-SA"/>
        </w:rPr>
        <w:t>بقي الكلام في اندراج هذه العلاقة تحت حدّها المتقدّم،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ذلك، سواء أُبقي على ظاهره، أو يحمل</w:t>
      </w:r>
      <w:r>
        <w:rPr>
          <w:rStyle w:val="FootnoteAnchor"/>
          <w:rtl w:val="true"/>
        </w:rPr>
        <w:footnoteReference w:id="259"/>
      </w:r>
      <w:r>
        <w:rPr>
          <w:rFonts w:ascii="IRNazanin" w:hAnsi="IRNazanin" w:eastAsia="IRNazanin"/>
          <w:color w:val="111111"/>
          <w:sz w:val="28"/>
          <w:sz w:val="28"/>
          <w:szCs w:val="28"/>
          <w:rtl w:val="true"/>
          <w:lang w:bidi="fa-IR"/>
        </w:rPr>
        <w:t>على خلافه على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على التقديرين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انتقاض عكس الحدّ بخروج كثير من أنواع العلاقات المعتبرة على ما مرّت إليه الإشارة، وطرده بدخول القسم الثاني والثالث من الأقسام المذكورة للمجاورة، 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عكس الحدّ وإن كان سالمًا، لكن طرده منقوض بجميع الأقسام الثلاثة الأُوَل للمجاورة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نختار الثاني وندفع انتقاض الطرد، إمّا على نحو تقدّمت إليه الإشارة،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بالمستعمل فيه المأخوذ في الحدّ المذكور هو ما كان مستعملًا فيه من أهل اللغة،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المتتبّع فيها، ولا شبهة أنّ الموارد الّتي من أقسام المجاورة مقصورة في القسم الرابع منها</w:t>
      </w:r>
      <w:r>
        <w:rPr>
          <w:rStyle w:val="FootnoteAnchor"/>
          <w:rtl w:val="true"/>
        </w:rPr>
        <w:footnoteReference w:id="260"/>
      </w:r>
      <w:r>
        <w:rPr>
          <w:rFonts w:ascii="Amiri" w:hAnsi="Amiri" w:eastAsia="Amiri" w:cs="Amiri"/>
          <w:color w:val="111111"/>
          <w:sz w:val="28"/>
          <w:sz w:val="28"/>
          <w:szCs w:val="28"/>
          <w:rtl w:val="true"/>
          <w:lang w:bidi="ar-SA"/>
        </w:rPr>
        <w:t>على ما مرّت في الأمثلة</w:t>
      </w:r>
      <w:r>
        <w:rPr>
          <w:rStyle w:val="FootnoteAnchor"/>
          <w:rtl w:val="true"/>
        </w:rPr>
        <w:footnoteReference w:id="261"/>
      </w:r>
      <w:r>
        <w:rPr>
          <w:rFonts w:ascii="Amiri" w:hAnsi="Amiri" w:eastAsia="Amiri" w:cs="Amiri"/>
          <w:color w:val="111111"/>
          <w:sz w:val="28"/>
          <w:sz w:val="28"/>
          <w:szCs w:val="28"/>
          <w:rtl w:val="true"/>
          <w:lang w:bidi="ar-SA"/>
        </w:rPr>
        <w:t>المذكورة، وأمّا الأقسام الثلاثة الأُوَل فهي وإن كانت أقسامًا لمطلق المجاورة، لكنّها ليست ممّا علم الاستعمال من أهل اللغة لأجلها، فتأمّل</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3519839_1280447820"/>
      <w:bookmarkStart w:id="361" w:name="_Toc138"/>
      <w:bookmarkEnd w:id="360"/>
      <w:r>
        <w:rPr>
          <w:rtl w:val="true"/>
        </w:rPr>
        <w:t>النوع السابع والثامن من العلاقة</w:t>
      </w:r>
      <w:r>
        <w:rPr>
          <w:rtl w:val="true"/>
        </w:rPr>
        <w:t xml:space="preserve">: </w:t>
      </w:r>
      <w:r>
        <w:rPr>
          <w:rtl w:val="true"/>
        </w:rPr>
        <w:t>الحالّيّة والمحلّيّة</w:t>
      </w:r>
      <w:bookmarkEnd w:id="361"/>
    </w:p>
    <w:p>
      <w:pPr>
        <w:pStyle w:val="Heading5"/>
        <w:numPr>
          <w:ilvl w:val="4"/>
          <w:numId w:val="1"/>
        </w:numPr>
        <w:rPr/>
      </w:pPr>
      <w:bookmarkStart w:id="362" w:name="__RefHeading___Toc3519841_1280447820"/>
      <w:bookmarkStart w:id="363" w:name="_Toc139"/>
      <w:bookmarkEnd w:id="362"/>
      <w:r>
        <w:rPr>
          <w:rtl w:val="true"/>
        </w:rPr>
        <w:t>اشارة</w:t>
      </w:r>
      <w:bookmarkEnd w:id="36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الحالّيّة والمحلّيّة، فيجوز إطلاق اسم المحلّ على </w:t>
      </w:r>
      <w:bookmarkStart w:id="364" w:name="pg16214_221594"/>
    </w:p>
    <w:p>
      <w:pPr>
        <w:pStyle w:val="BookText"/>
        <w:rPr/>
      </w:pPr>
      <w:bookmarkEnd w:id="364"/>
      <w:r>
        <w:rPr>
          <w:rFonts w:ascii="Amiri" w:hAnsi="Amiri" w:eastAsia="Amiri" w:cs="Amiri"/>
          <w:color w:val="111111"/>
          <w:sz w:val="28"/>
          <w:sz w:val="28"/>
          <w:szCs w:val="28"/>
          <w:rtl w:val="true"/>
          <w:lang w:bidi="ar-SA"/>
        </w:rPr>
        <w:t>الحالّ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اشتهر التمثيل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 نَادِيَهُ</w:t>
      </w:r>
      <w:r>
        <w:rPr>
          <w:rStyle w:val="FootnoteAnchor"/>
          <w:rtl w:val="true"/>
        </w:rPr>
        <w:footnoteReference w:id="262"/>
      </w:r>
      <w:r>
        <w:rPr>
          <w:rFonts w:ascii="Amiri" w:hAnsi="Amiri" w:eastAsia="Amiri" w:cs="Amiri"/>
          <w:color w:val="111111"/>
          <w:sz w:val="28"/>
          <w:sz w:val="28"/>
          <w:szCs w:val="28"/>
          <w:rtl w:val="true"/>
          <w:lang w:bidi="ar-SA"/>
        </w:rPr>
        <w:t>، إذ النادي عبارة عن المجلس، والمراد به في الآية الشريفة أهله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جعل منه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الْقَرْيَةَ</w:t>
      </w:r>
      <w:r>
        <w:rPr>
          <w:rStyle w:val="FootnoteAnchor"/>
          <w:rtl w:val="true"/>
        </w:rPr>
        <w:footnoteReference w:id="263"/>
      </w:r>
      <w:r>
        <w:rPr>
          <w:rFonts w:ascii="Amiri" w:hAnsi="Amiri" w:eastAsia="Amiri" w:cs="Amiri"/>
          <w:color w:val="111111"/>
          <w:sz w:val="28"/>
          <w:sz w:val="28"/>
          <w:szCs w:val="28"/>
          <w:rtl w:val="true"/>
          <w:lang w:bidi="ar-SA"/>
        </w:rPr>
        <w:t>، إذ المراد بالقرية أهلها الحالّ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قَرْيَةٍ أَهْلَكْنَاهَا فَجَاءَهَا بَأْسُنَا بَيَاتًا أَوْ هُمْ قَائِلُونَ</w:t>
      </w:r>
      <w:r>
        <w:rPr>
          <w:rStyle w:val="FootnoteAnchor"/>
          <w:rtl w:val="true"/>
        </w:rPr>
        <w:footnoteReference w:id="264"/>
      </w:r>
      <w:r>
        <w:rPr>
          <w:rFonts w:ascii="Amiri" w:hAnsi="Amiri" w:eastAsia="Amiri" w:cs="Amiri"/>
          <w:color w:val="111111"/>
          <w:sz w:val="28"/>
          <w:sz w:val="28"/>
          <w:szCs w:val="28"/>
          <w:rtl w:val="true"/>
          <w:lang w:bidi="ar-SA"/>
        </w:rPr>
        <w:t>، إذ المهلك والمجيء عليهم العذاب أهل القرية، لا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اشتهر التمثيل له أيضًا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ابْيَضَّتْ وُجُوهُهُمْ فَفِي رَحْمَةِ الله</w:t>
      </w:r>
      <w:r>
        <w:rPr>
          <w:rStyle w:val="FootnoteAnchor"/>
          <w:rtl w:val="true"/>
        </w:rPr>
        <w:footnoteReference w:id="265"/>
      </w:r>
      <w:r>
        <w:rPr>
          <w:rFonts w:ascii="Amiri" w:hAnsi="Amiri" w:eastAsia="Amiri" w:cs="Amiri"/>
          <w:color w:val="111111"/>
          <w:sz w:val="28"/>
          <w:sz w:val="28"/>
          <w:szCs w:val="28"/>
          <w:rtl w:val="true"/>
          <w:lang w:bidi="ar-SA"/>
        </w:rPr>
        <w:t>، إذ المراد بها الجنّة الّتي تحلّ فيها الرحمة</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3519843_1280447820"/>
      <w:bookmarkStart w:id="366" w:name="_Toc140"/>
      <w:bookmarkEnd w:id="365"/>
      <w:r>
        <w:rPr>
          <w:rtl w:val="true"/>
        </w:rPr>
        <w:t>تحقيق المقام يستدعي بيان أمور</w:t>
      </w:r>
      <w:bookmarkEnd w:id="366"/>
    </w:p>
    <w:p>
      <w:pPr>
        <w:pStyle w:val="Heading6"/>
        <w:numPr>
          <w:ilvl w:val="5"/>
          <w:numId w:val="1"/>
        </w:numPr>
        <w:rPr/>
      </w:pPr>
      <w:bookmarkStart w:id="367" w:name="__RefHeading___Toc3519845_1280447820"/>
      <w:bookmarkStart w:id="368" w:name="_Toc141"/>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تحقيق المقام وتنقيح المرام يقتضي التكلّم في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الحلول وتقسيمه إلى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المصحّح في المجازيّة هل هو قسم واحد منهما، أو هما معًا؟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الحالّ والمحلّ، فبين</w:t>
      </w:r>
      <w:r>
        <w:rPr>
          <w:rStyle w:val="FootnoteAnchor"/>
          <w:rtl w:val="true"/>
        </w:rPr>
        <w:footnoteReference w:id="266"/>
      </w:r>
      <w:r>
        <w:rPr>
          <w:rFonts w:ascii="Amiri" w:hAnsi="Amiri" w:eastAsia="Amiri" w:cs="Amiri"/>
          <w:color w:val="111111"/>
          <w:sz w:val="28"/>
          <w:sz w:val="28"/>
          <w:szCs w:val="28"/>
          <w:rtl w:val="true"/>
          <w:lang w:bidi="ar-SA"/>
        </w:rPr>
        <w:t xml:space="preserve">الجزئيّة والكلّيّة، والظرفيّة </w:t>
      </w:r>
      <w:bookmarkStart w:id="369" w:name="pg16214_221595"/>
    </w:p>
    <w:p>
      <w:pPr>
        <w:pStyle w:val="BookText"/>
        <w:rPr/>
      </w:pPr>
      <w:bookmarkEnd w:id="369"/>
      <w:r>
        <w:rPr>
          <w:rFonts w:ascii="Amiri" w:hAnsi="Amiri" w:eastAsia="Amiri" w:cs="Amiri"/>
          <w:color w:val="111111"/>
          <w:sz w:val="28"/>
          <w:sz w:val="28"/>
          <w:szCs w:val="28"/>
          <w:rtl w:val="true"/>
          <w:lang w:bidi="ar-SA"/>
        </w:rPr>
        <w:t>والمظروفيّة، وبينهما وبين المجاورة؛ والتنبيه على عدم صحّة التمثيل بالآيات المذكورة لما نحن فيه</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3519847_1280447820"/>
      <w:bookmarkStart w:id="371" w:name="_Toc142"/>
      <w:bookmarkEnd w:id="370"/>
      <w:r>
        <w:rPr>
          <w:rtl w:val="true"/>
        </w:rPr>
        <w:t>الأمر الأوّل</w:t>
      </w:r>
      <w:r>
        <w:rPr>
          <w:rtl w:val="true"/>
        </w:rPr>
        <w:t xml:space="preserve">: </w:t>
      </w:r>
      <w:r>
        <w:rPr>
          <w:rtl w:val="true"/>
        </w:rPr>
        <w:t>في معنى الحلول وتقسيمه إلى القسمين</w:t>
      </w:r>
      <w:bookmarkEnd w:id="371"/>
    </w:p>
    <w:p>
      <w:pPr>
        <w:pStyle w:val="Heading6"/>
        <w:numPr>
          <w:ilvl w:val="5"/>
          <w:numId w:val="1"/>
        </w:numPr>
        <w:rPr/>
      </w:pPr>
      <w:bookmarkStart w:id="372" w:name="__RefHeading___Toc3519849_1280447820"/>
      <w:bookmarkStart w:id="373" w:name="_Toc143"/>
      <w:bookmarkEnd w:id="372"/>
      <w:r>
        <w:rPr>
          <w:rtl w:val="true"/>
        </w:rPr>
        <w:t>اشارة</w:t>
      </w:r>
      <w:bookmarkEnd w:id="373"/>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مقالة أرباب العقول في ذلك،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الحلول اختصاص شيء بشيء بحيث تكون الإشارة إلى أحدهما عين الإشارة إلى الآخر، كالبياض في الجسم مثلًا، فإنّ الإشارة إليه عين الإشارة إلى الجسم وبالعكس، وكذا الكلام في السواد والحمرة والخضرة والزرقة، فإنّ الإشارة إليها عين الإشارة إلى ما كانت فيها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أورد عليه</w:t>
      </w:r>
      <w:r>
        <w:rPr>
          <w:rStyle w:val="FootnoteAnchor"/>
          <w:rtl w:val="true"/>
        </w:rPr>
        <w:footnoteReference w:id="268"/>
      </w:r>
      <w:r>
        <w:rPr>
          <w:rFonts w:ascii="Amiri" w:hAnsi="Amiri" w:eastAsia="Amiri" w:cs="Amiri"/>
          <w:color w:val="111111"/>
          <w:sz w:val="28"/>
          <w:sz w:val="28"/>
          <w:szCs w:val="28"/>
          <w:rtl w:val="true"/>
          <w:lang w:bidi="ar-SA"/>
        </w:rPr>
        <w:t>بانتقاض عكس الحدّ بخروج الصور العلميّة الحالّة في محالّها والأصوات الحالّة في الهواء، وكذلك الأطراف، فإنّ النقطة حالّة في الخطّ والخطّ في السطح، فإنّ الإشارة المأخوذ في الحدّ إمّا عقليّة، أو حسّيّة، لا سبيل إلى الأوّل؛ لوضوح حكم العقل بالمغايرة بين كلّ حال ومحلّ</w:t>
      </w:r>
      <w:r>
        <w:rPr>
          <w:rStyle w:val="FootnoteAnchor"/>
          <w:rtl w:val="true"/>
        </w:rPr>
        <w:footnoteReference w:id="269"/>
      </w:r>
      <w:r>
        <w:rPr>
          <w:rFonts w:ascii="Amiri" w:hAnsi="Amiri" w:eastAsia="Amiri" w:cs="Amiri"/>
          <w:color w:val="111111"/>
          <w:sz w:val="28"/>
          <w:sz w:val="28"/>
          <w:szCs w:val="28"/>
          <w:rtl w:val="true"/>
          <w:lang w:bidi="ar-SA"/>
        </w:rPr>
        <w:t>، فلا تكون الإشارة العقليّة بالنسبة إلى أيّ حال كان عين</w:t>
      </w:r>
      <w:r>
        <w:rPr>
          <w:rStyle w:val="FootnoteAnchor"/>
          <w:rtl w:val="true"/>
        </w:rPr>
        <w:footnoteReference w:id="270"/>
      </w:r>
      <w:r>
        <w:rPr>
          <w:rFonts w:ascii="Amiri" w:hAnsi="Amiri" w:eastAsia="Amiri" w:cs="Amiri"/>
          <w:color w:val="111111"/>
          <w:sz w:val="28"/>
          <w:sz w:val="28"/>
          <w:szCs w:val="28"/>
          <w:rtl w:val="true"/>
          <w:lang w:bidi="ar-SA"/>
        </w:rPr>
        <w:t>الإشارة إلى محلّه وبالعكس، فتعيّن الثاني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خروج الصور العلميّة؛ فلأنّها ليست ممّا تقبل الإشارة الحسّيّة كما لا يخفى، وكذلك الكلام بالنسبة إلى الأصوات، وأمّا خروج الأطراف؛ </w:t>
      </w:r>
    </w:p>
    <w:p>
      <w:pPr>
        <w:pStyle w:val="BookText"/>
        <w:rPr/>
      </w:pPr>
      <w:r>
        <w:rPr>
          <w:rFonts w:ascii="Amiri" w:hAnsi="Amiri" w:eastAsia="Amiri" w:cs="Amiri"/>
          <w:color w:val="111111"/>
          <w:sz w:val="28"/>
          <w:sz w:val="28"/>
          <w:szCs w:val="28"/>
          <w:rtl w:val="true"/>
          <w:lang w:bidi="ar-SA"/>
        </w:rPr>
        <w:t>فلأنّها وإن كانت ممّا تقبل الإشارة الحسّيّة، لكنّ الإشارة إلى الخطّ ليست عين الإشارة إلى النقطة ولا بالعكس؛ وكذا الكلام بالنسبة إلى الخطّ والسطح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وبانتقاض طرده بحصول الجسم في المكان وبالسرعة بالنسبة إلى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المكان إمّا عبارة عن البعد</w:t>
      </w:r>
      <w:r>
        <w:rPr>
          <w:rStyle w:val="FootnoteAnchor"/>
          <w:rtl w:val="true"/>
        </w:rPr>
        <w:footnoteReference w:id="271"/>
      </w:r>
      <w:r>
        <w:rPr>
          <w:rFonts w:ascii="Amiri" w:hAnsi="Amiri" w:eastAsia="Amiri" w:cs="Amiri"/>
          <w:color w:val="111111"/>
          <w:sz w:val="28"/>
          <w:sz w:val="28"/>
          <w:szCs w:val="28"/>
          <w:rtl w:val="true"/>
          <w:lang w:bidi="ar-SA"/>
        </w:rPr>
        <w:t>، أو السطح المحويّ من الجسم الحاوي المماسّ للسطح الظاهر من الجسم المحويّ، وعلى الأوّل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 عليه ظاهرٌ، وعلى الثاني؛ لأنّ الإشارة إلى الجسم إشارة إلى سطحه وبالعكس، والإشارة إلى سطحه إشارة إلى السطح الّذي هو مكانه؛ لانطباقه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السرعة تكون في الجسم بحيث تكون الإشارة إلى أحدهما عين الإشارة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الانتقاض بالصور العلميّة والأصوات</w:t>
      </w:r>
      <w:r>
        <w:rPr>
          <w:rStyle w:val="FootnoteAnchor"/>
          <w:rtl w:val="true"/>
        </w:rPr>
        <w:footnoteReference w:id="272"/>
      </w:r>
      <w:r>
        <w:rPr>
          <w:rFonts w:ascii="Amiri" w:hAnsi="Amiri" w:eastAsia="Amiri" w:cs="Amiri"/>
          <w:color w:val="111111"/>
          <w:sz w:val="28"/>
          <w:sz w:val="28"/>
          <w:szCs w:val="28"/>
          <w:rtl w:val="true"/>
          <w:lang w:bidi="ar-SA"/>
        </w:rPr>
        <w:t>، فبأنّ الإشارة الحسّيّة أعمّ من أن تكون تحقيقيّة أو تقديريّة، بمعنى أنّه لو كان الشيء مشارًا إليه بالإشارة الحسّيّة، لكانت الإشارة إليه عين الإشارة إلى الآخر،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الصوت لو كان مشارًا إليه بالإشارة الحسّيّة، لكان الإشارة إليه عين الإشارة إلى محلّه وبالعكس، وأنّ الصور العلميّة حالّة في النفس، فلو كان شيء منهما قابلًا للإشارة الحسّيّة، لكان الأمر فيه على ما ذكر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الانتقاض بالأطراف، فبعدم تسليم عدم صدق الحدّ عليها؛ لأنّ الإشارة إلى الخطّ مثلًا قد تكون بخروج النقطة الموهومة من البصر نحو المشار إليه </w:t>
      </w:r>
    </w:p>
    <w:p>
      <w:pPr>
        <w:pStyle w:val="BookText"/>
        <w:rPr/>
      </w:pPr>
      <w:r>
        <w:rPr>
          <w:rFonts w:ascii="Amiri" w:hAnsi="Amiri" w:eastAsia="Amiri" w:cs="Amiri"/>
          <w:color w:val="111111"/>
          <w:sz w:val="28"/>
          <w:sz w:val="28"/>
          <w:szCs w:val="28"/>
          <w:rtl w:val="true"/>
          <w:lang w:bidi="ar-SA"/>
        </w:rPr>
        <w:t>المرتسمة لخطّ موهوم ممتدّ بامتداد المسافة الواقعة بين المشير والمشار إليه، وينتهي طرفه على نقطة منه</w:t>
      </w:r>
      <w:r>
        <w:rPr>
          <w:rStyle w:val="FootnoteAnchor"/>
          <w:rtl w:val="true"/>
        </w:rPr>
        <w:footnoteReference w:id="273"/>
      </w:r>
      <w:r>
        <w:rPr>
          <w:rFonts w:ascii="Amiri" w:hAnsi="Amiri" w:eastAsia="Amiri" w:cs="Amiri"/>
          <w:color w:val="111111"/>
          <w:sz w:val="28"/>
          <w:sz w:val="28"/>
          <w:szCs w:val="28"/>
          <w:rtl w:val="true"/>
          <w:lang w:bidi="ar-SA"/>
        </w:rPr>
        <w:t>، فحينئذٍ تكون الإشارة إلى الخطّ عين الإشارة إلى النقطة، وقد يكون بخروج الخطّ الموهوم المرتسم للسطح الموهوم المنطبق طرفه الّذي هو الخطّ على الخطّ المشار إليه، فحينئذٍ تكون</w:t>
      </w:r>
      <w:r>
        <w:rPr>
          <w:rStyle w:val="FootnoteAnchor"/>
          <w:rtl w:val="true"/>
        </w:rPr>
        <w:footnoteReference w:id="274"/>
      </w:r>
      <w:r>
        <w:rPr>
          <w:rFonts w:ascii="Amiri" w:hAnsi="Amiri" w:eastAsia="Amiri" w:cs="Amiri"/>
          <w:color w:val="111111"/>
          <w:sz w:val="28"/>
          <w:sz w:val="28"/>
          <w:szCs w:val="28"/>
          <w:rtl w:val="true"/>
          <w:lang w:bidi="ar-SA"/>
        </w:rPr>
        <w:t>الإشارة إلى الخطّ عين الإشارة إلى النقطة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بالنسبة إلى الخطّ والسطح، فإنّ الإشارة إلى السطح قد تكون بامتداد خطّيّ واقعًا طرفه على نقطة منه، وقد يكون بامتداد سطحيّ ينطبق طرفه على خطّ منه، وقد يكون بامتداد جسميّ ينطبق السطح الّذي هو طرفه عليه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لأنّ ما ذكر إنّما يقتضي أن تكون الإشارة إلى النقطة عين الإشارة إلى الخطّ وبالعكس إذا كانت الإشارة إلى الخطّ بالنحو الثاني، وأمّا إذا كانت بالنحو الأوّل فلا؛ لوضوح أنّه يمكن الإشارة حينئذٍ بحيث لم يقع طرف الخطّ الموهوم على أحد طرفيه الّذي</w:t>
      </w:r>
      <w:r>
        <w:rPr>
          <w:rStyle w:val="FootnoteAnchor"/>
          <w:rtl w:val="true"/>
        </w:rPr>
        <w:footnoteReference w:id="275"/>
      </w:r>
      <w:r>
        <w:rPr>
          <w:rFonts w:ascii="Amiri" w:hAnsi="Amiri" w:eastAsia="Amiri" w:cs="Amiri"/>
          <w:color w:val="111111"/>
          <w:sz w:val="28"/>
          <w:sz w:val="28"/>
          <w:szCs w:val="28"/>
          <w:rtl w:val="true"/>
          <w:lang w:bidi="ar-SA"/>
        </w:rPr>
        <w:t>يكون الكلام فيهما</w:t>
      </w:r>
      <w:r>
        <w:rPr>
          <w:rStyle w:val="FootnoteAnchor"/>
          <w:rtl w:val="true"/>
        </w:rPr>
        <w:footnoteReference w:id="276"/>
      </w:r>
      <w:r>
        <w:rPr>
          <w:rFonts w:ascii="Amiri" w:hAnsi="Amiri" w:eastAsia="Amiri" w:cs="Amiri"/>
          <w:color w:val="111111"/>
          <w:sz w:val="28"/>
          <w:sz w:val="28"/>
          <w:szCs w:val="28"/>
          <w:rtl w:val="true"/>
          <w:lang w:bidi="ar-SA"/>
        </w:rPr>
        <w:t>، فحينئذٍ قد تحقّقت الإشارة إلى الخطّ دون الإشارة إلى تلك النقطتين اللّتين أورد الاعتراض</w:t>
      </w:r>
      <w:r>
        <w:rPr>
          <w:rStyle w:val="FootnoteAnchor"/>
          <w:rtl w:val="true"/>
        </w:rPr>
        <w:footnoteReference w:id="277"/>
      </w:r>
      <w:r>
        <w:rPr>
          <w:rFonts w:ascii="Amiri" w:hAnsi="Amiri" w:eastAsia="Amiri" w:cs="Amiri"/>
          <w:color w:val="111111"/>
          <w:sz w:val="28"/>
          <w:sz w:val="28"/>
          <w:szCs w:val="28"/>
          <w:rtl w:val="true"/>
          <w:lang w:bidi="ar-SA"/>
        </w:rPr>
        <w:t>بالنسبة إليهما وإن كانت إشارة</w:t>
      </w:r>
      <w:r>
        <w:rPr>
          <w:rStyle w:val="FootnoteAnchor"/>
          <w:rtl w:val="true"/>
        </w:rPr>
        <w:footnoteReference w:id="278"/>
      </w:r>
      <w:r>
        <w:rPr>
          <w:rFonts w:ascii="Amiri" w:hAnsi="Amiri" w:eastAsia="Amiri" w:cs="Amiri"/>
          <w:color w:val="111111"/>
          <w:sz w:val="28"/>
          <w:sz w:val="28"/>
          <w:szCs w:val="28"/>
          <w:rtl w:val="true"/>
          <w:lang w:bidi="ar-SA"/>
        </w:rPr>
        <w:t>إلى نقطة موهومة غيرهما</w:t>
      </w:r>
      <w:r>
        <w:rPr>
          <w:rFonts w:eastAsia="Amiri" w:cs="Amiri" w:ascii="Amiri" w:hAnsi="Amiri"/>
          <w:color w:val="111111"/>
          <w:sz w:val="28"/>
          <w:szCs w:val="28"/>
          <w:rtl w:val="true"/>
          <w:lang w:bidi="ar-SA"/>
        </w:rPr>
        <w:t xml:space="preserve">. </w:t>
      </w:r>
      <w:bookmarkStart w:id="374" w:name="pg16214_221598"/>
    </w:p>
    <w:p>
      <w:pPr>
        <w:pStyle w:val="BookText"/>
        <w:rPr/>
      </w:pPr>
      <w:bookmarkEnd w:id="374"/>
      <w:r>
        <w:rPr>
          <w:rFonts w:ascii="Amiri" w:hAnsi="Amiri" w:eastAsia="Amiri" w:cs="Amiri"/>
          <w:color w:val="111111"/>
          <w:sz w:val="28"/>
          <w:sz w:val="28"/>
          <w:szCs w:val="28"/>
          <w:rtl w:val="true"/>
          <w:lang w:bidi="ar-SA"/>
        </w:rPr>
        <w:t>وأيضًا قد تكون الإشارة إلى الخطّ بحيث ينطبق طرف ذلك الخطّ على إحدى النقطتين وليست إشارة إلى النقطة الأخرى، ففي الصورتين قد تحقّقت الإشارة إلى المحلّ مع انتفاء الإشارة إلى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السطح؛ فإنّ الإشارة إلى الخطّ وإن كانت إشارة إلى السطح على فرض التسليم، لكنّ الإشارة إلى السطح لا يلزم أن تكون إشارة إلى ذلك الخطّ؛ لجواز أن تتحقّق الإشارة إلى السطح بالإشارة إلى الخطّ الّذي في الطرف للآخر</w:t>
      </w:r>
      <w:r>
        <w:rPr>
          <w:rStyle w:val="FootnoteAnchor"/>
          <w:rtl w:val="true"/>
        </w:rPr>
        <w:footnoteReference w:id="279"/>
      </w:r>
      <w:r>
        <w:rPr>
          <w:rFonts w:ascii="Amiri" w:hAnsi="Amiri" w:eastAsia="Amiri" w:cs="Amiri"/>
          <w:color w:val="111111"/>
          <w:sz w:val="28"/>
          <w:sz w:val="28"/>
          <w:szCs w:val="28"/>
          <w:rtl w:val="true"/>
          <w:lang w:bidi="ar-SA"/>
        </w:rPr>
        <w:t>، فحينئذٍ تتحقّق الإشارة إلى المحلّ مع انفكاكها عن الحالّ</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3519851_1280447820"/>
      <w:bookmarkStart w:id="376" w:name="_Toc144"/>
      <w:bookmarkEnd w:id="375"/>
      <w:r>
        <w:rPr>
          <w:rtl w:val="true"/>
        </w:rPr>
        <w:t>الحلول على قسمين</w:t>
      </w:r>
      <w:bookmarkEnd w:id="376"/>
    </w:p>
    <w:p>
      <w:pPr>
        <w:pStyle w:val="BookText"/>
        <w:rPr/>
      </w:pPr>
      <w:r>
        <w:rPr>
          <w:rFonts w:ascii="Amiri" w:hAnsi="Amiri" w:eastAsia="Amiri" w:cs="Amiri"/>
          <w:color w:val="111111"/>
          <w:sz w:val="28"/>
          <w:sz w:val="28"/>
          <w:szCs w:val="28"/>
          <w:rtl w:val="true"/>
          <w:lang w:bidi="ar-SA"/>
        </w:rPr>
        <w:t>فالحقّ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الحلول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سريانيّ، وهو أن لا يكون شيء من أجزاء المحلّ فارقًا عن الحالّ بأن يكون بإزاء كلّ جزء منه جزء من الحالّ؛ وطريانيّ، وهو أن لا يكون الأمر فيه كذلك، والحدّ المذكور للقسم الأوّل منه، والحلول الّذي في الأطراف من القسم الثاني، فلا يضرّ عدم صدق الحدّ بالنسبة إليها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 الانتقاض بالطرد، فبعدم تسليم شمول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السرعة والجسم فظاهر؛ لأنّ السرعة غير قابلة للإشارة الحسّيّة، بل المشار إليه هو السريع، وعلى فرض التسليم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السرعة ليست وصفًا للجسم حقيقة وبالذات، بل وصف للحركة كذلك، وبواسطتها يتّصف الجسم بها، فلا يشمله اختصاص شيء بشيء؛ لأنّ المتبادر منه ما يكون من غير واسطة</w:t>
      </w:r>
      <w:r>
        <w:rPr>
          <w:rFonts w:eastAsia="Amiri" w:cs="Amiri" w:ascii="Amiri" w:hAnsi="Amiri"/>
          <w:color w:val="111111"/>
          <w:sz w:val="28"/>
          <w:szCs w:val="28"/>
          <w:rtl w:val="true"/>
          <w:lang w:bidi="ar-SA"/>
        </w:rPr>
        <w:t xml:space="preserve">. </w:t>
      </w:r>
      <w:bookmarkStart w:id="377" w:name="pg16214_221599"/>
    </w:p>
    <w:p>
      <w:pPr>
        <w:pStyle w:val="BookText"/>
        <w:rPr/>
      </w:pPr>
      <w:bookmarkEnd w:id="377"/>
      <w:r>
        <w:rPr>
          <w:rFonts w:ascii="Amiri" w:hAnsi="Amiri" w:eastAsia="Amiri" w:cs="Amiri"/>
          <w:color w:val="111111"/>
          <w:sz w:val="28"/>
          <w:sz w:val="28"/>
          <w:szCs w:val="28"/>
          <w:rtl w:val="true"/>
          <w:lang w:bidi="ar-SA"/>
        </w:rPr>
        <w:t>وأمّا بالنسبة إلى المكان؛ فلأنّ المراد من اختصاص شيء بشيء هو أن يكون الشيء الأوّل وصفًا للشيء الثاني، كالبياض بالنسبة إلى الجسم؛ وليس الجسم بالنسبة إلى المكان كذلك، وإلّا يلزم امتناع مفارقة الجسم عن المكان؛ لامتناع مفارقة الصفة عن الموصوف مع بقاء الصفة بحالها، نعم، يجوز زوال الصفة وانعدامها</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3519853_1280447820"/>
      <w:bookmarkStart w:id="379" w:name="_Toc145"/>
      <w:bookmarkEnd w:id="378"/>
      <w:r>
        <w:rPr>
          <w:rtl w:val="true"/>
        </w:rPr>
        <w:t>تعريف آخر للحلول</w:t>
      </w:r>
      <w:bookmarkEnd w:id="379"/>
    </w:p>
    <w:p>
      <w:pPr>
        <w:pStyle w:val="BookText"/>
        <w:rPr/>
      </w:pPr>
      <w:r>
        <w:rPr>
          <w:rFonts w:ascii="IRNazanin" w:hAnsi="IRNazanin" w:eastAsia="IRNazanin"/>
          <w:color w:val="111111"/>
          <w:sz w:val="28"/>
          <w:sz w:val="28"/>
          <w:szCs w:val="28"/>
          <w:rtl w:val="true"/>
          <w:lang w:bidi="fa-IR"/>
        </w:rPr>
        <w:t>وقال بعض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الحلول هو الاختصاص الناعت، أي التعلّق الخاصّ الّذي يصير به أحد المتعلّقين نعتًا للآخر والآخر منعوتًا به، والأوّل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المنعوت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المراد إمكان اشتقاق اسم من ذلك وجعله نعتًا للآخر كالبياض مثلًا، فإنّه يمكن أن يشتقّ منه أبيض،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الجسم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يرد على طرده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 إلّا أن يدفع ذلك بمثل ما تقدّم، فيرجع إلى التعريف الأوّل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قيل في تفسيره شيء آخر، إلّا أنّه يرجع في المآل إلى الأوّل أيضًا، فلا يحتاج إلى الذكر</w:t>
      </w:r>
      <w:r>
        <w:rPr>
          <w:rFonts w:eastAsia="Amiri" w:cs="Amiri" w:ascii="Amiri" w:hAnsi="Amiri"/>
          <w:color w:val="111111"/>
          <w:sz w:val="28"/>
          <w:szCs w:val="28"/>
          <w:rtl w:val="true"/>
          <w:lang w:bidi="ar-SA"/>
        </w:rPr>
        <w:t xml:space="preserve">. </w:t>
      </w:r>
      <w:bookmarkStart w:id="380" w:name="pg16214_221600"/>
    </w:p>
    <w:p>
      <w:pPr>
        <w:pStyle w:val="Heading6"/>
        <w:numPr>
          <w:ilvl w:val="5"/>
          <w:numId w:val="1"/>
        </w:numPr>
        <w:rPr/>
      </w:pPr>
      <w:bookmarkStart w:id="381" w:name="__RefHeading___Toc3519855_1280447820"/>
      <w:bookmarkStart w:id="382" w:name="_Toc146"/>
      <w:bookmarkEnd w:id="380"/>
      <w:bookmarkEnd w:id="381"/>
      <w:r>
        <w:rPr>
          <w:rtl w:val="true"/>
        </w:rPr>
        <w:t>الأمر الثاني</w:t>
      </w:r>
      <w:r>
        <w:rPr>
          <w:rtl w:val="true"/>
        </w:rPr>
        <w:t xml:space="preserve">: </w:t>
      </w:r>
      <w:r>
        <w:rPr>
          <w:rtl w:val="true"/>
        </w:rPr>
        <w:t>في أنّ المصحّح للتجوّز هو القسم الأوّل منهما فقط</w:t>
      </w:r>
      <w:bookmarkEnd w:id="382"/>
    </w:p>
    <w:p>
      <w:pPr>
        <w:pStyle w:val="BookText"/>
        <w:rPr/>
      </w:pPr>
      <w:r>
        <w:rPr>
          <w:rFonts w:ascii="Amiri" w:hAnsi="Amiri" w:eastAsia="Amiri" w:cs="Amiri"/>
          <w:color w:val="111111"/>
          <w:sz w:val="28"/>
          <w:sz w:val="28"/>
          <w:szCs w:val="28"/>
          <w:rtl w:val="true"/>
          <w:lang w:bidi="ar-SA"/>
        </w:rPr>
        <w:t>وأمّا الكلام في الأمر الثاني،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أنّ الحلول على قسمين، والظاهر أنّ المصحّح للتجوّز هو القسم الأوّل منهما، لا القسمان معًا، لما عرفت مرارًا أنّ أمر اللغات توقيفيّ، والتصرّف في الأمور التوقيفيّة إنّما يكون على وفق ما ثبت فيه الرخصة، والقدر الثابت فيما نحن فيه هو ما كان الحلول سريانيًّا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استعمال اللفظ في غير ما وضع له خلاف الأصل، واللازم فيما خالف الأصل الاقتصار على القدر المتيقّن</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3519857_1280447820"/>
      <w:bookmarkStart w:id="384" w:name="_Toc147"/>
      <w:bookmarkEnd w:id="383"/>
      <w:r>
        <w:rPr>
          <w:rtl w:val="true"/>
        </w:rPr>
        <w:t>الأمر الثالث</w:t>
      </w:r>
      <w:r>
        <w:rPr>
          <w:rtl w:val="true"/>
        </w:rPr>
        <w:t xml:space="preserve">: </w:t>
      </w:r>
      <w:r>
        <w:rPr>
          <w:rtl w:val="true"/>
        </w:rPr>
        <w:t>في الفرق بين الحالّ والمحلّ والكلّيّة والجزئيّة والظرف والمظروف والمجاورة</w:t>
      </w:r>
      <w:bookmarkEnd w:id="384"/>
    </w:p>
    <w:p>
      <w:pPr>
        <w:pStyle w:val="Heading6"/>
        <w:numPr>
          <w:ilvl w:val="5"/>
          <w:numId w:val="1"/>
        </w:numPr>
        <w:rPr/>
      </w:pPr>
      <w:bookmarkStart w:id="385" w:name="__RefHeading___Toc3519859_1280447820"/>
      <w:bookmarkStart w:id="386" w:name="_Toc148"/>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وأمّا الكلام في الأمر الثالث،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الحالّ والمحلّ وبين الكلّ والجزء من وجوه بعضها مطّرد بخلاف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الجزء هو الّذي له مدخل في قوام الكلّ، بخلاف الحالّ، فإنّ الأمر فيه ليس كذلك، والكلّ هو الّذي يتقوّم بالجزء وينتفي بانتفائه، بخلاف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الجزء هو الّذي له تقدّم بالطبع على الكلّ، وهو الّذي له تأخّر كذلك عن الجزء، بخلاف الحالّ والمحلّ، فإنّ الأمر فيهما متعاكس، إذ المحلّ له تقدّم على الحالّ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 على قسمين،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w:t>
      </w:r>
      <w:r>
        <w:rPr>
          <w:rStyle w:val="FootnoteAnchor"/>
          <w:rtl w:val="true"/>
        </w:rPr>
        <w:footnoteReference w:id="281"/>
      </w:r>
      <w:r>
        <w:rPr>
          <w:rFonts w:ascii="Amiri" w:hAnsi="Amiri" w:eastAsia="Amiri" w:cs="Amiri"/>
          <w:color w:val="111111"/>
          <w:sz w:val="28"/>
          <w:sz w:val="28"/>
          <w:szCs w:val="28"/>
          <w:rtl w:val="true"/>
          <w:lang w:bidi="ar-SA"/>
        </w:rPr>
        <w:t xml:space="preserve">أجزاؤه في الخارج على </w:t>
      </w:r>
      <w:bookmarkStart w:id="387" w:name="pg16214_221601"/>
    </w:p>
    <w:p>
      <w:pPr>
        <w:pStyle w:val="BookText"/>
        <w:rPr/>
      </w:pPr>
      <w:bookmarkEnd w:id="387"/>
      <w:r>
        <w:rPr>
          <w:rFonts w:ascii="Amiri" w:hAnsi="Amiri" w:eastAsia="Amiri" w:cs="Amiri"/>
          <w:color w:val="111111"/>
          <w:sz w:val="28"/>
          <w:sz w:val="28"/>
          <w:szCs w:val="28"/>
          <w:rtl w:val="true"/>
          <w:lang w:bidi="ar-SA"/>
        </w:rPr>
        <w:t>الانفراد، ثمّ بالاجتماع يتحصّل الكلّ؛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فيه كذلك، كالإنسان مثلًا، بأنّ الرقبة</w:t>
      </w:r>
      <w:r>
        <w:rPr>
          <w:rStyle w:val="FootnoteAnchor"/>
          <w:rtl w:val="true"/>
        </w:rPr>
        <w:footnoteReference w:id="282"/>
      </w:r>
      <w:r>
        <w:rPr>
          <w:rFonts w:ascii="Amiri" w:hAnsi="Amiri" w:eastAsia="Amiri" w:cs="Amiri"/>
          <w:color w:val="111111"/>
          <w:sz w:val="28"/>
          <w:sz w:val="28"/>
          <w:szCs w:val="28"/>
          <w:rtl w:val="true"/>
          <w:lang w:bidi="ar-SA"/>
        </w:rPr>
        <w:t>ليس لها تقدّمٌ عليه في الخارج</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والمحلّ أيضًا كذلك، إذ قد يكون للمحلّ وجود في الخارج منفردًا عن الحالّ، كالثياب المصبوغة مثلًا، وقد لا يكون كذلك، كالجسم الأبيض ونحوه، ولكن لمّا لوحظت جهة التوقّف والافتقار، حكم بتقدّم الجزء على الكلّ مطلقًا والمحلّ على الحالّ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الإشارة إلى الجزء ليست</w:t>
      </w:r>
      <w:r>
        <w:rPr>
          <w:rStyle w:val="FootnoteAnchor"/>
          <w:rtl w:val="true"/>
        </w:rPr>
        <w:footnoteReference w:id="284"/>
      </w:r>
      <w:r>
        <w:rPr>
          <w:rFonts w:ascii="Amiri" w:hAnsi="Amiri" w:eastAsia="Amiri" w:cs="Amiri"/>
          <w:color w:val="111111"/>
          <w:sz w:val="28"/>
          <w:sz w:val="28"/>
          <w:szCs w:val="28"/>
          <w:rtl w:val="true"/>
          <w:lang w:bidi="ar-SA"/>
        </w:rPr>
        <w:t>عين الإشارة إلى الكلّ ولا العكس، فإنّ الإشارة إلى الرقبة تغاير الإشارة إلى الإنسان وبالعكس، بخلاف الحالّ والمحلّ، فإنّ الأمر فيه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حكمنا بعدم اطّراده؛ لأنّ الجزء قد لا يبقى بحيث يمكن الإشارة الحسّيّة إليه، كالخلّ مثلًا بالنسبة إلى السكنجبين</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3519861_1280447820"/>
      <w:bookmarkStart w:id="389" w:name="_Toc149"/>
      <w:bookmarkEnd w:id="388"/>
      <w:r>
        <w:rPr>
          <w:rtl w:val="true"/>
        </w:rPr>
        <w:t>الفرق بين الحالّ والمحلّ وبين الظرف والمظروف</w:t>
      </w:r>
      <w:bookmarkEnd w:id="389"/>
    </w:p>
    <w:p>
      <w:pPr>
        <w:pStyle w:val="BookText"/>
        <w:rPr/>
      </w:pPr>
      <w:r>
        <w:rPr>
          <w:rFonts w:ascii="Amiri" w:hAnsi="Amiri" w:eastAsia="Amiri" w:cs="Amiri"/>
          <w:color w:val="111111"/>
          <w:sz w:val="28"/>
          <w:sz w:val="28"/>
          <w:szCs w:val="28"/>
          <w:rtl w:val="true"/>
          <w:lang w:bidi="ar-SA"/>
        </w:rPr>
        <w:t>وأمّا الفرق بينهما وبين الظرف والمظروف، فهو أنّ الحال والمحلّ هما اللّذان موجودان بوجود واحد كالسواد ومحلّه، بخلاف الظرف والمظروف، فإنّهما موجودان بوجودين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أنّ وجود المحلّ موقوف عليه لوجود الحالّ، بخلاف الظرف بالنسبة إلى </w:t>
      </w:r>
      <w:bookmarkStart w:id="390" w:name="pg16214_221602"/>
    </w:p>
    <w:p>
      <w:pPr>
        <w:pStyle w:val="BookText"/>
        <w:rPr/>
      </w:pPr>
      <w:bookmarkEnd w:id="390"/>
      <w:r>
        <w:rPr>
          <w:rFonts w:ascii="Amiri" w:hAnsi="Amiri" w:eastAsia="Amiri" w:cs="Amiri"/>
          <w:color w:val="111111"/>
          <w:sz w:val="28"/>
          <w:sz w:val="28"/>
          <w:szCs w:val="28"/>
          <w:rtl w:val="true"/>
          <w:lang w:bidi="ar-SA"/>
        </w:rPr>
        <w:t>المظروف، فإنّ وجوده لم يتوقّف على وجوده</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3519863_1280447820"/>
      <w:bookmarkStart w:id="392" w:name="_Toc150"/>
      <w:bookmarkEnd w:id="391"/>
      <w:r>
        <w:rPr>
          <w:rtl w:val="true"/>
        </w:rPr>
        <w:t>الفرق بين الحالّ والمحلّ وبين المتجاورين</w:t>
      </w:r>
      <w:bookmarkEnd w:id="392"/>
    </w:p>
    <w:p>
      <w:pPr>
        <w:pStyle w:val="BookText"/>
        <w:rPr/>
      </w:pPr>
      <w:r>
        <w:rPr>
          <w:rFonts w:ascii="Amiri" w:hAnsi="Amiri" w:eastAsia="Amiri" w:cs="Amiri"/>
          <w:color w:val="111111"/>
          <w:sz w:val="28"/>
          <w:sz w:val="28"/>
          <w:szCs w:val="28"/>
          <w:rtl w:val="true"/>
          <w:lang w:bidi="ar-SA"/>
        </w:rPr>
        <w:t>وأمّا الفرق بينهما وبين المتجاورين، فكالفرق بينهما وبين الظرف والمظروف وقد عرفت</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3519865_1280447820"/>
      <w:bookmarkStart w:id="394" w:name="_Toc151"/>
      <w:bookmarkEnd w:id="393"/>
      <w:r>
        <w:rPr>
          <w:rtl w:val="true"/>
        </w:rPr>
        <w:t>الفرق بين الظرف والمظروف وبين المتجاورين</w:t>
      </w:r>
      <w:bookmarkEnd w:id="394"/>
    </w:p>
    <w:p>
      <w:pPr>
        <w:pStyle w:val="BookText"/>
        <w:rPr/>
      </w:pPr>
      <w:r>
        <w:rPr>
          <w:rFonts w:ascii="Amiri" w:hAnsi="Amiri" w:eastAsia="Amiri" w:cs="Amiri"/>
          <w:color w:val="111111"/>
          <w:sz w:val="28"/>
          <w:sz w:val="28"/>
          <w:szCs w:val="28"/>
          <w:rtl w:val="true"/>
          <w:lang w:bidi="ar-SA"/>
        </w:rPr>
        <w:t>بقي الكلام في الفرق بين الظرف والمظروف وبين المتجاورين،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الظرف والمظروف</w:t>
      </w:r>
      <w:r>
        <w:rPr>
          <w:rStyle w:val="FootnoteAnchor"/>
          <w:rtl w:val="true"/>
        </w:rPr>
        <w:footnoteReference w:id="285"/>
      </w:r>
      <w:r>
        <w:rPr>
          <w:rFonts w:ascii="Amiri" w:hAnsi="Amiri" w:eastAsia="Amiri" w:cs="Amiri"/>
          <w:color w:val="111111"/>
          <w:sz w:val="28"/>
          <w:sz w:val="28"/>
          <w:szCs w:val="28"/>
          <w:rtl w:val="true"/>
          <w:lang w:bidi="ar-SA"/>
        </w:rPr>
        <w:t>هما اللّذان يكون وضع أحدهما</w:t>
      </w:r>
      <w:r>
        <w:rPr>
          <w:rStyle w:val="FootnoteAnchor"/>
          <w:rtl w:val="true"/>
        </w:rPr>
        <w:footnoteReference w:id="286"/>
      </w:r>
      <w:r>
        <w:rPr>
          <w:rFonts w:ascii="Amiri" w:hAnsi="Amiri" w:eastAsia="Amiri" w:cs="Amiri"/>
          <w:color w:val="111111"/>
          <w:sz w:val="28"/>
          <w:sz w:val="28"/>
          <w:szCs w:val="28"/>
          <w:rtl w:val="true"/>
          <w:lang w:bidi="ar-SA"/>
        </w:rPr>
        <w:t>لتقرّر الآخر فيه، بخلاف المتجاورين، فإنّ الأمر فيهما ليس كذلك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المجاورة بالنظر إلى معناها اللغويّ وإن كان أعمّ، فتكون النسبة بين الظرف والمظروف والمتجاورين عموم</w:t>
      </w:r>
      <w:r>
        <w:rPr>
          <w:rStyle w:val="FootnoteAnchor"/>
          <w:rtl w:val="true"/>
        </w:rPr>
        <w:footnoteReference w:id="287"/>
      </w:r>
      <w:r>
        <w:rPr>
          <w:rFonts w:ascii="Amiri" w:hAnsi="Amiri" w:eastAsia="Amiri" w:cs="Amiri"/>
          <w:color w:val="111111"/>
          <w:sz w:val="28"/>
          <w:sz w:val="28"/>
          <w:szCs w:val="28"/>
          <w:rtl w:val="true"/>
          <w:lang w:bidi="ar-SA"/>
        </w:rPr>
        <w:t>مطلقًا؛ لأنّ كلّ ظرف ومظروف يصدق عليهما أنّهما متجاوران</w:t>
      </w:r>
      <w:r>
        <w:rPr>
          <w:rStyle w:val="FootnoteAnchor"/>
          <w:rtl w:val="true"/>
        </w:rPr>
        <w:footnoteReference w:id="288"/>
      </w:r>
      <w:r>
        <w:rPr>
          <w:rFonts w:ascii="Amiri" w:hAnsi="Amiri" w:eastAsia="Amiri" w:cs="Amiri"/>
          <w:color w:val="111111"/>
          <w:sz w:val="28"/>
          <w:sz w:val="28"/>
          <w:szCs w:val="28"/>
          <w:rtl w:val="true"/>
          <w:lang w:bidi="ar-SA"/>
        </w:rPr>
        <w:t xml:space="preserve">، وبعض المتجاورين لا يصدق عليهما أنّهما ذلك، فيكون </w:t>
      </w:r>
      <w:bookmarkStart w:id="395" w:name="pg16214_221603"/>
    </w:p>
    <w:p>
      <w:pPr>
        <w:pStyle w:val="BookText"/>
        <w:rPr/>
      </w:pPr>
      <w:bookmarkEnd w:id="395"/>
      <w:r>
        <w:rPr>
          <w:rFonts w:ascii="Amiri" w:hAnsi="Amiri" w:eastAsia="Amiri" w:cs="Amiri"/>
          <w:color w:val="111111"/>
          <w:sz w:val="28"/>
          <w:sz w:val="28"/>
          <w:szCs w:val="28"/>
          <w:rtl w:val="true"/>
          <w:lang w:bidi="ar-SA"/>
        </w:rPr>
        <w:t>ذكر المجاورة مغنيًا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لهذا لم يتعرّض جميعهم في بيان العلائق المصحّحة للتجوّز للظرف والمظروف، لكن بالنظر</w:t>
      </w:r>
      <w:r>
        <w:rPr>
          <w:rStyle w:val="FootnoteAnchor"/>
          <w:rtl w:val="true"/>
        </w:rPr>
        <w:footnoteReference w:id="289"/>
      </w:r>
      <w:r>
        <w:rPr>
          <w:rFonts w:ascii="Amiri" w:hAnsi="Amiri" w:eastAsia="Amiri" w:cs="Amiri"/>
          <w:color w:val="111111"/>
          <w:sz w:val="28"/>
          <w:sz w:val="28"/>
          <w:szCs w:val="28"/>
          <w:rtl w:val="true"/>
          <w:lang w:bidi="ar-SA"/>
        </w:rPr>
        <w:t>إلى الأمثلة المتقدّمة يمكن الافتراق</w:t>
      </w:r>
      <w:r>
        <w:rPr>
          <w:rStyle w:val="FootnoteAnchor"/>
          <w:rtl w:val="true"/>
        </w:rPr>
        <w:footnoteReference w:id="290"/>
      </w:r>
      <w:r>
        <w:rPr>
          <w:rFonts w:ascii="Amiri" w:hAnsi="Amiri" w:eastAsia="Amiri" w:cs="Amiri"/>
          <w:color w:val="111111"/>
          <w:sz w:val="28"/>
          <w:sz w:val="28"/>
          <w:szCs w:val="28"/>
          <w:rtl w:val="true"/>
          <w:lang w:bidi="ar-SA"/>
        </w:rPr>
        <w:t>بينهما بما ذكر، فتأمّل</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3519867_1280447820"/>
      <w:bookmarkStart w:id="397" w:name="_Toc152"/>
      <w:bookmarkEnd w:id="396"/>
      <w:r>
        <w:rPr>
          <w:rtl w:val="true"/>
        </w:rPr>
        <w:t>التنبيه على عدم صحّة التمثيل بالآيات المذكورة لما نحن فيه</w:t>
      </w:r>
      <w:bookmarkEnd w:id="397"/>
    </w:p>
    <w:p>
      <w:pPr>
        <w:pStyle w:val="BookText"/>
        <w:rPr/>
      </w:pPr>
      <w:r>
        <w:rPr>
          <w:rFonts w:ascii="Amiri" w:hAnsi="Amiri" w:eastAsia="Amiri" w:cs="Amiri"/>
          <w:color w:val="111111"/>
          <w:sz w:val="28"/>
          <w:sz w:val="28"/>
          <w:szCs w:val="28"/>
          <w:rtl w:val="true"/>
          <w:lang w:bidi="ar-SA"/>
        </w:rPr>
        <w:t>وأمّا التمثيل في الآية</w:t>
      </w:r>
      <w:r>
        <w:rPr>
          <w:rStyle w:val="FootnoteAnchor"/>
          <w:rtl w:val="true"/>
        </w:rPr>
        <w:footnoteReference w:id="291"/>
      </w:r>
      <w:r>
        <w:rPr>
          <w:rFonts w:ascii="Amiri" w:hAnsi="Amiri" w:eastAsia="Amiri" w:cs="Amiri"/>
          <w:color w:val="111111"/>
          <w:sz w:val="28"/>
          <w:sz w:val="28"/>
          <w:szCs w:val="28"/>
          <w:rtl w:val="true"/>
          <w:lang w:bidi="ar-SA"/>
        </w:rPr>
        <w:t>الأولى وكذا الثانية والثالثة لإطلاق اسم المحلّ على الحالّ، فغير صحيح، بناءً على ما عرفت من معنى الحلول، إذ ليس أهل المجلس حالًّا فيه ولا أهل القرية حالًّا فيها،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بحسب الدقائق الحكميّة، ومعنى الحلول بحسب العرف والعادة أعمّ منه، وابتناء القواعد اللفظيّة على الدقائق الحكميّة ممّا لا وجه 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شبهة في عدم إطلاق الحلول في العرف على أهل المجلس بالنسبة إليه ولا على أهل القرية بالنسبة إليها،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المجلس حالّ فيه، ولا أهل القرية حالّ فيها، فالتمثيل بالآيات المذكورة لتسمية الحالّ باسم المحلّ غير مطابق، بل الظاهر أنّها من باب الإضمار والحذف، فالتقدير في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 أهل ناديه، 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أهل القرية، وفي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قرية أهلكنا أهلها فجاء أهلها بأسنا،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أهل قرية أهلكناهم فجاءهم بأسنا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الرجوع في القواعد اللفظيّة إلى العرف والعادة، ولا ريب في أعميّة المحلّ عندهم ممّا تقدّم، ألا ترى أنّهم يشيرون إلى مكان معيّن</w:t>
      </w:r>
      <w:r>
        <w:rPr>
          <w:rStyle w:val="FootnoteAnchor"/>
          <w:rtl w:val="true"/>
        </w:rPr>
        <w:footnoteReference w:id="292"/>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محلّ فلان، وكذا محلّ فلان في بغداد، أو بلد كذا، أو قرية كذا، أو سوق كذا،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يفسّرون المذبح بمحلّ الذبح، والمخرج بمحلّ الخروج، والمقتل بمحلّ القتل، وهكذا، مع أنّه ليس شيء من هذه الأشياء حالًّا ومحلًّا بالمعنى المتقدّم، فيعلم من ذلك أعميّة المحلّ عندهم، ويتصحّح بذلك كلام مَنْ جعل الآيات المذكورة من باب تسمية الحالّ باسم المحلّ، فيندفع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تفسير أسماء المكان بمحلّ الذبح مثلًا، فغير مسلّم، بل إنّها مفسّرة بمكان الذبح ومكان الخروج وهكذا، ويؤيّد ذلك قول أئمّة الصرف حيث سمّوها بأسماء المكان، لا المحلّ؛ وعلى تقدير التسليم لا يجدي نفعًا 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 المحلّ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محلّ فلان ونحوه، فهو وإن كان مسلّمًا، لكنّه بانفراده غير حاسم للإشكال؛ إذ لا بدّ من إطلاق الحالّ على الأشياء الواقعة فيها أيضًا حتّى يصدق إطلاق اسم المحلّ على الحالّ، وهو بديهيّ الفساد، إذ لا شبهة في استنكاف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حالّ في هذا المكان، أو الذبح حالّ في ذلك المكان، ونحوهما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إطلاق المحلّ في المواضع المذكورة يستلزم جواز إطلاق الحالّ على الأمور الواقعة فيها، إذ المحلّ اسم لما وقع عليه الحلول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لأنّا نمنع الملازمة،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مبنيٌّ على بقاء ذلك الاسم على معناه الوصفيّ، وهو غير مسلّم؛ لجواز كونه من باب غلبة الاسميّة على الوصفيّة، بل الظاهر ذلك، إذ لو كان ذلك باقيًا على معناه الوصفيّ؛ لما كان إطلاق لفظ الحالّ على الأمور الواقعة فيها مستكرهًا، والتالي باطل، ضرورة استحسان الإنكار على القائل بأنّ أهل القرية حالّ فيها ونحوه، فالمقدّم مثله، والملازمة بيّنة، فذلك قرينة ظاهرة على عدم بقاء المحلّ على معناه الوصفيّ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فيعلم من ذلك أنّ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إطلاقين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 كأبيض مثلًا، وهو يستلزم جواز إطلاق الحالّ على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المكان، لكن لم يثبت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الكائن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الكون، فلا يكون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معنى واحد، ولمّا كان الكلام في تسمية الحالّ باسم المحلّ، يجب أن يكون ذلك فيما يصدق الحاليّة والمحلّيّة؛ وقد عرفت أنّه إنّما يكون بالمعنى المتقدّم دون غيره، وعدم الثبوت كافٍ في أمثال المقام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التمثيل بآية الرحمة لتسمية المحلّ باسم الحالّ، فغير مطابق أيضًا، إذ الرحمة غير حالّة في الجنّة،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إطلاق اسم الحالّ على المحلّ، بل الرحمة واردة في الجنّة على الساكنين فيها، وإنّما تكون الجنّة</w:t>
      </w:r>
      <w:r>
        <w:rPr>
          <w:rStyle w:val="FootnoteAnchor"/>
          <w:rtl w:val="true"/>
        </w:rPr>
        <w:footnoteReference w:id="293"/>
      </w:r>
      <w:r>
        <w:rPr>
          <w:rFonts w:ascii="Amiri" w:hAnsi="Amiri" w:eastAsia="Amiri" w:cs="Amiri"/>
          <w:color w:val="111111"/>
          <w:sz w:val="28"/>
          <w:sz w:val="28"/>
          <w:szCs w:val="28"/>
          <w:rtl w:val="true"/>
          <w:lang w:bidi="ar-SA"/>
        </w:rPr>
        <w:t>حينئذٍ مكانًا لورود الرحمة على عباده الّذين يرجون رحمة ربّهم، لا محلًّا لحلول الرحمة فيها، والقدر الثابت في إطلاق اسم الحالّ على المحلّ هو أن يكون من هذا الباب كما عرفت</w:t>
      </w:r>
      <w:r>
        <w:rPr>
          <w:rFonts w:eastAsia="Amiri" w:cs="Amiri" w:ascii="Amiri" w:hAnsi="Amiri"/>
          <w:color w:val="111111"/>
          <w:sz w:val="28"/>
          <w:szCs w:val="28"/>
          <w:rtl w:val="true"/>
          <w:lang w:bidi="ar-SA"/>
        </w:rPr>
        <w:t xml:space="preserve">. </w:t>
      </w:r>
      <w:bookmarkStart w:id="398" w:name="pg16214_221606"/>
    </w:p>
    <w:p>
      <w:pPr>
        <w:pStyle w:val="Heading5"/>
        <w:numPr>
          <w:ilvl w:val="4"/>
          <w:numId w:val="1"/>
        </w:numPr>
        <w:rPr/>
      </w:pPr>
      <w:bookmarkStart w:id="399" w:name="__RefHeading___Toc3519869_1280447820"/>
      <w:bookmarkStart w:id="400" w:name="_Toc153"/>
      <w:bookmarkEnd w:id="398"/>
      <w:bookmarkEnd w:id="399"/>
      <w:r>
        <w:rPr>
          <w:rtl w:val="true"/>
        </w:rPr>
        <w:t>رفع إبهام لتتميم مرام</w:t>
      </w:r>
      <w:bookmarkEnd w:id="400"/>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الآية الشريفة من باب تسمية المحلّ باسم الحالّ،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الجنّة؟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تلك المشابهة، فيكون الكلام من باب الاستعارة للمبالغة في مدح الجنّة حتّى كأنّها نفس الرحمة، فنحن وإن كنّا موافقين معهم في أصل المعنى الّذي ذكروه في بيان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معرضون عمّا ذكروا في تصحيح الاستعمال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المناقشة في ارتكاب أصل التجوّز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رقّة القلب وانعطاف يقتضي التفضّل والإحسان</w:t>
      </w:r>
      <w:r>
        <w:rPr>
          <w:rStyle w:val="FootnoteAnchor"/>
          <w:rtl w:val="true"/>
        </w:rPr>
        <w:footnoteReference w:id="294"/>
      </w:r>
      <w:r>
        <w:rPr>
          <w:rFonts w:ascii="Amiri" w:hAnsi="Amiri" w:eastAsia="Amiri" w:cs="Amiri"/>
          <w:color w:val="111111"/>
          <w:sz w:val="28"/>
          <w:sz w:val="28"/>
          <w:szCs w:val="28"/>
          <w:rtl w:val="true"/>
          <w:lang w:bidi="ar-SA"/>
        </w:rPr>
        <w:t xml:space="preserve">، لكن إذا نسبت إلى الله تعالى يراد بها برّه وإحسانه؛ لأنّ أسماءه تعالى تؤخذ باعتبار الغايات الّتي هي الأفعال، دون المبادئ الّتي هي الانفعالات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 اللامعة</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 من أراد الاطّلاع فليطلب إليه المراجعة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الإشارة بقول أهل العرفان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الغايات واترك المبادي</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الجنّة رحمة الله سبحانه؛ لكونها برّه</w:t>
      </w:r>
      <w:r>
        <w:rPr>
          <w:rStyle w:val="FootnoteAnchor"/>
          <w:rtl w:val="true"/>
        </w:rPr>
        <w:footnoteReference w:id="297"/>
      </w:r>
      <w:r>
        <w:rPr>
          <w:rFonts w:ascii="Amiri" w:hAnsi="Amiri" w:eastAsia="Amiri" w:cs="Amiri"/>
          <w:color w:val="111111"/>
          <w:sz w:val="28"/>
          <w:sz w:val="28"/>
          <w:szCs w:val="28"/>
          <w:rtl w:val="true"/>
          <w:lang w:bidi="ar-SA"/>
        </w:rPr>
        <w:t>وإحسانه تعالى على عباده، فلا حاجة إلى ارتكاب الحاليّة والمحليّة، ولا إلى المشابهة والاستعارة بالوجه الّذي مرّت إليه الإشارة</w:t>
      </w:r>
      <w:r>
        <w:rPr>
          <w:rFonts w:eastAsia="Amiri" w:cs="Amiri" w:ascii="Amiri" w:hAnsi="Amiri"/>
          <w:color w:val="111111"/>
          <w:sz w:val="28"/>
          <w:szCs w:val="28"/>
          <w:rtl w:val="true"/>
          <w:lang w:bidi="ar-SA"/>
        </w:rPr>
        <w:t xml:space="preserve">. </w:t>
      </w:r>
      <w:bookmarkStart w:id="401" w:name="pg16214_221607"/>
    </w:p>
    <w:p>
      <w:pPr>
        <w:pStyle w:val="BookText"/>
        <w:rPr/>
      </w:pPr>
      <w:bookmarkEnd w:id="401"/>
      <w:r>
        <w:rPr>
          <w:rFonts w:ascii="Amiri" w:hAnsi="Amiri" w:eastAsia="Amiri" w:cs="Amiri"/>
          <w:color w:val="111111"/>
          <w:sz w:val="28"/>
          <w:sz w:val="28"/>
          <w:szCs w:val="28"/>
          <w:rtl w:val="true"/>
          <w:lang w:bidi="ar-SA"/>
        </w:rPr>
        <w:t>نعم، يمكن حمل الكلام على المبالغة بوجه آخر،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على هذا تكون فردًا من أفراد رحمته سبحانه، 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Style w:val="FootnoteAnchor"/>
          <w:rtl w:val="true"/>
        </w:rPr>
        <w:footnoteReference w:id="298"/>
      </w:r>
      <w:r>
        <w:rPr>
          <w:rFonts w:ascii="Amiri" w:hAnsi="Amiri" w:eastAsia="Amiri" w:cs="Amiri"/>
          <w:color w:val="111111"/>
          <w:sz w:val="28"/>
          <w:sz w:val="28"/>
          <w:szCs w:val="28"/>
          <w:rtl w:val="true"/>
          <w:lang w:bidi="ar-SA"/>
        </w:rPr>
        <w:t>حينئذٍ على سبيل الإطلاق، إمّا للمبالغة على عِظَمِ نفسها وجلالة شأنها، أو لاستلزامها التشرّف بأنواع رحمة الله سبحانه وأقسام نِعَم الله عزّ شأنه، حتّى كأنّها نفس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ختامنا بمشارفة فردوسك، كما اختتم كلامنا بوصف جنّتك، وأزل حلول معاصيك عن نفوسنا، كما أزلنا القول الموهم</w:t>
      </w:r>
      <w:r>
        <w:rPr>
          <w:rStyle w:val="FootnoteAnchor"/>
          <w:rtl w:val="true"/>
        </w:rPr>
        <w:footnoteReference w:id="299"/>
      </w:r>
      <w:r>
        <w:rPr>
          <w:rFonts w:ascii="IRNazanin" w:hAnsi="IRNazanin" w:eastAsia="IRNazanin"/>
          <w:color w:val="111111"/>
          <w:sz w:val="28"/>
          <w:sz w:val="28"/>
          <w:szCs w:val="28"/>
          <w:rtl w:val="true"/>
          <w:lang w:bidi="fa-IR"/>
        </w:rPr>
        <w:t>لسلب</w:t>
      </w:r>
      <w:r>
        <w:rPr>
          <w:rStyle w:val="FootnoteAnchor"/>
          <w:rtl w:val="true"/>
        </w:rPr>
        <w:footnoteReference w:id="300"/>
      </w:r>
      <w:r>
        <w:rPr>
          <w:rFonts w:ascii="Amiri" w:hAnsi="Amiri" w:eastAsia="Amiri" w:cs="Amiri"/>
          <w:color w:val="111111"/>
          <w:sz w:val="28"/>
          <w:sz w:val="28"/>
          <w:szCs w:val="28"/>
          <w:rtl w:val="true"/>
          <w:lang w:bidi="ar-SA"/>
        </w:rPr>
        <w:t>الرحمة عن جنّتك، وافرق بيننا وبين أعدائك كما افترقنا المغايرة بين رحمتك وجنّتك بمحمّد وآله الحالّين في طاعتك، بل المحلّين لها</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3519871_1280447820"/>
      <w:bookmarkStart w:id="403" w:name="_Toc154"/>
      <w:bookmarkEnd w:id="402"/>
      <w:r>
        <w:rPr>
          <w:rtl w:val="true"/>
        </w:rPr>
        <w:t>الاشتراك في المحلّ لا يكون مصحّحًا للتجوّز</w:t>
      </w:r>
      <w:bookmarkEnd w:id="403"/>
    </w:p>
    <w:p>
      <w:pPr>
        <w:pStyle w:val="Heading6"/>
        <w:numPr>
          <w:ilvl w:val="5"/>
          <w:numId w:val="1"/>
        </w:numPr>
        <w:rPr/>
      </w:pPr>
      <w:bookmarkStart w:id="404" w:name="__RefHeading___Toc3519873_1280447820"/>
      <w:bookmarkStart w:id="405" w:name="_Toc155"/>
      <w:bookmarkEnd w:id="404"/>
      <w:r>
        <w:rPr>
          <w:rtl w:val="true"/>
        </w:rPr>
        <w:t>تنبيه تفريعيّ</w:t>
      </w:r>
      <w:bookmarkEnd w:id="405"/>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الفاضل العضديّ قال عند تعميم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يعمّ ما يكون أحدهما في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لا يكون كذلك، بل هما في محلّ واحد، أو في محلّين، أو حيّزين </w:t>
      </w:r>
      <w:bookmarkStart w:id="406" w:name="pg16214_221608"/>
    </w:p>
    <w:p>
      <w:pPr>
        <w:pStyle w:val="BookText"/>
        <w:rPr/>
      </w:pPr>
      <w:bookmarkEnd w:id="406"/>
      <w:r>
        <w:rPr>
          <w:rFonts w:ascii="Amiri" w:hAnsi="Amiri" w:eastAsia="Amiri" w:cs="Amiri"/>
          <w:color w:val="111111"/>
          <w:sz w:val="28"/>
          <w:sz w:val="28"/>
          <w:szCs w:val="28"/>
          <w:rtl w:val="true"/>
          <w:lang w:bidi="ar-SA"/>
        </w:rPr>
        <w:t>متقاربين</w:t>
      </w:r>
      <w:r>
        <w:rPr>
          <w:rStyle w:val="FootnoteAnchor"/>
          <w:rtl w:val="true"/>
        </w:rPr>
        <w:footnoteReference w:id="30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المرجع لضمير التثنية في كلامه المعنى الحقيقيّ والمجازيّ، يعني أن يكون المعنى الحقيقيّ والمجازيّ في محلّ واحد، إلخ</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3519875_1280447820"/>
      <w:bookmarkStart w:id="408" w:name="_Toc156"/>
      <w:bookmarkEnd w:id="407"/>
      <w:r>
        <w:rPr>
          <w:rtl w:val="true"/>
        </w:rPr>
        <w:t>تحقيق المقام يستدعي بيان أمور</w:t>
      </w:r>
      <w:bookmarkEnd w:id="408"/>
    </w:p>
    <w:p>
      <w:pPr>
        <w:pStyle w:val="Heading6"/>
        <w:numPr>
          <w:ilvl w:val="5"/>
          <w:numId w:val="1"/>
        </w:numPr>
        <w:rPr/>
      </w:pPr>
      <w:bookmarkStart w:id="409" w:name="__RefHeading___Toc3519877_1280447820"/>
      <w:bookmarkStart w:id="410" w:name="_Toc157"/>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تحقيق المقام يقتضي التكلّم في كلّ من الأمور الثلاثة، فأقول</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3519879_1280447820"/>
      <w:bookmarkStart w:id="412" w:name="_Toc158"/>
      <w:bookmarkEnd w:id="411"/>
      <w:r>
        <w:rPr>
          <w:rtl w:val="true"/>
        </w:rPr>
        <w:t>الأمر الأوّل</w:t>
      </w:r>
      <w:r>
        <w:rPr>
          <w:rtl w:val="true"/>
        </w:rPr>
        <w:t xml:space="preserve">: </w:t>
      </w:r>
      <w:r>
        <w:rPr>
          <w:rtl w:val="true"/>
        </w:rPr>
        <w:t>في كون المعنى الحقيقيّ والمجازيّ في محلّ واحد</w:t>
      </w:r>
      <w:bookmarkEnd w:id="412"/>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مثّل له بتسمية الإيمان أو العلم بالحياة، وبتسمية الكفر أو الجهل بالموت؛ وحمل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كَانَ مَيْتًا فَأَحْيَيْنَاهُ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التمثيل بتسمية العلم أو الإيمان بالحياة، فلا بأس به</w:t>
      </w:r>
      <w:r>
        <w:rPr>
          <w:rStyle w:val="FootnoteAnchor"/>
          <w:rtl w:val="true"/>
        </w:rPr>
        <w:footnoteReference w:id="303"/>
      </w:r>
      <w:r>
        <w:rPr>
          <w:rFonts w:ascii="Amiri" w:hAnsi="Amiri" w:eastAsia="Amiri" w:cs="Amiri"/>
          <w:color w:val="111111"/>
          <w:sz w:val="28"/>
          <w:sz w:val="28"/>
          <w:szCs w:val="28"/>
          <w:rtl w:val="true"/>
          <w:lang w:bidi="ar-SA"/>
        </w:rPr>
        <w:t>، وأمّا التمثيل بتسمية الكفر أو الجهل بالموت فغير مطابق؛ لأنّ المدّعى إطلاق لفظ أحد الحالّين في محلّ على الحالّ الآخر منهما، والموت ليس حالًّا في النفس كالجهل أو الكفر، بل هو يتحقّق بقطع علاقتها من البدن العنصريّ، فلا دخل له لما نحن فيه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العلاقة على هذا العنوان لم تحضر في البال المتعرّض لها من الأعلام، ولم يكن لديّ كتب الأصول عند تدوين هذه الرسالة حتّى تتيسّر المراجعة، لكن عدّة من الكتب الموجودة كانت عنها خالية مع أنّه استقصي في بعضها ذكر أنواع </w:t>
      </w:r>
    </w:p>
    <w:p>
      <w:pPr>
        <w:pStyle w:val="BookText"/>
        <w:rPr/>
      </w:pPr>
      <w:r>
        <w:rPr>
          <w:rFonts w:ascii="Amiri" w:hAnsi="Amiri" w:eastAsia="Amiri" w:cs="Amiri"/>
          <w:color w:val="111111"/>
          <w:sz w:val="28"/>
          <w:sz w:val="28"/>
          <w:szCs w:val="28"/>
          <w:rtl w:val="true"/>
          <w:lang w:bidi="ar-SA"/>
        </w:rPr>
        <w:t>العلائق الخمس والعشرين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نبني الكلام على عدم التعرّض لها،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تعرّضهم لها إمّا لعدم كون اشتراك الحالّين في محلّ مصحّحًا للتجوّز عندهم، أو لإدراجهم إيّاه تحت بعض آخر من العلائق المذكورة؛ بمعنى أنّ بعضًا ممّا ذكروه كان أعمّ من ذلك، فاستغنوا بذكر العامّ عن ذكر الخاصّ، أو لغفلتهم عنه وعدم تنبّههم له مع كونه مصحّحًا كغيره من أنواع العلائق، أو للمسامحة مع كونه مصحّحًا للتجوّز عندهم وتنبّههم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والأخيران بعيدان،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 مع تبحّرهم في العلوم ونهاية اطّلاعهم على استعمالات الفصحاء وغاية مزاولتهم لمخاطبات البلغاء، لو كان ذلك لاطّلعوا عليه وتظافروا به</w:t>
      </w:r>
      <w:r>
        <w:rPr>
          <w:rStyle w:val="FootnoteAnchor"/>
          <w:rtl w:val="true"/>
        </w:rPr>
        <w:footnoteReference w:id="304"/>
      </w:r>
      <w:r>
        <w:rPr>
          <w:rFonts w:ascii="Amiri" w:hAnsi="Amiri" w:eastAsia="Amiri" w:cs="Amiri"/>
          <w:color w:val="111111"/>
          <w:sz w:val="28"/>
          <w:sz w:val="28"/>
          <w:szCs w:val="28"/>
          <w:rtl w:val="true"/>
          <w:lang w:bidi="ar-SA"/>
        </w:rPr>
        <w:t>، فالحكم بغفلة الجميع خارج عن الإنصاف ومهجور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فلغاية اهتمامهم في ضبط العلوم ونهاية جهدهم في جمع القواعد والرسوم، كما لا يخفى على المطّلع بكتبهم والعارف بسيرتهم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احتمال المسامحة في مثل هذه الأمور العظيمة ممّا لا وجه له، فتعيّن أن يكون عدم الذكر إمّا لعدم كونه مصحّحًا للتجوّز عندهم، أو لشمول ما ذكروه له، أمّا الأوّل فلا بأس به، وعلى من ادّعى الثبوت الإثبات، إذ للمانع يكفي الاحتمال، وأمّا الثاني فليس القابل للشمول من العلائق المذكورة غير المشابهة والمجاورة كما لا يخفى على من له أدنى دربة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المشابهة فكذلك أيضًا، إذ لا يلزم أن يكون الحالّان في محلّ بحيث يكون </w:t>
      </w:r>
    </w:p>
    <w:p>
      <w:pPr>
        <w:pStyle w:val="BookText"/>
        <w:rPr/>
      </w:pPr>
      <w:r>
        <w:rPr>
          <w:rFonts w:ascii="Amiri" w:hAnsi="Amiri" w:eastAsia="Amiri" w:cs="Amiri"/>
          <w:color w:val="111111"/>
          <w:sz w:val="28"/>
          <w:sz w:val="28"/>
          <w:szCs w:val="28"/>
          <w:rtl w:val="true"/>
          <w:lang w:bidi="ar-SA"/>
        </w:rPr>
        <w:t>أحدهما مشابهًا للآخر، فحينئذٍ يكون بين العلاقة المشابهة وما نحن فيه عموم من وجه، والاستغناء بذكر العامّ عن الخاصّ إنّما هو إذا كان العامّ أعمّ مطلقًا والخاصّ أخصّ كذلك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يمكن ذلك إذا قيّد الحالّان بما إذا كان أحدهما مشابهًا للآخر، فحينئذٍ يندرج تحت المشابهة ويصحّ التجوّز، لكن لا لأجل الاشتراك في المحلّ كما يوهمه كلام ذلك الفاضل</w:t>
      </w:r>
      <w:r>
        <w:rPr>
          <w:rStyle w:val="FootnoteAnchor"/>
          <w:rtl w:val="true"/>
        </w:rPr>
        <w:footnoteReference w:id="305"/>
      </w:r>
      <w:r>
        <w:rPr>
          <w:rFonts w:ascii="Amiri" w:hAnsi="Amiri" w:eastAsia="Amiri" w:cs="Amiri"/>
          <w:color w:val="111111"/>
          <w:sz w:val="28"/>
          <w:sz w:val="28"/>
          <w:szCs w:val="28"/>
          <w:rtl w:val="true"/>
          <w:lang w:bidi="ar-SA"/>
        </w:rPr>
        <w:t xml:space="preserve">، بل لأجل المشابهة، وعليه يحمل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الجهل أو الكفر،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العلم أو الإيمان كما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المجاورة فهي وإن عمّمها ذلك الفاضل بحيث تشمل ما نحن فيه أيضًا بناءً على زعمه، لكنّ التحقيق أنّه ليس كذلك؛ لأنّ الحالّين قد يكونان مثل العلم والحياة والجهل والكفر وأمثالها، والمجاورة غير صادقة في حقّها، كما يظهر عند المراجعة إلى الوجدان وتتبّع العرف والاستعمال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تكونان مثل البياض والسواد في الجسم الأبلق، وهذا القسم وإن صدقت المجاورة اللغويّة عليه، لكنّه ليس من كون الحالّين في محلّ؛ لثبوت المغايرة بين محلّ كلّ من السواد والبياض، ولا ممّا أظنّ أن يصحّ به التجوّز على ما تقدّم تحقيقه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الموجب لذلك الفاضل في الحكم بكون الحالّين في محلّ مصحّحًا للتجوّز، هو أنّه رأى في كلمات البلغاء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الجهل، ونحوهما، ولم يظهر له شمول ما ذكروه في أنواع العلائق له، أراد أن يعنون لذلك عنوانًا ينضبط به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هما في محلّ</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وجه عدم شمول المشابهة له عنده هو أنّ ظاهر المشابهة أن يكون هناك ذات متّصفة بصفة وذات أخرى لاتّصافها بها يحصل لها المشابهة، وهذا إنّما يتصوّر في الجواهر ليمكن الاتّصاف بالصفة، وما نحن فيه ليس كذلك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مطلق الشباهة غير مصحّح للتجوّز، بل الشباهة في الصفة الظاهرة على ما مرّ الكلام فيه</w:t>
      </w:r>
      <w:r>
        <w:rPr>
          <w:rStyle w:val="FootnoteAnchor"/>
          <w:rtl w:val="true"/>
        </w:rPr>
        <w:footnoteReference w:id="307"/>
      </w:r>
      <w:r>
        <w:rPr>
          <w:rFonts w:ascii="Amiri" w:hAnsi="Amiri" w:eastAsia="Amiri" w:cs="Amiri"/>
          <w:color w:val="111111"/>
          <w:sz w:val="28"/>
          <w:sz w:val="28"/>
          <w:szCs w:val="28"/>
          <w:rtl w:val="true"/>
          <w:lang w:bidi="ar-SA"/>
        </w:rPr>
        <w:t>، وهي منتفية هنا، لا مطلق الشباهة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مقصوده التنبّه على أنّه كما يتصحّح التجوّز بالعلاقات المقرّرة عندهم، يتصحّح أيضًا بكون الحالّين في محلّ مطلقًا وإن انتفت بينهما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نظر، 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مبنيّ على عدم جواز قيام العرض بالعرض، وهو فاسد كما بيّن في محلّه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الشباهة بين العلم والحياة والجهل والموت ليست أخفى</w:t>
      </w:r>
      <w:r>
        <w:rPr>
          <w:rStyle w:val="FootnoteAnchor"/>
          <w:rtl w:val="true"/>
        </w:rPr>
        <w:footnoteReference w:id="309"/>
      </w:r>
      <w:r>
        <w:rPr>
          <w:rFonts w:ascii="Amiri" w:hAnsi="Amiri" w:eastAsia="Amiri" w:cs="Amiri"/>
          <w:color w:val="111111"/>
          <w:sz w:val="28"/>
          <w:sz w:val="28"/>
          <w:szCs w:val="28"/>
          <w:rtl w:val="true"/>
          <w:lang w:bidi="ar-SA"/>
        </w:rPr>
        <w:t>من كثير من المواضع الّتي تجوّزوا فيها لتحقّق الشباهة، كما لا يخفى على المطّلع بمباحث البيان وأشعار الفصحاء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مرارًا من توقيفيّة أمر اللغات، فعلى من ادّعى ثبوت الرخصة</w:t>
      </w:r>
      <w:r>
        <w:rPr>
          <w:rStyle w:val="FootnoteAnchor"/>
          <w:rtl w:val="true"/>
        </w:rPr>
        <w:footnoteReference w:id="310"/>
      </w:r>
      <w:r>
        <w:rPr>
          <w:rFonts w:ascii="Amiri" w:hAnsi="Amiri" w:eastAsia="Amiri" w:cs="Amiri"/>
          <w:color w:val="111111"/>
          <w:sz w:val="28"/>
          <w:sz w:val="28"/>
          <w:szCs w:val="28"/>
          <w:rtl w:val="true"/>
          <w:lang w:bidi="ar-SA"/>
        </w:rPr>
        <w:t>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جاز ذلك؛ لصحّ إطلاق اسم الكفر على الحياة والعلم على الكفر ونحوهما، مع أنّ ثبوت الاستعمال في أمثال ذلك غير واضح، وعدم الثبوت كافٍ في المقام، ولا يكفي مجرّد الاحتمال، والله عالم بحقيقة الحال</w:t>
      </w:r>
      <w:r>
        <w:rPr>
          <w:rFonts w:eastAsia="Amiri" w:cs="Amiri" w:ascii="Amiri" w:hAnsi="Amiri"/>
          <w:color w:val="111111"/>
          <w:sz w:val="28"/>
          <w:szCs w:val="28"/>
          <w:rtl w:val="true"/>
          <w:lang w:bidi="ar-SA"/>
        </w:rPr>
        <w:t xml:space="preserve">. </w:t>
      </w:r>
      <w:bookmarkStart w:id="413" w:name="pg16214_221612"/>
    </w:p>
    <w:p>
      <w:pPr>
        <w:pStyle w:val="Heading6"/>
        <w:numPr>
          <w:ilvl w:val="5"/>
          <w:numId w:val="1"/>
        </w:numPr>
        <w:rPr/>
      </w:pPr>
      <w:bookmarkStart w:id="414" w:name="__RefHeading___Toc3519881_1280447820"/>
      <w:bookmarkStart w:id="415" w:name="_Toc159"/>
      <w:bookmarkEnd w:id="413"/>
      <w:bookmarkEnd w:id="414"/>
      <w:r>
        <w:rPr>
          <w:rtl w:val="true"/>
        </w:rPr>
        <w:t>الأمر الثاني</w:t>
      </w:r>
      <w:r>
        <w:rPr>
          <w:rtl w:val="true"/>
        </w:rPr>
        <w:t xml:space="preserve">: </w:t>
      </w:r>
      <w:r>
        <w:rPr>
          <w:rtl w:val="true"/>
        </w:rPr>
        <w:t>في كون المعنى الحقيقيّ والمجازيّ في محلّين</w:t>
      </w:r>
      <w:bookmarkEnd w:id="415"/>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المعنى الحقيقيّ والمجازيّ في محلّين،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متقاربين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مأخوذ هنا أيضًا، وإلّا يلزم جواز إطلاق اسم أيّ حالّ كان على الحالّ الآخر، والضرورة قاضية بفساده، فالمقصود أنّ كون الحالّين في محلّين متقاربين يصحّح إطلاق لفظ أحدهما على الآخر، كما يقال لكلام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كلام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يرد في هذا ما أوردناه فيما قبله من أنّ العلاقة على هذا العنوان لم يحضر في البال</w:t>
      </w:r>
      <w:r>
        <w:rPr>
          <w:rStyle w:val="FootnoteAnchor"/>
          <w:rtl w:val="true"/>
        </w:rPr>
        <w:footnoteReference w:id="311"/>
      </w:r>
      <w:r>
        <w:rPr>
          <w:rFonts w:ascii="Amiri" w:hAnsi="Amiri" w:eastAsia="Amiri" w:cs="Amiri"/>
          <w:color w:val="111111"/>
          <w:sz w:val="28"/>
          <w:sz w:val="28"/>
          <w:szCs w:val="28"/>
          <w:rtl w:val="true"/>
          <w:lang w:bidi="ar-SA"/>
        </w:rPr>
        <w:t>المتعرّض لها من الأعلام، وأنّ عدم التعرّض مبنيٌّ على أحد الأمور المتقدّمة وقد علم الكلام فيها، فلا يحتاج إلى الإعادة، إلّا أنّ شمول المجاورة في كلامهم لما نحن فيه أقرب من شمولها لما قبله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الجواب عنه أيضًا بأنّ المجاورة بين الحالّين في محلّين متقاربين بواسطة التقارب بين محلّيهما، والظاهر من المجاورة ما يكون من غير واسطة، مضافًا إلى ما تقدّم في تحقيق المجاورة، فالحقّ أنّ كون الحالّين في محلّين متقاربين مصحّحًا للتجوّز غير ثابت، وعلى المدّعي للثبوت الإثبات، وأنّ إطلاق كلام الأمير على كلام الوزير مبنيّ على المشابهة</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3519883_1280447820"/>
      <w:bookmarkStart w:id="417" w:name="_Toc160"/>
      <w:bookmarkEnd w:id="416"/>
      <w:r>
        <w:rPr>
          <w:rtl w:val="true"/>
        </w:rPr>
        <w:t>الأمر الثالث</w:t>
      </w:r>
      <w:r>
        <w:rPr>
          <w:rtl w:val="true"/>
        </w:rPr>
        <w:t xml:space="preserve">: </w:t>
      </w:r>
      <w:r>
        <w:rPr>
          <w:rtl w:val="true"/>
        </w:rPr>
        <w:t>في كون المعنى الحقيقيّ والمجازيّ في حيّزين متقاربين</w:t>
      </w:r>
      <w:bookmarkEnd w:id="41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المعنى الحقيقيّ والمجازيّ في حيّزين متقاربين، فتوضيح الحال فيه يقتضي بيان الفرق بين المحلّ والحيّز، فنقول على سبيل الإجمال</w:t>
      </w:r>
      <w:r>
        <w:rPr>
          <w:rFonts w:eastAsia="Amiri" w:cs="Amiri" w:ascii="Amiri" w:hAnsi="Amiri"/>
          <w:color w:val="111111"/>
          <w:sz w:val="28"/>
          <w:szCs w:val="28"/>
          <w:rtl w:val="true"/>
          <w:lang w:bidi="ar-SA"/>
        </w:rPr>
        <w:t xml:space="preserve">: </w:t>
      </w:r>
      <w:bookmarkStart w:id="418" w:name="pg16214_221613"/>
    </w:p>
    <w:p>
      <w:pPr>
        <w:pStyle w:val="BookText"/>
        <w:rPr/>
      </w:pPr>
      <w:bookmarkEnd w:id="418"/>
      <w:r>
        <w:rPr>
          <w:rFonts w:ascii="Amiri" w:hAnsi="Amiri" w:eastAsia="Amiri" w:cs="Amiri"/>
          <w:color w:val="111111"/>
          <w:sz w:val="28"/>
          <w:sz w:val="28"/>
          <w:szCs w:val="28"/>
          <w:rtl w:val="true"/>
          <w:lang w:bidi="ar-SA"/>
        </w:rPr>
        <w:t>إنّ المحلّ هو ما كان مقوّمًا للحالّ وأنّ الإشارة إليه عين الإشارة إليه، بخلاف الحيّز، فإنّه ليس مقوّمًا للمتحيّز فيه ولا تكون الإشارة إليه عين الإشارة إلى المتحيّز</w:t>
      </w:r>
      <w:r>
        <w:rPr>
          <w:rStyle w:val="FootnoteAnchor"/>
          <w:rtl w:val="true"/>
        </w:rPr>
        <w:footnoteReference w:id="312"/>
      </w:r>
      <w:r>
        <w:rPr>
          <w:rFonts w:ascii="Amiri" w:hAnsi="Amiri" w:eastAsia="Amiri" w:cs="Amiri"/>
          <w:color w:val="111111"/>
          <w:sz w:val="28"/>
          <w:sz w:val="28"/>
          <w:szCs w:val="28"/>
          <w:rtl w:val="true"/>
          <w:lang w:bidi="ar-SA"/>
        </w:rPr>
        <w:t>لكونهما موجودين بوجودين متمايزين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كان المراد منه المجاورة بالمعنى المتقدّم، فلا كلام فيه، وإلّا يكون الأمر فيه كسابقيه، فلا حاجة إلى الذكر والإعادة؛ لكفاية ما مرّت إليه الإشارة</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3519885_1280447820"/>
      <w:bookmarkStart w:id="420" w:name="_Toc161"/>
      <w:bookmarkEnd w:id="419"/>
      <w:r>
        <w:rPr>
          <w:rtl w:val="true"/>
        </w:rPr>
        <w:t>النوع التاسع والعاشر من العلاقة</w:t>
      </w:r>
      <w:r>
        <w:rPr>
          <w:rtl w:val="true"/>
        </w:rPr>
        <w:t xml:space="preserve">: </w:t>
      </w:r>
      <w:r>
        <w:rPr>
          <w:rtl w:val="true"/>
        </w:rPr>
        <w:t>العلّيّة والمعلوليّة</w:t>
      </w:r>
      <w:bookmarkEnd w:id="420"/>
    </w:p>
    <w:p>
      <w:pPr>
        <w:pStyle w:val="Heading5"/>
        <w:numPr>
          <w:ilvl w:val="4"/>
          <w:numId w:val="1"/>
        </w:numPr>
        <w:rPr/>
      </w:pPr>
      <w:bookmarkStart w:id="421" w:name="__RefHeading___Toc3519887_1280447820"/>
      <w:bookmarkStart w:id="422" w:name="_Toc162"/>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التاسع 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العلّيّة والمعلوليّة، فيطلق اسم العلّة على معلولها وبالعكس</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3519889_1280447820"/>
      <w:bookmarkStart w:id="424" w:name="_Toc163"/>
      <w:bookmarkEnd w:id="423"/>
      <w:r>
        <w:rPr>
          <w:rtl w:val="true"/>
        </w:rPr>
        <w:t>في تعريف العلّة التامّة والناقصة</w:t>
      </w:r>
      <w:bookmarkEnd w:id="424"/>
    </w:p>
    <w:p>
      <w:pPr>
        <w:pStyle w:val="BookText"/>
        <w:rPr/>
      </w:pPr>
      <w:r>
        <w:rPr>
          <w:rFonts w:ascii="Amiri" w:hAnsi="Amiri" w:eastAsia="Amiri" w:cs="Amiri"/>
          <w:color w:val="111111"/>
          <w:sz w:val="28"/>
          <w:sz w:val="28"/>
          <w:szCs w:val="28"/>
          <w:rtl w:val="true"/>
          <w:lang w:bidi="ar-SA"/>
        </w:rPr>
        <w:t>تحقيق المقام يقتضي التكلّم فيهما وفي أقسامهما، ثمّ الإشارة إلى المطلوب،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العلّيّة منقسمة إلى تامّة وناقصة، وعرّف بعضهم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جميع ما يتوقّف عليه وجود شيء، تدخل فيه الشرائط والآلات وعدم الموانع،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بعض ما يتوقّف عليه وجوده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بحث؛ لأنّ ظاهر هذا التعريف يعطي انحصار العلّة التامّة في المركّب، وهو فاسد؛ لوضوح أنّ العلّة التامّة قد تكون بسيطة، فينتقض عكس الحدّ بخروج العلّة التامّة البسيطة</w:t>
      </w:r>
      <w:r>
        <w:rPr>
          <w:rFonts w:eastAsia="Amiri" w:cs="Amiri" w:ascii="Amiri" w:hAnsi="Amiri"/>
          <w:color w:val="111111"/>
          <w:sz w:val="28"/>
          <w:szCs w:val="28"/>
          <w:rtl w:val="true"/>
          <w:lang w:bidi="ar-SA"/>
        </w:rPr>
        <w:t xml:space="preserve">. </w:t>
      </w:r>
      <w:bookmarkStart w:id="425" w:name="pg16214_221614"/>
    </w:p>
    <w:p>
      <w:pPr>
        <w:pStyle w:val="BookText"/>
        <w:rPr/>
      </w:pPr>
      <w:bookmarkEnd w:id="425"/>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إمكان بساطة العلّة؛ لأنّ ما لا ينفك عنه أيّة علّة فرضت اعتبار إمكان المعلول معها، فيلزم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بشيء،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اعتبار إمكان المعلول مع العلّة ليس موقوفًا عليه المعلول؛ إذ الموقوف عليه له إمكانه النفس أمريّ، سواء اعتبره المعتبر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الإمكان وصف المعلول؛ لأنّه علّة حاجته إلى العلّة، فالشيء ما لم يعتبر متّصفًا به لم يطلب له علّة، فالإمكان مأخوذ في جانب المعلول، فنحن نأخذ شيئًا ممكنًا، ثمّ نطلب له سببًا وعلّة، ولا شكّ أنّه لا يعتبر مع ذلك السبب إمكان المعلول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أنّ المركّب لتحقّق التركيب فيه يكون ممكنًا، وكلّ ممكن يفتقر إلى علّة تامّة، فلا بدّ أن ينتهي إلى علّة بسيطة لبطلان التسلسل، 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يتوقّف عليه الشيء علّة تامّة إن لم يتوقّف ذلك الشيء على أمر خارج عنه، وناقصة إن توقّف،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يتوقّف عليه الشيء إن استقلّ في تحقّقه فتامّة، وإلّا فناقصة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 w:name="__RefHeading___Toc3519891_1280447820"/>
      <w:bookmarkStart w:id="427" w:name="_Toc164"/>
      <w:bookmarkEnd w:id="426"/>
      <w:r>
        <w:rPr>
          <w:rtl w:val="true"/>
        </w:rPr>
        <w:t>في أقسام العلّة الناقصة</w:t>
      </w:r>
      <w:bookmarkEnd w:id="42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العلّة الناقصة منقسمة إلى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المادّيّة والصوريّة والفاعليّة والغائيّة؛ لأنّها لا تخلو إمّا أن تكون جزءًا للمعلول، أو لا، والأوّل إمّا أن يكون المعلول معه بالقوّة، أو بالفعل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 هو الأوّل، كالخشب بالنسبة إلى السرير، والطين بالنسبة إلى الكوز، والثاني هو الثاني، كصورة السرير، فإنّ وجودها لا ينفكّ عن وجود السرير، فوجوده معها بالفعل، لكن لا بها فقط؛ لأنّ المفروض أنّ العلّة الصوريّة من أقسام العلل الناقصة، بل بها وبسائر أقسام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انحصار جزء الماهيّة في المادّة والصورة ممنوع؛ لوضوح أنّ من أجزائها الجنس والفصل، وليس شيء منهما مادّة ولا صورة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 عنه بأنّ هذه القسمة ليست لمطلق أجزاء الماهيّة، بل لأجزائها الخارجيّة، والجنس والفصل ليسا كذلك، بل من الأجزاء العقليّة التحليليّة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فالحقّ أن يجاب بعدم تسليم خروجهما عن المادّة والصورة؛ لما ذكروا من أنّ الجنس إذا أخذ بشرط أن لا يكون معه فصل يكون مادّة، والفصل إذا أخذ بشرط أن لا يكون معه جنس يكون صورة، وإذا أخذ كلّ منهما لا بشرط شيء كان الأوّل جنسًا والثاني فصلًا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لا بشرط شيء جزء للماهيّة، مع أنّه ليس بمادّة ولا صورة، فبطل الانحصار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صرّحوا بأنّ الجنس والفصل إن أخذا لا بشرط شيء يمكن أن يحمل كلّ منهما على الماهيّة، فيعلم منه أنّهما بهذا الاعتبار ليسا جزأين؛ لوضوح عدم حمل الجزء على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 من أنّ الجنس جزء للماهيّة وكذا الفصل، فإنّه لم يكن المراد منه ظاهره، بل المراد أنّهما جزءان إذا أخذا باعتبار آخر، أي بشرط لا، لا بهذا الاعتبار الّذي هو لا بشرط شيء، فلا إشكال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يتوجّه الإشكال من وجه آخر، وهو أنّ حصر المادّة في جزء الماهيّة فاسد؛ لأنّهم ذكروا في أمثلة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للماء، ونحوهما،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جزءًا للكتابة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 في تعريفها ما ذكره بعض المحقّقين، وهو أنّ العلّة المادّيّة ما يكون الشيء معه بالقوّة، أي يكون فيه قوّة قبول المعلول، سواء كان جزءًا له، أو لا كما عرفت؛ ولهذا</w:t>
      </w:r>
      <w:r>
        <w:rPr>
          <w:rStyle w:val="FootnoteAnchor"/>
          <w:rtl w:val="true"/>
        </w:rPr>
        <w:footnoteReference w:id="319"/>
      </w:r>
      <w:r>
        <w:rPr>
          <w:rFonts w:ascii="Amiri" w:hAnsi="Amiri" w:eastAsia="Amiri" w:cs="Amiri"/>
          <w:color w:val="111111"/>
          <w:sz w:val="28"/>
          <w:sz w:val="28"/>
          <w:szCs w:val="28"/>
          <w:rtl w:val="true"/>
          <w:lang w:bidi="ar-SA"/>
        </w:rPr>
        <w:t>يسمّى بالعلّة القابلة أيضًا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لا يكون جزءًا للمعلول، بل كان خارجًا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يخلو إمّا أن يكون منه وجود المعلول، كالنجّار بالنسبة إلى السرير، والفاعل للكوز بالنسبة إليه، فهي العلّة الفاعليّة؛ أو لأجله وجودُه، فهي العلّة الغائيّة</w:t>
      </w:r>
      <w:r>
        <w:rPr>
          <w:rStyle w:val="FootnoteAnchor"/>
          <w:rtl w:val="true"/>
        </w:rPr>
        <w:footnoteReference w:id="320"/>
      </w:r>
      <w:r>
        <w:rPr>
          <w:rFonts w:ascii="IRNazanin" w:hAnsi="IRNazanin" w:eastAsia="IRNazanin"/>
          <w:color w:val="111111"/>
          <w:sz w:val="28"/>
          <w:sz w:val="28"/>
          <w:szCs w:val="28"/>
          <w:rtl w:val="true"/>
          <w:lang w:bidi="fa-IR"/>
        </w:rPr>
        <w:t xml:space="preserve">، الجلوس على </w:t>
      </w:r>
    </w:p>
    <w:p>
      <w:pPr>
        <w:pStyle w:val="BookText"/>
        <w:rPr/>
      </w:pPr>
      <w:r>
        <w:rPr>
          <w:rFonts w:ascii="Amiri" w:hAnsi="Amiri" w:eastAsia="Amiri" w:cs="Amiri"/>
          <w:color w:val="111111"/>
          <w:sz w:val="28"/>
          <w:sz w:val="28"/>
          <w:szCs w:val="28"/>
          <w:rtl w:val="true"/>
          <w:lang w:bidi="ar-SA"/>
        </w:rPr>
        <w:t>السرير بالنسبة إليه، وهو علّة فاعليّة لعلّيّة الفاعل للمعلول أيضًا؛ لوضوح أنّ النجّار يتصوّر أوّلًا جلوس الأمير على السرير، فيوجب ذلك التصوّر إقدامه على إيجاده في الخارج، ومعلولة أيضًا بالنسبة إلى المعلول، فلها وصف المعلوليّة والعلّيّة الفاعليّة والغائيّة باعتبارات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فالجلوس مثلًا من حيث الوجود الذهنيّ علّة فاعليّة بالنسبّة إلى اتّصاف الفاعل بوصف العلّيّة للسرير، فيتّصف بوصف العلّيّة الفاعليّة، وموجب لإقدامه على إيجاده في الخارج، فيتّصف بوصف العلّيّة الغائيّة، ومن حيث الوجود الخارجيّ معلول للسرير؛ لوضوح أنّ الجلوس في الخارج عليه</w:t>
      </w:r>
      <w:r>
        <w:rPr>
          <w:rStyle w:val="FootnoteAnchor"/>
          <w:rtl w:val="true"/>
        </w:rPr>
        <w:footnoteReference w:id="321"/>
      </w:r>
      <w:r>
        <w:rPr>
          <w:rFonts w:ascii="Amiri" w:hAnsi="Amiri" w:eastAsia="Amiri" w:cs="Amiri"/>
          <w:color w:val="111111"/>
          <w:sz w:val="28"/>
          <w:sz w:val="28"/>
          <w:szCs w:val="28"/>
          <w:rtl w:val="true"/>
          <w:lang w:bidi="ar-SA"/>
        </w:rPr>
        <w:t>إنّما يتحقّق بعد وجوده</w:t>
      </w:r>
      <w:r>
        <w:rPr>
          <w:rStyle w:val="FootnoteAnchor"/>
          <w:rtl w:val="true"/>
        </w:rPr>
        <w:footnoteReference w:id="322"/>
      </w:r>
      <w:r>
        <w:rPr>
          <w:rFonts w:ascii="Amiri" w:hAnsi="Amiri" w:eastAsia="Amiri" w:cs="Amiri"/>
          <w:color w:val="111111"/>
          <w:sz w:val="28"/>
          <w:sz w:val="28"/>
          <w:szCs w:val="28"/>
          <w:rtl w:val="true"/>
          <w:lang w:bidi="ar-SA"/>
        </w:rPr>
        <w:t>، هذا ملخّص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لأنّه لا شبهة في أنّ الشرط وعدم المانع ممّا توقّف عليه وجود المعلول، فيكون من العلل الناقصة مع عدم الاندراج فيما ذكر من الأقسام؛ لأنّهما وإن كانا من الأمور الخارجة عن المعلول، إلّا أنّهما ليسا ممّا يصدر منه ولا لأجله وجود المعلول، ولهذا ذهب بعض الأعلام إلى تخميس القسمة في المقام، فقال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العلّة الناقصة إن كانت داخلة في المعلول، فهي المادّيّة إن كان بها وجود الشيء بالقوّة، وإلّا فالصوريّة، وهي إذا حصلت كان الشيء معه موجودًا بالفعل، وإن كانت خارجة، فهي العلّة الفاعليّة إن كان منها وجود الشيء، والغائيّة إن كان </w:t>
      </w:r>
    </w:p>
    <w:p>
      <w:pPr>
        <w:pStyle w:val="BookText"/>
        <w:rPr/>
      </w:pPr>
      <w:r>
        <w:rPr>
          <w:rFonts w:ascii="Amiri" w:hAnsi="Amiri" w:eastAsia="Amiri" w:cs="Amiri"/>
          <w:color w:val="111111"/>
          <w:sz w:val="28"/>
          <w:sz w:val="28"/>
          <w:szCs w:val="28"/>
          <w:rtl w:val="true"/>
          <w:lang w:bidi="ar-SA"/>
        </w:rPr>
        <w:t>لأجلها الشيء، والشرط إن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المانع داخل في الشرط؛ لأنّ المراد من الشرط هنا ما كان موقوفًا عليه شيء وخارجًا عنه، ليس وجوده منه ولا لأجله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بقي في المقام إيراد مشهور، وهو أنّ الشرط جزء للعلّة التامّة؛ لما تقدّم من أنّ المراد بها ما لا يكون الشيء متوقّفًا على الخارج عنه، فلا يتحقّق</w:t>
      </w:r>
      <w:r>
        <w:rPr>
          <w:rStyle w:val="FootnoteAnchor"/>
          <w:rtl w:val="true"/>
        </w:rPr>
        <w:footnoteReference w:id="324"/>
      </w:r>
      <w:r>
        <w:rPr>
          <w:rFonts w:ascii="Amiri" w:hAnsi="Amiri" w:eastAsia="Amiri" w:cs="Amiri"/>
          <w:color w:val="111111"/>
          <w:sz w:val="28"/>
          <w:sz w:val="28"/>
          <w:szCs w:val="28"/>
          <w:rtl w:val="true"/>
          <w:lang w:bidi="ar-SA"/>
        </w:rPr>
        <w:t>العلّة التامّة إلّا بعد دخول الشرائط فيها؛ لأنّ الشرط ممّا يتوقّف عليه أيضًا،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الشرائط عدم المانع، وهو عدميّ، فلا يجوز أن يكون جزءًا من العلّة التامّة، وإلّا لم يكن</w:t>
      </w:r>
      <w:r>
        <w:rPr>
          <w:rStyle w:val="FootnoteAnchor"/>
          <w:rtl w:val="true"/>
        </w:rPr>
        <w:footnoteReference w:id="325"/>
      </w:r>
      <w:r>
        <w:rPr>
          <w:rFonts w:ascii="Amiri" w:hAnsi="Amiri" w:eastAsia="Amiri" w:cs="Amiri"/>
          <w:color w:val="111111"/>
          <w:sz w:val="28"/>
          <w:sz w:val="28"/>
          <w:szCs w:val="28"/>
          <w:rtl w:val="true"/>
          <w:lang w:bidi="ar-SA"/>
        </w:rPr>
        <w:t>العلّة التامّة موجودة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 ذلك بعضهم بأنّ العلّة التامّة لا يجب أن يكون</w:t>
      </w:r>
      <w:r>
        <w:rPr>
          <w:rStyle w:val="FootnoteAnchor"/>
          <w:rtl w:val="true"/>
        </w:rPr>
        <w:footnoteReference w:id="326"/>
      </w:r>
      <w:r>
        <w:rPr>
          <w:rFonts w:ascii="Amiri" w:hAnsi="Amiri" w:eastAsia="Amiri" w:cs="Amiri"/>
          <w:color w:val="111111"/>
          <w:sz w:val="28"/>
          <w:sz w:val="28"/>
          <w:szCs w:val="28"/>
          <w:rtl w:val="true"/>
          <w:lang w:bidi="ar-SA"/>
        </w:rPr>
        <w:t>وجوديّة بجميع أجزائها، بل الواجب وجود العلّة الموجودة فيها؛ لكونها مفيدة للوجود، ولا امتناع في توقّف الإيجاد على قيد عدميّ، 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عدم المانع عدميّ مطلقًا، وإنّما يكون كذلك لو كان المانع أمرًا وجوديًّا، لا مطلقًا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428" w:name="pg16214_221619"/>
    </w:p>
    <w:p>
      <w:pPr>
        <w:pStyle w:val="Heading5"/>
        <w:numPr>
          <w:ilvl w:val="4"/>
          <w:numId w:val="1"/>
        </w:numPr>
        <w:rPr/>
      </w:pPr>
      <w:bookmarkStart w:id="429" w:name="__RefHeading___Toc3519893_1280447820"/>
      <w:bookmarkStart w:id="430" w:name="_Toc165"/>
      <w:bookmarkEnd w:id="428"/>
      <w:bookmarkEnd w:id="429"/>
      <w:r>
        <w:rPr>
          <w:rtl w:val="true"/>
        </w:rPr>
        <w:t>التنبيه على أمور</w:t>
      </w:r>
      <w:bookmarkEnd w:id="430"/>
    </w:p>
    <w:p>
      <w:pPr>
        <w:pStyle w:val="Heading6"/>
        <w:numPr>
          <w:ilvl w:val="5"/>
          <w:numId w:val="1"/>
        </w:numPr>
        <w:rPr/>
      </w:pPr>
      <w:bookmarkStart w:id="431" w:name="__RefHeading___Toc3519895_1280447820"/>
      <w:bookmarkStart w:id="432" w:name="_Toc166"/>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وينبغي التنبيه هنا على أمور</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3519897_1280447820"/>
      <w:bookmarkStart w:id="434" w:name="_Toc167"/>
      <w:bookmarkEnd w:id="433"/>
      <w:r>
        <w:rPr>
          <w:rtl w:val="true"/>
        </w:rPr>
        <w:t>الأمر الأوّل</w:t>
      </w:r>
      <w:bookmarkEnd w:id="434"/>
    </w:p>
    <w:p>
      <w:pPr>
        <w:pStyle w:val="BookText"/>
        <w:rPr/>
      </w:pPr>
      <w:r>
        <w:rPr>
          <w:rFonts w:ascii="Amiri" w:hAnsi="Amiri" w:eastAsia="Amiri" w:cs="Amiri"/>
          <w:color w:val="111111"/>
          <w:sz w:val="28"/>
          <w:sz w:val="28"/>
          <w:szCs w:val="28"/>
          <w:rtl w:val="true"/>
          <w:lang w:bidi="ar-SA"/>
        </w:rPr>
        <w:t>المعلول لا يجب أن يكون له جميع ما ذكر من أقسام العلّة دائمًا</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يتوهّمن ممّا ذكر أنّ كلّ معلول يجب أن يكون له جميع الأقسام المذكورة للعلّة الناقصة حتّى تكون علّته التامّة مشتملة على جميعها، فإنّ المعلول المجرّد لا تكون له علّة مادّيّة ولا صوريّة،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فاعل المعلول غير شاعر لما يصدر عنه، فلا يكون له علّة غائيّة، وقد لا يتوقّف صدور المعلول على وجود أمر ولا عدمه، فلا يكون له شرط؛ ولهذا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لا بدّ في كلّ معلول هو العلّة الفاعليّة، فربما تكون وحدها تامّة كافية في إيجاده، وربما ينضمّ إليها أمر أو أمران من الأمور المذكورة، فيستقلّ معه بالتأثير، وقد ينضاف إليها الجميع، فيتمّ العلّيّة</w:t>
      </w:r>
      <w:r>
        <w:rPr>
          <w:rStyle w:val="FootnoteAnchor"/>
          <w:rtl w:val="true"/>
        </w:rPr>
        <w:footnoteReference w:id="32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أنّه بناءً على ما ذكر من أنّ العلّة الفاعليّة قد تكون وحدها تامّة كافية في إيجاده، فجعل العلّة الفاعليّة على سبيل الإطلاق من أقسام العلّة الناقصة ممّا لا وجه له، فتأمّل</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435" w:name="pg16214_221620"/>
    </w:p>
    <w:p>
      <w:pPr>
        <w:pStyle w:val="Heading6"/>
        <w:numPr>
          <w:ilvl w:val="5"/>
          <w:numId w:val="1"/>
        </w:numPr>
        <w:rPr/>
      </w:pPr>
      <w:bookmarkStart w:id="436" w:name="__RefHeading___Toc3519899_1280447820"/>
      <w:bookmarkStart w:id="437" w:name="_Toc168"/>
      <w:bookmarkEnd w:id="435"/>
      <w:bookmarkEnd w:id="436"/>
      <w:r>
        <w:rPr>
          <w:rtl w:val="true"/>
        </w:rPr>
        <w:t>الأمر الثاني</w:t>
      </w:r>
      <w:r>
        <w:rPr>
          <w:rtl w:val="true"/>
        </w:rPr>
        <w:t xml:space="preserve">: </w:t>
      </w:r>
      <w:r>
        <w:rPr>
          <w:rtl w:val="true"/>
        </w:rPr>
        <w:t>ذكر اختلاف الأعلام في التعبير عن هذه العلاقة</w:t>
      </w:r>
      <w:bookmarkEnd w:id="437"/>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مقالة الأعلام في التعبير عن هذه العلاقة، فبعضهم عبّر عنها بالعلّة والمعلول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بالسبب والمسبّب، والمراد واحد، فعلى هذا ينقسم السبب أيضًا إلى تامّ وناقص، ويحدّ كلّ منهما بما سبق من أنّ السبب التامّ هو ما لم يكن الشيء متوقّفًا على الخارج عنه، والناقص ما كان متوقّفًا عليه وعلى الخارج عنه أيضًا، والناقص ينقسم إلى ما ذكر من الأقسام الأربعة،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مادّي وصوريّ وفاعليّ وغائيّ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هنا إشكال، وهو أنّ ما اشتهر في الكتب والألسنة من أنّ السبب هو ما يلزم من وجوده الوجود ومن عدمه العدم، لا يخلو إمّا أن يجعل ذلك حدًّا للسبب التامّ، أو لمطلق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كليهما نظر، 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انتقاض طرد الحدّ بدخول السبب الصوريّ فيه؛ لما عرفت من أنّ وجود المسبّب لا ينفكّ عنه، فيلزم من وجوده الوجود ومن عدمه العدم، فيلزم أن يكون تامًّا مع أنّه ناقص، 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فلانتقاض عكسه بخروج غير الصوريّ من الأقسام الناقصة للسبب الناقص؛ لأنّها وإن كانت ممّا يلزم من عدمها العدم، لكن لا يلزم من وجودها الوجود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أنّا نختار الأوّل؛ لأنّه المتبادر عند الإطلاق، ونمنع انتقاض الطرد بما ذكر؛ لأنّ 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السبب ما يلزم من وجوده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 يكون وجوده كافيًا في وجود المسبّب ويكون وجوده منه، ولا شبهة في عدم تحقّقه بالنسبة إلى السبب الصوريّ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ما هناك أنّ وجود المسبّب لا ينفك عنه، وأين هو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w:t>
      </w:r>
      <w:bookmarkStart w:id="438" w:name="pg16214_221621"/>
    </w:p>
    <w:p>
      <w:pPr>
        <w:pStyle w:val="BookText"/>
        <w:rPr/>
      </w:pPr>
      <w:bookmarkEnd w:id="438"/>
      <w:r>
        <w:rPr>
          <w:rFonts w:ascii="Amiri" w:hAnsi="Amiri" w:eastAsia="Amiri" w:cs="Amiri"/>
          <w:color w:val="111111"/>
          <w:sz w:val="28"/>
          <w:sz w:val="28"/>
          <w:szCs w:val="28"/>
          <w:rtl w:val="true"/>
          <w:lang w:bidi="ar-SA"/>
        </w:rPr>
        <w:t>يلزم أن تكون جميع الأقسام المذكورة للسبب الناقص من جملة الشرائط، لما قالوا من أنّ الشرط هو ما لا يلزم من وجوده الوجود، بل يلزم من عدمه العدم، وكلّ من تلك الأقسام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التزام ذلك، إذ لا مشاحّة في الاصطلاح، إلّا أنّ المتبادر من الشرط الموقوف عليه الخارجيّ، فيشكل بالسبب المادّي والصوريّ؛ لأنّهما من الأجزاء كما لا يخفى</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3519901_1280447820"/>
      <w:bookmarkStart w:id="440" w:name="_Toc169"/>
      <w:bookmarkEnd w:id="439"/>
      <w:r>
        <w:rPr>
          <w:rtl w:val="true"/>
        </w:rPr>
        <w:t>الأمر الثالث</w:t>
      </w:r>
      <w:r>
        <w:rPr>
          <w:rtl w:val="true"/>
        </w:rPr>
        <w:t xml:space="preserve">: </w:t>
      </w:r>
      <w:r>
        <w:rPr>
          <w:rtl w:val="true"/>
        </w:rPr>
        <w:t>في أنّ جواز التجوّز في المقام عامّ في جميع الأقسام</w:t>
      </w:r>
      <w:bookmarkEnd w:id="440"/>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جواز التجوّز في المقام هل هو عامّ في جميع الأقسام، أو مختصّ بالبعض؟</w:t>
      </w:r>
    </w:p>
    <w:p>
      <w:pPr>
        <w:pStyle w:val="BookText"/>
        <w:rPr/>
      </w:pPr>
      <w:r>
        <w:rPr>
          <w:rFonts w:ascii="Amiri" w:hAnsi="Amiri" w:eastAsia="Amiri" w:cs="Amiri"/>
          <w:color w:val="111111"/>
          <w:sz w:val="28"/>
          <w:sz w:val="28"/>
          <w:szCs w:val="28"/>
          <w:rtl w:val="true"/>
          <w:lang w:bidi="ar-SA"/>
        </w:rPr>
        <w:t>والظاهر من كلماتهم الأوّل، فينبغي التمثيل لكلّ من الأقسام حتّى يتبيّن</w:t>
      </w:r>
      <w:r>
        <w:rPr>
          <w:rStyle w:val="FootnoteAnchor"/>
          <w:rtl w:val="true"/>
        </w:rPr>
        <w:footnoteReference w:id="330"/>
      </w:r>
      <w:r>
        <w:rPr>
          <w:rFonts w:ascii="Amiri" w:hAnsi="Amiri" w:eastAsia="Amiri" w:cs="Amiri"/>
          <w:color w:val="111111"/>
          <w:sz w:val="28"/>
          <w:sz w:val="28"/>
          <w:szCs w:val="28"/>
          <w:rtl w:val="true"/>
          <w:lang w:bidi="ar-SA"/>
        </w:rPr>
        <w:t>الأمر ويظهر المرام،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إطلاق السبب الفاعليّ على المسبّب، فكقولك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رعينا الغيث، إذ المراد به النبات، ووجوده ظاهرًا</w:t>
      </w:r>
      <w:r>
        <w:rPr>
          <w:rStyle w:val="FootnoteAnchor"/>
          <w:rtl w:val="true"/>
        </w:rPr>
        <w:footnoteReference w:id="331"/>
      </w:r>
      <w:r>
        <w:rPr>
          <w:rFonts w:ascii="Amiri" w:hAnsi="Amiri" w:eastAsia="Amiri" w:cs="Amiri"/>
          <w:color w:val="111111"/>
          <w:sz w:val="28"/>
          <w:sz w:val="28"/>
          <w:szCs w:val="28"/>
          <w:rtl w:val="true"/>
          <w:lang w:bidi="ar-SA"/>
        </w:rPr>
        <w:t>من الغيث، فأطلق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النعمة،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كثرت أيادي فلان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نعمه، فالنعمة لمّا كانت غالبًا صادرة من اليد، تكون اليد علّة فاعليّة 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مثّل لذلك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رَبُّكَ</w:t>
      </w:r>
      <w:r>
        <w:rPr>
          <w:rStyle w:val="FootnoteAnchor"/>
          <w:rtl w:val="true"/>
        </w:rPr>
        <w:footnoteReference w:id="332"/>
      </w:r>
      <w:r>
        <w:rPr>
          <w:rFonts w:ascii="Amiri" w:hAnsi="Amiri" w:eastAsia="Amiri" w:cs="Amiri"/>
          <w:color w:val="111111"/>
          <w:sz w:val="28"/>
          <w:sz w:val="28"/>
          <w:szCs w:val="28"/>
          <w:rtl w:val="true"/>
          <w:lang w:bidi="ar-SA"/>
        </w:rPr>
        <w:t>، إذ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أمر ربّك؛ وهو </w:t>
      </w:r>
    </w:p>
    <w:p>
      <w:pPr>
        <w:pStyle w:val="BookText"/>
        <w:rPr/>
      </w:pPr>
      <w:r>
        <w:rPr>
          <w:rFonts w:ascii="Amiri" w:hAnsi="Amiri" w:eastAsia="Amiri" w:cs="Amiri"/>
          <w:color w:val="111111"/>
          <w:sz w:val="28"/>
          <w:sz w:val="28"/>
          <w:szCs w:val="28"/>
          <w:rtl w:val="true"/>
          <w:lang w:bidi="ar-SA"/>
        </w:rPr>
        <w:t>معلول له تعالى، وهو علّته 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مقتضى 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الاستعمال من إطلاق السبب على المسبّب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أنّه لو أقيم المسبّب مقامه وعبّر به عنه؛ لاستقام الكلام من غير تجوّز وإبرام،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رعينا الغيث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بدّلت الغيث بالنبات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رعينا 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لاستقام الكلام من غير تجوّز، وليس الأمر في الآية الشريفة كذلك، إذ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أمرك، لم يستقم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أمر ربّك، فهو مسلّم، لكنّه لا دخل له لما نحن فيه، بل من باب 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 اسم المسبّب على السبب الفاعليّ، فكقولك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أمطرت السماء نباتًا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المراد من النبات الغيث، وقد عرفت أنّه سببٌ فاعليٌّ ظاهرًا للنبات،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السماء غيثًا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 السبب المادّي على المسبّب، فقد مثّل له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إذ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الماء،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سببًا مادّيًّا للماء، بل الظاهر أنّه إمّا من إطلاق اسم المحلّ على الحالّ، أو من باب تسمية الشيء باسم مجاوره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توجيه ذلك بما مرّ من أنّ المراد من السبب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قوّة وجود المسبّب، إمّا بصيرورته إيّاه، أو بتحقّقه فيه، كالنقش في اللوح والماء بالنسبة إلى الوادي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فلو مثّلت لذلك بإطلاق الخشب على السرير، كما في قولك</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الأمير على الخشب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عكسه</w:t>
      </w:r>
      <w:r>
        <w:rPr>
          <w:rStyle w:val="FootnoteAnchor"/>
          <w:rtl w:val="true"/>
        </w:rPr>
        <w:footnoteReference w:id="333"/>
      </w:r>
      <w:r>
        <w:rPr>
          <w:rFonts w:ascii="Amiri" w:hAnsi="Amiri" w:eastAsia="Amiri" w:cs="Amiri"/>
          <w:color w:val="111111"/>
          <w:sz w:val="28"/>
          <w:sz w:val="28"/>
          <w:szCs w:val="28"/>
          <w:rtl w:val="true"/>
          <w:lang w:bidi="ar-SA"/>
        </w:rPr>
        <w:t>، فيمكن التمثيل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أَرَانِي أَعْصِرُ خَمْرًا</w:t>
      </w:r>
      <w:r>
        <w:rPr>
          <w:rStyle w:val="FootnoteAnchor"/>
          <w:rtl w:val="true"/>
        </w:rPr>
        <w:footnoteReference w:id="334"/>
      </w:r>
      <w:r>
        <w:rPr>
          <w:rFonts w:ascii="Amiri" w:hAnsi="Amiri" w:eastAsia="Amiri" w:cs="Amiri"/>
          <w:color w:val="111111"/>
          <w:sz w:val="28"/>
          <w:sz w:val="28"/>
          <w:szCs w:val="28"/>
          <w:rtl w:val="true"/>
          <w:lang w:bidi="ar-SA"/>
        </w:rPr>
        <w:t>، إذا فسّر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أعصر عنبًا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أنّ العنب سبب مادّيّ للخمر</w:t>
      </w:r>
      <w:r>
        <w:rPr>
          <w:rStyle w:val="FootnoteAnchor"/>
          <w:rtl w:val="true"/>
        </w:rPr>
        <w:footnoteReference w:id="335"/>
      </w:r>
      <w:r>
        <w:rPr>
          <w:rFonts w:ascii="Amiri" w:hAnsi="Amiri" w:eastAsia="Amiri" w:cs="Amiri"/>
          <w:color w:val="111111"/>
          <w:sz w:val="28"/>
          <w:sz w:val="28"/>
          <w:szCs w:val="28"/>
          <w:rtl w:val="true"/>
          <w:lang w:bidi="ar-SA"/>
        </w:rPr>
        <w:t xml:space="preserve">، فأطلق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 السبب الغائيّ على المسبّب، فقد مثّل له جمعٌ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أَرَانِي أَعْصِرُ خَمْرًا، إذا فسّر</w:t>
      </w:r>
      <w:r>
        <w:rPr>
          <w:rStyle w:val="FootnoteAnchor"/>
          <w:rtl w:val="true"/>
        </w:rPr>
        <w:footnoteReference w:id="336"/>
      </w:r>
      <w:r>
        <w:rPr>
          <w:rFonts w:ascii="Amiri" w:hAnsi="Amiri" w:eastAsia="Amiri" w:cs="Amiri"/>
          <w:color w:val="111111"/>
          <w:sz w:val="28"/>
          <w:sz w:val="28"/>
          <w:szCs w:val="28"/>
          <w:rtl w:val="true"/>
          <w:lang w:bidi="ar-SA"/>
        </w:rPr>
        <w:t>على ما تقدّم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الخمر ليست سببًا غائيًّا للعنب، بل لعصره، نعم، يتوجّه ذلك فيما إذا فسّر بأنّي أراني اشتغل بالعصر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 السبب الصوريّ على المسبّب، فقد قيل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إطلاق القدرة على اليد من هذا القبيل، فإنّ القدرة تشابه الصورة لليد من حيث إنّ الأثر الصادر عن اليد لا يكون إلّا بتوسّط القدرة، فكانت كالجسم</w:t>
      </w:r>
      <w:r>
        <w:rPr>
          <w:rStyle w:val="FootnoteAnchor"/>
          <w:rtl w:val="true"/>
        </w:rPr>
        <w:footnoteReference w:id="338"/>
      </w:r>
      <w:r>
        <w:rPr>
          <w:rFonts w:ascii="Amiri" w:hAnsi="Amiri" w:eastAsia="Amiri" w:cs="Amiri"/>
          <w:color w:val="111111"/>
          <w:sz w:val="28"/>
          <w:sz w:val="28"/>
          <w:szCs w:val="28"/>
          <w:rtl w:val="true"/>
          <w:lang w:bidi="ar-SA"/>
        </w:rPr>
        <w:t>الّذي لا يؤثّر إلّا بتوسّط صورته، ولحلول القدرة فيها، كحلول الصورة في المادّة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نظر؛ لأنّ غاية ما يلزم من ذلك شباهة القوّة للصورة، فيصحّح بها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القوّة، ولا يلزم من ذلك كون القدرة صورة لليد، كما هو المراد، والمثال المطابق لا بدّ أن يكون من قبيل إطلاق الصورة الجسميّة على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الصوريّ والمادّيّ ومسبّبهما لمّا كان مندرجًا تحت الجزء والكلّ والحالّ والمحلّ، لم يتعرّض جميع العلماء لذكرهما؛ لشمول ما ذكروه لهما، والكلام في صدق الحدّ المذكور للعلاقة على هذه الأقسام للعلّة يظهر بعد الإحاطة بما أسلفنا لك، فلا يحتاج إلى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العلماء لمّا تسامحوا في أمر العلاقات وبالغوا في تحقيقها في الإيجاز والاختصار، مع أنّها كانت من الأمور المهمّة؛ لِما يترتّب عليها من الفوائد المتكثّرة، تعرّضنا بإعانة الله سبحانه لكشف الحجاب عن حالها ورفض جلباب الجهل عن فنائها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لمّا طال الكلام في بيان ما ذكر من الأقسام وأمكن للمطّلع بما ذكرناه تحقيق حال الباقية</w:t>
      </w:r>
      <w:r>
        <w:rPr>
          <w:rStyle w:val="FootnoteAnchor"/>
          <w:rtl w:val="true"/>
        </w:rPr>
        <w:footnoteReference w:id="340"/>
      </w:r>
      <w:r>
        <w:rPr>
          <w:rFonts w:ascii="Amiri" w:hAnsi="Amiri" w:eastAsia="Amiri" w:cs="Amiri"/>
          <w:color w:val="111111"/>
          <w:sz w:val="28"/>
          <w:sz w:val="28"/>
          <w:szCs w:val="28"/>
          <w:rtl w:val="true"/>
          <w:lang w:bidi="ar-SA"/>
        </w:rPr>
        <w:t>، اكتفينا بتحقيق الأقسام المذكورة، حذرًا عن كثرة الإطالة الموجبة للملالة والكلالة</w:t>
      </w:r>
      <w:r>
        <w:rPr>
          <w:rFonts w:eastAsia="Amiri" w:cs="Amiri" w:ascii="Amiri" w:hAnsi="Amiri"/>
          <w:color w:val="111111"/>
          <w:sz w:val="28"/>
          <w:szCs w:val="28"/>
          <w:rtl w:val="true"/>
          <w:lang w:bidi="ar-SA"/>
        </w:rPr>
        <w:t xml:space="preserve">. </w:t>
      </w:r>
      <w:bookmarkStart w:id="441" w:name="pg16214_221625"/>
    </w:p>
    <w:p>
      <w:pPr>
        <w:pStyle w:val="BookText"/>
        <w:rPr/>
      </w:pPr>
      <w:bookmarkEnd w:id="441"/>
      <w:r>
        <w:rPr>
          <w:rFonts w:ascii="Amiri" w:hAnsi="Amiri" w:eastAsia="Amiri" w:cs="Amiri"/>
          <w:color w:val="111111"/>
          <w:sz w:val="28"/>
          <w:sz w:val="28"/>
          <w:szCs w:val="28"/>
          <w:rtl w:val="true"/>
          <w:lang w:bidi="ar-SA"/>
        </w:rPr>
        <w:t>نقل آحاد المجاز ليس بشرط في التجوّز</w:t>
      </w:r>
    </w:p>
    <w:p>
      <w:pPr>
        <w:pStyle w:val="Heading3"/>
        <w:numPr>
          <w:ilvl w:val="2"/>
          <w:numId w:val="1"/>
        </w:numPr>
        <w:rPr/>
      </w:pPr>
      <w:bookmarkStart w:id="442" w:name="__RefHeading___Toc3519903_1280447820"/>
      <w:bookmarkStart w:id="443" w:name="_Toc170"/>
      <w:bookmarkEnd w:id="442"/>
      <w:r>
        <w:rPr>
          <w:rtl w:val="true"/>
        </w:rPr>
        <w:t>المبحث الثالث</w:t>
      </w:r>
      <w:r>
        <w:rPr>
          <w:rtl w:val="true"/>
        </w:rPr>
        <w:t xml:space="preserve">: </w:t>
      </w:r>
      <w:r>
        <w:rPr>
          <w:rtl w:val="true"/>
        </w:rPr>
        <w:t>في أنّه هل يكتفي في التجوّز بوجدان العلاقة أو يشترط مع ذلك نقل الآحاد عن أهل اللغة</w:t>
      </w:r>
      <w:bookmarkEnd w:id="443"/>
    </w:p>
    <w:p>
      <w:pPr>
        <w:pStyle w:val="Heading4"/>
        <w:numPr>
          <w:ilvl w:val="3"/>
          <w:numId w:val="1"/>
        </w:numPr>
        <w:rPr/>
      </w:pPr>
      <w:bookmarkStart w:id="444" w:name="__RefHeading___Toc3519905_1280447820"/>
      <w:bookmarkStart w:id="445" w:name="_Toc171"/>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فيه خلاف بين الأعلام، والحقّ وفاقًا للأكثر هو الأوّل</w:t>
      </w:r>
      <w:r>
        <w:rPr>
          <w:rStyle w:val="FootnoteAnchor"/>
          <w:rtl w:val="true"/>
        </w:rPr>
        <w:footnoteReference w:id="341"/>
      </w:r>
      <w:r>
        <w:rPr>
          <w:rFonts w:ascii="Amiri" w:hAnsi="Amiri" w:eastAsia="Amiri" w:cs="Amiri"/>
          <w:color w:val="111111"/>
          <w:sz w:val="28"/>
          <w:sz w:val="28"/>
          <w:szCs w:val="28"/>
          <w:rtl w:val="true"/>
          <w:lang w:bidi="ar-SA"/>
        </w:rPr>
        <w:t>، ويدلّ على ذلك وجوه من الأدلّة</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3519907_1280447820"/>
      <w:bookmarkStart w:id="447" w:name="_Toc172"/>
      <w:bookmarkEnd w:id="446"/>
      <w:r>
        <w:rPr>
          <w:rtl w:val="true"/>
        </w:rPr>
        <w:t>الدليل الأوّل للقول بعدم الاشتراط</w:t>
      </w:r>
      <w:bookmarkEnd w:id="44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وضع الألفاظ للإفادة والاستفادة، وأنّ فتح باب المجازات لتحصيل الأمور المعتبرة في البلاغة والفصاحة، ونعلم أنّ الواضع إنّما اعتبر العلاقة فيها ليحصل</w:t>
      </w:r>
      <w:r>
        <w:rPr>
          <w:rStyle w:val="FootnoteAnchor"/>
          <w:rtl w:val="true"/>
        </w:rPr>
        <w:footnoteReference w:id="342"/>
      </w:r>
      <w:r>
        <w:rPr>
          <w:rFonts w:ascii="Amiri" w:hAnsi="Amiri" w:eastAsia="Amiri" w:cs="Amiri"/>
          <w:color w:val="111111"/>
          <w:sz w:val="28"/>
          <w:sz w:val="28"/>
          <w:szCs w:val="28"/>
          <w:rtl w:val="true"/>
          <w:lang w:bidi="ar-SA"/>
        </w:rPr>
        <w:t>الدلالة، فتتحقّق 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دلالة اللفظ على المعنى إمّا هو لوضعه له، فلا يمكن الدلالة بالنسبة إلى ما لم يوضع له؛ لانتفاء مقتضيها، إلّا فيما كان بينه وبين الموضوع له مناسبة، فلأجل تلك المناسبة مع قيام القرينة المانعة عن إرادة الموضوع له ربّما يمكن الانتقال إلى المعنى المناسب، فلذلك اعتبرت المناسبة والعلاقة في المجازات كما تقدّم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 الألفاظ واعتبار العلاقة في المجازات لمّا كان </w:t>
      </w:r>
      <w:bookmarkStart w:id="448" w:name="pg16214_221626"/>
    </w:p>
    <w:p>
      <w:pPr>
        <w:pStyle w:val="BookText"/>
        <w:rPr/>
      </w:pPr>
      <w:bookmarkEnd w:id="448"/>
      <w:r>
        <w:rPr>
          <w:rFonts w:ascii="Amiri" w:hAnsi="Amiri" w:eastAsia="Amiri" w:cs="Amiri"/>
          <w:color w:val="111111"/>
          <w:sz w:val="28"/>
          <w:sz w:val="28"/>
          <w:szCs w:val="28"/>
          <w:rtl w:val="true"/>
          <w:lang w:bidi="ar-SA"/>
        </w:rPr>
        <w:t>لذلك، يعلم بالقطع واليقين لا بالظنّ والتخمين أنّ مقصود الواضع اعتبار أصل العلاقة في المعنى المجازيّ من دون مدخليّة فيه لمستعمل دون غيره، ومعنى دون آخر، ولفظ دون سواه، فينبغي أن يجوّز التجوّز بمجرّد وجدان العلاقة ولو لم يصدر الاستعمال من مستعمل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الأمر كذلك، ينبغي أن لا يشترط نقل نوع العلاقة من الواضع أيضًا، إذ مقتضى ما ذكرت كفاية العلاقة مطلقًا في التجوّز، مع أنّكم لا تقولون بذلك، فيعلم أنّ الأمر ليس على ما ذكرت، فحينئذٍ لا بدّ من الاقتصار في التجوّز على ما نقل من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نقل أصل العلاقة من الواضع إنّما هو لتعيين نوع العلاقة الّتي يمكن بسببها حصول الدلالة؛ لعدم الأمن من العلم بذلك لغيره</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3519909_1280447820"/>
      <w:bookmarkStart w:id="450" w:name="_Toc173"/>
      <w:bookmarkEnd w:id="449"/>
      <w:r>
        <w:rPr>
          <w:rtl w:val="true"/>
        </w:rPr>
        <w:t>الدليل الثاني للقول بعدم الاشتراط</w:t>
      </w:r>
      <w:bookmarkEnd w:id="450"/>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كان نقل الآحاد شرطًا، اقتصر أهل العربيّة على ما ثبت</w:t>
      </w:r>
      <w:r>
        <w:rPr>
          <w:rStyle w:val="FootnoteAnchor"/>
          <w:rtl w:val="true"/>
        </w:rPr>
        <w:footnoteReference w:id="343"/>
      </w:r>
      <w:r>
        <w:rPr>
          <w:rFonts w:ascii="Amiri" w:hAnsi="Amiri" w:eastAsia="Amiri" w:cs="Amiri"/>
          <w:color w:val="111111"/>
          <w:sz w:val="28"/>
          <w:sz w:val="28"/>
          <w:szCs w:val="28"/>
          <w:rtl w:val="true"/>
          <w:lang w:bidi="ar-SA"/>
        </w:rPr>
        <w:t>فيه النقل، والتالي باطل، فالمقدّم مثله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الملازمة فبيّنة، إذ النقل حينئذٍ شرط في التجوّز، وانتفاء الشرط يستلزم انتفاء المشروط</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بطلان التالي؛ فلأنّ من تتبّع استعمالاتهم وتصفّح تفاصيل محاوراتهم في </w:t>
      </w:r>
    </w:p>
    <w:p>
      <w:pPr>
        <w:pStyle w:val="BookText"/>
        <w:rPr/>
      </w:pPr>
      <w:r>
        <w:rPr>
          <w:rFonts w:ascii="Amiri" w:hAnsi="Amiri" w:eastAsia="Amiri" w:cs="Amiri"/>
          <w:color w:val="111111"/>
          <w:sz w:val="28"/>
          <w:sz w:val="28"/>
          <w:szCs w:val="28"/>
          <w:rtl w:val="true"/>
          <w:lang w:bidi="ar-SA"/>
        </w:rPr>
        <w:t>نظمهم ونثرهم، يعلم بالقطع واليقين لا بالظنّ والتخمين أنّهم لا يقتصرون على ذلك، بل كلّما كان اختراع المجازات فيه أكثر يحكمون بأنّ ذلك أبلغ، وكانت رغبتهم في الرجوع إلى مثل ذلك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بمن لم يقتصر على الموارد المنقولة إمّا جميع العلماء، أو بعضهم، والأوّل غير ثابت، والثاني غير نافع، أمّا الأوّل فلأنّ المسألة محلّ خلاف، وسيجيء أنّ جماعة منهم لم يجوّزوا التعدّي عن الموارد المنقولة وأوجبوا الجمود عليها، وأمّا الثاني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إطباق أرباب العربيّة، والمخالفة إنّما هي لبعض المدوّنين للكتب وهي غير مضرّة؛ لأنّ حالهم في أمثال ذلك كحالنا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المذكور غير مثبت للمدّعى؛ إذ المدّعى الاكتفاء في التجوّز بتحقّق العلاقة لأيّ مستعمل كان؛ وغاية ما ثبت من ذلك عدم اقتصار علماء العربيّة على الموارد المنقولة من أهل اللغة، ولا يلزم من ذلك جواز التجوّز لأمثالنا ولو مع وجدان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المسألة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نقل الآحاد والعدم، وحيث قد أبطلنا الأوّل، تعيّن الثاني، إذ لا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تقدّم مرارًا أنّ أمر اللغات توقيفيّ، والأمور التوقيفيّة يجب الاقتصار فيها على ما حصلت فيه الرخصة، وعلماء العربيّة حالهم في أمثال ذلك كحالنا، فكيف يجوز لهم التعدّي في الأمور التوقيفيّة؟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اطّلاعهم بسيرة الواضع وطريقته أكثر، وتتبّعهم في مقالاته أشدّ، فحيث قد ظهر علينا عدم اقتصارهم على الموارد المنقولة من تتبّع </w:t>
      </w:r>
      <w:bookmarkStart w:id="451" w:name="pg16214_221628"/>
    </w:p>
    <w:p>
      <w:pPr>
        <w:pStyle w:val="BookText"/>
        <w:rPr/>
      </w:pPr>
      <w:bookmarkEnd w:id="451"/>
      <w:r>
        <w:rPr>
          <w:rFonts w:ascii="Amiri" w:hAnsi="Amiri" w:eastAsia="Amiri" w:cs="Amiri"/>
          <w:color w:val="111111"/>
          <w:sz w:val="28"/>
          <w:sz w:val="28"/>
          <w:szCs w:val="28"/>
          <w:rtl w:val="true"/>
          <w:lang w:bidi="ar-SA"/>
        </w:rPr>
        <w:t>كلماتهم وتصفّح مقالاتهم مع ما ذكر، نعلم</w:t>
      </w:r>
      <w:r>
        <w:rPr>
          <w:rStyle w:val="FootnoteAnchor"/>
          <w:rtl w:val="true"/>
        </w:rPr>
        <w:footnoteReference w:id="345"/>
      </w:r>
      <w:r>
        <w:rPr>
          <w:rFonts w:ascii="Amiri" w:hAnsi="Amiri" w:eastAsia="Amiri" w:cs="Amiri"/>
          <w:color w:val="111111"/>
          <w:sz w:val="28"/>
          <w:sz w:val="28"/>
          <w:szCs w:val="28"/>
          <w:rtl w:val="true"/>
          <w:lang w:bidi="ar-SA"/>
        </w:rPr>
        <w:t>أنّه ظهر عليهم رضا</w:t>
      </w:r>
      <w:r>
        <w:rPr>
          <w:rStyle w:val="FootnoteAnchor"/>
          <w:rtl w:val="true"/>
        </w:rPr>
        <w:footnoteReference w:id="346"/>
      </w:r>
      <w:r>
        <w:rPr>
          <w:rFonts w:ascii="Amiri" w:hAnsi="Amiri" w:eastAsia="Amiri" w:cs="Amiri"/>
          <w:color w:val="111111"/>
          <w:sz w:val="28"/>
          <w:sz w:val="28"/>
          <w:szCs w:val="28"/>
          <w:rtl w:val="true"/>
          <w:lang w:bidi="ar-SA"/>
        </w:rPr>
        <w:t>الواضع في ذلك وأنّ مقصوده اعتبار أصل العلاقة من أيّ مستعمل كان</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3519911_1280447820"/>
      <w:bookmarkStart w:id="453" w:name="_Toc174"/>
      <w:bookmarkEnd w:id="452"/>
      <w:r>
        <w:rPr>
          <w:rtl w:val="true"/>
        </w:rPr>
        <w:t>الدليل الثالث للقول بعدم الاشتراط</w:t>
      </w:r>
      <w:bookmarkEnd w:id="453"/>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كان المجاز نقليًّا؛ لما افتقر إلى النظر في العلاقة، والتالي باطل، فالمقدّم مثله، أمّا الملازمة فلأنّه على هذا التقدير كلّما تحقّق فيه النقل صحّ التجوّز، وإلّا فلا، ولو وجدت عدّة علاقات، فالنظر إلى العلاقة</w:t>
      </w:r>
      <w:r>
        <w:rPr>
          <w:rStyle w:val="FootnoteAnchor"/>
          <w:rtl w:val="true"/>
        </w:rPr>
        <w:footnoteReference w:id="347"/>
      </w:r>
      <w:r>
        <w:rPr>
          <w:rFonts w:ascii="Amiri" w:hAnsi="Amiri" w:eastAsia="Amiri" w:cs="Amiri"/>
          <w:color w:val="111111"/>
          <w:sz w:val="28"/>
          <w:sz w:val="28"/>
          <w:szCs w:val="28"/>
          <w:rtl w:val="true"/>
          <w:lang w:bidi="ar-SA"/>
        </w:rPr>
        <w:t>وعدمه سيّان</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المراد بالافتقار إلى النظر في العلاقة إمّا افتقار الواضع، أو غيره، وعلى الأوّل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بطلان التالي حينئذٍ وإن كان مسلّمًا لما مرّ مشروحًا من عدم جواز استعمال اللفظ في غير الموضوع له إلّا مع تحقّق العلاقة بينه وبين الموضوع له، وهو موقوف على النظر، لكنّ الملازمة ممنوعة كما لا يخفى، إذ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القول باشتراط نقل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التجوّز لغير الواضع إلّا فيما تحقّق فيه النقل، سواء وجدت العلاقة أم لا، لا عدم افتقار الواضع إلى النظر في العلاقة في تجوّزه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افتقار غير الواضع إلى النظر في العلاقة إمّا أن يكون </w:t>
      </w:r>
    </w:p>
    <w:p>
      <w:pPr>
        <w:pStyle w:val="BookText"/>
        <w:rPr/>
      </w:pPr>
      <w:r>
        <w:rPr>
          <w:rFonts w:ascii="Amiri" w:hAnsi="Amiri" w:eastAsia="Amiri" w:cs="Amiri"/>
          <w:color w:val="111111"/>
          <w:sz w:val="28"/>
          <w:sz w:val="28"/>
          <w:szCs w:val="28"/>
          <w:rtl w:val="true"/>
          <w:lang w:bidi="ar-SA"/>
        </w:rPr>
        <w:t>فيما نقل من أهل اللغة، أو في غيره، فإن كان الأوّل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حينئذٍ وإن كانت مسلّمة؛ لأنّ النقل من الواضع يستلزم العلاقة، فلا يفتقر غيره إلى النظر فيها، لكن بطلان التالي ممنوع، ودعوى إطباق أهل العربيّة على النظر فيه غير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باشتراط نقل الآحاد لا يجوز التجوّز في غير المنقول، ومعلوم أنّ النظر في العلاقة متفرّع على الجواز، فالملازمة حينئذٍ مسلّمة أيضًا، لكن بطلان التالي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أنّه لو كان المجاز نقليًّا لما جاز التجوّز في غير المنقول، ولو لم يجز التجوّز في غير المنقول لما افتقر إلى النظر في العلاقة فيه، لكنّهم أطبقوا على الافتقار إلى النظر في العلاقة، وهو يستلزم إطباقهم على جواز التجوّز؛ لوضوح أنّه عند عدم جواز التجوّز في غير المنقول لا وجه للافتقار إلى النظر في العلاقة، فيكون حاصل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بإطباق العربيّة على جواز التجوّز في غير المنقول، وهو يردّ القول باشتراط نقل الآحاد، فيكون هذا الدليل بناءً على هذا التقرير قريبًا من 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اختيار الثاني من شقّيي الترديد، ويمكن الجواب باختيار الأوّل أيضًا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نقل الآحاد من الواضع يتصوّر على 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استعمل اللفظ المخصوص في المعنى المخصوص،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أذن في استعمال هذا اللفظ في هذا المعنى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واستلزامُ النقل تحقّقَ العلاقة مسلّمٌ لو كان من قبيل الثاني، وأمّا لو كان من الأوّل فلا؛ لإمكان أن يكون استعماله فيه على سبيل الغلط فيما</w:t>
      </w:r>
      <w:r>
        <w:rPr>
          <w:rStyle w:val="FootnoteAnchor"/>
          <w:rtl w:val="true"/>
        </w:rPr>
        <w:footnoteReference w:id="349"/>
      </w:r>
      <w:r>
        <w:rPr>
          <w:rFonts w:ascii="Amiri" w:hAnsi="Amiri" w:eastAsia="Amiri" w:cs="Amiri"/>
          <w:color w:val="111111"/>
          <w:sz w:val="28"/>
          <w:sz w:val="28"/>
          <w:szCs w:val="28"/>
          <w:rtl w:val="true"/>
          <w:lang w:bidi="ar-SA"/>
        </w:rPr>
        <w:t xml:space="preserve">إذا كان </w:t>
      </w:r>
      <w:bookmarkStart w:id="454" w:name="pg16214_221630"/>
    </w:p>
    <w:p>
      <w:pPr>
        <w:pStyle w:val="BookText"/>
        <w:rPr/>
      </w:pPr>
      <w:bookmarkEnd w:id="454"/>
      <w:r>
        <w:rPr>
          <w:rFonts w:ascii="Amiri" w:hAnsi="Amiri" w:eastAsia="Amiri" w:cs="Amiri"/>
          <w:color w:val="111111"/>
          <w:sz w:val="28"/>
          <w:sz w:val="28"/>
          <w:szCs w:val="28"/>
          <w:rtl w:val="true"/>
          <w:lang w:bidi="ar-SA"/>
        </w:rPr>
        <w:t>الواضع ممّن تطرّق إليه هذا الاحتمال، فحينئذٍ يفتقر إلى النظر في العلاقة ليظهر عليه تحقّقها،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أن يقال بالافتقار مطلقًا ولو كان من القبيل الثاني؛ لأنّ الغالب في أمثال هذا النقل أن يكون بطريق الآحاد، وحينئذٍ لا يحصل العلم بصدقه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يحصل الظنّ به، والعمل بالظنّ وإن جاز عند انسداد باب العلم، لكن عند إمكان الأقوى يجب تحصيله، ولا شبهة أنّه عند النظر وظهور العلاقة يقوى الظنّ المستفاد من النقل، فينبغي أن يكون افتقار النظر في العلاقة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يمكن أن يكون افتقاره إلى النظر في العلاقة لاستخراج جهات حسن المجاز، فيطّلع على الحكمة الموجبة لهجر الحقيقة</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3519913_1280447820"/>
      <w:bookmarkStart w:id="456" w:name="_Toc175"/>
      <w:bookmarkEnd w:id="455"/>
      <w:r>
        <w:rPr>
          <w:rtl w:val="true"/>
        </w:rPr>
        <w:t>الدليل الرابع للقول بعدم الاشتراط</w:t>
      </w:r>
      <w:bookmarkEnd w:id="456"/>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كان نقليًّا، لزم أن يكون اعتناؤهم في تدوين المجازات كاعتنائهم في تدوين الحقائق، والتالي باطل كما لا يخفى على المتتبّع في كلماتهم وكتبهم المدوّنة،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الملازمة؛ فلأنّه بناءً على هذا القول يكون الأمر في المجازات كالحقائق، فالمقتضي لنقلها متحقّق فيها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لأنّ مقتضى ذلك لزوم نقل الآحاد في الحقائق، وهو ممّا ادّعي الاتّفاق على خلافه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457" w:name="pg16214_221631"/>
    </w:p>
    <w:p>
      <w:pPr>
        <w:pStyle w:val="BookText"/>
        <w:rPr/>
      </w:pPr>
      <w:bookmarkEnd w:id="457"/>
      <w:r>
        <w:rPr>
          <w:rFonts w:ascii="Amiri" w:hAnsi="Amiri" w:eastAsia="Amiri" w:cs="Amiri"/>
          <w:color w:val="111111"/>
          <w:sz w:val="28"/>
          <w:sz w:val="28"/>
          <w:szCs w:val="28"/>
          <w:rtl w:val="true"/>
          <w:lang w:bidi="ar-SA"/>
        </w:rPr>
        <w:t>وأيضًا قد عرفت سابقًا أنّ كثيرًا من الألفاظ يكون الوضع فيه نوعيًّا، وكذا قد يكون الوضع عامًّا والموضوع له خاصًّا، وهو ينافي نقل الآحاد</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3519915_1280447820"/>
      <w:bookmarkStart w:id="459" w:name="_Toc176"/>
      <w:bookmarkEnd w:id="458"/>
      <w:r>
        <w:rPr>
          <w:rtl w:val="true"/>
        </w:rPr>
        <w:t>دليل القائلين بالاشتراط مع الجواب عنه</w:t>
      </w:r>
      <w:bookmarkEnd w:id="459"/>
    </w:p>
    <w:p>
      <w:pPr>
        <w:pStyle w:val="Heading5"/>
        <w:numPr>
          <w:ilvl w:val="4"/>
          <w:numId w:val="1"/>
        </w:numPr>
        <w:rPr/>
      </w:pPr>
      <w:bookmarkStart w:id="460" w:name="__RefHeading___Toc3519917_1280447820"/>
      <w:bookmarkStart w:id="461" w:name="_Toc177"/>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والقول الآخر محكيّ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الرازي</w:t>
      </w:r>
      <w:r>
        <w:rPr>
          <w:rStyle w:val="FootnoteAnchor"/>
          <w:rtl w:val="true"/>
        </w:rPr>
        <w:footnoteReference w:id="352"/>
      </w:r>
      <w:r>
        <w:rPr>
          <w:rFonts w:ascii="Amiri" w:hAnsi="Amiri" w:eastAsia="Amiri" w:cs="Amiri"/>
          <w:color w:val="111111"/>
          <w:sz w:val="28"/>
          <w:sz w:val="28"/>
          <w:szCs w:val="28"/>
          <w:rtl w:val="true"/>
          <w:lang w:bidi="ar-SA"/>
        </w:rPr>
        <w:t>فاشترطوا في التجوّز نقل الآحاد بأعيانها، واستدلّوا على ذلك بوجوه</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3519919_1280447820"/>
      <w:bookmarkStart w:id="463" w:name="_Toc178"/>
      <w:bookmarkEnd w:id="462"/>
      <w:r>
        <w:rPr>
          <w:rtl w:val="true"/>
        </w:rPr>
        <w:t>الدليل الأوّل للقول بالاشتراط</w:t>
      </w:r>
      <w:bookmarkEnd w:id="463"/>
    </w:p>
    <w:p>
      <w:pPr>
        <w:pStyle w:val="Heading6"/>
        <w:numPr>
          <w:ilvl w:val="5"/>
          <w:numId w:val="1"/>
        </w:numPr>
        <w:rPr/>
      </w:pPr>
      <w:bookmarkStart w:id="464" w:name="__RefHeading___Toc3519921_1280447820"/>
      <w:bookmarkStart w:id="465" w:name="_Toc179"/>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يشترط في التجوّز نقل الآحاد، بل اكتفى فيه بوجود العلاقة، لجاز التجوّز كلّما تحقّقت، والتالي باطل، فالمقدّم مثله، أمّا الملازمة فبيّنة، وأمّا بطلان التالي فلعدم جواز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طويل غير الإنسان مع تحقّق المشابهة،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للصيد مع تحقّق المجاورة،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وعكسه مع تحقّق السببيّة والمسببيّة</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أجيب عن ذلك</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الملازمة، إذ العلاقة ليست علّة تامّة وسببًا تامًّا لصحّة الاستعمال حتّى يمتنع التخلّف، بل مقتضية لها، والتخلّف في المواضع المذكورة </w:t>
      </w:r>
    </w:p>
    <w:p>
      <w:pPr>
        <w:pStyle w:val="BookText"/>
        <w:rPr/>
      </w:pPr>
      <w:r>
        <w:rPr>
          <w:rFonts w:ascii="Amiri" w:hAnsi="Amiri" w:eastAsia="Amiri" w:cs="Amiri"/>
          <w:color w:val="111111"/>
          <w:sz w:val="28"/>
          <w:sz w:val="28"/>
          <w:szCs w:val="28"/>
          <w:rtl w:val="true"/>
          <w:lang w:bidi="ar-SA"/>
        </w:rPr>
        <w:t>لوجود المانع عن الاستعمال، ووجوده غير مضرّ لمقتضيّته العلاقة؛ لوضوح أنّ عدم المانع ليس جزءًا من المقتضي حتّى يلزم عدم وجوده</w:t>
      </w:r>
      <w:r>
        <w:rPr>
          <w:rStyle w:val="FootnoteAnchor"/>
          <w:rtl w:val="true"/>
        </w:rPr>
        <w:footnoteReference w:id="355"/>
      </w:r>
      <w:r>
        <w:rPr>
          <w:rFonts w:ascii="IRNazanin" w:hAnsi="IRNazanin" w:eastAsia="IRNazanin"/>
          <w:color w:val="111111"/>
          <w:sz w:val="28"/>
          <w:sz w:val="28"/>
          <w:szCs w:val="28"/>
          <w:rtl w:val="true"/>
          <w:lang w:bidi="fa-IR"/>
        </w:rPr>
        <w:t>مع وجوده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تبرّع من المجيب، إذ لا حاجة له في الجواب إليه، إذ المقصود أنّه لا حاجة إلى النقل؛ وذلك لا يستدعي كون العلاقة مستقلّة في الاقتضاء، بل يجوز أن يكون المقتضي مركّبًا منها ومن غيرها بكون ذلك الغير غير النقل</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في الدليل الاكتفاء في التجوّز بمجرّد العلاقة، فلا يكون ذلك إلّا مع كونها مستقلّة في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عمدة الثمرة المترتّبة</w:t>
      </w:r>
      <w:r>
        <w:rPr>
          <w:rStyle w:val="FootnoteAnchor"/>
          <w:rtl w:val="true"/>
        </w:rPr>
        <w:footnoteReference w:id="359"/>
      </w:r>
      <w:r>
        <w:rPr>
          <w:rFonts w:ascii="Amiri" w:hAnsi="Amiri" w:eastAsia="Amiri" w:cs="Amiri"/>
          <w:color w:val="111111"/>
          <w:sz w:val="28"/>
          <w:sz w:val="28"/>
          <w:szCs w:val="28"/>
          <w:rtl w:val="true"/>
          <w:lang w:bidi="ar-SA"/>
        </w:rPr>
        <w:t>على القول بعدم اشتراط نقل الآحاد، جواز التجوّز فيما لم يثبت النقل فيه من أهل اللغة، والاحتمال الّذي ذهب إليه هذا القائل يستلزم انتفاؤها؛ لأنّ جواز التجوّز حينئذٍ مشروط بالأمر المركّب الّذي يكون أحد جزأيه العلاقة والجزء الآخر غيرها، وهو مجهول، والجهل بالشرط يستلزم الجهل بالمشروط، فحينئذٍ لا يمكن التجوّز إلّا فيما ثبت فيه النقل، فيلزم انتفاء الثمرة بين القولين، فالجواب المذكور ليس تبرّعًا من المجيب، بل ممّا لا بدّ منه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العلاقة مستقلّة في اقتضاء صحّة التجوّز، لكن تخلّفت في الأمثلة </w:t>
      </w:r>
    </w:p>
    <w:p>
      <w:pPr>
        <w:pStyle w:val="BookText"/>
        <w:rPr/>
      </w:pPr>
      <w:r>
        <w:rPr>
          <w:rFonts w:ascii="Amiri" w:hAnsi="Amiri" w:eastAsia="Amiri" w:cs="Amiri"/>
          <w:color w:val="111111"/>
          <w:sz w:val="28"/>
          <w:sz w:val="28"/>
          <w:szCs w:val="28"/>
          <w:rtl w:val="true"/>
          <w:lang w:bidi="ar-SA"/>
        </w:rPr>
        <w:t>المذكورة لمانع، وتخلّف المقتضى عن المقتضي لمانع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التجوّز حينئذٍ مشروط بالعلم بوجود العلاقة وانتفاء المانع، فيلزم انتفاء عمدة الثمرة بين القولين أيضًا؛ لأنّ العلم بعدم المانع لا يكاد يحصل إلّا فيما ثبت فيه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العلاقة مقتضية لصحّة التجوّز، فينبغي صحّته إلّا فيما ثبت فيه المانع، ولا شبهة في عدم ثبوته في كثير من المواضع، فيصحّ فيه التجوّز بناءً على القول بعدم اشتراط نقل الآحاد، بخلافه على القول بالاشتراط،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المراد بالعلم الّذي اعتبر بالنسبة إلى انتفاء المانع إن كان ظاهره،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انتفاؤه في كثير من المواضع وإن كان مسلّمًا، لكن نمنع اعتباره فيما نحن فيه؛ لأنّ المجاز فرع الحقيقة ونحن نكتفي فيها بالظنّ، فلو اعتبرنا القطع في المجاز يلزم مزيّة الفرع على الأصل، وأيضًا اكتفاء الظنّ في الأصل يستلزم الاكتفاء به في الفرع بطريق أولى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منه ما يعمّ الظنّ أيضًا، نسلّم اعتباره، لكن نمنع انتفاءه في كثير من المواضع؛ لأنّ المانع في الأمثلة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صرّح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أهل اللغة، فإذا ثبت منعه بعد التتبّع فهو، وإلّا فيدفع المانع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منع الواضع،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فيحصل الظنّ بالعدم، فيصحّ التجوّز</w:t>
      </w:r>
      <w:r>
        <w:rPr>
          <w:rFonts w:eastAsia="Amiri" w:cs="Amiri" w:ascii="Amiri" w:hAnsi="Amiri"/>
          <w:color w:val="111111"/>
          <w:sz w:val="28"/>
          <w:szCs w:val="28"/>
          <w:rtl w:val="true"/>
          <w:lang w:bidi="ar-SA"/>
        </w:rPr>
        <w:t xml:space="preserve">. </w:t>
      </w:r>
      <w:bookmarkStart w:id="466" w:name="pg16214_221634"/>
    </w:p>
    <w:p>
      <w:pPr>
        <w:pStyle w:val="Heading6"/>
        <w:numPr>
          <w:ilvl w:val="5"/>
          <w:numId w:val="1"/>
        </w:numPr>
        <w:rPr/>
      </w:pPr>
      <w:bookmarkStart w:id="467" w:name="__RefHeading___Toc3519923_1280447820"/>
      <w:bookmarkStart w:id="468" w:name="_Toc180"/>
      <w:bookmarkEnd w:id="466"/>
      <w:bookmarkEnd w:id="467"/>
      <w:r>
        <w:rPr>
          <w:rtl w:val="true"/>
        </w:rPr>
        <w:t>دفع إيراد لتسديد مقام</w:t>
      </w:r>
      <w:bookmarkEnd w:id="468"/>
    </w:p>
    <w:p>
      <w:pPr>
        <w:pStyle w:val="BookText"/>
        <w:rPr/>
      </w:pPr>
      <w:r>
        <w:rPr>
          <w:rFonts w:ascii="Amiri" w:hAnsi="Amiri" w:eastAsia="Amiri" w:cs="Amiri"/>
          <w:color w:val="111111"/>
          <w:sz w:val="28"/>
          <w:sz w:val="28"/>
          <w:szCs w:val="28"/>
          <w:rtl w:val="true"/>
          <w:lang w:bidi="ar-SA"/>
        </w:rPr>
        <w:t>وهنا سؤال، وهو أنّه كما تكون العلاقة مقتضية لصحّة الاستعمال يكون الوضع مقتضيًا لها أيضًا، وكما جاز تخلّف المقتضى عن المقتضي في الأوّل على ما مرّ، ينبغي أن يجوز ذلك بالنسبة إلى الثاني أيضًا بأن يتحقّق الوضع المقتضي لصحّة الاستعمال وامتنع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ما استدلّ به جماعة من المتأخّرين</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ردًّا على قدماء الأعلام حيث ذهبوا إلى أنّ الضمائر وأسماء الإشارة والموصولات وأمثالها موضوعة للمعنى العامّ، وهو المعنى الكلّيّ الّذي تصوّره الواضع حال الوضع، فيكون كلّ من الوضع والموضوع له فيها عامًّا، بأنّه لو كان كذلك ينبغي أن يصحّ استعمال هذه الألفاظ المخصوصة على تلك المعاني العامّة؛ لوجود المقتضي لصحّة الاستعمال وهو الوضع، مع أنّه غير صحيح؛ للقطع بعدم جواز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المشار إليه المبهم،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متكلّم لا بعينه، فيعلم منه فساد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وجه له؛ لما عرفت من أنّ الوضع مقتض لصحّة الاستعمال كالعلاقة، وكما جاز تخلّف المقتضى فيها، ينبغي أن يجوز بالنسبة إلى الوضع أيضًا، فلا يلزم من عدم صحّة الاستعمال عدم الوضع</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3519925_1280447820"/>
      <w:bookmarkStart w:id="470" w:name="_Toc181"/>
      <w:bookmarkEnd w:id="469"/>
      <w:r>
        <w:rPr>
          <w:rtl w:val="true"/>
        </w:rPr>
        <w:t>الجواب عن الإيراد</w:t>
      </w:r>
      <w:bookmarkEnd w:id="470"/>
    </w:p>
    <w:p>
      <w:pPr>
        <w:pStyle w:val="BookText"/>
        <w:rPr/>
      </w:pPr>
      <w:r>
        <w:rPr>
          <w:rFonts w:ascii="Amiri" w:hAnsi="Amiri" w:eastAsia="Amiri" w:cs="Amiri"/>
          <w:color w:val="111111"/>
          <w:sz w:val="28"/>
          <w:sz w:val="28"/>
          <w:szCs w:val="28"/>
          <w:rtl w:val="true"/>
          <w:lang w:bidi="ar-SA"/>
        </w:rPr>
        <w:t>والجواب عنه يمكن من وجهين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فيما ذكر من النخلة والشبكة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حكاه </w:t>
      </w:r>
    </w:p>
    <w:p>
      <w:pPr>
        <w:pStyle w:val="BookText"/>
        <w:rPr/>
      </w:pPr>
      <w:r>
        <w:rPr>
          <w:rFonts w:ascii="Amiri" w:hAnsi="Amiri" w:eastAsia="Amiri" w:cs="Amiri"/>
          <w:color w:val="111111"/>
          <w:sz w:val="28"/>
          <w:sz w:val="28"/>
          <w:szCs w:val="28"/>
          <w:rtl w:val="true"/>
          <w:lang w:bidi="ar-SA"/>
        </w:rPr>
        <w:t>جماعة</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أهل اللغة، فلو لم يكن ذلك لصحّ الاستعمال، وهذا المنع غير ثابت بالنسبة إلى تلك الألفاظ، واحتمال وجوده، أو وجود غيره، مدفوعٌ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على ما ذهب إليه القدماء من كون الموضوع له للألفاظ المذكورة تلك المعاني العامّة، كان المقتضي لصحّة الاستعمال موجودًا من غير مانع، فيجب ترتّب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صحّة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وحيث لم يصحّ ذلك، يعلم عدم كون الأمر على ما ذهبوا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w:t>
      </w:r>
      <w:r>
        <w:rPr>
          <w:rStyle w:val="FootnoteAnchor"/>
          <w:rtl w:val="true"/>
        </w:rPr>
        <w:footnoteReference w:id="362"/>
      </w:r>
      <w:r>
        <w:rPr>
          <w:rFonts w:ascii="Amiri" w:hAnsi="Amiri" w:eastAsia="Amiri" w:cs="Amiri"/>
          <w:color w:val="111111"/>
          <w:sz w:val="28"/>
          <w:sz w:val="28"/>
          <w:szCs w:val="28"/>
          <w:rtl w:val="true"/>
          <w:lang w:bidi="ar-SA"/>
        </w:rPr>
        <w:t>الفرق بين الوضع والعلاقة؛ لأنّ الوضع لمّا كان من فعل الواضع، يعلم من تحقّقه إذنه ورضاه في استعمال اللفظ فيما وضعه له، وأمّا العلاقة، فليس الأمر فيه كذلك؛ لما عرفت من أنّها عبارة عن المناسبة بين المعنيين، فبمجرّد العلم بالمناسبة لا يعلم صحّة الاستعمال، بل مشروطة بثبوت الإذن، فما لم يثبت فيه إذن لم يجز فيه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ذهب إليه القدماء من ثبوت الوضع لتلك الألفاظ في تلك المعاني الكلّيّة، يلزمه العلم برضا الواضع في الاستعمال، فلا بدّ أن يكون صحيحًا، وأمّا الأمر فيما نحن فيه فليس كذلك،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في هذا المقام يظهر لك أنّه لو ادّعى أحدٌ أنّ الوضع سبب تامّ لصحّة الاستعمال، لم يكن بعيدًا، فحينئذٍ لا يجوز تخلّفها عنه، بخلاف العلاقة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منافٍ لما هو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وسيجيء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استلزام المجاز </w:t>
      </w:r>
      <w:bookmarkStart w:id="471" w:name="pg16214_221636"/>
    </w:p>
    <w:p>
      <w:pPr>
        <w:pStyle w:val="BookText"/>
        <w:rPr/>
      </w:pPr>
      <w:bookmarkEnd w:id="471"/>
      <w:r>
        <w:rPr>
          <w:rFonts w:ascii="Amiri" w:hAnsi="Amiri" w:eastAsia="Amiri" w:cs="Amiri"/>
          <w:color w:val="111111"/>
          <w:sz w:val="28"/>
          <w:sz w:val="28"/>
          <w:szCs w:val="28"/>
          <w:rtl w:val="true"/>
          <w:lang w:bidi="ar-SA"/>
        </w:rPr>
        <w:t>للحقيقة، وقد ذكروا ألفاظًا مخصوصة قد استعملت في المعاني المجازيّة مع عدم استعمالها فيما وضعت له، كالرحمن والأفعال المنسلخة عن الزمان</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في الحقيقة فعليّة الاستعمال، ومعلوم أنّ صحّة الاستعمال لا يستلزمها</w:t>
      </w:r>
      <w:r>
        <w:rPr>
          <w:rStyle w:val="FootnoteAnchor"/>
          <w:rtl w:val="true"/>
        </w:rPr>
        <w:footnoteReference w:id="364"/>
      </w:r>
      <w:r>
        <w:rPr>
          <w:rFonts w:ascii="Amiri" w:hAnsi="Amiri" w:eastAsia="Amiri" w:cs="Amiri"/>
          <w:color w:val="111111"/>
          <w:sz w:val="28"/>
          <w:sz w:val="28"/>
          <w:szCs w:val="28"/>
          <w:rtl w:val="true"/>
          <w:lang w:bidi="ar-SA"/>
        </w:rPr>
        <w:t>، وعلى فرض تسليم عدم صحّة الاستعمال فيما ذكر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الوضع يستلزم الصحّة مع بقائه وعدم مهجوريّته، والألفاظ المذكورة لمّا تحقّق النقل فيها بطل الوضع الأولى</w:t>
      </w:r>
      <w:r>
        <w:rPr>
          <w:rStyle w:val="FootnoteAnchor"/>
          <w:rtl w:val="true"/>
        </w:rPr>
        <w:footnoteReference w:id="365"/>
      </w:r>
      <w:r>
        <w:rPr>
          <w:rFonts w:ascii="Amiri" w:hAnsi="Amiri" w:eastAsia="Amiri" w:cs="Amiri"/>
          <w:color w:val="111111"/>
          <w:sz w:val="28"/>
          <w:sz w:val="28"/>
          <w:szCs w:val="28"/>
          <w:rtl w:val="true"/>
          <w:lang w:bidi="ar-SA"/>
        </w:rPr>
        <w:t>وثبت بالنسبة إلى المعاني المستعملة فيها، فقد انتفى الوضع بالنسبة إلى المعاني الأصليّة، ولهذا لم يصحّ الاستعمال لانتفاء مقتضيها أو علّتها</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3519927_1280447820"/>
      <w:bookmarkStart w:id="473" w:name="_Toc182"/>
      <w:bookmarkEnd w:id="472"/>
      <w:r>
        <w:rPr>
          <w:rtl w:val="true"/>
        </w:rPr>
        <w:t>الردّ على الجواب من دليل القائلين باشتراط نقل الآحاد</w:t>
      </w:r>
      <w:bookmarkEnd w:id="473"/>
    </w:p>
    <w:p>
      <w:pPr>
        <w:pStyle w:val="BookText"/>
        <w:rPr/>
      </w:pPr>
      <w:r>
        <w:rPr>
          <w:rFonts w:ascii="Amiri" w:hAnsi="Amiri" w:eastAsia="Amiri" w:cs="Amiri"/>
          <w:color w:val="111111"/>
          <w:sz w:val="28"/>
          <w:sz w:val="28"/>
          <w:szCs w:val="28"/>
          <w:rtl w:val="true"/>
          <w:lang w:bidi="ar-SA"/>
        </w:rPr>
        <w:t>وحيث قد فرغنا من دفع هذا الإيراد، وجب العود إلى ما كنّا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الجواب المذكور عن الدليل المذكور للقائلين باشتراط نقل الآحاد مبنيٌّ على منع الملازمة وتسليم تحقّق العلاقة في الأمثلة المذكورة، ويمكن الجواب عنه بعد تسليمها ومنع تحقّقها فيها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أنّك قد عرفت مرارًا أنّ أمر اللغات توقيفيّ، وأنّ التعدّي في الأمور التوقيفيّة إنّما يجوز على قدر ما ثبتت فيه الرخصة،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ومن </w:t>
      </w:r>
    </w:p>
    <w:p>
      <w:pPr>
        <w:pStyle w:val="BookText"/>
        <w:rPr/>
      </w:pPr>
      <w:r>
        <w:rPr>
          <w:rFonts w:ascii="Amiri" w:hAnsi="Amiri" w:eastAsia="Amiri" w:cs="Amiri"/>
          <w:color w:val="111111"/>
          <w:sz w:val="28"/>
          <w:sz w:val="28"/>
          <w:szCs w:val="28"/>
          <w:rtl w:val="true"/>
          <w:lang w:bidi="ar-SA"/>
        </w:rPr>
        <w:t xml:space="preserve">شاركنا في عدم اشتراط نقل الآحاد في المسألة لم ندع أنّ أهل اللغة صرّحوا بجواز إطلاق لفظ كلّ مشابه بأيّة شباهة كانت على مشابهه ولفظ كلّ مجاور بأيّة مجاورة كانت على مجاوره، حتّى يلزم الانتقاض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 اللفظ الدالّ على الإذن أو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ظهر لنا بعد التتبّع في مقالاتهم والتصفّح في محاوراتهم، أنّ المعتبر نوع المناسبة بين المعنيين، وهذا أمر معنويّ لا يتّصف بالعموم ولا بالإطلاق، لكن يجب اعتبار كلّ ما وجد بين المعنيين من المناسبة، إلّا ما علم عدم اعتباره في الموارد المتعدّية، يتعدّى في غير مورد استعمالهم بعد اعتبار ما ذكر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 في استعمالاتهم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الطويل، والمشابهة المتحقّقة بينهما في أمور،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الاضمحلال بعد استيلاء الماء عليهما،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الافتقار في ترتّب الثمرة المطلوبة منهما إلى فرد من نوعهما</w:t>
      </w:r>
      <w:r>
        <w:rPr>
          <w:rStyle w:val="FootnoteAnchor"/>
          <w:rtl w:val="true"/>
        </w:rPr>
        <w:footnoteReference w:id="366"/>
      </w:r>
      <w:r>
        <w:rPr>
          <w:rFonts w:ascii="Amiri" w:hAnsi="Amiri" w:eastAsia="Amiri" w:cs="Amiri"/>
          <w:color w:val="111111"/>
          <w:sz w:val="28"/>
          <w:sz w:val="28"/>
          <w:szCs w:val="28"/>
          <w:rtl w:val="true"/>
          <w:lang w:bidi="ar-SA"/>
        </w:rPr>
        <w:t>،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فسادهما بطريان الانفصال على رأسهما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والنقض المذكور مبنيٌّ على أنّ المصحّح 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الإنسان هو الطول فقط،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يشترط نقل الآحاد، ينبغي أن يجوز استعمالها في كلّ ما له طول، كالجبال والجدار ونحوهما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انحصار المصحّح في ذلك ممنوعة؛ لجواز أن يكون المجموع من الأمور المذكورة، وعلى المدّعي الإثبات وللمانع يكفي الاحتمال، فحينئذٍ فالقدر اللازم جواز إطلاقها على فرد آخر من الإنسان واجد للأمور </w:t>
      </w:r>
      <w:bookmarkStart w:id="474" w:name="pg16214_221638"/>
    </w:p>
    <w:p>
      <w:pPr>
        <w:pStyle w:val="BookText"/>
        <w:rPr/>
      </w:pPr>
      <w:bookmarkEnd w:id="474"/>
      <w:r>
        <w:rPr>
          <w:rFonts w:ascii="Amiri" w:hAnsi="Amiri" w:eastAsia="Amiri" w:cs="Amiri"/>
          <w:color w:val="111111"/>
          <w:sz w:val="28"/>
          <w:sz w:val="28"/>
          <w:szCs w:val="28"/>
          <w:rtl w:val="true"/>
          <w:lang w:bidi="ar-SA"/>
        </w:rPr>
        <w:t>المذكورة، وهو مسلّم، لا على الجبال والجدار وغيرهما، فالنقض مندفع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الصيد،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المعلوم من تصفّح محاوراتهم استعمال أحد المجاورين على الآخر فيما إذا كانت المجاورة بينهما معهودة في الأنظار وملحوظة في خزانة الخيال، كما تقدّم في الأمثلة المتقدّمة،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المختار من عدم اشتراط نقل الآحاد، إذا ظهرت المجاورة بين الشيئين على هذا الحدّ ووجدت المؤانسة بينهما بهذا الطور، جاز التجوّز وإن لم يصدر</w:t>
      </w:r>
      <w:r>
        <w:rPr>
          <w:rStyle w:val="FootnoteAnchor"/>
          <w:rtl w:val="true"/>
        </w:rPr>
        <w:footnoteReference w:id="367"/>
      </w:r>
      <w:r>
        <w:rPr>
          <w:rFonts w:ascii="Amiri" w:hAnsi="Amiri" w:eastAsia="Amiri" w:cs="Amiri"/>
          <w:color w:val="111111"/>
          <w:sz w:val="28"/>
          <w:sz w:val="28"/>
          <w:szCs w:val="28"/>
          <w:rtl w:val="true"/>
          <w:lang w:bidi="ar-SA"/>
        </w:rPr>
        <w:t xml:space="preserve">الاستعمال من أهل اللغة، وليس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التسليم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من توقيفيّة أمر اللغات، القدر المتيقّن من تتبّع موارد الاستعمالات جواز إطلاق أحد المجاورين على الآخر فيما إذا لم يستنكف أحدهما عن مجاورة الآخر، كما في الأمثلة المتقدّمة، والأمر فيما نحن فيه ليس كذلك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المجاورة مصحّحة للتجوّز فيما إذا كانت المجاورة على النحو المذكور مع اشتراكهما في الشعور أو العدم، وأمّا مع الاختلاف كما فيما نحن فيه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الجواب عن النقض بالنخلة والشبكة، وأمّا بالنسبة إلى الابن والأب، فما ساعدني التوفيق الآن لصرف الفكر إلى استكشاف حالهما، ولعلّ الله يوفّقني لذلك فيما بعد</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3519929_1280447820"/>
      <w:bookmarkStart w:id="476" w:name="_Toc183"/>
      <w:bookmarkEnd w:id="475"/>
      <w:r>
        <w:rPr>
          <w:rtl w:val="true"/>
        </w:rPr>
        <w:t>الدليل الثاني للقول بالاشتراط</w:t>
      </w:r>
      <w:bookmarkEnd w:id="47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لو جاز التجوّز بدون النقل، لكان ذلك إمّا قياسًا، أو اختراعًا، </w:t>
      </w:r>
      <w:bookmarkStart w:id="477" w:name="pg16214_221639"/>
    </w:p>
    <w:p>
      <w:pPr>
        <w:pStyle w:val="BookText"/>
        <w:rPr/>
      </w:pPr>
      <w:bookmarkEnd w:id="477"/>
      <w:r>
        <w:rPr>
          <w:rFonts w:ascii="Amiri" w:hAnsi="Amiri" w:eastAsia="Amiri" w:cs="Amiri"/>
          <w:color w:val="111111"/>
          <w:sz w:val="28"/>
          <w:sz w:val="28"/>
          <w:szCs w:val="28"/>
          <w:rtl w:val="true"/>
          <w:lang w:bidi="ar-SA"/>
        </w:rPr>
        <w:t>والتالي بقسميه باطل، فالمقدّم مثله، أمّا الملازمة فلأنّ استعمال اللفظ في المعنى المجازيّ الّذي لم ينقل من الواضع، إمّا لعلّة مشتركة بينه وبين ما نقل عنهم، أو لا، وعلى الأوّل يلزم الأوّل، وعلى الثاني الثاني، وأمّا بطلان القسم الأوّل من الثاني، فلما سيجيء من بطلان القياس في اللغات وإن قيل بجوازه في الأحكام، وأمّا الثاني فظاهر</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بطلان ما ذكر من قسمي التالي وإن كان مسلّمًا، لكن نمنع لزومه؛ لأنّ استعمال اللفظ في المعنى الّذي لم ينقل لعلّة مشتركة إنّما يكون قياسًا إذا كان الاستعمال مستندًا إلى تلك العلّة فقط، ونحن لم نقل بذلك،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ظهر لنا من تتبّع الاستعمالات وتصفّح المحاورات إذن الواضع في الاستعمال عند وجدان العلاقة، فالاستناد إلى إذنه في الاستعمال، فلا يلزم قياس ولا اختراع</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3519931_1280447820"/>
      <w:bookmarkStart w:id="479" w:name="_Toc184"/>
      <w:bookmarkEnd w:id="478"/>
      <w:r>
        <w:rPr>
          <w:rtl w:val="true"/>
        </w:rPr>
        <w:t>الدليل الثالث للقول بالاشتراط</w:t>
      </w:r>
      <w:bookmarkEnd w:id="479"/>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لم يشترط النقل في آحاد المجاز، لزم خروج القرآن عن كونه عربيًّا، والتالي باطل، فكذلك المقدّم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العربيّ ما كان منقولًا من العرب، فما لم ينقل من العرب لم يكن عربيًّا، وقد اشتمل القرآن على مجازات متكثّرة، فلو لم يكن</w:t>
      </w:r>
      <w:r>
        <w:rPr>
          <w:rStyle w:val="FootnoteAnchor"/>
          <w:rtl w:val="true"/>
        </w:rPr>
        <w:footnoteReference w:id="369"/>
      </w:r>
      <w:r>
        <w:rPr>
          <w:rFonts w:ascii="Amiri" w:hAnsi="Amiri" w:eastAsia="Amiri" w:cs="Amiri"/>
          <w:color w:val="111111"/>
          <w:sz w:val="28"/>
          <w:sz w:val="28"/>
          <w:szCs w:val="28"/>
          <w:rtl w:val="true"/>
          <w:lang w:bidi="ar-SA"/>
        </w:rPr>
        <w:t xml:space="preserve">هي عربيّة، لما </w:t>
      </w:r>
    </w:p>
    <w:p>
      <w:pPr>
        <w:pStyle w:val="BookText"/>
        <w:rPr/>
      </w:pPr>
      <w:r>
        <w:rPr>
          <w:rFonts w:ascii="Amiri" w:hAnsi="Amiri" w:eastAsia="Amiri" w:cs="Amiri"/>
          <w:color w:val="111111"/>
          <w:sz w:val="28"/>
          <w:sz w:val="28"/>
          <w:szCs w:val="28"/>
          <w:rtl w:val="true"/>
          <w:lang w:bidi="ar-SA"/>
        </w:rPr>
        <w:t>كان القرآن عربيًّا؛ لأنّ ما بعضه عربيّ ليس كلّه عربيًا، وأمّا بطلان التالي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قُرْآنًا عَرَبِيًّا</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الاستدلال من عجيب ما وقع لبعض</w:t>
      </w:r>
      <w:r>
        <w:rPr>
          <w:rStyle w:val="FootnoteAnchor"/>
          <w:rtl w:val="true"/>
        </w:rPr>
        <w:footnoteReference w:id="371"/>
      </w:r>
      <w:r>
        <w:rPr>
          <w:rFonts w:ascii="Amiri" w:hAnsi="Amiri" w:eastAsia="Amiri" w:cs="Amiri"/>
          <w:color w:val="111111"/>
          <w:sz w:val="28"/>
          <w:sz w:val="28"/>
          <w:szCs w:val="28"/>
          <w:rtl w:val="true"/>
          <w:lang w:bidi="ar-SA"/>
        </w:rPr>
        <w:t>في هذا المقام، إذ يتطرّق إليه وجوه من 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بطلان التالي، وتحقيقه على ما ينبغي يليق أن يذكر في مباحث الحقيقة الشرعيّة، فالإحالة إلى ما يذكر فيها أنسب وأحرى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ذلك غير مثبت للمدّعى؛ لأنّ المدّعى أنّه لا يجوز التجوّز بلا نقل من الواضع، والدليل المذكور على فرض تماميّته إنّما يدلّ على كون المجازات المذكورة في القرآن عربيّة، لا أنّه لا يجوز التجوّز بلا نقل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المناسب في</w:t>
      </w:r>
      <w:r>
        <w:rPr>
          <w:rStyle w:val="FootnoteAnchor"/>
          <w:rtl w:val="true"/>
        </w:rPr>
        <w:footnoteReference w:id="372"/>
      </w:r>
      <w:r>
        <w:rPr>
          <w:rFonts w:ascii="Amiri" w:hAnsi="Amiri" w:eastAsia="Amiri" w:cs="Amiri"/>
          <w:color w:val="111111"/>
          <w:sz w:val="28"/>
          <w:sz w:val="28"/>
          <w:szCs w:val="28"/>
          <w:rtl w:val="true"/>
          <w:lang w:bidi="ar-SA"/>
        </w:rPr>
        <w:t xml:space="preserve">المجازات الواقعة في القرآن، إمّا أن يتحقّق الاستعمال فيها من أهل اللغة أو لا، وعلى الأوّل لا وجه للتمسّك به كما لا يخفى، و على الثاني يبطل القول بالاشتراط؛ لأنّ المفروض أنّ تلك المجازات لم يصل الاستعمال فيها من أهل اللغة، فلو لم يجز التجوّز إلّا بعد النقل من أهل اللغة؛ لما وقع في القرآن فيما لم ينقل، والمفروض أنّه واقع، فيجوز التجوّز من غير نقل أيضًا، فبطل القول بالاشتراط، فالتمسّك بالدليل المذكور لإبطال القول بالاشتراط </w:t>
      </w:r>
    </w:p>
    <w:p>
      <w:pPr>
        <w:pStyle w:val="BookText"/>
        <w:rPr/>
      </w:pPr>
      <w:r>
        <w:rPr>
          <w:rFonts w:ascii="Amiri" w:hAnsi="Amiri" w:eastAsia="Amiri" w:cs="Amiri"/>
          <w:color w:val="111111"/>
          <w:sz w:val="28"/>
          <w:sz w:val="28"/>
          <w:szCs w:val="28"/>
          <w:rtl w:val="true"/>
          <w:lang w:bidi="ar-SA"/>
        </w:rPr>
        <w:t>أنسب من التمسّك به لإثباته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ذلك بعد الإغماض عن جميع ما فيه، مبنيّ على توقّف اتّصاف اللفظ بكونه عربيًّا على نقل شخصه من العرب، وهو غير مسلّم،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يكفي في اتّصافه بذلك تجويز نوع الاستعمال منهم، وفيما نحن فيه كذلك، كما عرفت مرارًا</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الثانی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16214_221644"/>
      <w:bookmarkStart w:id="481" w:name="pg16214_221644"/>
      <w:bookmarkEnd w:id="481"/>
    </w:p>
    <w:p>
      <w:pPr>
        <w:pStyle w:val="Heading2"/>
        <w:numPr>
          <w:ilvl w:val="1"/>
          <w:numId w:val="1"/>
        </w:numPr>
        <w:rPr/>
      </w:pPr>
      <w:bookmarkStart w:id="482" w:name="pg16214_221644"/>
      <w:bookmarkStart w:id="483" w:name="__RefHeading___Toc3519933_1280447820"/>
      <w:bookmarkStart w:id="484" w:name="_Toc185"/>
      <w:bookmarkEnd w:id="482"/>
      <w:bookmarkEnd w:id="483"/>
      <w:r>
        <w:rPr>
          <w:rtl w:val="true"/>
        </w:rPr>
        <w:t>الباب الثاني</w:t>
      </w:r>
      <w:r>
        <w:rPr>
          <w:rtl w:val="true"/>
        </w:rPr>
        <w:t xml:space="preserve">: </w:t>
      </w:r>
      <w:r>
        <w:rPr>
          <w:rtl w:val="true"/>
        </w:rPr>
        <w:t>في الأمارات الّتي بها يحصل الامتياز بين الحقيقة والمجاز</w:t>
      </w:r>
      <w:bookmarkEnd w:id="484"/>
    </w:p>
    <w:p>
      <w:pPr>
        <w:pStyle w:val="Heading3"/>
        <w:numPr>
          <w:ilvl w:val="2"/>
          <w:numId w:val="1"/>
        </w:numPr>
        <w:rPr/>
      </w:pPr>
      <w:bookmarkStart w:id="485" w:name="__RefHeading___Toc3519935_1280447820"/>
      <w:bookmarkStart w:id="486" w:name="_Toc186"/>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وحيث قد علمت سابقًا أنّ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المستعمل في الموضوع له،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في غيره، ظهر لك أنّ الامتياز بينهما متوقّفٌ على معرفة الموضوع له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لم يمكن استعلام الموضوع له وغيره من الواضع في هذه الأعصار وما ضاهاها ليحصل الامتياز بينهما، وكان فهم المعاني من الكتاب والسنّة، بل كلّما ينخرط في سلك الدلالة اللفظيّة، متوقّفًا عليه، قرّر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مساعيهم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بها يعرف الحقيقة والمجاز، وأسّسوا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 متاعبهم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أمارات بها يحصل لكلّ واحد منهما عن الآخر الامتياز؛ ليرجع الجاهل بأيّ اصطلاح كان إذا أراد معرفة الحقيقة والمجاز فيه إليها ويعمل بمقتضاها، وأمّا العالم بالوضع والاصطلاح، فلا يحتاج إلى شيء منها إلّا لتعليم الجاهل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قد كانت المسألة من أهمّ المسائل الأصوليّة وأحوجه؛ لكون استنباط الأحكام الشرعيّة وغيرها ممّا ينخرط في سلك الدلالة اللفظيّة متوقّفًا على فهم المعاني من المباني المعلومة المتوقّف على الامتياز بين الحقيقة والمجاز المتوقّف على معرفة الأمارات، لزم علينا أن نحقّقها ونوضّحها حتّى يكون بياننا هذا متمّمًا لما ذكروه، وموصلًا إلى ما أغفلوه، ومبيّنًا لما أجملوه، ومبلّغًا إلى ما أبهموه،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الحقّ في ذلك المطلب يقتضي التكلّم في فصول</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7" w:name="pg16214_221646"/>
      <w:bookmarkStart w:id="488" w:name="pg16214_221646"/>
      <w:bookmarkEnd w:id="488"/>
    </w:p>
    <w:p>
      <w:pPr>
        <w:pStyle w:val="Heading3"/>
        <w:numPr>
          <w:ilvl w:val="2"/>
          <w:numId w:val="1"/>
        </w:numPr>
        <w:rPr/>
      </w:pPr>
      <w:bookmarkStart w:id="489" w:name="pg16214_221646"/>
      <w:bookmarkStart w:id="490" w:name="__RefHeading___Toc3519937_1280447820"/>
      <w:bookmarkStart w:id="491" w:name="_Toc187"/>
      <w:bookmarkEnd w:id="489"/>
      <w:bookmarkEnd w:id="490"/>
      <w:r>
        <w:rPr>
          <w:rtl w:val="true"/>
        </w:rPr>
        <w:t>الفصل الأوّل</w:t>
      </w:r>
      <w:r>
        <w:rPr>
          <w:rtl w:val="true"/>
        </w:rPr>
        <w:t xml:space="preserve">: </w:t>
      </w:r>
      <w:r>
        <w:rPr>
          <w:rtl w:val="true"/>
        </w:rPr>
        <w:t>فيما يتوصّل إلى الحقيقة والمجاز من كلمات أهل اللغة</w:t>
      </w:r>
      <w:bookmarkEnd w:id="491"/>
    </w:p>
    <w:p>
      <w:pPr>
        <w:pStyle w:val="BookText"/>
        <w:rPr/>
      </w:pPr>
      <w:r>
        <w:rPr>
          <w:rFonts w:ascii="IRNazanin" w:hAnsi="IRNazanin" w:eastAsia="IRNazanin"/>
          <w:color w:val="111111"/>
          <w:sz w:val="28"/>
          <w:sz w:val="28"/>
          <w:szCs w:val="28"/>
          <w:rtl w:val="true"/>
          <w:lang w:bidi="fa-IR"/>
        </w:rPr>
        <w:t>وهو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باسمهما</w:t>
      </w:r>
      <w:r>
        <w:rPr>
          <w:rStyle w:val="FootnoteAnchor"/>
          <w:rtl w:val="true"/>
        </w:rPr>
        <w:footnoteReference w:id="373"/>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اللفظ في هذا المعنى حقيقة، وفي ذلك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بحدّهما،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اللفظ في هذا المعنى مستعمل في الموضوع له، وفي ذلك المعنى مستعمل في غير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بخاصّته،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اسم لهذا المعنى وليس باسم لذلك المعنى، أو هذا اللفظ يتبادر منه هذا المعنى، أو غير متبادر منه ذلك المعنى، أو يصحّ عنه السلب، أو لا يصحّ، أو يفتقر فهم هذا المعنى منه إلى القرينة، أو لا يفتقر إليها، أو هذا اللفظ معناه هذا ولم يكن معناه ذلك، وأمثال ذلك</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شبهة في قلّة صدور أمثال ذلك من الواضع، نعم، كثيرًا ما تذكر المعاني المتعدّدة في كتب اللغة للّفظ، وهل اقتضى ذلك كونه حقيقة في الجميع، أو مجازًا فيه، أو حقيقة في بعضٍ مجازًا في آخر؟ والأوّل مرجوح لاستلزامه تعدّد الوضع عدد المعاني، وهو غير معلوم، فالأصل عدمه؛ وكذا الثاني؛ لأنّ القول بمجازيّة </w:t>
      </w:r>
    </w:p>
    <w:p>
      <w:pPr>
        <w:pStyle w:val="BookText"/>
        <w:rPr/>
      </w:pPr>
      <w:r>
        <w:rPr>
          <w:rFonts w:ascii="Amiri" w:hAnsi="Amiri" w:eastAsia="Amiri" w:cs="Amiri"/>
          <w:color w:val="111111"/>
          <w:sz w:val="28"/>
          <w:sz w:val="28"/>
          <w:szCs w:val="28"/>
          <w:rtl w:val="true"/>
          <w:lang w:bidi="ar-SA"/>
        </w:rPr>
        <w:t>الجميع يستلزم وضعًا لغيره، وهو منفيّ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يقتضي التفصيل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الأوّل ينبغي أن يكون من المعاني الحقيقيّة، وبقيّة المعاني معاني مجازيّة بالنسبة إليه إن وجدت العلاقة المعتبرة بينها وبينه، وإن وجدت في بعضها دون الباقي، ينبغي أن يكون ذلك البعض من المعاني المجازيّة؛ لئلّا يلزم تعدّد الوضع المدفوع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الباقي فالمعنى الواحد منه لا بدّ أن يكون من المعاني الحقيقيّة، والكلام في غيره كما ذكر، فإن وجدت العلاقة بينه وبين ذلك المعنى الواحد، فيكون من المعاني المجازيّة كلًّا أو بعضًا، وإلّا يكون الأمر كما تقدّم، وهكذا إلى أن ينتهي الأمر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من ذلك أنّه قد يكون الجميع من المعاني الحقيقيّة، كما إذا فقدت العلاقة في الجميع بالنسبة إلى المعنى الأوّل وغيره، وقد يكون الجميع من المعاني المجازيّة، كما إذا علم من خارجٍ وضع ذلك اللفظ لغير تلك المعاني ووجدت العلاقة بينها وبينه</w:t>
      </w:r>
      <w:r>
        <w:rPr>
          <w:rFonts w:eastAsia="Amiri" w:cs="Amiri" w:ascii="Amiri" w:hAnsi="Amiri"/>
          <w:color w:val="111111"/>
          <w:sz w:val="28"/>
          <w:szCs w:val="28"/>
          <w:rtl w:val="true"/>
          <w:lang w:bidi="ar-SA"/>
        </w:rPr>
        <w:t xml:space="preserve">. </w:t>
      </w:r>
      <w:bookmarkStart w:id="492" w:name="pg16214_221648"/>
    </w:p>
    <w:p>
      <w:pPr>
        <w:pStyle w:val="Heading3"/>
        <w:numPr>
          <w:ilvl w:val="2"/>
          <w:numId w:val="1"/>
        </w:numPr>
        <w:rPr/>
      </w:pPr>
      <w:bookmarkStart w:id="493" w:name="__RefHeading___Toc3519939_1280447820"/>
      <w:bookmarkStart w:id="494" w:name="_Toc188"/>
      <w:bookmarkEnd w:id="492"/>
      <w:bookmarkEnd w:id="493"/>
      <w:r>
        <w:rPr>
          <w:rtl w:val="true"/>
        </w:rPr>
        <w:t>الفصل الثاني</w:t>
      </w:r>
      <w:r>
        <w:rPr>
          <w:rtl w:val="true"/>
        </w:rPr>
        <w:t xml:space="preserve">: </w:t>
      </w:r>
      <w:r>
        <w:rPr>
          <w:rtl w:val="true"/>
        </w:rPr>
        <w:t>في صحّة السلب وعدمها</w:t>
      </w:r>
      <w:bookmarkEnd w:id="494"/>
    </w:p>
    <w:p>
      <w:pPr>
        <w:pStyle w:val="Heading4"/>
        <w:numPr>
          <w:ilvl w:val="3"/>
          <w:numId w:val="1"/>
        </w:numPr>
        <w:rPr/>
      </w:pPr>
      <w:bookmarkStart w:id="495" w:name="__RefHeading___Toc3519941_1280447820"/>
      <w:bookmarkStart w:id="496" w:name="_Toc189"/>
      <w:bookmarkEnd w:id="495"/>
      <w:r>
        <w:rPr>
          <w:rtl w:val="true"/>
        </w:rPr>
        <w:t>اشارة</w:t>
      </w:r>
      <w:bookmarkEnd w:id="496"/>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الأمارات الموصلة إلى 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وعدمها، فإنّ الأوّل دليل المجازيّة، والثاني دليل الحقيقة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منهما إنّما يتمسّك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علم أنّ للّفظ معنى حقيقيًّا واستعمل في محلّ وعلم المستعمل فيه، لكن لم يعلم أنّه معنى حقيقيّ له أو مجازيّ، فيستعلم بصحّة سلب ذلك المعنى الحقيقيّ عنه وعدمها، فإن صحّ ذلك يعلم أنّه معنى مجازيّ، وإلّا فحقيقيّ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استعمال كلّ منهما في البليد، فإنّ كلًّا منهما له معنى حقيقيّ معلوم واستعمل وعلم المستعمل فيه؛ ولمّا صحّ سلب المعنى الحقيقيّ للحمار عنه، علمنا أنّ مصحّح الاستعمال العلاقة؛ ولمّا لم يصحّ سلب المعنى الحقيقيّ للإنسان عنه، علمنا أنّه من المعاني الحقيقيّة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لم يعلم المعنى الحقيقيّ للّفظ أصلًا وعلم المستعمل فيه، كالجاهل باصطلاح قوم، فإنّه إذا علم بعد النظر إلى محاوراتهم أنّ معنىً معلومًا يكون موردًا لاستعمال </w:t>
      </w:r>
    </w:p>
    <w:p>
      <w:pPr>
        <w:pStyle w:val="BookText"/>
        <w:rPr/>
      </w:pPr>
      <w:r>
        <w:rPr>
          <w:rFonts w:ascii="Amiri" w:hAnsi="Amiri" w:eastAsia="Amiri" w:cs="Amiri"/>
          <w:color w:val="111111"/>
          <w:sz w:val="28"/>
          <w:sz w:val="28"/>
          <w:szCs w:val="28"/>
          <w:rtl w:val="true"/>
          <w:lang w:bidi="ar-SA"/>
        </w:rPr>
        <w:t>لفظ معلوم عندهم، لكن لم يعلم أنّ مصحّح استعمالهم فيه الوضع أو العلاقة، فيختبر بصحّة السلب، فإن صحّ نفي</w:t>
      </w:r>
      <w:r>
        <w:rPr>
          <w:rStyle w:val="FootnoteAnchor"/>
          <w:rtl w:val="true"/>
        </w:rPr>
        <w:footnoteReference w:id="376"/>
      </w:r>
      <w:r>
        <w:rPr>
          <w:rFonts w:ascii="Amiri" w:hAnsi="Amiri" w:eastAsia="Amiri" w:cs="Amiri"/>
          <w:color w:val="111111"/>
          <w:sz w:val="28"/>
          <w:sz w:val="28"/>
          <w:szCs w:val="28"/>
          <w:rtl w:val="true"/>
          <w:lang w:bidi="ar-SA"/>
        </w:rPr>
        <w:t>ذلك اللفظ عن ذلك المورد عندهم، يعلم أنّه معنى مجازيّ، وإلّا فهو معنى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التشبّث بهما إلّا عند تحقّق المسلوب والمسلوب عنه كما لا يخفى، ففي صورة الجهل بالموضوع له والعلم بالمستعمل فيه لم يوجد فيها المسلوب، وسلب اللفظ عن المستعمل فيه لا دخل له؛ لوضوح المغايرة بين كلّ لفظ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وإن كان كذلك، لكن تحقّق المسلوب والمسلوب عنه لا يلزم أن يكون بالنسبة إلى ذلك الشخص، بل قد يكون بالنسبة إليه، كما إذا علم الموضوع له، فيكون صحّة السلب والعدم بالنظر إليه نفسه؛ وقد يكون بالنسبة إلى غيره، كأهل الاصطلاح الّذي أريد العلم بحقائق ألفاظهم ومجازاتها، فإنّ المعاني الحقيقيّة والمجازيّة الّتي لهم معلومة، واستعلام الجاهل بصحّة السلب وعدمها بالنسبة إليهم، فلو كان المستعمل فيه المعلوم معنى حقيقيًّا للّفظ عندهم، لم يمكن السلب عندهم، لعدم</w:t>
      </w:r>
      <w:r>
        <w:rPr>
          <w:rStyle w:val="FootnoteAnchor"/>
          <w:rtl w:val="true"/>
        </w:rPr>
        <w:footnoteReference w:id="377"/>
      </w:r>
      <w:r>
        <w:rPr>
          <w:rFonts w:ascii="Amiri" w:hAnsi="Amiri" w:eastAsia="Amiri" w:cs="Amiri"/>
          <w:color w:val="111111"/>
          <w:sz w:val="28"/>
          <w:sz w:val="28"/>
          <w:szCs w:val="28"/>
          <w:rtl w:val="true"/>
          <w:lang w:bidi="ar-SA"/>
        </w:rPr>
        <w:t>إمكان سلب الشيء</w:t>
      </w:r>
      <w:r>
        <w:rPr>
          <w:rStyle w:val="FootnoteAnchor"/>
          <w:rtl w:val="true"/>
        </w:rPr>
        <w:footnoteReference w:id="378"/>
      </w:r>
      <w:r>
        <w:rPr>
          <w:rFonts w:ascii="Amiri" w:hAnsi="Amiri" w:eastAsia="Amiri" w:cs="Amiri"/>
          <w:color w:val="111111"/>
          <w:sz w:val="28"/>
          <w:sz w:val="28"/>
          <w:szCs w:val="28"/>
          <w:rtl w:val="true"/>
          <w:lang w:bidi="ar-SA"/>
        </w:rPr>
        <w:t>عن نفسه؛ ولو كان مجازيًّا أمكن ذلك، أي سلب المعنى الحقيقيّ المعلوم لهم عن المستعمل فيه عندهم، فتحقّق المسلوب والمسلوب عنه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علمت بما ذكرنا مقامين للتمسّك بصحّة السلب والعدم، وهنا مقام آخر، </w:t>
      </w:r>
      <w:bookmarkStart w:id="497" w:name="pg16214_221650"/>
    </w:p>
    <w:p>
      <w:pPr>
        <w:pStyle w:val="BookText"/>
        <w:rPr/>
      </w:pPr>
      <w:bookmarkEnd w:id="497"/>
      <w:r>
        <w:rPr>
          <w:rFonts w:ascii="Amiri" w:hAnsi="Amiri" w:eastAsia="Amiri" w:cs="Amiri"/>
          <w:color w:val="111111"/>
          <w:sz w:val="28"/>
          <w:sz w:val="28"/>
          <w:szCs w:val="28"/>
          <w:rtl w:val="true"/>
          <w:lang w:bidi="ar-SA"/>
        </w:rPr>
        <w:t>وهو أن يعلم الموضوع له اللفظ</w:t>
      </w:r>
      <w:r>
        <w:rPr>
          <w:rStyle w:val="FootnoteAnchor"/>
          <w:rtl w:val="true"/>
        </w:rPr>
        <w:footnoteReference w:id="379"/>
      </w:r>
      <w:r>
        <w:rPr>
          <w:rFonts w:ascii="Amiri" w:hAnsi="Amiri" w:eastAsia="Amiri" w:cs="Amiri"/>
          <w:color w:val="111111"/>
          <w:sz w:val="28"/>
          <w:sz w:val="28"/>
          <w:szCs w:val="28"/>
          <w:rtl w:val="true"/>
          <w:lang w:bidi="ar-SA"/>
        </w:rPr>
        <w:t>ولم يعتبر</w:t>
      </w:r>
      <w:r>
        <w:rPr>
          <w:rStyle w:val="FootnoteAnchor"/>
          <w:rtl w:val="true"/>
        </w:rPr>
        <w:footnoteReference w:id="380"/>
      </w:r>
      <w:r>
        <w:rPr>
          <w:rFonts w:ascii="Amiri" w:hAnsi="Amiri" w:eastAsia="Amiri" w:cs="Amiri"/>
          <w:color w:val="111111"/>
          <w:sz w:val="28"/>
          <w:sz w:val="28"/>
          <w:szCs w:val="28"/>
          <w:rtl w:val="true"/>
          <w:lang w:bidi="ar-SA"/>
        </w:rPr>
        <w:t>الاستعمال في المعنى الّذي يتمسّك فيه بصحّة السلب وعدمها، بل يكون معنىً معلومًا موجودًا في خزانة الخيال، لكن لم يعلم أنّه من الموضوع له لذلك اللفظ، أم لا، نختبر ذلك بصحّة السلب والعدم؛ وفائدة ذلك الاقتران بالقرينة وعدمه لو أردنا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الصورة كالصورة الأولى، إلّا أنّ الاستعمال هناك ثابت في المعنى الّذي نختبره بصحّة السلب والعدم، بخلاف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المعاني غير متناهية، والألفاظ متكثّرة، وإرادة استعمال ذلك اللفظ دون الألفاظ الأخر في ذلك المعنى دون المعاني الأخر وملاحظة سلب ذلك الموضوع له دون غيره عن ذلك المعنى دون غيره يحتاج إلى مخصّص، فإنّ الاستعمال في الصورة الأولى لمّا كان ثابتًا كان ذلك مخصّصًا، والمفروض أنّ الاستعمال فيما نحن فيه غير ثابت، فما المخصّص في ذلك؟</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في ذلك مناسبة ذلك المعنى لما وضع له ذلك اللفظ على ما سيأتي أنّ ما يتمسّك فيه بصحّة السلب وعدمها لا بدّ أن يكون من هذا القبيل</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3519943_1280447820"/>
      <w:bookmarkStart w:id="499" w:name="_Toc190"/>
      <w:bookmarkEnd w:id="498"/>
      <w:r>
        <w:rPr>
          <w:rtl w:val="true"/>
        </w:rPr>
        <w:t>المقامات الّتي يتشبّث فيها بصحّة السلب والعدم</w:t>
      </w:r>
      <w:bookmarkEnd w:id="499"/>
    </w:p>
    <w:p>
      <w:pPr>
        <w:pStyle w:val="BookText"/>
        <w:rPr/>
      </w:pPr>
      <w:r>
        <w:rPr>
          <w:rFonts w:ascii="Amiri" w:hAnsi="Amiri" w:eastAsia="Amiri" w:cs="Amiri"/>
          <w:color w:val="111111"/>
          <w:sz w:val="28"/>
          <w:sz w:val="28"/>
          <w:szCs w:val="28"/>
          <w:rtl w:val="true"/>
          <w:lang w:bidi="ar-SA"/>
        </w:rPr>
        <w:t>فقد تحقّق بما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المقامات الّتي يُتشبّث فيها بصحّة السلب والعدم ثلاثة،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المعنى الحقيقيّ للّفظ والمستعمل فيه</w:t>
      </w:r>
      <w:r>
        <w:rPr>
          <w:rFonts w:eastAsia="Amiri" w:cs="Amiri" w:ascii="Amiri" w:hAnsi="Amiri"/>
          <w:color w:val="111111"/>
          <w:sz w:val="28"/>
          <w:szCs w:val="28"/>
          <w:rtl w:val="true"/>
          <w:lang w:bidi="ar-SA"/>
        </w:rPr>
        <w:t xml:space="preserve">. </w:t>
      </w:r>
      <w:bookmarkStart w:id="500" w:name="pg16214_221651"/>
    </w:p>
    <w:p>
      <w:pPr>
        <w:pStyle w:val="BookText"/>
        <w:rPr/>
      </w:pPr>
      <w:bookmarkEnd w:id="500"/>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المعنى الموضوع له له ويلاحظ ذلك مع معنى من المعاني من غير تحقّق الاستعمال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 في الأوّل وكالثاني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أي كالثاني في الأوّل وكالأوّل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الجهل باصطلاح قوم على ما تقدّم تحقيقه</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3519945_1280447820"/>
      <w:bookmarkStart w:id="502" w:name="_Toc191"/>
      <w:bookmarkEnd w:id="501"/>
      <w:r>
        <w:rPr>
          <w:rtl w:val="true"/>
        </w:rPr>
        <w:t>وهمٌ وإزاحة</w:t>
      </w:r>
      <w:bookmarkEnd w:id="502"/>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قيّد الفاضل العضديّ صحّة السلب بنفس الأمر، فقال مشيرًا إلى أمارات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النفي في نفس الأمر، كقولك للبليد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الأمر؛ ليندفع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بإنسان؛ لصحّته لغة</w:t>
      </w:r>
      <w:r>
        <w:rPr>
          <w:rStyle w:val="FootnoteAnchor"/>
          <w:rtl w:val="true"/>
        </w:rPr>
        <w:footnoteReference w:id="38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الحريّ توضيح مراده أوّلًا، ثمّ الإشارة إلى أنّ القيد المذكور هل يكون مفتقرًا إليه، أم لا؟</w:t>
      </w:r>
    </w:p>
    <w:p>
      <w:pPr>
        <w:pStyle w:val="Heading4"/>
        <w:numPr>
          <w:ilvl w:val="3"/>
          <w:numId w:val="1"/>
        </w:numPr>
        <w:rPr/>
      </w:pPr>
      <w:bookmarkStart w:id="503" w:name="__RefHeading___Toc3519947_1280447820"/>
      <w:bookmarkStart w:id="504" w:name="_Toc192"/>
      <w:bookmarkEnd w:id="503"/>
      <w:r>
        <w:rPr>
          <w:rtl w:val="true"/>
        </w:rPr>
        <w:t>توضيح مراد الفاضل العضديّ</w:t>
      </w:r>
      <w:bookmarkEnd w:id="50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أفراد الماهيّة بالنسبة إلى كمالها الميسّر لها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 وسافلٍ، وما بينهما، وقد يبلغ بعض الأفراد في العلوّ حدًّا كأنّه قد خرج عن تحت أفراد تلك الماهيّة وانخرط في زمرة من هو أشرف منها، فإذا وصل بعض الأفراد </w:t>
      </w:r>
      <w:bookmarkStart w:id="505" w:name="pg16214_221652"/>
    </w:p>
    <w:p>
      <w:pPr>
        <w:pStyle w:val="BookText"/>
        <w:rPr/>
      </w:pPr>
      <w:bookmarkEnd w:id="505"/>
      <w:r>
        <w:rPr>
          <w:rFonts w:ascii="Amiri" w:hAnsi="Amiri" w:eastAsia="Amiri" w:cs="Amiri"/>
          <w:color w:val="111111"/>
          <w:sz w:val="28"/>
          <w:sz w:val="28"/>
          <w:szCs w:val="28"/>
          <w:rtl w:val="true"/>
          <w:lang w:bidi="ar-SA"/>
        </w:rPr>
        <w:t>في الكمال إلى تلك المرتبة، يصحّ سلب</w:t>
      </w:r>
      <w:r>
        <w:rPr>
          <w:rStyle w:val="FootnoteAnchor"/>
          <w:rtl w:val="true"/>
        </w:rPr>
        <w:footnoteReference w:id="382"/>
      </w:r>
      <w:r>
        <w:rPr>
          <w:rFonts w:ascii="IRNazanin" w:hAnsi="IRNazanin" w:eastAsia="IRNazanin"/>
          <w:color w:val="111111"/>
          <w:sz w:val="28"/>
          <w:sz w:val="28"/>
          <w:szCs w:val="28"/>
          <w:rtl w:val="true"/>
          <w:lang w:bidi="fa-IR"/>
        </w:rPr>
        <w:t xml:space="preserve">اسم الماهيّة عن ذلك البعض على سبيل المبالغة في العرف واللغة، كقوله تعالى حكاية عن نسوة مصر في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رأينه وأكبرنه وقطّعن أيديهنّ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هَذَا بَشَرًا إِنْ هَذَا إِلَّا مَلَكٌ كَرِيمٌ</w:t>
      </w:r>
      <w:r>
        <w:rPr>
          <w:rStyle w:val="FootnoteAnchor"/>
          <w:rtl w:val="true"/>
        </w:rPr>
        <w:footnoteReference w:id="383"/>
      </w:r>
      <w:r>
        <w:rPr>
          <w:rFonts w:ascii="IRNazanin" w:hAnsi="IRNazanin" w:eastAsia="IRNazanin"/>
          <w:color w:val="111111"/>
          <w:sz w:val="28"/>
          <w:sz w:val="28"/>
          <w:szCs w:val="28"/>
          <w:rtl w:val="true"/>
          <w:lang w:bidi="fa-IR"/>
        </w:rPr>
        <w:t xml:space="preserve">، فقد سلب اسم البشريّة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من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السلب أمارة المجازيّة على الإطلاق، يلزم أن يكون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المجاز، مع أنّ الأمر ليس كذلك، بخلاف ما إذا قيّد بما مرّ؛ لوضوح عدم إمكان سلب البشريّة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الواقع ونفس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الكلام في السافل، فإنّه قد يبلغ حدًّا كأنّه قد خرج عن أفراد تلك الماهيّة وانخرط في سلك الأدون منها، فحينئذٍ يمكن سلب</w:t>
      </w:r>
      <w:r>
        <w:rPr>
          <w:rStyle w:val="FootnoteAnchor"/>
          <w:rtl w:val="true"/>
        </w:rPr>
        <w:footnoteReference w:id="384"/>
      </w:r>
      <w:r>
        <w:rPr>
          <w:rFonts w:ascii="Amiri" w:hAnsi="Amiri" w:eastAsia="Amiri" w:cs="Amiri"/>
          <w:color w:val="111111"/>
          <w:sz w:val="28"/>
          <w:sz w:val="28"/>
          <w:szCs w:val="28"/>
          <w:rtl w:val="true"/>
          <w:lang w:bidi="ar-SA"/>
        </w:rPr>
        <w:t>اسم تلك الماهيّة عنه على سبيل المبالغة، كما يقال للبليد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بإنسان مع أنّه من أفراده، لكن لمّا لم يصحّ ذلك في نفس الأمر والواقع، لم يلزم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 ظهر لك أنّه كما يصحّ ذلك في اللغة، يصحّ في العرف أيضًا، فذكر اللغة في كلام الفاضل المذكور ينبغي أن يكون على سبيل التمثيل</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3519949_1280447820"/>
      <w:bookmarkStart w:id="507" w:name="_Toc193"/>
      <w:bookmarkEnd w:id="506"/>
      <w:r>
        <w:rPr>
          <w:rtl w:val="true"/>
        </w:rPr>
        <w:t xml:space="preserve">قيد </w:t>
      </w:r>
      <w:r>
        <w:rPr>
          <w:rtl w:val="true"/>
        </w:rPr>
        <w:t>«</w:t>
      </w:r>
      <w:r>
        <w:rPr>
          <w:rtl w:val="true"/>
        </w:rPr>
        <w:t>نفس الأمر</w:t>
      </w:r>
      <w:r>
        <w:rPr>
          <w:rtl w:val="true"/>
        </w:rPr>
        <w:t xml:space="preserve">» </w:t>
      </w:r>
      <w:r>
        <w:rPr>
          <w:rtl w:val="true"/>
        </w:rPr>
        <w:t>في صحّة السلب غير مفتقر إليه</w:t>
      </w:r>
      <w:bookmarkEnd w:id="50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الافتقار إلى القيد المذكور؛ لأنّ مقتضى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السلب من علامة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السلب الحقيقيّ من علامته؛ لأنّ </w:t>
      </w:r>
      <w:bookmarkStart w:id="508" w:name="pg16214_221653"/>
    </w:p>
    <w:p>
      <w:pPr>
        <w:pStyle w:val="BookText"/>
        <w:rPr/>
      </w:pPr>
      <w:bookmarkEnd w:id="5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الاستعمال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والسلب المذكور فيما ذكر ليس سلبًا حقيقيًّا، بل سلب مجازيّ مبالغة، والسلب الحقيقيّ هو السلب في الواقع ونفس الأمر، فالتقييد به غير مفتقر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سالبة حمليّة، ووضعها لسلب المحمول عن الموضوع في نفس الأمر، فلا يمكن استعمالها حقيقة إلّا إذا تحقّق السلب كذلك؛ والسالبة الحقيقيّة فيما صحّت من أمارة المجاز، والسالبة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بَشَرًا</w:t>
      </w:r>
      <w:r>
        <w:rPr>
          <w:rStyle w:val="FootnoteAnchor"/>
          <w:rtl w:val="true"/>
        </w:rPr>
        <w:footnoteReference w:id="385"/>
      </w:r>
      <w:r>
        <w:rPr>
          <w:rFonts w:ascii="Amiri" w:hAnsi="Amiri" w:eastAsia="Amiri" w:cs="Amiri"/>
          <w:color w:val="111111"/>
          <w:sz w:val="28"/>
          <w:sz w:val="28"/>
          <w:szCs w:val="28"/>
          <w:rtl w:val="true"/>
          <w:lang w:bidi="ar-SA"/>
        </w:rPr>
        <w:t>ونحوه ليست كذلك، بل سالبة مجازيّة، هذا</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3519951_1280447820"/>
      <w:bookmarkStart w:id="510" w:name="_Toc194"/>
      <w:bookmarkEnd w:id="509"/>
      <w:r>
        <w:rPr>
          <w:rtl w:val="true"/>
        </w:rPr>
        <w:t xml:space="preserve">الاعتراضات الواردة على جعل </w:t>
      </w:r>
      <w:r>
        <w:rPr>
          <w:rtl w:val="true"/>
        </w:rPr>
        <w:t>«</w:t>
      </w:r>
      <w:r>
        <w:rPr>
          <w:rtl w:val="true"/>
        </w:rPr>
        <w:t>صحّة السلب وعدمها</w:t>
      </w:r>
      <w:r>
        <w:rPr>
          <w:rtl w:val="true"/>
        </w:rPr>
        <w:t xml:space="preserve">» </w:t>
      </w:r>
      <w:r>
        <w:rPr>
          <w:rtl w:val="true"/>
        </w:rPr>
        <w:t>علامة</w:t>
      </w:r>
      <w:bookmarkEnd w:id="510"/>
    </w:p>
    <w:p>
      <w:pPr>
        <w:pStyle w:val="Heading5"/>
        <w:numPr>
          <w:ilvl w:val="4"/>
          <w:numId w:val="1"/>
        </w:numPr>
        <w:rPr/>
      </w:pPr>
      <w:bookmarkStart w:id="511" w:name="__RefHeading___Toc3519953_1280447820"/>
      <w:bookmarkStart w:id="512" w:name="_Toc195"/>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ثمّ إنّ في المقام اعتراضات</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3519955_1280447820"/>
      <w:bookmarkStart w:id="514" w:name="_Toc196"/>
      <w:bookmarkEnd w:id="513"/>
      <w:r>
        <w:rPr>
          <w:rtl w:val="true"/>
        </w:rPr>
        <w:t>الاعتراض الأوّل</w:t>
      </w:r>
      <w:bookmarkEnd w:id="51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صحّة السلب دليل المجاز وعدمها دليل الحقيقة ممّا لا ثمرة فيه، إذ المفروض أنّ المعنى الحقيقيّ معلوم والمستعمل فيه كذلك، فينبغي النظر إليهما، فإن كان من الأوّل فمعنى</w:t>
      </w:r>
      <w:r>
        <w:rPr>
          <w:rStyle w:val="FootnoteAnchor"/>
          <w:rtl w:val="true"/>
        </w:rPr>
        <w:footnoteReference w:id="386"/>
      </w:r>
      <w:r>
        <w:rPr>
          <w:rFonts w:ascii="Amiri" w:hAnsi="Amiri" w:eastAsia="Amiri" w:cs="Amiri"/>
          <w:color w:val="111111"/>
          <w:sz w:val="28"/>
          <w:sz w:val="28"/>
          <w:szCs w:val="28"/>
          <w:rtl w:val="true"/>
          <w:lang w:bidi="ar-SA"/>
        </w:rPr>
        <w:t>حقيقيّ، وإلّا فمجازيّ</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3519957_1280447820"/>
      <w:bookmarkStart w:id="516" w:name="_Toc197"/>
      <w:bookmarkEnd w:id="515"/>
      <w:r>
        <w:rPr>
          <w:rtl w:val="true"/>
        </w:rPr>
        <w:t>الاعتراض الثاني</w:t>
      </w:r>
      <w:bookmarkEnd w:id="51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جعلهما دليل الحقيقة والمجاز فاسد؛ لأنّ صحّة السلب الّتي جعلت </w:t>
      </w:r>
    </w:p>
    <w:p>
      <w:pPr>
        <w:pStyle w:val="BookText"/>
        <w:rPr/>
      </w:pPr>
      <w:r>
        <w:rPr>
          <w:rFonts w:ascii="Amiri" w:hAnsi="Amiri" w:eastAsia="Amiri" w:cs="Amiri"/>
          <w:color w:val="111111"/>
          <w:sz w:val="28"/>
          <w:sz w:val="28"/>
          <w:szCs w:val="28"/>
          <w:rtl w:val="true"/>
          <w:lang w:bidi="ar-SA"/>
        </w:rPr>
        <w:t>دليلًا على المجاز إمّا أن يراد بها صحّة سلب بعض المعاني الحقيقيّة عن المستعمل فيه، أو جميعها؛ وكلاهما فاسد</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أنّ سلب بعض المعاني الحقيقيّة غير مستلزم للمجازيّة، ألا ترى أنّ المشترك يصحّ سلب كلّ معنى من معانيه عن الآخر، مع أنّ اللفظ في الجميع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علامة المجاز، وأمّا في علامة الحقيقة فلاستلزامها الدور؛ فلأنّ العلم بعدم صحّة سلب المعنى الحقيقيّ عن المستعمل فيه موقوف على العلم بأنّه من المعنى الحقيقيّ، والمفروض أنّ العلم بكونه من المعنى الحقيقيّ موقوف على العلم بعدم صحّة السلب، فيلزم توقّف العلم بعدم صحّة السلب على العلم بعدم صحّة السلب، وهو دور ظاهر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الدور، أمّا بالنسبة إلى المجاز فلأنّ العلم بصحّة سلب جميع المعاني الحقيقيّة عن المستعمل فيه موقوف على العلم بأنّه ليس منها، والعلم بأنّه ليس منها موقوف على العلم بأنّه من المعاني المجازيّة، والمفروض أنّه توقّف العلم بالمجازيّة على العلم بصحّة السلب، فيلزم توقّف العلم بصحّة السلب على العلم بصحّة السلب، وهو دور مضمر</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تقريره على وجه يصير الدور مصرّحًا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بصحّة سلب جميع المعاني الحقيقيّة عن المستعمل فيه متوقّف على العلم بعدم كون المستعمل فيه من المعاني الحقيقيّة، فلو توقّف العلم بعدم كونه منها على العلم بصحّة السلب، يلزم أنّ العلم بصحّة السلب متوقّف على العلم بصحّة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عنه بأنّ المفروض أنّ العلم بالمجازيّة متوقّف على العلم بصحّة السلب، لا العلم بعدم كون المستعمل فيه من المعاني الحقيقيّة متوقّف عليه، ولذا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 صحّة السلب علامة الحقيقة وصحّته علامة للمجاز</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لا لعدم الحقيقيّة، والعلم بعدم الحقيقة غير مستلزم للعلم بالمجازيّة على سبيل الإطلاق، وسيجيء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بصحّة سلب جميع المعاني الحقيقيّة عن المستعمل فيه متوقّف على العلم بكونه من المعاني المجازيّة، والمفروض أنّ العلم بكونه من المعاني المجازيّة متوقّف على العلم بصحّة السلب، فالعلم بصحّة السلب يتوقّف على العلم بصحّة السلب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نمنع توقّف سلب جميع المعاني الحقيقيّة عن المستعمل فيه على العلم بكونه من المعاني المجازيّة؛ لأنّ الموقوف عليه لذلك العلمُ بعدم وضع اللفظ له، لا العلم بكونه من المعاني المجازيّة، والأوّل غير مستلزم للثاني؛ لإمكان العلم بعدم وضع اللفظ لمعنى مع عدم كونه من المعاني المجازيّة لانتفاء العلاقة</w:t>
      </w:r>
      <w:r>
        <w:rPr>
          <w:rFonts w:eastAsia="Amiri" w:cs="Amiri" w:ascii="Amiri" w:hAnsi="Amiri"/>
          <w:color w:val="111111"/>
          <w:sz w:val="28"/>
          <w:szCs w:val="28"/>
          <w:rtl w:val="true"/>
          <w:lang w:bidi="ar-SA"/>
        </w:rPr>
        <w:t xml:space="preserve">. </w:t>
      </w:r>
      <w:bookmarkStart w:id="517" w:name="pg16214_221656"/>
    </w:p>
    <w:p>
      <w:pPr>
        <w:pStyle w:val="BookText"/>
        <w:rPr/>
      </w:pPr>
      <w:bookmarkEnd w:id="517"/>
      <w:r>
        <w:rPr>
          <w:rFonts w:ascii="Amiri" w:hAnsi="Amiri" w:eastAsia="Amiri" w:cs="Amiri"/>
          <w:color w:val="111111"/>
          <w:sz w:val="28"/>
          <w:sz w:val="28"/>
          <w:szCs w:val="28"/>
          <w:rtl w:val="true"/>
          <w:lang w:bidi="ar-SA"/>
        </w:rPr>
        <w:t>ولا يخفى عليك أنّه يظهر الجواب ممّا ذكر عن أصل الدور ولو كان مضمرًا؛ لما عرفت من منع توقّف عدم كون المستعمل فيه من المعاني الحقيقيّة على العلم بكونه من المعاني المجازيّة، بل بعدم وضع اللفظ له، لكنّه هنا مستلزم لذلك لثبوت الاستعمال وانحصاره إذا كان صحيحًا في الحقيقة والمجاز، وحيث قد انتفى الأوّل تعيّن الثاني، لكنّه ليس لأجل العلم بعدم الوضع فقط، بل مع ما ذكر،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العلم بعدم وضع اللفظ لذلك المعنى لا وجه للرجوع إلى العلامة لتشخيص المجاز والحقيقة، إذ الرجوع إنّما هو في مقام الجهل والشبهة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الحقيقة؛ فلأنّ العلم بعدم صحّة سلب جميع المعاني الحقيقيّة عن المستعمل فيه موقوفٌ على العلم بأنّه منها؛ لوضوح أنّه لو لم يكن منها أمكن سلب جميع المعاني الحقيقيّة عنه، فلو توقّف العلم بأنّه من المعاني الحقيقيّة على العلم بعدم صحّة سلب جميع المعاني الحقيقيّة، يلزم توقّف العلم بعدم صحّة سلب جميع المعاني الحقيقيّة على العلم بعدم صحّة سلب جميع المعاني الحقيقيّة، وهو أوضح ممّا سبق؛ لكونه دورًا مصرّحًا</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3519959_1280447820"/>
      <w:bookmarkStart w:id="519" w:name="_Toc198"/>
      <w:bookmarkEnd w:id="518"/>
      <w:r>
        <w:rPr>
          <w:rtl w:val="true"/>
        </w:rPr>
        <w:t>الجواب عن الاعتراض الأوّل</w:t>
      </w:r>
      <w:bookmarkEnd w:id="519"/>
    </w:p>
    <w:p>
      <w:pPr>
        <w:pStyle w:val="BookText"/>
        <w:rPr/>
      </w:pPr>
      <w:r>
        <w:rPr>
          <w:rFonts w:ascii="Amiri" w:hAnsi="Amiri" w:eastAsia="Amiri" w:cs="Amiri"/>
          <w:color w:val="111111"/>
          <w:sz w:val="28"/>
          <w:sz w:val="28"/>
          <w:szCs w:val="28"/>
          <w:rtl w:val="true"/>
          <w:lang w:bidi="ar-SA"/>
        </w:rPr>
        <w:t>والجواب عن الأوّل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يرد بناءً على الشقّ الأوّل فيما يتمسّك فيه بصحّة السلب، وأمّا على الشقّ الثاني على ما ذكرناه فلا، كما لا يخفى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الحقيقيّ للّفظ قد يكون بحيث يمكن للناظر فيه الامتياز </w:t>
      </w:r>
    </w:p>
    <w:p>
      <w:pPr>
        <w:pStyle w:val="BookText"/>
        <w:rPr/>
      </w:pPr>
      <w:r>
        <w:rPr>
          <w:rFonts w:ascii="Amiri" w:hAnsi="Amiri" w:eastAsia="Amiri" w:cs="Amiri"/>
          <w:color w:val="111111"/>
          <w:sz w:val="28"/>
          <w:sz w:val="28"/>
          <w:szCs w:val="28"/>
          <w:rtl w:val="true"/>
          <w:lang w:bidi="ar-SA"/>
        </w:rPr>
        <w:t>بينه وبين غيره بسهولة، كالأمر مثلًا، فإنّ معناه الحقيقيّ الوجوب، فإذا استعمل وعلم المستعمل فيه أنّه الإباحة مثلًا، يمكن للناظر الحكم بمغايرة المستعمل فيه للمعنى الحقيقيّ بسهولة، فلا حاجة له للرجوع إلى صحّة السلب وعدمها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يكون الأمر كذلك، فيكون المستعمل فيه ممّا لا يمكن الحكم بمغايرته للمعنى الحقيقيّ المعلوم بسهولة ولا بعدمها كذلك، والرجوع إلى صحّة السلب وعدمها إنّما هو في مثل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المعنى الموضوع له اللفظ قد يكون بحيث لا يكون له أفراد مختلفة، فلا يلتبس بغيره؛ وقد لا يكون كذلك، كما إذا وضع اللفظ لمعنى عامّ مختلف الأفراد في الخارج، بعضها ممّا يقطع فيه بأنّ استعمال ذلك اللفظ فيه على سبيل الحقيقة، وبعضها ممّا يشكّ فيه بسبب العوارض الموجبة لذلك،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فإنّه موضوع للحيوان المدرك للمعقول، ولا شكّ أنّ أفراده في الخارج مختلفة بحسب تحقّق هذا المعنى فيها، وكثير منها نقطع بأنّ استعمال ذلك اللفظ فيه على سبيل الحقيقة، وبعضها كالبليد ممّا يشكّ فيه لخفاء ذلك المعنى فيه، فمعلوميّة المستعمل فيه غير كافية للامتياز، فيرجع إلى صحّة السلب العرفيّة وعدمها، فيعمل بمقتضاها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أوضح،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الماهيّات الموضوع لها قد يكون صدقها على أفرادها متساويًا، ويعبّر عنها بالتواطئ؛ وقد يكون متفاوتًا، ويعبّر عنها بالمشكّك؛ والتمسّك بصحّة السلب وعدمها في القسم الثاني، لا الأوّل، فإنّ الأفراد حينئذٍ لمّا كانت مركّبة ممّا به الاشتراك والامتياز ربّما يصير ذلك موجبًا للتردّد والشكّ في صدق الماهيّة عليها حقيقة، فيختبر ذلك بصحّة السلب وعدمها</w:t>
      </w:r>
      <w:r>
        <w:rPr>
          <w:rFonts w:eastAsia="Amiri" w:cs="Amiri" w:ascii="Amiri" w:hAnsi="Amiri"/>
          <w:color w:val="111111"/>
          <w:sz w:val="28"/>
          <w:szCs w:val="28"/>
          <w:rtl w:val="true"/>
          <w:lang w:bidi="ar-SA"/>
        </w:rPr>
        <w:t xml:space="preserve">. </w:t>
      </w:r>
      <w:bookmarkStart w:id="520" w:name="pg16214_221658"/>
    </w:p>
    <w:p>
      <w:pPr>
        <w:pStyle w:val="Heading5"/>
        <w:numPr>
          <w:ilvl w:val="4"/>
          <w:numId w:val="1"/>
        </w:numPr>
        <w:rPr/>
      </w:pPr>
      <w:bookmarkStart w:id="521" w:name="__RefHeading___Toc3519961_1280447820"/>
      <w:bookmarkStart w:id="522" w:name="_Toc199"/>
      <w:bookmarkEnd w:id="520"/>
      <w:bookmarkEnd w:id="521"/>
      <w:r>
        <w:rPr>
          <w:rtl w:val="true"/>
        </w:rPr>
        <w:t>الجواب عن الاعتراض الثاني</w:t>
      </w:r>
      <w:bookmarkEnd w:id="522"/>
    </w:p>
    <w:p>
      <w:pPr>
        <w:pStyle w:val="Heading6"/>
        <w:numPr>
          <w:ilvl w:val="5"/>
          <w:numId w:val="1"/>
        </w:numPr>
        <w:rPr/>
      </w:pPr>
      <w:bookmarkStart w:id="523" w:name="__RefHeading___Toc3519963_1280447820"/>
      <w:bookmarkStart w:id="524" w:name="_Toc200"/>
      <w:bookmarkEnd w:id="523"/>
      <w:r>
        <w:rPr>
          <w:rtl w:val="true"/>
        </w:rPr>
        <w:t>اشارة</w:t>
      </w:r>
      <w:bookmarkEnd w:id="524"/>
    </w:p>
    <w:p>
      <w:pPr>
        <w:pStyle w:val="BookText"/>
        <w:rPr/>
      </w:pPr>
      <w:r>
        <w:rPr>
          <w:rFonts w:ascii="Amiri" w:hAnsi="Amiri" w:eastAsia="Amiri" w:cs="Amiri"/>
          <w:color w:val="111111"/>
          <w:sz w:val="28"/>
          <w:sz w:val="28"/>
          <w:szCs w:val="28"/>
          <w:rtl w:val="true"/>
          <w:lang w:bidi="ar-SA"/>
        </w:rPr>
        <w:t>والجواب عن الثاني بوجوه</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3519965_1280447820"/>
      <w:bookmarkStart w:id="526" w:name="_Toc201"/>
      <w:bookmarkEnd w:id="525"/>
      <w:r>
        <w:rPr>
          <w:rtl w:val="true"/>
        </w:rPr>
        <w:t>الجواب الأوّل عن الاعتراض الثاني</w:t>
      </w:r>
      <w:bookmarkEnd w:id="52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صحّة سلب بعض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سلب البعض غير مستلزم للمجازيّة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لأنّ اللفظ بالنسبة إلى المعنى المسلوب عنه متردّد بين الاشتراك والمجاز، إذ لو لم يكن مجازًا فيه لكان حقيقة، فيلزم الاشتراك، ومعلوم أنّ المجاز خيرٌ منه، والنقض بالاشتراك غير وارد؛ لأنّ الكلام فيما لم يثبت فيه الوضع</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لو كان كذلك، لما كان لجعل صحّة السلب أمارة للمجاز فائدة، إذ يكفي في ذلك ما ذكروا في تعارض الأحوال من أنّه إذا دار العلم بين المجاز والاشتراك، الأوّل خيرٌ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ذلك إنّما يصحّ على القول بأولويّة المجاز من</w:t>
      </w:r>
      <w:r>
        <w:rPr>
          <w:rStyle w:val="FootnoteAnchor"/>
          <w:rtl w:val="true"/>
        </w:rPr>
        <w:footnoteReference w:id="393"/>
      </w:r>
      <w:r>
        <w:rPr>
          <w:rFonts w:ascii="Amiri" w:hAnsi="Amiri" w:eastAsia="Amiri" w:cs="Amiri"/>
          <w:color w:val="111111"/>
          <w:sz w:val="28"/>
          <w:sz w:val="28"/>
          <w:szCs w:val="28"/>
          <w:rtl w:val="true"/>
          <w:lang w:bidi="ar-SA"/>
        </w:rPr>
        <w:t>الاشتراك، وأمّا على القول بالعدم فلا،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الأمر ليس كذلك؛ لأنّهم يذكرون الخلاف عند ذكر معارضة المجاز والاشتراك، ولم نجد لأحد منهم التعرّض للخلاف عند ذكر صحّة السلب، فيظهر من ذلك عدم الخلاف؛ لبعد تحقّقه وعدم التعرّض 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نقول بعد تسليم الجواب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يرتفع به الإشكال عن </w:t>
      </w:r>
    </w:p>
    <w:p>
      <w:pPr>
        <w:pStyle w:val="BookText"/>
        <w:rPr/>
      </w:pPr>
      <w:r>
        <w:rPr>
          <w:rFonts w:ascii="Amiri" w:hAnsi="Amiri" w:eastAsia="Amiri" w:cs="Amiri"/>
          <w:color w:val="111111"/>
          <w:sz w:val="28"/>
          <w:sz w:val="28"/>
          <w:szCs w:val="28"/>
          <w:rtl w:val="true"/>
          <w:lang w:bidi="ar-SA"/>
        </w:rPr>
        <w:t>علامة المجاز، وأمّا بالنسبة إلى علامة الحقيقة فإرادة البعض غير حاسمة للإشكال المتقدّم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 الجميع بعد تمهيد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ممّا تقدّم أنّ التمسّك بهاتين العلامتين إنّما هو إذا كان الموضوع له اللفظ معنى عامًّا متكثّر الأفراد في الخارج، ففي بعض المواضع نقطع بكونه فردًا من ذلك وبكون</w:t>
      </w:r>
      <w:r>
        <w:rPr>
          <w:rStyle w:val="FootnoteAnchor"/>
          <w:rtl w:val="true"/>
        </w:rPr>
        <w:footnoteReference w:id="394"/>
      </w:r>
      <w:r>
        <w:rPr>
          <w:rFonts w:ascii="Amiri" w:hAnsi="Amiri" w:eastAsia="Amiri" w:cs="Amiri"/>
          <w:color w:val="111111"/>
          <w:sz w:val="28"/>
          <w:sz w:val="28"/>
          <w:szCs w:val="28"/>
          <w:rtl w:val="true"/>
          <w:lang w:bidi="ar-SA"/>
        </w:rPr>
        <w:t>اللفظ حقيقة فيه، فلا حاجة فيه للرجوع إلى العلامة، وتمسّكهم بعدم صحّة السلب ليس في مثل هذا المقام؛ لوضوح أنّ التمسّك</w:t>
      </w:r>
      <w:r>
        <w:rPr>
          <w:rStyle w:val="FootnoteAnchor"/>
          <w:rtl w:val="true"/>
        </w:rPr>
        <w:footnoteReference w:id="395"/>
      </w:r>
      <w:r>
        <w:rPr>
          <w:rFonts w:ascii="Amiri" w:hAnsi="Amiri" w:eastAsia="Amiri" w:cs="Amiri"/>
          <w:color w:val="111111"/>
          <w:sz w:val="28"/>
          <w:sz w:val="28"/>
          <w:szCs w:val="28"/>
          <w:rtl w:val="true"/>
          <w:lang w:bidi="ar-SA"/>
        </w:rPr>
        <w:t>بالعلامة إنّما هو في مقام الشكّ بالحقيقة والمجاز، لا في مقام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المواضع نشكّ في ذلك باعتبار اشتراكه لذلك البعض في بعض الأمور وافتراقه عنه في الآخر، فبالنظر إلى الاشتراك نجوّز</w:t>
      </w:r>
      <w:r>
        <w:rPr>
          <w:rStyle w:val="FootnoteAnchor"/>
          <w:rtl w:val="true"/>
        </w:rPr>
        <w:footnoteReference w:id="396"/>
      </w:r>
      <w:r>
        <w:rPr>
          <w:rFonts w:ascii="Amiri" w:hAnsi="Amiri" w:eastAsia="Amiri" w:cs="Amiri"/>
          <w:color w:val="111111"/>
          <w:sz w:val="28"/>
          <w:sz w:val="28"/>
          <w:szCs w:val="28"/>
          <w:rtl w:val="true"/>
          <w:lang w:bidi="ar-SA"/>
        </w:rPr>
        <w:t>الحقيقيّة وإلى الافتراق المجازيّة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أنّ ما به الافتراق والامتياز بين الموضعين هل بلغ حدًّا في العرف والعادة بحيث لا يجوز معه الحكم بأنّ ذلك البعض من أفراد ذلك المعنى العامّ، فيكون إطلاق لفظه عليه مجازًا، أو لا؟ بل مع الامتياز المذكور يعدّ في العرف والعادة من أفراده حقيقة، فحينئذٍ يكون إطلاق ذلك اللفظ عليه حقيقة، فيرجع إلى صحّة سلب ذلك المعنى المعلوم عن ذلك البعض وعدمها، فإن صحّ ذلك عند أهل العرف يعلم أنّ الامتياز المذكور بلغ إلى ذلك الحدّ، وإلّا فلا، </w:t>
      </w:r>
    </w:p>
    <w:p>
      <w:pPr>
        <w:pStyle w:val="BookText"/>
        <w:rPr/>
      </w:pPr>
      <w:r>
        <w:rPr>
          <w:rFonts w:ascii="Amiri" w:hAnsi="Amiri" w:eastAsia="Amiri" w:cs="Amiri"/>
          <w:color w:val="111111"/>
          <w:sz w:val="28"/>
          <w:sz w:val="28"/>
          <w:szCs w:val="28"/>
          <w:rtl w:val="true"/>
          <w:lang w:bidi="ar-SA"/>
        </w:rPr>
        <w:t>فيتوصّل إلى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فإنّا نعلم أنّه موضوع للحيوان المدرك للمعقول، وفي كثير من موارد الاستعمال نقطع بتحقّقه فيه، فنعلم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حقيقة، فلا حاجة للرجوع إلى العلامة، وفي بعض الموارد كالبليد مثلًا نشك في ذلك ممّا به الاشتراك بينه وبين الموارد المذكورة وممّا به الامتياز الّذي هو البلادة، وكلفظ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فإنّا نعلم بأنّه موضوع للجسم المخصوص؛ وفي كثير من الموارد نقطع بتحقّق الموضوع له فيه، فيكون استعماله فيه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الموارد كالممتزج ببعض الأجسام كالتراب وغيره نشكّ في ذلك ممّا به الاشتراك والامتياز، فنختبر بصحّة السلب والعدم، فإن صحّ في العرف ذلك نعلم أنّ الاختلاط المذكور أخرجه عن ذلك، فيكون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مجازًا، وإلّا فحقيقة، وهكذا الكلام في كلّ ما يكون بهذا المنوال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الفائدة المترتّبة على صحّة السلب غير ما يترتّب على أولويّة المجاز من الاشتراك، والمنفي بالأوّل غير ما هو المنفي بالثاني، وكذا الثابت بالأوّل غير ما هو الثابت بالثاني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المنفي بسلب ذلك المعنى عن المسلوب عنه كون المعنى المسلوب عنه من أفراد ذلك المعنى الموضوع له، فيعلم من ذلك أنّ استعمال ذلك اللفظ فيه لا يكون على سبيل الحقيقة، لكن بحسب ذلك الوضع لا مطلقًا؛ لجواز أن يكون اللفظ المذكور موضوعًا لذلك المعنى بوضع آخر، فيلزم أن يكون استعماله فيه على سبيل الحقيقة، والمنفي بأولويّة المجاز من الاشتراك هذا الاحتمال، فيعلم أنّ استعمال اللفظ فيه على سبيل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المنفيّ بصحّة السلب الاشتراك المعنويّ، وبأولويّة المجاز الاشتراك اللفظيّ، فكيف يكون الثاني منفيًّا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بما ذكرنا في الجواب عن الأوّل، وإن أردت التوضيح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الموضع الّذي يتمسّك فيه بصحّة السلب وراء الموضع الّذي يتمسّك فيه بأولويّة المجاز كما عرفت، فكون الثاني محلًّا للخلاف لا يستلزم أن يكون الأوّل من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ممّا ذكر اتّفاقهم على أنّ اللفظ في المعنى المسلوب عنه بالنظر إلى وضعه للمعنى المسلوب مجازٌ وإن استلزمهم الخلاف في ذلك بالنظر إلى وضعه الآخر، فالقائلون بأولويّة المجاز ينفون الوضع الآخر أيضًا، فلا يكون ذلك اللفظ في ذلك المعنى إلّا مجازًا عندهم، والقائل بأولويّة الاشتراك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يكون الأمر على ما ذكر؟ فإنّ اللازم منه أن يكون ذلك اللفظ في ذلك المعنى عند القائل بأولويّة الاشتراك مجازًا بالنسبة إلى صحّة السلب وحقيقة بالنسبة إلى أولويّة الاشتراك، فيلزم أن يكون لفظ واحد في معنى واحد في آن واحد مجازًا وحقيقة، وهو محال للزوم التناقض، إذ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المستعمل في غير الموضوع له،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فيما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 إنّما تلزم إذا كانت المجازيّة والحقيقيّة من حيثيّة واحدة، وليس الأمر فيما نحن فيه كذلك، إذ المجازيّة إنّما هي بالنسبة إلى وضع المعنى المسلوب، والحقيقيّة إنّما هي بالنسبة إلى وضع الآخر، ولا استحالة في ذلك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اللفظ المشترك إذا استعمل في بعض معانيه، لا لكونه موضوعًا له، بل لكونه مناسبًا للمعنى الآخر، يكون مجازًا، مع أنّه من المعاني الحقيقيّة، والمجازيّة </w:t>
      </w:r>
    </w:p>
    <w:p>
      <w:pPr>
        <w:pStyle w:val="BookText"/>
        <w:rPr/>
      </w:pPr>
      <w:r>
        <w:rPr>
          <w:rFonts w:ascii="Amiri" w:hAnsi="Amiri" w:eastAsia="Amiri" w:cs="Amiri"/>
          <w:color w:val="111111"/>
          <w:sz w:val="28"/>
          <w:sz w:val="28"/>
          <w:szCs w:val="28"/>
          <w:rtl w:val="true"/>
          <w:lang w:bidi="ar-SA"/>
        </w:rPr>
        <w:t>بالنسبة إلى تلك المناسبة والحقيقيّة لا بالنسبة إليها، بل باعتبار الوضع الآخر، وما نحن فيه من هذا القبيل من غير فرق، فيعلم من ذلك أنّ الحكم باتّحاد آن المجازيّة مع آن الحقيقيّة غير صحيح؛ لأنّ آن المجاز</w:t>
      </w:r>
      <w:r>
        <w:rPr>
          <w:rStyle w:val="FootnoteAnchor"/>
          <w:rtl w:val="true"/>
        </w:rPr>
        <w:footnoteReference w:id="397"/>
      </w:r>
      <w:r>
        <w:rPr>
          <w:rFonts w:ascii="Amiri" w:hAnsi="Amiri" w:eastAsia="Amiri" w:cs="Amiri"/>
          <w:color w:val="111111"/>
          <w:sz w:val="28"/>
          <w:sz w:val="28"/>
          <w:szCs w:val="28"/>
          <w:rtl w:val="true"/>
          <w:lang w:bidi="ar-SA"/>
        </w:rPr>
        <w:t>آن ملاحظة المناسبة، وآن الحقيقة آن ملاحظة الوضع، فاختلف الآنان وانتفى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ما ذكر لم يكن صحّة السلب دليل العلم بالمجاز الفعليّ على القول بأولويّة الاشتراك من المجاز، بل يكون دليلًا على المجاز بالقوّة، بمعنى أنّه لو لاحظ المستعمل عند استعمال ذلك اللفظ في المعنى المسلوب عنه وضعه للمعنى المسلوب يكون مجازًا، فتكون المجازيّة متوقّفة على ملاحظة تلك المناسبة، ثمّ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يمكن للقائل بأولويّة الاشتراك الحكم بالمجازيّة بمجرّد وجدان اللفظ مستعملًا في المعنى المسلوب عنه، بل يلزمه القول بالحقيقة حينئذٍ؛ لأنّ الاستعمال عنده دليل الحقيقة، وقد تحقّق، إلّا إذا ثبت أنّ مصحّح الاستعمال ملاحظة المناسبة، لا الوضع</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صحّة السلب بناءً على القول بأولويّة الاشتراك دليلًا على المجاز فيما تحقّق فيه الاستعمال، مع أنّ الظاهر من كلماتهم ذلك، ولا يخفى عليك أنّ هذا إنّما يرد إذا تحقّق الاستعمال بالنسبة إلى المعنى المسلوب عنه، وأمّا إذا لم يتحقّق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الصورتين المذكورتين من الصور الخمس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فهناك يكون صحّة السلب دليل المجاز من غير إشكال</w:t>
      </w:r>
      <w:r>
        <w:rPr>
          <w:rFonts w:eastAsia="Amiri" w:cs="Amiri" w:ascii="Amiri" w:hAnsi="Amiri"/>
          <w:color w:val="111111"/>
          <w:sz w:val="28"/>
          <w:szCs w:val="28"/>
          <w:rtl w:val="true"/>
          <w:lang w:bidi="ar-SA"/>
        </w:rPr>
        <w:t xml:space="preserve">. </w:t>
      </w:r>
      <w:bookmarkStart w:id="527" w:name="pg16214_221663"/>
    </w:p>
    <w:p>
      <w:pPr>
        <w:pStyle w:val="BookText"/>
        <w:rPr/>
      </w:pPr>
      <w:bookmarkEnd w:id="527"/>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الإشكال إنّما يرد إذا علم الموضوع له اللفظ، وأمّا فيما إذا لم يعلم ذلك أصلًا كما ذكرنا في الجاهل بالاصطلاح، فالإشكال غير وارد أصلًا، كما لا يخفى على العارف المتفطّن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الصورة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بالنسبة إلى الجاهل بالاصطلاح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 بكون المعنى من المعاني الحقيقيّة وإن توقّف على علمه بعدم صحّة السلب، لكن علمه بعدم صحّة السلب ليس متوقّفًا على علمه بكون المعنى من المعاني الحقيقيّة، بل على علم أهل الاصطلاح بكونه منها؛ وعلمهم بكونه منها غير متوقّف على عدم صحّة السلب؛ لجواز اطّلاعهم بذلك إمّا بنصّ الواضع، أو بأمارات أُخر، أو عدم صحّة السلب بالنسبة إلى غير ذلك الشخص، فالدور مندفع لاختلاف الجهات والحيثيّات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غيرها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القواعد اللفظيّة مأخوذة من متفاهم العرف واللغة، فلا بدّ عند عدم انضباط شيء منها من الرجوع إليهما حتّى تنضبط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استعمل لفظ في مورد ولم نعلم أنّه من أفراد الموضوع له أم لا، نرجع إلى صحّة السلب العرفيّة، فإذا لم يصحّ سلب ذلك المعنى عن ذلك المورد، نعلم أنّه من أفراده،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بأنّه من المعنى الحقيقيّ للّفظ متوقّفٌ على عدم صحّة السلب العرفيّة، وعدمها متوقّف على علمهم بكونه من المعاني الحقيقيّة نظير ما تقدّم، فارتفع الإشكال بعون الموفّق المتعال</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3519967_1280447820"/>
      <w:bookmarkStart w:id="529" w:name="_Toc202"/>
      <w:bookmarkEnd w:id="528"/>
      <w:r>
        <w:rPr>
          <w:rtl w:val="true"/>
        </w:rPr>
        <w:t>الجواب الثاني عن الاعتراض الثاني</w:t>
      </w:r>
      <w:bookmarkEnd w:id="52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مبنيّ على إرادة البعض أيضًا، ويدفع النقض بالمشترك بأنّ السلب في المشترك ليس على سبيل الإطلاق، بل بالنسبة إلى بعض المعاني، إذ </w:t>
      </w:r>
      <w:bookmarkStart w:id="530" w:name="pg16214_221664"/>
    </w:p>
    <w:p>
      <w:pPr>
        <w:pStyle w:val="BookText"/>
        <w:rPr/>
      </w:pPr>
      <w:bookmarkEnd w:id="530"/>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ليس 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الفضّة بالنسبة إلى غير وضع العين لها، فلا بدّ من القرينة الدالّة على ذلك، وإلّا لم يصحّ السلب؛ وصحّة السلب الّتي نقول إنّها من خواصّ المجاز صحّة السلب على الإطلاق إلى المجرّدة عن القرينة، والسلب الّذي في المشترك إنّما هو مع الاقتران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ما ذكر أنّ خواصّ الحقيقة عدم صحّة السلب على الإطلاق، لا بالنسبة إلى البعض فقط؛ ولا شبهة في تحقّقه في المشترك، إذ صحّة السلب فيه إنّما هو بالنسبة إلى بعض المعاني، وأمّا السلب على الإطلاق، فغير ممكن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بالنسبة إلى الدور المذكور،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اندفاعه بما ذكرناه في الجواب الأوّل، فتأمّل</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3519969_1280447820"/>
      <w:bookmarkStart w:id="532" w:name="_Toc203"/>
      <w:bookmarkEnd w:id="531"/>
      <w:r>
        <w:rPr>
          <w:rtl w:val="true"/>
        </w:rPr>
        <w:t>الجواب الثالث عن الاعتراض الثاني</w:t>
      </w:r>
      <w:bookmarkEnd w:id="532"/>
    </w:p>
    <w:p>
      <w:pPr>
        <w:pStyle w:val="BookText"/>
        <w:rPr/>
      </w:pPr>
      <w:r>
        <w:rPr>
          <w:rFonts w:ascii="Amiri" w:hAnsi="Amiri" w:eastAsia="Amiri" w:cs="Amiri"/>
          <w:color w:val="111111"/>
          <w:sz w:val="28"/>
          <w:sz w:val="28"/>
          <w:szCs w:val="28"/>
          <w:rtl w:val="true"/>
          <w:lang w:bidi="ar-SA"/>
        </w:rPr>
        <w:t>والجواب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أنّا نختار أنّ المراد سلب جميع المعاني الحقيقيّة، لكن نقيّدها</w:t>
      </w:r>
      <w:r>
        <w:rPr>
          <w:rStyle w:val="FootnoteAnchor"/>
          <w:rtl w:val="true"/>
        </w:rPr>
        <w:footnoteReference w:id="398"/>
      </w:r>
      <w:r>
        <w:rPr>
          <w:rFonts w:ascii="Amiri" w:hAnsi="Amiri" w:eastAsia="Amiri" w:cs="Amiri"/>
          <w:color w:val="111111"/>
          <w:sz w:val="28"/>
          <w:sz w:val="28"/>
          <w:szCs w:val="28"/>
          <w:rtl w:val="true"/>
          <w:lang w:bidi="ar-SA"/>
        </w:rPr>
        <w:t>باليقينيّة، والّذي يتوقّف عليه سلب جميع المعاني الحقيقيّة عن مورد الاستعمال عدم كونه منها، وهو مسلّم؛ لأنّه المفروض، لكن ذلك غير مستلزم للمجازيّة، إلّا بعد التمسّك بأولويّة المجاز من</w:t>
      </w:r>
      <w:r>
        <w:rPr>
          <w:rStyle w:val="FootnoteAnchor"/>
          <w:rtl w:val="true"/>
        </w:rPr>
        <w:footnoteReference w:id="399"/>
      </w:r>
      <w:r>
        <w:rPr>
          <w:rFonts w:ascii="Amiri" w:hAnsi="Amiri" w:eastAsia="Amiri" w:cs="Amiri"/>
          <w:color w:val="111111"/>
          <w:sz w:val="28"/>
          <w:sz w:val="28"/>
          <w:szCs w:val="28"/>
          <w:rtl w:val="true"/>
          <w:lang w:bidi="ar-SA"/>
        </w:rPr>
        <w:t>الاشتراك، فيجيء الكلام فيه على نحو ما تقدّم</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3519971_1280447820"/>
      <w:bookmarkStart w:id="534" w:name="_Toc204"/>
      <w:bookmarkEnd w:id="533"/>
      <w:r>
        <w:rPr>
          <w:rtl w:val="true"/>
        </w:rPr>
        <w:t>الاعتراض الثالث</w:t>
      </w:r>
      <w:bookmarkEnd w:id="53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والاعتراض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العلامة وإن لم يشترط فيها الانعكاس، لكن </w:t>
      </w:r>
      <w:bookmarkStart w:id="535" w:name="pg16214_221665"/>
    </w:p>
    <w:p>
      <w:pPr>
        <w:pStyle w:val="BookText"/>
        <w:rPr/>
      </w:pPr>
      <w:bookmarkEnd w:id="535"/>
      <w:r>
        <w:rPr>
          <w:rFonts w:ascii="Amiri" w:hAnsi="Amiri" w:eastAsia="Amiri" w:cs="Amiri"/>
          <w:color w:val="111111"/>
          <w:sz w:val="28"/>
          <w:sz w:val="28"/>
          <w:szCs w:val="28"/>
          <w:rtl w:val="true"/>
          <w:lang w:bidi="ar-SA"/>
        </w:rPr>
        <w:t>يشترط فيها الاطّراد، بمعنى أن لا يتخلّف وجودها عمّا هو علامة لها وإن جاز تخلّفه عنها؛ فعلى 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عدم صحّة السلب علامة للحقيقة، لما جاز تخلّفه عنها،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فقد ظهرت ممّا علمت، وأمّا بطلان التالي فلأنّ اللفظ المستعمل في جزئه أو خارجه المحمول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 مثلًا في الناطق والكاتب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فيه السلب، فلا يجوز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الناطق ليس بإنسان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الكاتب، مع أنّ اللفظ في كلّ منهما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له إمّا مباين للمستعمل فيه، أو مساوٍ له، أو أعمّ منه، أو أخصّ، والسلب إنّما يمكن في الأوّل،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مفهوم الحماريّة مسلوب عنه، وأمّا في الصور الثلاث الباقية فلا، أمّا في صورة التساوي فظاهر، إذ المتساويان متساوقان في الوجود، فكيف يسلب أحدهما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صورة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 عند استعماله في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كلّ إنسان حيوان، فكيف يسلب عنه مفهوم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أخصّ لا ينفك عن الأعمّ، فلا يمكن سلبه عنه، وأمّا في صورة الأخصّيّة فلما عرفت من أنّ الأخصّ غير منفكّ عن الأعمّ، فيلزم أن يكون اللفظ في جميع الصور الثلاث حقيقة؛ لوجود علامتها فيه، مع أنّه مجاز في نفس الأمر، فلا يكون عدم صحّة السلب دليلًا على الحقيقة، إلّا في صورة التباين بين الموضوع له والمستعمل فيه</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3519973_1280447820"/>
      <w:bookmarkStart w:id="537" w:name="_Toc205"/>
      <w:bookmarkEnd w:id="536"/>
      <w:r>
        <w:rPr>
          <w:rtl w:val="true"/>
        </w:rPr>
        <w:t>الجواب عن الاعتراض الثالث</w:t>
      </w:r>
      <w:bookmarkEnd w:id="53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يتوجّه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السلب إنّما تكون باعتبار </w:t>
      </w:r>
    </w:p>
    <w:p>
      <w:pPr>
        <w:pStyle w:val="BookText"/>
        <w:rPr/>
      </w:pPr>
      <w:r>
        <w:rPr>
          <w:rFonts w:ascii="Amiri" w:hAnsi="Amiri" w:eastAsia="Amiri" w:cs="Amiri"/>
          <w:color w:val="111111"/>
          <w:sz w:val="28"/>
          <w:sz w:val="28"/>
          <w:szCs w:val="28"/>
          <w:rtl w:val="true"/>
          <w:lang w:bidi="ar-SA"/>
        </w:rPr>
        <w:t>حمل الشيء على ما هو مغاير له، فيلزم أن يكون عدمها بهذا الاعتبار علامة الحقيقة، وقد وجد في المواضع المذكورة مع عدم كون اللفظ فيها حقيقة، ونحن لم نقل بذلك</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المقام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السلب قد تكون باعتبار حمل الشيء على المغاير، وقد تكون باعتبار حمل الشيء بمعنى هو هو، والمعتبر في المجاز صحّة السلب بالاعتبار الثاني، وقد يجتمع مع الاعتبار الأوّل، كما إذا كان بين الموضوع له والمستعمل فيه تباين،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البليد ليس بحمار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السلب بالاعتبار الأوّل؛ فلوضوح أنّ مفهوم الحمار مسلوب عن البليد، وأمّا بالاعتبار الثاني؛ فلأنّ سلب مفهومه عنه يستلزم رفع الاتّحاد بين المفهومين،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الحمار ليس عين مفهوم البليد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يفترق عنه، كما في الصور المذكورة، فإنّه يتحقّق السلب فيها بالاعتبار الثاني؛ لوضوح 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عين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عين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بخلافه بالاعتبار الأوّل؛ لوضوح عدم جواز سلب مصداق</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مصداق</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السلب بذلك الاعتبار كافٍ لاتّصاف اللفظ بالمجازيّة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ذلك أنّ السلب بالاعتبار الثاني أعمّ من السلب بالاعتبار الأوّل، فكلّما يتحقّق فيه السلب بالاعتبار الأوّل يتحقّق بالاعتبار الثاني من غير عكس، ولمّا كان نقيض الأخصّ أعمّ وبالعكس، كان عدم صحّة السلب بالاعتبار الثاني أخصّ من عدم صحّة السلب بالاعتبار الأوّل، بمعنى أنّ كلّما لم يصحّ فيه السلب بالاعتبار الثاني لم يصحّ بالاعتبار الأوّل، وليس كلّما لم يصحّ فيه السلب بالاعتبار الأوّل لم يصحّ بالاعتبار الثاني، كما عرفت عند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فإنّه لم يصحّ فيه السلب بالاعتبار الأوّل مع أنّه صحّ بالاعتبار الثاني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المعتبر في المجاز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صحّة السلب بالاعتبار الثاني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المعتبر في الحقيقة الأخصّ، أي عدمها بذلك الاعتبار، لكن لمّا كان الأخصّ مستلزمًا للأعمّ، علم أنّ عدم صحّة السلب بالاعتبار الثاني لا ينفكّ عن عدمها بالاعتبار الأوّل، فالمعنى الحقيقيّ لا يفترق عن عدم صحّة السلب بالاعتبارين، فاندفع النقض باللفظ المستعمل في الجزء والخارج اللازم المحمول؛ لعدم تحقّق السلب إلّا باعتبار واحد</w:t>
      </w:r>
      <w:r>
        <w:rPr>
          <w:rFonts w:eastAsia="Amiri" w:cs="Amiri" w:ascii="Amiri" w:hAnsi="Amiri"/>
          <w:color w:val="111111"/>
          <w:sz w:val="28"/>
          <w:szCs w:val="28"/>
          <w:rtl w:val="true"/>
          <w:lang w:bidi="ar-SA"/>
        </w:rPr>
        <w:t xml:space="preserve">. </w:t>
      </w:r>
      <w:bookmarkStart w:id="538" w:name="pg16214_221668"/>
    </w:p>
    <w:p>
      <w:pPr>
        <w:pStyle w:val="BookText"/>
        <w:rPr/>
      </w:pPr>
      <w:bookmarkEnd w:id="538"/>
      <w:r>
        <w:rPr>
          <w:rFonts w:ascii="Amiri" w:hAnsi="Amiri" w:eastAsia="Amiri" w:cs="Amiri"/>
          <w:color w:val="111111"/>
          <w:sz w:val="28"/>
          <w:sz w:val="28"/>
          <w:szCs w:val="28"/>
          <w:rtl w:val="true"/>
          <w:lang w:bidi="ar-SA"/>
        </w:rPr>
        <w:t>في تحقيق التبادر وعدمه</w:t>
      </w:r>
    </w:p>
    <w:p>
      <w:pPr>
        <w:pStyle w:val="Heading3"/>
        <w:numPr>
          <w:ilvl w:val="2"/>
          <w:numId w:val="1"/>
        </w:numPr>
        <w:rPr/>
      </w:pPr>
      <w:bookmarkStart w:id="539" w:name="__RefHeading___Toc3519975_1280447820"/>
      <w:bookmarkStart w:id="540" w:name="_Toc206"/>
      <w:bookmarkEnd w:id="539"/>
      <w:r>
        <w:rPr>
          <w:rtl w:val="true"/>
        </w:rPr>
        <w:t>الفصل الثالث</w:t>
      </w:r>
      <w:r>
        <w:rPr>
          <w:rtl w:val="true"/>
        </w:rPr>
        <w:t xml:space="preserve">: </w:t>
      </w:r>
      <w:r>
        <w:rPr>
          <w:rtl w:val="true"/>
        </w:rPr>
        <w:t>في التبادر وعدمه أو عدم تبادر الغير وتبادره</w:t>
      </w:r>
      <w:bookmarkEnd w:id="540"/>
    </w:p>
    <w:p>
      <w:pPr>
        <w:pStyle w:val="Heading4"/>
        <w:numPr>
          <w:ilvl w:val="3"/>
          <w:numId w:val="1"/>
        </w:numPr>
        <w:rPr/>
      </w:pPr>
      <w:bookmarkStart w:id="541" w:name="__RefHeading___Toc3519977_1280447820"/>
      <w:bookmarkStart w:id="542" w:name="_Toc207"/>
      <w:bookmarkEnd w:id="541"/>
      <w:r>
        <w:rPr>
          <w:rtl w:val="true"/>
        </w:rPr>
        <w:t>اشارة</w:t>
      </w:r>
      <w:bookmarkEnd w:id="542"/>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التبادر وعدمه أو</w:t>
      </w:r>
      <w:r>
        <w:rPr>
          <w:rStyle w:val="FootnoteAnchor"/>
          <w:rtl w:val="true"/>
        </w:rPr>
        <w:footnoteReference w:id="403"/>
      </w:r>
      <w:r>
        <w:rPr>
          <w:rFonts w:ascii="Amiri" w:hAnsi="Amiri" w:eastAsia="Amiri" w:cs="Amiri"/>
          <w:color w:val="111111"/>
          <w:sz w:val="28"/>
          <w:sz w:val="28"/>
          <w:szCs w:val="28"/>
          <w:rtl w:val="true"/>
          <w:lang w:bidi="ar-SA"/>
        </w:rPr>
        <w:t>عدم تبادر الغير وتبادره</w:t>
      </w:r>
    </w:p>
    <w:p>
      <w:pPr>
        <w:pStyle w:val="BookText"/>
        <w:rPr/>
      </w:pPr>
      <w:r>
        <w:rPr>
          <w:rFonts w:ascii="Amiri" w:hAnsi="Amiri" w:eastAsia="Amiri" w:cs="Amiri"/>
          <w:color w:val="111111"/>
          <w:sz w:val="28"/>
          <w:sz w:val="28"/>
          <w:szCs w:val="28"/>
          <w:rtl w:val="true"/>
          <w:lang w:bidi="ar-SA"/>
        </w:rPr>
        <w:t>فإنّ الأوّل دليل الحقيقة، والثاني دليل المجاز؛ ونعني بالتبادر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استباق المعنى عند استماع اللفظ مجرّدًا عن القرينة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دلالته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القول بالدلالة الذاتيّة لمّا كان فاسدًا، تعيّن أن تكون الدلالة للوضع، وحيث قد علمت دلالة اللفظ على المعنى بنفسه، علم أنّ منشأه وضعه له، ولا نعني بالدلالة على الحقيقة في المقام إلّا ذلك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علّة لاستباق المعنى من اللفظ، وهو معلول له، فإنّه كما إذا حصل العلم بالعلّة من قبل الواضع وغيره، يحصل العلم بالمعلول، ينبغي العكس أيضًا بأن يكون العلم بالمعلول موجبًا للعلم بالعلّة، فيُعلم</w:t>
      </w:r>
      <w:r>
        <w:rPr>
          <w:rStyle w:val="FootnoteAnchor"/>
          <w:rtl w:val="true"/>
        </w:rPr>
        <w:footnoteReference w:id="405"/>
      </w:r>
      <w:r>
        <w:rPr>
          <w:rFonts w:ascii="Amiri" w:hAnsi="Amiri" w:eastAsia="Amiri" w:cs="Amiri"/>
          <w:color w:val="111111"/>
          <w:sz w:val="28"/>
          <w:sz w:val="28"/>
          <w:szCs w:val="28"/>
          <w:rtl w:val="true"/>
          <w:lang w:bidi="ar-SA"/>
        </w:rPr>
        <w:t>من استباق المعنى من اللفظ حال تجرّده عن القرينة وضعه له؛ لئلّا يلزم تخلّف المعلول عن العلّة، إلّا أنّ الأوّل من باب اللّمّ، والثاني من باب الإنّ</w:t>
      </w:r>
      <w:r>
        <w:rPr>
          <w:rFonts w:eastAsia="Amiri" w:cs="Amiri" w:ascii="Amiri" w:hAnsi="Amiri"/>
          <w:color w:val="111111"/>
          <w:sz w:val="28"/>
          <w:szCs w:val="28"/>
          <w:rtl w:val="true"/>
          <w:lang w:bidi="ar-SA"/>
        </w:rPr>
        <w:t xml:space="preserve">. </w:t>
      </w:r>
      <w:bookmarkStart w:id="543" w:name="pg16214_221669"/>
    </w:p>
    <w:p>
      <w:pPr>
        <w:pStyle w:val="Heading4"/>
        <w:numPr>
          <w:ilvl w:val="3"/>
          <w:numId w:val="1"/>
        </w:numPr>
        <w:rPr/>
      </w:pPr>
      <w:bookmarkStart w:id="544" w:name="__RefHeading___Toc3519979_1280447820"/>
      <w:bookmarkStart w:id="545" w:name="_Toc208"/>
      <w:bookmarkEnd w:id="543"/>
      <w:bookmarkEnd w:id="544"/>
      <w:r>
        <w:rPr>
          <w:rtl w:val="true"/>
        </w:rPr>
        <w:t>إيرادات وتفصّيات</w:t>
      </w:r>
      <w:bookmarkEnd w:id="545"/>
    </w:p>
    <w:p>
      <w:pPr>
        <w:pStyle w:val="Heading5"/>
        <w:numPr>
          <w:ilvl w:val="4"/>
          <w:numId w:val="1"/>
        </w:numPr>
        <w:rPr/>
      </w:pPr>
      <w:bookmarkStart w:id="546" w:name="__RefHeading___Toc3519981_1280447820"/>
      <w:bookmarkStart w:id="547" w:name="_Toc209"/>
      <w:bookmarkEnd w:id="546"/>
      <w:r>
        <w:rPr>
          <w:rtl w:val="true"/>
        </w:rPr>
        <w:t>الإيراد الأوّل على التبادر مع الجواب عنه</w:t>
      </w:r>
      <w:bookmarkEnd w:id="547"/>
    </w:p>
    <w:p>
      <w:pPr>
        <w:pStyle w:val="Heading6"/>
        <w:numPr>
          <w:ilvl w:val="5"/>
          <w:numId w:val="1"/>
        </w:numPr>
        <w:rPr/>
      </w:pPr>
      <w:bookmarkStart w:id="548" w:name="__RefHeading___Toc3519983_1280447820"/>
      <w:bookmarkStart w:id="549" w:name="_Toc210"/>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التبادر أمارة للحقيقة، لزم أن لا تكون الألفاظ المشتركة عند استعمالها في معانيها الموضوعة لها حقيقة،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الملازمة فلوضوح أنّ السامع عند استماعه اللفظ المشترك من غير قرينة، يبقى متردّدًا في فهم معنى من معانيه منه وحمله عليه، فلو كان شيء من معانيه متبادرًا لما كان الأمر كذلك؛ وأمّا بطلان التالي فظاهر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 ظاهر، فإنّ مقتضى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التبادر علامة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إذا ثبت تبادر المعنى من اللفظ، يدلّ ذلك على أنّه حقيقة فيه، لا أنّه إذا انتفى انتفت،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للحقيقة</w:t>
      </w:r>
      <w:r>
        <w:rPr>
          <w:rStyle w:val="FootnoteAnchor"/>
          <w:rtl w:val="true"/>
        </w:rPr>
        <w:footnoteReference w:id="407"/>
      </w:r>
      <w:r>
        <w:rPr>
          <w:rFonts w:ascii="Amiri" w:hAnsi="Amiri" w:eastAsia="Amiri" w:cs="Amiri"/>
          <w:color w:val="111111"/>
          <w:sz w:val="28"/>
          <w:sz w:val="28"/>
          <w:szCs w:val="28"/>
          <w:rtl w:val="true"/>
          <w:lang w:bidi="ar-SA"/>
        </w:rPr>
        <w:t>أمارات يكفي في كون اللفظ حقيقة تحقّق شيء منها</w:t>
      </w:r>
      <w:r>
        <w:rPr>
          <w:rStyle w:val="FootnoteAnchor"/>
          <w:rtl w:val="true"/>
        </w:rPr>
        <w:footnoteReference w:id="408"/>
      </w:r>
      <w:r>
        <w:rPr>
          <w:rFonts w:ascii="Amiri" w:hAnsi="Amiri" w:eastAsia="Amiri" w:cs="Amiri"/>
          <w:color w:val="111111"/>
          <w:sz w:val="28"/>
          <w:sz w:val="28"/>
          <w:szCs w:val="28"/>
          <w:rtl w:val="true"/>
          <w:lang w:bidi="ar-SA"/>
        </w:rPr>
        <w:t>ولو لم تتحقّق غيرها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الجرّ من علامة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معنى ذلك إلّا أنّه إذا وجد الجرّ في كلمة يدلّ على أنّه</w:t>
      </w:r>
      <w:r>
        <w:rPr>
          <w:rStyle w:val="FootnoteAnchor"/>
          <w:rtl w:val="true"/>
        </w:rPr>
        <w:footnoteReference w:id="410"/>
      </w:r>
      <w:r>
        <w:rPr>
          <w:rFonts w:ascii="Amiri" w:hAnsi="Amiri" w:eastAsia="Amiri" w:cs="Amiri"/>
          <w:color w:val="111111"/>
          <w:sz w:val="28"/>
          <w:sz w:val="28"/>
          <w:szCs w:val="28"/>
          <w:rtl w:val="true"/>
          <w:lang w:bidi="ar-SA"/>
        </w:rPr>
        <w:t>اسم، لا أنّ عدم وجوده دليل على العدم؛ وكيف مع بعض الأسماء ممّا لا يمكن وجوده فيه، كالأسماء الغير المنصرفة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الأمور خواصّ وعلامات، لا حدود وتعاريف؛ والمعتبر في الخاصّة الاطّراد، لا الانعكاس، بخلاف الحدّ، فإنّه يعتبر فيه الانعكاس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الأمر في الاطّراد والانعكاس يُطلب فيما ذكرناه في مواضع متعدّدة، كالحلية اللامعة</w:t>
      </w:r>
      <w:r>
        <w:rPr>
          <w:rStyle w:val="FootnoteAnchor"/>
          <w:rtl w:val="true"/>
        </w:rPr>
        <w:footnoteReference w:id="411"/>
      </w:r>
      <w:r>
        <w:rPr>
          <w:rFonts w:ascii="Amiri" w:hAnsi="Amiri" w:eastAsia="Amiri" w:cs="Amiri"/>
          <w:color w:val="111111"/>
          <w:sz w:val="28"/>
          <w:sz w:val="28"/>
          <w:szCs w:val="28"/>
          <w:rtl w:val="true"/>
          <w:lang w:bidi="ar-SA"/>
        </w:rPr>
        <w:t>، وحاشيتي التهذيب والمعالم</w:t>
      </w:r>
      <w:r>
        <w:rPr>
          <w:rStyle w:val="FootnoteAnchor"/>
          <w:rtl w:val="true"/>
        </w:rPr>
        <w:footnoteReference w:id="412"/>
      </w:r>
      <w:r>
        <w:rPr>
          <w:rFonts w:ascii="Amiri" w:hAnsi="Amiri" w:eastAsia="Amiri" w:cs="Amiri"/>
          <w:color w:val="111111"/>
          <w:sz w:val="28"/>
          <w:sz w:val="28"/>
          <w:szCs w:val="28"/>
          <w:rtl w:val="true"/>
          <w:lang w:bidi="ar-SA"/>
        </w:rPr>
        <w:t>، لا سيّما الأخير، فإنّه كمشعلة لامعة للإيصال إلى حقيقتهما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إذا لوحظ الخواصّ بمجموعها يلزم منه الانعكاس؛ لوضوح أنّ انتفاء جميع العلائم للحقيقة مثلًا يستلزم انتفاءها، فالإيراد</w:t>
      </w:r>
      <w:r>
        <w:rPr>
          <w:rStyle w:val="FootnoteAnchor"/>
          <w:rtl w:val="true"/>
        </w:rPr>
        <w:footnoteReference w:id="413"/>
      </w:r>
      <w:r>
        <w:rPr>
          <w:rFonts w:ascii="Amiri" w:hAnsi="Amiri" w:eastAsia="Amiri" w:cs="Amiri"/>
          <w:color w:val="111111"/>
          <w:sz w:val="28"/>
          <w:sz w:val="28"/>
          <w:szCs w:val="28"/>
          <w:rtl w:val="true"/>
          <w:lang w:bidi="ar-SA"/>
        </w:rPr>
        <w:t>المذكور لا وجه له، نعم، له وجه بالنسبة إلى المجاز، فإنّ علامته عدم التبادر وقد تحقّق في المشترك، مع أنّه بالنسبة إلى جميع معانيه حقيقة، فلا تتحقّق</w:t>
      </w:r>
      <w:r>
        <w:rPr>
          <w:rStyle w:val="FootnoteAnchor"/>
          <w:rtl w:val="true"/>
        </w:rPr>
        <w:footnoteReference w:id="414"/>
      </w:r>
      <w:r>
        <w:rPr>
          <w:rFonts w:ascii="IRNazanin" w:hAnsi="IRNazanin" w:eastAsia="IRNazanin"/>
          <w:color w:val="111111"/>
          <w:sz w:val="28"/>
          <w:sz w:val="28"/>
          <w:szCs w:val="28"/>
          <w:rtl w:val="true"/>
          <w:lang w:bidi="fa-IR"/>
        </w:rPr>
        <w:t>الاطّراد مع أنّه على ما عرفت 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التبادر إنّما يدلّ على المجاز إذا لم يعارضه</w:t>
      </w:r>
      <w:r>
        <w:rPr>
          <w:rStyle w:val="FootnoteAnchor"/>
          <w:rtl w:val="true"/>
        </w:rPr>
        <w:footnoteReference w:id="415"/>
      </w:r>
      <w:r>
        <w:rPr>
          <w:rFonts w:ascii="Amiri" w:hAnsi="Amiri" w:eastAsia="Amiri" w:cs="Amiri"/>
          <w:color w:val="111111"/>
          <w:sz w:val="28"/>
          <w:sz w:val="28"/>
          <w:szCs w:val="28"/>
          <w:rtl w:val="true"/>
          <w:lang w:bidi="ar-SA"/>
        </w:rPr>
        <w:t>علامة الحقيقة، وأمّا مع المعارضة فلا، وما نحن فيه كذلك؛ لأنّ نصّ الواضع وكذا عدم صحّة السلب دليلٌ على الحقيقة، فتأمّل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بعضًا منهم لأجل الفرار عن هذا الإيراد غيّر الكلام في المقام،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علامة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تبادر الغير، وعلامة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تبادره</w:t>
      </w:r>
      <w:r>
        <w:rPr>
          <w:rStyle w:val="FootnoteAnchor"/>
          <w:rtl w:val="true"/>
        </w:rPr>
        <w:footnoteReference w:id="416"/>
      </w:r>
      <w:r>
        <w:rPr>
          <w:rFonts w:ascii="Amiri" w:hAnsi="Amiri" w:eastAsia="Amiri" w:cs="Amiri"/>
          <w:color w:val="111111"/>
          <w:sz w:val="28"/>
          <w:sz w:val="28"/>
          <w:szCs w:val="28"/>
          <w:rtl w:val="true"/>
          <w:lang w:bidi="ar-SA"/>
        </w:rPr>
        <w:t xml:space="preserve">، فحينئذٍ لا يرد </w:t>
      </w:r>
    </w:p>
    <w:p>
      <w:pPr>
        <w:pStyle w:val="BookText"/>
        <w:rPr/>
      </w:pPr>
      <w:r>
        <w:rPr>
          <w:rFonts w:ascii="Amiri" w:hAnsi="Amiri" w:eastAsia="Amiri" w:cs="Amiri"/>
          <w:color w:val="111111"/>
          <w:sz w:val="28"/>
          <w:sz w:val="28"/>
          <w:szCs w:val="28"/>
          <w:rtl w:val="true"/>
          <w:lang w:bidi="ar-SA"/>
        </w:rPr>
        <w:t>النقض المذكور، أمّا بالنسبة إلى علامة الحقيقة فلأنّ المشترك إذا أطلق، كما أنّه لم يتبادر منه شيء من معانيه، كذا لم يكن غير معانيه متبادرًا أيضًا، وأمّا بالنسبة إلى المجاز فلأنّ علامة المجاز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إلى الغير، وقد عرفت انتفاءه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لأنّك قد عرفت دفع الإيراد ممّا ذكرناه، فلا يحتاج لدفعه إلى تغيير العلامة، مع أنّ ما جُعل علامة للحقيقة غير صحيح، كما يجيء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جعل علامة للمجاز من التبادر إلى الغير، إنّما يندفع به إذا فرض استعمال المشترك في معناه الحقيقيّ، وأمّا إذا فرض استعماله في معناه المجازيّ فلا؛ لأنّ المفروض أنّ معانيه الحقيقيّة غير متبادرة منه، فلا يتحقّق التبادر إلى الغير في ذلك المعنى مع كونه معنى مجازيًّا، فيلزم أن لا يكون المجاز مجازًا، بل حقيقة لتحقّق علامتها الّتي هي عدم تبادر الغير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 من أنّ المعتبر في الخاصّة الاطّراد، لا الانعكاس، فمقتضى القول بأنّ التبادر إلى الغير من علامة المجاز هو أنّ وجوده يستلزم الوجود، وأمّا العدم فغير مستلزم للعدم، وسيجيء لذلك مزيد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اندفع الإيراد بما ذكر في خاصّة المجاز، وأمّا بالنسبة إلى خاصّة</w:t>
      </w:r>
      <w:r>
        <w:rPr>
          <w:rStyle w:val="FootnoteAnchor"/>
          <w:rtl w:val="true"/>
        </w:rPr>
        <w:footnoteReference w:id="417"/>
      </w:r>
      <w:r>
        <w:rPr>
          <w:rFonts w:ascii="Amiri" w:hAnsi="Amiri" w:eastAsia="Amiri" w:cs="Amiri"/>
          <w:color w:val="111111"/>
          <w:sz w:val="28"/>
          <w:sz w:val="28"/>
          <w:szCs w:val="28"/>
          <w:rtl w:val="true"/>
          <w:lang w:bidi="ar-SA"/>
        </w:rPr>
        <w:t>الحقيقة فغير مندفع، إذ عدم التبادر إلى الغير متحقّق مع أنّ المعنى مجازيٌّ، فلم يتحقّق الاطّراد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قد يشتهر اللفظ في المعنى المجازيّ بحيث يتردّد السامع عند التجرّد عن القرينة، فحينئذٍ يلزم أن يكون ذلك المعنى معنى حقيقيًّا؛ لأنّ غيره غير متبادر منه</w:t>
      </w:r>
      <w:r>
        <w:rPr>
          <w:rFonts w:eastAsia="Amiri" w:cs="Amiri" w:ascii="Amiri" w:hAnsi="Amiri"/>
          <w:color w:val="111111"/>
          <w:sz w:val="28"/>
          <w:szCs w:val="28"/>
          <w:rtl w:val="true"/>
          <w:lang w:bidi="ar-SA"/>
        </w:rPr>
        <w:t xml:space="preserve">. </w:t>
      </w:r>
      <w:bookmarkStart w:id="550" w:name="pg16214_221672"/>
    </w:p>
    <w:p>
      <w:pPr>
        <w:pStyle w:val="Heading6"/>
        <w:numPr>
          <w:ilvl w:val="5"/>
          <w:numId w:val="1"/>
        </w:numPr>
        <w:rPr/>
      </w:pPr>
      <w:bookmarkStart w:id="551" w:name="__RefHeading___Toc3519985_1280447820"/>
      <w:bookmarkStart w:id="552" w:name="_Toc211"/>
      <w:bookmarkEnd w:id="550"/>
      <w:bookmarkEnd w:id="551"/>
      <w:r>
        <w:rPr>
          <w:rtl w:val="true"/>
        </w:rPr>
        <w:t>نقل الجواب الظاهر من بعض المحقّقين مع تزييفه وإبطاله</w:t>
      </w:r>
      <w:bookmarkEnd w:id="552"/>
    </w:p>
    <w:p>
      <w:pPr>
        <w:pStyle w:val="BookText"/>
        <w:rPr/>
      </w:pPr>
      <w:r>
        <w:rPr>
          <w:rFonts w:ascii="Amiri" w:hAnsi="Amiri" w:eastAsia="Amiri" w:cs="Amiri"/>
          <w:color w:val="111111"/>
          <w:sz w:val="28"/>
          <w:sz w:val="28"/>
          <w:szCs w:val="28"/>
          <w:rtl w:val="true"/>
          <w:lang w:bidi="ar-SA"/>
        </w:rPr>
        <w:t>ولا يخفى أنّ هذا كلّه مبنيٌّ على تسليم انتفاء التبادر في معاني المشترك، والّذي يظهر من بعض المحقّقين في الجواب عن أصل الإيراد، وبه يضمحلّ كثير من المناقشات، هو دعوى التبادر فيها، فذكر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التبادر إمّا أن يعتبر بالنسبة إلى الدلالة، أو بالنسبة إلى الإرادة، وعلى الأوّل يكون جميع معاني المشترك متبادرًا، لكنّ التردّد لأجل الإبهام في المراد؛ لوضوح أنّ دلالة اللفظ على المعنى بواسطة الوضع، فالعالم بالوضع عند استماعه ينبغي أن يفهم معناه منه، لكن عند كون المعنى متعدّدًا يبقى متردّدًا في انّ مراد المستعمل أيّ معنى من تلك المعاني المتعدّدة، فتردّده إنّما هو في تعيين المراد، لا في أصل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 يكون جميع معاني المشترك أيضًا مفهومًا منه، إلّا أنّه على سبيل البدليّة، فإنّا نعلم أنّ مراد المستعمل واحد من تلك المعاني، لكن لا نعلم تعيينه، ففي الصورتين معاني المشترك متبادرة، لكن في الأوّل على الاجتماع، وفي الثاني على البدليّة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قيل في دفع هذا الجواب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مثل هذا التبادر لا ينفع؛ لأنّ التبادر الّذي يكون أمارة للحقيقة هو الّذي يصير المعنى به متعيّنًا عند السامع</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نظر؛ لأنّ المقصود من تقرير هذه العلامات إنّما هو تشخيص المعاني الحقيقيّة والمجازيّة،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بتعيّن المعنى عند السامع بحيث يمتاز</w:t>
      </w:r>
      <w:r>
        <w:rPr>
          <w:rStyle w:val="FootnoteAnchor"/>
          <w:rtl w:val="true"/>
        </w:rPr>
        <w:footnoteReference w:id="420"/>
      </w:r>
      <w:r>
        <w:rPr>
          <w:rFonts w:ascii="Amiri" w:hAnsi="Amiri" w:eastAsia="Amiri" w:cs="Amiri"/>
          <w:color w:val="111111"/>
          <w:sz w:val="28"/>
          <w:sz w:val="28"/>
          <w:szCs w:val="28"/>
          <w:rtl w:val="true"/>
          <w:lang w:bidi="ar-SA"/>
        </w:rPr>
        <w:t>المعاني المتبادرة عن غيرها، فهو مسلّم، لكنّه في المقام متحقّق، وإن أريد بتعيّنه تعيّنه بحيث يعلم المراد، فهو ممنوع،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قد يتّفق مع العلم بالوضع إمّا</w:t>
      </w:r>
      <w:r>
        <w:rPr>
          <w:rStyle w:val="FootnoteAnchor"/>
          <w:rtl w:val="true"/>
        </w:rPr>
        <w:footnoteReference w:id="421"/>
      </w:r>
      <w:r>
        <w:rPr>
          <w:rFonts w:ascii="Amiri" w:hAnsi="Amiri" w:eastAsia="Amiri" w:cs="Amiri"/>
          <w:color w:val="111111"/>
          <w:sz w:val="28"/>
          <w:sz w:val="28"/>
          <w:szCs w:val="28"/>
          <w:rtl w:val="true"/>
          <w:lang w:bidi="ar-SA"/>
        </w:rPr>
        <w:t>من طريق العلامة، بل من نصّ الواضع، كما إذا كان الموضوع له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أن يقال في دفع هذا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تسليم التبادر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شبهة أنّ الافتقار إلى التبادر وغيره من الأمارات المقرّرة لتشخيص المعاني الحقيقيّة والمجازيّة إنّما هو بالنسبة إلى من لم يكن عالمًا بأوضاع الألفاظ، وأمّا العارف بها فلا يحتاج إليها كما لا يخفى</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المذكور انّما هو جواب بالنسبة إلى العالم بوضع المشترك؛ لوضوح أنّ فهم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على الاجتماع أو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يتحقّق بالنسبة إلى العالم بوضع المشترك، وأمّا بالنسبة إلى الجاهل فلا، كما لا يخفى، مع أنّك قد عرفت أنّ الافتقار إلى العلامة إنّما هو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تبادر المعاني وإن كان بالنسبة إلى العالم بالوضع، لكن اطّلاع الجاهل على ذلك كافٍ في إثبات المرام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التبادر على النهج المذكور في اللفظ المشترك إنّما هو في ذهن العالم بالوضع، ولا يظهر منه أثر في الخارج حتّى ينفع حال الجاهل</w:t>
      </w:r>
      <w:r>
        <w:rPr>
          <w:rFonts w:eastAsia="Amiri" w:cs="Amiri" w:ascii="Amiri" w:hAnsi="Amiri"/>
          <w:color w:val="111111"/>
          <w:sz w:val="28"/>
          <w:szCs w:val="28"/>
          <w:rtl w:val="true"/>
          <w:lang w:bidi="ar-SA"/>
        </w:rPr>
        <w:t xml:space="preserve">. </w:t>
      </w:r>
      <w:bookmarkStart w:id="553" w:name="pg16214_221674"/>
    </w:p>
    <w:p>
      <w:pPr>
        <w:pStyle w:val="BookText"/>
        <w:rPr/>
      </w:pPr>
      <w:bookmarkEnd w:id="553"/>
      <w:r>
        <w:rPr>
          <w:rFonts w:ascii="Amiri" w:hAnsi="Amiri" w:eastAsia="Amiri" w:cs="Amiri"/>
          <w:color w:val="111111"/>
          <w:sz w:val="28"/>
          <w:sz w:val="28"/>
          <w:szCs w:val="28"/>
          <w:rtl w:val="true"/>
          <w:lang w:bidi="ar-SA"/>
        </w:rPr>
        <w:t>ثمّ وإن كان الظاهر من هذا الكلام ضعف أصل الإيراد وعدم وقعه في المقام؛ لوضوح أنّ التردّد في معاني المشترك عند الاستعمال وعدم استباق شيء منها إلى الذهن على تقدير التسليم إنّما هو بالنسبة إلى العالم بالوضع، ولا يتصوّر في حقّ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التبادر مثلًا مع العلم بالوضع غير مضرّ، ومناقشة لزوم المجازيّة حينئذٍ مجازفة؛ والجواب المذكور وإن كان صالحًا لدفع هذا الإيراد، لكن لمّا كان الإيراد على التقرير المذكور ظاهر الفساد ويمكن أن يقرّر بما نقرّره، لم نحكم</w:t>
      </w:r>
      <w:r>
        <w:rPr>
          <w:rStyle w:val="FootnoteAnchor"/>
          <w:rtl w:val="true"/>
        </w:rPr>
        <w:footnoteReference w:id="423"/>
      </w:r>
      <w:r>
        <w:rPr>
          <w:rFonts w:ascii="Amiri" w:hAnsi="Amiri" w:eastAsia="Amiri" w:cs="Amiri"/>
          <w:color w:val="111111"/>
          <w:sz w:val="28"/>
          <w:sz w:val="28"/>
          <w:szCs w:val="28"/>
          <w:rtl w:val="true"/>
          <w:lang w:bidi="ar-SA"/>
        </w:rPr>
        <w:t>بضعفه بالمرّة</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3519987_1280447820"/>
      <w:bookmarkStart w:id="555" w:name="_Toc212"/>
      <w:bookmarkEnd w:id="554"/>
      <w:r>
        <w:rPr>
          <w:rtl w:val="true"/>
        </w:rPr>
        <w:t>تقرير الإيراد على النحو الصحيح</w:t>
      </w:r>
      <w:bookmarkEnd w:id="555"/>
    </w:p>
    <w:p>
      <w:pPr>
        <w:pStyle w:val="BookText"/>
        <w:rPr/>
      </w:pPr>
      <w:r>
        <w:rPr>
          <w:rFonts w:ascii="Amiri" w:hAnsi="Amiri" w:eastAsia="Amiri" w:cs="Amiri"/>
          <w:color w:val="111111"/>
          <w:sz w:val="28"/>
          <w:sz w:val="28"/>
          <w:szCs w:val="28"/>
          <w:rtl w:val="true"/>
          <w:lang w:bidi="ar-SA"/>
        </w:rPr>
        <w:t>فالحقّ أن يقرّر الاعتراض بنحو آخر،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جعل التبادر أمارة للحقيقة وعدمه أمارة للمجاز، هو أنّ الجاهل باصطلاح قوم بعد التتبّع في محاوراتهم والتصفّح في مخاطباتهم، كلّما ظهر عليه أنّهم يفهمون المعنى المعلوم من اللفظ المخصوص عند التجرّد عن القرينة ويستبق إلى أذهانهم ذلك في تلك الحالة، يحكم بأنّه معنى حقيقيّ له عندهم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يظهر عليه عدم الفهم والاستباق بأن توقّف في نظره الفهم وحمل اللفظ عليه عندهم على القرينة، يحكم بأنّه معنى مجازيّ، فعلى هذا يلزمه الحكم بمجازيّة المشترك عند استعماله في معناه الموضوع له؛ لأنّ الحمل عليه لا يمكن إلّا مع القرينة، فيتخيّل أنّ فهم المعنى عندهم موقوف عليها، فيكون ذلك المعنى غير </w:t>
      </w:r>
    </w:p>
    <w:p>
      <w:pPr>
        <w:pStyle w:val="BookText"/>
        <w:rPr/>
      </w:pPr>
      <w:r>
        <w:rPr>
          <w:rFonts w:ascii="Amiri" w:hAnsi="Amiri" w:eastAsia="Amiri" w:cs="Amiri"/>
          <w:color w:val="111111"/>
          <w:sz w:val="28"/>
          <w:sz w:val="28"/>
          <w:szCs w:val="28"/>
          <w:rtl w:val="true"/>
          <w:lang w:bidi="ar-SA"/>
        </w:rPr>
        <w:t>متبادر عندهم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علامة المجاز، وأمّا بالنسبة إلى أمارة الحقيقة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المشترك وإن كان متبادرًا عند العالمين بالوضع، لكنّه لا ينفع حال الجاهل؛ لأنّ توصّله إلى فهم أرباب الاصطلاح إنّما هو بحمل اللفظ على المعنى، وحيث لم يمكن</w:t>
      </w:r>
      <w:r>
        <w:rPr>
          <w:rStyle w:val="FootnoteAnchor"/>
          <w:rtl w:val="true"/>
        </w:rPr>
        <w:footnoteReference w:id="424"/>
      </w:r>
      <w:r>
        <w:rPr>
          <w:rFonts w:ascii="Amiri" w:hAnsi="Amiri" w:eastAsia="Amiri" w:cs="Amiri"/>
          <w:color w:val="111111"/>
          <w:sz w:val="28"/>
          <w:sz w:val="28"/>
          <w:szCs w:val="28"/>
          <w:rtl w:val="true"/>
          <w:lang w:bidi="ar-SA"/>
        </w:rPr>
        <w:t>ذلك في المشترك لم يظهر عليه ذلك، فلا يظهر عليه التبادر مع أنّه معنى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الثاني وإن أمكن بما تقدّم من عدم اشتراط الانعكاس في العلامة، لكنّ الإيراد بالنسبة إلى أمارة المجاز غير مندفع، إلّا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أمارته تبادر الغير، إذ حينئذٍ يكون الحكم بالمجازيّة متوقّفًا على ذلك، وهو مفقود فيما نحن فيه لما عرفت، فلا يمكنه الحكم بالمجازيّة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إنّما هو إذا اعتبر استعمال المشترك في معناه الحقيقيّ، لكن يتوجّه النقض فيما إذا استعمل في المعنى المجازيّ مع القرينة، إذ لم يظهر للجاهل إنّه من المعاني الّتي يتبادر غيرها من اللفظ حتّى يحكم أنّه معنى مجازيّ له، إذ عند تجرّده عن القرينة لا يحمل على شيء، فلا يظهر له تبادر غيره، فيحكم أنّه معنى حقيقيّ له؛ لفقدان أمارة المجاز، مع أنّه معنى مجازيّ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مدفوع بما تقدّم من عدم اشتراط الانعكاس</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المشترك إنّما يلزم أن يكون حقيقة إذا ظهر تبادر المعنى منه، وليس الأمر فيما نحن فيه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ما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معنى مجازيّ له، مع أنّ غيره غير متبادر منه، وهذا إنّما يضرّ إذا شرطنا الانعكاس في العلامة وقد عرفت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تبادر الغير أمارة للمجاز، بمعنى أنّ كلّما تحقّق ذلك يلزم أن يكون معنى مجازيًّا، لا أنّ ما لم يتحقّق فيه ذلك يلزم أن لا يكون</w:t>
      </w:r>
      <w:r>
        <w:rPr>
          <w:rStyle w:val="FootnoteAnchor"/>
          <w:rtl w:val="true"/>
        </w:rPr>
        <w:footnoteReference w:id="425"/>
      </w:r>
      <w:r>
        <w:rPr>
          <w:rFonts w:ascii="Amiri" w:hAnsi="Amiri" w:eastAsia="Amiri" w:cs="Amiri"/>
          <w:color w:val="111111"/>
          <w:sz w:val="28"/>
          <w:sz w:val="28"/>
          <w:szCs w:val="28"/>
          <w:rtl w:val="true"/>
          <w:lang w:bidi="ar-SA"/>
        </w:rPr>
        <w:t>معنى مجازيًّا، فاللازم ممّا ذكر أنّ الوجود مستلزم للوجود، لكنّ العدم غير مستلزم للعدم، والنقض إنّما يتوجّه إذا قارن الوجود العدم، أي تحقّق تبادر الغير ولم يكن مجازًا، وليس الأمر في المقام كذلك، بل المتحقّق فيه مقارنة العدم للوجود، وهو غير مضرّ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للجاهل تشخيص المعاني الحقيقيّة والمجازيّة في الألفاظ المشتركة بالرجوع إلى تبادر المعنى وتبادر غيره، وهو ممّا لا ينكره ولا ممّا يستنكر بعد ما عرفت من لزوم الاطّراد في العلامة دون الانعكاس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وبمثله يجاب في اللفظ المشتهر في المعنى المجازيّ، بحيث لو ورد مجرّدًا عن القرينة يبقى السامع متردّدًا في حمله على المعنى المجازيّ والحقيقيّ، ولا يمكن فيه أيضًا تشخيص المعاني الحقيقيّة والمجازيّة للجاهل بالتبادر وتبادر غيره، وقد عرفت أنّه غير ضائر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يتّفق أنّ اللفظ المشترك يشتهر في بعض معانيه بكثرة الاستعمال، فإذا استعمل في غير</w:t>
      </w:r>
      <w:r>
        <w:rPr>
          <w:rStyle w:val="FootnoteAnchor"/>
          <w:rtl w:val="true"/>
        </w:rPr>
        <w:footnoteReference w:id="426"/>
      </w:r>
      <w:r>
        <w:rPr>
          <w:rFonts w:ascii="Amiri" w:hAnsi="Amiri" w:eastAsia="Amiri" w:cs="Amiri"/>
          <w:color w:val="111111"/>
          <w:sz w:val="28"/>
          <w:sz w:val="28"/>
          <w:szCs w:val="28"/>
          <w:rtl w:val="true"/>
          <w:lang w:bidi="ar-SA"/>
        </w:rPr>
        <w:t>المعنى المشتهر من معانيه يكون حقيقة، مع أنّه يلزم أن يكون مجازًا فيه؛ لأنّ غير ذلك المعنى متبادر منه، فيلزم عدم الاطّراد في العلامة</w:t>
      </w:r>
      <w:r>
        <w:rPr>
          <w:rFonts w:eastAsia="Amiri" w:cs="Amiri" w:ascii="Amiri" w:hAnsi="Amiri"/>
          <w:color w:val="111111"/>
          <w:sz w:val="28"/>
          <w:szCs w:val="28"/>
          <w:rtl w:val="true"/>
          <w:lang w:bidi="ar-SA"/>
        </w:rPr>
        <w:t xml:space="preserve">. </w:t>
      </w:r>
      <w:bookmarkStart w:id="556" w:name="pg16214_221677"/>
    </w:p>
    <w:p>
      <w:pPr>
        <w:pStyle w:val="BookText"/>
        <w:rPr/>
      </w:pPr>
      <w:bookmarkEnd w:id="556"/>
      <w:r>
        <w:rPr>
          <w:rFonts w:ascii="Amiri" w:hAnsi="Amiri" w:eastAsia="Amiri" w:cs="Amiri"/>
          <w:color w:val="111111"/>
          <w:sz w:val="28"/>
          <w:sz w:val="28"/>
          <w:szCs w:val="28"/>
          <w:rtl w:val="true"/>
          <w:lang w:bidi="ar-SA"/>
        </w:rPr>
        <w:t xml:space="preserve">ويمكن الجواب عنه بأنّ اشتهار المشترك لو بلغ إلى 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بحيث لو استعمل في غير المعنى المشتهر، يكون ذلك المعنى المشتهر متبادرًا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بقاءه على وصف الاشتراك بالنسبة إلى المعنى المشتهر وغيره،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حينئذٍ من باب المنقولات التعيّنيّة، فيكون منقولًا من الاشتراك إلى الانفراد، والاشتراك بحسب أصل الوضع</w:t>
      </w:r>
      <w:r>
        <w:rPr>
          <w:rStyle w:val="FootnoteAnchor"/>
          <w:rtl w:val="true"/>
        </w:rPr>
        <w:footnoteReference w:id="427"/>
      </w:r>
      <w:r>
        <w:rPr>
          <w:rFonts w:ascii="Amiri" w:hAnsi="Amiri" w:eastAsia="Amiri" w:cs="Amiri"/>
          <w:color w:val="111111"/>
          <w:sz w:val="28"/>
          <w:sz w:val="28"/>
          <w:szCs w:val="28"/>
          <w:rtl w:val="true"/>
          <w:lang w:bidi="ar-SA"/>
        </w:rPr>
        <w:t>غير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ظهر الجواب عمّا لو فرض اشتهار المشترك في 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بما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علامة الحقيقة</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المعنى، لا عدم تبادر الغير، وعلامة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إلى الغير، لا عدم التبادر</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3519989_1280447820"/>
      <w:bookmarkStart w:id="558" w:name="_Toc213"/>
      <w:bookmarkEnd w:id="557"/>
      <w:r>
        <w:rPr>
          <w:rtl w:val="true"/>
        </w:rPr>
        <w:t>الإيراد الثاني على التبادر مع الجواب عنه</w:t>
      </w:r>
      <w:bookmarkEnd w:id="558"/>
    </w:p>
    <w:p>
      <w:pPr>
        <w:pStyle w:val="Heading6"/>
        <w:numPr>
          <w:ilvl w:val="5"/>
          <w:numId w:val="1"/>
        </w:numPr>
        <w:rPr/>
      </w:pPr>
      <w:bookmarkStart w:id="559" w:name="__RefHeading___Toc3519991_1280447820"/>
      <w:bookmarkStart w:id="560" w:name="_Toc214"/>
      <w:bookmarkEnd w:id="559"/>
      <w:r>
        <w:rPr>
          <w:rtl w:val="true"/>
        </w:rPr>
        <w:t>اشارة</w:t>
      </w:r>
      <w:bookmarkEnd w:id="560"/>
    </w:p>
    <w:p>
      <w:pPr>
        <w:pStyle w:val="BookText"/>
        <w:rPr/>
      </w:pPr>
      <w:r>
        <w:rPr>
          <w:rFonts w:ascii="Amiri" w:hAnsi="Amiri" w:eastAsia="Amiri" w:cs="Amiri"/>
          <w:color w:val="111111"/>
          <w:sz w:val="28"/>
          <w:sz w:val="28"/>
          <w:szCs w:val="28"/>
          <w:rtl w:val="true"/>
          <w:lang w:bidi="ar-SA"/>
        </w:rPr>
        <w:t>والإيراد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جعل التبادر دليلًا على الحقيقة فاسد؛ لابتنائه على مذهب فاسد، وهو القول بأنّ دلالة الألفاظ ذاتيّة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الصغرى، فلأنّ مقتضى ذلك</w:t>
      </w:r>
      <w:r>
        <w:rPr>
          <w:rStyle w:val="FootnoteAnchor"/>
          <w:rtl w:val="true"/>
        </w:rPr>
        <w:footnoteReference w:id="429"/>
      </w:r>
      <w:r>
        <w:rPr>
          <w:rFonts w:ascii="Amiri" w:hAnsi="Amiri" w:eastAsia="Amiri" w:cs="Amiri"/>
          <w:color w:val="111111"/>
          <w:sz w:val="28"/>
          <w:sz w:val="28"/>
          <w:szCs w:val="28"/>
          <w:rtl w:val="true"/>
          <w:lang w:bidi="ar-SA"/>
        </w:rPr>
        <w:t xml:space="preserve">أنّه إذا كان المعنى الحقيقيّ للّفظ غير معلوم وتحقّق فهم المعنى منه عند تجرّده عن القرينة، يعلم من ذلك أنّه معنى حقيقيّ له، وهو على القول بأنّ دلالة الألفاظ وضعيّة ممّا لا يتعقّل؛ لأنّه حينئذٍ يكون من </w:t>
      </w:r>
      <w:bookmarkStart w:id="561" w:name="pg16214_221678"/>
    </w:p>
    <w:p>
      <w:pPr>
        <w:pStyle w:val="BookText"/>
        <w:rPr/>
      </w:pPr>
      <w:bookmarkEnd w:id="561"/>
      <w:r>
        <w:rPr>
          <w:rFonts w:ascii="Amiri" w:hAnsi="Amiri" w:eastAsia="Amiri" w:cs="Amiri"/>
          <w:color w:val="111111"/>
          <w:sz w:val="28"/>
          <w:sz w:val="28"/>
          <w:szCs w:val="28"/>
          <w:rtl w:val="true"/>
          <w:lang w:bidi="ar-SA"/>
        </w:rPr>
        <w:t>الأمور التوقيفيّة، والتوصّل إلى الأمور التوقيفيّة من غير إعلام غير ممكن، فكيف يمكن حمل اللفظ على معنى دون غيره مع عدم العلم بالتعيين؟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بالوضع عن شرط في الدلالة، ومعلوم أنّ المشروط ينتفي بانتفاء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القول بوضعيّة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الحقيقة يستلزم الدور؛ لأنّ المراد من المعنى الحقيقيّ هو الموضوع له، وفهم الموضوع له من اللفظ موقوف على العلم بوضعه له لما عرفت؛ ومقتضى جعل التبادر دليلًا على الحقيقة أنّ العلم بوضعه له موقوف على فهم الموضوع له منه، فيكون فهم المعنى متوقّفًا على فهم المعنى</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فساد ما يتوقّف على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فظاهرة</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3519993_1280447820"/>
      <w:bookmarkStart w:id="563" w:name="_Toc215"/>
      <w:bookmarkEnd w:id="562"/>
      <w:r>
        <w:rPr>
          <w:rtl w:val="true"/>
        </w:rPr>
        <w:t>الجواب عن الإيراد الثاني</w:t>
      </w:r>
      <w:bookmarkEnd w:id="563"/>
    </w:p>
    <w:p>
      <w:pPr>
        <w:pStyle w:val="Heading6"/>
        <w:numPr>
          <w:ilvl w:val="5"/>
          <w:numId w:val="1"/>
        </w:numPr>
        <w:rPr/>
      </w:pPr>
      <w:bookmarkStart w:id="564" w:name="__RefHeading___Toc3519995_1280447820"/>
      <w:bookmarkStart w:id="565" w:name="_Toc216"/>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والجواب عنه من وجهين</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3519997_1280447820"/>
      <w:bookmarkStart w:id="567" w:name="_Toc217"/>
      <w:bookmarkEnd w:id="566"/>
      <w:r>
        <w:rPr>
          <w:rtl w:val="true"/>
        </w:rPr>
        <w:t>الجواب الأوّل</w:t>
      </w:r>
      <w:bookmarkEnd w:id="56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مبنيًّا على القول المذكور، وتوهّم الدور مبنيٌّ على الخلط بين الجهات والحيثيّات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أردت حقيقة الحال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سابقًا أنّ هذه العلامات إنّما هي بالنسبة إلى الجاهل بالوضع؛ لوضوح عدم افتقار العالم به إلى شيء منها،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دليل على الحقيقة، أنّ الجاهل بأيّ اصطلاح </w:t>
      </w:r>
      <w:bookmarkStart w:id="568" w:name="pg16214_221679"/>
    </w:p>
    <w:p>
      <w:pPr>
        <w:pStyle w:val="BookText"/>
        <w:rPr/>
      </w:pPr>
      <w:bookmarkEnd w:id="568"/>
      <w:r>
        <w:rPr>
          <w:rFonts w:ascii="Amiri" w:hAnsi="Amiri" w:eastAsia="Amiri" w:cs="Amiri"/>
          <w:color w:val="111111"/>
          <w:sz w:val="28"/>
          <w:sz w:val="28"/>
          <w:szCs w:val="28"/>
          <w:rtl w:val="true"/>
          <w:lang w:bidi="ar-SA"/>
        </w:rPr>
        <w:t>كان إذا تتبّع محاورات أربابه وتفحّص مخاطباتهم ونظر إلى موارد استعمالاتهم، يمكن أن يظهر له بالترديد بالقرائن والإشارة أنّ اللفظ المعلوم عند استعماله يريدون منه المعنى المعلوم، ويستبق إلى أذهانهم ذلك، ويحملونه عليه عند الإطلاق، وبذلك يحكم أنّ اللفظ المذكور وضع لذلك المعنى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الجاهل بكونه من الموضوع له متوقّف على فهم أهل الاصطلاح المعنى المذكور منه، فلو كان فهمهم ذلك متوقّفًا على علمه بالموضوع له، كان الدور مسلّمًا؛ لكنّ الأمر ليس كذلك؛ لأنّ فهمهم المعنى منه إنّما يتوقّف على علمهم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يلزم من ذلك أنّ علم الجاهل بالوضع متوقّف على فهم أهل الاصطلاح ذلك المعنى منه، وفهمهم إيّاه موقوف على علمهم بالوضع،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الجاهل بالوضع متوقّف على علم أهل الاصطلاح به، وهو مسلّم وليس بدور أصلًا؛ لاختلاف الجهة</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3519999_1280447820"/>
      <w:bookmarkStart w:id="570" w:name="_Toc218"/>
      <w:bookmarkEnd w:id="569"/>
      <w:r>
        <w:rPr>
          <w:rtl w:val="true"/>
        </w:rPr>
        <w:t>الجواب الثاني</w:t>
      </w:r>
      <w:bookmarkEnd w:id="57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الأماجد</w:t>
      </w:r>
      <w:r>
        <w:rPr>
          <w:rStyle w:val="FootnoteAnchor"/>
          <w:rtl w:val="true"/>
        </w:rPr>
        <w:footnoteReference w:id="431"/>
      </w:r>
      <w:r>
        <w:rPr>
          <w:rFonts w:ascii="Amiri" w:hAnsi="Amiri" w:eastAsia="Amiri" w:cs="Amiri"/>
          <w:color w:val="111111"/>
          <w:sz w:val="28"/>
          <w:sz w:val="28"/>
          <w:szCs w:val="28"/>
          <w:rtl w:val="true"/>
          <w:lang w:bidi="ar-SA"/>
        </w:rPr>
        <w:t>،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وضع اللفظ إمّا أن يكون بتعيينه بإزاء المعنى، أو بتحقّق الغلبة والاشتهار، وعلى الأوّل لا يخلو إمّا أن يكون فهم المعنى من اللفظ بعد اشتهاره فيه، أو قبله، وتوقّف الفهم على العلم بالوضع إنّما هو في القسم الثالث فقط، دون الأوّلين، بل سبب الفهم فيهما نفس الغلبة والاشتهار، فدعوى توقّف فهم المعنى على العلم بالوضع في الدلالة الوضعيّة </w:t>
      </w:r>
    </w:p>
    <w:p>
      <w:pPr>
        <w:pStyle w:val="BookText"/>
        <w:rPr/>
      </w:pPr>
      <w:r>
        <w:rPr>
          <w:rFonts w:ascii="Amiri" w:hAnsi="Amiri" w:eastAsia="Amiri" w:cs="Amiri"/>
          <w:color w:val="111111"/>
          <w:sz w:val="28"/>
          <w:sz w:val="28"/>
          <w:szCs w:val="28"/>
          <w:rtl w:val="true"/>
          <w:lang w:bidi="ar-SA"/>
        </w:rPr>
        <w:t>مطلقًا ممنوعة،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بالتبادر لإثبات المعاني الحقيقيّة فيما إذا كان الفهم حاصلًا مع عدم العلم بالوضع، فالدور 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الغلبة والكثرة في المنقولات التعيّنيّة بمنزلة الواضع، وتعيّن اللفظ بإزاء ذلك المعنى وضع له؛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السامع إمّا أن يكون عالمًا بذلك التعيّن، أو لا، وعلى الأوّل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انصراف ذهنه إلى ذلك المعنى عند إطلاقه وإن كان مسلّمًا، لكنّه لأجل العلم بالتعيّن، وهو العلم بالوضع، وعلى الثاني نمنع الانصراف المذكور، بل الظاهر انصراف ذهنه إلى المعنى المنقول منه، فيكون فهم ذلك المعنى منه متوقّفًا على العلم بالوضع،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الألفاظ الموضوعة بالتعيين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السامع إمّا أن يكون عالمًا بالوضع، أم لا، وعلى الأوّل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فهم المعنى إنّما هو باعتبار العلم بذلك الوضع، ولهذا لا مدخليّة للكثرة في أصل الفهم لحصوله ولو عند عدم العلم بها، وعلى الثاني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لم يعلم بتعيينه له، لكنّه نظرًا إلى علمه بالكثرة يكون عالمًا بتعيّنه له، فيكون اللفظ عنده من قبيل المنقولات التعيّنيّة، فلم يتحقّق الفهم عند عدم العلم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الاشتهار يقتضي تبادر المعنى وفهمه من اللفظ المجرّد قطعًا؛ لحصول المؤانسة الموجبة للتفاهم، والتفاهم للاشتهار لا يقتضي العلم بالاشتهار، فضلًا عن العلم بالوضع</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أنّ التفاهم للاشتهار لا يقتضي العلم بالاشتهار أنّه لا يقتضي العلم به تفصيلًا، فهو مسلّم، لكنّه غير مجد؛ وإن أراد العلم به إجمالًا، فهو ممنوع،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فهمه منه إنّما هو لارتكاز الكثرة والشهرة في خزانة الخيال، ولهذا لا يحصل عند من لم يكن مطّلعًا بذلك الاشتهار، بل المتبادر عنده المعنى المنقول منه كما لا يخفى</w:t>
      </w:r>
      <w:r>
        <w:rPr>
          <w:rFonts w:eastAsia="Amiri" w:cs="Amiri" w:ascii="Amiri" w:hAnsi="Amiri"/>
          <w:color w:val="111111"/>
          <w:sz w:val="28"/>
          <w:szCs w:val="28"/>
          <w:rtl w:val="true"/>
          <w:lang w:bidi="ar-SA"/>
        </w:rPr>
        <w:t xml:space="preserve">. </w:t>
      </w:r>
      <w:bookmarkStart w:id="571" w:name="pg16214_221681"/>
    </w:p>
    <w:p>
      <w:pPr>
        <w:pStyle w:val="BookText"/>
        <w:rPr/>
      </w:pPr>
      <w:bookmarkEnd w:id="571"/>
      <w:r>
        <w:rPr>
          <w:rFonts w:ascii="Amiri" w:hAnsi="Amiri" w:eastAsia="Amiri" w:cs="Amiri"/>
          <w:color w:val="111111"/>
          <w:sz w:val="28"/>
          <w:sz w:val="28"/>
          <w:szCs w:val="28"/>
          <w:rtl w:val="true"/>
          <w:lang w:bidi="ar-SA"/>
        </w:rPr>
        <w:t>نعم، يمكن منع التوقّف المذكور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فهم المعنى لو كان متوقّفًا على العلم بالوضع، لزم أن لا يحصل عند عدمه، والتالي باطل، فالمقدّم مثله، أمّا الملازمة فبيّنة، وأمّا بطلان التالي فلأنّ العوامّ يفهمون المعاني من الألفاظ المستعملة فيما بينهم مع عدم علمهم بالوضع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بعدم علمهم بالوضع إمّا أن يكون عدمه بعنوان أنّه وضع لذلك المعنى، فهو مسلّم؛ لوضوح أنّ كثيرًا ما لم يقرع سمعه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وإن أريد به عدم علمهم به مطلقًا، سواء كان بذلك العنوان، أو بما يؤدّي معناه، فهو ممنوع؛ لوضوح علم كلّ أحد من أهل أيّ اصطلاح كان أنّ اللفظ المعلوم يراد منه المعنى المعلوم في ذلك الاصطلاح، فهو عالم بالوضع، لكنّه ليس بعنوان أنّه وضع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التوقّف المذكور ممنوعة؛ لوضوح حصول الفهم بالترديد بالقرائن مع عدم العلم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لكن ليس المراد أنّ فهم المعنى مطلقًا موقوفٌ على العلم بالوضع، ولا يمكن حصوله من غيره حتّى ينتقض بما ذكر، بل المراد أنّ استفادة المعاني من الألفاظ المجرّدة عن القرائن موقوفةٌ على ذلك، واستفادة المعاني من الألفاظ بمعونة القرائن خارجة عنه، وهو ظاهر</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3520001_1280447820"/>
      <w:bookmarkStart w:id="573" w:name="_Toc219"/>
      <w:bookmarkEnd w:id="572"/>
      <w:r>
        <w:rPr>
          <w:rtl w:val="true"/>
        </w:rPr>
        <w:t>الإيراد الثالث على التبادر مع الجواب عنه</w:t>
      </w:r>
      <w:bookmarkEnd w:id="573"/>
    </w:p>
    <w:p>
      <w:pPr>
        <w:pStyle w:val="Heading6"/>
        <w:numPr>
          <w:ilvl w:val="5"/>
          <w:numId w:val="1"/>
        </w:numPr>
        <w:rPr/>
      </w:pPr>
      <w:bookmarkStart w:id="574" w:name="__RefHeading___Toc3520003_1280447820"/>
      <w:bookmarkStart w:id="575" w:name="_Toc220"/>
      <w:bookmarkEnd w:id="574"/>
      <w:r>
        <w:rPr>
          <w:rtl w:val="true"/>
        </w:rPr>
        <w:t>اشارة</w:t>
      </w:r>
      <w:bookmarkEnd w:id="57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الحكم بكون التبادر من علامة الحقيقة غير صحيح؛ لتحقّقه في المجاز المشهور مع عدم كونه حقيقة، فالجاهل باصطلاح قوم إذا تتبّع محاوراتهم وظهر له استباق معنى معيّن من لفظ معيّن عندهم، لا يمكن له الحكم </w:t>
      </w:r>
    </w:p>
    <w:p>
      <w:pPr>
        <w:pStyle w:val="BookText"/>
        <w:rPr/>
      </w:pPr>
      <w:r>
        <w:rPr>
          <w:rFonts w:ascii="Amiri" w:hAnsi="Amiri" w:eastAsia="Amiri" w:cs="Amiri"/>
          <w:color w:val="111111"/>
          <w:sz w:val="28"/>
          <w:sz w:val="28"/>
          <w:szCs w:val="28"/>
          <w:rtl w:val="true"/>
          <w:lang w:bidi="ar-SA"/>
        </w:rPr>
        <w:t>بكونه حقيقة فيه؛ لجواز كون ذلك السبق من السبق الّذي في المجاز المشهور، فالتبادر كما يوجد في المعنى الحقيقيّ يوجد في المعنى المجازيّ، والعامّ لا دلالة له على الخاصّ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التبادر الّذي نقول أنّه من علامة الحقيقة، إنّما هو إذا كان من نفس اللفظ، لا بواسطة غيره، والّذي في المجاز المشهور ليس كذلك، بل التبادر فيه إنّما هو لأجل ملاحظة الشهرة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أنّك قد عرفت أنّ التبادر هو فهم المعنى من اللفظ من غير قرينة، والأمر في المجاز المشهور لم يكن كذلك؛ لأنّه بواسطة القرينة، وهي الشهرة، فالمجاز المشهور مع غيره من المجازات مشترك في الافتقار إلى القرينة، إلّا أنّ القرينة فيه الشهرة وفي غيره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المنقولات التعيّنيّة والمجاز المشهور، حيث يكون اللفظ في الأوّل حقيقة وفي الثاني مجازًا، مع اشتراكهما في الكثرة والاشتهار وتبادر المعنى؟</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هو</w:t>
      </w:r>
      <w:r>
        <w:rPr>
          <w:rStyle w:val="FootnoteAnchor"/>
          <w:rtl w:val="true"/>
        </w:rPr>
        <w:footnoteReference w:id="433"/>
      </w:r>
      <w:r>
        <w:rPr>
          <w:rFonts w:ascii="Amiri" w:hAnsi="Amiri" w:eastAsia="Amiri" w:cs="Amiri"/>
          <w:color w:val="111111"/>
          <w:sz w:val="28"/>
          <w:sz w:val="28"/>
          <w:szCs w:val="28"/>
          <w:rtl w:val="true"/>
          <w:lang w:bidi="ar-SA"/>
        </w:rPr>
        <w:t>الافتقار في فهم المعنى إلى ملاحظة الشهرة وعدمه، فإن افتقر إلى اعتبارها والالتفات إليها يكون مجازًا مشهورًا، وإلّا فمنقول، فحاصل الفرق بينهما أنّ اللفظ في الكثرة والشهرة لو بلغ حدًّا لا يحتاج معه في فهم المعنى إلى الالتفات إلى الشهرة يكون حقيقة، وإن افتقر في الفهم إلى الالتفات إليها يكون مجازًا</w:t>
      </w:r>
      <w:r>
        <w:rPr>
          <w:rFonts w:eastAsia="Amiri" w:cs="Amiri" w:ascii="Amiri" w:hAnsi="Amiri"/>
          <w:color w:val="111111"/>
          <w:sz w:val="28"/>
          <w:szCs w:val="28"/>
          <w:rtl w:val="true"/>
          <w:lang w:bidi="ar-SA"/>
        </w:rPr>
        <w:t xml:space="preserve">. </w:t>
      </w:r>
      <w:bookmarkStart w:id="576" w:name="pg16214_221683"/>
    </w:p>
    <w:p>
      <w:pPr>
        <w:pStyle w:val="BookText"/>
        <w:rPr/>
      </w:pPr>
      <w:bookmarkEnd w:id="576"/>
      <w:r>
        <w:rPr>
          <w:rFonts w:ascii="Amiri" w:hAnsi="Amiri" w:eastAsia="Amiri" w:cs="Amiri"/>
          <w:color w:val="111111"/>
          <w:sz w:val="28"/>
          <w:sz w:val="28"/>
          <w:szCs w:val="28"/>
          <w:rtl w:val="true"/>
          <w:lang w:bidi="ar-SA"/>
        </w:rPr>
        <w:t>وفي هذا الجواب عن أصل الإيراد نظر؛ لأنّك قد عرفت أنّ الافتقار إلى العلامات المقرّرة لتشخيص المعاني الحقيقيّة والمجازيّة إنّما هو للجاهل بأوضاع الألفاظ، والجواب المذكور بظاهره جواب بالنسبة إلى العالم بها؛ لأنّ</w:t>
      </w:r>
      <w:r>
        <w:rPr>
          <w:rStyle w:val="FootnoteAnchor"/>
          <w:rtl w:val="true"/>
        </w:rPr>
        <w:footnoteReference w:id="434"/>
      </w:r>
      <w:r>
        <w:rPr>
          <w:rFonts w:ascii="Amiri" w:hAnsi="Amiri" w:eastAsia="Amiri" w:cs="Amiri"/>
          <w:color w:val="111111"/>
          <w:sz w:val="28"/>
          <w:sz w:val="28"/>
          <w:szCs w:val="28"/>
          <w:rtl w:val="true"/>
          <w:lang w:bidi="ar-SA"/>
        </w:rPr>
        <w:t>العلم بكون التبادر من الشهرة إنّما يتصوّر إذا كان عالمًا بأنّ ذلك المعنى من المعاني المجازيّة، ثمّ اشتهر اللفظ فيه؛ وأمّا الجاهل بالاصطلاح فلا؛ لوضوح أنّه إذا تفحّص مخاطبات أربابه وظهر له استباق معنى معلوم من لفظ معلوم عندهم، لا يمكنه الحكم بكون اللفظ حقيقة فيه لما تقدّم، فالإشكال باقٍ على حاله</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3520005_1280447820"/>
      <w:bookmarkStart w:id="578" w:name="_Toc221"/>
      <w:bookmarkEnd w:id="577"/>
      <w:r>
        <w:rPr>
          <w:rtl w:val="true"/>
        </w:rPr>
        <w:t>الجواب عن الإيراد الثالث</w:t>
      </w:r>
      <w:bookmarkEnd w:id="578"/>
    </w:p>
    <w:p>
      <w:pPr>
        <w:pStyle w:val="Heading6"/>
        <w:numPr>
          <w:ilvl w:val="5"/>
          <w:numId w:val="1"/>
        </w:numPr>
        <w:rPr/>
      </w:pPr>
      <w:bookmarkStart w:id="579" w:name="__RefHeading___Toc3520007_1280447820"/>
      <w:bookmarkStart w:id="580" w:name="_Toc222"/>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فإتمام الجواب مع تحقيق</w:t>
      </w:r>
      <w:r>
        <w:rPr>
          <w:rStyle w:val="FootnoteAnchor"/>
          <w:rtl w:val="true"/>
        </w:rPr>
        <w:footnoteReference w:id="435"/>
      </w:r>
      <w:r>
        <w:rPr>
          <w:rFonts w:ascii="Amiri" w:hAnsi="Amiri" w:eastAsia="Amiri" w:cs="Amiri"/>
          <w:color w:val="111111"/>
          <w:sz w:val="28"/>
          <w:sz w:val="28"/>
          <w:szCs w:val="28"/>
          <w:rtl w:val="true"/>
          <w:lang w:bidi="ar-SA"/>
        </w:rPr>
        <w:t>المقام يقتضي البسط في الكلام،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الجاهل باصطلاح قوم إذا تتبّع محاوراتهم لتحصيل العلم بأوضاع ألفاظهم، وتصفّح مخاطباتهم لرفض الجهل عن حقائق كلماتهم، ظهر له أنّ معنًى معيّنًا يتبادر من لفظ معيّن عندهم، فحاله لا يخلو من وجوه</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3520009_1280447820"/>
      <w:bookmarkStart w:id="582" w:name="_Toc223"/>
      <w:bookmarkEnd w:id="581"/>
      <w:r>
        <w:rPr>
          <w:rtl w:val="true"/>
        </w:rPr>
        <w:t>المواضع الّتي يتمسّك فيها بالتبادر لإثبات الحقيقة وما لا يتمسّك به فيه</w:t>
      </w:r>
      <w:bookmarkEnd w:id="582"/>
    </w:p>
    <w:p>
      <w:pPr>
        <w:pStyle w:val="Heading6"/>
        <w:numPr>
          <w:ilvl w:val="5"/>
          <w:numId w:val="1"/>
        </w:numPr>
        <w:rPr/>
      </w:pPr>
      <w:bookmarkStart w:id="583" w:name="__RefHeading___Toc3520011_1280447820"/>
      <w:bookmarkStart w:id="584" w:name="_Toc224"/>
      <w:bookmarkEnd w:id="583"/>
      <w:r>
        <w:rPr>
          <w:rtl w:val="true"/>
        </w:rPr>
        <w:t>الوجه الأوّل</w:t>
      </w:r>
      <w:bookmarkEnd w:id="58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بأنّ ذلك التبادر من نفس اللفظ وحاقّ حقيقته، لا بواسطة أمر آخر من شهرة أو غيرها</w:t>
      </w:r>
      <w:r>
        <w:rPr>
          <w:rFonts w:eastAsia="Amiri" w:cs="Amiri" w:ascii="Amiri" w:hAnsi="Amiri"/>
          <w:color w:val="111111"/>
          <w:sz w:val="28"/>
          <w:szCs w:val="28"/>
          <w:rtl w:val="true"/>
          <w:lang w:bidi="ar-SA"/>
        </w:rPr>
        <w:t xml:space="preserve">. </w:t>
      </w:r>
      <w:bookmarkStart w:id="585" w:name="pg16214_221684"/>
    </w:p>
    <w:p>
      <w:pPr>
        <w:pStyle w:val="BookText"/>
        <w:rPr/>
      </w:pPr>
      <w:bookmarkEnd w:id="585"/>
      <w:r>
        <w:rPr>
          <w:rFonts w:ascii="Amiri" w:hAnsi="Amiri" w:eastAsia="Amiri" w:cs="Amiri"/>
          <w:color w:val="111111"/>
          <w:sz w:val="28"/>
          <w:sz w:val="28"/>
          <w:szCs w:val="28"/>
          <w:rtl w:val="true"/>
          <w:lang w:bidi="ar-SA"/>
        </w:rPr>
        <w:t>وهو وإن كان ممكنًا، لكنّه نادر جدًّا، أمّا ندرته فظاهرة؛ لأنّ المفروض أنّه جاهل باصطلاحهم، فيحتمل غالبًا أن يكون التبادر لأجل الغلبة والشهرة، لا لأجل الوضع والحقيقة، ومع الاحتمال</w:t>
      </w:r>
      <w:r>
        <w:rPr>
          <w:rStyle w:val="FootnoteAnchor"/>
          <w:rtl w:val="true"/>
        </w:rPr>
        <w:footnoteReference w:id="436"/>
      </w:r>
      <w:r>
        <w:rPr>
          <w:rFonts w:ascii="Amiri" w:hAnsi="Amiri" w:eastAsia="Amiri" w:cs="Amiri"/>
          <w:color w:val="111111"/>
          <w:sz w:val="28"/>
          <w:sz w:val="28"/>
          <w:szCs w:val="28"/>
          <w:rtl w:val="true"/>
          <w:lang w:bidi="ar-SA"/>
        </w:rPr>
        <w:t>دعوى العلم باستناده إلى نفس اللفظ سفسطة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إمكانه فلأنّه إذا تتبّع موارد استعمال ذلك اللفظ عند قاطبة أهل ذلك الاصطلاح حتّى بين المجانين والبلهاء والصبيان والسفهاء، وظهر له التبادر، يحصل له العلم بأنّه ليس من الأمور الخارجيّة؛ لبعد اشتهاره عند الكلّ في المعنى المجازيّ؛ والاستبعاد وإن كان موجبًا للظنّ غالبًا، لكنّ الأمور الحدسيّة باختلاف الأشخاص والمواضع مختلفة اللفظ، على أنّ اشتهار اللفظ في المعنى المجازيّ عند الكلّ يجعله حقيقة فيه قطعًا، فمثل هذا التبادر فيما ثبت لا شبهة في دلالته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المذكور على الإيراد يحمل على ذلك، فهو وإن كان صحيحًا في نفسه، لكنّه لا يشفي العليل ولا يطفى ظمأ الغليل، بل به يرتفع عن مثل هذه العلامة التعويل، إذ التبادر على هذا قلّما يصلح للتمسّك جدًّا، ولا ينفع في إثبات الحقيقة إلّا نذرًا، مع أنّا نرى العلماء أنّ اهتمامهم في إثبات هذه العلامة كثير، وتمسّكهم بها في إثبات الحقيقة أكثر من أن تحصى، ونقطع في كثير منها بعدم جريان الجواب المذكور فيه، فالحقّ أن ينضمّ إليه ما يظهر لك فيما سنذكره</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3520013_1280447820"/>
      <w:bookmarkStart w:id="587" w:name="_Toc225"/>
      <w:bookmarkEnd w:id="586"/>
      <w:r>
        <w:rPr>
          <w:rtl w:val="true"/>
        </w:rPr>
        <w:t>الوجه الثاني</w:t>
      </w:r>
      <w:bookmarkEnd w:id="58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ظانًّا بأنّ تبادر المعنى المفهوم من اللفظ المعلوم ناشٍ من حاقّ اللفظ، لا بواسطة أمر خارج</w:t>
      </w:r>
      <w:r>
        <w:rPr>
          <w:rFonts w:eastAsia="Amiri" w:cs="Amiri" w:ascii="Amiri" w:hAnsi="Amiri"/>
          <w:color w:val="111111"/>
          <w:sz w:val="28"/>
          <w:szCs w:val="28"/>
          <w:rtl w:val="true"/>
          <w:lang w:bidi="ar-SA"/>
        </w:rPr>
        <w:t xml:space="preserve">. </w:t>
      </w:r>
      <w:bookmarkStart w:id="588" w:name="pg16214_221685"/>
    </w:p>
    <w:p>
      <w:pPr>
        <w:pStyle w:val="BookText"/>
        <w:rPr/>
      </w:pPr>
      <w:bookmarkEnd w:id="588"/>
      <w:r>
        <w:rPr>
          <w:rFonts w:ascii="Amiri" w:hAnsi="Amiri" w:eastAsia="Amiri" w:cs="Amiri"/>
          <w:color w:val="111111"/>
          <w:sz w:val="28"/>
          <w:sz w:val="28"/>
          <w:szCs w:val="28"/>
          <w:rtl w:val="true"/>
          <w:lang w:bidi="ar-SA"/>
        </w:rPr>
        <w:t>وهذا الفرض وإن كان قليلًا أيضًا، لكنّه ليس في القلّة كالصورة المتقدّمة، بل هو بالنسبة إليها يمكن أن يندرج تحت الكثرة، فهو أكثر منها من حيث المنفعة وأعظم فائدة في إزالة الإشكال عن كلمات الأجلّة، ومثل هذا التبادر فيما ثبت فيه يدلّ على الحقيقة لما سيجيء إليه الإشارة</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3520015_1280447820"/>
      <w:bookmarkStart w:id="590" w:name="_Toc226"/>
      <w:bookmarkEnd w:id="589"/>
      <w:r>
        <w:rPr>
          <w:rtl w:val="true"/>
        </w:rPr>
        <w:t>الوجه الثالث</w:t>
      </w:r>
      <w:bookmarkEnd w:id="59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الأوّل، أي يكون عالمًا بأنّ التبادر إنّما هو لأجل الغلبة والشهرة، لا لأجل الوضع والأصالة، كما إذا اشتهر لفظ في معنى كان</w:t>
      </w:r>
      <w:r>
        <w:rPr>
          <w:rStyle w:val="FootnoteAnchor"/>
          <w:rtl w:val="true"/>
        </w:rPr>
        <w:footnoteReference w:id="437"/>
      </w:r>
      <w:r>
        <w:rPr>
          <w:rFonts w:ascii="Amiri" w:hAnsi="Amiri" w:eastAsia="Amiri" w:cs="Amiri"/>
          <w:color w:val="111111"/>
          <w:sz w:val="28"/>
          <w:sz w:val="28"/>
          <w:szCs w:val="28"/>
          <w:rtl w:val="true"/>
          <w:lang w:bidi="ar-SA"/>
        </w:rPr>
        <w:t>فهمه منه قبل الاشتهار متوقّفًا على إقامة القرينة بحيث كان محمولًا على غيره عند تجرّده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العلم بكون التبادر للشهرة لا الوضع</w:t>
      </w:r>
      <w:r>
        <w:rPr>
          <w:rStyle w:val="FootnoteAnchor"/>
          <w:rtl w:val="true"/>
        </w:rPr>
        <w:footnoteReference w:id="438"/>
      </w:r>
      <w:r>
        <w:rPr>
          <w:rFonts w:ascii="Amiri" w:hAnsi="Amiri" w:eastAsia="Amiri" w:cs="Amiri"/>
          <w:color w:val="111111"/>
          <w:sz w:val="28"/>
          <w:sz w:val="28"/>
          <w:szCs w:val="28"/>
          <w:rtl w:val="true"/>
          <w:lang w:bidi="ar-SA"/>
        </w:rPr>
        <w:t>ليس معدودًا في المحال، بل هو في حيّز الإمكان، كما إذا تتبّع الجاهل باصطلاح طائفة مخاطباتهم وظهر له أنّهم يفهمون من لفظ معهود معنًى معهودًا عند تجرّده عن القرينة ومعنًى معهودًا عند اقترانه بها، بحيث كان فهمه منه متوقّفًا عليها، ثمّ كثر استعماله في المعنى الثاني إلى أن يتبادر منه ذلك حال الاستعمال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حصول العلم بكون هذا التبادر في الفرض المذكور لأجل الشهرة والغلبة، وهذا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هو أن يكون فهم المعنى من اللفظ متوقّفًا على ملاحظة الشهرة والالتفات إليها، والآخر أن لا يكون كذلك، بل اللفظ في الغلبة والكثرة بلغ حدًّا لا يفتقر في فهم المعنى منه إلى اعتبار الشهرة والالتفات إليها، </w:t>
      </w:r>
      <w:bookmarkStart w:id="591" w:name="pg16214_221686"/>
    </w:p>
    <w:p>
      <w:pPr>
        <w:pStyle w:val="BookText"/>
        <w:rPr/>
      </w:pPr>
      <w:bookmarkEnd w:id="591"/>
      <w:r>
        <w:rPr>
          <w:rFonts w:ascii="Amiri" w:hAnsi="Amiri" w:eastAsia="Amiri" w:cs="Amiri"/>
          <w:color w:val="111111"/>
          <w:sz w:val="28"/>
          <w:sz w:val="28"/>
          <w:szCs w:val="28"/>
          <w:rtl w:val="true"/>
          <w:lang w:bidi="ar-SA"/>
        </w:rPr>
        <w:t>وهذا أمر وجدانيّ يجده العاقل بالرجوع إلى وجدانه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الأوّل غير صالح للدلالة على الحقيقة؛ لكونه معلولًا للغلبة والشهرة، والتبادر الّذي يتمسّك به لإثبات الحقائق هو ما كان معلولًا للوضع، بخلاف القسم الثاني، فإنّه لا يمكن إلّا بتحقّق الوضع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الامتياز بين القسمين لمّا كان متوقّفًا على أمر ذهنيّ، وهو الالتفات إلى الشهرة وعدمه، فلا يمكن حصوله للجاهل، فيحصل له الخبط بين القسمين، ومنه يظهر عدم جواز التمسّك بأصل التبادر لإثبات الحقيقة، إذ الامتياز بين ما هو من علامة الحقيقة وغيرها غير ممكن للجاهل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فيما نحن فيه حاله كحال واحد من أهل الاصطلاح وإن كان جاهلًا بالنسبة إلى غيره؛ وكما يميّزون بين القسمين بملاحظة الشهرة وعدمها، فكذا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ذكر أنّ الجاهل إذا ظهر له تبادر المعنى في اصطلاح لا يمكنه الاستناد به إلى الحقيقة وإن كان في غير هذه الصورة، لاحتمال أن يكون التبادر من الّذي لا يكون دليلًا على الحقيقة، لكن هذا هو عين الإيراد الّذي كلامنا فيه، وقد عرفت بما ذكرناه في الأوّل والثاني جوابه، وستقف على زيادة إيضاح لذلك</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3520017_1280447820"/>
      <w:bookmarkStart w:id="593" w:name="_Toc227"/>
      <w:bookmarkEnd w:id="592"/>
      <w:r>
        <w:rPr>
          <w:rtl w:val="true"/>
        </w:rPr>
        <w:t>الوجه الرابع</w:t>
      </w:r>
      <w:bookmarkEnd w:id="59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الثاني، أي يكون ظانًّا بعدم كون التبادر لأجل الوضع، بل للشهرة والغلبة، كما إذا تتبّع محاورات أهل اصطلاح ظهر له أنّ أكثرهم حتّى الأطفال والبلهاء والمجانين والسفهاء يستبق إلى أذهانهم بمجرّد استماع لفظ </w:t>
      </w:r>
      <w:bookmarkStart w:id="594" w:name="pg16214_221687"/>
    </w:p>
    <w:p>
      <w:pPr>
        <w:pStyle w:val="BookText"/>
        <w:rPr/>
      </w:pPr>
      <w:bookmarkEnd w:id="594"/>
      <w:r>
        <w:rPr>
          <w:rFonts w:ascii="Amiri" w:hAnsi="Amiri" w:eastAsia="Amiri" w:cs="Amiri"/>
          <w:color w:val="111111"/>
          <w:sz w:val="28"/>
          <w:sz w:val="28"/>
          <w:szCs w:val="28"/>
          <w:rtl w:val="true"/>
          <w:lang w:bidi="ar-SA"/>
        </w:rPr>
        <w:t>معلوم معنى معيّن، ولا شكّ أنّه يحصل له من ذلك الظنُّ الغالب بأنّ ذلك اللفظ موضوع عندهم لذلك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تتبّع محاورات جملة من خواصّ ذلك الاصطلاح، ظهر له أنّه عند استماع ذلك اللفظ يتبادر إلى أذهانهم غير ذلك المعنى؛ وحينئذٍ مع ملاحظة ما ظهر له أوّلًا، يحصل له الظنّ بأنّ سبق هذا المعنى من اللفظ ليس لأجل الوضع، إذ لو كان ذلك لأجل الوضع أيضًا لزم الاشتراك المرجوح واشتهار اللفظ المشترك عند الأطفال والسفهاء والمجانين والبلهاء في أحد معنييه، ولا شبهة في مرجوحيّته بالنسبة إلى اشتهار اللفظ في المعنى المجازيّ عند جملة من الخواصّ من أهل ذلك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كان مشتركًا، يلزم اشتهاره عند كلّ طائفة في معنى مغاير للمعنى المشتهر عند الأخرى، فيلزم مخالفة الأصل من وجهين، بخلاف اشتهار اللفظ في المعنى المجازيّ عند طائفة، فإنّه استلزم مخالفة الأصل من وجه واحد، ولا ريب أنّ ما استلزم مخالفة الأصل من وجه واحد أولى ممّا استلزمها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علم أنّ لفظًا معلومًا عند أهل اصطلاح مخصوص حقيقة في معنى معيّن، ثمّ لمّا تتبّع محاورات جملة منهم، ظهر له أنّه يستبق إلى أذهانهم غير ذلك المعنى، والظاهر أنّه يحصل له الظنّ بأنّ هذا الاستباق والتبادر ليس منشؤه الوضع، بل الغلبة والكثرة، لعين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الصورتين يظهر للمتأمّل ولا يحتاج إلى الذكر، والكلام في دلالة هذا التبادر على الحقيقة وعدمها كالكلام في القسم الثالث</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3520019_1280447820"/>
      <w:bookmarkStart w:id="596" w:name="_Toc228"/>
      <w:bookmarkEnd w:id="595"/>
      <w:r>
        <w:rPr>
          <w:rtl w:val="true"/>
        </w:rPr>
        <w:t>الوجه الخامس</w:t>
      </w:r>
      <w:bookmarkEnd w:id="59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عالمًا ولا ظانًّا بأنّ منشأ التبادر الوضع، أو الغلبة </w:t>
      </w:r>
      <w:bookmarkStart w:id="597" w:name="pg16214_221688"/>
    </w:p>
    <w:p>
      <w:pPr>
        <w:pStyle w:val="BookText"/>
        <w:rPr/>
      </w:pPr>
      <w:bookmarkEnd w:id="597"/>
      <w:r>
        <w:rPr>
          <w:rFonts w:ascii="Amiri" w:hAnsi="Amiri" w:eastAsia="Amiri" w:cs="Amiri"/>
          <w:color w:val="111111"/>
          <w:sz w:val="28"/>
          <w:sz w:val="28"/>
          <w:szCs w:val="28"/>
          <w:rtl w:val="true"/>
          <w:lang w:bidi="ar-SA"/>
        </w:rPr>
        <w:t>والشهرة؛ وهذا هو الغالب الشايع؛ لوضوح أنّ كلًّا من الأقسام المذكورة يفتقر إلى تتبّع في المحاورات في مدّة طويلة، بخلاف هذا القسم، فإنّه يمكن أن يتحقّق في أوّل الأمر وبادي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اندراج هذا القسم تحت القسم الثاني بأن يكون المظنون أنّ تبادره لأجل الوضع؛ لأنّه لو كان التبادر في المعنى المجازيّ يلزم استعماله في المعنى المجازيّ واشتهاره فيه، وهما حادثان مدفوعان بالأصل، بناءً على أنّ عدم كلّ حادث بالنسبة إلى وجوده متيقّن، فثبت أنّ المظنون أنّ التبادر فيه لأجل الوضع</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3520021_1280447820"/>
      <w:bookmarkStart w:id="599" w:name="_Toc229"/>
      <w:bookmarkEnd w:id="598"/>
      <w:r>
        <w:rPr>
          <w:rtl w:val="true"/>
        </w:rPr>
        <w:t>التبادر المظنونيّ هل يمكن الاستدلال به على الحقيقة أم لا؟</w:t>
      </w:r>
      <w:bookmarkEnd w:id="599"/>
    </w:p>
    <w:p>
      <w:pPr>
        <w:pStyle w:val="BookText"/>
        <w:rPr/>
      </w:pPr>
      <w:r>
        <w:rPr>
          <w:rFonts w:ascii="Amiri" w:hAnsi="Amiri" w:eastAsia="Amiri" w:cs="Amiri"/>
          <w:color w:val="111111"/>
          <w:sz w:val="28"/>
          <w:sz w:val="28"/>
          <w:szCs w:val="28"/>
          <w:rtl w:val="true"/>
          <w:lang w:bidi="ar-SA"/>
        </w:rPr>
        <w:t>بقي الكلام في أنّ التبادر المظنونيّ هل يمكن الاستدلال به على الحقيقة، أم لا؟</w:t>
      </w:r>
    </w:p>
    <w:p>
      <w:pPr>
        <w:pStyle w:val="BookText"/>
        <w:rPr/>
      </w:pPr>
      <w:r>
        <w:rPr>
          <w:rFonts w:ascii="Amiri" w:hAnsi="Amiri" w:eastAsia="Amiri" w:cs="Amiri"/>
          <w:color w:val="111111"/>
          <w:sz w:val="28"/>
          <w:sz w:val="28"/>
          <w:szCs w:val="28"/>
          <w:rtl w:val="true"/>
          <w:lang w:bidi="ar-SA"/>
        </w:rPr>
        <w:t>تحقيقه موقوف على حجّيّة الظنّ في اللغات، والحقّ ذلك، وسيجيء تحقيقه إن شاء الله تعالى، فعلم ممّا ذكر المواضع الّتي يتمسّك فيها بالتبادر لإثبات الحقيقة وما لا يتمسّك به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الظنّ سواء كانت في المسائل اللغويّة، أو الأصوليّة، أو الفرعيّة، موقوفةٌ على انسداد باب العلم، وهو فيما نحن فيه غير مسلّم؛ لأنّه كما أنّ الجاهل بالاصطلاح يمكن له التتبّع في محاورات أرباب الاصطلاح، يمكن له الاستفسار منهم في أوضاع ألفاظهم، ومع إخبارهم إيّاه يحصل له العلم بالمعاني الحقيقيّة، فالعمل بالظنّ مع التمكّن من العلم لا وجه 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مواقع استعمالات ألفاظ أهل اصطلاح</w:t>
      </w:r>
      <w:r>
        <w:rPr>
          <w:rStyle w:val="FootnoteAnchor"/>
          <w:rtl w:val="true"/>
        </w:rPr>
        <w:footnoteReference w:id="439"/>
      </w:r>
      <w:r>
        <w:rPr>
          <w:rFonts w:ascii="Amiri" w:hAnsi="Amiri" w:eastAsia="Amiri" w:cs="Amiri"/>
          <w:color w:val="111111"/>
          <w:sz w:val="28"/>
          <w:sz w:val="28"/>
          <w:szCs w:val="28"/>
          <w:rtl w:val="true"/>
          <w:lang w:bidi="ar-SA"/>
        </w:rPr>
        <w:t xml:space="preserve">لا يستلزم تلاقيهم، وعلى </w:t>
      </w:r>
    </w:p>
    <w:p>
      <w:pPr>
        <w:pStyle w:val="BookText"/>
        <w:rPr/>
      </w:pPr>
      <w:r>
        <w:rPr>
          <w:rFonts w:ascii="Amiri" w:hAnsi="Amiri" w:eastAsia="Amiri" w:cs="Amiri"/>
          <w:color w:val="111111"/>
          <w:sz w:val="28"/>
          <w:sz w:val="28"/>
          <w:szCs w:val="28"/>
          <w:rtl w:val="true"/>
          <w:lang w:bidi="ar-SA"/>
        </w:rPr>
        <w:t>فرض تسليمه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المعتبر في إثبات حقائق الألفاظ ومجازاتها إنّما هو فهم العوامّ، ومعلوم أنّهم لا يفهمون معنى الوضع والواضع، فضلًا عن الحقيقة والمجاز، فالاستعلام منهم 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الشخص من أهل الاصطلاح لا يستلزم علمه بحقائق ألفاظهم ومجازاتههم</w:t>
      </w:r>
      <w:r>
        <w:rPr>
          <w:rStyle w:val="FootnoteAnchor"/>
          <w:rtl w:val="true"/>
        </w:rPr>
        <w:footnoteReference w:id="440"/>
      </w:r>
      <w:r>
        <w:rPr>
          <w:rFonts w:ascii="Amiri" w:hAnsi="Amiri" w:eastAsia="Amiri" w:cs="Amiri"/>
          <w:color w:val="111111"/>
          <w:sz w:val="28"/>
          <w:sz w:val="28"/>
          <w:szCs w:val="28"/>
          <w:rtl w:val="true"/>
          <w:lang w:bidi="ar-SA"/>
        </w:rPr>
        <w:t>، وغاية ما يكون معلومًا له هو أنّ في اصطلاحهم ألفاظٌ يستعملونها في محاوراتهم ومخاطباتهم ويفهمون منها المعاني المعيّنة؛ وأمّا العلم باتّصافها بوصف الحقيقة أو المجاز فلا، فاستنباط</w:t>
      </w:r>
      <w:r>
        <w:rPr>
          <w:rStyle w:val="FootnoteAnchor"/>
          <w:rtl w:val="true"/>
        </w:rPr>
        <w:footnoteReference w:id="441"/>
      </w:r>
      <w:r>
        <w:rPr>
          <w:rFonts w:ascii="Amiri" w:hAnsi="Amiri" w:eastAsia="Amiri" w:cs="Amiri"/>
          <w:color w:val="111111"/>
          <w:sz w:val="28"/>
          <w:sz w:val="28"/>
          <w:szCs w:val="28"/>
          <w:rtl w:val="true"/>
          <w:lang w:bidi="ar-SA"/>
        </w:rPr>
        <w:t>الحقيقة والمجاز لا يمكن للجاهل إلّا بالتتبّع في محاوراتهم بعد الاطّلاع بخواصّ كلّ منهما، ومتى ظهر له تحقّقُ شيء منها بعد التتبّع عَمِل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أنّه قد يحصل العلم بتحقّق الخواصّ وقد يحصل الظنّ؛ على أنّا لا ندّعي امتناع العلم بالاستعلام، بل نوجبه فيما ينفع، بل المراد جواز العمل بالظنّ فيما لم يمكن فيه تحصيل العلم مطلقًا، أو من غير عسر وحرج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أرباب كلّ اصطلاح لا شبهة في أنّ بينهم علماء وفضلاء، وهم يميّزون بين الحقيقة والمجاز، فلا بدّ من الاستعلام منهم حتّى يحصل العلم، فالعمل بالظنّ غير جائز</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علماء ذلك الاصطلاح مثلُ الجاهل في عدم إدراكهم الواضع، وإنّ تشخيصهم المعاني الحقيقيّة والمجازيّة إنّما هو بخواصّ كلّ منهما، ولذا قد يحصل بين علماء اصطلاح واحد اختلاف في التشخيص، فبعض يدّعي حقيقيّة </w:t>
      </w:r>
      <w:bookmarkStart w:id="600" w:name="pg16214_221690"/>
    </w:p>
    <w:p>
      <w:pPr>
        <w:pStyle w:val="BookText"/>
        <w:rPr/>
      </w:pPr>
      <w:bookmarkEnd w:id="600"/>
      <w:r>
        <w:rPr>
          <w:rFonts w:ascii="Amiri" w:hAnsi="Amiri" w:eastAsia="Amiri" w:cs="Amiri"/>
          <w:color w:val="111111"/>
          <w:sz w:val="28"/>
          <w:sz w:val="28"/>
          <w:szCs w:val="28"/>
          <w:rtl w:val="true"/>
          <w:lang w:bidi="ar-SA"/>
        </w:rPr>
        <w:t>اللفظ في معنى والآخر مجازيّته فيه، كما هو الظاهر للمتتبّع الخبير بأحوال العلماء؛ والسرّ في ذلك الرجوع إلى الأمارات، فيظهر عند كلّ خلاف ما يظهر عند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تسليم أنّ علمهم بالحقائق والمجازات بالاستعلام من الواضع أو غيره، فلا شبهة في عدم استلزام قولهم القطع، فقد يحصل الظنّ أيضًا، بل الغالب ذلك، فآل الأمر إلى العمل بالمظنّة في أمثال المقام، وهو يكفينا لإثبات المرام، فاتّضح الأمر بمعونة الملك العلّام، وارتفع الإشكال عن مقالة الأعلام بالتمام</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3520023_1280447820"/>
      <w:bookmarkStart w:id="602" w:name="_Toc230"/>
      <w:bookmarkEnd w:id="601"/>
      <w:r>
        <w:rPr>
          <w:rtl w:val="true"/>
        </w:rPr>
        <w:t>الإيراد الرابع على التبادر مع الجواب عنه</w:t>
      </w:r>
      <w:bookmarkEnd w:id="602"/>
    </w:p>
    <w:p>
      <w:pPr>
        <w:pStyle w:val="Heading6"/>
        <w:numPr>
          <w:ilvl w:val="5"/>
          <w:numId w:val="1"/>
        </w:numPr>
        <w:rPr/>
      </w:pPr>
      <w:bookmarkStart w:id="603" w:name="__RefHeading___Toc3520025_1280447820"/>
      <w:bookmarkStart w:id="604" w:name="_Toc231"/>
      <w:bookmarkEnd w:id="603"/>
      <w:r>
        <w:rPr>
          <w:rtl w:val="true"/>
        </w:rPr>
        <w:t>اشارة</w:t>
      </w:r>
      <w:bookmarkEnd w:id="604"/>
    </w:p>
    <w:p>
      <w:pPr>
        <w:pStyle w:val="BookText"/>
        <w:rPr/>
      </w:pPr>
      <w:r>
        <w:rPr>
          <w:rFonts w:ascii="Amiri" w:hAnsi="Amiri" w:eastAsia="Amiri" w:cs="Amiri"/>
          <w:color w:val="111111"/>
          <w:sz w:val="28"/>
          <w:sz w:val="28"/>
          <w:szCs w:val="28"/>
          <w:rtl w:val="true"/>
          <w:lang w:bidi="ar-SA"/>
        </w:rPr>
        <w:t>والإيراد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التبادر لو كان دليلًا على الحقيقة، لزم أن تكون الألفاظ الموضوعة للمعاني المركّبة والملزومة حقيقةً في الأجزاء واللوازم العقليّة والعرفيّة؛ لوضوح تبادر كلّ من الخلّ والأنكبين عند استماع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السكنجبين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والزوجيّة والفرديّة والجود عند استماع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وبطلان التالي ظاهر؛ لوضوح أنّها حقائق في المعاني المركّبة والملزومة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5" w:name="__RefHeading___Toc3520027_1280447820"/>
      <w:bookmarkStart w:id="606" w:name="_Toc232"/>
      <w:bookmarkEnd w:id="605"/>
      <w:r>
        <w:rPr>
          <w:rtl w:val="true"/>
        </w:rPr>
        <w:t>الجواب عن الإيراد الرابع</w:t>
      </w:r>
      <w:bookmarkEnd w:id="606"/>
    </w:p>
    <w:p>
      <w:pPr>
        <w:pStyle w:val="Heading6"/>
        <w:numPr>
          <w:ilvl w:val="5"/>
          <w:numId w:val="1"/>
        </w:numPr>
        <w:rPr/>
      </w:pPr>
      <w:bookmarkStart w:id="607" w:name="__RefHeading___Toc3520029_1280447820"/>
      <w:bookmarkStart w:id="608" w:name="_Toc233"/>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والجواب عنه من وجهين</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3520031_1280447820"/>
      <w:bookmarkStart w:id="610" w:name="_Toc234"/>
      <w:bookmarkEnd w:id="609"/>
      <w:r>
        <w:rPr>
          <w:rtl w:val="true"/>
        </w:rPr>
        <w:t>الجواب الأوّل</w:t>
      </w:r>
      <w:bookmarkEnd w:id="61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أنّك قد عرفت مرارًا أنّ الافتقار للرجوع إلى هذه العلامات إنّما هو للجاهل، والتبادر أمر ذهنيّ بالنسبة إلى العالمين بالوضع، ولا يمكن للجاهل </w:t>
      </w:r>
    </w:p>
    <w:p>
      <w:pPr>
        <w:pStyle w:val="BookText"/>
        <w:rPr/>
      </w:pPr>
      <w:r>
        <w:rPr>
          <w:rFonts w:ascii="Amiri" w:hAnsi="Amiri" w:eastAsia="Amiri" w:cs="Amiri"/>
          <w:color w:val="111111"/>
          <w:sz w:val="28"/>
          <w:sz w:val="28"/>
          <w:szCs w:val="28"/>
          <w:rtl w:val="true"/>
          <w:lang w:bidi="ar-SA"/>
        </w:rPr>
        <w:t>الاطّلاع عليه إلّا بظهور أثر منه في الخارج، وهو حمل اللفظ على المعنى المتبادر، ولا شبهة في انحصاره عند التجرّد في الكلّ والملزوم، فيلزمه الحكم بكونه حقيقة فيهما، لا في الجزء واللازم؛ لعدم ظهور أثر في الخارج بالنسبة إليهما، ليطّلع الجاهل على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التبادر بالنسبة إلى العالمين بالوضع، فهو مسلّم، لكنّ العلامة ليست علامة بالنسبة إليهم، وإن أريد بالنسبة إلى الجاهل على المعنى الّذي عرفته، فهو ممنوع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اطّلاع الجاهل على التبادر بالنسبة إلى الكلّ والملزوم كافٍ؛ لأنّ العلم بالكلّ والملزوم يستلزم العلم بالجزء واللازم، فيلزم تبادرهما بالنسبة إلى الجاهل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حينئذٍ يكون من العالمين بالوضع؛ لأنّ بتبادر</w:t>
      </w:r>
      <w:r>
        <w:rPr>
          <w:rStyle w:val="FootnoteAnchor"/>
          <w:rtl w:val="true"/>
        </w:rPr>
        <w:footnoteReference w:id="443"/>
      </w:r>
      <w:r>
        <w:rPr>
          <w:rFonts w:ascii="Amiri" w:hAnsi="Amiri" w:eastAsia="Amiri" w:cs="Amiri"/>
          <w:color w:val="111111"/>
          <w:sz w:val="28"/>
          <w:sz w:val="28"/>
          <w:szCs w:val="28"/>
          <w:rtl w:val="true"/>
          <w:lang w:bidi="ar-SA"/>
        </w:rPr>
        <w:t>الكلّ بالنسبة إلى أهل الاصطلاح حصل له العلم بالوضع، وقد عرفت أنّ العلامة بالنسبة إلى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نسلّم استلزام العلم بالكلّ العلم بالجزء مطلقًا، بل القدر المسلّم أنّ العلم التفصيليّ بالكلّ على أنّه كلّ يستلزم العلم بالجزء، ويمكن أن يكون اطّلاع الجاهل على كون الكلّ متبادرًا بالترديد بالقرائن والإشارة، بل الغالب ذلك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هذا الجواب متين بالنسبة إلى الكلّ والجزء، وأمّا بالنسبة إلى اللازم والملزوم فلا؛ لأنّ تعقّل الملزوم يستلزم تعقّل اللازم، إلّا بالنسبة إلى اللازم العرفيّ فصحيح أيضًا</w:t>
      </w:r>
      <w:r>
        <w:rPr>
          <w:rFonts w:eastAsia="Amiri" w:cs="Amiri" w:ascii="Amiri" w:hAnsi="Amiri"/>
          <w:color w:val="111111"/>
          <w:sz w:val="28"/>
          <w:szCs w:val="28"/>
          <w:rtl w:val="true"/>
          <w:lang w:bidi="ar-SA"/>
        </w:rPr>
        <w:t xml:space="preserve">. </w:t>
      </w:r>
      <w:bookmarkStart w:id="611" w:name="pg16214_221692"/>
    </w:p>
    <w:p>
      <w:pPr>
        <w:pStyle w:val="Heading6"/>
        <w:numPr>
          <w:ilvl w:val="5"/>
          <w:numId w:val="1"/>
        </w:numPr>
        <w:rPr/>
      </w:pPr>
      <w:bookmarkStart w:id="612" w:name="__RefHeading___Toc3520033_1280447820"/>
      <w:bookmarkStart w:id="613" w:name="_Toc235"/>
      <w:bookmarkEnd w:id="611"/>
      <w:bookmarkEnd w:id="612"/>
      <w:r>
        <w:rPr>
          <w:rtl w:val="true"/>
        </w:rPr>
        <w:t>الجواب الثاني</w:t>
      </w:r>
      <w:bookmarkEnd w:id="61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التبادر الّذي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علامة الحقيقة، هو</w:t>
      </w:r>
      <w:r>
        <w:rPr>
          <w:rStyle w:val="FootnoteAnchor"/>
          <w:rtl w:val="true"/>
        </w:rPr>
        <w:footnoteReference w:id="444"/>
      </w:r>
      <w:r>
        <w:rPr>
          <w:rFonts w:ascii="Amiri" w:hAnsi="Amiri" w:eastAsia="Amiri" w:cs="Amiri"/>
          <w:color w:val="111111"/>
          <w:sz w:val="28"/>
          <w:sz w:val="28"/>
          <w:szCs w:val="28"/>
          <w:rtl w:val="true"/>
          <w:lang w:bidi="ar-SA"/>
        </w:rPr>
        <w:t>فهم المعنى من اللفظ الموضوع من غير واسطة، وانحصاره فيما نحن فيه في الكلّ والملزوم ظاهر؛ لأنّ الجزء واللازم إنّما يفهمان في ضمن الكلّ والملزوم وبواسطتهما كما لا يخفى</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4" w:name="pg16214_221694"/>
      <w:bookmarkStart w:id="615" w:name="pg16214_221694"/>
      <w:bookmarkEnd w:id="615"/>
    </w:p>
    <w:p>
      <w:pPr>
        <w:pStyle w:val="BookText"/>
        <w:rPr/>
      </w:pPr>
      <w:bookmarkStart w:id="616" w:name="pg16214_221694"/>
      <w:bookmarkEnd w:id="616"/>
      <w:r>
        <w:rPr>
          <w:rFonts w:ascii="Amiri" w:hAnsi="Amiri" w:eastAsia="Amiri" w:cs="Amiri"/>
          <w:color w:val="111111"/>
          <w:sz w:val="28"/>
          <w:sz w:val="28"/>
          <w:szCs w:val="28"/>
          <w:rtl w:val="true"/>
          <w:lang w:bidi="ar-SA"/>
        </w:rPr>
        <w:t>في تحقيق الاطّراد وعدمه</w:t>
      </w:r>
    </w:p>
    <w:p>
      <w:pPr>
        <w:pStyle w:val="Heading3"/>
        <w:numPr>
          <w:ilvl w:val="2"/>
          <w:numId w:val="1"/>
        </w:numPr>
        <w:rPr/>
      </w:pPr>
      <w:bookmarkStart w:id="617" w:name="__RefHeading___Toc3520035_1280447820"/>
      <w:bookmarkStart w:id="618" w:name="_Toc236"/>
      <w:bookmarkEnd w:id="617"/>
      <w:r>
        <w:rPr>
          <w:rtl w:val="true"/>
        </w:rPr>
        <w:t>الفصل الرابع</w:t>
      </w:r>
      <w:r>
        <w:rPr>
          <w:rtl w:val="true"/>
        </w:rPr>
        <w:t xml:space="preserve">: </w:t>
      </w:r>
      <w:r>
        <w:rPr>
          <w:rtl w:val="true"/>
        </w:rPr>
        <w:t>في الاطّراد وعدمه</w:t>
      </w:r>
      <w:bookmarkEnd w:id="618"/>
    </w:p>
    <w:p>
      <w:pPr>
        <w:pStyle w:val="Heading4"/>
        <w:numPr>
          <w:ilvl w:val="3"/>
          <w:numId w:val="1"/>
        </w:numPr>
        <w:rPr/>
      </w:pPr>
      <w:bookmarkStart w:id="619" w:name="__RefHeading___Toc3520037_1280447820"/>
      <w:bookmarkStart w:id="620" w:name="_Toc237"/>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فإنّ الأوّل جعل علامة الحقيقة، والثاني علامة المجاز</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بالاطّراد</w:t>
      </w:r>
      <w:r>
        <w:rPr>
          <w:rStyle w:val="FootnoteAnchor"/>
          <w:rtl w:val="true"/>
        </w:rPr>
        <w:footnoteReference w:id="446"/>
      </w:r>
      <w:r>
        <w:rPr>
          <w:rFonts w:ascii="Amiri" w:hAnsi="Amiri" w:eastAsia="Amiri" w:cs="Amiri"/>
          <w:color w:val="111111"/>
          <w:sz w:val="28"/>
          <w:sz w:val="28"/>
          <w:szCs w:val="28"/>
          <w:rtl w:val="true"/>
          <w:lang w:bidi="ar-SA"/>
        </w:rPr>
        <w:t xml:space="preserve">صحّة استعمال اللفظ في كلّ محلّ وجد فيه المعنى الّذي لأجله ثبت استعماله في بعض الموارد، كالعالم مثلًا، فإنّه استعمل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لتحقّق صفة العلم فيه، فلمّا صحّ استعماله في كلّ ما يشاركه في ذلك المعنى، علم أنّ استعماله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الحقيقة وأنّ الموضوع له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قام به العلم؛ وهكذا الكلام في العابد والزاهد والناصر والصادق وأمثالها</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بعدم الاطّراد هو أن لا يكون كذلك، بأن لا يصحّ استعمال اللفظ في كلّ ما تحقّق فيه المعنى الّذي لأجله صحّ استعماله في بعض الموارد،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bookmarkStart w:id="621" w:name="pg16214_221695"/>
    </w:p>
    <w:p>
      <w:pPr>
        <w:pStyle w:val="BookText"/>
        <w:rPr/>
      </w:pPr>
      <w:bookmarkEnd w:id="621"/>
      <w:r>
        <w:rPr>
          <w:rFonts w:ascii="Amiri" w:hAnsi="Amiri" w:eastAsia="Amiri" w:cs="Amiri"/>
          <w:color w:val="111111"/>
          <w:sz w:val="28"/>
          <w:sz w:val="28"/>
          <w:szCs w:val="28"/>
          <w:rtl w:val="true"/>
          <w:lang w:bidi="ar-SA"/>
        </w:rPr>
        <w:t>مثلًا، فإنّه استعمل في الإنسان لتحقّق الطول فيه؛ ولمّا لم يصحّ استعماله في المنارة والجدار</w:t>
      </w:r>
      <w:r>
        <w:rPr>
          <w:rStyle w:val="FootnoteAnchor"/>
          <w:rtl w:val="true"/>
        </w:rPr>
        <w:footnoteReference w:id="448"/>
      </w:r>
      <w:r>
        <w:rPr>
          <w:rFonts w:ascii="Amiri" w:hAnsi="Amiri" w:eastAsia="Amiri" w:cs="Amiri"/>
          <w:color w:val="111111"/>
          <w:sz w:val="28"/>
          <w:sz w:val="28"/>
          <w:szCs w:val="28"/>
          <w:rtl w:val="true"/>
          <w:lang w:bidi="ar-SA"/>
        </w:rPr>
        <w:t>مثلًا مع تحقّقه فيهما، علم أنّه لم يوضع لما قام به الطول وأنّ استعماله في الإنسان مجاز، والطول مصحّح للمجازيّة</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3520039_1280447820"/>
      <w:bookmarkStart w:id="623" w:name="_Toc238"/>
      <w:bookmarkEnd w:id="622"/>
      <w:r>
        <w:rPr>
          <w:rtl w:val="true"/>
        </w:rPr>
        <w:t>في دلالة الاطّراد على الحقيقة</w:t>
      </w:r>
      <w:bookmarkEnd w:id="623"/>
    </w:p>
    <w:p>
      <w:pPr>
        <w:pStyle w:val="BookText"/>
        <w:rPr/>
      </w:pPr>
      <w:r>
        <w:rPr>
          <w:rFonts w:ascii="Amiri" w:hAnsi="Amiri" w:eastAsia="Amiri" w:cs="Amiri"/>
          <w:color w:val="111111"/>
          <w:sz w:val="28"/>
          <w:sz w:val="28"/>
          <w:szCs w:val="28"/>
          <w:rtl w:val="true"/>
          <w:lang w:bidi="ar-SA"/>
        </w:rPr>
        <w:t>تحقيق المقام يقتضي البسط في الكلام، فنقول بعون الموفّق 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دلالة الاطّراد على الحقيقة، فلعلّه لأجل أنّه كما أنّ العلم بالوضع يستلزم العلم بصحّة استعمال اللفظ في كلّ ما تحقّق فيه 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العلم بوضع اللفظ لمعنى يستلزم العلم بإذن الواضع في استعماله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فينبغي العكس أيضًا، بأن يكون العلم بصحّة الاستعمال في كلّ ما تحقّق فيه المعنى الّذي لأجله ثبت الاستعمال في بعض الموارد مستلزمًا للعلم بوضعه له؛ لأنّ صحّة الاستعمال موقوفة على تحقّق الإذن من الواضع، والمفروض أنّ العلم بصحّة الاستعمال متحقّق، فيلزمه العلم بإذن الواضع</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 العلم بالعلّة يستلزم العلم بالمعلول، فكذلك العكس أيضًا، والعلم بالإذن إمّا في ضمن العلامة، أو في ضمن الوضع، والأوّل باطل؛ لأنّ العلاقة ليست من فعل الواضع حتّى يحصل من العلم بها العلم بالإذن في كلّ ما تحقّقت فيه؛ لما عرفت من أنّها المناسبة بين المعنيين، فربما تحقّقت</w:t>
      </w:r>
      <w:r>
        <w:rPr>
          <w:rStyle w:val="FootnoteAnchor"/>
          <w:rtl w:val="true"/>
        </w:rPr>
        <w:footnoteReference w:id="449"/>
      </w:r>
      <w:r>
        <w:rPr>
          <w:rFonts w:ascii="Amiri" w:hAnsi="Amiri" w:eastAsia="Amiri" w:cs="Amiri"/>
          <w:color w:val="111111"/>
          <w:sz w:val="28"/>
          <w:sz w:val="28"/>
          <w:szCs w:val="28"/>
          <w:rtl w:val="true"/>
          <w:lang w:bidi="ar-SA"/>
        </w:rPr>
        <w:t xml:space="preserve">المناسبة ولم يصحّ الاستعمال؛ لعدم الإذن فيه، بخلاف الوضع، والمفروض أنّ صحّة الاستعمال </w:t>
      </w:r>
      <w:bookmarkStart w:id="624" w:name="pg16214_221696"/>
    </w:p>
    <w:p>
      <w:pPr>
        <w:pStyle w:val="BookText"/>
        <w:rPr/>
      </w:pPr>
      <w:bookmarkEnd w:id="624"/>
      <w:r>
        <w:rPr>
          <w:rFonts w:ascii="Amiri" w:hAnsi="Amiri" w:eastAsia="Amiri" w:cs="Amiri"/>
          <w:color w:val="111111"/>
          <w:sz w:val="28"/>
          <w:sz w:val="28"/>
          <w:szCs w:val="28"/>
          <w:rtl w:val="true"/>
          <w:lang w:bidi="ar-SA"/>
        </w:rPr>
        <w:t>ثابتة، فيكون منشؤها الوضع، فقد علم أنّ الاستدلال بالاطّراد على الموضوع له استدلال بالمعلول على العلّة</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3520041_1280447820"/>
      <w:bookmarkStart w:id="626" w:name="_Toc239"/>
      <w:bookmarkEnd w:id="625"/>
      <w:r>
        <w:rPr>
          <w:rtl w:val="true"/>
        </w:rPr>
        <w:t>جعل الاطّراد دليل للحقيقة فاسد</w:t>
      </w:r>
      <w:bookmarkEnd w:id="626"/>
    </w:p>
    <w:p>
      <w:pPr>
        <w:pStyle w:val="Heading5"/>
        <w:numPr>
          <w:ilvl w:val="4"/>
          <w:numId w:val="1"/>
        </w:numPr>
        <w:rPr/>
      </w:pPr>
      <w:bookmarkStart w:id="627" w:name="__RefHeading___Toc3520043_1280447820"/>
      <w:bookmarkStart w:id="628" w:name="_Toc240"/>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جعل الاطّراد دليل للحقيقة</w:t>
      </w:r>
      <w:r>
        <w:rPr>
          <w:rStyle w:val="FootnoteAnchor"/>
          <w:rtl w:val="true"/>
        </w:rPr>
        <w:footnoteReference w:id="450"/>
      </w:r>
      <w:r>
        <w:rPr>
          <w:rFonts w:ascii="IRNazanin" w:hAnsi="IRNazanin" w:eastAsia="IRNazanin"/>
          <w:color w:val="111111"/>
          <w:sz w:val="28"/>
          <w:sz w:val="28"/>
          <w:szCs w:val="28"/>
          <w:rtl w:val="true"/>
          <w:lang w:bidi="fa-IR"/>
        </w:rPr>
        <w:t>فاسد</w:t>
      </w:r>
    </w:p>
    <w:p>
      <w:pPr>
        <w:pStyle w:val="BookText"/>
        <w:rPr/>
      </w:pPr>
      <w:r>
        <w:rPr>
          <w:rFonts w:ascii="Amiri" w:hAnsi="Amiri" w:eastAsia="Amiri" w:cs="Amiri"/>
          <w:color w:val="111111"/>
          <w:sz w:val="28"/>
          <w:sz w:val="28"/>
          <w:szCs w:val="28"/>
          <w:rtl w:val="true"/>
          <w:lang w:bidi="ar-SA"/>
        </w:rPr>
        <w:t>وفيه نظر من وجوه</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3520045_1280447820"/>
      <w:bookmarkStart w:id="630" w:name="_Toc241"/>
      <w:bookmarkEnd w:id="629"/>
      <w:r>
        <w:rPr>
          <w:rtl w:val="true"/>
        </w:rPr>
        <w:t>الوجه الأوّل</w:t>
      </w:r>
      <w:bookmarkEnd w:id="630"/>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سبق أنّ الخاصّة والعلامة وإن اعتبر فيها الانعكاس، لكنّ الاطّراد فيها لازم،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الاطّراد بالمعنى المذكور لو كان دليلًا على الحقيقة، لزم أن لا يتحقّق في المجاز، والتالي باطل، فالمقدّم مثله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والملازمة ظاهرة ممّا ذكرناه من لزوم الاطّراد في العلامة، وأمّا بطلان التالي، فلأنّ المجاز قد يطّرد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استعمل في بعض الشجعان للمشابهة، وقد صحّ استعماله في كلّ شجاع لذلك، مع أنّ اللفظ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الاطّراد في المجازات، أمّا على القول باشتراط نقل الآحاد فيها فظاهر؛ لأنّ مقتضى ذلك لزوم الاقتصار على المجازات المنقولة وعدم جواز التعدّي إلى غيرها ولو مع تحقّق العلائق المتعدّدة، وأين ذلك من الاطّراد؟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بعدم اشتراط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التحقيق وقد سبق القول فيه مشروحًا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فلتسليم أرباب هذا القول تخلّف الاستعمال عن العلاقة المشابهة، حيث صرّحوا بامتناع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لطويل غير الإنسان مع تحقّق المشابهة والاطّراد، </w:t>
      </w:r>
    </w:p>
    <w:p>
      <w:pPr>
        <w:pStyle w:val="BookText"/>
        <w:rPr/>
      </w:pPr>
      <w:r>
        <w:rPr>
          <w:rFonts w:ascii="Amiri" w:hAnsi="Amiri" w:eastAsia="Amiri" w:cs="Amiri"/>
          <w:color w:val="111111"/>
          <w:sz w:val="28"/>
          <w:sz w:val="28"/>
          <w:szCs w:val="28"/>
          <w:rtl w:val="true"/>
          <w:lang w:bidi="ar-SA"/>
        </w:rPr>
        <w:t>وإنّما يلزم إذا جاز التجوّز في كلّ ما تحقّق فيه المشابهة، وقد عرفت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لا وجه له؛ لأنّك قد عرفت أنّ المراد بالاطّراد هو أن يكون اللفظ الّذي قد استعمل في محلّ لمعنى صحّ استعمال ذلك اللفظ في كلّ محلّ وجد فيه ذلك المعنى، ولاريب في تحقّقه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قد استعمل في محلّ للشجاعة وصحّ استعماله في كلّ ما تحقّقت فيه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الاطّراد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يستلزم عدم الاطّراد فيما ندّعي اطّراده، والتشبّث بالنخلة إنّما يتوجّه إذا ادّعينا الاطّراد فيها، أو في كلّ المجازات، ونحن لم نقل بذلك، بل يكفينا لإثبات المرام تحقّق الاطّراد في فرد من أفراد المجازات؛ لما عرفت من لزوم الاطّراد في الخاصّة، وقد تحقّق بالنسبة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المجازيّ، سواء قلنا باشتراط النقل في آحاد المجازات،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الثاني فظاهر، وأمّا على الأوّل فلأنّا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ليس المراد من هذا القول الاقتصار في خصوص ما صدر فيه الاستعمال في المعنى المجازيّ على خصوص ذلك المعنى المتشخّص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استلزم انسداد باب المجاز بالمرّة، بل الظاهر أنّ المراد منه أنّه إذا تحقّق استعمال لفظ في معنى بعنوان المجاز، جاز التجوّز في أفراد ذلك اللفظ بالنسبة إلى أفراد ذلك المعنى، لا في غيره،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Style w:val="FootnoteAnchor"/>
          <w:rtl w:val="true"/>
        </w:rPr>
        <w:footnoteReference w:id="452"/>
      </w:r>
      <w:r>
        <w:rPr>
          <w:rFonts w:ascii="Amiri" w:hAnsi="Amiri" w:eastAsia="Amiri" w:cs="Amiri"/>
          <w:color w:val="111111"/>
          <w:sz w:val="28"/>
          <w:sz w:val="28"/>
          <w:szCs w:val="28"/>
          <w:rtl w:val="true"/>
          <w:lang w:bidi="ar-SA"/>
        </w:rPr>
        <w:t>، فإنّه قد ثبت استعماله في الشجاع، فيجوز استعماله في كلّ ما تحقّقت فيه الشجاعة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والقائل بعدم اشتراط النقل لا يقتصر على ذلك،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استعمال </w:t>
      </w:r>
      <w:bookmarkStart w:id="631" w:name="pg16214_221698"/>
    </w:p>
    <w:p>
      <w:pPr>
        <w:pStyle w:val="BookText"/>
        <w:rPr/>
      </w:pPr>
      <w:bookmarkEnd w:id="6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مشابه لما وضع له، فيظهر منه جواز استعمال أيّ لفظ كان على أيّ مشابه لما وضع له ذلك اللفظ ولو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والقائل بالاشتراط ينكره، فقد تحقّق الاطّراد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المذهبين مع أنّه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الجاهل باصطلاح قوم إذا تفحّص مخاطباتهم لاستعلام المعاني الحقيقيّة والمجازيّة وظهر له اطّراد لفظ في معنى، لا يمكن له الحكم بمجرّده على الحقيقة؛ لعدم دلالة العامّ على الخاصّ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الاطّراد في المعنى المجازيّ أيضًا، لكنّه نادر، والأغلب تحقّقه في المعاني الحقيقيّة، والظنّ يلحق الشيء بالأعمّ الأغلب، 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الاطّراد على الجاهل يحكم على الحقيقة بناءً على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عدم منافاة ذلك في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اعتبار الاطّراد فيها وأنّ المقصود تشخيص المعاني الحقيقيّة والمجازيّة لقوم وهو ينافيه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نسلّم ندرة الاطّراد في المعاني المجازيّة بحيث يحكم بأنّ النادر كالمعدوم</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3520047_1280447820"/>
      <w:bookmarkStart w:id="633" w:name="_Toc242"/>
      <w:bookmarkEnd w:id="632"/>
      <w:r>
        <w:rPr>
          <w:rtl w:val="true"/>
        </w:rPr>
        <w:t>الوجه الثاني</w:t>
      </w:r>
      <w:bookmarkEnd w:id="633"/>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نقول بعد تسليم دلالة الاطّراد على الوضع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العلم بالوضع متوقّفًا على العلم بالاطّراد، والعلم به محال، فالمتوقّف على المحال أيضًا محال، فلا فائدة لجعله علامة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أنّك قد عرفت مرارًا أنّ المفتقر إلى الرجوع في هذه العلامات إنّما هو الجاهل بالوضع،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يكتفي في الاطّراد بصحّة استعمال اللفظ </w:t>
      </w:r>
      <w:bookmarkStart w:id="634" w:name="pg16214_221699"/>
    </w:p>
    <w:p>
      <w:pPr>
        <w:pStyle w:val="BookText"/>
        <w:rPr/>
      </w:pPr>
      <w:bookmarkEnd w:id="634"/>
      <w:r>
        <w:rPr>
          <w:rFonts w:ascii="Amiri" w:hAnsi="Amiri" w:eastAsia="Amiri" w:cs="Amiri"/>
          <w:color w:val="111111"/>
          <w:sz w:val="28"/>
          <w:sz w:val="28"/>
          <w:szCs w:val="28"/>
          <w:rtl w:val="true"/>
          <w:lang w:bidi="ar-SA"/>
        </w:rPr>
        <w:t>المستعمل في محلّ لمعنى في بعض ما عدا ذلك المحلّ الّذي وجد فيه ذلك المعنى، أو في جميعه، ولا سبيل إلى الأوّل كما لا يخفى، فتعيّن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الجاهل بالاصطلاح بعد أن ظهر عليه استعمال لفظ معيّن في محلّ لمعنى، إنّما يمكنه العلم باطّراده إذا حصل له العلم بجميع ما عدا ذلك المحلّ الّذي</w:t>
      </w:r>
      <w:r>
        <w:rPr>
          <w:rStyle w:val="FootnoteAnchor"/>
          <w:rtl w:val="true"/>
        </w:rPr>
        <w:footnoteReference w:id="454"/>
      </w:r>
      <w:r>
        <w:rPr>
          <w:rFonts w:ascii="Amiri" w:hAnsi="Amiri" w:eastAsia="Amiri" w:cs="Amiri"/>
          <w:color w:val="111111"/>
          <w:sz w:val="28"/>
          <w:sz w:val="28"/>
          <w:szCs w:val="28"/>
          <w:rtl w:val="true"/>
          <w:lang w:bidi="ar-SA"/>
        </w:rPr>
        <w:t>وجد فيه ذلك المعنى، وعدم إمكانه غير خفيّ، إذ كلّ ما ظهر عليه من ذلك يحتمل في نظره أن يوجد غير ذلك أيضًا، فلعلّه لم يصحّ الاستعمال في ذلك، فلا يحصل له العلم بالاطّراد، وهو شرط للعلم بالوضع، فينتفي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تسليم أنّ المراد صحّة استعماله في جميع ما عدا ذلك المحلّ الّذي تحقّق فيه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الإيراد إنّما يتوجّه إذا أريد الاستعمال في الجميع بالفعل، وليس الأمر كذلك، بل المراد العلم بصحّة الاستعمال في الجميع بالقوّة،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ذلك، وهو غير متوقّف على استقصاء جميع ذلك؛ لوضوح إمكانه فيما إذا اطّلع على كثير من موارد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الظنّ بالاطّراد أيضًا كافٍ في المقام، على ما سبق إليه في التبادر الكلام</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3520049_1280447820"/>
      <w:bookmarkStart w:id="636" w:name="_Toc243"/>
      <w:bookmarkEnd w:id="635"/>
      <w:r>
        <w:rPr>
          <w:rtl w:val="true"/>
        </w:rPr>
        <w:t>الوجه الثالث</w:t>
      </w:r>
      <w:bookmarkEnd w:id="63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تقدّم في وجه دلالة الاطّراد على الحقيقة غير تامّ؛ لأنّ العلم بصحّة استعمال اللفظ في جميع الموارد إنّما يستلزم الوضع إذا انحصر الطريق في الوضع، وهو إنّما يكون إذا وجب تخلّف الاستعمال عن</w:t>
      </w:r>
      <w:r>
        <w:rPr>
          <w:rStyle w:val="FootnoteAnchor"/>
          <w:rtl w:val="true"/>
        </w:rPr>
        <w:footnoteReference w:id="455"/>
      </w:r>
      <w:r>
        <w:rPr>
          <w:rFonts w:ascii="Amiri" w:hAnsi="Amiri" w:eastAsia="Amiri" w:cs="Amiri"/>
          <w:color w:val="111111"/>
          <w:sz w:val="28"/>
          <w:sz w:val="28"/>
          <w:szCs w:val="28"/>
          <w:rtl w:val="true"/>
          <w:lang w:bidi="ar-SA"/>
        </w:rPr>
        <w:t>العلاقة، وهو ممنوع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 الاستعمال عن العلاقة لا يخلو من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واجب، أو ممتنع، أو جائز، وما تقدّم من استلزام العلم بصحّة الاستعمال في جميع الموارد العلمَ بالوضع إنّما يتمّ على الأوّل، وأمّا على الأخيرين فلا،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فتحقيق الحقّ في المطلب موقوفٌ على نقل الكلام في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تخلّف الاستعمال عن العلاقة إنّما يكون إذا منع الواضع من الاستعمال في بعض الموارد مع تحقّق العلاقة فيه، أو يكون إذنه في الاستعمال مع العلاقة مختصًّا ببعض ما وجدت فيه دون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لم يصحّ الاستعمال في الجميع، أمّا على الأوّل فظاهر، وأمّا على الثاني فلأنّ صحّة الاستعمال مشروطة بإذن الواضع فيه، والمفروض انتفائه، فحينئذٍ يكون العلم بصحّة الاستعمال في الجميع مستلزمًا للعلم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الأمر ليس كذلك؛ لأنّ القائلين بعدم اشتراط نقل الآحاد يدّعون ثبوت الإذن مع العلاقة مطلقًا، وذلك إمّا بالنسبة إلى جميع أنواع العلائق، أو بعضها، وعلى الأوّل يكون التخلّف ممتنعًا، وعلى الثاني جائزًا، وأيّ منهما كان لا وجه للاستدلال بصحّة الاستعمال في جميع الموارد على الوضع، فجعل الاطّراد دليلًا على الحقيقة فاسد، لكن دعوى الامتناع أيضًا فاسدة، وإلّا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لجعل عدم الاطّراد دليلًا على المجازيّة، إذ عدم الاطّراد بناءً عليه غير متصوّر، فتعيّن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القول بعدم اشتراط النقل في الآحاد، وأمّا بناءً عليه فيمكن الجواب أيضًا بناءً على ما مرّ، فتأمّل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لكن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الاطّراد جائز في المجازات بناءً على ما مرّ من عدم جواز إرادة وجوب تخلّف الاستعمال عن العلاقة ولا امتناعه، وواجب </w:t>
      </w:r>
      <w:bookmarkStart w:id="637" w:name="pg16214_221701"/>
    </w:p>
    <w:p>
      <w:pPr>
        <w:pStyle w:val="BookText"/>
        <w:rPr/>
      </w:pPr>
      <w:bookmarkEnd w:id="637"/>
      <w:r>
        <w:rPr>
          <w:rFonts w:ascii="Amiri" w:hAnsi="Amiri" w:eastAsia="Amiri" w:cs="Amiri"/>
          <w:color w:val="111111"/>
          <w:sz w:val="28"/>
          <w:sz w:val="28"/>
          <w:szCs w:val="28"/>
          <w:rtl w:val="true"/>
          <w:lang w:bidi="ar-SA"/>
        </w:rPr>
        <w:t>في الحقائق بناءً على أنّ الوضع يمتنع معه تخلّف صحّة الاستعمال، فالحكم بكون الاطّراد دليلًا على الحقيقة إنّما يكون فاسدًا إذا كان المراد به مطلق الاطّراد، وأمّا إذا كان المراد به الاطّراد الواجب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فاسد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الجاهل بالاصطلاح بعد التصفّح في محاورات أربابه، الّذي يظهر عليه مطلق الاطّراد، وأمّا أنّه من القسم الواجب فلا كما لا يخفى؛ لتجويزه ذلك أن يكون من القسم الآخر، فلا يمكنه الحكم به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بكون الاطّراد من الاطّراد الواجب يتوقّف على العلم بالوضع، والمفروض أنّ العلم بالوضع يتوقّف عليه، فيلزم الدور</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3520051_1280447820"/>
      <w:bookmarkStart w:id="639" w:name="_Toc244"/>
      <w:bookmarkEnd w:id="638"/>
      <w:r>
        <w:rPr>
          <w:rtl w:val="true"/>
        </w:rPr>
        <w:t>في دلالة عدم الاطّراد على المجاز</w:t>
      </w:r>
      <w:bookmarkEnd w:id="639"/>
    </w:p>
    <w:p>
      <w:pPr>
        <w:pStyle w:val="Heading5"/>
        <w:numPr>
          <w:ilvl w:val="4"/>
          <w:numId w:val="1"/>
        </w:numPr>
        <w:rPr/>
      </w:pPr>
      <w:bookmarkStart w:id="640" w:name="__RefHeading___Toc3520053_1280447820"/>
      <w:bookmarkStart w:id="641" w:name="_Toc245"/>
      <w:bookmarkEnd w:id="640"/>
      <w:r>
        <w:rPr>
          <w:rtl w:val="true"/>
        </w:rPr>
        <w:t>اشارة</w:t>
      </w:r>
      <w:bookmarkEnd w:id="64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بالنسبة إلى الاطّراد وعدم دلالته على الحقيقة؛ وأمّا دلالة عدم الاطّراد على المجازيّة؛ فلأنّ ذلك المعنى الغير المطّرد</w:t>
      </w:r>
      <w:r>
        <w:rPr>
          <w:rStyle w:val="FootnoteAnchor"/>
          <w:rtl w:val="true"/>
        </w:rPr>
        <w:footnoteReference w:id="456"/>
      </w:r>
      <w:r>
        <w:rPr>
          <w:rFonts w:ascii="Amiri" w:hAnsi="Amiri" w:eastAsia="Amiri" w:cs="Amiri"/>
          <w:color w:val="111111"/>
          <w:sz w:val="28"/>
          <w:sz w:val="28"/>
          <w:szCs w:val="28"/>
          <w:rtl w:val="true"/>
          <w:lang w:bidi="ar-SA"/>
        </w:rPr>
        <w:t>لو لم يكن مجازيًّا، لكان موضوعًا له؛ والتالي باطل، فالمقدّم مثله، والملازمة بيّنة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642" w:name="pg16214_221702"/>
    </w:p>
    <w:p>
      <w:pPr>
        <w:pStyle w:val="BookText"/>
        <w:rPr/>
      </w:pPr>
      <w:bookmarkEnd w:id="642"/>
      <w:r>
        <w:rPr>
          <w:rFonts w:ascii="Amiri" w:hAnsi="Amiri" w:eastAsia="Amiri" w:cs="Amiri"/>
          <w:color w:val="111111"/>
          <w:sz w:val="28"/>
          <w:sz w:val="28"/>
          <w:szCs w:val="28"/>
          <w:rtl w:val="true"/>
          <w:lang w:bidi="ar-SA"/>
        </w:rPr>
        <w:t>أمّا بطلان التالي فلما عرفت من استلزام الوضع إذنَ الواضع في الاستعمال، فيمتنع تخلّف صحّة الاستعمال عنه، فيلزمه صحّة الاستعمال في كلّ ما تحقّق فيه ذلك المعنى؛ ولمّا لم يصحّ ذلك علم أنّه لم يكن موضوعًا له، بل يكون علاقة مصحّحة للتجوّز في ذلك المورد، وقد عرفت جواز تخلّف الاستعمال عن العلاقة، بناءً على أنّها بنفسها غير كافية لصحّة الاستعمال، بل مع إذن الواضع فيه، فيجوز اقترانها بالإذن في مورد دون آخر</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3520055_1280447820"/>
      <w:bookmarkStart w:id="644" w:name="_Toc246"/>
      <w:bookmarkEnd w:id="643"/>
      <w:r>
        <w:rPr>
          <w:rtl w:val="true"/>
        </w:rPr>
        <w:t>الإيراد الأوّل</w:t>
      </w:r>
      <w:bookmarkEnd w:id="644"/>
    </w:p>
    <w:p>
      <w:pPr>
        <w:pStyle w:val="Heading6"/>
        <w:numPr>
          <w:ilvl w:val="5"/>
          <w:numId w:val="1"/>
        </w:numPr>
        <w:rPr/>
      </w:pPr>
      <w:bookmarkStart w:id="645" w:name="__RefHeading___Toc3520057_1280447820"/>
      <w:bookmarkStart w:id="646" w:name="_Toc247"/>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وفيه نظر أيضًا،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من المعنى الّذي يكون عدم الاطّراد دليلًا على كونه من المعاني المجازيّة، إمّا</w:t>
      </w:r>
      <w:r>
        <w:rPr>
          <w:rStyle w:val="FootnoteAnchor"/>
          <w:rtl w:val="true"/>
        </w:rPr>
        <w:footnoteReference w:id="458"/>
      </w:r>
      <w:r>
        <w:rPr>
          <w:rFonts w:ascii="Amiri" w:hAnsi="Amiri" w:eastAsia="Amiri" w:cs="Amiri"/>
          <w:color w:val="111111"/>
          <w:sz w:val="28"/>
          <w:sz w:val="28"/>
          <w:szCs w:val="28"/>
          <w:rtl w:val="true"/>
          <w:lang w:bidi="ar-SA"/>
        </w:rPr>
        <w:t>أن يكون المعنى الّذي قد استعمل اللفظ فيه، أو المعنى القائم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فاسد قطعًا؛ لوضوح أنّ الكلام فيما استعمل فيه اللفظ، لا فيما قام بالمستعمل فيه،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يلزم من عدم الاطّراد بناءً على ما ذكر أنّ ذلك اللفظ لم يكن موضوعًا لكلّ ما قام به ذلك المعنى، وهو لا يلزم انتفاء مطلق الوضع حتّى يكون اللفظ في ذلك المورد مجازًا؛ لأنّ نفي الأخصّ غير مستلزم لنفي الأعمّ، فلِمَ لا يجوز أن يكون موضوعًا لبعض ما قام به 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الاستعمال في غير ذلك البعض غير مضرّ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استعمال اللفظ المستعمل في محلّ لقيام معنى به في كلّما قام به ذلك المعنى، يكون دليلًا على كونه موضوعًا لمطلق ما قام به ذلك </w:t>
      </w:r>
      <w:bookmarkStart w:id="647" w:name="pg16214_221703"/>
    </w:p>
    <w:p>
      <w:pPr>
        <w:pStyle w:val="BookText"/>
        <w:rPr/>
      </w:pPr>
      <w:bookmarkEnd w:id="647"/>
      <w:r>
        <w:rPr>
          <w:rFonts w:ascii="Amiri" w:hAnsi="Amiri" w:eastAsia="Amiri" w:cs="Amiri"/>
          <w:color w:val="111111"/>
          <w:sz w:val="28"/>
          <w:sz w:val="28"/>
          <w:szCs w:val="28"/>
          <w:rtl w:val="true"/>
          <w:lang w:bidi="ar-SA"/>
        </w:rPr>
        <w:t>المعنى على فرض تسليمه</w:t>
      </w:r>
      <w:r>
        <w:rPr>
          <w:rStyle w:val="FootnoteAnchor"/>
          <w:rtl w:val="true"/>
        </w:rPr>
        <w:footnoteReference w:id="459"/>
      </w:r>
      <w:r>
        <w:rPr>
          <w:rFonts w:ascii="Amiri" w:hAnsi="Amiri" w:eastAsia="Amiri" w:cs="Amiri"/>
          <w:color w:val="111111"/>
          <w:sz w:val="28"/>
          <w:sz w:val="28"/>
          <w:szCs w:val="28"/>
          <w:rtl w:val="true"/>
          <w:lang w:bidi="ar-SA"/>
        </w:rPr>
        <w:t>وعدم استعماله في كلّ ما قام به المعنى، يدلّ على عدم كونه موضوعًا لكلّ ما قام به وعلى عدم كونه موضوعًا لخصوص ما لم يصحّ فيه الاستعمال ممّا قام به ذلك المعنى، لكن لا يعلم منه عدم وضعه لخصوص ما استعمل فيه؛ لجواز أن يكون موضوعًا لخصوص ذلك المورد، فغاية ما يعلم من عدم جواز استعماله في غيره عدم وضعه له، لا عدم وضعه فيما صحّ استعماله فيه، فلا يكون عدم الاطّراد دليلًا على المجازيّة</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3520059_1280447820"/>
      <w:bookmarkStart w:id="649" w:name="_Toc248"/>
      <w:bookmarkEnd w:id="648"/>
      <w:r>
        <w:rPr>
          <w:rtl w:val="true"/>
        </w:rPr>
        <w:t>الجواب عن الإيراد الأوّل</w:t>
      </w:r>
      <w:bookmarkEnd w:id="649"/>
    </w:p>
    <w:p>
      <w:pPr>
        <w:pStyle w:val="BookText"/>
        <w:rPr/>
      </w:pPr>
      <w:r>
        <w:rPr>
          <w:rFonts w:ascii="Amiri" w:hAnsi="Amiri" w:eastAsia="Amiri" w:cs="Amiri"/>
          <w:color w:val="111111"/>
          <w:sz w:val="28"/>
          <w:sz w:val="28"/>
          <w:szCs w:val="28"/>
          <w:rtl w:val="true"/>
          <w:lang w:bidi="ar-SA"/>
        </w:rPr>
        <w:t>ويمكن الجواب عنه بأنّ هذا إنّما يتوجّه فيما إذا جعل عدم الاطّراد دليلًا على انتفاء قسمي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 والنوعيّ، أو الشخصيّ فقط، وأمّا إذا لم يتمسّك به إلّا في الألفاظ الّتي يكون الوضع فيها نوعيًّا فلا، إذ لا يحتمل حينئذٍ أن يكون موضوعًا لخصوص ذلك المحلّ، بل الاحتمال حينئذٍ مردّد بين الوضع للجميع أو عدمه كذلك، فحينئذٍ ثبوت الوضع في البعض يستلزم ثبوته في الكلّ، فيلزمه صحّة الاستعمال في الجميع، وعدم ثبوته في البعض يستلزم عدم ثبوته في الكلّ، والمفروض أنّه لم يصحّ الاستعمال في البعض، فيعلم منه عدم الوضع له؛ لعدم جواز التخلّف عن الوضع، فيلزمه عدم الوضع في الكلّ، فثبت مجازيّته في ذلك المورد، وهو المطلوب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طائل في هذا التطويل؛ لأنّ المقصود أنّ عدم الاطّراد دليل المجازيّة، ولا يلزم ممّا ذكر إلّا نفي الوضع النوعيّ، ولا يلزم منه انتفاء مطلق الوضع؛ لأنّ </w:t>
      </w:r>
    </w:p>
    <w:p>
      <w:pPr>
        <w:pStyle w:val="BookText"/>
        <w:rPr/>
      </w:pPr>
      <w:r>
        <w:rPr>
          <w:rFonts w:ascii="Amiri" w:hAnsi="Amiri" w:eastAsia="Amiri" w:cs="Amiri"/>
          <w:color w:val="111111"/>
          <w:sz w:val="28"/>
          <w:sz w:val="28"/>
          <w:szCs w:val="28"/>
          <w:rtl w:val="true"/>
          <w:lang w:bidi="ar-SA"/>
        </w:rPr>
        <w:t>نفي الأخصّ لا يستلزم نفي الأعمّ، فلا تثبت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ذكرنا آنفًا أنّ التمسّك بعدم الاطّراد في الألفاظ الّتي يكون الوضع فيها نوعيًّا، فلا يحتمل الوضع الشخصيّ فيها؛ وحيث قد انتفى احتمال الوضع النوعيّ، ثبت انتفاء مطلق الوضع، فيثبت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بكون الوضع في اللفظ نوعيًّا لا يمكن إلّا مع العلم بوضعه، فحينئذٍ لا حاجة إلى التمسّك بالعلامة؛ لما تقدّم مرارًا من أنّ الافتقار إليها إنّما هو للجاهل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بكون اللفظ موضوعًا بالوضع النوعيّ، لا يستلزم العلم بكون المستعمل فيه موضوعًا له، والتمسّك بالعلامة لاستعلام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بالوضع غير العلم بالموضوع له،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بكون الوضع في الأفعال والصفات والمثنّى والمجموع والمصغّر والمنسوب ونحوها نوعيًّا متحقّقٌ مطلقًا وإن كان جاهلًا بالاصطلاح؛ وإنّما جهله بالموضوع له بالوضع النوعيّ لهذه الألفاظ بأنّه هل هو المعنى الّذي علم استعمال اللفظ فيه، أم غيره؟ فيكون المستعمل فيه من المعاني المجازيّة، فالتمسّك بعدم الاطّراد لتعيين ذلك بناءً على أنّ عدم الاطّراد ينافي ثبوت الوضع النوعيّ بالنسبة إلى ذلك المعنى على ما تقدّم، فتثبت المجازيّة لعدم احتمال الوضع الشخصيّ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وجه لاختصاص هذه العلامة بما يكون الوضع فيه نوعيًّا؛ لأنّ الوضع الشخصيّ قد يكون الوضع فيه عامًّا وكذلك الموضوع له، كالإنسان والفرس والبقر ونحوها، فعلى هذا كون خصوص المورد موضوعًا له غير محتمل، فعدم الاطّراد دليل على المجازيّة فيه أيضًا</w:t>
      </w:r>
      <w:r>
        <w:rPr>
          <w:rFonts w:eastAsia="Amiri" w:cs="Amiri" w:ascii="Amiri" w:hAnsi="Amiri"/>
          <w:color w:val="111111"/>
          <w:sz w:val="28"/>
          <w:szCs w:val="28"/>
          <w:rtl w:val="true"/>
          <w:lang w:bidi="ar-SA"/>
        </w:rPr>
        <w:t xml:space="preserve">. </w:t>
      </w:r>
      <w:bookmarkStart w:id="650" w:name="pg16214_221705"/>
    </w:p>
    <w:p>
      <w:pPr>
        <w:pStyle w:val="BookText"/>
        <w:rPr/>
      </w:pPr>
      <w:bookmarkEnd w:id="650"/>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وإن كان كذلك، لكن لمّا كان الوضع الشخصيّ غير مستلزم لأن يكون الوضع والموضوع له فيه عامًّا، إذ قد يكون كلاهما خاصًّا، فيحتمل في نظر الجاهل كون الوضع في اللفظ الموضوع بالشخصيّ من ذلك، فلا يدلّ عدم الاطّراد على المجازيّة،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 ما يتمسّك فيه بعدم الاطّراد بما يكون الوضع فيه نوعيًّا، ينافي تمثيلهم لذلك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الْقَرْيَةَ</w:t>
      </w:r>
      <w:r>
        <w:rPr>
          <w:rStyle w:val="FootnoteAnchor"/>
          <w:rtl w:val="true"/>
        </w:rPr>
        <w:footnoteReference w:id="460"/>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 البساط</w:t>
      </w:r>
      <w:r>
        <w:rPr>
          <w:rFonts w:eastAsia="IRNazanin" w:cs="IRNazanin"/>
          <w:color w:val="111111"/>
          <w:sz w:val="28"/>
          <w:szCs w:val="28"/>
          <w:rtl w:val="true"/>
          <w:lang w:bidi="fa-IR"/>
        </w:rPr>
        <w:t>»</w:t>
      </w:r>
      <w:r>
        <w:rPr>
          <w:rStyle w:val="FootnoteAnchor"/>
          <w:rtl w:val="true"/>
        </w:rPr>
        <w:footnoteReference w:id="461"/>
      </w:r>
      <w:r>
        <w:rPr>
          <w:rFonts w:ascii="Amiri" w:hAnsi="Amiri" w:eastAsia="Amiri" w:cs="Amiri"/>
          <w:color w:val="111111"/>
          <w:sz w:val="28"/>
          <w:sz w:val="28"/>
          <w:szCs w:val="28"/>
          <w:rtl w:val="true"/>
          <w:lang w:bidi="ar-SA"/>
        </w:rPr>
        <w:t>لكون</w:t>
      </w:r>
      <w:r>
        <w:rPr>
          <w:rStyle w:val="FootnoteAnchor"/>
          <w:rtl w:val="true"/>
        </w:rPr>
        <w:footnoteReference w:id="462"/>
      </w:r>
      <w:r>
        <w:rPr>
          <w:rFonts w:ascii="Amiri" w:hAnsi="Amiri" w:eastAsia="Amiri" w:cs="Amiri"/>
          <w:color w:val="111111"/>
          <w:sz w:val="28"/>
          <w:sz w:val="28"/>
          <w:szCs w:val="28"/>
          <w:rtl w:val="true"/>
          <w:lang w:bidi="ar-SA"/>
        </w:rPr>
        <w:t>الوضع فيه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إنّما يكون شخصيًّا بالنسبة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عرفت الحال فيهما، وأنّه لا بدّ أن يكون المراد بالتمثيل فيهما إمّا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الهيئة التركيبيّة، وأيّ منهما كان فالوضع فيه نوعيّ، وعلى تسليم أن يكون التمثيل في المقام بما يكون الوضع فيه شخصيًّا، ينبغي أن يكون ذلك لمحض التمثيل، فلا يلزم التطبيق</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3520061_1280447820"/>
      <w:bookmarkStart w:id="652" w:name="_Toc249"/>
      <w:bookmarkEnd w:id="651"/>
      <w:r>
        <w:rPr>
          <w:rtl w:val="true"/>
        </w:rPr>
        <w:t>الإيراد الثاني</w:t>
      </w:r>
      <w:bookmarkEnd w:id="652"/>
    </w:p>
    <w:p>
      <w:pPr>
        <w:pStyle w:val="Heading6"/>
        <w:numPr>
          <w:ilvl w:val="5"/>
          <w:numId w:val="1"/>
        </w:numPr>
        <w:rPr/>
      </w:pPr>
      <w:bookmarkStart w:id="653" w:name="__RefHeading___Toc3520063_1280447820"/>
      <w:bookmarkStart w:id="654" w:name="_Toc250"/>
      <w:bookmarkEnd w:id="653"/>
      <w:r>
        <w:rPr>
          <w:rtl w:val="true"/>
        </w:rPr>
        <w:t>اشارة</w:t>
      </w:r>
      <w:bookmarkEnd w:id="65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فلأنّك قد عرفت مرارًا اعتبار الاطّراد في الخاصّة، 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الاطّراد لو كان دليلًا على المجاز، لزم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الجواد </w:t>
      </w:r>
      <w:bookmarkStart w:id="655" w:name="pg16214_221706"/>
    </w:p>
    <w:p>
      <w:pPr>
        <w:pStyle w:val="BookText"/>
        <w:rPr/>
      </w:pPr>
      <w:bookmarkEnd w:id="655"/>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الزجاج مجازًا، والتالي باطل، فالمقدّم مثله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فلأنّهما قد استعملا في غير الله تعالى لتحقّق الجود والعلم فيه، والله سبحانه جواد وعالم في أعلى مراتب الجود والعلم مع عدم صحّة استعمالهما فيه سبحانه، وأمّا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إنّما تطلق على المقرّ المتّخذ من الزجاج، لتقرّر الشيء فيه، والدنّ والكوز ونحوهما ممّا يستقرّ فيه الشيء، مع عدم تسمية شيء منها قارورة، وأمّا بطلان التالي فظاهر</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3520065_1280447820"/>
      <w:bookmarkStart w:id="657" w:name="_Toc251"/>
      <w:bookmarkEnd w:id="656"/>
      <w:r>
        <w:rPr>
          <w:rtl w:val="true"/>
        </w:rPr>
        <w:t>الجواب عن الإيراد الثاني</w:t>
      </w:r>
      <w:bookmarkEnd w:id="657"/>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أنّ الإيراد إمّا بالنظر إلى المعنى اللغويّ واستعمال أهل اللغة، أو بالنظر إلى المعنى العرفيّ واستعمالهم، وعلى التقديرين لا ورود 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الأوّل؛ فلأنّا لا نسلّم عدم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الأشياء المذكورة في اللغة؛ وأمّا على الثاني فهو وإن كان مسلّمًا، لكن لا نسلّم 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العرف على المقرّ المتّخذ من الزجاج لاستقرار الشيء فيه بحيث يكون ذلك عند الإطلاق ملحوظًا، بل الظاهر أنّه من المنقولات التعيّنيّة الّتي قد صارت متعيّنة لبعض مدلولاته اللغويّة بسبب الغلبة والكثرة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لذلك المعنى وإن كان مسلّمًا في اللغة، لكن عدم الاطّراد ممنوع، وفي العرف وإن كان مسلّمًا، لكن كون الإطلاق لذلك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قيل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في اللغة للجواد الّذي من شأنه البخل،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الّذي من شأنه الجهل، ولذا لا يطلقان على الله تعالى، فهما مطّردان في معنييهما</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عدم تسميته تعالى سخيًّا وفاضلًا للمنع الشرعيّ؛ لأنّ</w:t>
      </w:r>
      <w:r>
        <w:rPr>
          <w:rStyle w:val="FootnoteAnchor"/>
          <w:rtl w:val="true"/>
        </w:rPr>
        <w:footnoteReference w:id="465"/>
      </w:r>
      <w:r>
        <w:rPr>
          <w:rFonts w:ascii="Amiri" w:hAnsi="Amiri" w:eastAsia="Amiri" w:cs="Amiri"/>
          <w:color w:val="111111"/>
          <w:sz w:val="28"/>
          <w:sz w:val="28"/>
          <w:szCs w:val="28"/>
          <w:rtl w:val="true"/>
          <w:lang w:bidi="ar-SA"/>
        </w:rPr>
        <w:t>أسماءه تعالى توقيفيّة</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الاطّراد من الأمور الممكنة، فعدمه إمّا لعدم وجود مقتضيه، بناءً على أنّ عدم العلّة علّة لعدم المعلول</w:t>
      </w:r>
      <w:r>
        <w:rPr>
          <w:rStyle w:val="FootnoteAnchor"/>
          <w:rtl w:val="true"/>
        </w:rPr>
        <w:footnoteReference w:id="467"/>
      </w:r>
      <w:r>
        <w:rPr>
          <w:rFonts w:ascii="Amiri" w:hAnsi="Amiri" w:eastAsia="Amiri" w:cs="Amiri"/>
          <w:color w:val="111111"/>
          <w:sz w:val="28"/>
          <w:sz w:val="28"/>
          <w:szCs w:val="28"/>
          <w:rtl w:val="true"/>
          <w:lang w:bidi="ar-SA"/>
        </w:rPr>
        <w:t>، أو لمانع من ذلك مع وجود مقتضيه، والإيراد إنّما يتوجّه إذا قلنا بأنّ عدم الاطّراد مطلقًا دليل على المجاز، وليس الأمر كذلك، بل الّذي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علامة المجاز هو الّذي يكون لعدم وجود مقتضيه، وعدم الاطّراد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هذا القبيل، بل للمانع عنه مع تحقّق المقتضي، فالّذي جعلناه دليلًا على المجاز لم يوجد فيهما، وما وجد فيهما لم نجعله</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من ذلك، فاندفع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w:t>
      </w:r>
      <w:r>
        <w:rPr>
          <w:rStyle w:val="FootnoteAnchor"/>
          <w:rtl w:val="true"/>
        </w:rPr>
        <w:footnoteReference w:id="469"/>
      </w:r>
      <w:r>
        <w:rPr>
          <w:rFonts w:ascii="Amiri" w:hAnsi="Amiri" w:eastAsia="Amiri" w:cs="Amiri"/>
          <w:color w:val="111111"/>
          <w:sz w:val="28"/>
          <w:sz w:val="28"/>
          <w:szCs w:val="28"/>
          <w:rtl w:val="true"/>
          <w:lang w:bidi="ar-SA"/>
        </w:rPr>
        <w:t>على ذلك باستلزامه الدور،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المقتضي للاطّراد إمّا الوضع، أو العلاقة، والثاني فاسد؛ لما تقدّم من إمكان التخلّف عنها، بل وقوعه؛ ولأنّ جعل عدم الاطّراد دليلًا على المجاز مبنيّ على ذلك كما لا يخفى، فانحصر المقتضي في الأوّل</w:t>
      </w:r>
      <w:r>
        <w:rPr>
          <w:rStyle w:val="FootnoteAnchor"/>
          <w:rtl w:val="true"/>
        </w:rPr>
        <w:footnoteReference w:id="470"/>
      </w:r>
      <w:r>
        <w:rPr>
          <w:rFonts w:ascii="Amiri" w:hAnsi="Amiri" w:eastAsia="Amiri" w:cs="Amiri"/>
          <w:color w:val="111111"/>
          <w:sz w:val="28"/>
          <w:sz w:val="28"/>
          <w:szCs w:val="28"/>
          <w:rtl w:val="true"/>
          <w:lang w:bidi="ar-SA"/>
        </w:rPr>
        <w:t>، فعدمه إمّا لعدم مقتضيه، أو لوجود المانع مع وجوده؛ ولمّا جعل الدليل على المجاز ما كان لعدم وجود المقتضي دون ما كان للمانع،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بعدم الاطّراد حينئذٍ لإثبات المجازيّة موقوفٌ على العلم بعدم الوضع، والمفروض أنّ العلم بعدم الوضع موقوف على العلم بعدم الاطّراد، فيلزم توقّف الشيء على نفسه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التخلّص عن ذلك بما تخلّصنا عن الدور في التبادر،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الدور إنّما يلزم إذا كان العالم في المقامين واحدًا، وليس الأمر كذلك؛ لأنّ علم الجاهل باصطلاح قوم بعدم الوضع متوقّفٌ على علمه بعدم اطّراد اللفظ فيما بينهم، وعدم اطّراده فيما بينهم ليس متوقّفًا على علم الجاهل بعدم الوضع حتّى يلزم الدور، بل على علمهم بذلك، فاللازم توقّف علم الجاهل بعدم الوضع على علم أرباب </w:t>
      </w:r>
    </w:p>
    <w:p>
      <w:pPr>
        <w:pStyle w:val="BookText"/>
        <w:rPr/>
      </w:pPr>
      <w:r>
        <w:rPr>
          <w:rFonts w:ascii="Amiri" w:hAnsi="Amiri" w:eastAsia="Amiri" w:cs="Amiri"/>
          <w:color w:val="111111"/>
          <w:sz w:val="28"/>
          <w:sz w:val="28"/>
          <w:szCs w:val="28"/>
          <w:rtl w:val="true"/>
          <w:lang w:bidi="ar-SA"/>
        </w:rPr>
        <w:t>الاصطلاح به، ولا استحالة في ذلك؛ لأنّه ليس بدور أصلًا؛ لاختلاف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الإيراد من وجه آخر، وهو أنّ عدم الاطّراد على هذا كما يكون باعتبار عدم المقتضي الّذي هو الوضع، كذا يكون باعتبار تحقّق المانع مع وجوده، فالجاهل بالاصطلاح إذا تصفّح محاورات أربابه وظهر له عدم اطّراد لفظ بالنسبة إلى معنى معيّن لا يمكنه الاستدلال به على المجازيّة؛ لجواز أن يكون ذلك لأجل المانع مع تحقّق الوضع، إذ لا دلالة للعامّ على الخاصّ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الإيراد المذكور إنّما يكون منشأً لطرح هذه العلامة بالكلّيّة إذا أمكن منع الواضع عن استعمال اللفظ في المعنى الّذي وضعه له، وهو غير معقول، فانحصر المقتضي لعدم الاطّراد في اللغة والعرف في عدم الوضع بالنسبة إلى الواضع،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عدم الاطّراد عدم الوضع،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ذلك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اللفظ لمعنى يستلزم الإذن في استعماله فيه، ومع ذلك جواز منعه عنه يستلزم التناقض؛ لأنّه في قوّة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راضٍ بالاستعمال وغير راضٍ به، أو صحّ الاستعمال ولم يصحّ، فمنع الواضع عن صحّة استعمال اللفظ مع وضعه غير معقول، فالمقتضي لعدم الاطّراد بالنسبة إليه منحصرٌ في عدم الوضع، فتأمّل</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يتحقّق المنع من غير ذلك الواضع، وذلك يقتضي عدم صحّة الاستعمال بالنسبة إلى المانع، لا الواضع</w:t>
      </w:r>
      <w:r>
        <w:rPr>
          <w:rFonts w:eastAsia="Amiri" w:cs="Amiri" w:ascii="Amiri" w:hAnsi="Amiri"/>
          <w:color w:val="111111"/>
          <w:sz w:val="28"/>
          <w:szCs w:val="28"/>
          <w:rtl w:val="true"/>
          <w:lang w:bidi="ar-SA"/>
        </w:rPr>
        <w:t xml:space="preserve">. </w:t>
      </w:r>
      <w:bookmarkStart w:id="658" w:name="pg16214_221710"/>
    </w:p>
    <w:p>
      <w:pPr>
        <w:pStyle w:val="BookText"/>
        <w:rPr/>
      </w:pPr>
      <w:bookmarkEnd w:id="658"/>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ذلك، لكنّه لا يكفي لدفع الإيراد؛ إذ غاية ما يترتّب عليه فيما تحقّق فيه عدم الاطّراد علم الجاهل بعدم استناده إلى منع الواضع لو كان المعنى موضوعًا له عنده، لكنّه غير كافٍ عنده في الحكم بالمجازيّة؛ لاحتمال أن يكون المعنى موضوعًا له عنده وعدم الاطّراد لأجل منع الغير،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في كثير من المقام غير محتمل؛ لوضوح أنّ منع الغير لا يوجب طرح أهل الاصطلاح أوضاع ألفاظهم ومقتضاها، إلّا أن يكون المانع ممّن يجب متابعته كالشارع، واحتمال منعه في جميع المقام غير قائم أيضًا، إلّا فيما يكون منصب الشارع بيانه، كإطلاق الاسم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أنّ هذا الإيراد الّذي لم يتطرّق إليه أقلام الأقوام، لا يوجب طرح هذه العلامة بالمرّة، إذ في ذلك المقام الّذي لم يتطرّق إليه هذا الاحتمال قد تحقّق فيه عدم الاطّراد؛ وذلك إمّا فيما وضع له مع منع الواضع، أو في غير الموضوع له، والأوّل فاسد كما عرفت، فتعيّن الثاني وهو المطلوب، فتأمّل؛ بل الاحتمال المذكور في الاصطلاحات الخاصّة غير متطرّق أصلًا، كما لا يخفى</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3520067_1280447820"/>
      <w:bookmarkStart w:id="660" w:name="_Toc252"/>
      <w:bookmarkEnd w:id="659"/>
      <w:r>
        <w:rPr>
          <w:rtl w:val="true"/>
        </w:rPr>
        <w:t>في بيان عدم الاطّراد في</w:t>
      </w:r>
      <w:r>
        <w:rPr>
          <w:rtl w:val="true"/>
        </w:rPr>
        <w:t xml:space="preserve">: </w:t>
      </w:r>
      <w:r>
        <w:rPr>
          <w:rtl w:val="true"/>
        </w:rPr>
        <w:t>وَاسْأَلِ الْقَرْيَةَ</w:t>
      </w:r>
      <w:bookmarkEnd w:id="660"/>
    </w:p>
    <w:p>
      <w:pPr>
        <w:pStyle w:val="BookText"/>
        <w:rPr/>
      </w:pPr>
      <w:r>
        <w:rPr>
          <w:rFonts w:ascii="Amiri" w:hAnsi="Amiri" w:eastAsia="Amiri" w:cs="Amiri"/>
          <w:color w:val="111111"/>
          <w:sz w:val="28"/>
          <w:sz w:val="28"/>
          <w:szCs w:val="28"/>
          <w:rtl w:val="true"/>
          <w:lang w:bidi="ar-SA"/>
        </w:rPr>
        <w:t>توضيح حال لكشف مقال</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اشتهر التمثيل فيما لم يتحقّق فيه الاطّراد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الْقَرْيَةَ</w:t>
      </w:r>
      <w:r>
        <w:rPr>
          <w:rStyle w:val="FootnoteAnchor"/>
          <w:rtl w:val="true"/>
        </w:rPr>
        <w:footnoteReference w:id="473"/>
      </w:r>
      <w:r>
        <w:rPr>
          <w:rFonts w:ascii="Amiri" w:hAnsi="Amiri" w:eastAsia="Amiri" w:cs="Amiri"/>
          <w:color w:val="111111"/>
          <w:sz w:val="28"/>
          <w:sz w:val="28"/>
          <w:szCs w:val="28"/>
          <w:rtl w:val="true"/>
          <w:lang w:bidi="ar-SA"/>
        </w:rPr>
        <w:t>، حيث تحقّق فيه الاستعمال؛ لوجود معنى، ولم يتحقّق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 البساط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وجود ذلك المعنى فيه، فيعلم منه أنّ استعمال اللفظ في </w:t>
      </w:r>
    </w:p>
    <w:p>
      <w:pPr>
        <w:pStyle w:val="BookText"/>
        <w:rPr/>
      </w:pPr>
      <w:r>
        <w:rPr>
          <w:rFonts w:ascii="Amiri" w:hAnsi="Amiri" w:eastAsia="Amiri" w:cs="Amiri"/>
          <w:color w:val="111111"/>
          <w:sz w:val="28"/>
          <w:sz w:val="28"/>
          <w:szCs w:val="28"/>
          <w:rtl w:val="true"/>
          <w:lang w:bidi="ar-SA"/>
        </w:rPr>
        <w:t>الأوّل على سبيل المجاز</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الكلام لا يخلو من إجمال؛ إذ فيه احتمالات ولم يعلم أيّها المراد، فينبغي التكلّم في كلّ منها لاستعلام الحال واستكشاف المقال،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اشتمل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الْقَرْيَةَعلى 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الأمر،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أن يكون المراد من اللفظ الغير المطّرد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المركّب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فتقرير المراد فيه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استعملت</w:t>
      </w:r>
      <w:r>
        <w:rPr>
          <w:rStyle w:val="FootnoteAnchor"/>
          <w:rtl w:val="true"/>
        </w:rPr>
        <w:footnoteReference w:id="475"/>
      </w:r>
      <w:r>
        <w:rPr>
          <w:rFonts w:ascii="Amiri" w:hAnsi="Amiri" w:eastAsia="Amiri" w:cs="Amiri"/>
          <w:color w:val="111111"/>
          <w:sz w:val="28"/>
          <w:sz w:val="28"/>
          <w:szCs w:val="28"/>
          <w:rtl w:val="true"/>
          <w:lang w:bidi="ar-SA"/>
        </w:rPr>
        <w:t>في الأهل لوجود</w:t>
      </w:r>
      <w:r>
        <w:rPr>
          <w:rStyle w:val="FootnoteAnchor"/>
          <w:rtl w:val="true"/>
        </w:rPr>
        <w:footnoteReference w:id="476"/>
      </w:r>
      <w:r>
        <w:rPr>
          <w:rFonts w:ascii="Amiri" w:hAnsi="Amiri" w:eastAsia="Amiri" w:cs="Amiri"/>
          <w:color w:val="111111"/>
          <w:sz w:val="28"/>
          <w:sz w:val="28"/>
          <w:szCs w:val="28"/>
          <w:rtl w:val="true"/>
          <w:lang w:bidi="ar-SA"/>
        </w:rPr>
        <w:t>معنى، وهو الحاليّة، وقد تحقّق في أهل</w:t>
      </w:r>
      <w:r>
        <w:rPr>
          <w:rStyle w:val="FootnoteAnchor"/>
          <w:rtl w:val="true"/>
        </w:rPr>
        <w:footnoteReference w:id="477"/>
      </w:r>
      <w:r>
        <w:rPr>
          <w:rFonts w:ascii="Amiri" w:hAnsi="Amiri" w:eastAsia="Amiri" w:cs="Amiri"/>
          <w:color w:val="111111"/>
          <w:sz w:val="28"/>
          <w:sz w:val="28"/>
          <w:szCs w:val="28"/>
          <w:rtl w:val="true"/>
          <w:lang w:bidi="ar-SA"/>
        </w:rPr>
        <w:t>البساط أيضًا مع انتفاء استعمال البساط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لأنّ المراد بعدم</w:t>
      </w:r>
      <w:r>
        <w:rPr>
          <w:rStyle w:val="FootnoteAnchor"/>
          <w:rtl w:val="true"/>
        </w:rPr>
        <w:footnoteReference w:id="478"/>
      </w:r>
      <w:r>
        <w:rPr>
          <w:rFonts w:ascii="Amiri" w:hAnsi="Amiri" w:eastAsia="Amiri" w:cs="Amiri"/>
          <w:color w:val="111111"/>
          <w:sz w:val="28"/>
          <w:sz w:val="28"/>
          <w:szCs w:val="28"/>
          <w:rtl w:val="true"/>
          <w:lang w:bidi="ar-SA"/>
        </w:rPr>
        <w:t xml:space="preserve">الاطّراد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يستعمل لفظ لوجود معنى في محلّ، ولا يجوز استعمال ذلك اللفظ في محلّ آخر مع وجود ذلك المعنى فيه، فاتّحاد اللفظ والمعنى وتغاير المحلّ فيه معتبر، واللفظ في الاحتمال المذكور غير متّحد،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متغايران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يجوز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لأنّه موضوع لطلب ايجاد المادّة المقترنة بهيئته من فاعل معيّن، وقد استعمل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المقامين في ذلك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فتعيّن أن يكون المراد هو الثالث، فالمقصود أنّ وَاسْأَلِ الْقَرْيَةَ قد استعمل في محلّ، أعني إيقاع السؤال على القرية؛ لوجود معنى، وهو تعلّق السؤال بأهلها، ولم يستعمل في محلّ آخر، وهو إيقاع السؤال على البساط، وإن وجد فيه ذلك، أعني تعلّق السؤال بالأهل، فحينئذٍ يكون المجاز اللفظ المركّب باعتبار معروضيّته للهيئة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يرد عليه ما ورد في الأوّل من التغاير بين اللفظين، إذ لا شبهة في المغايرة بين مجموع المركّب من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بعد ملاحظة الهيئة فلا، إذ الوضع في المركّبات باعتبار الهيئة، كما تقدّم تحقيقه في المقدّمة، والتغاير إنّما يكون بتغايرها، فتأمّل</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1" w:name="pg16214_221714"/>
      <w:bookmarkStart w:id="662" w:name="pg16214_221714"/>
      <w:bookmarkEnd w:id="662"/>
    </w:p>
    <w:p>
      <w:pPr>
        <w:pStyle w:val="Heading3"/>
        <w:numPr>
          <w:ilvl w:val="2"/>
          <w:numId w:val="1"/>
        </w:numPr>
        <w:rPr/>
      </w:pPr>
      <w:bookmarkStart w:id="663" w:name="pg16214_221714"/>
      <w:bookmarkStart w:id="664" w:name="__RefHeading___Toc3520069_1280447820"/>
      <w:bookmarkStart w:id="665" w:name="_Toc253"/>
      <w:bookmarkEnd w:id="663"/>
      <w:bookmarkEnd w:id="664"/>
      <w:r>
        <w:rPr>
          <w:rtl w:val="true"/>
        </w:rPr>
        <w:t>الفصل الخامس</w:t>
      </w:r>
      <w:r>
        <w:rPr>
          <w:rtl w:val="true"/>
        </w:rPr>
        <w:t xml:space="preserve">: </w:t>
      </w:r>
      <w:r>
        <w:rPr>
          <w:rtl w:val="true"/>
        </w:rPr>
        <w:t>في بيان الأمور الّتي زادها بعضهم في هذا المقام وجعلها علامة للمجاز</w:t>
      </w:r>
      <w:bookmarkEnd w:id="665"/>
    </w:p>
    <w:p>
      <w:pPr>
        <w:pStyle w:val="Heading4"/>
        <w:numPr>
          <w:ilvl w:val="3"/>
          <w:numId w:val="1"/>
        </w:numPr>
        <w:rPr/>
      </w:pPr>
      <w:bookmarkStart w:id="666" w:name="__RefHeading___Toc3520071_1280447820"/>
      <w:bookmarkStart w:id="667" w:name="_Toc254"/>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وهي ثلاثة</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3520073_1280447820"/>
      <w:bookmarkStart w:id="669" w:name="_Toc255"/>
      <w:bookmarkEnd w:id="668"/>
      <w:r>
        <w:rPr>
          <w:rtl w:val="true"/>
        </w:rPr>
        <w:t>الأمر الأوّل</w:t>
      </w:r>
      <w:r>
        <w:rPr>
          <w:rtl w:val="true"/>
        </w:rPr>
        <w:t xml:space="preserve">: </w:t>
      </w:r>
      <w:r>
        <w:rPr>
          <w:rtl w:val="true"/>
        </w:rPr>
        <w:t>جمعُ اللفظ على صيغة مخالفة لجمع حقيقته دليلُ المجاز</w:t>
      </w:r>
      <w:bookmarkEnd w:id="669"/>
    </w:p>
    <w:p>
      <w:pPr>
        <w:pStyle w:val="Heading5"/>
        <w:numPr>
          <w:ilvl w:val="4"/>
          <w:numId w:val="1"/>
        </w:numPr>
        <w:rPr/>
      </w:pPr>
      <w:bookmarkStart w:id="670" w:name="__RefHeading___Toc3520075_1280447820"/>
      <w:bookmarkStart w:id="671" w:name="_Toc256"/>
      <w:bookmarkEnd w:id="670"/>
      <w:r>
        <w:rPr>
          <w:rtl w:val="true"/>
        </w:rPr>
        <w:t>اشارة</w:t>
      </w:r>
      <w:bookmarkEnd w:id="67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اللفظ على صيغة مخالفة لصيغة جمع حقيقته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اللفظ إذا علم له معنى حقيقيّ وجمعه بالنسبة إلى ذلك المعنى على صيغة، واستعمل في معنى آخر وجمع بالنسبة إلى ذلك المعنى على صيغة مخالفة لصيغة الجمع للمعنى الحقيقيّ،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فإنّه حقيقة في القول المخصوص اتّفاقًا وعلم جمعه بهذا المعنى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واستعمل بمعنى الفعل أيضًا وجمع بالنسبة إليه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فالمقصود أنّ تلك المخالفة دليلٌ على المجازيّة؛ لأنّه لو لم يكن مجازًا فيه لا يخلو إمّا أن يكون متواطئًا فيهما، أو حقيقة في كلّ واحد منهما؛ والتالي بشقّيه فاسد</w:t>
      </w:r>
      <w:r>
        <w:rPr>
          <w:rStyle w:val="FootnoteAnchor"/>
          <w:rtl w:val="true"/>
        </w:rPr>
        <w:footnoteReference w:id="480"/>
      </w:r>
      <w:r>
        <w:rPr>
          <w:rFonts w:ascii="IRNazanin" w:hAnsi="IRNazanin" w:eastAsia="IRNazanin"/>
          <w:color w:val="111111"/>
          <w:sz w:val="28"/>
          <w:sz w:val="28"/>
          <w:szCs w:val="28"/>
          <w:rtl w:val="true"/>
          <w:lang w:bidi="fa-IR"/>
        </w:rPr>
        <w:t>، فالمقدّم مثله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بطلان الأوّل فيمكن أن يكون إمّا لانتفاء القدر المشترك بين المعنيين، أو للعلم بكون المعنى الأوّل بخصوصه موضوعًا له، أو لاستلزام التخالف بين صيغتي الجمع ذلك بناءً على أنّه لو كان متواطئًا فيهما لما تحقّقت المخالفة المذكورة، إذ حينئذٍ يكون المعنى في المفرد واحدًا، وهو القدر المشترك، ومدلول الجمع هو مدلول المفرد مع التعدّد، فينبغي أن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الجميع</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بطلان الثاني</w:t>
      </w:r>
      <w:r>
        <w:rPr>
          <w:rStyle w:val="FootnoteAnchor"/>
          <w:rtl w:val="true"/>
        </w:rPr>
        <w:footnoteReference w:id="482"/>
      </w:r>
      <w:r>
        <w:rPr>
          <w:rFonts w:ascii="Amiri" w:hAnsi="Amiri" w:eastAsia="Amiri" w:cs="Amiri"/>
          <w:color w:val="111111"/>
          <w:sz w:val="28"/>
          <w:sz w:val="28"/>
          <w:szCs w:val="28"/>
          <w:rtl w:val="true"/>
          <w:lang w:bidi="ar-SA"/>
        </w:rPr>
        <w:t>فلمرجوحيّة الاشتراك بالنسبة إلى المجاز كما يأتي، فتعيّن</w:t>
      </w:r>
      <w:r>
        <w:rPr>
          <w:rStyle w:val="FootnoteAnchor"/>
          <w:rtl w:val="true"/>
        </w:rPr>
        <w:footnoteReference w:id="483"/>
      </w:r>
      <w:r>
        <w:rPr>
          <w:rFonts w:ascii="Amiri" w:hAnsi="Amiri" w:eastAsia="Amiri" w:cs="Amiri"/>
          <w:color w:val="111111"/>
          <w:sz w:val="28"/>
          <w:sz w:val="28"/>
          <w:szCs w:val="28"/>
          <w:rtl w:val="true"/>
          <w:lang w:bidi="ar-SA"/>
        </w:rPr>
        <w:t>المجازيّة، وهو المطلوب؛ فالجاهل بالاصطلاح إذا تتبّع فيه وظهر له معنى حقيقيّ للفظ وجمعه على صيغة، ثمّ رأى ذلك اللفظ مستعملًا في غيره، لكن لم يعلم أنّه حقيقة فيه أو مجاز، يختبر ذلك بالرجوع إلى جمعه بالنسبة إلى المعنى الأخير، فإن كان مخالفًا لجمعه بالنسبة إلى المعنى الأوّل يحكم بالمجازيّة بناءً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يجعل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جمعه على صيغة الجمع للمعنى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الحقيقة؛ لأنّ اللفظ بالنسبة إلى المعنى المجازيّ قد يجمع على جمع حقيقته، كالحُمر إذا أطلقت إلى ما فوق الاثنين من البَلدى من أفراد الإنسان،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أطلقت على الشجعان من أفراده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لأنّ بطلان التواطؤ لو كان باعتبار انتفاء القدر المشترك، لا وجه </w:t>
      </w:r>
    </w:p>
    <w:p>
      <w:pPr>
        <w:pStyle w:val="BookText"/>
        <w:rPr/>
      </w:pPr>
      <w:r>
        <w:rPr>
          <w:rFonts w:ascii="Amiri" w:hAnsi="Amiri" w:eastAsia="Amiri" w:cs="Amiri"/>
          <w:color w:val="111111"/>
          <w:sz w:val="28"/>
          <w:sz w:val="28"/>
          <w:szCs w:val="28"/>
          <w:rtl w:val="true"/>
          <w:lang w:bidi="ar-SA"/>
        </w:rPr>
        <w:t>لجعل المخالفة بين صيغتي الجمع علامة، بل العلامة حينئذٍ انتفاء القدر المشترك بين المعنيين الّذين ثبت الوضع بالنسبة إلى واحد منهما، سواء كانت الصيغة في الجمع متخالفة</w:t>
      </w:r>
      <w:r>
        <w:rPr>
          <w:rStyle w:val="FootnoteAnchor"/>
          <w:rtl w:val="true"/>
        </w:rPr>
        <w:footnoteReference w:id="485"/>
      </w:r>
      <w:r>
        <w:rPr>
          <w:rFonts w:ascii="Amiri" w:hAnsi="Amiri" w:eastAsia="Amiri" w:cs="Amiri"/>
          <w:color w:val="111111"/>
          <w:sz w:val="28"/>
          <w:sz w:val="28"/>
          <w:szCs w:val="28"/>
          <w:rtl w:val="true"/>
          <w:lang w:bidi="ar-SA"/>
        </w:rPr>
        <w:t>أو لا، لجريان الدليل فيه، إذ احتمال التواطؤ حينئذٍ منتفي بانتفاء المشترك، والاشتراك كذلك بمرجوحيّته، فتعيّنت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كان بطلانه لثبوت الوضع بالنسبة إلى أحد المعنيين بخصوصه، إذ العلامة حينئذٍ العلم بكون أحد المعنيين بخصوصه موضوعًا له، بناءً على أنّه لو كان متواطئًا لما كان الوضع متعلّقًا بالخصوصيّة، ولو كان كلّ منهما موضوعًا له يلزم الاشتراك، فثبت المجاز، فلا وجه للتمسّك بالمخالفة بين صيغتي الجمع لتماميّة الكلام ولو عند عدم الاختلاف، بل لا مدخليّة لها في المقام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بطلان التواطؤ باعتبار المخالفة بناءً على ما مرّ،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حينئذٍ لاختصاص العلامة بالمخالفة، لإجراء الدليل في كلّ ما دلّ على عدم التواطؤ، كانتفاء القدر المشترك مثلًا، فينبغي أن يجعل العلامة كلّ ما يعلم منه عدم كون اللفظ متواطئًا بين المعنيين الّذين ثبت الوضع بالنسبة إلى أحدهما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Style w:val="FootnoteAnchor"/>
          <w:rtl w:val="true"/>
        </w:rPr>
        <w:footnoteReference w:id="486"/>
      </w:r>
      <w:r>
        <w:rPr>
          <w:rFonts w:ascii="Amiri" w:hAnsi="Amiri" w:eastAsia="Amiri" w:cs="Amiri"/>
          <w:color w:val="111111"/>
          <w:sz w:val="28"/>
          <w:sz w:val="28"/>
          <w:szCs w:val="28"/>
          <w:rtl w:val="true"/>
          <w:lang w:bidi="ar-SA"/>
        </w:rPr>
        <w:t>اختلاف الجمع كما جاز أن يكون لأجل المجازيّة، كذا جاز أن يكون لاختلاف المسمّى، مع كون المعنيين من المعاني الحقيقيّة، والعامّ لا دلالة له على الخاصّ المعيّن</w:t>
      </w:r>
      <w:r>
        <w:rPr>
          <w:rFonts w:eastAsia="Amiri" w:cs="Amiri" w:ascii="Amiri" w:hAnsi="Amiri"/>
          <w:color w:val="111111"/>
          <w:sz w:val="28"/>
          <w:szCs w:val="28"/>
          <w:rtl w:val="true"/>
          <w:lang w:bidi="ar-SA"/>
        </w:rPr>
        <w:t xml:space="preserve">. </w:t>
      </w:r>
      <w:bookmarkStart w:id="672" w:name="pg16214_221717"/>
    </w:p>
    <w:p>
      <w:pPr>
        <w:pStyle w:val="BookText"/>
        <w:rPr/>
      </w:pPr>
      <w:bookmarkEnd w:id="672"/>
      <w:r>
        <w:rPr>
          <w:rFonts w:ascii="Amiri" w:hAnsi="Amiri" w:eastAsia="Amiri" w:cs="Amiri"/>
          <w:color w:val="111111"/>
          <w:sz w:val="28"/>
          <w:sz w:val="28"/>
          <w:szCs w:val="28"/>
          <w:rtl w:val="true"/>
          <w:lang w:bidi="ar-SA"/>
        </w:rPr>
        <w:t xml:space="preserve">نعم، كان الكلام وجيهًا لو لم يتحقّق اختلاف الجمع إلّا في المجاز، إذ حينئذٍ تحقّقه يوجب العلم بالمجازيّة، لكنّ الأمر ليس كذلك،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الخشب واللهو، وجمع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الأولى في الألفاظ المشتركة اختلاف صيغ الجموع حذرًا عن زيادة الاشتراك، بناءً على أنّ صيغة المفرد كانت مشتركة بين المعنيين أو المعاني، فلو اشتركت صيغ الجمع أيضًا، يلزم زيادة الاشتراك، وهو مرجوح، والمستلزم للمرجوح مرجوح بالنسبة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يكون الوضع فيه مشكوكًا، فما ثبت فيه الوضع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فاسد؛ لأنّ العلامة لمّا كانت بالنسبة إلى الجاهل، فإذا تصفّح محاورات قوم وظهر له المخالفة بين صيغتي الجمع في لفظ، لا يمكنه الحكم بالمجازيّة؛ لاحتمال أن تكون كالمخالفة الّتي في صيغ الجمع للمشترك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ذلك بما مرّ في تقرير المطلب،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المخالفة وإن كانت مسلّمة في بعض الألفاظ المشتركة، لكن لمّا</w:t>
      </w:r>
      <w:r>
        <w:rPr>
          <w:rStyle w:val="FootnoteAnchor"/>
          <w:rtl w:val="true"/>
        </w:rPr>
        <w:footnoteReference w:id="487"/>
      </w:r>
      <w:r>
        <w:rPr>
          <w:rFonts w:ascii="Amiri" w:hAnsi="Amiri" w:eastAsia="Amiri" w:cs="Amiri"/>
          <w:color w:val="111111"/>
          <w:sz w:val="28"/>
          <w:sz w:val="28"/>
          <w:szCs w:val="28"/>
          <w:rtl w:val="true"/>
          <w:lang w:bidi="ar-SA"/>
        </w:rPr>
        <w:t>يدفع احتمال الاشتراك فيما نحن فيه بالمرجوحيّة، تعيّن الأمر في المجازيّة، وهو المطلوب</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3520077_1280447820"/>
      <w:bookmarkStart w:id="674" w:name="_Toc257"/>
      <w:bookmarkEnd w:id="673"/>
      <w:r>
        <w:rPr>
          <w:rtl w:val="true"/>
        </w:rPr>
        <w:t>التمسّك بالتخالف بين صيغتي الجمع وجعله علامة للمجاز لا وجه له</w:t>
      </w:r>
      <w:bookmarkEnd w:id="67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يرد عليه نظير ما تقدّم في صحّة السلب، تقريره هنا أنّ التمسّك بالتخالف بين صيغتي الجمع وجعله علامة للمجاز لا وجه له،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كلّ لفظ إذا علم وضعه لمعنى واستعمل في غيره ولم يثبت الوضع فيه، يحكم بالمجازيّة بناءً على </w:t>
      </w:r>
    </w:p>
    <w:p>
      <w:pPr>
        <w:pStyle w:val="BookText"/>
        <w:rPr/>
      </w:pPr>
      <w:r>
        <w:rPr>
          <w:rFonts w:ascii="Amiri" w:hAnsi="Amiri" w:eastAsia="Amiri" w:cs="Amiri"/>
          <w:color w:val="111111"/>
          <w:sz w:val="28"/>
          <w:sz w:val="28"/>
          <w:szCs w:val="28"/>
          <w:rtl w:val="true"/>
          <w:lang w:bidi="ar-SA"/>
        </w:rPr>
        <w:t>ما ذكر، سواء كان مفردًا، أو لا، مخالفًا صيغة جمعه على جمع الحقيقة،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هو الّذي ذكروه عند معارضة المجاز والاشتراك، فلا وجه لذكره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خاصّة الشيء وصفُهُ القائم به، كالتبادر وعدم صحّة السلب والاطّراد؛ ومرجع ما ذكر في هذا المقام التمسّك بمرجوحيّة الاشتراك، ولا معنى لجعله من خواصّ المجاز،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 جميع ذلك بمثل ما أجبته هناك،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الإيرادات المذكورة إنّما تتوجّه إذا كان الموضع الّذي يتمسّك فيه بالمخالفة هو الّذي يتمسّك فيه بالمرجوحيّة، وأنّ الفائدة المترتّبة على أحدهما هي المترتّبة على الآخر، وليس الأمر كذلك، بل التمسّك بالمخالفة بين صيغتي الجمعين لرفع احتمال التواطؤ، وبمرجوحيّة</w:t>
      </w:r>
      <w:r>
        <w:rPr>
          <w:rStyle w:val="FootnoteAnchor"/>
          <w:rtl w:val="true"/>
        </w:rPr>
        <w:footnoteReference w:id="488"/>
      </w:r>
      <w:r>
        <w:rPr>
          <w:rFonts w:ascii="Amiri" w:hAnsi="Amiri" w:eastAsia="Amiri" w:cs="Amiri"/>
          <w:color w:val="111111"/>
          <w:sz w:val="28"/>
          <w:sz w:val="28"/>
          <w:szCs w:val="28"/>
          <w:rtl w:val="true"/>
          <w:lang w:bidi="ar-SA"/>
        </w:rPr>
        <w:t>الاشتراك لنفي وضع آخر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صيغة الجمع لو كانت بحسب الصورة مشتركة بين المعنيين كالمفرد، يحتمل أن يكون المعنى الحقيقيّ المتيقّن مشتركًا بين الفردين، فيكون متواطئًا ويكون اللفظ في المعنيين حقيقة، فجعلت المخالفة علامة لعدم الوضع بالنسبة إلى ذلك المعنى، لكن لمّا لم يستلزم ذلك عدم الوضع مطلقًا؛ لجواز أن يكون ذلك اللفظ موضوعًا لذلك المعنى الآخر بوضع آخر، فلا يلزم</w:t>
      </w:r>
      <w:r>
        <w:rPr>
          <w:rStyle w:val="FootnoteAnchor"/>
          <w:rtl w:val="true"/>
        </w:rPr>
        <w:footnoteReference w:id="489"/>
      </w:r>
      <w:r>
        <w:rPr>
          <w:rFonts w:ascii="Amiri" w:hAnsi="Amiri" w:eastAsia="Amiri" w:cs="Amiri"/>
          <w:color w:val="111111"/>
          <w:sz w:val="28"/>
          <w:sz w:val="28"/>
          <w:szCs w:val="28"/>
          <w:rtl w:val="true"/>
          <w:lang w:bidi="ar-SA"/>
        </w:rPr>
        <w:t>المجازيّة وكان ذلك محتملًا توصّل لدفعه بمرجوحيّة الاشتراك، فعلى هذا لا يلزم شيء من المحذورات،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كذلك، لكان</w:t>
      </w:r>
      <w:r>
        <w:rPr>
          <w:rStyle w:val="FootnoteAnchor"/>
          <w:rtl w:val="true"/>
        </w:rPr>
        <w:footnoteReference w:id="490"/>
      </w:r>
      <w:r>
        <w:rPr>
          <w:rFonts w:ascii="Amiri" w:hAnsi="Amiri" w:eastAsia="Amiri" w:cs="Amiri"/>
          <w:color w:val="111111"/>
          <w:sz w:val="28"/>
          <w:sz w:val="28"/>
          <w:szCs w:val="28"/>
          <w:rtl w:val="true"/>
          <w:lang w:bidi="ar-SA"/>
        </w:rPr>
        <w:t>العلامة مخالفة الصيغة مع مرجوحيّة الاشتراك، فلا وجه لاختصاص ذلك بالمخالفة فقط، ولكان الحكم بكون المعنى الأوّل معنى حقيقيًّا فاسدًا؛ إذ المعنى الحقيقيّ حينئذٍ هو القدر المشترك، لا أحدهما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الإغماض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يتمّ لو لم يوجد</w:t>
      </w:r>
      <w:r>
        <w:rPr>
          <w:rStyle w:val="FootnoteAnchor"/>
          <w:rtl w:val="true"/>
        </w:rPr>
        <w:footnoteReference w:id="491"/>
      </w:r>
      <w:r>
        <w:rPr>
          <w:rFonts w:ascii="Amiri" w:hAnsi="Amiri" w:eastAsia="Amiri" w:cs="Amiri"/>
          <w:color w:val="111111"/>
          <w:sz w:val="28"/>
          <w:sz w:val="28"/>
          <w:szCs w:val="28"/>
          <w:rtl w:val="true"/>
          <w:lang w:bidi="ar-SA"/>
        </w:rPr>
        <w:t>المخالفة بين صيغ الجمع في المعاني المتواطئة،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على تقدير تحقّق التخالف في المتواطئ أيضًا يكون</w:t>
      </w:r>
      <w:r>
        <w:rPr>
          <w:rStyle w:val="FootnoteAnchor"/>
          <w:rtl w:val="true"/>
        </w:rPr>
        <w:footnoteReference w:id="492"/>
      </w:r>
      <w:r>
        <w:rPr>
          <w:rFonts w:ascii="Amiri" w:hAnsi="Amiri" w:eastAsia="Amiri" w:cs="Amiri"/>
          <w:color w:val="111111"/>
          <w:sz w:val="28"/>
          <w:sz w:val="28"/>
          <w:szCs w:val="28"/>
          <w:rtl w:val="true"/>
          <w:lang w:bidi="ar-SA"/>
        </w:rPr>
        <w:t>المخالفة مشتركة بين المعاني المتواطئة وغيرها، فكيف تجعل</w:t>
      </w:r>
      <w:r>
        <w:rPr>
          <w:rStyle w:val="FootnoteAnchor"/>
          <w:rtl w:val="true"/>
        </w:rPr>
        <w:footnoteReference w:id="493"/>
      </w:r>
      <w:r>
        <w:rPr>
          <w:rFonts w:ascii="Amiri" w:hAnsi="Amiri" w:eastAsia="Amiri" w:cs="Amiri"/>
          <w:color w:val="111111"/>
          <w:sz w:val="28"/>
          <w:sz w:val="28"/>
          <w:szCs w:val="28"/>
          <w:rtl w:val="true"/>
          <w:lang w:bidi="ar-SA"/>
        </w:rPr>
        <w:t>دليلًا وعلامة لنفي أحدهما مع ما عرفت مرارًا من لزوم الاطّراد في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التالي، فلأنّ كثيرًا من المعاني المتواطئة قد تحقّق الاختلاف بين صيغتي جمعها كالكريم، فإنّه يجمع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كُرماء وكرام؛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تجمع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وسنوات،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الجماعة من الناس، فإنّها تجمع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ثبين وثبات</w:t>
      </w:r>
      <w:r>
        <w:rPr>
          <w:rStyle w:val="FootnoteAnchor"/>
          <w:rtl w:val="true"/>
        </w:rPr>
        <w:footnoteReference w:id="49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يجمع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 وفلوس، وهكذا، فإنّه كثير جدًّا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المراد مطلق المخالفة بين صيغتي الجمع، بل بحيث يكون</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إحدى الصيغتين مختصّة ببعض مدلول اللفظ والأخرى بالبعض،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يمكن استعمال إحداهما مقام الأخرى؛ كالأوامر والأمور، فإنّ الأوّل يستعمل في أقوال مخصوصة، والثاني في الأفعال، ولا يستعمل شيء منهما</w:t>
      </w:r>
      <w:r>
        <w:rPr>
          <w:rStyle w:val="FootnoteAnchor"/>
          <w:rtl w:val="true"/>
        </w:rPr>
        <w:footnoteReference w:id="496"/>
      </w:r>
      <w:r>
        <w:rPr>
          <w:rFonts w:ascii="Amiri" w:hAnsi="Amiri" w:eastAsia="Amiri" w:cs="Amiri"/>
          <w:color w:val="111111"/>
          <w:sz w:val="28"/>
          <w:sz w:val="28"/>
          <w:szCs w:val="28"/>
          <w:rtl w:val="true"/>
          <w:lang w:bidi="ar-SA"/>
        </w:rPr>
        <w:t>مقام صاحبه، بخلاف ما ذكر من صيغ الجمع، فإنّ المخالفة وإن تحقّقت فيها أيضًا، لكن يستعمل كلّ من الصيغتين مقام صاحبه،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دلالة تلك المخالفة على انتفاء التواطؤ</w:t>
      </w:r>
      <w:r>
        <w:rPr>
          <w:rStyle w:val="FootnoteAnchor"/>
          <w:rtl w:val="true"/>
        </w:rPr>
        <w:footnoteReference w:id="497"/>
      </w:r>
      <w:r>
        <w:rPr>
          <w:rFonts w:ascii="Amiri" w:hAnsi="Amiri" w:eastAsia="Amiri" w:cs="Amiri"/>
          <w:color w:val="111111"/>
          <w:sz w:val="28"/>
          <w:sz w:val="28"/>
          <w:szCs w:val="28"/>
          <w:rtl w:val="true"/>
          <w:lang w:bidi="ar-SA"/>
        </w:rPr>
        <w:t>قد مرّ،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متواطئًا،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لاختصاص بعض صيغتي الجمع ببعض مدلوله والآخر بالبعض الآخر، إذ اللفظ موضوع للقدر المشترك بناءً على التواطؤ، فينبغي أن يصحّ الاستعمال في كلّ ما وجد فيه ذلك، وإذا لم يصحّ ذلك يعلم عدمه، وهو المطلوب، فعلم ممّا ذكر صحّة العلامة المذكورة، فتأمّل</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ويمكن دفعه بأنّ الأمر ليس منحصرًا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فلعلّ الالتباس يتحقّق في غيره، فلا يعلم انتفاء التواطؤ إلّا بظهور التخالف بين صيغتي الجمع،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5" w:name="pg16214_221721"/>
    </w:p>
    <w:p>
      <w:pPr>
        <w:pStyle w:val="Heading4"/>
        <w:numPr>
          <w:ilvl w:val="3"/>
          <w:numId w:val="1"/>
        </w:numPr>
        <w:rPr/>
      </w:pPr>
      <w:bookmarkStart w:id="676" w:name="__RefHeading___Toc3520079_1280447820"/>
      <w:bookmarkStart w:id="677" w:name="_Toc258"/>
      <w:bookmarkEnd w:id="675"/>
      <w:bookmarkEnd w:id="676"/>
      <w:r>
        <w:rPr>
          <w:rtl w:val="true"/>
        </w:rPr>
        <w:t>الأمر الثاني</w:t>
      </w:r>
      <w:r>
        <w:rPr>
          <w:rtl w:val="true"/>
        </w:rPr>
        <w:t xml:space="preserve">: </w:t>
      </w:r>
      <w:r>
        <w:rPr>
          <w:rtl w:val="true"/>
        </w:rPr>
        <w:t>التزامُ تقييد اللفظ بالنسبة إلى المعنى دليلٌ على مجازيّته فيه</w:t>
      </w:r>
      <w:bookmarkEnd w:id="677"/>
    </w:p>
    <w:p>
      <w:pPr>
        <w:pStyle w:val="Heading5"/>
        <w:numPr>
          <w:ilvl w:val="4"/>
          <w:numId w:val="1"/>
        </w:numPr>
        <w:rPr/>
      </w:pPr>
      <w:bookmarkStart w:id="678" w:name="__RefHeading___Toc3520081_1280447820"/>
      <w:bookmarkStart w:id="679" w:name="_Toc259"/>
      <w:bookmarkEnd w:id="678"/>
      <w:r>
        <w:rPr>
          <w:rtl w:val="true"/>
        </w:rPr>
        <w:t>اشارة</w:t>
      </w:r>
      <w:bookmarkEnd w:id="67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تقييد اللفظ بالنسبة إلى معنى، بأن لا يستعمل فيه إلّا مقيّدًا</w:t>
      </w:r>
      <w:r>
        <w:rPr>
          <w:rStyle w:val="FootnoteAnchor"/>
          <w:rtl w:val="true"/>
        </w:rPr>
        <w:footnoteReference w:id="499"/>
      </w:r>
      <w:r>
        <w:rPr>
          <w:rFonts w:ascii="Amiri" w:hAnsi="Amiri" w:eastAsia="Amiri" w:cs="Amiri"/>
          <w:color w:val="111111"/>
          <w:sz w:val="28"/>
          <w:sz w:val="28"/>
          <w:szCs w:val="28"/>
          <w:rtl w:val="true"/>
          <w:lang w:bidi="ar-SA"/>
        </w:rPr>
        <w:t>وذلك دليل على مجازيّته فيه، إذ لو كان حقيقة فيه لكان الموضوع له إمّا المعنى المطلق أو المقيّد، وأيّ ما كان لما يلزم التقييد في اللفظ؛ أمّا الأوّل فظاهر، وأمّا الثاني فلأنّ المعنى المقيّد لمّا كان موضوعًا له، لكان اللفظ دالًّا عليه بنفسه، فكان إلزام التقييد لغوًا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ترى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قد عيّن بالوضع الثانويّ لمدينة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فيدلّ عليها ولو من غير تقييد في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لم يجعل عكسه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التزام تقييد اللفظ بالنسبة إلى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للحقيقة؛ لوضوح أنّ غالب المجازات كذلك، فلو كان عدم الالتزام علامة لها لزم أن لا يوجد في غيرها؛ لما عرفت من لزوم الاطّراد في العلامة</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3520083_1280447820"/>
      <w:bookmarkStart w:id="681" w:name="_Toc260"/>
      <w:bookmarkEnd w:id="680"/>
      <w:r>
        <w:rPr>
          <w:rtl w:val="true"/>
        </w:rPr>
        <w:t>تطويل قال لإفضاح مقال</w:t>
      </w:r>
      <w:bookmarkEnd w:id="681"/>
    </w:p>
    <w:p>
      <w:pPr>
        <w:pStyle w:val="BookText"/>
        <w:rPr/>
      </w:pPr>
      <w:r>
        <w:rPr>
          <w:rFonts w:ascii="Amiri" w:hAnsi="Amiri" w:eastAsia="Amiri" w:cs="Amiri"/>
          <w:color w:val="111111"/>
          <w:sz w:val="28"/>
          <w:sz w:val="28"/>
          <w:szCs w:val="28"/>
          <w:rtl w:val="true"/>
          <w:lang w:bidi="ar-SA"/>
        </w:rPr>
        <w:t>تطويل قال لإفضاح</w:t>
      </w:r>
      <w:r>
        <w:rPr>
          <w:rStyle w:val="FootnoteAnchor"/>
          <w:rtl w:val="true"/>
        </w:rPr>
        <w:footnoteReference w:id="500"/>
      </w:r>
      <w:r>
        <w:rPr>
          <w:rFonts w:ascii="IRNazanin" w:hAnsi="IRNazanin" w:eastAsia="IRNazanin"/>
          <w:color w:val="111111"/>
          <w:sz w:val="28"/>
          <w:sz w:val="28"/>
          <w:szCs w:val="28"/>
          <w:rtl w:val="true"/>
          <w:lang w:bidi="fa-IR"/>
        </w:rPr>
        <w:t>مقال</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المقام يقتضي التفصيل في الكلام وإن اندمج</w:t>
      </w:r>
      <w:r>
        <w:rPr>
          <w:rStyle w:val="FootnoteAnchor"/>
          <w:rtl w:val="true"/>
        </w:rPr>
        <w:footnoteReference w:id="501"/>
      </w:r>
      <w:r>
        <w:rPr>
          <w:rFonts w:ascii="Amiri" w:hAnsi="Amiri" w:eastAsia="Amiri" w:cs="Amiri"/>
          <w:color w:val="111111"/>
          <w:sz w:val="28"/>
          <w:sz w:val="28"/>
          <w:szCs w:val="28"/>
          <w:rtl w:val="true"/>
          <w:lang w:bidi="ar-SA"/>
        </w:rPr>
        <w:t>أقلام الأقوام في كلّ المقام، لا سيّما فيما فيه الكلام في صقع الإبهام، فنقول بمعونة الموفّق 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اللفظ الّذي قد وصف التقييد فيه بالالتزام لا يخلو إمّا أن يكون له معنى قد استعمل فيه من غير تقييد، أم لا، بل انحصر استعماله مع التقييد؛ والظاهر أنّ المراد في هذا المقام هو القسم الأوّل فقط،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إرادة الثاني مستلزمة للحكم بمجازيّة جميع الأسماء اللازمة الإضافة، كذو وفوق وتحت وقدّام وخلف وأمثالها، بل جميع الحروف أيضًا؛ لعدم انفكاكها عن المتعلّق أبدًا على ما سبق تحقيقه، وهو باطل، أمّا أوّلًا فلأنّه خلاف الوفاق، وأمّا ثانيًا فلأنّه لو كان الأمر كذلك، لكانت هذه الألفاظ مجازات، لا حقائق لها، ولو كان الأمر كذلك كان عدم استلزام المجاز للحقيقة ظاهرًا، ولما احتاج النافي</w:t>
      </w:r>
      <w:r>
        <w:rPr>
          <w:rStyle w:val="FootnoteAnchor"/>
          <w:rtl w:val="true"/>
        </w:rPr>
        <w:footnoteReference w:id="502"/>
      </w:r>
      <w:r>
        <w:rPr>
          <w:rFonts w:ascii="Amiri" w:hAnsi="Amiri" w:eastAsia="Amiri" w:cs="Amiri"/>
          <w:color w:val="111111"/>
          <w:sz w:val="28"/>
          <w:sz w:val="28"/>
          <w:szCs w:val="28"/>
          <w:rtl w:val="true"/>
          <w:lang w:bidi="ar-SA"/>
        </w:rPr>
        <w:t>للاستلزام لإثبات ذلك إلى التمسّك بأمثلة نادرة على ما يجيء إليه الإشارة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بمجازيّة الألفاظ المذكورة ممّا يحكم بفسادها الضرورة، فلا حاجة إلى تجشّم إقامة البرهان والأدلّة، فتعيّن الأوّل؛ وعليه فالمناسب أن يقرّر</w:t>
      </w:r>
      <w:r>
        <w:rPr>
          <w:rStyle w:val="FootnoteAnchor"/>
          <w:rtl w:val="true"/>
        </w:rPr>
        <w:footnoteReference w:id="503"/>
      </w:r>
      <w:r>
        <w:rPr>
          <w:rFonts w:ascii="Amiri" w:hAnsi="Amiri" w:eastAsia="Amiri" w:cs="Amiri"/>
          <w:color w:val="111111"/>
          <w:sz w:val="28"/>
          <w:sz w:val="28"/>
          <w:szCs w:val="28"/>
          <w:rtl w:val="true"/>
          <w:lang w:bidi="ar-SA"/>
        </w:rPr>
        <w:t>عنوان المسألة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للّفظ معنى يستعمل فيه مطلقًا ومعنى آخر لا يستعمل فيه إلّا مقيّدًا، فالمطلوب أنّ التزام التقييد فيه دليل على مجازيّة اللفظ في المعنى المقيّد، وأمّا المعنى الأوّل فهو معنى حقيقيّ</w:t>
      </w:r>
      <w:r>
        <w:rPr>
          <w:rFonts w:eastAsia="Amiri" w:cs="Amiri" w:ascii="Amiri" w:hAnsi="Amiri"/>
          <w:color w:val="111111"/>
          <w:sz w:val="28"/>
          <w:szCs w:val="28"/>
          <w:rtl w:val="true"/>
          <w:lang w:bidi="ar-SA"/>
        </w:rPr>
        <w:t xml:space="preserve">. </w:t>
      </w:r>
      <w:bookmarkStart w:id="682" w:name="pg16214_221723"/>
    </w:p>
    <w:p>
      <w:pPr>
        <w:pStyle w:val="Heading5"/>
        <w:numPr>
          <w:ilvl w:val="4"/>
          <w:numId w:val="1"/>
        </w:numPr>
        <w:rPr/>
      </w:pPr>
      <w:bookmarkStart w:id="683" w:name="__RefHeading___Toc3520085_1280447820"/>
      <w:bookmarkStart w:id="684" w:name="_Toc261"/>
      <w:bookmarkEnd w:id="682"/>
      <w:bookmarkEnd w:id="683"/>
      <w:r>
        <w:rPr>
          <w:rtl w:val="true"/>
        </w:rPr>
        <w:t xml:space="preserve">الاحتمالات المتصوّرة في </w:t>
      </w:r>
      <w:r>
        <w:rPr>
          <w:rtl w:val="true"/>
        </w:rPr>
        <w:t>«</w:t>
      </w:r>
      <w:r>
        <w:rPr>
          <w:rtl w:val="true"/>
        </w:rPr>
        <w:t>نار الحرب</w:t>
      </w:r>
      <w:r>
        <w:rPr>
          <w:rtl w:val="true"/>
        </w:rPr>
        <w:t>»</w:t>
      </w:r>
      <w:bookmarkEnd w:id="684"/>
    </w:p>
    <w:p>
      <w:pPr>
        <w:pStyle w:val="BookText"/>
        <w:rPr/>
      </w:pPr>
      <w:r>
        <w:rPr>
          <w:rFonts w:ascii="Amiri" w:hAnsi="Amiri" w:eastAsia="Amiri" w:cs="Amiri"/>
          <w:color w:val="111111"/>
          <w:sz w:val="28"/>
          <w:sz w:val="28"/>
          <w:szCs w:val="28"/>
          <w:rtl w:val="true"/>
          <w:lang w:bidi="ar-SA"/>
        </w:rPr>
        <w:t>وقد مثّل لذلك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الحرب</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المثال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بالنار الحرب، وتكون الإضافة بيانيّة، أي النار الّتي هي الحرب، فعلى هذا يكون المشبّه الحرب، قد شبّهت بالنار تنبيهًا على شدّتها، بناءً على أنّ النار كما تكون مفنية لما استولت عليه، كذلك هذه</w:t>
      </w:r>
      <w:r>
        <w:rPr>
          <w:rStyle w:val="FootnoteAnchor"/>
          <w:rtl w:val="true"/>
        </w:rPr>
        <w:footnoteReference w:id="505"/>
      </w:r>
      <w:r>
        <w:rPr>
          <w:rFonts w:ascii="Amiri" w:hAnsi="Amiri" w:eastAsia="Amiri" w:cs="Amiri"/>
          <w:color w:val="111111"/>
          <w:sz w:val="28"/>
          <w:sz w:val="28"/>
          <w:szCs w:val="28"/>
          <w:rtl w:val="true"/>
          <w:lang w:bidi="ar-SA"/>
        </w:rPr>
        <w:t>الحرب الشديدة؛ وقد استعملت لفظ المشبّه به في المشبّه، فالاستعارة مصرّحة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ذلك على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لجين الماء</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أي يكون من إضافة المشبّه به إلى المشبّه بعد حذف أداة التشبيه، فالتقدير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الّتي كالنار في سرعة الإفناء</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بالنار الكيد الّذي للعدوّ في حال الحرب، فيكون المراد بنار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كيدها،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أَوْقَدُوا نَارًا لِلْحَرْبِ أَطْفَأَهَا الله</w:t>
      </w:r>
      <w:r>
        <w:rPr>
          <w:rStyle w:val="FootnoteAnchor"/>
          <w:rtl w:val="true"/>
        </w:rPr>
        <w:footnoteReference w:id="507"/>
      </w:r>
      <w:r>
        <w:rPr>
          <w:rFonts w:ascii="Amiri" w:hAnsi="Amiri" w:eastAsia="Amiri" w:cs="Amiri"/>
          <w:color w:val="111111"/>
          <w:sz w:val="28"/>
          <w:sz w:val="28"/>
          <w:szCs w:val="28"/>
          <w:rtl w:val="true"/>
          <w:lang w:bidi="ar-SA"/>
        </w:rPr>
        <w:t xml:space="preserve">، أي كلّما دبّروا كيدًا للحرب أبطله الله؛ وذكر الإيقاد والإطفاء ترشيح للمجاز، أو </w:t>
      </w:r>
    </w:p>
    <w:p>
      <w:pPr>
        <w:pStyle w:val="BookText"/>
        <w:rPr/>
      </w:pPr>
      <w:r>
        <w:rPr>
          <w:rFonts w:ascii="Amiri" w:hAnsi="Amiri" w:eastAsia="Amiri" w:cs="Amiri"/>
          <w:color w:val="111111"/>
          <w:sz w:val="28"/>
          <w:sz w:val="28"/>
          <w:szCs w:val="28"/>
          <w:rtl w:val="true"/>
          <w:lang w:bidi="ar-SA"/>
        </w:rPr>
        <w:t>للشدّة الّتي للحرب الشديد</w:t>
      </w:r>
      <w:r>
        <w:rPr>
          <w:rStyle w:val="FootnoteAnchor"/>
          <w:rtl w:val="true"/>
        </w:rPr>
        <w:footnoteReference w:id="508"/>
      </w:r>
      <w:r>
        <w:rPr>
          <w:rFonts w:ascii="Amiri" w:hAnsi="Amiri" w:eastAsia="Amiri" w:cs="Amiri"/>
          <w:color w:val="111111"/>
          <w:sz w:val="28"/>
          <w:sz w:val="28"/>
          <w:szCs w:val="28"/>
          <w:rtl w:val="true"/>
          <w:lang w:bidi="ar-SA"/>
        </w:rPr>
        <w:t>، فيكون المشبّه حينئذٍ شدّة الحرب، لا نفسها، وقد أطلقتَ لفظ المشبّه به على المشبّه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المعنى الأوّل أو الثاني، فجعل المثال المذكور ممّا نحن فيه لا يخفى ما فيه؛ أمّا على الثاني فظاهر؛ إذ اللفظ بناءً عليه محمول على المعنى الموضوع له، فليس فيه المجاز الّذي كلامنا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فيه مجاز الحذف وليس الكلام فيه؛ وأمّا على الأوّل فلأنّ اللفظ فيه وإن كان مستعملًا في غير معناه الموضوع له، لكنّ التزام التقييد فيه ممنوع؛ لجواز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 العدوّ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وأقيمت القرينة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المذكور مثلًا على إرادة الحرب من النار، إذ القدر اللازم في المجازات إقامة القرينة الكاشفة للمراد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المعنى الثالث،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التزام التقييد حينئذٍ وإن كان مسلّمًا؛ لأنّ المعنى إضافىّ، والإضافة غير منفكّة عن</w:t>
      </w:r>
      <w:r>
        <w:rPr>
          <w:rStyle w:val="FootnoteAnchor"/>
          <w:rtl w:val="true"/>
        </w:rPr>
        <w:footnoteReference w:id="509"/>
      </w:r>
      <w:r>
        <w:rPr>
          <w:rFonts w:ascii="Amiri" w:hAnsi="Amiri" w:eastAsia="Amiri" w:cs="Amiri"/>
          <w:color w:val="111111"/>
          <w:sz w:val="28"/>
          <w:sz w:val="28"/>
          <w:szCs w:val="28"/>
          <w:rtl w:val="true"/>
          <w:lang w:bidi="ar-SA"/>
        </w:rPr>
        <w:t xml:space="preserve">المضاف إليه، لكن يرد الانتقاض بكلّ إضافة ومضاف؛ لأنّ كلّ مضاف من حيث الإضافة لا ينفك عن المضاف إليه، فيرد عليك النقض بما إذا صرّحت في المثال المذكور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كيد الحرب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هو المعنى الثالث، والنقض مدفوع؛ لأنّ المضاف إمّا أن يكون من الأسماء اللازمة للإضافة، فقد عرفت الجواب عنه؛ أو غيرها، أي من الأسماء الّتي تضاف تارة وتنفك أخرى، كالغلام مثلًا، فهو وإن كان من حيث الإضافة </w:t>
      </w:r>
    </w:p>
    <w:p>
      <w:pPr>
        <w:pStyle w:val="BookText"/>
        <w:rPr/>
      </w:pPr>
      <w:r>
        <w:rPr>
          <w:rFonts w:ascii="Amiri" w:hAnsi="Amiri" w:eastAsia="Amiri" w:cs="Amiri"/>
          <w:color w:val="111111"/>
          <w:sz w:val="28"/>
          <w:sz w:val="28"/>
          <w:szCs w:val="28"/>
          <w:rtl w:val="true"/>
          <w:lang w:bidi="ar-SA"/>
        </w:rPr>
        <w:t>غير منفك عن المضاف إليه، لكن لمّا لم يكن معنى المضاف في حال الإضافة مباينًا له في غيرها، بل فرد من أفراده، كان خارجًا عمّا نحن فيه؛ لما عرفت من اشتراط المغايرة فيما نحن فيه بين المعنى حال الإضافة وبينه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عدم تماميّة الكلام؛ لتطرّق منع التزام التقييد في اللفظ</w:t>
      </w:r>
      <w:r>
        <w:rPr>
          <w:rStyle w:val="FootnoteAnchor"/>
          <w:rtl w:val="true"/>
        </w:rPr>
        <w:footnoteReference w:id="510"/>
      </w:r>
      <w:r>
        <w:rPr>
          <w:rFonts w:ascii="Amiri" w:hAnsi="Amiri" w:eastAsia="Amiri" w:cs="Amiri"/>
          <w:color w:val="111111"/>
          <w:sz w:val="28"/>
          <w:sz w:val="28"/>
          <w:szCs w:val="28"/>
          <w:rtl w:val="true"/>
          <w:lang w:bidi="ar-SA"/>
        </w:rPr>
        <w:t>بناءً على المعنى الثالث أيضًا؛ لجواز أن يقارنه المستعمل بالقرينة الدالّة على أنّ المراد ذلك المعنى المضاف من غير إضافة في اللفظ؛ وعلى فرض الإغماض</w:t>
      </w:r>
      <w:r>
        <w:rPr>
          <w:rStyle w:val="FootnoteAnchor"/>
          <w:rtl w:val="true"/>
        </w:rPr>
        <w:footnoteReference w:id="511"/>
      </w:r>
      <w:r>
        <w:rPr>
          <w:rFonts w:ascii="Amiri" w:hAnsi="Amiri" w:eastAsia="Amiri" w:cs="Amiri"/>
          <w:color w:val="111111"/>
          <w:sz w:val="28"/>
          <w:sz w:val="28"/>
          <w:szCs w:val="28"/>
          <w:rtl w:val="true"/>
          <w:lang w:bidi="ar-SA"/>
        </w:rPr>
        <w:t>أو التسليم لا يتمّ المراد أيضًا؛ لجواز أن يكون وَضَعَهُ على أن يكون مضافًا، فالتزام التقييد بحكم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كذلك يلزم الاشتراك ولما كان ذلك المعنى متبادرًا، وهذا غير متبادر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تمسّك بالتبادر وعدمه، وليس علامة مستأنفة، وبمرجوحيّة الاشتراك بالنسبة إلى المجاز وليست علامة، وعلى فرض التسليم لا اختصاص له بما يلتزم التقييد كما لا يخفى</w:t>
      </w:r>
      <w:r>
        <w:rPr>
          <w:rFonts w:eastAsia="Amiri" w:cs="Amiri" w:ascii="Amiri" w:hAnsi="Amiri"/>
          <w:color w:val="111111"/>
          <w:sz w:val="28"/>
          <w:szCs w:val="28"/>
          <w:rtl w:val="true"/>
          <w:lang w:bidi="ar-SA"/>
        </w:rPr>
        <w:t xml:space="preserve">. </w:t>
      </w:r>
      <w:bookmarkStart w:id="685" w:name="pg16214_221726"/>
    </w:p>
    <w:p>
      <w:pPr>
        <w:pStyle w:val="Heading4"/>
        <w:numPr>
          <w:ilvl w:val="3"/>
          <w:numId w:val="1"/>
        </w:numPr>
        <w:rPr/>
      </w:pPr>
      <w:bookmarkStart w:id="686" w:name="__RefHeading___Toc3520087_1280447820"/>
      <w:bookmarkStart w:id="687" w:name="_Toc262"/>
      <w:bookmarkEnd w:id="685"/>
      <w:bookmarkEnd w:id="686"/>
      <w:r>
        <w:rPr>
          <w:rtl w:val="true"/>
        </w:rPr>
        <w:t>الأمر الثالث</w:t>
      </w:r>
      <w:r>
        <w:rPr>
          <w:rtl w:val="true"/>
        </w:rPr>
        <w:t xml:space="preserve">: </w:t>
      </w:r>
      <w:r>
        <w:rPr>
          <w:rtl w:val="true"/>
        </w:rPr>
        <w:t>توقّف إطلاق اللفظ على معنى على تعلّقه بالآخر دليل المجاز</w:t>
      </w:r>
      <w:bookmarkEnd w:id="687"/>
    </w:p>
    <w:p>
      <w:pPr>
        <w:pStyle w:val="Heading5"/>
        <w:numPr>
          <w:ilvl w:val="4"/>
          <w:numId w:val="1"/>
        </w:numPr>
        <w:rPr/>
      </w:pPr>
      <w:bookmarkStart w:id="688" w:name="__RefHeading___Toc3520089_1280447820"/>
      <w:bookmarkStart w:id="689" w:name="_Toc263"/>
      <w:bookmarkEnd w:id="688"/>
      <w:r>
        <w:rPr>
          <w:rtl w:val="true"/>
        </w:rPr>
        <w:t>اشارة</w:t>
      </w:r>
      <w:bookmarkEnd w:id="689"/>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إطلاق اللفظ على معنى على تعلّقه بالآخر</w:t>
      </w:r>
      <w:r>
        <w:rPr>
          <w:rStyle w:val="FootnoteAnchor"/>
          <w:rtl w:val="true"/>
        </w:rPr>
        <w:footnoteReference w:id="512"/>
      </w:r>
      <w:r>
        <w:rPr>
          <w:rFonts w:ascii="Amiri" w:hAnsi="Amiri" w:eastAsia="Amiri" w:cs="Amiri"/>
          <w:color w:val="111111"/>
          <w:sz w:val="28"/>
          <w:sz w:val="28"/>
          <w:szCs w:val="28"/>
          <w:rtl w:val="true"/>
          <w:lang w:bidi="ar-SA"/>
        </w:rPr>
        <w:t>، فإنّ ذلك دليل على مجازيّته في المعنى الأوّل، إذ لو كان ذلك المعنى موضوعًا له، لما توقّف استعماله فيه على شيء؛ لما عرفت من أنّ وضع اللفظ لمعنى يستلزم صحّة استعماله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دلالته على المجازيّة؛ فلأنّ المفروض ثبوت الاستعمال على النهج المذكور، وحيث قد انتفت الحقيقة، تعيّنت المجازيّة؛ لانحصار اللفظ المستعمل بالاستعمال الصحيح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مثّل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وَمَكَرُوا وَمَكَرَ الله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إشارة إلى أنّ المشاكلة من قبيل المجاز</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المشاكلة عبارة عن كون اللفظ مستعملًا في معنى مصاحبًا لاستعماله في المعنى الحقيقيّ</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أصحابنا قصدوا الصبوح بسحرة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رسولهم إليّ خصيصًا</w:t>
      </w:r>
    </w:p>
    <w:p>
      <w:pPr>
        <w:pStyle w:val="BookText"/>
        <w:rPr/>
      </w:pPr>
      <w:r>
        <w:rPr>
          <w:rFonts w:ascii="Amiri" w:hAnsi="Amiri" w:eastAsia="Amiri" w:cs="Amiri"/>
          <w:color w:val="111111"/>
          <w:sz w:val="28"/>
          <w:sz w:val="28"/>
          <w:szCs w:val="28"/>
          <w:rtl w:val="true"/>
          <w:lang w:bidi="ar-SA"/>
        </w:rPr>
        <w:t xml:space="preserve">قالوا اقترح شيئًا نجد لك طبخه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اطبخوا لي جبّة وقميصًا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خيطوا لي جبّة وقميصًا، فذكر الخياطة بلفظ الطبخ لوقوعه في صحبة طبخ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معاهد التنصيص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وشروح التلخيص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وجامع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القاف بعده الألف، والغدير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والإيضاح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ومختصر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والمطوّل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اقترح شيئًا نجد لك طبخه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اطبخوا لي جبّة وقميصًا</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واستشكل في تحقّق العلاقة في مجاز المشاكلة؛ لعدم ظهورها بين الطبخ والخياطة في الشعر المذكور، ولذا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كأنّهم جعلوا المصاحبة في الذكر علاقة</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لا يخفى؛ لأنّ المصاحبة في الذكر متوقّف</w:t>
      </w:r>
      <w:r>
        <w:rPr>
          <w:rStyle w:val="FootnoteAnchor"/>
          <w:rtl w:val="true"/>
        </w:rPr>
        <w:footnoteReference w:id="519"/>
      </w:r>
      <w:r>
        <w:rPr>
          <w:rFonts w:ascii="Amiri" w:hAnsi="Amiri" w:eastAsia="Amiri" w:cs="Amiri"/>
          <w:color w:val="111111"/>
          <w:sz w:val="28"/>
          <w:sz w:val="28"/>
          <w:szCs w:val="28"/>
          <w:rtl w:val="true"/>
          <w:lang w:bidi="ar-SA"/>
        </w:rPr>
        <w:t>على الاستعمال، والاستعمال متوقّف على العلاقة، فلو جعلت المصاحبة في الذكر علاقة، يلزم توقّف الشيء على نفسه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العلاقة بين الطبخ والخياطة هي المجاورة في الخيال</w:t>
      </w:r>
      <w:r>
        <w:rPr>
          <w:rStyle w:val="FootnoteAnchor"/>
          <w:rtl w:val="true"/>
        </w:rPr>
        <w:footnoteReference w:id="520"/>
      </w:r>
      <w:r>
        <w:rPr>
          <w:rFonts w:ascii="Amiri" w:hAnsi="Amiri" w:eastAsia="Amiri" w:cs="Amiri"/>
          <w:color w:val="111111"/>
          <w:sz w:val="28"/>
          <w:sz w:val="28"/>
          <w:szCs w:val="28"/>
          <w:rtl w:val="true"/>
          <w:lang w:bidi="ar-SA"/>
        </w:rPr>
        <w:t xml:space="preserve">، فإنّه إذا </w:t>
      </w:r>
      <w:bookmarkStart w:id="690" w:name="pg16214_221728"/>
    </w:p>
    <w:p>
      <w:pPr>
        <w:pStyle w:val="BookText"/>
        <w:rPr/>
      </w:pPr>
      <w:bookmarkEnd w:id="690"/>
      <w:r>
        <w:rPr>
          <w:rFonts w:ascii="Amiri" w:hAnsi="Amiri" w:eastAsia="Amiri" w:cs="Amiri"/>
          <w:color w:val="111111"/>
          <w:sz w:val="28"/>
          <w:sz w:val="28"/>
          <w:szCs w:val="28"/>
          <w:rtl w:val="true"/>
          <w:lang w:bidi="ar-SA"/>
        </w:rPr>
        <w:t>كان</w:t>
      </w:r>
      <w:r>
        <w:rPr>
          <w:rStyle w:val="FootnoteAnchor"/>
          <w:rtl w:val="true"/>
        </w:rPr>
        <w:footnoteReference w:id="521"/>
      </w:r>
      <w:r>
        <w:rPr>
          <w:rFonts w:ascii="Amiri" w:hAnsi="Amiri" w:eastAsia="Amiri" w:cs="Amiri"/>
          <w:color w:val="111111"/>
          <w:sz w:val="28"/>
          <w:sz w:val="28"/>
          <w:szCs w:val="28"/>
          <w:rtl w:val="true"/>
          <w:lang w:bidi="ar-SA"/>
        </w:rPr>
        <w:t>خياطة الجبّة والقميص مطلوبة عند شخص، ارتسم</w:t>
      </w:r>
      <w:r>
        <w:rPr>
          <w:rStyle w:val="FootnoteAnchor"/>
          <w:rtl w:val="true"/>
        </w:rPr>
        <w:footnoteReference w:id="522"/>
      </w:r>
      <w:r>
        <w:rPr>
          <w:rFonts w:ascii="Amiri" w:hAnsi="Amiri" w:eastAsia="Amiri" w:cs="Amiri"/>
          <w:color w:val="111111"/>
          <w:sz w:val="28"/>
          <w:sz w:val="28"/>
          <w:szCs w:val="28"/>
          <w:rtl w:val="true"/>
          <w:lang w:bidi="ar-SA"/>
        </w:rPr>
        <w:t>صورتها في خياله؛ لكثرة ما ناجى به نفسه، فإذا أورد</w:t>
      </w:r>
      <w:r>
        <w:rPr>
          <w:rStyle w:val="FootnoteAnchor"/>
          <w:rtl w:val="true"/>
        </w:rPr>
        <w:footnoteReference w:id="523"/>
      </w:r>
      <w:r>
        <w:rPr>
          <w:rFonts w:ascii="Amiri" w:hAnsi="Amiri" w:eastAsia="Amiri" w:cs="Amiri"/>
          <w:color w:val="111111"/>
          <w:sz w:val="28"/>
          <w:sz w:val="28"/>
          <w:szCs w:val="28"/>
          <w:rtl w:val="true"/>
          <w:lang w:bidi="ar-SA"/>
        </w:rPr>
        <w:t>صورة الطبخ في خياله بأن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اقترح شيئًا نجد لك طبخه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يقارن صورة الطبخ والخياطة في خياله، فيجوز أن يعبّر عن الخياطة بالطبخ،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اطبخوا لي جبّة وقميصًا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أيضًا؛ لأنّ المجاورة المصحّحة للتجوّز هي المجاورة المعهودة في 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المجاورة في ذهن المخاطب؛ إذ هو الّذي أُلقي إليه الكلام لينتقل إلى المرام، فبسبب مجاورة المعنيين في ذهنه وقيام القرينة على عدم إرادة أحدهما ينتقل إلى الآخر؛ والمجاورة في ذهن المتكلّم فقط غير كافية للاستعمال، وقد تقدّم الكلام في تحقيق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الشعر المذكور من باب الاستعارة المكنيّة التخييليّة بأن يشبّه الجبّة والقميص على الشيء المأكول، تنبيهًا على كمال رغبته فيهما وميله إليهما، وقارنهما بما يلائم المشبّه به، وهو الطبخ</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3520091_1280447820"/>
      <w:bookmarkStart w:id="692" w:name="_Toc264"/>
      <w:bookmarkEnd w:id="691"/>
      <w:r>
        <w:rPr>
          <w:rtl w:val="true"/>
        </w:rPr>
        <w:t>إعادة كلام لتحقيق مقام</w:t>
      </w:r>
      <w:bookmarkEnd w:id="69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في دلالة هذه العلامة على المجازيّة غير تامّ؛ لأنّه كما أنّ اتّصاف اللفظ بكونه حقيقة في معنى متوقّفٌ على وضعه له، كذلك اتّصاف اللفظ بكونه مجازًا في معنى متوقّفٌ على تحقّق العلاقة وإذن الواضع في الاستعمال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وكما أنّه لا معنى لاشتراط استعمال اللفظ في المعنى الموضوع له بتعلّقه على معنى آخر؛ لكون المصحّح للاستعمال هو الوضع، فأينما وجد صحّ الاستعمال؛ كذلك ينبغي أن لا معنى لاشتراط استعمال اللفظ في المعنى المجازيّ بتعلّقه على معنى آخر؛ لأنّ المصحّح للاستعمال هو العلاقة وإذن الواضع في الاستعمال، فإن وُجدا صحّ الاستعمال مطلقًا،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وجعل المثال المذكور من ذلك اشتباه؛ لأنّ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أَفَأَمِنُوا مَكْرَ الله</w:t>
      </w:r>
      <w:r>
        <w:rPr>
          <w:rStyle w:val="FootnoteAnchor"/>
          <w:rtl w:val="true"/>
        </w:rPr>
        <w:footnoteReference w:id="524"/>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يَأْمَنُ مَكْرَ الله</w:t>
      </w:r>
      <w:r>
        <w:rPr>
          <w:rStyle w:val="FootnoteAnchor"/>
          <w:rtl w:val="true"/>
        </w:rPr>
        <w:footnoteReference w:id="525"/>
      </w:r>
      <w:r>
        <w:rPr>
          <w:rFonts w:ascii="IRNazanin" w:hAnsi="IRNazanin" w:eastAsia="IRNazanin"/>
          <w:color w:val="111111"/>
          <w:sz w:val="28"/>
          <w:sz w:val="28"/>
          <w:szCs w:val="28"/>
          <w:rtl w:val="true"/>
          <w:lang w:bidi="fa-IR"/>
        </w:rPr>
        <w:t xml:space="preserve">شاهدُ صدق على ذلك، وكذلك كثير من الأدعية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تمكر بي في حيلتك</w:t>
      </w:r>
      <w:r>
        <w:rPr>
          <w:rFonts w:eastAsia="IRNazanin" w:cs="IRNazanin"/>
          <w:color w:val="111111"/>
          <w:sz w:val="28"/>
          <w:szCs w:val="28"/>
          <w:rtl w:val="true"/>
          <w:lang w:bidi="fa-IR"/>
        </w:rPr>
        <w:t>»</w:t>
      </w:r>
      <w:r>
        <w:rPr>
          <w:rStyle w:val="FootnoteAnchor"/>
          <w:rtl w:val="true"/>
        </w:rPr>
        <w:footnoteReference w:id="52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 مكرك</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وأمثالهما،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التشبيه؛ لأنّ ما يفعل الله تعالى بهم كان في صورة المكر، فالمجاز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المعتبر في المجاز العلاقة وإذن الواضع في الاستعمال، يمكن أن يكون إذن الواضع في استعمال اللفظ في المعنى المجازيّ في حالة استعماله في المعنى الآخر، فلذا لا يجوز الاستعمال في غير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غاية الاستعمال الإفادة والاستفادة مثلًا، ينبغي أن يصحّ في كلّما تحقّقت تلك الغاية، فلا معنى للاشتراط على النهج المذكور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التسليم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تحقّق الاستعمال على النهج المذكور، فإن </w:t>
      </w:r>
      <w:bookmarkStart w:id="693" w:name="pg16214_221730"/>
    </w:p>
    <w:p>
      <w:pPr>
        <w:pStyle w:val="BookText"/>
        <w:rPr/>
      </w:pPr>
      <w:bookmarkEnd w:id="693"/>
      <w:r>
        <w:rPr>
          <w:rFonts w:ascii="Amiri" w:hAnsi="Amiri" w:eastAsia="Amiri" w:cs="Amiri"/>
          <w:color w:val="111111"/>
          <w:sz w:val="28"/>
          <w:sz w:val="28"/>
          <w:szCs w:val="28"/>
          <w:rtl w:val="true"/>
          <w:lang w:bidi="ar-SA"/>
        </w:rPr>
        <w:t>تحقّق سلّمنا دلالته على المجازيّة، لكن جعل المثال المذكور من ذلك فاسدٌ لما عرفت، فالكلام حينئذٍ ليس على العلامة، بل على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يجعل عكسه دليلًا على الحقيقة؛ لوضوح أنّ غالب المجازات غير متوقّف استعماله في المعنى المجازيّ على تعلّقه بالمعنى الآخر</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3520093_1280447820"/>
      <w:bookmarkStart w:id="695" w:name="_Toc265"/>
      <w:bookmarkEnd w:id="694"/>
      <w:r>
        <w:rPr>
          <w:rtl w:val="true"/>
        </w:rPr>
        <w:t>تذنيب</w:t>
      </w:r>
      <w:r>
        <w:rPr>
          <w:rtl w:val="true"/>
        </w:rPr>
        <w:t xml:space="preserve">: </w:t>
      </w:r>
      <w:r>
        <w:rPr>
          <w:rtl w:val="true"/>
        </w:rPr>
        <w:t>عدم افتقار فهم المعنى من اللفظ علامةُ الحقيقة وعكسه المجاز</w:t>
      </w:r>
      <w:bookmarkEnd w:id="695"/>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افتقار فهم المعنى من اللفظ</w:t>
      </w:r>
      <w:r>
        <w:rPr>
          <w:rStyle w:val="FootnoteAnchor"/>
          <w:rtl w:val="true"/>
        </w:rPr>
        <w:footnoteReference w:id="528"/>
      </w:r>
      <w:r>
        <w:rPr>
          <w:rFonts w:ascii="Amiri" w:hAnsi="Amiri" w:eastAsia="Amiri" w:cs="Amiri"/>
          <w:color w:val="111111"/>
          <w:sz w:val="28"/>
          <w:sz w:val="28"/>
          <w:szCs w:val="28"/>
          <w:rtl w:val="true"/>
          <w:lang w:bidi="ar-SA"/>
        </w:rPr>
        <w:t>علامةُ الحقيقة وعكسه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زاد بعضٌ آخر في المقام علامة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افتقار فهم المعنى من اللفظ إلى القرينة وافتقاره إليها</w:t>
      </w:r>
      <w:r>
        <w:rPr>
          <w:rStyle w:val="FootnoteAnchor"/>
          <w:rtl w:val="true"/>
        </w:rPr>
        <w:footnoteReference w:id="529"/>
      </w:r>
      <w:r>
        <w:rPr>
          <w:rFonts w:ascii="Amiri" w:hAnsi="Amiri" w:eastAsia="Amiri" w:cs="Amiri"/>
          <w:color w:val="111111"/>
          <w:sz w:val="28"/>
          <w:sz w:val="28"/>
          <w:szCs w:val="28"/>
          <w:rtl w:val="true"/>
          <w:lang w:bidi="ar-SA"/>
        </w:rPr>
        <w:t xml:space="preserve">، فإنّ الأوّل دليل على كون اللفظ حقيقة في ذلك المعنى، والثاني دليل على مجازيّته فيه؛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فإنّ فهم الحيوان المفترس منه غير متوقّف على اقترانه بالقرينة، بخلاف الرجل الشجاع، فإنّه لا يفهم منه إلّا عند الاقتران بها، فالجاهل باصطلاح قوم إذا تتبّع محاورات أربابه وظهر له الأمر على النهج المذكور، يتوصّل به إلى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ظاهر، أمّا بالنسبة إلى علامة الحقيقة فلأنّه إذا علم فهم المعنى من اللفظ من غير قرينة، علم أنّ دلالته بالنسبة إليه لذاته؛ ولمّا كانت الدلالة الذاتيّة للّفظ معلولة للوضع، كان العلم بها مستلزمًا للعلم به؛ لأنّ العلم بالمعلول يستلزم العلم بالعلّة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علامة المجاز؛ فلأنّ العلم بتوقّف</w:t>
      </w:r>
      <w:r>
        <w:rPr>
          <w:rStyle w:val="FootnoteAnchor"/>
          <w:rtl w:val="true"/>
        </w:rPr>
        <w:footnoteReference w:id="530"/>
      </w:r>
      <w:r>
        <w:rPr>
          <w:rFonts w:ascii="IRNazanin" w:hAnsi="IRNazanin" w:eastAsia="IRNazanin"/>
          <w:color w:val="111111"/>
          <w:sz w:val="28"/>
          <w:sz w:val="28"/>
          <w:szCs w:val="28"/>
          <w:rtl w:val="true"/>
          <w:lang w:bidi="fa-IR"/>
        </w:rPr>
        <w:t xml:space="preserve">فهم المعنى من اللفظ على </w:t>
      </w:r>
      <w:bookmarkStart w:id="696" w:name="pg16214_221731"/>
    </w:p>
    <w:p>
      <w:pPr>
        <w:pStyle w:val="BookText"/>
        <w:rPr/>
      </w:pPr>
      <w:bookmarkEnd w:id="696"/>
      <w:r>
        <w:rPr>
          <w:rFonts w:ascii="Amiri" w:hAnsi="Amiri" w:eastAsia="Amiri" w:cs="Amiri"/>
          <w:color w:val="111111"/>
          <w:sz w:val="28"/>
          <w:sz w:val="28"/>
          <w:szCs w:val="28"/>
          <w:rtl w:val="true"/>
          <w:lang w:bidi="ar-SA"/>
        </w:rPr>
        <w:t>القرينة، يستلزم العلم بانتفاء الدلالة الذاتيّة بالنسبة إليه، فيلزمه العلم بانتفاء الوضع بالنسبة إليه، وإلّا لزم تخلّف المعلول عن العلّة، وهو محال، فثبت العلم بالمجازيّة، وهو المطلوب</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3520095_1280447820"/>
      <w:bookmarkStart w:id="698" w:name="_Toc266"/>
      <w:bookmarkEnd w:id="697"/>
      <w:r>
        <w:rPr>
          <w:rtl w:val="true"/>
        </w:rPr>
        <w:t>الإيراد على هذه العلامة</w:t>
      </w:r>
      <w:bookmarkEnd w:id="698"/>
    </w:p>
    <w:p>
      <w:pPr>
        <w:pStyle w:val="Heading6"/>
        <w:numPr>
          <w:ilvl w:val="5"/>
          <w:numId w:val="1"/>
        </w:numPr>
        <w:rPr/>
      </w:pPr>
      <w:bookmarkStart w:id="699" w:name="__RefHeading___Toc3520097_1280447820"/>
      <w:bookmarkStart w:id="700" w:name="_Toc267"/>
      <w:bookmarkEnd w:id="699"/>
      <w:r>
        <w:rPr>
          <w:rtl w:val="true"/>
        </w:rPr>
        <w:t>اشارة</w:t>
      </w:r>
      <w:bookmarkEnd w:id="700"/>
    </w:p>
    <w:p>
      <w:pPr>
        <w:pStyle w:val="BookText"/>
        <w:rPr/>
      </w:pPr>
      <w:r>
        <w:rPr>
          <w:rFonts w:ascii="Amiri" w:hAnsi="Amiri" w:eastAsia="Amiri" w:cs="Amiri"/>
          <w:color w:val="111111"/>
          <w:sz w:val="28"/>
          <w:sz w:val="28"/>
          <w:szCs w:val="28"/>
          <w:rtl w:val="true"/>
          <w:lang w:bidi="ar-SA"/>
        </w:rPr>
        <w:t>ويمكن الإيراد عليه من وجهين</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3520099_1280447820"/>
      <w:bookmarkStart w:id="702" w:name="_Toc268"/>
      <w:bookmarkEnd w:id="701"/>
      <w:r>
        <w:rPr>
          <w:rtl w:val="true"/>
        </w:rPr>
        <w:t>الإيراد الأوّل مع الجواب عنه</w:t>
      </w:r>
      <w:bookmarkEnd w:id="702"/>
    </w:p>
    <w:p>
      <w:pPr>
        <w:pStyle w:val="Heading6"/>
        <w:numPr>
          <w:ilvl w:val="5"/>
          <w:numId w:val="1"/>
        </w:numPr>
        <w:rPr/>
      </w:pPr>
      <w:bookmarkStart w:id="703" w:name="__RefHeading___Toc3520101_1280447820"/>
      <w:bookmarkStart w:id="704" w:name="_Toc269"/>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من العلم بالمعلول العلم بعلّة ما، لا العلّة المعيّنة، إلّا إذا كانت العلّة منحصرة في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بدلالة اللفظ على المعنى من غير افتقار إلى القرينة، إنّما يستلزم الوضع إذا انحصر المقتضي للدلالة من غير افتقار إلى القرينة في الوضع، وهو غير مسلّم؛ لأنّ فهم المعنى من اللفظ كما يحتمل أن يكون لأجل وضعه له، كذا يحتمل أن يكون لأجل اشتهاره فيه، مع كونه من المعنى المجازيّ، فاللازم من العلم بدلالة اللفظ على المعنى من غير قرينة، العلم باستنادها إلى واحد من الوضع والشهرة، وأمّا خصوص شيء منهما فلا كما لا يخفى، فجعل فهم المعنى من غير افتقار إلى قرينة علامة للحقيقة فاسد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يعلم الحال بالنسبة إلى علامة المجاز، فإنّ فهم المعنى المجازيّ من المجاز المشهور من غير افتقار إلى قرينة، يستلزم افتقار فهم المعنى الحقيقيّ منه إليها</w:t>
      </w:r>
      <w:r>
        <w:rPr>
          <w:rStyle w:val="FootnoteAnchor"/>
          <w:rtl w:val="true"/>
        </w:rPr>
        <w:footnoteReference w:id="531"/>
      </w:r>
      <w:r>
        <w:rPr>
          <w:rFonts w:ascii="Amiri" w:hAnsi="Amiri" w:eastAsia="Amiri" w:cs="Amiri"/>
          <w:color w:val="111111"/>
          <w:sz w:val="28"/>
          <w:sz w:val="28"/>
          <w:szCs w:val="28"/>
          <w:rtl w:val="true"/>
          <w:lang w:bidi="ar-SA"/>
        </w:rPr>
        <w:t xml:space="preserve">، فالعلم بافتقار فهم المعنى إلى القرينة إنّما استلزم العلم بواحد من عدم الوضع له، </w:t>
      </w:r>
      <w:bookmarkStart w:id="705" w:name="pg16214_221732"/>
    </w:p>
    <w:p>
      <w:pPr>
        <w:pStyle w:val="BookText"/>
        <w:rPr/>
      </w:pPr>
      <w:bookmarkEnd w:id="705"/>
      <w:r>
        <w:rPr>
          <w:rFonts w:ascii="Amiri" w:hAnsi="Amiri" w:eastAsia="Amiri" w:cs="Amiri"/>
          <w:color w:val="111111"/>
          <w:sz w:val="28"/>
          <w:sz w:val="28"/>
          <w:szCs w:val="28"/>
          <w:rtl w:val="true"/>
          <w:lang w:bidi="ar-SA"/>
        </w:rPr>
        <w:t>أو اشتهاره في غير الموضوع له مع وضعه له، فالاستدلال به على عدم الوضع بخصوصه</w:t>
      </w:r>
      <w:r>
        <w:rPr>
          <w:rStyle w:val="FootnoteAnchor"/>
          <w:rtl w:val="true"/>
        </w:rPr>
        <w:footnoteReference w:id="532"/>
      </w:r>
      <w:r>
        <w:rPr>
          <w:rFonts w:ascii="Amiri" w:hAnsi="Amiri" w:eastAsia="Amiri" w:cs="Amiri"/>
          <w:color w:val="111111"/>
          <w:sz w:val="28"/>
          <w:sz w:val="28"/>
          <w:szCs w:val="28"/>
          <w:rtl w:val="true"/>
          <w:lang w:bidi="ar-SA"/>
        </w:rPr>
        <w:t>حتّى يثبت</w:t>
      </w:r>
      <w:r>
        <w:rPr>
          <w:rStyle w:val="FootnoteAnchor"/>
          <w:rtl w:val="true"/>
        </w:rPr>
        <w:footnoteReference w:id="533"/>
      </w:r>
      <w:r>
        <w:rPr>
          <w:rFonts w:ascii="Amiri" w:hAnsi="Amiri" w:eastAsia="Amiri" w:cs="Amiri"/>
          <w:color w:val="111111"/>
          <w:sz w:val="28"/>
          <w:sz w:val="28"/>
          <w:szCs w:val="28"/>
          <w:rtl w:val="true"/>
          <w:lang w:bidi="ar-SA"/>
        </w:rPr>
        <w:t>المجازيّة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فهم المعنى المجازيّ من المجاز المشهور إنّما هو بواسطة اشتهاره فيه، فالشهرة فيه قرينة المجازيّة</w:t>
      </w:r>
      <w:r>
        <w:rPr>
          <w:rStyle w:val="FootnoteAnchor"/>
          <w:rtl w:val="true"/>
        </w:rPr>
        <w:footnoteReference w:id="534"/>
      </w:r>
      <w:r>
        <w:rPr>
          <w:rFonts w:ascii="Amiri" w:hAnsi="Amiri" w:eastAsia="Amiri" w:cs="Amiri"/>
          <w:color w:val="111111"/>
          <w:sz w:val="28"/>
          <w:sz w:val="28"/>
          <w:szCs w:val="28"/>
          <w:rtl w:val="true"/>
          <w:lang w:bidi="ar-SA"/>
        </w:rPr>
        <w:t>، فلم يتحقّق</w:t>
      </w:r>
      <w:r>
        <w:rPr>
          <w:rStyle w:val="FootnoteAnchor"/>
          <w:rtl w:val="true"/>
        </w:rPr>
        <w:footnoteReference w:id="535"/>
      </w:r>
      <w:r>
        <w:rPr>
          <w:rFonts w:ascii="Amiri" w:hAnsi="Amiri" w:eastAsia="Amiri" w:cs="Amiri"/>
          <w:color w:val="111111"/>
          <w:sz w:val="28"/>
          <w:sz w:val="28"/>
          <w:szCs w:val="28"/>
          <w:rtl w:val="true"/>
          <w:lang w:bidi="ar-SA"/>
        </w:rPr>
        <w:t>فيه فهم المعنى من غير افتقار إلى القرينة</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3520103_1280447820"/>
      <w:bookmarkStart w:id="707" w:name="_Toc270"/>
      <w:bookmarkEnd w:id="706"/>
      <w:r>
        <w:rPr>
          <w:rtl w:val="true"/>
        </w:rPr>
        <w:t>في الفرق بين القرينة الّتي في الحقيقة المرجوحة وبينها في المجازات</w:t>
      </w:r>
      <w:bookmarkEnd w:id="707"/>
    </w:p>
    <w:p>
      <w:pPr>
        <w:pStyle w:val="BookText"/>
        <w:rPr/>
      </w:pPr>
      <w:r>
        <w:rPr>
          <w:rFonts w:ascii="Amiri" w:hAnsi="Amiri" w:eastAsia="Amiri" w:cs="Amiri"/>
          <w:color w:val="111111"/>
          <w:sz w:val="28"/>
          <w:sz w:val="28"/>
          <w:szCs w:val="28"/>
          <w:rtl w:val="true"/>
          <w:lang w:bidi="ar-SA"/>
        </w:rPr>
        <w:t>هذا بالنسبة إلى علامة الحقيقة، وأمّا بالنسبة إلى علامة المجاز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المعنى الحقيقيّ في المجاز المشهور متوقّف على القرينة، لكنّها فيه لأجل إزالة القرينة المجازيّة، لا لأجل فهم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إرادة المعنى المجازيّ من اللفظ متوقّفة على وجود القرينة الصارفة، كذلك إرادة المعنى الحقيقيّ منه متوقّفة على انتفاء القرينة المجازيّة؛ ولمّا لم تكن القرينة في غير المجاز المشهور من المجازات لازمة، كان المراد منها عند التجرّد المعنى الحقيقيّ لانتفاء القرينة المجازيّة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المجاز المشهور، فلمّا كانت الشهرة</w:t>
      </w:r>
      <w:r>
        <w:rPr>
          <w:rStyle w:val="FootnoteAnchor"/>
          <w:rtl w:val="true"/>
        </w:rPr>
        <w:footnoteReference w:id="536"/>
      </w:r>
      <w:r>
        <w:rPr>
          <w:rFonts w:ascii="Amiri" w:hAnsi="Amiri" w:eastAsia="Amiri" w:cs="Amiri"/>
          <w:color w:val="111111"/>
          <w:sz w:val="28"/>
          <w:sz w:val="28"/>
          <w:szCs w:val="28"/>
          <w:rtl w:val="true"/>
          <w:lang w:bidi="ar-SA"/>
        </w:rPr>
        <w:t xml:space="preserve">الّتي هي القرينة فيه لازمة وكانت إرادة المعنى الحقيقيّ متوقّفة على انتفاء القرينة المجازيّة كما عرفت، توقّفت إرادته </w:t>
      </w:r>
    </w:p>
    <w:p>
      <w:pPr>
        <w:pStyle w:val="BookText"/>
        <w:rPr/>
      </w:pPr>
      <w:r>
        <w:rPr>
          <w:rFonts w:ascii="Amiri" w:hAnsi="Amiri" w:eastAsia="Amiri" w:cs="Amiri"/>
          <w:color w:val="111111"/>
          <w:sz w:val="28"/>
          <w:sz w:val="28"/>
          <w:szCs w:val="28"/>
          <w:rtl w:val="true"/>
          <w:lang w:bidi="ar-SA"/>
        </w:rPr>
        <w:t>على إقامة القرينة المزيلة لحكم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والاعتراض إنّما يرد إذا جعل مطلق الافتقار إلى القرينة علامة المجازيّة، وليس الأمر كذلك، بل علامته الافتقار إلى القرينة الّتي للدلالة، لا القرينة الّتي يزول بها المانع عنها، فما جعل علامة للمجاز غير موجود في الحقيقة، وما وجد فيها لم يجعل علامة، فلا انتقاض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القرينة في المجاز كما يجوز أن تكون</w:t>
      </w:r>
      <w:r>
        <w:rPr>
          <w:rStyle w:val="FootnoteAnchor"/>
          <w:rtl w:val="true"/>
        </w:rPr>
        <w:footnoteReference w:id="537"/>
      </w:r>
      <w:r>
        <w:rPr>
          <w:rFonts w:ascii="Amiri" w:hAnsi="Amiri" w:eastAsia="Amiri" w:cs="Amiri"/>
          <w:color w:val="111111"/>
          <w:sz w:val="28"/>
          <w:sz w:val="28"/>
          <w:szCs w:val="28"/>
          <w:rtl w:val="true"/>
          <w:lang w:bidi="ar-SA"/>
        </w:rPr>
        <w:t>صارفة عن المعنى الحقيقيّ، أو معيّنة للمعنى المجازيّ، أو هما معًا بأن تكون قرينتان صارفة ومعيّنة، أو واحدة ذات جهتين، كذلك هنا، فإنّها إمّا أن تكون صارفة عن المعنى المشتهر، أو معيّنة للمعنى الحقيقيّ، أو هما معًا، فالفرق بينهما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فلأنّك قد عرفت مرارًا أنّ الافتقار إلى العلامات المقرّرة لتشخيص الحقائق والمجازات إنّما هو للجاهل، 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الجاهل بالاصطلاح إذا تصفّح محاورات أربابه، وظهر له أنّهم متى يستعملون ذلك اللفظ يفهمون منه ذلك المعنى من غير اقترانه إلى قرينة لفظيّة، وكأن إرادة المعنى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المعنى الحقيقيّ 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متوقّفًا على اقترانه بها، من أين</w:t>
      </w:r>
      <w:r>
        <w:rPr>
          <w:rStyle w:val="FootnoteAnchor"/>
          <w:rtl w:val="true"/>
        </w:rPr>
        <w:footnoteReference w:id="538"/>
      </w:r>
      <w:r>
        <w:rPr>
          <w:rFonts w:ascii="Amiri" w:hAnsi="Amiri" w:eastAsia="Amiri" w:cs="Amiri"/>
          <w:color w:val="111111"/>
          <w:sz w:val="28"/>
          <w:sz w:val="28"/>
          <w:szCs w:val="28"/>
          <w:rtl w:val="true"/>
          <w:lang w:bidi="ar-SA"/>
        </w:rPr>
        <w:t>يحكم أنّ فهم المعنى الأوّل متوقّف على القرينة الّتي هي الشهرة وأنّ القرينة في الثاني لدفع المانع عن الدلالة؟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يكن الجواب دافعًا</w:t>
      </w:r>
      <w:r>
        <w:rPr>
          <w:rStyle w:val="FootnoteAnchor"/>
          <w:rtl w:val="true"/>
        </w:rPr>
        <w:footnoteReference w:id="539"/>
      </w:r>
      <w:r>
        <w:rPr>
          <w:rFonts w:ascii="Amiri" w:hAnsi="Amiri" w:eastAsia="Amiri" w:cs="Amiri"/>
          <w:color w:val="111111"/>
          <w:sz w:val="28"/>
          <w:sz w:val="28"/>
          <w:szCs w:val="28"/>
          <w:rtl w:val="true"/>
          <w:lang w:bidi="ar-SA"/>
        </w:rPr>
        <w:t xml:space="preserve">عن الانتقاض، بل يؤكّده ويحقّقه؛ لتحقّق الاحتمال </w:t>
      </w:r>
      <w:bookmarkStart w:id="708" w:name="pg16214_221734"/>
    </w:p>
    <w:p>
      <w:pPr>
        <w:pStyle w:val="BookText"/>
        <w:rPr/>
      </w:pPr>
      <w:bookmarkEnd w:id="708"/>
      <w:r>
        <w:rPr>
          <w:rFonts w:ascii="Amiri" w:hAnsi="Amiri" w:eastAsia="Amiri" w:cs="Amiri"/>
          <w:color w:val="111111"/>
          <w:sz w:val="28"/>
          <w:sz w:val="28"/>
          <w:szCs w:val="28"/>
          <w:rtl w:val="true"/>
          <w:lang w:bidi="ar-SA"/>
        </w:rPr>
        <w:t>المذكور في كلّما يفهم منه المعنى عند التجرّد عن القرينة الظاهرة والاقتران بها، فلا يمكن التوصّل إلى الحقيقة والمجاز بهاتين العلامتين أصلًا</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3520105_1280447820"/>
      <w:bookmarkStart w:id="710" w:name="_Toc271"/>
      <w:bookmarkEnd w:id="709"/>
      <w:r>
        <w:rPr>
          <w:rtl w:val="true"/>
        </w:rPr>
        <w:t>الحقيقة قد تصير مجازًا وبالعكس</w:t>
      </w:r>
      <w:bookmarkEnd w:id="710"/>
    </w:p>
    <w:p>
      <w:pPr>
        <w:pStyle w:val="BookText"/>
        <w:rPr/>
      </w:pPr>
      <w:r>
        <w:rPr>
          <w:rFonts w:ascii="Amiri" w:hAnsi="Amiri" w:eastAsia="Amiri" w:cs="Amiri"/>
          <w:color w:val="111111"/>
          <w:sz w:val="28"/>
          <w:sz w:val="28"/>
          <w:szCs w:val="28"/>
          <w:rtl w:val="true"/>
          <w:lang w:bidi="ar-SA"/>
        </w:rPr>
        <w:t>فالحقّ في الجواب أن يقال بمنع بقاء المعنى المجازيّ والحقيقيّ في اللفظ البالغ إلى هذا الحدّ على كونه مجازيًّا وحقيقيًّا،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إذا بلغ في كثرة الاستعمال في المعنى المجازيّ بحيث ينصرف الذهن إليه عند عدم الاقتران بالقرينة الظاهرة وتتوقّف إرادة المعنى الحقيقيّ على الاقتران بها، ينقلب المجاز حقيقة والحقيقة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قد تصير مجازًا وبالعكس، فإنّ الحقيقة إذا قلّ استعمالها صارت مجازًا عرفيًّا، والمجاز إذا كثر استعماله صار حقيقة عرفيّة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1" w:name="__RefHeading___Toc3520107_1280447820"/>
      <w:bookmarkStart w:id="712" w:name="_Toc272"/>
      <w:bookmarkEnd w:id="711"/>
      <w:r>
        <w:rPr>
          <w:rtl w:val="true"/>
        </w:rPr>
        <w:t>الإيراد الثاني مع الجواب عنه</w:t>
      </w:r>
      <w:bookmarkEnd w:id="712"/>
    </w:p>
    <w:p>
      <w:pPr>
        <w:pStyle w:val="Heading6"/>
        <w:numPr>
          <w:ilvl w:val="5"/>
          <w:numId w:val="1"/>
        </w:numPr>
        <w:rPr/>
      </w:pPr>
      <w:bookmarkStart w:id="713" w:name="__RefHeading___Toc3520109_1280447820"/>
      <w:bookmarkStart w:id="714" w:name="_Toc273"/>
      <w:bookmarkEnd w:id="713"/>
      <w:r>
        <w:rPr>
          <w:rtl w:val="true"/>
        </w:rPr>
        <w:t>اشارة</w:t>
      </w:r>
      <w:bookmarkEnd w:id="714"/>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بالمشترك، فإنّ فهم المعنى منه متوقّف على القرينة مع كونه حقيقة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قد سبق مفصّلًا مع سائر ما يتعلّق بالمقام، فلا وجه للإعادة، فعلى هذا قد سلمت العلامة من الانتقاض، لكن يرد أنّ العلامة بهذا العنوان لا نعرف فرقًا بينها وبين ما تقدّم من التبادر وشقيقه، بل في بادي النظر أنّها ذلك، وإنّما الاختلاف بينهما بالعبارة، فجمعهما في الذكر على ما وقع من بعض </w:t>
      </w:r>
      <w:bookmarkStart w:id="715" w:name="pg16214_221735"/>
    </w:p>
    <w:p>
      <w:pPr>
        <w:pStyle w:val="BookText"/>
        <w:rPr/>
      </w:pPr>
      <w:bookmarkEnd w:id="715"/>
      <w:r>
        <w:rPr>
          <w:rFonts w:ascii="Amiri" w:hAnsi="Amiri" w:eastAsia="Amiri" w:cs="Amiri"/>
          <w:color w:val="111111"/>
          <w:sz w:val="28"/>
          <w:sz w:val="28"/>
          <w:szCs w:val="28"/>
          <w:rtl w:val="true"/>
          <w:lang w:bidi="ar-SA"/>
        </w:rPr>
        <w:t>المحقّقين</w:t>
      </w:r>
      <w:r>
        <w:rPr>
          <w:rStyle w:val="FootnoteAnchor"/>
          <w:rtl w:val="true"/>
        </w:rPr>
        <w:footnoteReference w:id="541"/>
      </w:r>
      <w:r>
        <w:rPr>
          <w:rFonts w:ascii="Amiri" w:hAnsi="Amiri" w:eastAsia="Amiri" w:cs="Amiri"/>
          <w:color w:val="111111"/>
          <w:sz w:val="28"/>
          <w:sz w:val="28"/>
          <w:szCs w:val="28"/>
          <w:rtl w:val="true"/>
          <w:lang w:bidi="ar-SA"/>
        </w:rPr>
        <w:t>غير جيّد؛ وإنّما جمعنا بينهما مع ذلك للتنبيه على ذلك مع بعض الفوائد</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3520111_1280447820"/>
      <w:bookmarkStart w:id="717" w:name="_Toc274"/>
      <w:bookmarkEnd w:id="716"/>
      <w:r>
        <w:rPr>
          <w:rtl w:val="true"/>
        </w:rPr>
        <w:t>في أنّ ما اشتهر من عدم ثبوت اللغات بالاستدلال لا ينافي إثباتها بالتبادر ونحوه</w:t>
      </w:r>
      <w:bookmarkEnd w:id="717"/>
    </w:p>
    <w:p>
      <w:pPr>
        <w:pStyle w:val="BookText"/>
        <w:rPr/>
      </w:pPr>
      <w:r>
        <w:rPr>
          <w:rFonts w:ascii="Amiri" w:hAnsi="Amiri" w:eastAsia="Amiri" w:cs="Amiri"/>
          <w:color w:val="111111"/>
          <w:sz w:val="28"/>
          <w:sz w:val="28"/>
          <w:szCs w:val="28"/>
          <w:rtl w:val="true"/>
          <w:lang w:bidi="ar-SA"/>
        </w:rPr>
        <w:t>إرخاء عنان لتتميم مقام</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في الألسنة وأقيم عليه البرهان والدلالة أنّ اللغات لا تثبت بالدليل</w:t>
      </w:r>
      <w:r>
        <w:rPr>
          <w:rStyle w:val="FootnoteAnchor"/>
          <w:rtl w:val="true"/>
        </w:rPr>
        <w:footnoteReference w:id="542"/>
      </w:r>
      <w:r>
        <w:rPr>
          <w:rFonts w:ascii="Amiri" w:hAnsi="Amiri" w:eastAsia="Amiri" w:cs="Amiri"/>
          <w:color w:val="111111"/>
          <w:sz w:val="28"/>
          <w:sz w:val="28"/>
          <w:szCs w:val="28"/>
          <w:rtl w:val="true"/>
          <w:lang w:bidi="ar-SA"/>
        </w:rPr>
        <w:t>، فكيف يجوز الاستدلال بالأمور المذكورة على إثبات المجاز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اللفظ في هذا المعنى حقيقة لأنّه متبادر منه، أو لم يصحّ سلبه عنه، وفي ذلك المعنى مجاز؛ لأنّ غيره متبادر منه، أو يصحّ سلبه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إثباتٌ للّغة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ليس ممّا منع منه في المقام؛ لأنّ مرجعه إلى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تبادر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 لوضعه له، وكذا الكلام في عدم صحّة السلب، فإذا ظهر شيء منهما بعد التصفّح في الاصطلاح، يعلم الوضع؛ لما تقدّم من أنّ العلم بالمعلول يستلزم العلم بالوضع</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الاستدلال مثل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في هذا المعنى حقيقة؛ لتصريح الواضع بأنّه وضعه له، وكذا الكلام في تبادر الغير وصحّة السلب، فإنّ منشأهما عدم الوضع، فيستدلّ بهما عليه، وهذا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في هذا المعنى مجاز؛ لتصريح الواضع بأنّه غير موضوع له</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لكلّ اصطلاح معانٍ حقيقيّة ومجازيّة، وأنّ لكلّ منهما خاصّة يطّلع المتتبّع عليها، فيلزمه العلم بذي الخاصّة، وإلّا لم تكن الخاصّة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 ولعلّك تطّلع على زيادة تحقيق في ذلك فيما بعد إن شاء الله تعالى</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الثالث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8" w:name="pg16214_221740"/>
      <w:bookmarkStart w:id="719" w:name="pg16214_221740"/>
      <w:bookmarkEnd w:id="719"/>
    </w:p>
    <w:p>
      <w:pPr>
        <w:pStyle w:val="Heading2"/>
        <w:numPr>
          <w:ilvl w:val="1"/>
          <w:numId w:val="1"/>
        </w:numPr>
        <w:rPr/>
      </w:pPr>
      <w:bookmarkStart w:id="720" w:name="pg16214_221740"/>
      <w:bookmarkStart w:id="721" w:name="__RefHeading___Toc3520113_1280447820"/>
      <w:bookmarkStart w:id="722" w:name="_Toc275"/>
      <w:bookmarkEnd w:id="720"/>
      <w:bookmarkEnd w:id="721"/>
      <w:r>
        <w:rPr>
          <w:rtl w:val="true"/>
        </w:rPr>
        <w:t>الباب الثالث</w:t>
      </w:r>
      <w:r>
        <w:rPr>
          <w:rtl w:val="true"/>
        </w:rPr>
        <w:t xml:space="preserve">: </w:t>
      </w:r>
      <w:r>
        <w:rPr>
          <w:rtl w:val="true"/>
        </w:rPr>
        <w:t>في تحقّق الواسطة في الألفاظ</w:t>
      </w:r>
      <w:bookmarkEnd w:id="722"/>
    </w:p>
    <w:p>
      <w:pPr>
        <w:pStyle w:val="Heading3"/>
        <w:numPr>
          <w:ilvl w:val="2"/>
          <w:numId w:val="1"/>
        </w:numPr>
        <w:rPr/>
      </w:pPr>
      <w:bookmarkStart w:id="723" w:name="__RefHeading___Toc3520115_1280447820"/>
      <w:bookmarkStart w:id="724" w:name="_Toc276"/>
      <w:bookmarkEnd w:id="723"/>
      <w:r>
        <w:rPr>
          <w:rtl w:val="true"/>
        </w:rPr>
        <w:t>اشارة</w:t>
      </w:r>
      <w:bookmarkEnd w:id="724"/>
    </w:p>
    <w:p>
      <w:pPr>
        <w:pStyle w:val="BookText"/>
        <w:rPr/>
      </w:pPr>
      <w:r>
        <w:rPr>
          <w:rFonts w:ascii="Amiri" w:hAnsi="Amiri" w:eastAsia="Amiri" w:cs="Amiri"/>
          <w:color w:val="111111"/>
          <w:sz w:val="28"/>
          <w:sz w:val="28"/>
          <w:szCs w:val="28"/>
          <w:rtl w:val="true"/>
          <w:lang w:bidi="ar-SA"/>
        </w:rPr>
        <w:t>بين المجاز والحقيقة وتعارض الأحوال وغيرهما</w:t>
      </w:r>
    </w:p>
    <w:p>
      <w:pPr>
        <w:pStyle w:val="BookText"/>
        <w:rPr/>
      </w:pPr>
      <w:r>
        <w:rPr>
          <w:rFonts w:ascii="Amiri" w:hAnsi="Amiri" w:eastAsia="Amiri" w:cs="Amiri"/>
          <w:color w:val="111111"/>
          <w:sz w:val="28"/>
          <w:sz w:val="28"/>
          <w:szCs w:val="28"/>
          <w:rtl w:val="true"/>
          <w:lang w:bidi="ar-SA"/>
        </w:rPr>
        <w:t>ففيه فصلان</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3520117_1280447820"/>
      <w:bookmarkStart w:id="726" w:name="_Toc277"/>
      <w:bookmarkEnd w:id="725"/>
      <w:r>
        <w:rPr>
          <w:rtl w:val="true"/>
        </w:rPr>
        <w:t>الفصل الأوّل</w:t>
      </w:r>
      <w:r>
        <w:rPr>
          <w:rtl w:val="true"/>
        </w:rPr>
        <w:t xml:space="preserve">: </w:t>
      </w:r>
      <w:r>
        <w:rPr>
          <w:rtl w:val="true"/>
        </w:rPr>
        <w:t>في تحقّق الواسطة بينهما وجواز انفكاك كلّ منهما عن الآخر</w:t>
      </w:r>
      <w:bookmarkEnd w:id="726"/>
    </w:p>
    <w:p>
      <w:pPr>
        <w:pStyle w:val="Heading4"/>
        <w:numPr>
          <w:ilvl w:val="3"/>
          <w:numId w:val="1"/>
        </w:numPr>
        <w:rPr/>
      </w:pPr>
      <w:bookmarkStart w:id="727" w:name="__RefHeading___Toc3520119_1280447820"/>
      <w:bookmarkStart w:id="728" w:name="_Toc278"/>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3520121_1280447820"/>
      <w:bookmarkStart w:id="730" w:name="_Toc279"/>
      <w:bookmarkEnd w:id="729"/>
      <w:r>
        <w:rPr>
          <w:rtl w:val="true"/>
        </w:rPr>
        <w:t>المبحث الأوّل</w:t>
      </w:r>
      <w:r>
        <w:rPr>
          <w:rtl w:val="true"/>
        </w:rPr>
        <w:t xml:space="preserve">: </w:t>
      </w:r>
      <w:r>
        <w:rPr>
          <w:rtl w:val="true"/>
        </w:rPr>
        <w:t>في تحقّق الواسطة بين المجاز والحقيقة</w:t>
      </w:r>
      <w:bookmarkEnd w:id="730"/>
    </w:p>
    <w:p>
      <w:pPr>
        <w:pStyle w:val="Heading5"/>
        <w:numPr>
          <w:ilvl w:val="4"/>
          <w:numId w:val="1"/>
        </w:numPr>
        <w:rPr/>
      </w:pPr>
      <w:bookmarkStart w:id="731" w:name="__RefHeading___Toc3520123_1280447820"/>
      <w:bookmarkStart w:id="732" w:name="_Toc280"/>
      <w:bookmarkEnd w:id="731"/>
      <w:r>
        <w:rPr>
          <w:rtl w:val="true"/>
        </w:rPr>
        <w:t>اشارة</w:t>
      </w:r>
      <w:bookmarkEnd w:id="732"/>
    </w:p>
    <w:p>
      <w:pPr>
        <w:pStyle w:val="BookText"/>
        <w:rPr/>
      </w:pPr>
      <w:r>
        <w:rPr>
          <w:rFonts w:ascii="Amiri" w:hAnsi="Amiri" w:eastAsia="Amiri" w:cs="Amiri"/>
          <w:color w:val="111111"/>
          <w:sz w:val="28"/>
          <w:sz w:val="28"/>
          <w:szCs w:val="28"/>
          <w:rtl w:val="true"/>
          <w:lang w:bidi="ar-SA"/>
        </w:rPr>
        <w:t>إنّ اللفظ قد لا يكون حقيقة ولا مجازًا، فيكون واسطة بينهما، وذلك في مواضع</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3520125_1280447820"/>
      <w:bookmarkStart w:id="734" w:name="_Toc281"/>
      <w:bookmarkEnd w:id="733"/>
      <w:r>
        <w:rPr>
          <w:rtl w:val="true"/>
        </w:rPr>
        <w:t>الموضع الأوّل</w:t>
      </w:r>
      <w:bookmarkEnd w:id="73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اللفظ الموضوع قبل الاستعمال في الموضوع له وغيره، فإنّه لا يكون حقيقة ولا مجازًا، لما عرفت سابقًا من اعتبار الاستعمال في حدّيهما</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735" w:name="pg16214_221741"/>
    </w:p>
    <w:p>
      <w:pPr>
        <w:pStyle w:val="BookText"/>
        <w:rPr/>
      </w:pPr>
      <w:bookmarkEnd w:id="735"/>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في حدّ كلّ منهما جنسان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وقريب</w:t>
      </w:r>
      <w:r>
        <w:rPr>
          <w:rStyle w:val="FootnoteAnchor"/>
          <w:rtl w:val="true"/>
        </w:rPr>
        <w:footnoteReference w:id="54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المستعمل، والمتحقّق فيما نحن فيه إنّما هو البعيد فقط، وتحقّقه غير كافٍ لتحقّق جنسهما القريب؛ لعدم استلزام العامّ للخاصّ، فكيف بالنسبة إليهما وإن كان تحقّق القريب مستلزمًا لتحقّقه، كما أنّ انتفاء البعيد مستلزم لانتفائه؛ لوضوح استلزام تحقّق الأخصّ للأعمّ، ولذا كلّما كان الجنس أقرب كان اشتماله على الذاتيّات أكثر، واستلزام انتفاء الأعمّ للأخصّ</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3520127_1280447820"/>
      <w:bookmarkStart w:id="737" w:name="_Toc282"/>
      <w:bookmarkEnd w:id="736"/>
      <w:r>
        <w:rPr>
          <w:rtl w:val="true"/>
        </w:rPr>
        <w:t>الموضع الثاني</w:t>
      </w:r>
      <w:bookmarkEnd w:id="737"/>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المهملة، فإنّها أيضًا غير متّصفة بالمجاز والحقيقة؛ لابتناء الانقسام إليهما بالوضع المنتفي فيها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3520129_1280447820"/>
      <w:bookmarkStart w:id="739" w:name="_Toc283"/>
      <w:bookmarkEnd w:id="738"/>
      <w:r>
        <w:rPr>
          <w:rtl w:val="true"/>
        </w:rPr>
        <w:t>الموضع الثالث</w:t>
      </w:r>
      <w:bookmarkEnd w:id="73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الموضوعة المستعملة في غير معانيها غلطًا</w:t>
      </w:r>
      <w:r>
        <w:rPr>
          <w:rStyle w:val="FootnoteAnchor"/>
          <w:rtl w:val="true"/>
        </w:rPr>
        <w:footnoteReference w:id="546"/>
      </w:r>
      <w:r>
        <w:rPr>
          <w:rFonts w:ascii="Amiri" w:hAnsi="Amiri" w:eastAsia="Amiri" w:cs="Amiri"/>
          <w:color w:val="111111"/>
          <w:sz w:val="28"/>
          <w:sz w:val="28"/>
          <w:szCs w:val="28"/>
          <w:rtl w:val="true"/>
          <w:lang w:bidi="ar-SA"/>
        </w:rPr>
        <w:t>، أمّا عدم اتّصافها بالحقيقة؛ فلأنّها بالنسبة إلى ذلك الاستعمال غير مستعملة فيما وضعت لها، وهو ظاهر، وأمّا عدم اتّصافها بالمجاز مع تحقّق الوضع والاستعمال في غير الموضوع له، فلما تقدّم من أنّ المجاز الّذي كلامنا فيه هو ما لوحظ فيه العلاقة والمناسبة، وهي هنا منتفية</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المواضع قد وُجد فيها اللفظ مع عدم الاتّصاف بالحقيقة والمجاز</w:t>
      </w:r>
      <w:r>
        <w:rPr>
          <w:rStyle w:val="FootnoteAnchor"/>
          <w:rtl w:val="true"/>
        </w:rPr>
        <w:footnoteReference w:id="547"/>
      </w:r>
      <w:r>
        <w:rPr>
          <w:rFonts w:ascii="Amiri" w:hAnsi="Amiri" w:eastAsia="Amiri" w:cs="Amiri"/>
          <w:color w:val="111111"/>
          <w:sz w:val="28"/>
          <w:sz w:val="28"/>
          <w:szCs w:val="28"/>
          <w:rtl w:val="true"/>
          <w:lang w:bidi="ar-SA"/>
        </w:rPr>
        <w:t>، 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أنّهما لمّا كانا وجوديّين غير مجتمعين في محلّ واحد من جهة واحدة ولم يكونا من المتضايفين، يكون التقابل بينهما تقابل الضدّين، ومقتضى الضدّين جواز خلوّ المحلّ عنهما، كما لا يخفى</w:t>
      </w:r>
      <w:r>
        <w:rPr>
          <w:rFonts w:eastAsia="Amiri" w:cs="Amiri" w:ascii="Amiri" w:hAnsi="Amiri"/>
          <w:color w:val="111111"/>
          <w:sz w:val="28"/>
          <w:szCs w:val="28"/>
          <w:rtl w:val="true"/>
          <w:lang w:bidi="ar-SA"/>
        </w:rPr>
        <w:t xml:space="preserve">. </w:t>
      </w:r>
      <w:bookmarkStart w:id="740" w:name="pg16214_221743"/>
    </w:p>
    <w:p>
      <w:pPr>
        <w:pStyle w:val="BookText"/>
        <w:rPr/>
      </w:pPr>
      <w:bookmarkEnd w:id="740"/>
      <w:r>
        <w:rPr>
          <w:rFonts w:ascii="Amiri" w:hAnsi="Amiri" w:eastAsia="Amiri" w:cs="Amiri"/>
          <w:color w:val="111111"/>
          <w:sz w:val="28"/>
          <w:sz w:val="28"/>
          <w:szCs w:val="28"/>
          <w:rtl w:val="true"/>
          <w:lang w:bidi="ar-SA"/>
        </w:rPr>
        <w:t>في عدم استلزام الحقيقة للمجاز</w:t>
      </w:r>
    </w:p>
    <w:p>
      <w:pPr>
        <w:pStyle w:val="Heading4"/>
        <w:numPr>
          <w:ilvl w:val="3"/>
          <w:numId w:val="1"/>
        </w:numPr>
        <w:rPr/>
      </w:pPr>
      <w:bookmarkStart w:id="741" w:name="__RefHeading___Toc3520131_1280447820"/>
      <w:bookmarkStart w:id="742" w:name="_Toc284"/>
      <w:bookmarkEnd w:id="741"/>
      <w:r>
        <w:rPr>
          <w:rtl w:val="true"/>
        </w:rPr>
        <w:t>المبحث الثاني</w:t>
      </w:r>
      <w:r>
        <w:rPr>
          <w:rtl w:val="true"/>
        </w:rPr>
        <w:t xml:space="preserve">: </w:t>
      </w:r>
      <w:r>
        <w:rPr>
          <w:rtl w:val="true"/>
        </w:rPr>
        <w:t>في جواز انفكاك الحقيقة من المجاز</w:t>
      </w:r>
      <w:bookmarkEnd w:id="742"/>
    </w:p>
    <w:p>
      <w:pPr>
        <w:pStyle w:val="Heading5"/>
        <w:numPr>
          <w:ilvl w:val="4"/>
          <w:numId w:val="1"/>
        </w:numPr>
        <w:rPr/>
      </w:pPr>
      <w:bookmarkStart w:id="743" w:name="__RefHeading___Toc3520133_1280447820"/>
      <w:bookmarkStart w:id="744" w:name="_Toc285"/>
      <w:bookmarkEnd w:id="743"/>
      <w:r>
        <w:rPr>
          <w:rtl w:val="true"/>
        </w:rPr>
        <w:t>اشارة</w:t>
      </w:r>
      <w:bookmarkEnd w:id="744"/>
    </w:p>
    <w:p>
      <w:pPr>
        <w:pStyle w:val="BookText"/>
        <w:rPr/>
      </w:pPr>
      <w:r>
        <w:rPr>
          <w:rFonts w:ascii="Amiri" w:hAnsi="Amiri" w:eastAsia="Amiri" w:cs="Amiri"/>
          <w:color w:val="111111"/>
          <w:sz w:val="28"/>
          <w:sz w:val="28"/>
          <w:szCs w:val="28"/>
          <w:rtl w:val="true"/>
          <w:lang w:bidi="ar-SA"/>
        </w:rPr>
        <w:t>ويمكن التكلّم في ذلك من كلٍّ من جانب المجاز والحقيقة، أمّا الثاني فلأنّ الحقيقة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المستعمل في الموضوع له، ولا شبهة في عدم استلزام استعمال اللفظ في الموضوع له استعماله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المجاز على ما 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المستعمل في غير الموضوع له لإحدى العلائق بينه وبين الموضوع له، فيجوز أن يكون الموضوع له اللفظ معنًى لا يكون بينه وبين غيره من المعاني شيء من العلائق المعتبرة، سواء كان ذلك المعنى بسيطًا أو مركّبًا، لكن لم يتحقّق فيه الشرطان المتقدّمان المعتبران في إطلاق لفظ الكلّ على الجزء</w:t>
      </w:r>
      <w:r>
        <w:rPr>
          <w:rStyle w:val="FootnoteAnchor"/>
          <w:rtl w:val="true"/>
        </w:rPr>
        <w:footnoteReference w:id="548"/>
      </w:r>
      <w:r>
        <w:rPr>
          <w:rFonts w:ascii="Amiri" w:hAnsi="Amiri" w:eastAsia="Amiri" w:cs="Amiri"/>
          <w:color w:val="111111"/>
          <w:sz w:val="28"/>
          <w:sz w:val="28"/>
          <w:szCs w:val="28"/>
          <w:rtl w:val="true"/>
          <w:lang w:bidi="ar-SA"/>
        </w:rPr>
        <w:t>، ولا شبهة في إمكان ذلك، فحينئذٍ لو استعمل ذلك اللفظ في ذلك المعنى يكون حقيقة ولا يمكن اتّصافه بالمجازيّة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كلّما كان الشيء في تحصّله مفتقرًا إلى أمور لم يكن وجوده لازمًا لَمَا توقّف تحصّله على بعضها؛ ولمّا كان المجاز تحصّله متوقّفًا على اللفظ والاستعمال والموضوع له وغيره وعلاقة بينهما، والحقيقة على الثلاثة الأُوّل، فلا يلزم من تحقّقها تحقّقه على سبيل العموم، ففي مقام الانفكاك الّذي </w:t>
      </w:r>
    </w:p>
    <w:p>
      <w:pPr>
        <w:pStyle w:val="BookText"/>
        <w:rPr/>
      </w:pPr>
      <w:r>
        <w:rPr>
          <w:rFonts w:ascii="Amiri" w:hAnsi="Amiri" w:eastAsia="Amiri" w:cs="Amiri"/>
          <w:color w:val="111111"/>
          <w:sz w:val="28"/>
          <w:sz w:val="28"/>
          <w:szCs w:val="28"/>
          <w:rtl w:val="true"/>
          <w:lang w:bidi="ar-SA"/>
        </w:rPr>
        <w:t>كلامنا فيه وإن تحقّقت الأربعة</w:t>
      </w:r>
      <w:r>
        <w:rPr>
          <w:rStyle w:val="FootnoteAnchor"/>
          <w:rtl w:val="true"/>
        </w:rPr>
        <w:footnoteReference w:id="549"/>
      </w:r>
      <w:r>
        <w:rPr>
          <w:rFonts w:ascii="Amiri" w:hAnsi="Amiri" w:eastAsia="Amiri" w:cs="Amiri"/>
          <w:color w:val="111111"/>
          <w:sz w:val="28"/>
          <w:sz w:val="28"/>
          <w:szCs w:val="28"/>
          <w:rtl w:val="true"/>
          <w:lang w:bidi="ar-SA"/>
        </w:rPr>
        <w:t>، لكن وجود الخامس غير معلوم، وهو كافٍ لإثبات المدّعى، فتأمّل</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يقتضي أكثريّة الحقائق من المجازات، وهو ينافي ما اشتهر في الألسنة من الحكم على المجاز بالأكثريّة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دليلٌ عقليٌّ قطعيٌّ لا يكاد يشكّ فيه، فاللازم صرف الهمّة إلى دفع معارضه، فتحقيقه يقتضي إرخاء العنان في هذا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المقالة تحتمل معان خمسة</w:t>
      </w:r>
      <w:r>
        <w:rPr>
          <w:rFonts w:eastAsia="Amiri" w:cs="Amiri" w:ascii="Amiri" w:hAnsi="Amiri"/>
          <w:color w:val="111111"/>
          <w:sz w:val="28"/>
          <w:szCs w:val="28"/>
          <w:rtl w:val="true"/>
          <w:lang w:bidi="ar-SA"/>
        </w:rPr>
        <w:t xml:space="preserve">: </w:t>
      </w:r>
      <w:bookmarkStart w:id="745" w:name="pg16214_221745"/>
    </w:p>
    <w:p>
      <w:pPr>
        <w:pStyle w:val="Heading5"/>
        <w:numPr>
          <w:ilvl w:val="4"/>
          <w:numId w:val="1"/>
        </w:numPr>
        <w:rPr/>
      </w:pPr>
      <w:bookmarkStart w:id="746" w:name="__RefHeading___Toc3520135_1280447820"/>
      <w:bookmarkStart w:id="747" w:name="_Toc286"/>
      <w:bookmarkEnd w:id="745"/>
      <w:bookmarkEnd w:id="746"/>
      <w:r>
        <w:rPr>
          <w:rtl w:val="true"/>
        </w:rPr>
        <w:t>الاحتمالات في معنى أنّ المجاز أكثر من الحقيقة</w:t>
      </w:r>
      <w:bookmarkEnd w:id="747"/>
    </w:p>
    <w:p>
      <w:pPr>
        <w:pStyle w:val="Heading6"/>
        <w:numPr>
          <w:ilvl w:val="5"/>
          <w:numId w:val="1"/>
        </w:numPr>
        <w:rPr/>
      </w:pPr>
      <w:bookmarkStart w:id="748" w:name="__RefHeading___Toc3520137_1280447820"/>
      <w:bookmarkStart w:id="749" w:name="_Toc287"/>
      <w:bookmarkEnd w:id="748"/>
      <w:r>
        <w:rPr>
          <w:rtl w:val="true"/>
        </w:rPr>
        <w:t>المعنى الأوّل</w:t>
      </w:r>
      <w:bookmarkEnd w:id="74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على سبيل الإطلاق بالنسبة إلى جميع الألفاظ، بل</w:t>
      </w:r>
      <w:r>
        <w:rPr>
          <w:rStyle w:val="FootnoteAnchor"/>
          <w:rtl w:val="true"/>
        </w:rPr>
        <w:footnoteReference w:id="551"/>
      </w:r>
      <w:r>
        <w:rPr>
          <w:rFonts w:ascii="Amiri" w:hAnsi="Amiri" w:eastAsia="Amiri" w:cs="Amiri"/>
          <w:color w:val="111111"/>
          <w:sz w:val="28"/>
          <w:sz w:val="28"/>
          <w:szCs w:val="28"/>
          <w:rtl w:val="true"/>
          <w:lang w:bidi="ar-SA"/>
        </w:rPr>
        <w:t>فيما إذا كان المستعمل فيه اللفظ متعدّدًا، معنيين أو أكثر، ولم يثبت الوضع بالنسبة إلى الجميع، فمقتضى المقالة المذكورة على هذا أكثريّة المجاز من الاشتراك، بمعنى أنّ كون</w:t>
      </w:r>
      <w:r>
        <w:rPr>
          <w:rStyle w:val="FootnoteAnchor"/>
          <w:rtl w:val="true"/>
        </w:rPr>
        <w:footnoteReference w:id="552"/>
      </w:r>
      <w:r>
        <w:rPr>
          <w:rFonts w:ascii="Amiri" w:hAnsi="Amiri" w:eastAsia="Amiri" w:cs="Amiri"/>
          <w:color w:val="111111"/>
          <w:sz w:val="28"/>
          <w:sz w:val="28"/>
          <w:szCs w:val="28"/>
          <w:rtl w:val="true"/>
          <w:lang w:bidi="ar-SA"/>
        </w:rPr>
        <w:t>اللفظ المستعمل في المعاني المتعدّدة حقيقة ومجازًا أكثر من كونه حقيقة في الجميع، فإذا ثبت استعمال اللفظ في المعاني المتعدّدة وتردّد بين كونه حقيقة في الجميع أو في البعض ومجازًا في الآخر، يحمل على الثاني؛ لأنّ الظنّ يلحق الشيء بالأغلب</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هذا المعنى تمسّكهم بتلك المقالة عند معارضة الاشتراك والمجاز، والكثرة بهذا المعنى للمجاز مسلّمة وإن ذهب مرجّح الاشتراك إلى خلافه، وسيجيء الكلام فيه مع جوابه، لكن اللازم منه أكثريّة المجاز بالنسبة إلى الاشتراك، ولا يلزم منه أكثريّته بالنسبة إلى جميع الحقائق حتّى يتوهّم</w:t>
      </w:r>
      <w:r>
        <w:rPr>
          <w:rStyle w:val="FootnoteAnchor"/>
          <w:rtl w:val="true"/>
        </w:rPr>
        <w:footnoteReference w:id="554"/>
      </w:r>
      <w:r>
        <w:rPr>
          <w:rFonts w:ascii="Amiri" w:hAnsi="Amiri" w:eastAsia="Amiri" w:cs="Amiri"/>
          <w:color w:val="111111"/>
          <w:sz w:val="28"/>
          <w:sz w:val="28"/>
          <w:szCs w:val="28"/>
          <w:rtl w:val="true"/>
          <w:lang w:bidi="ar-SA"/>
        </w:rPr>
        <w:t>التنافي كما لا يخفى</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3520139_1280447820"/>
      <w:bookmarkStart w:id="751" w:name="_Toc288"/>
      <w:bookmarkEnd w:id="750"/>
      <w:r>
        <w:rPr>
          <w:rtl w:val="true"/>
        </w:rPr>
        <w:t>المعنى الثاني</w:t>
      </w:r>
      <w:bookmarkEnd w:id="75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 اللفظ في المعنى المجازيّ أكثر من استعماله في معناه الحقيقيّ، </w:t>
      </w:r>
    </w:p>
    <w:p>
      <w:pPr>
        <w:pStyle w:val="BookText"/>
        <w:rPr/>
      </w:pPr>
      <w:r>
        <w:rPr>
          <w:rFonts w:ascii="Amiri" w:hAnsi="Amiri" w:eastAsia="Amiri" w:cs="Amiri"/>
          <w:color w:val="111111"/>
          <w:sz w:val="28"/>
          <w:sz w:val="28"/>
          <w:szCs w:val="28"/>
          <w:rtl w:val="true"/>
          <w:lang w:bidi="ar-SA"/>
        </w:rPr>
        <w:t>ولعلّ هذا المعنى يظهر ممّن تمسّك بتلك المقالة عند معارضة التخصيص والمجاز معترضًا على من رجّح التخصيص، تمسّكًا بما اشتهر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المعنى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كلّ لفظ له معنى مجازيّ في كلّ واحد من معانيه المجازيّة أكثر من استعماله في 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في معانيه المجازيّة أكثر من استعماله في المعنى الحقيقيّ وإن لم يكن استعماله في كلّ واحد من معانيه المجازيّة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وجه أكثريّة استعماله في المعنى المجازيّ القصدُ إلى اتّصاف الكلام بالبلاغة، بناءً على أنّها لا تحصل إلّا باشتمال الكلام على اللطائف والنكات الزائدة الّتي لا تحصل</w:t>
      </w:r>
      <w:r>
        <w:rPr>
          <w:rStyle w:val="FootnoteAnchor"/>
          <w:rtl w:val="true"/>
        </w:rPr>
        <w:footnoteReference w:id="556"/>
      </w:r>
      <w:r>
        <w:rPr>
          <w:rFonts w:ascii="Amiri" w:hAnsi="Amiri" w:eastAsia="Amiri" w:cs="Amiri"/>
          <w:color w:val="111111"/>
          <w:sz w:val="28"/>
          <w:sz w:val="28"/>
          <w:szCs w:val="28"/>
          <w:rtl w:val="true"/>
          <w:lang w:bidi="ar-SA"/>
        </w:rPr>
        <w:t>إلّا بوجوه الاستعارات والكنايات، إذ بدون ذلك يكون الكلام مفيدًا لأصل المقصود من دون اعتبار أمر زائد عليه، فلا يكون بليغًا، ومن ثمّ كان المجاز هو الغالب في كلام البلغاء والشعراء</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دعوى الكثرة في المجاز بهذا المعنى بإطلاقها ممنوعة، إذ لا شبهة في أنّ استعمال الألفاظ بين عامّة الناس أكثر من استعمالها بين خاصّتهم، ولا ريب في أنّ أكثر</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الاستعمالات الدائرة بينهم ليست بمجازات</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أكثر الاستعمالات الدائرة بين الشعراء والخطباء وإن كانت مجازات، لكنّها غير كافية لإثبات الأكثريّة على الإطلاق، على أنّ ذلك غير مسلّم بإطلاقه، بل بالنسبة إلى الخطب والأشعار، فمن أين ثبتت أكثريّة المجاز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حصر البلاغة في المجازات والاستعارة يستدعي إمّا عدم اشتمال الكتاب المجيد على الحقائق، أو عدم كونه بتمامه بليغًا؛ والتالي بشقّيه فاسد، فالمقدّم مثله، والملازمة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الشقّ الثاني من التالي، فغير محتاج إلى البيان، ضرورة أنّ القرآن بتمامه في أعلى مراتب البلاغة التي في حدّ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الشقّ الأوّل منه، فكذلك أيضًا؛ لأنّ اشتماله على الحقيقة ممّا لا يحوله إنكار،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الغرض الأصلي منه البيان والإعلام، لا الإجمال والإبهام، ولا ريب أنّ المناسب لهذا الغرض استعمال الحقيقة دون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ادّعى سيّد الأواخر والأوائل، ومفخر الأماثل والأفاضل، الّذي قد انتهت إليه مراتب الفضيلة والسعادة</w:t>
      </w:r>
      <w:r>
        <w:rPr>
          <w:rStyle w:val="FootnoteAnchor"/>
          <w:rtl w:val="true"/>
        </w:rPr>
        <w:footnoteReference w:id="560"/>
      </w:r>
      <w:r>
        <w:rPr>
          <w:rFonts w:ascii="Amiri" w:hAnsi="Amiri" w:eastAsia="Amiri" w:cs="Amiri"/>
          <w:color w:val="111111"/>
          <w:sz w:val="28"/>
          <w:sz w:val="28"/>
          <w:szCs w:val="28"/>
          <w:rtl w:val="true"/>
          <w:lang w:bidi="ar-SA"/>
        </w:rPr>
        <w:t>، وحاوت عليه السعادة الدنيويّة والأخرويّة، أستاذنا</w:t>
      </w:r>
      <w:r>
        <w:rPr>
          <w:rStyle w:val="FootnoteAnchor"/>
          <w:rtl w:val="true"/>
        </w:rPr>
        <w:footnoteReference w:id="561"/>
      </w:r>
      <w:r>
        <w:rPr>
          <w:rFonts w:ascii="Amiri" w:hAnsi="Amiri" w:eastAsia="Amiri" w:cs="Amiri"/>
          <w:color w:val="111111"/>
          <w:sz w:val="28"/>
          <w:sz w:val="28"/>
          <w:szCs w:val="28"/>
          <w:rtl w:val="true"/>
          <w:lang w:bidi="ar-SA"/>
        </w:rPr>
        <w:t xml:space="preserve">بل أستاذ البريّة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إفادته وإفاضته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الغالب في ألفاظ</w:t>
      </w:r>
      <w:r>
        <w:rPr>
          <w:rStyle w:val="FootnoteAnchor"/>
          <w:rtl w:val="true"/>
        </w:rPr>
        <w:footnoteReference w:id="562"/>
      </w:r>
      <w:r>
        <w:rPr>
          <w:rFonts w:ascii="Amiri" w:hAnsi="Amiri" w:eastAsia="Amiri" w:cs="Amiri"/>
          <w:color w:val="111111"/>
          <w:sz w:val="28"/>
          <w:sz w:val="28"/>
          <w:szCs w:val="28"/>
          <w:rtl w:val="true"/>
          <w:lang w:bidi="ar-SA"/>
        </w:rPr>
        <w:t>القرآن والحديث هو الحقيقة، وإنّ المجاز فيها</w:t>
      </w:r>
      <w:r>
        <w:rPr>
          <w:rStyle w:val="FootnoteAnchor"/>
          <w:rtl w:val="true"/>
        </w:rPr>
        <w:footnoteReference w:id="563"/>
      </w:r>
      <w:r>
        <w:rPr>
          <w:rFonts w:ascii="Amiri" w:hAnsi="Amiri" w:eastAsia="Amiri" w:cs="Amiri"/>
          <w:color w:val="111111"/>
          <w:sz w:val="28"/>
          <w:sz w:val="28"/>
          <w:szCs w:val="28"/>
          <w:rtl w:val="true"/>
          <w:lang w:bidi="ar-SA"/>
        </w:rPr>
        <w:t xml:space="preserve">قليل </w:t>
      </w:r>
      <w:bookmarkStart w:id="752" w:name="pg16214_221748"/>
    </w:p>
    <w:p>
      <w:pPr>
        <w:pStyle w:val="BookText"/>
        <w:rPr/>
      </w:pPr>
      <w:bookmarkEnd w:id="752"/>
      <w:r>
        <w:rPr>
          <w:rFonts w:ascii="Amiri" w:hAnsi="Amiri" w:eastAsia="Amiri" w:cs="Amiri"/>
          <w:color w:val="111111"/>
          <w:sz w:val="28"/>
          <w:sz w:val="28"/>
          <w:szCs w:val="28"/>
          <w:rtl w:val="true"/>
          <w:lang w:bidi="ar-SA"/>
        </w:rPr>
        <w:t>جدًّا بالقياس إليها، خصوصًا فيما يتعلّق فيها</w:t>
      </w:r>
      <w:r>
        <w:rPr>
          <w:rStyle w:val="FootnoteAnchor"/>
          <w:rtl w:val="true"/>
        </w:rPr>
        <w:footnoteReference w:id="564"/>
      </w:r>
      <w:r>
        <w:rPr>
          <w:rFonts w:ascii="Amiri" w:hAnsi="Amiri" w:eastAsia="Amiri" w:cs="Amiri"/>
          <w:color w:val="111111"/>
          <w:sz w:val="28"/>
          <w:sz w:val="28"/>
          <w:szCs w:val="28"/>
          <w:rtl w:val="true"/>
          <w:lang w:bidi="ar-SA"/>
        </w:rPr>
        <w:t>بالأحكام</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البلاغة في الكلام على ما عرّفها أئمّة المعاني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مطابقته لمقتضى الحال مع فصاحته</w:t>
      </w:r>
      <w:r>
        <w:rPr>
          <w:rStyle w:val="FootnoteAnchor"/>
          <w:rtl w:val="true"/>
        </w:rPr>
        <w:footnoteReference w:id="566"/>
      </w:r>
      <w:r>
        <w:rPr>
          <w:rFonts w:ascii="Amiri" w:hAnsi="Amiri" w:eastAsia="Amiri" w:cs="Amiri"/>
          <w:color w:val="111111"/>
          <w:sz w:val="28"/>
          <w:sz w:val="28"/>
          <w:szCs w:val="28"/>
          <w:rtl w:val="true"/>
          <w:lang w:bidi="ar-SA"/>
        </w:rPr>
        <w:t>، والمراد بالحال الأمر الداعي إلى التكلّم على وجه مخصوص من التأكيد والإطلاق والحذف وعدمه ونحوها، ولا شبهة في أنّه كما يحصل في المجازات، كذا يحصل في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تسليم الكثرة بهذا المعنى في المجازات، لا يلزم منه أكثريّة المجاز بحسب الوجود من الحقيقة؛ لجواز أن يكونا متساويين، بل يكون المجاز أقلّ وجودًا من الحقيقة، ومع ذلك يكون الاستعمال المجازيّ أكثر، بأن تكون بعض الألفاظ حقيقة لا مجازًا، ومع ذلك كان استعمال جنس المجاز في المحاورات أكثر كما لا يخفى، فعلى هذا يكون مرجع هذا المعنى أنّ استعمال اللفظ الّذي له معنى مجازيّ فيه أكثر من استعمال الحقائق</w:t>
      </w:r>
      <w:r>
        <w:rPr>
          <w:rFonts w:eastAsia="Amiri" w:cs="Amiri" w:ascii="Amiri" w:hAnsi="Amiri"/>
          <w:color w:val="111111"/>
          <w:sz w:val="28"/>
          <w:szCs w:val="28"/>
          <w:rtl w:val="true"/>
          <w:lang w:bidi="ar-SA"/>
        </w:rPr>
        <w:t>.</w:t>
      </w:r>
    </w:p>
    <w:p>
      <w:pPr>
        <w:pStyle w:val="Heading6"/>
        <w:numPr>
          <w:ilvl w:val="5"/>
          <w:numId w:val="1"/>
        </w:numPr>
        <w:rPr/>
      </w:pPr>
      <w:bookmarkStart w:id="753" w:name="__RefHeading___Toc3520141_1280447820"/>
      <w:bookmarkStart w:id="754" w:name="_Toc289"/>
      <w:bookmarkEnd w:id="753"/>
      <w:r>
        <w:rPr>
          <w:rtl w:val="true"/>
        </w:rPr>
        <w:t>المعنى الثالث</w:t>
      </w:r>
      <w:bookmarkEnd w:id="754"/>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الاستعمالات المجازيّة في المحاورات أكثر من الحقيقة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 وبين المعنى الثاني هو أنّ كثرة الاستعمال في المعنى المجازيّ إنّما كانت مفروضة في المعنى الثاني بالنسبة إلى كلّ لفظ بخلافه هنا، فإنّ المعتبر فيه أكثريّة الاستعمالات المجازيّة، فيجوز أن يكون استعمال بعض الألفاظ في معناه </w:t>
      </w:r>
      <w:bookmarkStart w:id="755" w:name="pg16214_221749"/>
    </w:p>
    <w:p>
      <w:pPr>
        <w:pStyle w:val="BookText"/>
        <w:rPr/>
      </w:pPr>
      <w:bookmarkEnd w:id="755"/>
      <w:r>
        <w:rPr>
          <w:rFonts w:ascii="Amiri" w:hAnsi="Amiri" w:eastAsia="Amiri" w:cs="Amiri"/>
          <w:color w:val="111111"/>
          <w:sz w:val="28"/>
          <w:sz w:val="28"/>
          <w:szCs w:val="28"/>
          <w:rtl w:val="true"/>
          <w:lang w:bidi="ar-SA"/>
        </w:rPr>
        <w:t>المجازيّ أقلّ من استعماله في معناه الحقيقيّ وبعضها أكثر بحيث إذا لوحظ مطلق الاستعمال في المعنى المجازيّ كان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تحقّق الكثرة هنا كالكلام في السابق، إلّا أنّ الأمر هنا أسهل منه كما لا يخفى على المتأمّل، وعلى فرض تسليمها غير منافية للمدّعى، لما تقدّم آنفًا،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أربعة أشياء، قلّة الوجود وكثرته، وقلّة الاستعمال وكثرته، ولو كانت قلّة الوجود مستلزمة لقلّة الاستعمال، أو كثرته مستلزمة لكثرته، أو كانت قلّة الاستعمال مستلزمة لقلّة الوجود، أو كثرته لكثرته</w:t>
      </w:r>
      <w:r>
        <w:rPr>
          <w:rStyle w:val="FootnoteAnchor"/>
          <w:rtl w:val="true"/>
        </w:rPr>
        <w:footnoteReference w:id="567"/>
      </w:r>
      <w:r>
        <w:rPr>
          <w:rFonts w:ascii="Amiri" w:hAnsi="Amiri" w:eastAsia="Amiri" w:cs="Amiri"/>
          <w:color w:val="111111"/>
          <w:sz w:val="28"/>
          <w:sz w:val="28"/>
          <w:szCs w:val="28"/>
          <w:rtl w:val="true"/>
          <w:lang w:bidi="ar-SA"/>
        </w:rPr>
        <w:t>، ثبتت المنافاة، لكن عدم الاستلزام في جميع ذلك ممّا لا يحوله ارتياب</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3520143_1280447820"/>
      <w:bookmarkStart w:id="757" w:name="_Toc290"/>
      <w:bookmarkEnd w:id="756"/>
      <w:r>
        <w:rPr>
          <w:rtl w:val="true"/>
        </w:rPr>
        <w:t>المعنى الرابع</w:t>
      </w:r>
      <w:bookmarkEnd w:id="757"/>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المجاز أكثر من الحقيقة في الآيات القرآنيّة والأحاديث النبويّة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آلاف السلام والتحيّة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المعنى يظهر من النظر إلى المقصود الأصليّ والغرض الكلّيّ في تدوين علم الأصول وتحقيق مسائله ومبانيه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شبهة في أنّه</w:t>
      </w:r>
      <w:r>
        <w:rPr>
          <w:rStyle w:val="FootnoteAnchor"/>
          <w:rtl w:val="true"/>
        </w:rPr>
        <w:footnoteReference w:id="568"/>
      </w:r>
      <w:r>
        <w:rPr>
          <w:rFonts w:ascii="Amiri" w:hAnsi="Amiri" w:eastAsia="Amiri" w:cs="Amiri"/>
          <w:color w:val="111111"/>
          <w:sz w:val="28"/>
          <w:sz w:val="28"/>
          <w:szCs w:val="28"/>
          <w:rtl w:val="true"/>
          <w:lang w:bidi="ar-SA"/>
        </w:rPr>
        <w:t>البحثُ عن ألفاظ القرآن والحديث على نحو يبتني عليه استنباط الأحكام الشرعيّة، فينبغي حمل كلامهم على ما يتعلّق بهما، فعلى هذا يكون المراد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المجاز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المذكور، لكنّا نمنع تحقّق الكثرة بهذا المعنى أيضًا، وقد عرفت سنده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المقصود الأصليّ من علم الأصول وإن كان ما ذكر، لكنّا نقطع بعدم اختصاص القواعد المذكورة فيه بالكتاب والسنّة واشتراك كلّما ينخرط في سلك الألفاظ فيها، وأنّه ليس مقصودهم انحصارها فيهما</w:t>
      </w:r>
      <w:r>
        <w:rPr>
          <w:rStyle w:val="FootnoteAnchor"/>
          <w:rtl w:val="true"/>
        </w:rPr>
        <w:footnoteReference w:id="570"/>
      </w:r>
      <w:r>
        <w:rPr>
          <w:rFonts w:ascii="Amiri" w:hAnsi="Amiri" w:eastAsia="Amiri" w:cs="Amiri"/>
          <w:color w:val="111111"/>
          <w:sz w:val="28"/>
          <w:sz w:val="28"/>
          <w:szCs w:val="28"/>
          <w:rtl w:val="true"/>
          <w:lang w:bidi="ar-SA"/>
        </w:rPr>
        <w:t>أيضًا، لا سيّما فيما نحن فيه، فإنّ جمعًا منهم نسبوا المقالة المذكورة إلى ابن جنّي</w:t>
      </w:r>
      <w:r>
        <w:rPr>
          <w:rStyle w:val="FootnoteAnchor"/>
          <w:rtl w:val="true"/>
        </w:rPr>
        <w:footnoteReference w:id="571"/>
      </w:r>
      <w:r>
        <w:rPr>
          <w:rFonts w:ascii="Amiri" w:hAnsi="Amiri" w:eastAsia="Amiri" w:cs="Amiri"/>
          <w:color w:val="111111"/>
          <w:sz w:val="28"/>
          <w:sz w:val="28"/>
          <w:szCs w:val="28"/>
          <w:rtl w:val="true"/>
          <w:lang w:bidi="ar-SA"/>
        </w:rPr>
        <w:t>، وهو من أئمّة اللغة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التسليم نمنع كونه منافيًا للمدّعى؛ لوضوح أنّ أكثريّة المجاز من الحقيقة في خصوص الكتاب والسنّة غير مستلزمة لأكثريّة مطلق المجاز من الحقيقة، كما لا يخفى على ذي فطنة ودراية</w:t>
      </w:r>
      <w:r>
        <w:rPr>
          <w:rFonts w:eastAsia="Amiri" w:cs="Amiri" w:ascii="Amiri" w:hAnsi="Amiri"/>
          <w:color w:val="111111"/>
          <w:sz w:val="28"/>
          <w:szCs w:val="28"/>
          <w:rtl w:val="true"/>
          <w:lang w:bidi="ar-SA"/>
        </w:rPr>
        <w:t xml:space="preserve">. </w:t>
      </w:r>
      <w:bookmarkStart w:id="758" w:name="pg16214_221751"/>
    </w:p>
    <w:p>
      <w:pPr>
        <w:pStyle w:val="Heading6"/>
        <w:numPr>
          <w:ilvl w:val="5"/>
          <w:numId w:val="1"/>
        </w:numPr>
        <w:rPr/>
      </w:pPr>
      <w:bookmarkStart w:id="759" w:name="__RefHeading___Toc3520145_1280447820"/>
      <w:bookmarkStart w:id="760" w:name="_Toc291"/>
      <w:bookmarkEnd w:id="758"/>
      <w:bookmarkEnd w:id="759"/>
      <w:r>
        <w:rPr>
          <w:rtl w:val="true"/>
        </w:rPr>
        <w:t>المعنى الخامس</w:t>
      </w:r>
      <w:bookmarkEnd w:id="760"/>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أكثريّة المعاني المجازيّة من المعاني الحقيقيّة</w:t>
      </w:r>
      <w:r>
        <w:rPr>
          <w:rStyle w:val="FootnoteAnchor"/>
          <w:rtl w:val="true"/>
        </w:rPr>
        <w:footnoteReference w:id="573"/>
      </w:r>
      <w:r>
        <w:rPr>
          <w:rFonts w:ascii="Amiri" w:hAnsi="Amiri" w:eastAsia="Amiri" w:cs="Amiri"/>
          <w:color w:val="111111"/>
          <w:sz w:val="28"/>
          <w:sz w:val="28"/>
          <w:szCs w:val="28"/>
          <w:rtl w:val="true"/>
          <w:lang w:bidi="ar-SA"/>
        </w:rPr>
        <w:t>، وهذا لا يخلو إمّا أن يكون المراد أكثريّة المعنى المجازيّ بالنسبة إلى كلّ معنى حقيقيّ بأن يكون لكلّ معنى حقيقيّ معنى مجازيّ متعدّد، أو لا، بل المجموع بالنسبة إلى المجموع بأن يكون مجموع المعاني المجازيّة أكثر من مجموع المعاني الحقيقيّة وإن لم يكن لبعضها معنى مجازيّ مطلقًا ولو كان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إمّا أن يكون المراد ما يمكن استعمال اللفظ فيه مجازًا وإن لم يستعمل فيه بالفعل، أو لا، بل ما تحقّق فيه الاستعمال بالفعل؛ فهنا أربعة مقامات ينبغي التكلّم في الكلّ حتّى يتبيّن الحال ويظهر حقيقة المقال</w:t>
      </w:r>
      <w:r>
        <w:rPr>
          <w:rFonts w:eastAsia="Amiri" w:cs="Amiri" w:ascii="Amiri" w:hAnsi="Amiri"/>
          <w:color w:val="111111"/>
          <w:sz w:val="28"/>
          <w:szCs w:val="28"/>
          <w:rtl w:val="true"/>
          <w:lang w:bidi="ar-SA"/>
        </w:rPr>
        <w:t>.</w:t>
      </w:r>
    </w:p>
    <w:p>
      <w:pPr>
        <w:pStyle w:val="Heading6"/>
        <w:numPr>
          <w:ilvl w:val="5"/>
          <w:numId w:val="1"/>
        </w:numPr>
        <w:rPr/>
      </w:pPr>
      <w:bookmarkStart w:id="761" w:name="__RefHeading___Toc3520147_1280447820"/>
      <w:bookmarkStart w:id="762" w:name="_Toc292"/>
      <w:bookmarkEnd w:id="761"/>
      <w:r>
        <w:rPr>
          <w:rtl w:val="true"/>
        </w:rPr>
        <w:t>المقام الأوّل</w:t>
      </w:r>
      <w:bookmarkEnd w:id="76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أكثريّة المجاز بالنسبة إلى كلّ معنى حقيقيّ وإن لم يتحقّق الاستعمال الفعليّ؛ والكثرة بهذا المعنى متوقّفة على دعوى تحقّق العلاقة المصحّحة للتجوّز في جميع المعاني وامتناع تحقّق معنى لا يكون بينه وبين غيره من المعاني واحدة منها، وهي ممنوعة، وعلى من يدّعي ذلك الإثبات، وللمانع يكفي الاحتمال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التسليم لا يثبت منه أكثريّة المجاز من الحقيقة؛ لما عرفت من اعتبار تحقّق الاستعمال في صدق المجاز؛ وصحّة الاستعمال في المعاني الّتي هي أكثر من المعاني الحقيقيّة مع عدم ثبوت الوقوع غير</w:t>
      </w:r>
      <w:r>
        <w:rPr>
          <w:rStyle w:val="FootnoteAnchor"/>
          <w:rtl w:val="true"/>
        </w:rPr>
        <w:footnoteReference w:id="574"/>
      </w:r>
      <w:r>
        <w:rPr>
          <w:rFonts w:ascii="Amiri" w:hAnsi="Amiri" w:eastAsia="Amiri" w:cs="Amiri"/>
          <w:color w:val="111111"/>
          <w:sz w:val="28"/>
          <w:sz w:val="28"/>
          <w:szCs w:val="28"/>
          <w:rtl w:val="true"/>
          <w:lang w:bidi="ar-SA"/>
        </w:rPr>
        <w:t xml:space="preserve">كافية لذلك، ومن هنا ظهر بُعد </w:t>
      </w:r>
      <w:bookmarkStart w:id="763" w:name="pg16214_221752"/>
    </w:p>
    <w:p>
      <w:pPr>
        <w:pStyle w:val="BookText"/>
        <w:rPr/>
      </w:pPr>
      <w:bookmarkEnd w:id="763"/>
      <w:r>
        <w:rPr>
          <w:rFonts w:ascii="IRNazanin" w:hAnsi="IRNazanin" w:eastAsia="IRNazanin"/>
          <w:color w:val="111111"/>
          <w:sz w:val="28"/>
          <w:sz w:val="28"/>
          <w:szCs w:val="28"/>
          <w:rtl w:val="true"/>
          <w:lang w:bidi="fa-IR"/>
        </w:rPr>
        <w:t>حمل</w:t>
      </w:r>
      <w:r>
        <w:rPr>
          <w:rStyle w:val="FootnoteAnchor"/>
          <w:rtl w:val="true"/>
        </w:rPr>
        <w:footnoteReference w:id="575"/>
      </w:r>
      <w:r>
        <w:rPr>
          <w:rFonts w:ascii="Amiri" w:hAnsi="Amiri" w:eastAsia="Amiri" w:cs="Amiri"/>
          <w:color w:val="111111"/>
          <w:sz w:val="28"/>
          <w:sz w:val="28"/>
          <w:szCs w:val="28"/>
          <w:rtl w:val="true"/>
          <w:lang w:bidi="ar-SA"/>
        </w:rPr>
        <w:t>أكثريّة المجاز من الحقيقة على هذا المعنى كما لا يخفى</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3520149_1280447820"/>
      <w:bookmarkStart w:id="765" w:name="_Toc293"/>
      <w:bookmarkEnd w:id="764"/>
      <w:r>
        <w:rPr>
          <w:rtl w:val="true"/>
        </w:rPr>
        <w:t>المقام الثاني</w:t>
      </w:r>
      <w:bookmarkEnd w:id="765"/>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 مع دعوى الاستعمال الفعليّ، ولا ريب أنّ صحّة هذا المعنى متوقّفة على ثبوت المعنى الأوّل، وحيث قد عرفت عدمه يظهر لك حاله</w:t>
      </w:r>
      <w:r>
        <w:rPr>
          <w:rStyle w:val="FootnoteAnchor"/>
          <w:rtl w:val="true"/>
        </w:rPr>
        <w:footnoteReference w:id="576"/>
      </w:r>
      <w:r>
        <w:rPr>
          <w:rFonts w:ascii="Amiri" w:hAnsi="Amiri" w:eastAsia="Amiri" w:cs="Amiri"/>
          <w:color w:val="111111"/>
          <w:sz w:val="28"/>
          <w:sz w:val="28"/>
          <w:szCs w:val="28"/>
          <w:rtl w:val="true"/>
          <w:lang w:bidi="ar-SA"/>
        </w:rPr>
        <w:t>، وعلى فرض تسليم ثبوته دعوى ثبوت الاستعمال في الجميع ممنوعة، وقد عرفت وجهه</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3520151_1280447820"/>
      <w:bookmarkStart w:id="767" w:name="_Toc294"/>
      <w:bookmarkEnd w:id="766"/>
      <w:r>
        <w:rPr>
          <w:rtl w:val="true"/>
        </w:rPr>
        <w:t>المقام الثالث</w:t>
      </w:r>
      <w:bookmarkEnd w:id="767"/>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أكثريّة مجموع المعاني المجازيّة من مجموع المعاني الحقيقيّة وإن لم يكن لبعضها معنىً مجازيٌّ أصلًا، ويكون المراد بالمعاني ما يمكن فيه الاستعمال وإن لم يتحقّق الاستعمال بالفعل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والأكثريّة بهذا المعنى لا شبهة في صحّتها وتحقّقها؛ لأنّه وإن لم يمتنع أن لا يكون لبعض المعاني الحقيقيّة معنى مجازيّ أصلًا، لكنّ الغالب تعدّد المعنى المجازيّ للمعنى الحقيقيّ الواحد بأن يكون بينه وبين جملة من المعاني علاقة مصحّحة للتجوّز، بحيث إذا لوحظ مجموع المعاني المجازيّة يكون أكثر من المعاني الحقيقيّة، لكن حال حمل أكثريّة المجاز على هذا المعنى في البعد وعدم المنافاة للمدّعى على فرض التسليم كما تقدّم</w:t>
      </w:r>
      <w:r>
        <w:rPr>
          <w:rFonts w:eastAsia="Amiri" w:cs="Amiri" w:ascii="Amiri" w:hAnsi="Amiri"/>
          <w:color w:val="111111"/>
          <w:sz w:val="28"/>
          <w:szCs w:val="28"/>
          <w:rtl w:val="true"/>
          <w:lang w:bidi="ar-SA"/>
        </w:rPr>
        <w:t xml:space="preserve">. </w:t>
      </w:r>
      <w:bookmarkStart w:id="768" w:name="pg16214_221753"/>
    </w:p>
    <w:p>
      <w:pPr>
        <w:pStyle w:val="Heading6"/>
        <w:numPr>
          <w:ilvl w:val="5"/>
          <w:numId w:val="1"/>
        </w:numPr>
        <w:rPr/>
      </w:pPr>
      <w:bookmarkStart w:id="769" w:name="__RefHeading___Toc3520153_1280447820"/>
      <w:bookmarkStart w:id="770" w:name="_Toc295"/>
      <w:bookmarkEnd w:id="768"/>
      <w:bookmarkEnd w:id="769"/>
      <w:r>
        <w:rPr>
          <w:rtl w:val="true"/>
        </w:rPr>
        <w:t>المقام الرابع</w:t>
      </w:r>
      <w:bookmarkEnd w:id="770"/>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أكثريّة المجموع من المجموع مع الاستعمال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القسم الثاني مثلًا هو أنّ المعتبر هناك أكثريّة استعمال اللفظ في المعنى المجازيّ من استعماله في المعنى الحقيقيّ</w:t>
      </w:r>
      <w:r>
        <w:rPr>
          <w:rStyle w:val="FootnoteAnchor"/>
          <w:rtl w:val="true"/>
        </w:rPr>
        <w:footnoteReference w:id="577"/>
      </w:r>
      <w:r>
        <w:rPr>
          <w:rFonts w:ascii="IRNazanin" w:hAnsi="IRNazanin" w:eastAsia="IRNazanin"/>
          <w:color w:val="111111"/>
          <w:sz w:val="28"/>
          <w:sz w:val="28"/>
          <w:szCs w:val="28"/>
          <w:rtl w:val="true"/>
          <w:lang w:bidi="fa-IR"/>
        </w:rPr>
        <w:t>، وهنا</w:t>
      </w:r>
      <w:r>
        <w:rPr>
          <w:rStyle w:val="FootnoteAnchor"/>
          <w:rtl w:val="true"/>
        </w:rPr>
        <w:footnoteReference w:id="578"/>
      </w:r>
      <w:r>
        <w:rPr>
          <w:rFonts w:ascii="Amiri" w:hAnsi="Amiri" w:eastAsia="Amiri" w:cs="Amiri"/>
          <w:color w:val="111111"/>
          <w:sz w:val="28"/>
          <w:sz w:val="28"/>
          <w:szCs w:val="28"/>
          <w:rtl w:val="true"/>
          <w:lang w:bidi="ar-SA"/>
        </w:rPr>
        <w:t>أكثريّة وجود المجاز من الحقيقة وإن كان الاستعمال في المعاني الحقيقيّة الّتي تكون أقلّ وجودًا أكثر وفي المعاني المجازيّة الّتي تكون أكثر وجودًا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الأكثريّة بالمعنى المذكور مسلّمة أم لا؟ الظاهر نعم</w:t>
      </w:r>
      <w:r>
        <w:rPr>
          <w:rStyle w:val="FootnoteAnchor"/>
          <w:rtl w:val="true"/>
        </w:rPr>
        <w:footnoteReference w:id="579"/>
      </w:r>
      <w:r>
        <w:rPr>
          <w:rFonts w:ascii="Amiri" w:hAnsi="Amiri" w:eastAsia="Amiri" w:cs="Amiri"/>
          <w:color w:val="111111"/>
          <w:sz w:val="28"/>
          <w:sz w:val="28"/>
          <w:szCs w:val="28"/>
          <w:rtl w:val="true"/>
          <w:lang w:bidi="ar-SA"/>
        </w:rPr>
        <w:t>لأنّ الغالب في الألفاظ ثبوت الاستعمال بالنسبة إلى معان متعدّدة لم يتحقّق الوضع إلّا بالنسبة إلى واحد منها، فيلزم أن يكون اللفظ في غيره مجازًا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تحقّق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من ذلك وإن كان أكثريّة المجاز بحسب الوجود من الحقيقة، إلّا انّا نمنع أنّ مقتضى ما تقدّم أكثريّة الحقائق من المجازات حتّى تكون أكثريّة المجازات وجودًا منافية لذلك، إلّا أنّ ذلك غير منافٍ لما تقدّم؛ لأنّ القدر اللازم من ذلك جواز انفكاك الأمر المتوقّف على عدّة أمور عمّا يتوقّف على بعضها، ولا يلزم منه الأقلّيّة؛ لجواز تحقّق الأمور الموقوف عليها في معانٍ متعدّدة بالنسبة إلى معنى حقيقيّ واحد، فحصل التعدّد في المجاز، والحقيقةُ واحدةٌ، فيمكن أن يكون ذلك بحيث تتحقّق الأكثريّة من الحقيقة مع افتقار المجاز إلى جملة من الأمور والحقيقة إلى بعضها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أنّ مقتضى ما تقدّم إنّما كان أكثريّة الحقائق إذا كان الموقوف عليه للحقيقة جزء ما يتوقّف عليه المجاز، إذ حينئذٍ تكون النسبة بينهما عمومًا مطلقًا بأن يكون المجاز أخصّ مطلقًا، فتحقّقه كان مستلزمًا لتحقّق الحقيقة من غير عكس، وهو بيّن الفساد؛ لما عرفت من أنّ الاستعمال في الحقيقة في الموضوع له وفي المجاز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أنّ الموضوع له في الحقيقة إنّما يفتقر إليه لاستعمال اللفظ فيه، وفي المجاز لمناسبة المستعمل فيه معه، والاعتباران متغايران، ولذا عدّا من المتضادّين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المجاز لو كان أكثر ينبغي الحكم بالمجازيّة في مقام الشكّ؛ لأنّ الظنَّ يُلحق الشيءَ بالأعمّ الأغلب، وحينئذٍ يكون الأصل في الاستعمال المجاز؛ وهذا ينافي ما اشتهر بينهم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الأصل في الاستعمال الحقيقة</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المقالة يُتمسّك بها فيما إذا علم المعنى الحقيقيّ والمجازيّ وكان الجهل بالنسبة إلى المراد والمستعمل فيه،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الاستعمال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الظاهر أن يكون المراد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المعنى الرابع أكثريّة المجاز وجودًا وأقلّيّته استعمالًا، وبعكس ذلك في الحقيقة</w:t>
      </w:r>
      <w:r>
        <w:rPr>
          <w:rStyle w:val="FootnoteAnchor"/>
          <w:rtl w:val="true"/>
        </w:rPr>
        <w:footnoteReference w:id="581"/>
      </w:r>
      <w:r>
        <w:rPr>
          <w:rFonts w:ascii="Amiri" w:hAnsi="Amiri" w:eastAsia="Amiri" w:cs="Amiri"/>
          <w:color w:val="111111"/>
          <w:sz w:val="28"/>
          <w:sz w:val="28"/>
          <w:szCs w:val="28"/>
          <w:rtl w:val="true"/>
          <w:lang w:bidi="ar-SA"/>
        </w:rPr>
        <w:t>،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المذكور يحقّق المقالة المذكورة ويؤكّدها، بل دليل عليه ومنشأ 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قلنا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الاستعمال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الاستعمال دليل على كون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اللفظ حقيقة في المستعمل فيه، بناءً على أنّه إذا كان اللفظ أكثر استعمالًا في المعنى الحقيقيّ وأقلّ استعمالًا في المعنى المجازيّ، يحكم في مقام الشكّ على الحقيقة؛ لما اعترفت به من إلحاق الظنّ الشيء بما يتّصف بالأغلبيّة</w:t>
      </w:r>
      <w:r>
        <w:rPr>
          <w:rStyle w:val="FootnoteAnchor"/>
          <w:rtl w:val="true"/>
        </w:rPr>
        <w:footnoteReference w:id="582"/>
      </w:r>
      <w:r>
        <w:rPr>
          <w:rFonts w:ascii="Amiri" w:hAnsi="Amiri" w:eastAsia="Amiri" w:cs="Amiri"/>
          <w:color w:val="111111"/>
          <w:sz w:val="28"/>
          <w:sz w:val="28"/>
          <w:szCs w:val="28"/>
          <w:rtl w:val="true"/>
          <w:lang w:bidi="ar-SA"/>
        </w:rPr>
        <w:t>، ويجيء للمقام زيادة تحقيق في محلّ أليق إن شاء الله تعالى</w:t>
      </w:r>
      <w:r>
        <w:rPr>
          <w:rFonts w:eastAsia="Amiri" w:cs="Amiri" w:ascii="Amiri" w:hAnsi="Amiri"/>
          <w:color w:val="111111"/>
          <w:sz w:val="28"/>
          <w:szCs w:val="28"/>
          <w:rtl w:val="true"/>
          <w:lang w:bidi="ar-SA"/>
        </w:rPr>
        <w:t xml:space="preserve">. </w:t>
      </w:r>
      <w:bookmarkStart w:id="771" w:name="pg16214_221756"/>
    </w:p>
    <w:p>
      <w:pPr>
        <w:pStyle w:val="BookText"/>
        <w:rPr/>
      </w:pPr>
      <w:bookmarkEnd w:id="771"/>
      <w:r>
        <w:rPr>
          <w:rFonts w:ascii="Amiri" w:hAnsi="Amiri" w:eastAsia="Amiri" w:cs="Amiri"/>
          <w:color w:val="111111"/>
          <w:sz w:val="28"/>
          <w:sz w:val="28"/>
          <w:szCs w:val="28"/>
          <w:rtl w:val="true"/>
          <w:lang w:bidi="ar-SA"/>
        </w:rPr>
        <w:t>في عدم استلزام المجاز للحقيقة</w:t>
      </w:r>
    </w:p>
    <w:p>
      <w:pPr>
        <w:pStyle w:val="Heading4"/>
        <w:numPr>
          <w:ilvl w:val="3"/>
          <w:numId w:val="1"/>
        </w:numPr>
        <w:rPr/>
      </w:pPr>
      <w:bookmarkStart w:id="772" w:name="__RefHeading___Toc3520155_1280447820"/>
      <w:bookmarkStart w:id="773" w:name="_Toc296"/>
      <w:bookmarkEnd w:id="772"/>
      <w:r>
        <w:rPr>
          <w:rtl w:val="true"/>
        </w:rPr>
        <w:t>المبحث الثالث</w:t>
      </w:r>
      <w:r>
        <w:rPr>
          <w:rtl w:val="true"/>
        </w:rPr>
        <w:t xml:space="preserve">: </w:t>
      </w:r>
      <w:r>
        <w:rPr>
          <w:rtl w:val="true"/>
        </w:rPr>
        <w:t>في عدم استلزام المجاز للحقيقة</w:t>
      </w:r>
      <w:bookmarkEnd w:id="773"/>
    </w:p>
    <w:p>
      <w:pPr>
        <w:pStyle w:val="Heading5"/>
        <w:numPr>
          <w:ilvl w:val="4"/>
          <w:numId w:val="1"/>
        </w:numPr>
        <w:rPr/>
      </w:pPr>
      <w:bookmarkStart w:id="774" w:name="__RefHeading___Toc3520157_1280447820"/>
      <w:bookmarkStart w:id="775" w:name="_Toc297"/>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وهذه المسألة ممّا اختلف فيه</w:t>
      </w:r>
      <w:r>
        <w:rPr>
          <w:rStyle w:val="FootnoteAnchor"/>
          <w:rtl w:val="true"/>
        </w:rPr>
        <w:footnoteReference w:id="583"/>
      </w:r>
      <w:r>
        <w:rPr>
          <w:rFonts w:ascii="Amiri" w:hAnsi="Amiri" w:eastAsia="Amiri" w:cs="Amiri"/>
          <w:color w:val="111111"/>
          <w:sz w:val="28"/>
          <w:sz w:val="28"/>
          <w:szCs w:val="28"/>
          <w:rtl w:val="true"/>
          <w:lang w:bidi="ar-SA"/>
        </w:rPr>
        <w:t>، والمختار وفاقًا لأكثر الأعلام العدم أيضًا</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6" w:name="__RefHeading___Toc3520159_1280447820"/>
      <w:bookmarkStart w:id="777" w:name="_Toc298"/>
      <w:bookmarkEnd w:id="776"/>
      <w:r>
        <w:rPr>
          <w:rtl w:val="true"/>
        </w:rPr>
        <w:t>دليل القائلين بالاستلزام</w:t>
      </w:r>
      <w:bookmarkEnd w:id="77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للقائلين</w:t>
      </w:r>
      <w:r>
        <w:rPr>
          <w:rStyle w:val="FootnoteAnchor"/>
          <w:rtl w:val="true"/>
        </w:rPr>
        <w:footnoteReference w:id="585"/>
      </w:r>
      <w:r>
        <w:rPr>
          <w:rFonts w:ascii="IRNazanin" w:hAnsi="IRNazanin" w:eastAsia="IRNazanin"/>
          <w:color w:val="111111"/>
          <w:sz w:val="28"/>
          <w:sz w:val="28"/>
          <w:szCs w:val="28"/>
          <w:rtl w:val="true"/>
          <w:lang w:bidi="fa-IR"/>
        </w:rPr>
        <w:t xml:space="preserve">بالاستلزام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يستلزم المجاز الحقيقة، لزم تحقّق الوضع من دون أن يستعمل اللفظ فيما وضع له، والتالي باطل، فالمقدّم مثله، أمّا الملازمة فظاهرة، وأمّا بطلان التالي فلأنّ وضع الألفاظ لأجل إفادة المعاني المركّبة، وحيث لم يستعمل اللفظ في الموضوع له أصلًا لا يفيد</w:t>
      </w:r>
      <w:r>
        <w:rPr>
          <w:rStyle w:val="FootnoteAnchor"/>
          <w:rtl w:val="true"/>
        </w:rPr>
        <w:footnoteReference w:id="587"/>
      </w:r>
      <w:r>
        <w:rPr>
          <w:rFonts w:ascii="Amiri" w:hAnsi="Amiri" w:eastAsia="Amiri" w:cs="Amiri"/>
          <w:color w:val="111111"/>
          <w:sz w:val="28"/>
          <w:sz w:val="28"/>
          <w:szCs w:val="28"/>
          <w:rtl w:val="true"/>
          <w:lang w:bidi="ar-SA"/>
        </w:rPr>
        <w:t>المعاني المركّبة، فيلزم عراء الوضع عن الفائدة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778" w:name="pg16214_221757"/>
    </w:p>
    <w:p>
      <w:pPr>
        <w:pStyle w:val="Heading5"/>
        <w:numPr>
          <w:ilvl w:val="4"/>
          <w:numId w:val="1"/>
        </w:numPr>
        <w:rPr/>
      </w:pPr>
      <w:bookmarkStart w:id="779" w:name="__RefHeading___Toc3520161_1280447820"/>
      <w:bookmarkStart w:id="780" w:name="_Toc299"/>
      <w:bookmarkEnd w:id="778"/>
      <w:bookmarkEnd w:id="779"/>
      <w:r>
        <w:rPr>
          <w:rtl w:val="true"/>
        </w:rPr>
        <w:t>دليل القائلين على أنّ وضع الألفاظ المفردة ليس لإفادة المعاني المفردة مع الجواب عنه</w:t>
      </w:r>
      <w:bookmarkEnd w:id="780"/>
    </w:p>
    <w:p>
      <w:pPr>
        <w:pStyle w:val="Heading6"/>
        <w:numPr>
          <w:ilvl w:val="5"/>
          <w:numId w:val="1"/>
        </w:numPr>
        <w:rPr/>
      </w:pPr>
      <w:bookmarkStart w:id="781" w:name="__RefHeading___Toc3520163_1280447820"/>
      <w:bookmarkStart w:id="782" w:name="_Toc300"/>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مبنيٌّ على ما ذكروا من أنّه لا يجوز أن يكون المقصود من</w:t>
      </w:r>
      <w:r>
        <w:rPr>
          <w:rStyle w:val="FootnoteAnchor"/>
          <w:rtl w:val="true"/>
        </w:rPr>
        <w:footnoteReference w:id="589"/>
      </w:r>
      <w:r>
        <w:rPr>
          <w:rFonts w:ascii="Amiri" w:hAnsi="Amiri" w:eastAsia="Amiri" w:cs="Amiri"/>
          <w:color w:val="111111"/>
          <w:sz w:val="28"/>
          <w:sz w:val="28"/>
          <w:szCs w:val="28"/>
          <w:rtl w:val="true"/>
          <w:lang w:bidi="ar-SA"/>
        </w:rPr>
        <w:t>وضع الألفاظ المفردة إفادة معانيها المفردة؛ لاستلزامه الدور؛ لأنّ إفادة اللفظ المعنى للمخاطب متوقّفٌ على العلم بوضعه له، والعلم بوضعه له متوقّف على العلم بذلك المعنى</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أنّ العلم بوضع لفظ لمعنى لا يمكن إلّا بعد العلم بذلك اللفظ والمعنى، فلو كان وضع اللفظ لإفادة معناه، يكون العلم بذلك المعنى متوقّفًا على إفادة اللفظ إيّاه، فيلزم توقّف الشيء على نفسه، وهو محال، وحيث قد كان وضع الألفاظ للإفادة وعلم عدم جواز كونه للمعاني المفردة، تعيّن أنّه لأجل إفادة المعاني المركّبة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أنّ الاطّلاع على ما في ضمير المخاطب لا يمكن إلّا بإشارة منه إليه، والإشارة إمّا بالألفاظ أو بغيرها، وحيث قد كان الكلام في الإشارة اللفظيّة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عن التعبير عن المعنى المقصود بلفظ يخصّه</w:t>
      </w:r>
      <w:r>
        <w:rPr>
          <w:rStyle w:val="FootnoteAnchor"/>
          <w:rtl w:val="true"/>
        </w:rPr>
        <w:footnoteReference w:id="591"/>
      </w:r>
      <w:r>
        <w:rPr>
          <w:rFonts w:ascii="IRNazanin" w:hAnsi="IRNazanin" w:eastAsia="IRNazanin"/>
          <w:color w:val="111111"/>
          <w:sz w:val="28"/>
          <w:sz w:val="28"/>
          <w:szCs w:val="28"/>
          <w:rtl w:val="true"/>
          <w:lang w:bidi="fa-IR"/>
        </w:rPr>
        <w:t xml:space="preserve">، </w:t>
      </w:r>
      <w:bookmarkStart w:id="783" w:name="pg16214_221758"/>
    </w:p>
    <w:p>
      <w:pPr>
        <w:pStyle w:val="BookText"/>
        <w:rPr/>
      </w:pPr>
      <w:bookmarkEnd w:id="783"/>
      <w:r>
        <w:rPr>
          <w:rFonts w:ascii="Amiri" w:hAnsi="Amiri" w:eastAsia="Amiri" w:cs="Amiri"/>
          <w:color w:val="111111"/>
          <w:sz w:val="28"/>
          <w:sz w:val="28"/>
          <w:szCs w:val="28"/>
          <w:rtl w:val="true"/>
          <w:lang w:bidi="ar-SA"/>
        </w:rPr>
        <w:t>وهو المراد بالاستعمال، فإذا لم يعبّر عنه باللفظ لم يقع في التركيب، فلا يمكن إفادة المعاني المركّبة، فيلزم عراء الوضع عن الفائدة، وهو غير جائز؛ لأنّ الفاعل المختار لا يكون فعله إلّا لأجل غرض</w:t>
      </w:r>
      <w:r>
        <w:rPr>
          <w:rStyle w:val="FootnoteAnchor"/>
          <w:rtl w:val="true"/>
        </w:rPr>
        <w:footnoteReference w:id="592"/>
      </w:r>
      <w:r>
        <w:rPr>
          <w:rFonts w:ascii="Amiri" w:hAnsi="Amiri" w:eastAsia="Amiri" w:cs="Amiri"/>
          <w:color w:val="111111"/>
          <w:sz w:val="28"/>
          <w:sz w:val="28"/>
          <w:szCs w:val="28"/>
          <w:rtl w:val="true"/>
          <w:lang w:bidi="ar-SA"/>
        </w:rPr>
        <w:t>وفائدة</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3520165_1280447820"/>
      <w:bookmarkStart w:id="785" w:name="_Toc301"/>
      <w:bookmarkEnd w:id="784"/>
      <w:r>
        <w:rPr>
          <w:rtl w:val="true"/>
        </w:rPr>
        <w:t>الجواب عنه</w:t>
      </w:r>
      <w:bookmarkEnd w:id="785"/>
    </w:p>
    <w:p>
      <w:pPr>
        <w:pStyle w:val="Heading6"/>
        <w:numPr>
          <w:ilvl w:val="5"/>
          <w:numId w:val="1"/>
        </w:numPr>
        <w:rPr/>
      </w:pPr>
      <w:bookmarkStart w:id="786" w:name="__RefHeading___Toc3520167_1280447820"/>
      <w:bookmarkStart w:id="787" w:name="_Toc302"/>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وفيه نظر من وجوه</w:t>
      </w:r>
      <w:r>
        <w:rPr>
          <w:rFonts w:eastAsia="Amiri" w:cs="Amiri" w:ascii="Amiri" w:hAnsi="Amiri"/>
          <w:color w:val="111111"/>
          <w:sz w:val="28"/>
          <w:szCs w:val="28"/>
          <w:rtl w:val="true"/>
          <w:lang w:bidi="ar-SA"/>
        </w:rPr>
        <w:t>:</w:t>
      </w:r>
    </w:p>
    <w:p>
      <w:pPr>
        <w:pStyle w:val="Heading6"/>
        <w:numPr>
          <w:ilvl w:val="5"/>
          <w:numId w:val="1"/>
        </w:numPr>
        <w:rPr/>
      </w:pPr>
      <w:bookmarkStart w:id="788" w:name="__RefHeading___Toc3520169_1280447820"/>
      <w:bookmarkStart w:id="789" w:name="_Toc303"/>
      <w:bookmarkEnd w:id="788"/>
      <w:r>
        <w:rPr>
          <w:rtl w:val="true"/>
        </w:rPr>
        <w:t>الوجه الأوّل</w:t>
      </w:r>
      <w:bookmarkEnd w:id="789"/>
    </w:p>
    <w:p>
      <w:pPr>
        <w:pStyle w:val="Heading6"/>
        <w:numPr>
          <w:ilvl w:val="5"/>
          <w:numId w:val="1"/>
        </w:numPr>
        <w:rPr/>
      </w:pPr>
      <w:bookmarkStart w:id="790" w:name="__RefHeading___Toc3520171_1280447820"/>
      <w:bookmarkStart w:id="791" w:name="_Toc304"/>
      <w:bookmarkEnd w:id="790"/>
      <w:r>
        <w:rPr>
          <w:rtl w:val="true"/>
        </w:rPr>
        <w:t>اشارة</w:t>
      </w:r>
      <w:bookmarkEnd w:id="791"/>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من عدم جواز كون المقصود من وضع الألفاظ إفادة معانيها إمّا أن يكون الإفادة الابتدائيّة، أي معرفة المعاني، فالملازمة مسلّمة؛ لما ذكر من أنّ إفادة اللفظ المعنى للمخاطب مسبوقة على علمه بذلك المعنى إلى آخره، لكن لا يثبت منه المدّعى من أنّه لا يكون المقصود من وضع الألفاظ إفادة معانيها مطلقًا؛ لأنّ نفي الخاصّ لا يستلزم نفي العامّ، أو مطلق الإفادة وإن كانت ثانويّة بمعنى العلم بالمعنى على أنّه مراد للمتكلّم، فالملازمة ممنوعة؛ لوضوح أنّ مسبوقيّة الإفادة الابتدائيّة على العلم بالمعنى لا تستلزم مسبوقيّة الإفادة الثانويّة عليه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حصول المعنى في الذهن على أنّه مراد للمتكلّم موقوفٌ على إفادة اللفظ إيّاه، وإفادته إيّاه موقوفة على العلم بوضعه له، وهو </w:t>
      </w:r>
      <w:bookmarkStart w:id="792" w:name="pg16214_221759"/>
    </w:p>
    <w:p>
      <w:pPr>
        <w:pStyle w:val="BookText"/>
        <w:rPr/>
      </w:pPr>
      <w:bookmarkEnd w:id="792"/>
      <w:r>
        <w:rPr>
          <w:rFonts w:ascii="Amiri" w:hAnsi="Amiri" w:eastAsia="Amiri" w:cs="Amiri"/>
          <w:color w:val="111111"/>
          <w:sz w:val="28"/>
          <w:sz w:val="28"/>
          <w:szCs w:val="28"/>
          <w:rtl w:val="true"/>
          <w:lang w:bidi="ar-SA"/>
        </w:rPr>
        <w:t>متوقّفٌ على حصوله في الذهن لا من هذه الحيثيّة،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المعنى في الذهن على أنّه مراد للمتكلّم موقوف على حصول أصله في الذهن، وهو ليس بدور؛ لاختلاف الحيثيّتين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التسليم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ذلك في الألفاظ الّتي يكون الوضع والموضوع له كلاهما فيها إمّا عامًّا أو خاصًّا، وأمّا إذا كان الوضع عامًّا والموضوع له خاصًّا فلا؛ إذ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وضع تلك الألفاظ لأجل إفادة المعاني المخصوصة، والعلم بالوضع غير متوقّف على فهمها بخصوصها كما لا يخفى</w:t>
      </w:r>
      <w:r>
        <w:rPr>
          <w:rFonts w:eastAsia="Amiri" w:cs="Amiri" w:ascii="Amiri" w:hAnsi="Amiri"/>
          <w:color w:val="111111"/>
          <w:sz w:val="28"/>
          <w:szCs w:val="28"/>
          <w:rtl w:val="true"/>
          <w:lang w:bidi="ar-SA"/>
        </w:rPr>
        <w:t>.</w:t>
      </w:r>
    </w:p>
    <w:p>
      <w:pPr>
        <w:pStyle w:val="Heading6"/>
        <w:numPr>
          <w:ilvl w:val="5"/>
          <w:numId w:val="1"/>
        </w:numPr>
        <w:rPr/>
      </w:pPr>
      <w:bookmarkStart w:id="793" w:name="__RefHeading___Toc3520173_1280447820"/>
      <w:bookmarkStart w:id="794" w:name="_Toc305"/>
      <w:bookmarkEnd w:id="793"/>
      <w:r>
        <w:rPr>
          <w:rtl w:val="true"/>
        </w:rPr>
        <w:t>وضع الألفاظ المفردة لأجل إفادة المعاني المركّبة يحتمل معنيين</w:t>
      </w:r>
      <w:bookmarkEnd w:id="794"/>
    </w:p>
    <w:p>
      <w:pPr>
        <w:pStyle w:val="BookText"/>
        <w:rPr/>
      </w:pPr>
      <w:r>
        <w:rPr>
          <w:rFonts w:ascii="Amiri" w:hAnsi="Amiri" w:eastAsia="Amiri" w:cs="Amiri"/>
          <w:color w:val="111111"/>
          <w:sz w:val="28"/>
          <w:sz w:val="28"/>
          <w:szCs w:val="28"/>
          <w:rtl w:val="true"/>
          <w:lang w:bidi="ar-SA"/>
        </w:rPr>
        <w:t>ثمّ إنّ وضع الألفاظ المفردة لأجل إفادة المعاني المركّبة يحتمل معنيين،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الألفاظ المفردة مفيدة لها؛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وضع الألفاظ المفردة لأجل تحصيل</w:t>
      </w:r>
      <w:r>
        <w:rPr>
          <w:rStyle w:val="FootnoteAnchor"/>
          <w:rtl w:val="true"/>
        </w:rPr>
        <w:footnoteReference w:id="593"/>
      </w:r>
      <w:r>
        <w:rPr>
          <w:rFonts w:ascii="Amiri" w:hAnsi="Amiri" w:eastAsia="Amiri" w:cs="Amiri"/>
          <w:color w:val="111111"/>
          <w:sz w:val="28"/>
          <w:sz w:val="28"/>
          <w:szCs w:val="28"/>
          <w:rtl w:val="true"/>
          <w:lang w:bidi="ar-SA"/>
        </w:rPr>
        <w:t>المركّب، وتحصيله</w:t>
      </w:r>
      <w:r>
        <w:rPr>
          <w:rStyle w:val="FootnoteAnchor"/>
          <w:rtl w:val="true"/>
        </w:rPr>
        <w:footnoteReference w:id="594"/>
      </w:r>
      <w:r>
        <w:rPr>
          <w:rFonts w:ascii="Amiri" w:hAnsi="Amiri" w:eastAsia="Amiri" w:cs="Amiri"/>
          <w:color w:val="111111"/>
          <w:sz w:val="28"/>
          <w:sz w:val="28"/>
          <w:szCs w:val="28"/>
          <w:rtl w:val="true"/>
          <w:lang w:bidi="ar-SA"/>
        </w:rPr>
        <w:t>لأجل إفادة المعاني المركّبة،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 الألفاظ المفردة لأجل إفادة المعاني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فاسد؛ لوضوح أنّ اللفظ إنّما يفيد بمعونة الوضع الموضوع له، وبسبب إفادته إيّاه قد يفيد غيره عند قيام القرينة المانعة عن إرادته، كما في المجازات على ما سبق تحقيقه بما لا مزيد عليه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لم تكن المعاني المركّبة موضوعة لها للألفاظ المفردة، ولا هي</w:t>
      </w:r>
      <w:r>
        <w:rPr>
          <w:rStyle w:val="FootnoteAnchor"/>
          <w:rtl w:val="true"/>
        </w:rPr>
        <w:footnoteReference w:id="595"/>
      </w:r>
      <w:r>
        <w:rPr>
          <w:rFonts w:ascii="Amiri" w:hAnsi="Amiri" w:eastAsia="Amiri" w:cs="Amiri"/>
          <w:color w:val="111111"/>
          <w:sz w:val="28"/>
          <w:sz w:val="28"/>
          <w:szCs w:val="28"/>
          <w:rtl w:val="true"/>
          <w:lang w:bidi="ar-SA"/>
        </w:rPr>
        <w:t xml:space="preserve">مفيدة </w:t>
      </w:r>
    </w:p>
    <w:p>
      <w:pPr>
        <w:pStyle w:val="BookText"/>
        <w:rPr/>
      </w:pPr>
      <w:r>
        <w:rPr>
          <w:rFonts w:ascii="Amiri" w:hAnsi="Amiri" w:eastAsia="Amiri" w:cs="Amiri"/>
          <w:color w:val="111111"/>
          <w:sz w:val="28"/>
          <w:sz w:val="28"/>
          <w:szCs w:val="28"/>
          <w:rtl w:val="true"/>
          <w:lang w:bidi="ar-SA"/>
        </w:rPr>
        <w:t>للمعاني الموضوعة لها، أي المعاني المفردة كما هو المفروض، حتّى يمكن باستمداد إفادتها إيّاها إفادتها غيرها على فرض التسليم</w:t>
      </w:r>
      <w:r>
        <w:rPr>
          <w:rStyle w:val="FootnoteAnchor"/>
          <w:rtl w:val="true"/>
        </w:rPr>
        <w:footnoteReference w:id="596"/>
      </w:r>
      <w:r>
        <w:rPr>
          <w:rFonts w:ascii="Amiri" w:hAnsi="Amiri" w:eastAsia="Amiri" w:cs="Amiri"/>
          <w:color w:val="111111"/>
          <w:sz w:val="28"/>
          <w:sz w:val="28"/>
          <w:szCs w:val="28"/>
          <w:rtl w:val="true"/>
          <w:lang w:bidi="ar-SA"/>
        </w:rPr>
        <w:t>، فكيف يمكن إفادتها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قد ثبت عدم جواز إرادة هذا المعنى من الكلام، تعيّنت إرادة المعنى الثاني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المذكور لو كان تامًّا؛ لدلّ على عدم كون الوضع في المركّبات لإفادة المعاني المركّبة أيضًا؛ لجريانه بعينه فيها؛ إذ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إفادة المركّب المعنى للمخاطب موقوفةٌ على علمه بوضعه له، وعلمه بوضعه له متوقّف على علمه به لما تقدّم، فلو كان العلم به مستفادًا من اللفظ يلزم الدور، ولا مدفع له إلّا بما ذكرنا، وهو مشترك بينها وبين الألفاظ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ذكروه منظورٌ فيه نقضًا وحلًّا، أمّا النقض فبالألفاظ المركّبة، وأمّا الحلّ فبما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المقدّمة الأولى ههنا، بأنّا لا نسلّم توقّف استفادة المعنى من المركّب على علم المخاطب بوضعه له؛ لأنّ العلم بأوضاع الألفاظ المفردة كافٍ لذلك، فعند اجتماع الألفاظ المفردة مع العلم بأوضاعها يحصل العلم بمعنى المركّب وإن لم يعلم وضعه بخصوصه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استفادة المعنى من المركّب لأجل العلم بأوضاع المفردات مع عدم العلم بوضع المركّب، لزم أن يكون المفهوم من المركّبات المختلفة الهيئات عند عدم الاختلاف في المفردات واحدًا، فيلزم أن يكون المفهوم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غلامٌ</w:t>
      </w:r>
      <w:r>
        <w:rPr>
          <w:rFonts w:eastAsia="Amiri" w:cs="Amiri" w:ascii="Amiri" w:hAnsi="Amiri"/>
          <w:color w:val="111111"/>
          <w:sz w:val="28"/>
          <w:szCs w:val="28"/>
          <w:rtl w:val="true"/>
          <w:lang w:bidi="ar-SA"/>
        </w:rPr>
        <w:t xml:space="preserve">» </w:t>
      </w:r>
      <w:bookmarkStart w:id="795" w:name="pg16214_221761"/>
    </w:p>
    <w:p>
      <w:pPr>
        <w:pStyle w:val="BookText"/>
        <w:rPr/>
      </w:pPr>
      <w:bookmarkEnd w:id="795"/>
      <w:r>
        <w:rPr>
          <w:rFonts w:ascii="Amiri" w:hAnsi="Amiri" w:eastAsia="Amiri" w:cs="Amiri"/>
          <w:color w:val="111111"/>
          <w:sz w:val="28"/>
          <w:sz w:val="28"/>
          <w:szCs w:val="28"/>
          <w:rtl w:val="true"/>
          <w:lang w:bidi="ar-SA"/>
        </w:rPr>
        <w:t>بالتركيب الإسناديّ عين المفهوم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بالتركيب التوصيفيّ، والمفهوم منهما عين المفهوم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بالإضافيّ، وكذا يلزم أن يكون المفهوم من المركّبات المتّفقة في الهيئة عند اختلاف المفردات مختلفًا، والتالي باطل، فالمقدّم مثله، والملازمة ظاهرة، وبطلان التالي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إنّما يلزم إذا كان العلم بوضع المفردات بمجرّدها كافيًا لذلك، ونحن لم نقل بذلك،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بأوضاع المفردات مع العلم بكون حركات تلك الألفاظ دالّة على النسب المخصوصة مفيد</w:t>
      </w:r>
      <w:r>
        <w:rPr>
          <w:rStyle w:val="FootnoteAnchor"/>
          <w:rtl w:val="true"/>
        </w:rPr>
        <w:footnoteReference w:id="597"/>
      </w:r>
      <w:r>
        <w:rPr>
          <w:rFonts w:ascii="Amiri" w:hAnsi="Amiri" w:eastAsia="Amiri" w:cs="Amiri"/>
          <w:color w:val="111111"/>
          <w:sz w:val="28"/>
          <w:sz w:val="28"/>
          <w:szCs w:val="28"/>
          <w:rtl w:val="true"/>
          <w:lang w:bidi="ar-SA"/>
        </w:rPr>
        <w:t>لتلك المعاني، والمفردات وإن كانت غير مختلفة فيما ذكر، لكنّ الحركات والهيئات لمّا كانت مختلفة يجوز أن يكون اختلاف المعاني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r>
        <w:rPr>
          <w:rStyle w:val="FootnoteAnchor"/>
          <w:rtl w:val="true"/>
        </w:rPr>
        <w:footnoteReference w:id="598"/>
      </w:r>
      <w:r>
        <w:rPr>
          <w:rFonts w:ascii="Amiri" w:hAnsi="Amiri" w:eastAsia="Amiri" w:cs="Amiri"/>
          <w:color w:val="111111"/>
          <w:sz w:val="28"/>
          <w:sz w:val="28"/>
          <w:szCs w:val="28"/>
          <w:rtl w:val="true"/>
          <w:lang w:bidi="ar-SA"/>
        </w:rPr>
        <w:t>المراد من العلم بأوضاع المركّبات إلّا العلم بكون هيئة خاصّة دالّة على معنى خاصّ ومعيّنة له وهيئة أخرى لآخر، وهكذا كما مرّ تحقيقه؛ وحيث قد اعترفت بتوقّف فهم المعنى على العلم بذلك، يلزمك الاعتراف بتوقّف فهم المعنى من المركّب على العلم بالوضع، وهو المطلوب</w:t>
      </w:r>
      <w:r>
        <w:rPr>
          <w:rFonts w:eastAsia="Amiri" w:cs="Amiri" w:ascii="Amiri" w:hAnsi="Amiri"/>
          <w:color w:val="111111"/>
          <w:sz w:val="28"/>
          <w:szCs w:val="28"/>
          <w:rtl w:val="true"/>
          <w:lang w:bidi="ar-SA"/>
        </w:rPr>
        <w:t>.</w:t>
      </w:r>
    </w:p>
    <w:p>
      <w:pPr>
        <w:pStyle w:val="Heading6"/>
        <w:numPr>
          <w:ilvl w:val="5"/>
          <w:numId w:val="1"/>
        </w:numPr>
        <w:rPr/>
      </w:pPr>
      <w:bookmarkStart w:id="796" w:name="__RefHeading___Toc3520175_1280447820"/>
      <w:bookmarkStart w:id="797" w:name="_Toc306"/>
      <w:bookmarkEnd w:id="796"/>
      <w:r>
        <w:rPr>
          <w:rtl w:val="true"/>
        </w:rPr>
        <w:t>وضع الألفاظ المفردة ليس لإفادة المعاني المفردة</w:t>
      </w:r>
      <w:bookmarkEnd w:id="79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يستدلّ على عدم كون المقصود من وضع الألفاظ المفردة إفادة معانيها؛ بأنّه لا شبهة في أنّ وضع الألفاظ لإبراز ما في الضمير وإعلام ما في البال بطلب شيء أو تركه أو نحوهما؛ ولا شبهة في أنّه لا ينفكّ عن التركيب، فيكون </w:t>
      </w:r>
      <w:bookmarkStart w:id="798" w:name="pg16214_221762"/>
    </w:p>
    <w:p>
      <w:pPr>
        <w:pStyle w:val="BookText"/>
        <w:rPr/>
      </w:pPr>
      <w:bookmarkEnd w:id="798"/>
      <w:r>
        <w:rPr>
          <w:rFonts w:ascii="Amiri" w:hAnsi="Amiri" w:eastAsia="Amiri" w:cs="Amiri"/>
          <w:color w:val="111111"/>
          <w:sz w:val="28"/>
          <w:sz w:val="28"/>
          <w:szCs w:val="28"/>
          <w:rtl w:val="true"/>
          <w:lang w:bidi="ar-SA"/>
        </w:rPr>
        <w:t>وضع الألفاظ لأجل إفادة المعاني المركّبة، لا المفردة من هذه الجهة، والدلالة على مجرّد المعاني المفردة وإن كانت ممكنة، كزيد وعمرو وبكر ونحوها، إلّا أنّه ليس ممّا يترتّب عليه كثير فائدة حتّى يكون الوضع لذلك، والدليل بهذا المنوال لا يخفى اختصاصه بالمفردات وعدم جريانه في المركّبات</w:t>
      </w:r>
      <w:r>
        <w:rPr>
          <w:rFonts w:eastAsia="Amiri" w:cs="Amiri" w:ascii="Amiri" w:hAnsi="Amiri"/>
          <w:color w:val="111111"/>
          <w:sz w:val="28"/>
          <w:szCs w:val="28"/>
          <w:rtl w:val="true"/>
          <w:lang w:bidi="ar-SA"/>
        </w:rPr>
        <w:t>.</w:t>
      </w:r>
    </w:p>
    <w:p>
      <w:pPr>
        <w:pStyle w:val="Heading6"/>
        <w:numPr>
          <w:ilvl w:val="5"/>
          <w:numId w:val="1"/>
        </w:numPr>
        <w:rPr/>
      </w:pPr>
      <w:bookmarkStart w:id="799" w:name="__RefHeading___Toc3520177_1280447820"/>
      <w:bookmarkStart w:id="800" w:name="_Toc307"/>
      <w:bookmarkEnd w:id="799"/>
      <w:r>
        <w:rPr>
          <w:rtl w:val="true"/>
        </w:rPr>
        <w:t>الوجه الثاني</w:t>
      </w:r>
      <w:bookmarkEnd w:id="800"/>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الدليل المذكور بعد تماميّته إنّما يدلّ على استلزام الوضع الحقيقة، بل هو في الحقيقة دليل عليه وبواسطته يدلّ على استلزام المجاز الحقيقة، ففي الحقيقة لا ارتباط بينهما بالدالّة والمدلوليّة، كما يظهر للمتأمّل، مع أنّك قد عرفت فساده ممّا تقدّم مِنْ أنّ مِنَ</w:t>
      </w:r>
      <w:r>
        <w:rPr>
          <w:rStyle w:val="FootnoteAnchor"/>
          <w:rtl w:val="true"/>
        </w:rPr>
        <w:footnoteReference w:id="599"/>
      </w:r>
      <w:r>
        <w:rPr>
          <w:rFonts w:ascii="Amiri" w:hAnsi="Amiri" w:eastAsia="Amiri" w:cs="Amiri"/>
          <w:color w:val="111111"/>
          <w:sz w:val="28"/>
          <w:sz w:val="28"/>
          <w:szCs w:val="28"/>
          <w:rtl w:val="true"/>
          <w:lang w:bidi="ar-SA"/>
        </w:rPr>
        <w:t>الوسائط بين الحقيقة والمجاز اللفظَ الموضوع الغير المستعمل في الموضوع له وغيره، فتأمّل</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3520179_1280447820"/>
      <w:bookmarkStart w:id="802" w:name="_Toc308"/>
      <w:bookmarkEnd w:id="801"/>
      <w:r>
        <w:rPr>
          <w:rtl w:val="true"/>
        </w:rPr>
        <w:t>الوجه الثالث</w:t>
      </w:r>
      <w:bookmarkEnd w:id="802"/>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حديث وضع المفردات لأجل إفادة المعاني المركّبة لا مدخليّة له في إثبات المرام أصلًا، إذ المفسدة على تقدير عدم استلزام المجاز الحقيقة تحقّقُ الوضع مع عدم استعمال اللفظ في الموضوع له، وهو متحقّق ولو كان وضع الألفاظ لإفادة المعاني المفردة كما لا يخفى، فتأمّل</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3520181_1280447820"/>
      <w:bookmarkStart w:id="804" w:name="_Toc309"/>
      <w:bookmarkEnd w:id="803"/>
      <w:r>
        <w:rPr>
          <w:rtl w:val="true"/>
        </w:rPr>
        <w:t>الوجه الرابع</w:t>
      </w:r>
      <w:bookmarkEnd w:id="80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لا نسلّم عند عدم استعمال اللفظ في الموضوع له</w:t>
      </w:r>
      <w:r>
        <w:rPr>
          <w:rStyle w:val="FootnoteAnchor"/>
          <w:rtl w:val="true"/>
        </w:rPr>
        <w:footnoteReference w:id="600"/>
      </w:r>
      <w:r>
        <w:rPr>
          <w:rFonts w:ascii="Amiri" w:hAnsi="Amiri" w:eastAsia="Amiri" w:cs="Amiri"/>
          <w:color w:val="111111"/>
          <w:sz w:val="28"/>
          <w:sz w:val="28"/>
          <w:szCs w:val="28"/>
          <w:rtl w:val="true"/>
          <w:lang w:bidi="ar-SA"/>
        </w:rPr>
        <w:t xml:space="preserve">يلزم خلوّ </w:t>
      </w:r>
    </w:p>
    <w:p>
      <w:pPr>
        <w:pStyle w:val="BookText"/>
        <w:rPr/>
      </w:pPr>
      <w:r>
        <w:rPr>
          <w:rFonts w:ascii="Amiri" w:hAnsi="Amiri" w:eastAsia="Amiri" w:cs="Amiri"/>
          <w:color w:val="111111"/>
          <w:sz w:val="28"/>
          <w:sz w:val="28"/>
          <w:szCs w:val="28"/>
          <w:rtl w:val="true"/>
          <w:lang w:bidi="ar-SA"/>
        </w:rPr>
        <w:t>الوضع عن الفائدة؛ لوضوح أنّ تحقّق</w:t>
      </w:r>
      <w:r>
        <w:rPr>
          <w:rStyle w:val="FootnoteAnchor"/>
          <w:rtl w:val="true"/>
        </w:rPr>
        <w:footnoteReference w:id="601"/>
      </w:r>
      <w:r>
        <w:rPr>
          <w:rFonts w:ascii="Amiri" w:hAnsi="Amiri" w:eastAsia="Amiri" w:cs="Amiri"/>
          <w:color w:val="111111"/>
          <w:sz w:val="28"/>
          <w:sz w:val="28"/>
          <w:szCs w:val="28"/>
          <w:rtl w:val="true"/>
          <w:lang w:bidi="ar-SA"/>
        </w:rPr>
        <w:t>المجاز فائدة عظيمة، بل من أهمّ الأمور المعتبرة في الفصاحة والبلاغة، فيمكن أن يكون وضع اللفظ مع عدم استعماله في الموضوع له لأجل ذلك؛ لوضوح عدم إمكان تحقّقه مع انتفاء الوضع، وأمّا مع تحقّقه وانتفاء الاستعمال فلا، كما لا يخفى</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على تسليم انحصار فائدة الوضع في الاستعمال في الموضوع 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عند عدم الاستعمال فيه عدم ترتّب الفائدة على الفعل الاختياريّ، ولا مفسدة فيه، إذ المحذور صدور الفعل الاختياريّ لا لفائدة، فيمكن عدم ترتّب الفائدة مع كون الفعل لها؛ والمحذور إنّما يلزم لو كان الفعل لفائدة مستلزمًا لترتّبها عليه، أو عدم ترتّبها مستلزمًا لعدم كونه لها، لكن فساده غنيّ عن البيان، مع أنّه قد مرّ الكلام عليه مشروحًا في النقض بالمشترك في حدّ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صدور الفعل الاختياريّ اعتقاد الفائدة، لا مطابقته للواقع، واللازم على تقدير عدم الاستعمال عدم مطابقته له، لا عدم الاعتقاد، فاللازم غير محذور والمحذور غير لازم</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أنّ هذا أنّما يصحّ فيما إذا لم يكن الباري تعالى واضعًا، إذ صدور الفعل لاعتقاد الفائدة وإن لم ترتّب</w:t>
      </w:r>
      <w:r>
        <w:rPr>
          <w:rStyle w:val="FootnoteAnchor"/>
          <w:rtl w:val="true"/>
        </w:rPr>
        <w:footnoteReference w:id="604"/>
      </w:r>
      <w:r>
        <w:rPr>
          <w:rFonts w:ascii="Amiri" w:hAnsi="Amiri" w:eastAsia="Amiri" w:cs="Amiri"/>
          <w:color w:val="111111"/>
          <w:sz w:val="28"/>
          <w:sz w:val="28"/>
          <w:szCs w:val="28"/>
          <w:rtl w:val="true"/>
          <w:lang w:bidi="ar-SA"/>
        </w:rPr>
        <w:t xml:space="preserve">عليه إنّما يصحّ إذا لم يكن الفاعل عند الفعل عالمًا بعدم ترتّبها عليه، فينحصر ذلك بالنسبة إلى غير الله تعالى، وأمّا إذا كان </w:t>
      </w:r>
      <w:bookmarkStart w:id="805" w:name="pg16214_221764"/>
    </w:p>
    <w:p>
      <w:pPr>
        <w:pStyle w:val="BookText"/>
        <w:rPr/>
      </w:pPr>
      <w:bookmarkEnd w:id="805"/>
      <w:r>
        <w:rPr>
          <w:rFonts w:ascii="Amiri" w:hAnsi="Amiri" w:eastAsia="Amiri" w:cs="Amiri"/>
          <w:color w:val="111111"/>
          <w:sz w:val="28"/>
          <w:sz w:val="28"/>
          <w:szCs w:val="28"/>
          <w:rtl w:val="true"/>
          <w:lang w:bidi="ar-SA"/>
        </w:rPr>
        <w:t xml:space="preserve">عالمًا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حقّه تعالى، إذ لا يعزب عن علمه مثقال ذرّة في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إذ صدور الفعل لأجل فائدة مع العلم بعدم ترتّبها عليه في قوّة كونه لا لفائدة كما لا يخفى، فينحصر الجواب حينئذٍ بما ذكرنا قبل التسليم</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3520183_1280447820"/>
      <w:bookmarkStart w:id="807" w:name="_Toc310"/>
      <w:bookmarkEnd w:id="806"/>
      <w:r>
        <w:rPr>
          <w:rtl w:val="true"/>
        </w:rPr>
        <w:t>ذكر اختلاف القائلين بعدم الاستلزام ومستندهم</w:t>
      </w:r>
      <w:bookmarkEnd w:id="807"/>
    </w:p>
    <w:p>
      <w:pPr>
        <w:pStyle w:val="BookText"/>
        <w:rPr/>
      </w:pPr>
      <w:r>
        <w:rPr>
          <w:rFonts w:ascii="Amiri" w:hAnsi="Amiri" w:eastAsia="Amiri" w:cs="Amiri"/>
          <w:color w:val="111111"/>
          <w:sz w:val="28"/>
          <w:sz w:val="28"/>
          <w:szCs w:val="28"/>
          <w:rtl w:val="true"/>
          <w:lang w:bidi="ar-SA"/>
        </w:rPr>
        <w:t>وحيث قد ظهر فساد القول المذكور، تعيّن القول الآخر، وهو عدم استلزام المجاز للحقيقة، لكن اختلف أصحابُ هذا القول على فرقتين، فبعضهم تعدّى عن الإمكان وادّعى الوقوع والثبوت، بمعنى أنّ المجاز من غير حقيقة كما أنّه ممكن عقلًا، واقعٌ</w:t>
      </w:r>
      <w:r>
        <w:rPr>
          <w:rStyle w:val="FootnoteAnchor"/>
          <w:rtl w:val="true"/>
        </w:rPr>
        <w:footnoteReference w:id="605"/>
      </w:r>
      <w:r>
        <w:rPr>
          <w:rFonts w:ascii="Amiri" w:hAnsi="Amiri" w:eastAsia="Amiri" w:cs="Amiri"/>
          <w:color w:val="111111"/>
          <w:sz w:val="28"/>
          <w:sz w:val="28"/>
          <w:szCs w:val="28"/>
          <w:rtl w:val="true"/>
          <w:lang w:bidi="ar-SA"/>
        </w:rPr>
        <w:t>لغة، لكنّه نادر</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لذلك بأنّه لو كان المجاز مستلزمًا للحقيقة، لما تخلّف عنها</w:t>
      </w:r>
      <w:r>
        <w:rPr>
          <w:rStyle w:val="FootnoteAnchor"/>
          <w:rtl w:val="true"/>
        </w:rPr>
        <w:footnoteReference w:id="607"/>
      </w:r>
      <w:r>
        <w:rPr>
          <w:rFonts w:ascii="Amiri" w:hAnsi="Amiri" w:eastAsia="Amiri" w:cs="Amiri"/>
          <w:color w:val="111111"/>
          <w:sz w:val="28"/>
          <w:sz w:val="28"/>
          <w:szCs w:val="28"/>
          <w:rtl w:val="true"/>
          <w:lang w:bidi="ar-SA"/>
        </w:rPr>
        <w:t>، والتالي باطل، فالمقدّم مثله، والملازمة بيّنة، وأمّا بطلان التالي ففي كلّ من الألفاظ المركّبة والمفردة، أمّا الأوّل فلأنّ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قامت الحرب على ساق</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شابت لمة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من المركّبات مجازات لا حقائق لها قطعًا</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مشترك الإلزام، إذ الوضع لمعنى لازم للمجاز قطعًا، فيجب أن تكون هذه المركّبات موضوعة لمعنى متحقّق، وليس كذلك</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بالمعنى المتحقّق إن كان معنًى متحقّقًا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بطلان التالي، لكنّ الملازمة ممنوعة، ضرورة أنّ اللازم في المجاز وضعه لمعنى، وأمّا كون ذلك المعنى متحقّقًا في الخارج، فلم يشترطه أحدٌ، بل ولا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المجاز لمّا كان متوقّفًا على العلاقة بين معناه وبين الموضوع له كما عرفت مفصّلًا، فلا بدّ أن يكون الموضوع له متحقّقًا في الخارج حتّى يمكن للمتجوّز استعمالها</w:t>
      </w:r>
      <w:r>
        <w:rPr>
          <w:rStyle w:val="FootnoteAnchor"/>
          <w:rtl w:val="true"/>
        </w:rPr>
        <w:footnoteReference w:id="611"/>
      </w:r>
      <w:r>
        <w:rPr>
          <w:rFonts w:ascii="Amiri" w:hAnsi="Amiri" w:eastAsia="Amiri" w:cs="Amiri"/>
          <w:color w:val="111111"/>
          <w:sz w:val="28"/>
          <w:sz w:val="28"/>
          <w:szCs w:val="28"/>
          <w:rtl w:val="true"/>
          <w:lang w:bidi="ar-SA"/>
        </w:rPr>
        <w:t>، فيمكن له التجوّز، فلو لم يتحقّق المعنى لم يمكن التجوّز؛ لأنّ العلم بالعلاقة شرط فيه، وهو مع عدم تحقّق المعنى ممتنع، وامتناع الشرط يستلزم امتناع المشروط، لكنّ التجوّز واقع كما هو المفروض، فيلزمه</w:t>
      </w:r>
      <w:r>
        <w:rPr>
          <w:rStyle w:val="FootnoteAnchor"/>
          <w:rtl w:val="true"/>
        </w:rPr>
        <w:footnoteReference w:id="612"/>
      </w:r>
      <w:r>
        <w:rPr>
          <w:rFonts w:ascii="IRNazanin" w:hAnsi="IRNazanin" w:eastAsia="IRNazanin"/>
          <w:color w:val="111111"/>
          <w:sz w:val="28"/>
          <w:sz w:val="28"/>
          <w:szCs w:val="28"/>
          <w:rtl w:val="true"/>
          <w:lang w:bidi="fa-IR"/>
        </w:rPr>
        <w:t>تحقّق المعنى</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التجوّز بالعلم بالعلاقة مسلّم، لكن توقّفه على تحقّق المعنى في الخارج ممنوع، بل الموقوف عليه هو تعقّل المعنى، لا تحقّقه في الخارج</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الموقوف عليه تعقّل المعنى، لكنّه يحتاج إلى سبيل، فليكن التحقّق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الطريق في التحقّق الخارجيّ ممنوعٌ كما لا يخفى، فكما يمكن أن يكون طريق التعقّل ذلك، كذا يمكن أن يكون غيره، فليكن ما نحن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اطّلاع المتجوّز على العلاقة، لا المستعمل،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المتجوّز في المقام هو الواضع، فإنّه لمّا وضع اللفظ للمعنى المتعقّل عنده ولاحظ العلاقة بينه وبين مناسبه استعمل اللفظ فيه، ثمّ تبعه المستعملون في ذلك، فاشتهر الاستعمال، أو يكون المتجوّز غيره، لكن ممّن اطّلع على الموضوع له منه، فاستعمله في المعنى المجازيّ بعد ملاحظة العلاقة، ثمّ اشتهر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لزوم الاطّلاع على العلاقة في المتجوّز ممنوع، إذ الاستعمال لا بدّ أن يكون بحيث يظهر سرّه، وهو مع عدم تحقّق المعنى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بعد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اللازم اطّلاع سِرّ الاستعمال على مخاطب المتجوّز، لا كلّ أحد، فيمكن تنبيه المتجوّز إيّاه على الموضوع له ليظهر عليه لِمُّ الاستعمال، ثمّ لمّا ظهر المستعمل فيه على غيره استعملوا اللفظ فيه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من المعنى المتحقّق أعمّ من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وإن كانت مسلّمة، لكن بطلان التالي ممنوع، غاية ما هناك عدم ظهور المعنى الموضوع له لنا، </w:t>
      </w:r>
    </w:p>
    <w:p>
      <w:pPr>
        <w:pStyle w:val="BookText"/>
        <w:rPr/>
      </w:pPr>
      <w:r>
        <w:rPr>
          <w:rFonts w:ascii="Amiri" w:hAnsi="Amiri" w:eastAsia="Amiri" w:cs="Amiri"/>
          <w:color w:val="111111"/>
          <w:sz w:val="28"/>
          <w:sz w:val="28"/>
          <w:szCs w:val="28"/>
          <w:rtl w:val="true"/>
          <w:lang w:bidi="ar-SA"/>
        </w:rPr>
        <w:t>وهو غير مضرّ؛ لما عرفت من أنّ اللازم اطّلاع المتجوّز على المعنى، لا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إنّما يتمّ إذا كان عدم الظهور عندنا مستلزمًا لعدم الظهور عند الكلّ، أو الظهور عند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مستلزمًا للظهور عند الجميع، لكنّ الضرورة قاضية بفسادهما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الاستدلال مبنيٌّ على توهّم اعتبار الوضع الشخصيّ في المركّبات حيث رأى المفردات كالأسد مثلًا أنّه استعمل في المعنى المجازيّ، مع أنّ ذلك اللفظ بخصوصه موضوع للحيوان المفترس، فَتَوَهَّم أنّ ما نحن فيه لا بدّ أن يكون أيضًا مثل ذلك؛ والحال أنّ 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الحرب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موضوعًا لمعنى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توهّم فاسد، إذ الوضع في المركّبات نوعيّ على ما تقدّم تحقيقه في المقدّمة، فيكفي في وضع المركّبات ثبوت الوضع في نوع الهيئة، وهو متحقّق فيما نحن فيه أيضًا، إذ لا شبهة أنّ التركيب في المقام إسناديّ، وثبوت الوضع في نوع الهيئة الإسناديّة ممّا لا ريب فيه</w:t>
      </w:r>
      <w:r>
        <w:rPr>
          <w:rStyle w:val="FootnoteAnchor"/>
          <w:rtl w:val="true"/>
        </w:rPr>
        <w:footnoteReference w:id="615"/>
      </w:r>
      <w:r>
        <w:rPr>
          <w:rFonts w:ascii="Amiri" w:hAnsi="Amiri" w:eastAsia="Amiri" w:cs="Amiri"/>
          <w:color w:val="111111"/>
          <w:sz w:val="28"/>
          <w:sz w:val="28"/>
          <w:szCs w:val="28"/>
          <w:rtl w:val="true"/>
          <w:lang w:bidi="ar-SA"/>
        </w:rPr>
        <w:t>، وهو كافٍ لثبوت الوضع في المركّبات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فالحقّ في الجواب عن أصل الاستدلال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المجاز اللغويّ، والمجاز في هذه المركّبات على التقرير المذكور إنّما هو في الإسناد، وهو مجازٌ عقليٌّ كما سيجيء توضيحه، فلا وجه للتمسّك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المقام على وجه يزول معه الحجاب عن وجه المرام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الحقيقة كما تنقسم إلى لغويّة وعقليّة، كذلك المجاز منقسم إلى عقليّ ولغويّ، فالحقيقة العقليّة إسناد الفعل أو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كالمصدر واسم الفاعل والمفعول والصفة المشبّهة واسم التفضيل والظرف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هو له عند المتكلّم في الظاهر</w:t>
      </w:r>
      <w:r>
        <w:rPr>
          <w:rStyle w:val="FootnoteAnchor"/>
          <w:rtl w:val="true"/>
        </w:rPr>
        <w:footnoteReference w:id="616"/>
      </w:r>
      <w:r>
        <w:rPr>
          <w:rFonts w:ascii="Amiri" w:hAnsi="Amiri" w:eastAsia="Amiri" w:cs="Amiri"/>
          <w:color w:val="111111"/>
          <w:sz w:val="28"/>
          <w:sz w:val="28"/>
          <w:szCs w:val="28"/>
          <w:rtl w:val="true"/>
          <w:lang w:bidi="ar-SA"/>
        </w:rPr>
        <w:t>، والمجاز العقليّ إسناده إلى غير ما هو له، إلى آخره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المستدلّ من دعوى التجوّز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قامت الحرب على 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في الإسناد، أو في الموادّ والمفردات، أو فيهما</w:t>
      </w:r>
      <w:r>
        <w:rPr>
          <w:rStyle w:val="FootnoteAnchor"/>
          <w:rtl w:val="true"/>
        </w:rPr>
        <w:footnoteReference w:id="617"/>
      </w:r>
      <w:r>
        <w:rPr>
          <w:rFonts w:ascii="Amiri" w:hAnsi="Amiri" w:eastAsia="Amiri" w:cs="Amiri"/>
          <w:color w:val="111111"/>
          <w:sz w:val="28"/>
          <w:sz w:val="28"/>
          <w:szCs w:val="28"/>
          <w:rtl w:val="true"/>
          <w:lang w:bidi="ar-SA"/>
        </w:rPr>
        <w:t>، وعلى الأوّل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حينئذٍ يكون المجاز عقليًّا، إذ القيام على ساق حقيقةً صفةٌ لأهل الحرب وقد نسب إليها،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وإن تحقّق التجوّز من غير حقيقة، لكنّه خارج عمّا نحن فيه، إذ الكلام في المجاز اللغويّ الّذي هو اللفظ المستعمل في غير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القيام مجازًا عن الاشتداد والساق عن آلات الحرب وتكون الحرب محمولًا على ظاهره،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التجوّز حينئذٍ وإن كان لغويًّا، لكنّه غير مثبت للمدّعى؛ لوضوح تحقّق استعمال كلّ من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 الحقيقيّ،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الحرب على آلته، فالإسناد حينئذٍ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لارتكابه هنا؛ لإمكان الاستغناء بأحد المجازين عنه، وعلى فرض التسليم غير مثبت للمدّعى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شابت لمة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التجوّز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الإسناد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الشيبوبة وصف لذي الشعور حقيقة كالإنسان، وإسنادها إلى غيره إسناد للشيء إلى غير ما هي له،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تحقّق التجوّز من غير حقيقة، يكون ذلك مجازًا عقليًّا لا حقيقة عقليّة له، وقد عرفت أنّ الكلام في المجاز اللغويّ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في المفردات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عن انقضت،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اللام وتخفيف المفتوحة</w:t>
      </w:r>
      <w:r>
        <w:rPr>
          <w:rStyle w:val="FootnoteAnchor"/>
          <w:rtl w:val="true"/>
        </w:rPr>
        <w:footnoteReference w:id="618"/>
      </w:r>
      <w:r>
        <w:rPr>
          <w:rFonts w:ascii="Amiri" w:hAnsi="Amiri" w:eastAsia="Amiri" w:cs="Amiri"/>
          <w:color w:val="111111"/>
          <w:sz w:val="28"/>
          <w:sz w:val="28"/>
          <w:szCs w:val="28"/>
          <w:rtl w:val="true"/>
          <w:lang w:bidi="ar-SA"/>
        </w:rPr>
        <w:t>بمعنى الجماعة مجازًا عن المعظم،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انقضى معظم </w:t>
      </w:r>
    </w:p>
    <w:p>
      <w:pPr>
        <w:pStyle w:val="BookText"/>
        <w:rPr/>
      </w:pPr>
      <w:r>
        <w:rPr>
          <w:rFonts w:ascii="Amiri" w:hAnsi="Amiri" w:eastAsia="Amiri" w:cs="Amiri"/>
          <w:color w:val="111111"/>
          <w:sz w:val="28"/>
          <w:sz w:val="28"/>
          <w:szCs w:val="28"/>
          <w:rtl w:val="true"/>
          <w:lang w:bidi="ar-SA"/>
        </w:rPr>
        <w:t xml:space="preserve">الليل، ويكون المقصود التنبيه على قرب الصبح، أو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عن سوادها وظلمتها،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وزالت ظلمة الليل، ويكون المقصود التنبيه على طلوع الفجر، فحينئذٍ إنّ التجوّز وإن كان لغويًّا، لكنّه غير مثبت للمدّعى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فيهما، فإنّه مع تسليم خروج الشقّ الأوّل منه على النحو الّذي مرّ، قد عرفت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بعضًا منهم</w:t>
      </w:r>
      <w:r>
        <w:rPr>
          <w:rStyle w:val="FootnoteAnchor"/>
          <w:rtl w:val="true"/>
        </w:rPr>
        <w:footnoteReference w:id="619"/>
      </w:r>
      <w:r>
        <w:rPr>
          <w:rFonts w:ascii="Amiri" w:hAnsi="Amiri" w:eastAsia="Amiri" w:cs="Amiri"/>
          <w:color w:val="111111"/>
          <w:sz w:val="28"/>
          <w:sz w:val="28"/>
          <w:szCs w:val="28"/>
          <w:rtl w:val="true"/>
          <w:lang w:bidi="ar-SA"/>
        </w:rPr>
        <w:t xml:space="preserve">حمل المثالين المذكورين على الاستعارة التمثيليّة بأن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الحرب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تمثيلًا لحال الحرب بحال من يقوم على ساقه ولا يفتر عنه،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شابت لمة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تمثيلًا للهيئة المركّبة من الليل وظهور بياض الصبح في سواد آخره بحال ظهور الشيب في سواد الشعر</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 لأنّ حاصل الاستعارة التمثيليّة على ما صرّح به في المطوّل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يشبّه</w:t>
      </w:r>
      <w:r>
        <w:rPr>
          <w:rStyle w:val="FootnoteAnchor"/>
          <w:rtl w:val="true"/>
        </w:rPr>
        <w:footnoteReference w:id="621"/>
      </w:r>
      <w:r>
        <w:rPr>
          <w:rFonts w:ascii="Amiri" w:hAnsi="Amiri" w:eastAsia="Amiri" w:cs="Amiri"/>
          <w:color w:val="111111"/>
          <w:sz w:val="28"/>
          <w:sz w:val="28"/>
          <w:szCs w:val="28"/>
          <w:rtl w:val="true"/>
          <w:lang w:bidi="ar-SA"/>
        </w:rPr>
        <w:t>إحدى الصورتين المنتزعتين من متعدّد بالأخرى، ثمّ يدّعى أنّ الصورة المشبّهة من جنس الصورة المشبّهة</w:t>
      </w:r>
      <w:r>
        <w:rPr>
          <w:rStyle w:val="FootnoteAnchor"/>
          <w:rtl w:val="true"/>
        </w:rPr>
        <w:footnoteReference w:id="622"/>
      </w:r>
      <w:r>
        <w:rPr>
          <w:rFonts w:ascii="IRNazanin" w:hAnsi="IRNazanin" w:eastAsia="IRNazanin"/>
          <w:color w:val="111111"/>
          <w:sz w:val="28"/>
          <w:sz w:val="28"/>
          <w:szCs w:val="28"/>
          <w:rtl w:val="true"/>
          <w:lang w:bidi="fa-IR"/>
        </w:rPr>
        <w:t>بها، فتطلق</w:t>
      </w:r>
      <w:r>
        <w:rPr>
          <w:rStyle w:val="FootnoteAnchor"/>
          <w:rtl w:val="true"/>
        </w:rPr>
        <w:footnoteReference w:id="623"/>
      </w:r>
      <w:r>
        <w:rPr>
          <w:rFonts w:ascii="Amiri" w:hAnsi="Amiri" w:eastAsia="Amiri" w:cs="Amiri"/>
          <w:color w:val="111111"/>
          <w:sz w:val="28"/>
          <w:sz w:val="28"/>
          <w:szCs w:val="28"/>
          <w:rtl w:val="true"/>
          <w:lang w:bidi="ar-SA"/>
        </w:rPr>
        <w:t>على الصورة المشبّهة</w:t>
      </w:r>
      <w:r>
        <w:rPr>
          <w:rStyle w:val="FootnoteAnchor"/>
          <w:rtl w:val="true"/>
        </w:rPr>
        <w:footnoteReference w:id="624"/>
      </w:r>
      <w:bookmarkStart w:id="808" w:name="pg16214_221771"/>
    </w:p>
    <w:p>
      <w:pPr>
        <w:pStyle w:val="BookText"/>
        <w:rPr/>
      </w:pPr>
      <w:bookmarkEnd w:id="808"/>
      <w:r>
        <w:rPr>
          <w:rFonts w:ascii="Amiri" w:hAnsi="Amiri" w:eastAsia="Amiri" w:cs="Amiri"/>
          <w:color w:val="111111"/>
          <w:sz w:val="28"/>
          <w:sz w:val="28"/>
          <w:szCs w:val="28"/>
          <w:rtl w:val="true"/>
          <w:lang w:bidi="ar-SA"/>
        </w:rPr>
        <w:t>اللفظ الدالّ بالمطابقة على الصورة المشبّهة</w:t>
      </w:r>
      <w:r>
        <w:rPr>
          <w:rStyle w:val="FootnoteAnchor"/>
          <w:rtl w:val="true"/>
        </w:rPr>
        <w:footnoteReference w:id="625"/>
      </w:r>
      <w:r>
        <w:rPr>
          <w:rFonts w:ascii="IRNazanin" w:hAnsi="IRNazanin" w:eastAsia="IRNazanin"/>
          <w:color w:val="111111"/>
          <w:sz w:val="28"/>
          <w:sz w:val="28"/>
          <w:szCs w:val="28"/>
          <w:rtl w:val="true"/>
          <w:lang w:bidi="fa-IR"/>
        </w:rPr>
        <w:t>بها</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ليس كذلك كما لا يخفى</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3520185_1280447820"/>
      <w:bookmarkStart w:id="810" w:name="_Toc311"/>
      <w:bookmarkEnd w:id="809"/>
      <w:r>
        <w:rPr>
          <w:rtl w:val="true"/>
        </w:rPr>
        <w:t>انفكاك الحقيقة عن المجاز في الألفاظ المفردة</w:t>
      </w:r>
      <w:bookmarkEnd w:id="810"/>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انفكاك الحقيقة عن المجاز في الألفاظ المفردة، فذلك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والأفعال المنسلخة</w:t>
      </w:r>
      <w:r>
        <w:rPr>
          <w:rStyle w:val="FootnoteAnchor"/>
          <w:rtl w:val="true"/>
        </w:rPr>
        <w:footnoteReference w:id="627"/>
      </w:r>
      <w:r>
        <w:rPr>
          <w:rFonts w:ascii="IRNazanin" w:hAnsi="IRNazanin" w:eastAsia="IRNazanin"/>
          <w:color w:val="111111"/>
          <w:sz w:val="28"/>
          <w:sz w:val="28"/>
          <w:szCs w:val="28"/>
          <w:rtl w:val="true"/>
          <w:lang w:bidi="fa-IR"/>
        </w:rPr>
        <w:t>من الزمان</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استعمل في الله تعالى ولا يستعمل في غيره، واستعماله فيه استعمال للّفظ في غير ما وضع له؛ لأنّ الموضوع له إمّا رقيق القلب، أو ذو الرحمة مطلقًا، حقيرة كانت أو جسيمة، في الدنيا كانت أو في الآخرة، وأيّ منهما كان استعماله فيه تعالى فقط استعمال للفظ في المعنى المجازيّ، أمّا على الأوّل فظاهر، وأمّا على الثاني فلأنّه استعمال للّفظ الموضوع للمعنى المطلق في المقيّد؛ ولمّا كان المفروض انحصار استعماله في حقّ الله تعالى، ثبت أنّه مجاز لا حقيقة له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نظر؛ لأنّ مجازيّة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الذات الأقدس ممنوعة، بل الظاهر أنّه حقيقة لو جُوِّزَ خاصّة، فيكون من قبيل المنقولات، فلا يلزم المجازيّة؛ لجواز أن يكون النقل تعيّنيًّا، ولا يخفى عليك أنّه حينئذٍ لا يمكن أن يكون النقل عرفيًّا؛ لأنّ أسماءه تعالى توقيفيّة</w:t>
      </w:r>
      <w:r>
        <w:rPr>
          <w:rStyle w:val="FootnoteAnchor"/>
          <w:rtl w:val="true"/>
        </w:rPr>
        <w:footnoteReference w:id="630"/>
      </w:r>
      <w:r>
        <w:rPr>
          <w:rFonts w:ascii="Amiri" w:hAnsi="Amiri" w:eastAsia="Amiri" w:cs="Amiri"/>
          <w:color w:val="111111"/>
          <w:sz w:val="28"/>
          <w:sz w:val="28"/>
          <w:szCs w:val="28"/>
          <w:rtl w:val="true"/>
          <w:lang w:bidi="ar-SA"/>
        </w:rPr>
        <w:t>، بل شرعيّة، وحينئذٍ يرجّح احتمال التعيينيّ على التعيّني</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هذا كلّه على فرض تسليم عدم استعماله في المعنى اللغويّ مطلقًا، وهو ممنوع لجواز استعماله فيه قبل المنع الشرعيّ، وإثبات المرام موقوف على دفع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من الأفعال الّتي كانت هيئتها على هيئة الماضي الّذي وضع للدلالة على الزمان المعلوم ولم يستعمل فيه، بل استعمل في غيره، فحينئذٍ يحقّق المجاز من غير حقيقة، وفيه يأتي نظير ما سبق من النظر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فلا يتمّ الاستدلال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إطلاق الفعل عليها منظورٌ فيه؛ لأنّ الدلالة على أحد الأزمنة الثلاثة مأخوذة في حدّه، فكيف يصدق عليه مع انتفائها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الأمر فيما نحن فيه </w:t>
      </w:r>
    </w:p>
    <w:p>
      <w:pPr>
        <w:pStyle w:val="BookText"/>
        <w:rPr/>
      </w:pPr>
      <w:r>
        <w:rPr>
          <w:rFonts w:ascii="Amiri" w:hAnsi="Amiri" w:eastAsia="Amiri" w:cs="Amiri"/>
          <w:color w:val="111111"/>
          <w:sz w:val="28"/>
          <w:sz w:val="28"/>
          <w:szCs w:val="28"/>
          <w:rtl w:val="true"/>
          <w:lang w:bidi="ar-SA"/>
        </w:rPr>
        <w:t>مثل صيغ العقود كالبيع والنكاح والصلح وأشباهها، فإنّ الوضع فيها للمعاني الفعليّة وكذا الاستعمال فيها ثابت، وإطلاق الفعل عليها حال استعمالها في المعاني الإنشائيّة لذلك مع إشكال فيه، وأمّا فيما نحن فيه، فالمفروض عدم ثبوت الاستعمال في المعاني الفعليّة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فيها وإن لم يثبت، لكنّ الوضع ثابت، فليكن إطلاق الفعل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ثبوت الوضع ممنوعة؛ لاحتمال وضعه لما استعمل فيه، وعلى من ادّعى الإثباتُ، والمانعُ يكفيه الاحتمالُ، وعلى فرض التسليم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حدّ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بإطباق النحاة على ما علمنا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أحد الأزمنة، لا الوضع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بأنّ مبنى الإيراد إنّما هو على تسليم كون إطلاق الفعل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وغيره من الأفعال بمعنى واحد، وهو غير لازم، إذ القدر المعلوم إطلاق الفعل عليهما</w:t>
      </w:r>
      <w:r>
        <w:rPr>
          <w:rStyle w:val="FootnoteAnchor"/>
          <w:rtl w:val="true"/>
        </w:rPr>
        <w:footnoteReference w:id="633"/>
      </w:r>
      <w:r>
        <w:rPr>
          <w:rFonts w:ascii="Amiri" w:hAnsi="Amiri" w:eastAsia="Amiri" w:cs="Amiri"/>
          <w:color w:val="111111"/>
          <w:sz w:val="28"/>
          <w:sz w:val="28"/>
          <w:szCs w:val="28"/>
          <w:rtl w:val="true"/>
          <w:lang w:bidi="ar-SA"/>
        </w:rPr>
        <w:t>، فيمكن أن يكون مشتركًا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الاحتمال ممّا يفسد المقام، إذ المفروض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مجاز لا حقيقة، وهو إنّما يكون إذا كان مستعملًا في غير الموضوع له، وهو ينافي احتمال الاشتراك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الاشتراك بالنسبة إلى لفظ الفعل بين ما دلّ على الزمان المعيّن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وبين ما لم يدلّ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وأين ذلك من التنافي لكون </w:t>
      </w:r>
    </w:p>
    <w:p>
      <w:pPr>
        <w:pStyle w:val="BookText"/>
        <w:rPr/>
      </w:pPr>
      <w:r>
        <w:rPr>
          <w:rFonts w:ascii="Amiri" w:hAnsi="Amiri" w:eastAsia="Amiri" w:cs="Amiri"/>
          <w:color w:val="111111"/>
          <w:sz w:val="28"/>
          <w:sz w:val="28"/>
          <w:szCs w:val="28"/>
          <w:rtl w:val="true"/>
          <w:lang w:bidi="ar-SA"/>
        </w:rPr>
        <w:t>عسى مجازًا؟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قد ظهرت المناقشة في مقالة الفرقة المذكورة، رجّحت مقالة الفرقة الأولى،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الاستحالة مع دعوى الإمكان عارية عن الوقوع في الاستعمال، فهي بالاختيار حقيق وبالإعراض عن ما عداها يليق</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1" w:name="pg16214_221776"/>
      <w:bookmarkStart w:id="812" w:name="pg16214_221776"/>
      <w:bookmarkEnd w:id="812"/>
    </w:p>
    <w:p>
      <w:pPr>
        <w:pStyle w:val="BookText"/>
        <w:rPr/>
      </w:pPr>
      <w:bookmarkStart w:id="813" w:name="pg16214_221776"/>
      <w:bookmarkEnd w:id="813"/>
      <w:r>
        <w:rPr>
          <w:rFonts w:ascii="Amiri" w:hAnsi="Amiri" w:eastAsia="Amiri" w:cs="Amiri"/>
          <w:color w:val="111111"/>
          <w:sz w:val="28"/>
          <w:sz w:val="28"/>
          <w:szCs w:val="28"/>
          <w:rtl w:val="true"/>
          <w:lang w:bidi="ar-SA"/>
        </w:rPr>
        <w:t>في بيان افتقار الأصوليّ إلى البحث عن تعارض الأحوال</w:t>
      </w:r>
    </w:p>
    <w:p>
      <w:pPr>
        <w:pStyle w:val="Heading3"/>
        <w:numPr>
          <w:ilvl w:val="2"/>
          <w:numId w:val="1"/>
        </w:numPr>
        <w:rPr/>
      </w:pPr>
      <w:bookmarkStart w:id="814" w:name="__RefHeading___Toc3520187_1280447820"/>
      <w:bookmarkStart w:id="815" w:name="_Toc312"/>
      <w:bookmarkEnd w:id="814"/>
      <w:r>
        <w:rPr>
          <w:rtl w:val="true"/>
        </w:rPr>
        <w:t>الفصل الثاني</w:t>
      </w:r>
      <w:r>
        <w:rPr>
          <w:rtl w:val="true"/>
        </w:rPr>
        <w:t xml:space="preserve">: </w:t>
      </w:r>
      <w:r>
        <w:rPr>
          <w:rtl w:val="true"/>
        </w:rPr>
        <w:t>في تعارض الأحوال وغيره ممّا يتعلّق بذلك المقال</w:t>
      </w:r>
      <w:bookmarkEnd w:id="815"/>
    </w:p>
    <w:p>
      <w:pPr>
        <w:pStyle w:val="Heading4"/>
        <w:numPr>
          <w:ilvl w:val="3"/>
          <w:numId w:val="1"/>
        </w:numPr>
        <w:rPr/>
      </w:pPr>
      <w:bookmarkStart w:id="816" w:name="__RefHeading___Toc3520189_1280447820"/>
      <w:bookmarkStart w:id="817" w:name="_Toc313"/>
      <w:bookmarkEnd w:id="816"/>
      <w:r>
        <w:rPr>
          <w:rtl w:val="true"/>
        </w:rPr>
        <w:t>اشارة</w:t>
      </w:r>
      <w:bookmarkEnd w:id="817"/>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استفادة المعاني من الألفاظ قد تكون</w:t>
      </w:r>
      <w:r>
        <w:rPr>
          <w:rStyle w:val="FootnoteAnchor"/>
          <w:rtl w:val="true"/>
        </w:rPr>
        <w:footnoteReference w:id="634"/>
      </w:r>
      <w:r>
        <w:rPr>
          <w:rFonts w:ascii="Amiri" w:hAnsi="Amiri" w:eastAsia="Amiri" w:cs="Amiri"/>
          <w:color w:val="111111"/>
          <w:sz w:val="28"/>
          <w:sz w:val="28"/>
          <w:szCs w:val="28"/>
          <w:rtl w:val="true"/>
          <w:lang w:bidi="ar-SA"/>
        </w:rPr>
        <w:t>ممتنعة، وذلك إمّا لعدم العلم بالمقتضي، أو لوجود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لم يعلم وضع اللفظ، واللازم حينئذٍ تتبّعُ اللغات وتصفّح موادّ الاستعمالات، أو ممّن زال عنه جلباب الجهل الاستعلامُ</w:t>
      </w:r>
      <w:r>
        <w:rPr>
          <w:rStyle w:val="FootnoteAnchor"/>
          <w:rtl w:val="true"/>
        </w:rPr>
        <w:footnoteReference w:id="635"/>
      </w:r>
      <w:r>
        <w:rPr>
          <w:rFonts w:ascii="Amiri" w:hAnsi="Amiri" w:eastAsia="Amiri" w:cs="Amiri"/>
          <w:color w:val="111111"/>
          <w:sz w:val="28"/>
          <w:sz w:val="28"/>
          <w:szCs w:val="28"/>
          <w:rtl w:val="true"/>
          <w:lang w:bidi="ar-SA"/>
        </w:rPr>
        <w:t>، وبالجملة اللازم تحصيل العلم بالوضع بأيّ نحوٍ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وضع اللفظ لمعنى وتعذّر إرادته في مقام، يبقى اللفظ معطّلًا ما لم يقترن بأحد الاحتمالات الخمسة المخالفة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والنقل والمجاز والإضمار والتخصيص، فهذه الاحتمالات مانعة عن حصول التفاهم، فلا بدّ للأصوليّ من البحث عنها ليظهر رجحان البعض عن الآخر، فيتعيّن بالاختيار، فيحمل اللفظ عليه، هذا حاصل ما قيل في هذا المقام</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الّذي لم يرد منه المعنى الحقيقيّ المعلوم في الاستعمال المفروض لا </w:t>
      </w:r>
    </w:p>
    <w:p>
      <w:pPr>
        <w:pStyle w:val="BookText"/>
        <w:rPr/>
      </w:pPr>
      <w:r>
        <w:rPr>
          <w:rFonts w:ascii="Amiri" w:hAnsi="Amiri" w:eastAsia="Amiri" w:cs="Amiri"/>
          <w:color w:val="111111"/>
          <w:sz w:val="28"/>
          <w:sz w:val="28"/>
          <w:szCs w:val="28"/>
          <w:rtl w:val="true"/>
          <w:lang w:bidi="ar-SA"/>
        </w:rPr>
        <w:t>يخلو إمّا أن يكون المستعمل فيه فيه معلومًا،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ترجيح واحد من تلك الاحتمالات، إذ غاية ما يترتّب</w:t>
      </w:r>
      <w:r>
        <w:rPr>
          <w:rStyle w:val="FootnoteAnchor"/>
          <w:rtl w:val="true"/>
        </w:rPr>
        <w:footnoteReference w:id="637"/>
      </w:r>
      <w:r>
        <w:rPr>
          <w:rFonts w:ascii="Amiri" w:hAnsi="Amiri" w:eastAsia="Amiri" w:cs="Amiri"/>
          <w:color w:val="111111"/>
          <w:sz w:val="28"/>
          <w:sz w:val="28"/>
          <w:szCs w:val="28"/>
          <w:rtl w:val="true"/>
          <w:lang w:bidi="ar-SA"/>
        </w:rPr>
        <w:t>عليه على فرض التسليم كون اللفظ في المعنى الّذي أراده المستعمل على ذلك الوجه، ولا شبهة في أنّه بمجرّده لا يكفي لحصول التفاهم في التخاطب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المستعمل فيه بناءً عليه معلوم، سواء كان اللفظ فيه مجازًا، أو منقولًا، أو مشتركًا وهكذا، فالتفاهم حينئذٍ متحقّق، سواء كان الاستعمال على الراجح من تلك الاحتمالات، أم لا، فالبحث عن تعيّن الراجح والمرجوح منها لا مدخليّة له في التفاهم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يُختار الثاني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ترتّب الفائدة بناءً عليه إنّما هو إذا لم يعلم المعنى المشتركيّ والمجازيّ مثلًا للّفظ، وأمّا إذا كانا معلومين، لكن لم يعلم أيّهما هو مراد المستعمل، فحينئذٍ لو لم يكن لأحدهما رجحان على الآخر لم يحصل التفاهم، إذ اللفظ يبقى مردّدًا بينهما، بخلاف ما إذا كان أحدهما راجحًا على الآخر، إذ حينئذٍ يحمل اللفظ على الراجح، فيحصل التفاهم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مع أنّه لا يستقيم بالنسبة إلى جميع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جملتها النقل والإضمار والتخصيص، والتوجيه المذكور لا يتأتّى بالنسبة إليها كما يظهر بعد التأمّل، ولا في الاشتراك والمجاز أيضًا إلّا في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عليه ما ستقف عليه في معارضة المجاز والاشتراك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يُختار الأوّل أيضًا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عن تعيّن الراجح والمرجوح </w:t>
      </w:r>
    </w:p>
    <w:p>
      <w:pPr>
        <w:pStyle w:val="BookText"/>
        <w:rPr/>
      </w:pPr>
      <w:r>
        <w:rPr>
          <w:rFonts w:ascii="Amiri" w:hAnsi="Amiri" w:eastAsia="Amiri" w:cs="Amiri"/>
          <w:color w:val="111111"/>
          <w:sz w:val="28"/>
          <w:sz w:val="28"/>
          <w:szCs w:val="28"/>
          <w:rtl w:val="true"/>
          <w:lang w:bidi="ar-SA"/>
        </w:rPr>
        <w:t>ليس لتحصيل التفاهم في المستعمل فيه المعلوم، بل في غير ذلك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في المستعمل فيه المعلوم لو كان مجازًا متى استعمل مجرّدًا عن القرينة، يحمل على المعنى الحقيقيّ الّذي تعذّر إرادته في المقام، وحمله عليه يفتقر إلى قرينة، فما</w:t>
      </w:r>
      <w:r>
        <w:rPr>
          <w:rStyle w:val="FootnoteAnchor"/>
          <w:rtl w:val="true"/>
        </w:rPr>
        <w:footnoteReference w:id="638"/>
      </w:r>
      <w:r>
        <w:rPr>
          <w:rFonts w:ascii="Amiri" w:hAnsi="Amiri" w:eastAsia="Amiri" w:cs="Amiri"/>
          <w:color w:val="111111"/>
          <w:sz w:val="28"/>
          <w:sz w:val="28"/>
          <w:szCs w:val="28"/>
          <w:rtl w:val="true"/>
          <w:lang w:bidi="ar-SA"/>
        </w:rPr>
        <w:t>لم يقترن بها لم يحمل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منقولًا إلى ذلك المعنى، فيكون الأمر بالعكس، فعند استعماله مجرّدًا عن القرينة وجب حمله على هذا المعنى، وحمله على المعنى</w:t>
      </w:r>
      <w:r>
        <w:rPr>
          <w:rStyle w:val="FootnoteAnchor"/>
          <w:rtl w:val="true"/>
        </w:rPr>
        <w:footnoteReference w:id="639"/>
      </w:r>
      <w:r>
        <w:rPr>
          <w:rFonts w:ascii="Amiri" w:hAnsi="Amiri" w:eastAsia="Amiri" w:cs="Amiri"/>
          <w:color w:val="111111"/>
          <w:sz w:val="28"/>
          <w:sz w:val="28"/>
          <w:szCs w:val="28"/>
          <w:rtl w:val="true"/>
          <w:lang w:bidi="ar-SA"/>
        </w:rPr>
        <w:t>المنقول منه يفتقر إلى قرينة،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يرجّح أحد هذين الاحتمالين على الآخر وكانا متساويين في نظر المجتهد، لم يمكن حصول التفاهم؛ لتردّده بين المعنيين الّلذين لم يترجّح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بالنسبة إلى الاشتراك والمجاز، فإنّه على الأوّل لم يحمل على أحد المعنيين عند التجرّد عن القرينة وكان اللفظ حينئذٍ مجملًا، وعلى الثاني قد عرفت الأمر فيه، فلو لم يرجّح احتمال التجوّز على الاشتراك، لم يحصل التفاهم، وهكذا بالنسبة إلى النقل والاشتراك، فالأمر فيه بعد ما ذكر غنيّ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بالنسبة إلى التخصيص وكلّ من النقل والاشتراك، فإنّ الأمر بين التخصيص والنقل كالأمر بين المجاز والنقل، وبينه وبين الاشتراك كالأمر بينه وبين المجاز</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مدخليّة البحث عن ترجيح كلّ من التخصيص والمجاز على الآخر في التفاهم، فإنّ اللفظ عند التجرّد عن القرينة يحمل على المعنى الحقيقيّ، </w:t>
      </w:r>
    </w:p>
    <w:p>
      <w:pPr>
        <w:pStyle w:val="BookText"/>
        <w:rPr/>
      </w:pPr>
      <w:r>
        <w:rPr>
          <w:rFonts w:ascii="Amiri" w:hAnsi="Amiri" w:eastAsia="Amiri" w:cs="Amiri"/>
          <w:color w:val="111111"/>
          <w:sz w:val="28"/>
          <w:sz w:val="28"/>
          <w:szCs w:val="28"/>
          <w:rtl w:val="true"/>
          <w:lang w:bidi="ar-SA"/>
        </w:rPr>
        <w:t>والحمل على أيّ منهما كان يفتقر</w:t>
      </w:r>
      <w:r>
        <w:rPr>
          <w:rStyle w:val="FootnoteAnchor"/>
          <w:rtl w:val="true"/>
        </w:rPr>
        <w:footnoteReference w:id="640"/>
      </w:r>
      <w:r>
        <w:rPr>
          <w:rFonts w:ascii="Amiri" w:hAnsi="Amiri" w:eastAsia="Amiri" w:cs="Amiri"/>
          <w:color w:val="111111"/>
          <w:sz w:val="28"/>
          <w:sz w:val="28"/>
          <w:szCs w:val="28"/>
          <w:rtl w:val="true"/>
          <w:lang w:bidi="ar-SA"/>
        </w:rPr>
        <w:t>إلى القرينة، فلا يتفاوت الحال بين التخصيص والمجاز،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مدخليّة البحث عن ترجيح كلّ منهما على الآخر إنّما هو عند قيام القرينة</w:t>
      </w:r>
      <w:r>
        <w:rPr>
          <w:rStyle w:val="FootnoteAnchor"/>
          <w:rtl w:val="true"/>
        </w:rPr>
        <w:footnoteReference w:id="641"/>
      </w:r>
      <w:r>
        <w:rPr>
          <w:rFonts w:ascii="Amiri" w:hAnsi="Amiri" w:eastAsia="Amiri" w:cs="Amiri"/>
          <w:color w:val="111111"/>
          <w:sz w:val="28"/>
          <w:sz w:val="28"/>
          <w:szCs w:val="28"/>
          <w:rtl w:val="true"/>
          <w:lang w:bidi="ar-SA"/>
        </w:rPr>
        <w:t>على انتفاء غيرهما من الاحتمال وانحصار الأمر بينهما، أو ترجيحهما عليه مع عدم معلوميّة المستعمل فيه فيهما، إذ حينئذٍ لو لم يكن لأحدهما رجحان على الآخر يبقى اللفظ متردّدًا بينهما، فلا يمكن الحمل على أحدهما، فلا يحصل التفاهم، فلا بدّ من البحث حتّى يتعيّن الراجح، فيحمل اللفظ عليه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لا تظهر الثمرة المهمّة للبحث عن الراجح منهما، وذلك فيما إذا كان الكلام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إذا انتفى احتمال غير المجاز والتخصيص ودار الأمر بينهما، يكون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سواء كان اللفظ مجازًا والعلاقة المشابهة، أو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فالثمرة المهمّة الموجبة للبحث عن تعيين الراجح منهما إنّما هي في اللفظين،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في الخارج عدم وجوب إكرام الجميع، فحينئذٍ إمّا أن يحمل الأمر على الاستحباب ويبقى لفظ العامّ على ظاهره، أو يخصّص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صيغة الأمر على ظاهرها، فعند ثبوت رجحان التخصيص على المجاز يحمل العامّ على خلاف ظاهره ويبقى الأمر على ظاهره، وعند العكس يعكس الأمر، وعند التساوي يتوقّف، فلا يحصل التفاهم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تحقيق الحال في افتقار الأعلام إلى البحث عن تلك الأحوال، ولعلّك تطّلع على زيادة من ذلك عند التعرّض لكلّ منها على التفصيل بمعونة الموفّق المعين الجليل</w:t>
      </w:r>
      <w:r>
        <w:rPr>
          <w:rFonts w:eastAsia="Amiri" w:cs="Amiri" w:ascii="Amiri" w:hAnsi="Amiri"/>
          <w:color w:val="111111"/>
          <w:sz w:val="28"/>
          <w:szCs w:val="28"/>
          <w:rtl w:val="true"/>
          <w:lang w:bidi="ar-SA"/>
        </w:rPr>
        <w:t xml:space="preserve">.  </w:t>
      </w:r>
      <w:bookmarkStart w:id="818" w:name="pg16214_221780"/>
    </w:p>
    <w:p>
      <w:pPr>
        <w:pStyle w:val="BookText"/>
        <w:rPr/>
      </w:pPr>
      <w:bookmarkEnd w:id="818"/>
      <w:r>
        <w:rPr>
          <w:rFonts w:ascii="Amiri" w:hAnsi="Amiri" w:eastAsia="Amiri" w:cs="Amiri"/>
          <w:color w:val="111111"/>
          <w:sz w:val="28"/>
          <w:sz w:val="28"/>
          <w:szCs w:val="28"/>
          <w:rtl w:val="true"/>
          <w:lang w:bidi="ar-SA"/>
        </w:rPr>
        <w:t>إعادة كلام لتفصيل مقام</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 المتصوّرة بين الاحتمالات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w:t>
      </w:r>
      <w:r>
        <w:rPr>
          <w:rStyle w:val="FootnoteAnchor"/>
          <w:rtl w:val="true"/>
        </w:rPr>
        <w:footnoteReference w:id="642"/>
      </w:r>
      <w:r>
        <w:rPr>
          <w:rFonts w:ascii="Amiri" w:hAnsi="Amiri" w:eastAsia="Amiri" w:cs="Amiri"/>
          <w:color w:val="111111"/>
          <w:sz w:val="28"/>
          <w:sz w:val="28"/>
          <w:szCs w:val="28"/>
          <w:rtl w:val="true"/>
          <w:lang w:bidi="ar-SA"/>
        </w:rPr>
        <w:t>، يحصل بملاحظة واحد منها مع الأربعة الباقية، ثمّ واحد منها مع الثلاثة الباقية، ثمّ واحد منها مع الاثنين، ثمّ بينهما</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معارضة المجاز والاشتراك</w:t>
      </w:r>
    </w:p>
    <w:p>
      <w:pPr>
        <w:pStyle w:val="BookText"/>
        <w:rPr/>
      </w:pPr>
      <w:r>
        <w:rPr>
          <w:rFonts w:ascii="Amiri" w:hAnsi="Amiri" w:eastAsia="Amiri" w:cs="Amiri"/>
          <w:color w:val="111111"/>
          <w:sz w:val="28"/>
          <w:sz w:val="28"/>
          <w:szCs w:val="28"/>
          <w:rtl w:val="true"/>
          <w:lang w:bidi="ar-SA"/>
        </w:rPr>
        <w:t>فتحقيق المقام يستدعي التكلّم في مباحث</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3520191_1280447820"/>
      <w:bookmarkStart w:id="820" w:name="_Toc314"/>
      <w:bookmarkEnd w:id="819"/>
      <w:r>
        <w:rPr>
          <w:rtl w:val="true"/>
        </w:rPr>
        <w:t>المبحث الأوّل</w:t>
      </w:r>
      <w:r>
        <w:rPr>
          <w:rtl w:val="true"/>
        </w:rPr>
        <w:t xml:space="preserve">: </w:t>
      </w:r>
      <w:r>
        <w:rPr>
          <w:rtl w:val="true"/>
        </w:rPr>
        <w:t>في معارضة الاشتراك والمجاز</w:t>
      </w:r>
      <w:bookmarkEnd w:id="820"/>
    </w:p>
    <w:p>
      <w:pPr>
        <w:pStyle w:val="Heading5"/>
        <w:numPr>
          <w:ilvl w:val="4"/>
          <w:numId w:val="1"/>
        </w:numPr>
        <w:rPr/>
      </w:pPr>
      <w:bookmarkStart w:id="821" w:name="__RefHeading___Toc3520193_1280447820"/>
      <w:bookmarkStart w:id="822" w:name="_Toc315"/>
      <w:bookmarkEnd w:id="821"/>
      <w:r>
        <w:rPr>
          <w:rtl w:val="true"/>
        </w:rPr>
        <w:t>اشارة</w:t>
      </w:r>
      <w:bookmarkEnd w:id="82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اختلفوا في ذلك، فالمشهور على ما هو المشهور أولويّة المجاز من الاشتراك</w:t>
      </w:r>
      <w:r>
        <w:rPr>
          <w:rStyle w:val="FootnoteAnchor"/>
          <w:rtl w:val="true"/>
        </w:rPr>
        <w:footnoteReference w:id="644"/>
      </w:r>
      <w:r>
        <w:rPr>
          <w:rFonts w:ascii="Amiri" w:hAnsi="Amiri" w:eastAsia="Amiri" w:cs="Amiri"/>
          <w:color w:val="111111"/>
          <w:sz w:val="28"/>
          <w:sz w:val="28"/>
          <w:szCs w:val="28"/>
          <w:rtl w:val="true"/>
          <w:lang w:bidi="ar-SA"/>
        </w:rPr>
        <w:t>، والسيّد الأجلّ وبعض من وافقه ذهبوا إلى العكس</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ونحن 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يحتمل وجهين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إذا علم له معنيان ومعنى مجازيّ واستعمل في مقام وعلم عدم إرادة أحد المعنيين الحقيقيّين ولم يعلم أنّ مراد المستعمل المعنى الآخر من المعنيين الحقيقيّين مثلًا أو المعنى المجازيّ، فيقال عند ترجيح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خير من الاشتراك، بمعنى أنّه إذا دار الأمر بين أن يكون مراد المستعمل من اللفظ المعنى الاشتراكيّ</w:t>
      </w:r>
      <w:r>
        <w:rPr>
          <w:rStyle w:val="FootnoteAnchor"/>
          <w:rtl w:val="true"/>
        </w:rPr>
        <w:footnoteReference w:id="646"/>
      </w:r>
      <w:r>
        <w:rPr>
          <w:rFonts w:ascii="Amiri" w:hAnsi="Amiri" w:eastAsia="Amiri" w:cs="Amiri"/>
          <w:color w:val="111111"/>
          <w:sz w:val="28"/>
          <w:sz w:val="28"/>
          <w:szCs w:val="28"/>
          <w:rtl w:val="true"/>
          <w:lang w:bidi="ar-SA"/>
        </w:rPr>
        <w:t>أو المجازيّ، فالمعنى المجازيّ أولى بالإرادة من الآخر</w:t>
      </w:r>
      <w:r>
        <w:rPr>
          <w:rStyle w:val="FootnoteAnchor"/>
          <w:rtl w:val="true"/>
        </w:rPr>
        <w:footnoteReference w:id="647"/>
      </w:r>
      <w:r>
        <w:rPr>
          <w:rFonts w:ascii="Amiri" w:hAnsi="Amiri" w:eastAsia="Amiri" w:cs="Amiri"/>
          <w:color w:val="111111"/>
          <w:sz w:val="28"/>
          <w:sz w:val="28"/>
          <w:szCs w:val="28"/>
          <w:rtl w:val="true"/>
          <w:lang w:bidi="ar-SA"/>
        </w:rPr>
        <w:t>، وعند ترجيح الاشتراك يعكس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التفصيل في ذلك بأنّه إن كان استعمال ذلك اللفظ في المعنى المجازيّ أكثر منه في المعنى المشتركيّ</w:t>
      </w:r>
      <w:r>
        <w:rPr>
          <w:rStyle w:val="FootnoteAnchor"/>
          <w:rtl w:val="true"/>
        </w:rPr>
        <w:footnoteReference w:id="648"/>
      </w:r>
      <w:r>
        <w:rPr>
          <w:rFonts w:ascii="Amiri" w:hAnsi="Amiri" w:eastAsia="Amiri" w:cs="Amiri"/>
          <w:color w:val="111111"/>
          <w:sz w:val="28"/>
          <w:sz w:val="28"/>
          <w:szCs w:val="28"/>
          <w:rtl w:val="true"/>
          <w:lang w:bidi="ar-SA"/>
        </w:rPr>
        <w:t>، فالحمل على المجازيّ أولى، وعند العكس العكس، وعند التسوية التوقّف، فيدخل اللفظ في حيّز الإجمال ولا يجوز التمسّك به في مقام الاستدلال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عند تحقّق الكثرة وعدمها على التفصيل المذكور في خصوص ذلك اللفظ ظاهر، وأمّا بالنسبة إلى نوع المجاز والمشترك، لا بالنسبة إلى الخصوص، فيمكن أن </w:t>
      </w:r>
    </w:p>
    <w:p>
      <w:pPr>
        <w:pStyle w:val="BookText"/>
        <w:rPr/>
      </w:pPr>
      <w:r>
        <w:rPr>
          <w:rFonts w:ascii="Amiri" w:hAnsi="Amiri" w:eastAsia="Amiri" w:cs="Amiri"/>
          <w:color w:val="111111"/>
          <w:sz w:val="28"/>
          <w:sz w:val="28"/>
          <w:szCs w:val="28"/>
          <w:rtl w:val="true"/>
          <w:lang w:bidi="ar-SA"/>
        </w:rPr>
        <w:t>يكون الأمر أيضًا كذلك، ويشكل الأمر عند المعارضة بين الخصوص والنوع، وإن كان ترجيح الخصوص على النوع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جميع هذه الموادّ ترجيح المعنى الاشتراكيّ في الإرادة، بناءً على إطباقهم على أنّ إرادة المعنى المجازيّ متوقّفة على القرينة الصارفة، وكذا حمل اللفظ عليه، والمفروض أنّ القرينة المجازيّة منتفية، فلا تجوز إرادته منه، فتعيّن المعنى الاشتراكيّ للإرادة، فيحمل اللفظ عليه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مشترك الورود، إذ كما أنّ إرادة المعنى المجازيّ متوقّفةٌ على القرينة، كذلك إرادة أحد معاني المشترك؛ وكما أنّ اللفظ لا يحمل على المعنى المجازيّ حالة التجرّد عنها، كذا لا يحمل على أحد معاني المشترك حينئذٍ، فلا افتراق بينهما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وإن كان كذلك، لكنّ القرينة في المجاز لا بدّ أن تكون صارفة عن المعنى الحقيقيّ، سواء كان واحدًا أو متعدّدًا، والقرينة في المشترك لا بدّ أن تكون معيّنة، والتعيين قد يكون بدلالتها على إرادة أحد المعاني بخصوصه وقد يكون بدلالتها على عدم إرادة ما سوى المعنى الواحد، فعند ذلك يتعيّن ذلك المعنى بالإرادة، والمفروض فيما نحن فيه انتفاء القرينة الصارفة، إذ الفرض جواز إرادة أحد معاني اللفظ، فالقرينة الصارفة عن جميع المعاني الحقيقيّة منتفية، بخلاف القرينة المعيّنة من قبيل الثاني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أحد المعاني الحقيقيّة عند احتمال المجازيّة محتملًا، كذا يكون المعنى المجازيّ عند احتمال الحقيقة محتملًا، فلا توجد القرينة المعيّنة أيضًا</w:t>
      </w:r>
      <w:r>
        <w:rPr>
          <w:rFonts w:eastAsia="Amiri" w:cs="Amiri" w:ascii="Amiri" w:hAnsi="Amiri"/>
          <w:color w:val="111111"/>
          <w:sz w:val="28"/>
          <w:szCs w:val="28"/>
          <w:rtl w:val="true"/>
          <w:lang w:bidi="ar-SA"/>
        </w:rPr>
        <w:t xml:space="preserve">. </w:t>
      </w:r>
      <w:bookmarkStart w:id="823" w:name="pg16214_221783"/>
    </w:p>
    <w:p>
      <w:pPr>
        <w:pStyle w:val="BookText"/>
        <w:rPr/>
      </w:pPr>
      <w:bookmarkEnd w:id="823"/>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اللفظ على المعنى الحقيقيّ لا يفتقر إلى قرينة مانعة عن المعنى</w:t>
      </w:r>
      <w:r>
        <w:rPr>
          <w:rStyle w:val="FootnoteAnchor"/>
          <w:rtl w:val="true"/>
        </w:rPr>
        <w:footnoteReference w:id="649"/>
      </w:r>
      <w:r>
        <w:rPr>
          <w:rFonts w:ascii="Amiri" w:hAnsi="Amiri" w:eastAsia="Amiri" w:cs="Amiri"/>
          <w:color w:val="111111"/>
          <w:sz w:val="28"/>
          <w:sz w:val="28"/>
          <w:szCs w:val="28"/>
          <w:rtl w:val="true"/>
          <w:lang w:bidi="ar-SA"/>
        </w:rPr>
        <w:t>المجازيّ بالاتّفاق، بخلاف العكس كذلك، فيكفي في تحقّق القرينة المعيّنة في المشترك ما دلّ على عدم إرادة غير واحد من معانيه الحقيقيّة وإن كان</w:t>
      </w:r>
      <w:r>
        <w:rPr>
          <w:rStyle w:val="FootnoteAnchor"/>
          <w:rtl w:val="true"/>
        </w:rPr>
        <w:footnoteReference w:id="650"/>
      </w:r>
      <w:r>
        <w:rPr>
          <w:rFonts w:ascii="Amiri" w:hAnsi="Amiri" w:eastAsia="Amiri" w:cs="Amiri"/>
          <w:color w:val="111111"/>
          <w:sz w:val="28"/>
          <w:sz w:val="28"/>
          <w:szCs w:val="28"/>
          <w:rtl w:val="true"/>
          <w:lang w:bidi="ar-SA"/>
        </w:rPr>
        <w:t>المعاني المجازيّة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الاستعمال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إذا كان للّفظ معنى حقيقيّ ومجازيّ واستعمل في موضع ولم يعلم أيّهما المراد، أنّه يجب الحمل على المعنى الحقيقيّ، وهو اتّفاقيّ بينهم</w:t>
      </w:r>
      <w:r>
        <w:rPr>
          <w:rStyle w:val="FootnoteAnchor"/>
          <w:rtl w:val="true"/>
        </w:rPr>
        <w:footnoteReference w:id="651"/>
      </w:r>
      <w:r>
        <w:rPr>
          <w:rFonts w:ascii="Amiri" w:hAnsi="Amiri" w:eastAsia="Amiri" w:cs="Amiri"/>
          <w:color w:val="111111"/>
          <w:sz w:val="28"/>
          <w:sz w:val="28"/>
          <w:szCs w:val="28"/>
          <w:rtl w:val="true"/>
          <w:lang w:bidi="ar-SA"/>
        </w:rPr>
        <w:t>، وهو أعمّ من أن يكون اللفظ مشتركًا أو لا، ومقتضى ذلك الحملُ على المعنى</w:t>
      </w:r>
      <w:r>
        <w:rPr>
          <w:rStyle w:val="FootnoteAnchor"/>
          <w:rtl w:val="true"/>
        </w:rPr>
        <w:footnoteReference w:id="652"/>
      </w:r>
      <w:r>
        <w:rPr>
          <w:rFonts w:ascii="Amiri" w:hAnsi="Amiri" w:eastAsia="Amiri" w:cs="Amiri"/>
          <w:color w:val="111111"/>
          <w:sz w:val="28"/>
          <w:sz w:val="28"/>
          <w:szCs w:val="28"/>
          <w:rtl w:val="true"/>
          <w:lang w:bidi="ar-SA"/>
        </w:rPr>
        <w:t>المشترك فيما نحن فيه من غير تأمّل</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3520195_1280447820"/>
      <w:bookmarkStart w:id="825" w:name="_Toc316"/>
      <w:bookmarkEnd w:id="824"/>
      <w:r>
        <w:rPr>
          <w:rtl w:val="true"/>
        </w:rPr>
        <w:t>الصور المتصوّرة في كلّ لفظ إذا وقع في كلام</w:t>
      </w:r>
      <w:bookmarkEnd w:id="825"/>
    </w:p>
    <w:p>
      <w:pPr>
        <w:pStyle w:val="BookText"/>
        <w:rPr/>
      </w:pPr>
      <w:r>
        <w:rPr>
          <w:rFonts w:ascii="Amiri" w:hAnsi="Amiri" w:eastAsia="Amiri" w:cs="Amiri"/>
          <w:color w:val="111111"/>
          <w:sz w:val="28"/>
          <w:sz w:val="28"/>
          <w:szCs w:val="28"/>
          <w:rtl w:val="true"/>
          <w:lang w:bidi="ar-SA"/>
        </w:rPr>
        <w:t>وتحقيق المقام يستدعي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لفظ إذا وقع في كلام لا يخلو إمّا أن يكون الموضوع له معلومًا أو لا؛ وعلى التقديرين إمّا أن يكون المستعمل فيه معلومًا أم لا، فهنا صور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الموضوع له والمستعمل فيه كلاهما معلومًا، فهذا لا يخلو إمّا أن يكون المستعمل فيه المعلوم هو الموضوع له فهو، وإلّا فسيجيء الكلام فيه إن شاء الله تعالى</w:t>
      </w:r>
      <w:r>
        <w:rPr>
          <w:rFonts w:eastAsia="Amiri" w:cs="Amiri" w:ascii="Amiri" w:hAnsi="Amiri"/>
          <w:color w:val="111111"/>
          <w:sz w:val="28"/>
          <w:szCs w:val="28"/>
          <w:rtl w:val="true"/>
          <w:lang w:bidi="ar-SA"/>
        </w:rPr>
        <w:t xml:space="preserve">. </w:t>
      </w:r>
      <w:bookmarkStart w:id="826" w:name="pg16214_221784"/>
    </w:p>
    <w:p>
      <w:pPr>
        <w:pStyle w:val="BookText"/>
        <w:rPr/>
      </w:pPr>
      <w:bookmarkEnd w:id="826"/>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كلاهما مجهولين، واللازم فيها بذل الجهد في تحصيل العلم بالوضع، فإن حصل لا يخلو من سائر الأقسام، فحكمه يعلم من حكمها وإلّا يلحقه حكم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الموضوع له معلومًا والمستعمل فيه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3520197_1280447820"/>
      <w:bookmarkStart w:id="828" w:name="_Toc317"/>
      <w:bookmarkEnd w:id="827"/>
      <w:r>
        <w:rPr>
          <w:rtl w:val="true"/>
        </w:rPr>
        <w:t>في لزوم حمل الألفاظ على المعاني الحقيقيّة عند انتفاء القرينة</w:t>
      </w:r>
      <w:bookmarkEnd w:id="828"/>
    </w:p>
    <w:p>
      <w:pPr>
        <w:pStyle w:val="Heading6"/>
        <w:numPr>
          <w:ilvl w:val="5"/>
          <w:numId w:val="1"/>
        </w:numPr>
        <w:rPr/>
      </w:pPr>
      <w:bookmarkStart w:id="829" w:name="__RefHeading___Toc3520199_1280447820"/>
      <w:bookmarkStart w:id="830" w:name="_Toc318"/>
      <w:bookmarkEnd w:id="829"/>
      <w:r>
        <w:rPr>
          <w:rtl w:val="true"/>
        </w:rPr>
        <w:t>اشارة</w:t>
      </w:r>
      <w:bookmarkEnd w:id="830"/>
    </w:p>
    <w:p>
      <w:pPr>
        <w:pStyle w:val="BookText"/>
        <w:rPr/>
      </w:pPr>
      <w:r>
        <w:rPr>
          <w:rFonts w:ascii="Amiri" w:hAnsi="Amiri" w:eastAsia="Amiri" w:cs="Amiri"/>
          <w:color w:val="111111"/>
          <w:sz w:val="28"/>
          <w:sz w:val="28"/>
          <w:szCs w:val="28"/>
          <w:rtl w:val="true"/>
          <w:lang w:bidi="ar-SA"/>
        </w:rPr>
        <w:t>فالكلام هنا في هاتين الصورتين</w:t>
      </w:r>
      <w:r>
        <w:rPr>
          <w:rFonts w:eastAsia="Amiri" w:cs="Amiri" w:ascii="Amiri" w:hAnsi="Amiri"/>
          <w:color w:val="111111"/>
          <w:sz w:val="28"/>
          <w:szCs w:val="28"/>
          <w:rtl w:val="true"/>
          <w:lang w:bidi="ar-SA"/>
        </w:rPr>
        <w:t>:</w:t>
      </w:r>
    </w:p>
    <w:p>
      <w:pPr>
        <w:pStyle w:val="Heading6"/>
        <w:numPr>
          <w:ilvl w:val="5"/>
          <w:numId w:val="1"/>
        </w:numPr>
        <w:rPr/>
      </w:pPr>
      <w:bookmarkStart w:id="831" w:name="__RefHeading___Toc3520201_1280447820"/>
      <w:bookmarkStart w:id="832" w:name="_Toc319"/>
      <w:bookmarkEnd w:id="831"/>
      <w:r>
        <w:rPr>
          <w:rtl w:val="true"/>
        </w:rPr>
        <w:t>الصورة الأولى</w:t>
      </w:r>
      <w:bookmarkEnd w:id="832"/>
    </w:p>
    <w:p>
      <w:pPr>
        <w:pStyle w:val="Heading6"/>
        <w:numPr>
          <w:ilvl w:val="5"/>
          <w:numId w:val="1"/>
        </w:numPr>
        <w:rPr/>
      </w:pPr>
      <w:bookmarkStart w:id="833" w:name="__RefHeading___Toc3520203_1280447820"/>
      <w:bookmarkStart w:id="834" w:name="_Toc320"/>
      <w:bookmarkEnd w:id="833"/>
      <w:r>
        <w:rPr>
          <w:rtl w:val="true"/>
        </w:rPr>
        <w:t>اشارة</w:t>
      </w:r>
      <w:bookmarkEnd w:id="834"/>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الموضوع له معلومًا بخلاف المستعمل فيه، والحكم فيه الحمل على الموضوع له؛ لأنّ الأصل في الاستعمال الحقيقة</w:t>
      </w:r>
      <w:r>
        <w:rPr>
          <w:rStyle w:val="FootnoteAnchor"/>
          <w:rtl w:val="true"/>
        </w:rPr>
        <w:footnoteReference w:id="653"/>
      </w:r>
      <w:r>
        <w:rPr>
          <w:rFonts w:ascii="Amiri" w:hAnsi="Amiri" w:eastAsia="Amiri" w:cs="Amiri"/>
          <w:color w:val="111111"/>
          <w:sz w:val="28"/>
          <w:sz w:val="28"/>
          <w:szCs w:val="28"/>
          <w:rtl w:val="true"/>
          <w:lang w:bidi="ar-SA"/>
        </w:rPr>
        <w:t>، أي الظاهر عند</w:t>
      </w:r>
    </w:p>
    <w:p>
      <w:pPr>
        <w:pStyle w:val="BookText"/>
        <w:rPr/>
      </w:pPr>
      <w:r>
        <w:rPr>
          <w:rFonts w:ascii="Amiri" w:hAnsi="Amiri" w:eastAsia="Amiri" w:cs="Amiri"/>
          <w:color w:val="111111"/>
          <w:sz w:val="28"/>
          <w:sz w:val="28"/>
          <w:szCs w:val="28"/>
          <w:rtl w:val="true"/>
          <w:lang w:bidi="ar-SA"/>
        </w:rPr>
        <w:t>تجرّد اللفظ عن القرينة أن يكون المستعمل مريدًا للموضوع له لوجوه</w:t>
      </w:r>
      <w:r>
        <w:rPr>
          <w:rFonts w:eastAsia="Amiri" w:cs="Amiri" w:ascii="Amiri" w:hAnsi="Amiri"/>
          <w:color w:val="111111"/>
          <w:sz w:val="28"/>
          <w:szCs w:val="28"/>
          <w:rtl w:val="true"/>
          <w:lang w:bidi="ar-SA"/>
        </w:rPr>
        <w:t>:</w:t>
      </w:r>
    </w:p>
    <w:p>
      <w:pPr>
        <w:pStyle w:val="Heading6"/>
        <w:numPr>
          <w:ilvl w:val="5"/>
          <w:numId w:val="1"/>
        </w:numPr>
        <w:rPr/>
      </w:pPr>
      <w:bookmarkStart w:id="835" w:name="__RefHeading___Toc3520205_1280447820"/>
      <w:bookmarkStart w:id="836" w:name="_Toc321"/>
      <w:bookmarkEnd w:id="835"/>
      <w:r>
        <w:rPr>
          <w:rtl w:val="true"/>
        </w:rPr>
        <w:t>الوجه الأوّل</w:t>
      </w:r>
      <w:bookmarkEnd w:id="83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مرادًا له ولم يحمل عليه، فلا يخلو إمّا أن يحمل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الحقيقيّ، أو على</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المعنى المجازيّ، أو لا على شيء منهما، والأخير باطل لاستلزامه تعطيل اللفظ المستلزم لتعطيل الأحكام، ولا شبهة في فساده، وكذا الثاني لإطباقهم على أنّ حمل اللفظ على المعنى المجازيّ وكذا إرادته منه متوقّف </w:t>
      </w:r>
    </w:p>
    <w:p>
      <w:pPr>
        <w:pStyle w:val="BookText"/>
        <w:rPr/>
      </w:pPr>
      <w:r>
        <w:rPr>
          <w:rFonts w:ascii="Amiri" w:hAnsi="Amiri" w:eastAsia="Amiri" w:cs="Amiri"/>
          <w:color w:val="111111"/>
          <w:sz w:val="28"/>
          <w:sz w:val="28"/>
          <w:szCs w:val="28"/>
          <w:rtl w:val="true"/>
          <w:lang w:bidi="ar-SA"/>
        </w:rPr>
        <w:t>على القرينة، والمفروض انتفاؤها؛ فتعيّن الأوّل</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تجرّد اللفظ عن القرينة في نظرنا لا يستلزم تجرّده عنها في نفس الأمر؛ لجواز أن يقرنه المستعمل بها، ثمّ سقطت، فحمله على المعنى الحقيقيّ حينئذٍ يستلزم حمل اللفظ على غير ما أراده المتكلّم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ندّع القطع بإرادة المعنى الحقيقيّ، بل الظاهر والاحتمال المذكور ونحوه لا ينافيه؛ لأنّ احتمال وجودها وسقوطها مدفوعٌ بالأصل، فيحصل الظنّ بإرادته من اللفظ، ولهذا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الألفاظ ظنّيّة، وعلى تقدير الاقتران والسقوط لا مؤاخذة؛ لأنّ الخطأ في أمثال المقام معفوّ، والخاطئ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الترديد ليس بحاصر؛ لأنّ هنا احتمالًا آخر، وهو أن يحمل اللفظ على المعنى الحقيقيّ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فاسد؛ لما مرّ من أنّ حمل اللفظ على المعنى المجازيّ مطلقًا متوقّفٌ على القرينة، وأيضًا يلزم الجمع بين المعنى الحقيقيّ والمجازيّ في آن واحد، وهو غير مجوّز عند المحقّقين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يلزم أن يكون المعنى الموضوع له وغيره كلاهما معنى موضوعًا له اللفظ؛ لأنّ فائدة الوضع الدلالة على المعنى من غير افتقار إلى القرينة، وقد عرفت ممّا سبق أنّ الوضع تعيين اللفظ للدلالة على المعنى لذاته، فيلزم أن يكون غير الموضوع له موضوعًا له</w:t>
      </w:r>
      <w:r>
        <w:rPr>
          <w:rFonts w:eastAsia="Amiri" w:cs="Amiri" w:ascii="Amiri" w:hAnsi="Amiri"/>
          <w:color w:val="111111"/>
          <w:sz w:val="28"/>
          <w:szCs w:val="28"/>
          <w:rtl w:val="true"/>
          <w:lang w:bidi="ar-SA"/>
        </w:rPr>
        <w:t xml:space="preserve">. </w:t>
      </w:r>
      <w:bookmarkStart w:id="837" w:name="pg16214_221786"/>
    </w:p>
    <w:p>
      <w:pPr>
        <w:pStyle w:val="Heading6"/>
        <w:numPr>
          <w:ilvl w:val="5"/>
          <w:numId w:val="1"/>
        </w:numPr>
        <w:rPr/>
      </w:pPr>
      <w:bookmarkStart w:id="838" w:name="__RefHeading___Toc3520207_1280447820"/>
      <w:bookmarkStart w:id="839" w:name="_Toc322"/>
      <w:bookmarkEnd w:id="837"/>
      <w:bookmarkEnd w:id="838"/>
      <w:r>
        <w:rPr>
          <w:rtl w:val="true"/>
        </w:rPr>
        <w:t>الوجه الثاني</w:t>
      </w:r>
      <w:bookmarkEnd w:id="839"/>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الموضوع له حينئذٍ مرادًا من اللفظ، لزم الإغراء بالجهل، والتكليف بما لا يطاق، وترجيح المرجوح على الراجح، واللوازم بأسرها باطلة، فالملزوم كذلك</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الملازمة فلأنّ وضعَ اللفظ بإزاء</w:t>
      </w:r>
      <w:r>
        <w:rPr>
          <w:rStyle w:val="FootnoteAnchor"/>
          <w:rtl w:val="true"/>
        </w:rPr>
        <w:footnoteReference w:id="657"/>
      </w:r>
      <w:r>
        <w:rPr>
          <w:rFonts w:ascii="Amiri" w:hAnsi="Amiri" w:eastAsia="Amiri" w:cs="Amiri"/>
          <w:color w:val="111111"/>
          <w:sz w:val="28"/>
          <w:sz w:val="28"/>
          <w:szCs w:val="28"/>
          <w:rtl w:val="true"/>
          <w:lang w:bidi="ar-SA"/>
        </w:rPr>
        <w:t>المعنى إحداثُ علاقة ونسبة بينهما توجب للعالم به ظهوره منه عند الإطلاق وفهمه منه عند الاستعمال، فالمخاطب العالِمِ بالوضع عند سماعه وملاحظته ينساق ذهنه إليه لأجل وضعه بإزائه، فلو لم يرد المخاطب ذلك، بل غيره، مع علمه بذلك واطّلاعه عليه وعدم نصب قرينة</w:t>
      </w:r>
      <w:r>
        <w:rPr>
          <w:rStyle w:val="FootnoteAnchor"/>
          <w:rtl w:val="true"/>
        </w:rPr>
        <w:footnoteReference w:id="658"/>
      </w:r>
      <w:r>
        <w:rPr>
          <w:rFonts w:ascii="Amiri" w:hAnsi="Amiri" w:eastAsia="Amiri" w:cs="Amiri"/>
          <w:color w:val="111111"/>
          <w:sz w:val="28"/>
          <w:sz w:val="28"/>
          <w:szCs w:val="28"/>
          <w:rtl w:val="true"/>
          <w:lang w:bidi="ar-SA"/>
        </w:rPr>
        <w:t>عليه وتكليفه بفهم ذلك الغير ليمكن الامتثال وعدم إرادته ذلك الظاهر، فلزوم</w:t>
      </w:r>
      <w:r>
        <w:rPr>
          <w:rStyle w:val="FootnoteAnchor"/>
          <w:rtl w:val="true"/>
        </w:rPr>
        <w:footnoteReference w:id="659"/>
      </w:r>
      <w:r>
        <w:rPr>
          <w:rFonts w:ascii="Amiri" w:hAnsi="Amiri" w:eastAsia="Amiri" w:cs="Amiri"/>
          <w:color w:val="111111"/>
          <w:sz w:val="28"/>
          <w:sz w:val="28"/>
          <w:szCs w:val="28"/>
          <w:rtl w:val="true"/>
          <w:lang w:bidi="ar-SA"/>
        </w:rPr>
        <w:t>ما ذكر ظاهر، وأمّا بطلان التالي فظاهر</w:t>
      </w:r>
      <w:r>
        <w:rPr>
          <w:rFonts w:eastAsia="Amiri" w:cs="Amiri" w:ascii="Amiri" w:hAnsi="Amiri"/>
          <w:color w:val="111111"/>
          <w:sz w:val="28"/>
          <w:szCs w:val="28"/>
          <w:rtl w:val="true"/>
          <w:lang w:bidi="ar-SA"/>
        </w:rPr>
        <w:t>.</w:t>
      </w:r>
    </w:p>
    <w:p>
      <w:pPr>
        <w:pStyle w:val="Heading6"/>
        <w:numPr>
          <w:ilvl w:val="5"/>
          <w:numId w:val="1"/>
        </w:numPr>
        <w:rPr/>
      </w:pPr>
      <w:bookmarkStart w:id="840" w:name="__RefHeading___Toc3520209_1280447820"/>
      <w:bookmarkStart w:id="841" w:name="_Toc323"/>
      <w:bookmarkEnd w:id="840"/>
      <w:r>
        <w:rPr>
          <w:rtl w:val="true"/>
        </w:rPr>
        <w:t>الوجه الثالث</w:t>
      </w:r>
      <w:bookmarkEnd w:id="84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المعنى الموضوع له في تلك الحالة مرادًا من اللفظ، لزم انتفاء الفائدة في بعثة الرُسُل وإنزال الكُتب، والتالي باطل، فكذا المقدّم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الشرطيّة؛ فلأنّ المقصود منها هداية الناس إلى ما فيه صلاح المعاش والمعاد، وهو يتوقّف على المخاطبة والإفهام، ولا شبهة أنّ تلك الثمرة إنّما تترتّب على ما أراده الله تعالى مثلًا من الألفاظ لا غير، فلو كانت المعاني المرادة منها غير المعاني الظاهرة ولم ينصب قرينة على المراد، انتفت تلك الثمرة، فيلزم منه انتفاء الفائدة من الرسل والكتب المنزلة في الألفاظ الغير المقترنة بالقرينة، وأمّا بطلان التالي فلا يحتاج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ورد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وتعالى أجلّ من أن يخاطب قومًا بخطاب</w:t>
      </w:r>
      <w:r>
        <w:rPr>
          <w:rStyle w:val="FootnoteAnchor"/>
          <w:rtl w:val="true"/>
        </w:rPr>
        <w:footnoteReference w:id="661"/>
      </w:r>
      <w:r>
        <w:rPr>
          <w:rFonts w:ascii="Amiri" w:hAnsi="Amiri" w:eastAsia="Amiri" w:cs="Amiri"/>
          <w:color w:val="111111"/>
          <w:sz w:val="28"/>
          <w:sz w:val="28"/>
          <w:szCs w:val="28"/>
          <w:rtl w:val="true"/>
          <w:lang w:bidi="ar-SA"/>
        </w:rPr>
        <w:t>ويريد منهم خلاف ما هو بلسانهم وما يفهمونه</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هذه الأدلّة لا تجدي نفعًا بالنسبة إلى الموجودين في هذه الأزمان وما ضاهاها في فهم الآيات والأخبار؛ لأنّهم ليسوا بمخاطبين بها حتّى تكون الحجّة في حقّهم معانيها الظاهرة عندهم، فيحتمل أن تكون المعاني الظاهرة عند المخاطبين مغايرةً للمعاني الظاهرة عندنا، وعلى تسليم الاتّحاد يمكن دعوى الاقتران بالقرينة الصارفة عن تلك المعاني الظاهرة</w:t>
      </w:r>
      <w:r>
        <w:rPr>
          <w:rFonts w:eastAsia="Amiri" w:cs="Amiri" w:ascii="Amiri" w:hAnsi="Amiri"/>
          <w:color w:val="111111"/>
          <w:sz w:val="28"/>
          <w:szCs w:val="28"/>
          <w:rtl w:val="true"/>
          <w:lang w:bidi="ar-SA"/>
        </w:rPr>
        <w:t xml:space="preserve">. </w:t>
      </w:r>
      <w:bookmarkStart w:id="842" w:name="pg16214_221788"/>
    </w:p>
    <w:p>
      <w:pPr>
        <w:pStyle w:val="BookText"/>
        <w:rPr/>
      </w:pPr>
      <w:bookmarkEnd w:id="842"/>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الخطابات القرآنيّة والنبويّة بالموجودين وإن كان مسلّمًا، لكنّا مكلّفون بتحصيل فهمهم، وندّعي أنّ المعاني المفهومة منها عندهم هي المعاني المفهومة عندنا، فتكليفنا أبدًا يحصل من مقدّمتين،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فهم الحاضرين،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كذلك فهو حجّة علينا،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فهم الحاضرين حجّة بالنسبة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الكبرى فبالأدلّة الدالّة على الاشتراك في التكليف، وأمّا الصغرى فلأنّ تلك الألفاظ لو كانت المعاني المفهومة منها عندهم هذه المعاني الظاهرة عندنا فهو المطلوب، وإن كانت غيرها يلزم النقل والتغيّر، والأصل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كانت هي المعاني الظاهرة، لكنّها قد اقترنت بما يصرف عنها، فإنّ اقترانها به غير معلوم، فيندفع بالأصل، على أنّ اهتمام السلف في ضبط ما سمعوه وحفظ ما أخذوه من غير إسقاط شيء يتغيّر به المعنى ينافي الاحتمال المذكور</w:t>
      </w:r>
      <w:r>
        <w:rPr>
          <w:rFonts w:eastAsia="Amiri" w:cs="Amiri" w:ascii="Amiri" w:hAnsi="Amiri"/>
          <w:color w:val="111111"/>
          <w:sz w:val="28"/>
          <w:szCs w:val="28"/>
          <w:rtl w:val="true"/>
          <w:lang w:bidi="ar-SA"/>
        </w:rPr>
        <w:t>.</w:t>
      </w:r>
    </w:p>
    <w:p>
      <w:pPr>
        <w:pStyle w:val="Heading6"/>
        <w:numPr>
          <w:ilvl w:val="5"/>
          <w:numId w:val="1"/>
        </w:numPr>
        <w:rPr/>
      </w:pPr>
      <w:bookmarkStart w:id="843" w:name="__RefHeading___Toc3520211_1280447820"/>
      <w:bookmarkStart w:id="844" w:name="_Toc324"/>
      <w:bookmarkEnd w:id="843"/>
      <w:r>
        <w:rPr>
          <w:rtl w:val="true"/>
        </w:rPr>
        <w:t>الوجه الرابع</w:t>
      </w:r>
      <w:bookmarkEnd w:id="844"/>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Style w:val="FootnoteAnchor"/>
          <w:rtl w:val="true"/>
        </w:rPr>
        <w:footnoteReference w:id="663"/>
      </w:r>
      <w:r>
        <w:rPr>
          <w:rFonts w:ascii="Amiri" w:hAnsi="Amiri" w:eastAsia="Amiri" w:cs="Amiri"/>
          <w:color w:val="111111"/>
          <w:sz w:val="28"/>
          <w:sz w:val="28"/>
          <w:szCs w:val="28"/>
          <w:rtl w:val="true"/>
          <w:lang w:bidi="ar-SA"/>
        </w:rPr>
        <w:t>، فإنّ أئمّة العربيّة والأصول</w:t>
      </w:r>
      <w:r>
        <w:rPr>
          <w:rStyle w:val="FootnoteAnchor"/>
          <w:rtl w:val="true"/>
        </w:rPr>
        <w:footnoteReference w:id="664"/>
      </w:r>
      <w:r>
        <w:rPr>
          <w:rFonts w:ascii="Amiri" w:hAnsi="Amiri" w:eastAsia="Amiri" w:cs="Amiri"/>
          <w:color w:val="111111"/>
          <w:sz w:val="28"/>
          <w:sz w:val="28"/>
          <w:szCs w:val="28"/>
          <w:rtl w:val="true"/>
          <w:lang w:bidi="ar-SA"/>
        </w:rPr>
        <w:t>أطبقوا على لزوم حمل اللفظ على المعنى الظاهر عند التجرّد عن القرينة، وإطباقهم في أمثال المقام حجّة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ذكر ظهورًا بيّنًا أنّه إذا كان للّفظ معنى حقيقيّ ومجازيّ ولم يعلم أنّ مراد المستعمل أيّ من المعنيين، أنّ اللازم حمله على المعنى الحقيقيّ وعدم جواز </w:t>
      </w:r>
    </w:p>
    <w:p>
      <w:pPr>
        <w:pStyle w:val="BookText"/>
        <w:rPr/>
      </w:pPr>
      <w:r>
        <w:rPr>
          <w:rFonts w:ascii="Amiri" w:hAnsi="Amiri" w:eastAsia="Amiri" w:cs="Amiri"/>
          <w:color w:val="111111"/>
          <w:sz w:val="28"/>
          <w:sz w:val="28"/>
          <w:szCs w:val="28"/>
          <w:rtl w:val="true"/>
          <w:lang w:bidi="ar-SA"/>
        </w:rPr>
        <w:t>حمله على المجازيّ، وهذا أحد المعنيين المفهومين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الأصل في الاستعمال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متّفقٌ عليه بينهم، إلّا في المجاز المشهور، بناءً على ما ذهب إليه بعضهم من تقديمه على الحقيقة ولو عند التجرّد عن القرينة</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يمكن الجواب عن ذلك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فيما إذا استعمل اللفظ مجرّدًا عن القرينة، وهنا ليس كذلك؛ لاحتمال أن يكون</w:t>
      </w:r>
      <w:r>
        <w:rPr>
          <w:rStyle w:val="FootnoteAnchor"/>
          <w:rtl w:val="true"/>
        </w:rPr>
        <w:footnoteReference w:id="666"/>
      </w:r>
      <w:r>
        <w:rPr>
          <w:rFonts w:ascii="Amiri" w:hAnsi="Amiri" w:eastAsia="Amiri" w:cs="Amiri"/>
          <w:color w:val="111111"/>
          <w:sz w:val="28"/>
          <w:sz w:val="28"/>
          <w:szCs w:val="28"/>
          <w:rtl w:val="true"/>
          <w:lang w:bidi="ar-SA"/>
        </w:rPr>
        <w:t>الشهرة قرينة المجازيّة عند ذلك القائل على ما ذهب إليه بعضهم</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تقديم الحقيقة بحسب الذات، ولا ينافيه</w:t>
      </w:r>
      <w:r>
        <w:rPr>
          <w:rStyle w:val="FootnoteAnchor"/>
          <w:rtl w:val="true"/>
        </w:rPr>
        <w:footnoteReference w:id="668"/>
      </w:r>
      <w:r>
        <w:rPr>
          <w:rFonts w:ascii="Amiri" w:hAnsi="Amiri" w:eastAsia="Amiri" w:cs="Amiri"/>
          <w:color w:val="111111"/>
          <w:sz w:val="28"/>
          <w:sz w:val="28"/>
          <w:szCs w:val="28"/>
          <w:rtl w:val="true"/>
          <w:lang w:bidi="ar-SA"/>
        </w:rPr>
        <w:t>تقديم المجاز في بعض المواضع باعتبار الأمور الخارجيّة كالشهرة ولو لم تكن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ممّا ذكر لزوم حمل اللفظ على المعنى الحقيقيّ عند استعماله مجرّدًا عن القرينة وعدم جواز حمله على المعنى المجازيّ، سواء كان اللفظ منفردًا، أو مشتركًا كما فيما نحن فيه، فاحتمال الحمل على المعنى المجازيّ فيه فاسد، بل لم يذهب إليه أحدٌ، ومحلّ النزاع في معارضة الاشتراك والمجاز إنّما هو على المعنى الّذي ستقف عليه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مرّ من حجّيّة ظواهر الألفاظ ولزوم حملها عليها وعدم جواز الحمل على </w:t>
      </w:r>
    </w:p>
    <w:p>
      <w:pPr>
        <w:pStyle w:val="BookText"/>
        <w:rPr/>
      </w:pPr>
      <w:r>
        <w:rPr>
          <w:rFonts w:ascii="Amiri" w:hAnsi="Amiri" w:eastAsia="Amiri" w:cs="Amiri"/>
          <w:color w:val="111111"/>
          <w:sz w:val="28"/>
          <w:sz w:val="28"/>
          <w:szCs w:val="28"/>
          <w:rtl w:val="true"/>
          <w:lang w:bidi="ar-SA"/>
        </w:rPr>
        <w:t>غيرها عند التجرّد، ظهر لك فساد ما ارتكبه طائفةٌ خاسرةٌ من أهل الضلال وفرقةٌ عادلةٌ عن الشريعة وما يتعلّق بها</w:t>
      </w:r>
      <w:r>
        <w:rPr>
          <w:rStyle w:val="FootnoteAnchor"/>
          <w:rtl w:val="true"/>
        </w:rPr>
        <w:footnoteReference w:id="669"/>
      </w:r>
      <w:r>
        <w:rPr>
          <w:rFonts w:ascii="Amiri" w:hAnsi="Amiri" w:eastAsia="Amiri" w:cs="Amiri"/>
          <w:color w:val="111111"/>
          <w:sz w:val="28"/>
          <w:sz w:val="28"/>
          <w:szCs w:val="28"/>
          <w:rtl w:val="true"/>
          <w:lang w:bidi="ar-SA"/>
        </w:rPr>
        <w:t>من المقال، وليس ذلك إلّا لتقصيرهم في القواعد المعتبرة في دلالة الألفاظ وقصورهم عن القوانين الممهّدة لذلك المرام، حيث قالوا في الأمور المتعلّقة بالآخرة من سؤال القبر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سؤال القبر وثوابه وعذابه عبارة عن تخيّل النفس بدنه مقبورًا واصلًا إليه اللذّات أو الآلام على سبيل المجازات على ما اعتقدته في الدنيا، والبعث عن خروج النفس من الهيئات المحيطة بها، والحشر عن وصول كلّ نفس إلى غاية فعله؛ والصراط عبارة عن التوسّط في الأخلاق، والجنّة عبارة عن العالم العقليّ، والنار عن الصور الكدرة المظلمة المؤلمة</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المقالات الفاسدة والتأويلات الرديّة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الألفاظ لها معانٍ ظاهرة، أو فسّرت بألفاظ كذلك ولم يقترن بالقرينة الصارفة عنها، فاللازم حملها على ظواهرها؛ لانتفاء ما يدلّ على امتناعها، فسؤال القبر عبارة عن سؤال المَلَكين الحاضرين في القبر الموكّلين من عند الله تعالى العبدَ الميّت عن أصول عقائده بعد إعادة تعلّق روحه ببدنه، والمراد بثوابه ما يصل إليه من نعم الله تعالى بعد الجواب، وعذابه ما يصل إليه بعد العجز عنه من الإيذاء والعقاب، ولعلّ إليهما الإشارة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القبر روضة من رياض الجنّة، أو حفرة من حفر النيران</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845" w:name="pg16214_221791"/>
    </w:p>
    <w:p>
      <w:pPr>
        <w:pStyle w:val="BookText"/>
        <w:rPr/>
      </w:pPr>
      <w:bookmarkEnd w:id="845"/>
      <w:r>
        <w:rPr>
          <w:rFonts w:ascii="Amiri" w:hAnsi="Amiri" w:eastAsia="Amiri" w:cs="Amiri"/>
          <w:color w:val="111111"/>
          <w:sz w:val="28"/>
          <w:sz w:val="28"/>
          <w:szCs w:val="28"/>
          <w:rtl w:val="true"/>
          <w:lang w:bidi="ar-SA"/>
        </w:rPr>
        <w:t>والبعثُ عبارةٌ عن إحياء الأموات وخروجهم من حفرهم، والحشر جمعهم في أرض القيامة لمحاسبتهم، والصراط عبارة عن جسر ممدود على متن جهنّم أدقّ من الشعر وأحدّ من السيف وأظلم من الليل، يؤمر كلّ مكلّف بالمرور عليه، والسعيد يمرّ عليه مرورًا مختلفًا في السرعة والبطؤ باختلاف مراتب السعادة، والشقيّ يسقط منه إلى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الباقي، فإنّ هذه الأمور قد أخبر بها المخبر الصادق بالألفاظ الدالّة على هذه المعاني، ولم يقم على امتناعها برهان قاطع، فيجب التصديق بها لما تقدّم، والإعراض عنها إعراض عن مخبره، وهو كفر وزندقة وإلحاد بلا ريبة</w:t>
      </w:r>
      <w:r>
        <w:rPr>
          <w:rFonts w:eastAsia="Amiri" w:cs="Amiri" w:ascii="Amiri" w:hAnsi="Amiri"/>
          <w:color w:val="111111"/>
          <w:sz w:val="28"/>
          <w:szCs w:val="28"/>
          <w:rtl w:val="true"/>
          <w:lang w:bidi="ar-SA"/>
        </w:rPr>
        <w:t>.</w:t>
      </w:r>
    </w:p>
    <w:p>
      <w:pPr>
        <w:pStyle w:val="Heading6"/>
        <w:numPr>
          <w:ilvl w:val="5"/>
          <w:numId w:val="1"/>
        </w:numPr>
        <w:rPr/>
      </w:pPr>
      <w:bookmarkStart w:id="846" w:name="__RefHeading___Toc3520213_1280447820"/>
      <w:bookmarkStart w:id="847" w:name="_Toc325"/>
      <w:bookmarkEnd w:id="846"/>
      <w:r>
        <w:rPr>
          <w:rtl w:val="true"/>
        </w:rPr>
        <w:t>الصورة الثانية</w:t>
      </w:r>
      <w:bookmarkEnd w:id="847"/>
    </w:p>
    <w:p>
      <w:pPr>
        <w:pStyle w:val="Heading6"/>
        <w:numPr>
          <w:ilvl w:val="5"/>
          <w:numId w:val="1"/>
        </w:numPr>
        <w:rPr/>
      </w:pPr>
      <w:bookmarkStart w:id="848" w:name="__RefHeading___Toc3520215_1280447820"/>
      <w:bookmarkStart w:id="849" w:name="_Toc326"/>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والصورة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إذا ظهر المستعمل فيه ولم يظهر أنّ اللفظ حقيقة فيه أو مجاز، وهذا لا يخلو إمّا أن يكون المستعمل فيه واحدًا أو متعدّدًا، ففيه مقامان</w:t>
      </w:r>
      <w:r>
        <w:rPr>
          <w:rFonts w:eastAsia="Amiri" w:cs="Amiri" w:ascii="Amiri" w:hAnsi="Amiri"/>
          <w:color w:val="111111"/>
          <w:sz w:val="28"/>
          <w:szCs w:val="28"/>
          <w:rtl w:val="true"/>
          <w:lang w:bidi="ar-SA"/>
        </w:rPr>
        <w:t>:</w:t>
      </w:r>
    </w:p>
    <w:p>
      <w:pPr>
        <w:pStyle w:val="Heading6"/>
        <w:numPr>
          <w:ilvl w:val="5"/>
          <w:numId w:val="1"/>
        </w:numPr>
        <w:rPr/>
      </w:pPr>
      <w:bookmarkStart w:id="850" w:name="__RefHeading___Toc3520217_1280447820"/>
      <w:bookmarkStart w:id="851" w:name="_Toc327"/>
      <w:bookmarkEnd w:id="850"/>
      <w:r>
        <w:rPr>
          <w:rtl w:val="true"/>
        </w:rPr>
        <w:t>المقام الأوّل</w:t>
      </w:r>
      <w:r>
        <w:rPr>
          <w:rtl w:val="true"/>
        </w:rPr>
        <w:t xml:space="preserve">: </w:t>
      </w:r>
      <w:r>
        <w:rPr>
          <w:rtl w:val="true"/>
        </w:rPr>
        <w:t>أن يكون المستعمل فيه المعلوم واحدًا</w:t>
      </w:r>
      <w:bookmarkEnd w:id="851"/>
    </w:p>
    <w:p>
      <w:pPr>
        <w:pStyle w:val="Heading6"/>
        <w:numPr>
          <w:ilvl w:val="5"/>
          <w:numId w:val="1"/>
        </w:numPr>
        <w:rPr/>
      </w:pPr>
      <w:bookmarkStart w:id="852" w:name="__RefHeading___Toc3520219_1280447820"/>
      <w:bookmarkStart w:id="853" w:name="_Toc328"/>
      <w:bookmarkEnd w:id="852"/>
      <w:r>
        <w:rPr>
          <w:rtl w:val="true"/>
        </w:rPr>
        <w:t>اشارة</w:t>
      </w:r>
      <w:bookmarkEnd w:id="853"/>
    </w:p>
    <w:p>
      <w:pPr>
        <w:pStyle w:val="BookText"/>
        <w:rPr/>
      </w:pPr>
      <w:r>
        <w:rPr>
          <w:rFonts w:ascii="Amiri" w:hAnsi="Amiri" w:eastAsia="Amiri" w:cs="Amiri"/>
          <w:color w:val="111111"/>
          <w:sz w:val="28"/>
          <w:sz w:val="28"/>
          <w:szCs w:val="28"/>
          <w:rtl w:val="true"/>
          <w:lang w:bidi="ar-SA"/>
        </w:rPr>
        <w:t>والحكم فيه أنّه فيه حقيقة لوجوه</w:t>
      </w:r>
      <w:r>
        <w:rPr>
          <w:rFonts w:eastAsia="Amiri" w:cs="Amiri" w:ascii="Amiri" w:hAnsi="Amiri"/>
          <w:color w:val="111111"/>
          <w:sz w:val="28"/>
          <w:szCs w:val="28"/>
          <w:rtl w:val="true"/>
          <w:lang w:bidi="ar-SA"/>
        </w:rPr>
        <w:t>:</w:t>
      </w:r>
    </w:p>
    <w:p>
      <w:pPr>
        <w:pStyle w:val="Heading6"/>
        <w:numPr>
          <w:ilvl w:val="5"/>
          <w:numId w:val="1"/>
        </w:numPr>
        <w:rPr/>
      </w:pPr>
      <w:bookmarkStart w:id="854" w:name="__RefHeading___Toc3520221_1280447820"/>
      <w:bookmarkStart w:id="855" w:name="_Toc329"/>
      <w:bookmarkEnd w:id="854"/>
      <w:r>
        <w:rPr>
          <w:rtl w:val="true"/>
        </w:rPr>
        <w:t>الوجه الأوّل</w:t>
      </w:r>
      <w:bookmarkEnd w:id="85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حقيقة لكان مجازًا؛ لانحصار الاستعمال الصحيح فيهما، وهو يتوقّف على الوضع السابق، وهو غير معلوم، وعدمه كان معلومًا بناءً على أنّ عدم كلّ حادث متيقّن، فالحكم بالثبوت مع عدم ظهوره رفع للعلم السابق من </w:t>
      </w:r>
    </w:p>
    <w:p>
      <w:pPr>
        <w:pStyle w:val="BookText"/>
        <w:rPr/>
      </w:pPr>
      <w:r>
        <w:rPr>
          <w:rFonts w:ascii="Amiri" w:hAnsi="Amiri" w:eastAsia="Amiri" w:cs="Amiri"/>
          <w:color w:val="111111"/>
          <w:sz w:val="28"/>
          <w:sz w:val="28"/>
          <w:szCs w:val="28"/>
          <w:rtl w:val="true"/>
          <w:lang w:bidi="ar-SA"/>
        </w:rPr>
        <w:t>غير معارض،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كان الوضع السابق معلوم العدم، كذا الوضع للمستعمل فيه، والقدرُ اللازم بعد ثبوت الاستعمال في المعنى المفروض الوضعُ في الجملة، أمّا كونه لخصوص المستعمل فيه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وإن كان مسلّمًا، لكنّه لو كان معنًى مجازيًّا لاحتاج إلى العلاقة أيضًا، وهو خلاف الأصل،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المستعمل فيه معنًى مجازيًّا يستلزم الوضع لغيره والعلاقة بينهما، بخلاف الوضع للمستعمل فيه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بأصل العدم في نفي العلاقة لا معنى له، إذ الأصل المعوّل عليه في أمثال المقام هو الّذي مآله الاستصحاب، وإنّما يصحّ التمسّك به إذا كان عدم العلاقة بينه وبين غيره الّذي يدّعى الوضع له على ما هو المفروض معلومًا في وقت ثمّ يستصحب العدم؛ وإنّما يتيسّر ذلك إذا لوحظ ذلك مع غيره من المعاني الغير المتناهية، وهو غير ممكن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يثبت ذلك بأنّ المجازيّة مفتقرة إلى الوضع وعلم المستعمل بالمعنى المستعمل فيه والموضوع له كليهما، بخلاف ما لو كان ذلك المعنى موضوعًا له، فلا يلزم إلّا العلم بذلك المعنى، لا المعنى الآخر، ولعلّ هذا القدر كافٍ في المقام، فتأمّل</w:t>
      </w:r>
      <w:r>
        <w:rPr>
          <w:rFonts w:eastAsia="Amiri" w:cs="Amiri" w:ascii="Amiri" w:hAnsi="Amiri"/>
          <w:color w:val="111111"/>
          <w:sz w:val="28"/>
          <w:szCs w:val="28"/>
          <w:rtl w:val="true"/>
          <w:lang w:bidi="ar-SA"/>
        </w:rPr>
        <w:t xml:space="preserve">. </w:t>
      </w:r>
      <w:bookmarkStart w:id="856" w:name="pg16214_221793"/>
    </w:p>
    <w:p>
      <w:pPr>
        <w:pStyle w:val="Heading6"/>
        <w:numPr>
          <w:ilvl w:val="5"/>
          <w:numId w:val="1"/>
        </w:numPr>
        <w:rPr/>
      </w:pPr>
      <w:bookmarkStart w:id="857" w:name="__RefHeading___Toc3520223_1280447820"/>
      <w:bookmarkStart w:id="858" w:name="_Toc330"/>
      <w:bookmarkEnd w:id="856"/>
      <w:bookmarkEnd w:id="857"/>
      <w:r>
        <w:rPr>
          <w:rtl w:val="true"/>
        </w:rPr>
        <w:t>الوجه الثاني</w:t>
      </w:r>
      <w:bookmarkEnd w:id="858"/>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استعمال اللفظ في معنى كونه فيه حقيقة عند عدم ظهور خلافه، ألا ترى أنّك إذا اطّلعت على أنّه قد استعمل اللفظ</w:t>
      </w:r>
      <w:r>
        <w:rPr>
          <w:rStyle w:val="FootnoteAnchor"/>
          <w:rtl w:val="true"/>
        </w:rPr>
        <w:footnoteReference w:id="673"/>
      </w:r>
      <w:r>
        <w:rPr>
          <w:rFonts w:ascii="Amiri" w:hAnsi="Amiri" w:eastAsia="Amiri" w:cs="Amiri"/>
          <w:color w:val="111111"/>
          <w:sz w:val="28"/>
          <w:sz w:val="28"/>
          <w:szCs w:val="28"/>
          <w:rtl w:val="true"/>
          <w:lang w:bidi="ar-SA"/>
        </w:rPr>
        <w:t>عند أهل اصطلاح في معنى وظهر لك ذلك المعنى بنحو من القرائن، يكون الظاهر في نظرك أنّ اصطلاحهم ذلك بحيث لا ترتاب في ذلك الظهور، وهذا هو الطريق الغالب في معرفة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المقام ممّا يتمسّك به بأنّ الأصل في الاستعمال الحقيقة أيضًا، ومرجعه إلى ما ذكرنا من أنّه إذا استعمِلَ لفظٌ في معنى عند الجهل بحقيقيّته ومجازيّته، يكون المظنون أنّه فيه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الاستعمال دليلًا على الحقيقة في المستعمل فيه المعلوم، وهذا هو المعنى الآخر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الأصل في الاستعمال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الظاهر في استعمال اللفظ في معنى كونه فيه حقيقة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ذلك أنّ استعمال الألفاظ في المعاني الحقيقيّة</w:t>
      </w:r>
      <w:r>
        <w:rPr>
          <w:rStyle w:val="FootnoteAnchor"/>
          <w:rtl w:val="true"/>
        </w:rPr>
        <w:footnoteReference w:id="674"/>
      </w:r>
      <w:r>
        <w:rPr>
          <w:rFonts w:ascii="Amiri" w:hAnsi="Amiri" w:eastAsia="Amiri" w:cs="Amiri"/>
          <w:color w:val="111111"/>
          <w:sz w:val="28"/>
          <w:sz w:val="28"/>
          <w:szCs w:val="28"/>
          <w:rtl w:val="true"/>
          <w:lang w:bidi="ar-SA"/>
        </w:rPr>
        <w:t>في المحاورات بين العرف والعادة أكثر من استعمالها في المعاني المجازيّة على ما مرّ بيانه، والظنّ إنّما يلحق الشيء بالأعمّ الأغلب، فيكون المظنون من استعمال اللفظ</w:t>
      </w:r>
      <w:r>
        <w:rPr>
          <w:rStyle w:val="FootnoteAnchor"/>
          <w:rtl w:val="true"/>
        </w:rPr>
        <w:footnoteReference w:id="675"/>
      </w:r>
      <w:r>
        <w:rPr>
          <w:rFonts w:ascii="Amiri" w:hAnsi="Amiri" w:eastAsia="Amiri" w:cs="Amiri"/>
          <w:color w:val="111111"/>
          <w:sz w:val="28"/>
          <w:sz w:val="28"/>
          <w:szCs w:val="28"/>
          <w:rtl w:val="true"/>
          <w:lang w:bidi="ar-SA"/>
        </w:rPr>
        <w:t xml:space="preserve">في معنى كونه موضوعًا له، والظنّ في اللغات حجّة مع أنّ المجازيّة حينئذٍ مرجوحة، فالحكم بها </w:t>
      </w:r>
    </w:p>
    <w:p>
      <w:pPr>
        <w:pStyle w:val="BookText"/>
        <w:rPr/>
      </w:pPr>
      <w:r>
        <w:rPr>
          <w:rFonts w:ascii="Amiri" w:hAnsi="Amiri" w:eastAsia="Amiri" w:cs="Amiri"/>
          <w:color w:val="111111"/>
          <w:sz w:val="28"/>
          <w:sz w:val="28"/>
          <w:szCs w:val="28"/>
          <w:rtl w:val="true"/>
          <w:lang w:bidi="ar-SA"/>
        </w:rPr>
        <w:t>مع ذلك ترجيح للمرجوح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ما ذكرنا ما نقله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عن ابن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أعرف الفاطر حتّى اختصم إليّ شخصان في بئر،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لي أبي</w:t>
      </w:r>
      <w:r>
        <w:rPr>
          <w:rStyle w:val="FootnoteAnchor"/>
          <w:rtl w:val="true"/>
        </w:rPr>
        <w:footnoteReference w:id="676"/>
      </w:r>
      <w:r>
        <w:rPr>
          <w:rFonts w:ascii="Amiri" w:hAnsi="Amiri" w:eastAsia="Amiri" w:cs="Amiri"/>
          <w:color w:val="111111"/>
          <w:sz w:val="28"/>
          <w:sz w:val="28"/>
          <w:szCs w:val="28"/>
          <w:rtl w:val="true"/>
          <w:lang w:bidi="ar-SA"/>
        </w:rPr>
        <w:t>، أي اخترعها</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الأصمعيّ</w:t>
      </w:r>
      <w:r>
        <w:rPr>
          <w:rStyle w:val="FootnoteAnchor"/>
          <w:rtl w:val="true"/>
        </w:rPr>
        <w:footnoteReference w:id="678"/>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أعرف الدهاق</w:t>
      </w:r>
      <w:r>
        <w:rPr>
          <w:rStyle w:val="FootnoteAnchor"/>
          <w:rtl w:val="true"/>
        </w:rPr>
        <w:footnoteReference w:id="679"/>
      </w:r>
      <w:r>
        <w:rPr>
          <w:rFonts w:ascii="Amiri" w:hAnsi="Amiri" w:eastAsia="Amiri" w:cs="Amiri"/>
          <w:color w:val="111111"/>
          <w:sz w:val="28"/>
          <w:sz w:val="28"/>
          <w:szCs w:val="28"/>
          <w:rtl w:val="true"/>
          <w:lang w:bidi="ar-SA"/>
        </w:rPr>
        <w:t>حتّى سمعت جارية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اسقني دهاقًا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ملآنًا</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فاستدلّوا بالاستعمال على الحقيقة، فلو لا</w:t>
      </w:r>
      <w:r>
        <w:rPr>
          <w:rStyle w:val="FootnoteAnchor"/>
          <w:rtl w:val="true"/>
        </w:rPr>
        <w:footnoteReference w:id="681"/>
      </w:r>
      <w:r>
        <w:rPr>
          <w:rFonts w:ascii="Amiri" w:hAnsi="Amiri" w:eastAsia="Amiri" w:cs="Amiri"/>
          <w:color w:val="111111"/>
          <w:sz w:val="28"/>
          <w:sz w:val="28"/>
          <w:szCs w:val="28"/>
          <w:rtl w:val="true"/>
          <w:lang w:bidi="ar-SA"/>
        </w:rPr>
        <w:t xml:space="preserve">علمهم بأنّ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لما ساغ ذلك</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bookmarkStart w:id="859" w:name="pg16214_221795"/>
    </w:p>
    <w:p>
      <w:pPr>
        <w:pStyle w:val="Heading6"/>
        <w:numPr>
          <w:ilvl w:val="5"/>
          <w:numId w:val="1"/>
        </w:numPr>
        <w:rPr/>
      </w:pPr>
      <w:bookmarkStart w:id="860" w:name="__RefHeading___Toc3520225_1280447820"/>
      <w:bookmarkStart w:id="861" w:name="_Toc331"/>
      <w:bookmarkEnd w:id="859"/>
      <w:bookmarkEnd w:id="860"/>
      <w:r>
        <w:rPr>
          <w:rtl w:val="true"/>
        </w:rPr>
        <w:t>الوجه الثالث</w:t>
      </w:r>
      <w:bookmarkEnd w:id="861"/>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اللفظ لو لم يكن حقيقة فيه، لكان مجازًا؛ لِمَا تكرّر مرارًا من انحصار الاستعمال الصحيح فيهما، فيلزم إلحاق المشتبه إمّا بالممتنع، أو بالممكن الّذي لم يعلم وقوعه، أو بالواقع النادر، والتوالي بأسرها باطلة، فالمقدّم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الشرطيّة، فلأنّ المفروض انحصار استعمال ذلك اللفظ في ذلك المعنى، فلو كان مجازًا فيه لكان ذلك مجازًا لا حقيقة له، وقد عرفت مشروحًا أنّ المجاز الّذي لا حقيقة له إمّا ممتنع، أو ممكن غير معلوم الوقوع، أو واقع نادر على اختلاف الأقوال الّتي تقدّم الكلام فيها مبسوطًا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التوالي فظاهر بالنسبة إلى الشقّ الأوّل والثاني، إذ</w:t>
      </w:r>
      <w:r>
        <w:rPr>
          <w:rStyle w:val="FootnoteAnchor"/>
          <w:rtl w:val="true"/>
        </w:rPr>
        <w:footnoteReference w:id="683"/>
      </w:r>
      <w:r>
        <w:rPr>
          <w:rFonts w:ascii="Amiri" w:hAnsi="Amiri" w:eastAsia="Amiri" w:cs="Amiri"/>
          <w:color w:val="111111"/>
          <w:sz w:val="28"/>
          <w:sz w:val="28"/>
          <w:szCs w:val="28"/>
          <w:rtl w:val="true"/>
          <w:lang w:bidi="ar-SA"/>
        </w:rPr>
        <w:t>الممتنع كيف يكون بعض أفراده واقعًا، والشيء المعلوم الوقوع كيف يجعل من أفراد ما لم يعلم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المشتبه ملحوق بالأغلب لأُلف الذهن به، فيحصل له الظنّ أنّه من ذلك، فكونه من غيره موهوم عنده ومرجوح لديه، والحكم به مع ذلك ترجيح للمرجوح على الراجح، فتأمّل</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2" w:name="__RefHeading___Toc3520227_1280447820"/>
      <w:bookmarkStart w:id="863" w:name="_Toc332"/>
      <w:bookmarkEnd w:id="862"/>
      <w:r>
        <w:rPr>
          <w:rtl w:val="true"/>
        </w:rPr>
        <w:t>الوجه الرابع</w:t>
      </w:r>
      <w:bookmarkEnd w:id="863"/>
    </w:p>
    <w:p>
      <w:pPr>
        <w:pStyle w:val="Heading6"/>
        <w:numPr>
          <w:ilvl w:val="5"/>
          <w:numId w:val="1"/>
        </w:numPr>
        <w:rPr/>
      </w:pPr>
      <w:bookmarkStart w:id="864" w:name="__RefHeading___Toc3520229_1280447820"/>
      <w:bookmarkStart w:id="865" w:name="_Toc333"/>
      <w:bookmarkEnd w:id="864"/>
      <w:r>
        <w:rPr>
          <w:rtl w:val="true"/>
        </w:rPr>
        <w:t>الاستدلال على كون المجاز مخالفًا للأصل</w:t>
      </w:r>
      <w:bookmarkEnd w:id="86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استدلّوا على كون المجاز مخالفًا للأصل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خلاف الأصل لما حصل التفاهم حالة التخاطب؛ لأنّ أرجحيّة المجاز بالنسبة إلى الحقيقة باطلٌ قطعًا، فلو لم يكن مرجوحًا بالنسبة إليها كان مساويًا، فساوى إرادة المجاز إرادة الحقيقة، فلا يمكن حمل اللفظ على شيء منهما، فلا يحصل التفاهم</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بطلان التالي؛ فلوضوح أنّ وضع الألفاظ للتفهيم والتفهّم، ولا يخفى أنّ مقتضى هذا الدليل أنّه إذا علم المعنى الحقيقيّ والمجازيّ للّفظ ولم يعلم أيّهما المراد، تعيّن إرادة الأوّل، ولا دخل له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متوقّفٌ على الوضع والنقل والعلاقة والقرينة، والحقيقة على الأوّل، والمتوقّف على الأمر الواحد أولى من المتوقّف على أمور أربعة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لو تمّ لدلّ على أرجحيّة الحقيقة من المجاز بالمعنى الّذي كلامنا فيه، فاللازم صرف العنان إلى ذلك، فنقول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توقّف المجاز على الوضع فظاهر، وأمّا توقّفه على النقل فلأنّه ليس المراد من النقل في هذا المقام ما هو المصطلح عليه عند أرباب الفنّ، بل صرف اللفظ عن الموضوع له واستعماله في غيره، وحينئذٍ توقّف المجاز عليه ظاهرٌ أيضًا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توقّفه على العلاقة فلأنّ الكلام في المجاز الصحيح، وهو مع انتفاء العلاقة ممتنع، وأمّا على القرينة فلأنّ المقصود من استعمال اللفظ في معنى استفادته منه، </w:t>
      </w:r>
    </w:p>
    <w:p>
      <w:pPr>
        <w:pStyle w:val="BookText"/>
        <w:rPr/>
      </w:pPr>
      <w:r>
        <w:rPr>
          <w:rFonts w:ascii="Amiri" w:hAnsi="Amiri" w:eastAsia="Amiri" w:cs="Amiri"/>
          <w:color w:val="111111"/>
          <w:sz w:val="28"/>
          <w:sz w:val="28"/>
          <w:szCs w:val="28"/>
          <w:rtl w:val="true"/>
          <w:lang w:bidi="ar-SA"/>
        </w:rPr>
        <w:t>فلو استعمل اللفظ في غير الموضوع له مع عدم الاقتران بالقرينة فإمّا أن يحمله المخاطب على غير المراد، أو لا يحمله على شيء أصلًا،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الملازمة فلأنّ المخاطب إمّا أن يكون عالمًا بالموضوع له لذلك اللفظ، أو لا؛ وعلى الأوّل يحمله عليه؛ لأنّ غاية وضع اللفظ لمعنى دلالته عليه لذاته، فيلزم الأمر الأوّل، وعلى الثاني لا يمكنه الحمل على 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التالي فلما عرفت من أنّ المقصود من استعمال اللفظ في معنى استفادته منه، والحمل على غيره وكذا عدم الحمل على شيء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تحقّق بما تقرّر أنّ الأمور الثلاثة الأُوَل</w:t>
      </w:r>
      <w:r>
        <w:rPr>
          <w:rStyle w:val="FootnoteAnchor"/>
          <w:rtl w:val="true"/>
        </w:rPr>
        <w:footnoteReference w:id="687"/>
      </w:r>
      <w:r>
        <w:rPr>
          <w:rFonts w:ascii="Amiri" w:hAnsi="Amiri" w:eastAsia="Amiri" w:cs="Amiri"/>
          <w:color w:val="111111"/>
          <w:sz w:val="28"/>
          <w:sz w:val="28"/>
          <w:szCs w:val="28"/>
          <w:rtl w:val="true"/>
          <w:lang w:bidi="ar-SA"/>
        </w:rPr>
        <w:t>ممّا توقّفت عليه ماهيّة المجاز، وأمّا الأمر الرابع</w:t>
      </w:r>
      <w:r>
        <w:rPr>
          <w:rStyle w:val="FootnoteAnchor"/>
          <w:rtl w:val="true"/>
        </w:rPr>
        <w:footnoteReference w:id="688"/>
      </w:r>
      <w:r>
        <w:rPr>
          <w:rFonts w:ascii="Amiri" w:hAnsi="Amiri" w:eastAsia="Amiri" w:cs="Amiri"/>
          <w:color w:val="111111"/>
          <w:sz w:val="28"/>
          <w:sz w:val="28"/>
          <w:szCs w:val="28"/>
          <w:rtl w:val="true"/>
          <w:lang w:bidi="ar-SA"/>
        </w:rPr>
        <w:t>فليس من ذلك، بل ممّا توقّف عليه فهم المعنى المجازيّ منه</w:t>
      </w:r>
      <w:r>
        <w:rPr>
          <w:rStyle w:val="FootnoteAnchor"/>
          <w:rtl w:val="true"/>
        </w:rPr>
        <w:footnoteReference w:id="689"/>
      </w:r>
      <w:r>
        <w:rPr>
          <w:rFonts w:ascii="Amiri" w:hAnsi="Amiri" w:eastAsia="Amiri" w:cs="Amiri"/>
          <w:color w:val="111111"/>
          <w:sz w:val="28"/>
          <w:sz w:val="28"/>
          <w:szCs w:val="28"/>
          <w:rtl w:val="true"/>
          <w:lang w:bidi="ar-SA"/>
        </w:rPr>
        <w:t>، ولعلّه لهذا اقتصر العلّامة</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آخر</w:t>
      </w:r>
      <w:r>
        <w:rPr>
          <w:rStyle w:val="FootnoteAnchor"/>
          <w:rtl w:val="true"/>
        </w:rPr>
        <w:footnoteReference w:id="691"/>
      </w:r>
      <w:r>
        <w:rPr>
          <w:rFonts w:ascii="Amiri" w:hAnsi="Amiri" w:eastAsia="Amiri" w:cs="Amiri"/>
          <w:color w:val="111111"/>
          <w:sz w:val="28"/>
          <w:sz w:val="28"/>
          <w:szCs w:val="28"/>
          <w:rtl w:val="true"/>
          <w:lang w:bidi="ar-SA"/>
        </w:rPr>
        <w:t>عند ذكر المتوقّف عليه المجاز على تلك الثلاثة، ولم يلتفتوا إلى الأمر الرابع، هذا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وجه مرجوحيّة المتوقّف على الثلاثة أو الأربعة بالنسبة إلى ما يتوقّف على الواحد،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لاستلزام الأوّل مخالفة الأصل أكثر؛ لأنّ كلًّا من الوضع والنقل والعلاقة والقرينة خلاف الأصل، والحقيقة متوقّفة على الأوّل والمجاز على الجميع، فكان مرجوحًا بالنسبة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فيه نظر؛ لأنّك قد عرفت ممّا ذكرنا أنّ الأصل المعوّل عليه في أمثال المقام هو الّذي يؤول إلى الاستصحاب،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بالمعنى المذكور وإن كان مسلّمًا في الوضع والنقل، لكن اختصاصه بالمجاز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فظاهر، وأمّا الثاني فلأنّ النقل الّذي في المجاز هو استعمال اللفظ في غير الموضوع له، فتقرير الدليل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استعماله في غير الموضوع له كان عدمه معلومًا والاستعمال الّذي فيما نحن فيه مردّد بين كونه في غير الموضوع له فينقض العلم السابق، وكونه في الموضوع له فيبقى، فاحتمالهما قائم، فمع الاحتمال لو حكم بالمجازيّة يلزم انتقاض العلم السابق بالاحتمال، وهو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نقول بمثل ذلك في الحقيقة بأنّ القدر الثابت المتيقّن بعد فرض الاستعمال هو الوضع</w:t>
      </w:r>
      <w:r>
        <w:rPr>
          <w:rStyle w:val="FootnoteAnchor"/>
          <w:rtl w:val="true"/>
        </w:rPr>
        <w:footnoteReference w:id="692"/>
      </w:r>
      <w:r>
        <w:rPr>
          <w:rFonts w:ascii="Amiri" w:hAnsi="Amiri" w:eastAsia="Amiri" w:cs="Amiri"/>
          <w:color w:val="111111"/>
          <w:sz w:val="28"/>
          <w:sz w:val="28"/>
          <w:szCs w:val="28"/>
          <w:rtl w:val="true"/>
          <w:lang w:bidi="ar-SA"/>
        </w:rPr>
        <w:t>،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الاستعمال في غير الموضوع له كان معلوم العدم، كذلك الاستعمال فيه؛ والاستعمال الثابت كما يحتمل أن يكون في الموضوع له، كذا يحتمل أن يكون في غيره، فمع هذا الاحتمال الحكم بأنّه في الموضوع له نقض للعلم السابق بالاحتمال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مطلق الاستعمال، أمّا كونه في الموضوع له أو في غيره، فالكلّ محتمل، وأمّا العلاقة فقد عرفت في الوجه الأوّل أنّ التمسّك بالأصل لنفيها ممّا لا معنى له، وأمّا القرينة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اقتران اللفظ بها وإن كان أمرًا حادثًا، فعدمه كان معلومًا، فيمكن التمسّك بالأصل في بقائه إلى أن يثبت، والقدر الثابت فيما نحن فيه إنّما هو المستعمل فيه، وأمّا اقتران اللفظ بالقرينة فلا، والحكم </w:t>
      </w:r>
      <w:bookmarkStart w:id="866" w:name="pg16214_221799"/>
    </w:p>
    <w:p>
      <w:pPr>
        <w:pStyle w:val="BookText"/>
        <w:rPr/>
      </w:pPr>
      <w:bookmarkEnd w:id="866"/>
      <w:r>
        <w:rPr>
          <w:rFonts w:ascii="Amiri" w:hAnsi="Amiri" w:eastAsia="Amiri" w:cs="Amiri"/>
          <w:color w:val="111111"/>
          <w:sz w:val="28"/>
          <w:sz w:val="28"/>
          <w:szCs w:val="28"/>
          <w:rtl w:val="true"/>
          <w:lang w:bidi="ar-SA"/>
        </w:rPr>
        <w:t>بالمجازيّة يستلزمه مع أنّه مشكوك وعدمه كان معلومًا، فيلزم انتقاض العلم بالشكّ، وهو غير جائز، وأمّا الحكم بالحقيقة فلا كما لا يخفى، فكان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معلوميّة المستعمل فيه،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به العلم هو القرينة، فالعلم بعدمها قد انتقض بالعلم بوجودها، فلا يلزم المحذور، فآل</w:t>
      </w:r>
      <w:r>
        <w:rPr>
          <w:rStyle w:val="FootnoteAnchor"/>
          <w:rtl w:val="true"/>
        </w:rPr>
        <w:footnoteReference w:id="693"/>
      </w:r>
      <w:r>
        <w:rPr>
          <w:rFonts w:ascii="Amiri" w:hAnsi="Amiri" w:eastAsia="Amiri" w:cs="Amiri"/>
          <w:color w:val="111111"/>
          <w:sz w:val="28"/>
          <w:sz w:val="28"/>
          <w:szCs w:val="28"/>
          <w:rtl w:val="true"/>
          <w:lang w:bidi="ar-SA"/>
        </w:rPr>
        <w:t>الأمر في معارضة قرينة المجاز وما به يحصل بيان الموضوع له، ولعلّ الترجيح للثاني، فحينئذٍ يتمّ المراد</w:t>
      </w:r>
      <w:r>
        <w:rPr>
          <w:rFonts w:eastAsia="Amiri" w:cs="Amiri" w:ascii="Amiri" w:hAnsi="Amiri"/>
          <w:color w:val="111111"/>
          <w:sz w:val="28"/>
          <w:szCs w:val="28"/>
          <w:rtl w:val="true"/>
          <w:lang w:bidi="ar-SA"/>
        </w:rPr>
        <w:t>.</w:t>
      </w:r>
    </w:p>
    <w:p>
      <w:pPr>
        <w:pStyle w:val="Heading6"/>
        <w:numPr>
          <w:ilvl w:val="5"/>
          <w:numId w:val="1"/>
        </w:numPr>
        <w:rPr/>
      </w:pPr>
      <w:bookmarkStart w:id="867" w:name="__RefHeading___Toc3520231_1280447820"/>
      <w:bookmarkStart w:id="868" w:name="_Toc334"/>
      <w:bookmarkEnd w:id="867"/>
      <w:r>
        <w:rPr>
          <w:rtl w:val="true"/>
        </w:rPr>
        <w:t>والمقام الثاني</w:t>
      </w:r>
      <w:r>
        <w:rPr>
          <w:rtl w:val="true"/>
        </w:rPr>
        <w:t xml:space="preserve">: </w:t>
      </w:r>
      <w:r>
        <w:rPr>
          <w:rtl w:val="true"/>
        </w:rPr>
        <w:t>أن يكون المستعمل فيه المعلوم متعدّدًا</w:t>
      </w:r>
      <w:bookmarkEnd w:id="868"/>
    </w:p>
    <w:p>
      <w:pPr>
        <w:pStyle w:val="Heading6"/>
        <w:numPr>
          <w:ilvl w:val="5"/>
          <w:numId w:val="1"/>
        </w:numPr>
        <w:rPr/>
      </w:pPr>
      <w:bookmarkStart w:id="869" w:name="__RefHeading___Toc3520233_1280447820"/>
      <w:bookmarkStart w:id="870" w:name="_Toc335"/>
      <w:bookmarkEnd w:id="869"/>
      <w:r>
        <w:rPr>
          <w:rtl w:val="true"/>
        </w:rPr>
        <w:t>اشارة</w:t>
      </w:r>
      <w:bookmarkEnd w:id="870"/>
    </w:p>
    <w:p>
      <w:pPr>
        <w:pStyle w:val="BookText"/>
        <w:rPr/>
      </w:pPr>
      <w:r>
        <w:rPr>
          <w:rFonts w:ascii="Amiri" w:hAnsi="Amiri" w:eastAsia="Amiri" w:cs="Amiri"/>
          <w:color w:val="111111"/>
          <w:sz w:val="28"/>
          <w:sz w:val="28"/>
          <w:szCs w:val="28"/>
          <w:rtl w:val="true"/>
          <w:lang w:bidi="ar-SA"/>
        </w:rPr>
        <w:t>وهذا على قسمين، لأنّه إمّا أن لم يثبت الوضع لشيء منهما، أو لا، بل بالنسبة إلى البعض ثابت</w:t>
      </w:r>
      <w:r>
        <w:rPr>
          <w:rStyle w:val="FootnoteAnchor"/>
          <w:rtl w:val="true"/>
        </w:rPr>
        <w:footnoteReference w:id="694"/>
      </w:r>
      <w:r>
        <w:rPr>
          <w:rFonts w:ascii="Amiri" w:hAnsi="Amiri" w:eastAsia="Amiri" w:cs="Amiri"/>
          <w:color w:val="111111"/>
          <w:sz w:val="28"/>
          <w:sz w:val="28"/>
          <w:szCs w:val="28"/>
          <w:rtl w:val="true"/>
          <w:lang w:bidi="ar-SA"/>
        </w:rPr>
        <w:t>، بخلافه بالنسبة إلى الآخر</w:t>
      </w:r>
      <w:r>
        <w:rPr>
          <w:rFonts w:eastAsia="Amiri" w:cs="Amiri" w:ascii="Amiri" w:hAnsi="Amiri"/>
          <w:color w:val="111111"/>
          <w:sz w:val="28"/>
          <w:szCs w:val="28"/>
          <w:rtl w:val="true"/>
          <w:lang w:bidi="ar-SA"/>
        </w:rPr>
        <w:t>.</w:t>
      </w:r>
    </w:p>
    <w:p>
      <w:pPr>
        <w:pStyle w:val="Heading6"/>
        <w:numPr>
          <w:ilvl w:val="5"/>
          <w:numId w:val="1"/>
        </w:numPr>
        <w:rPr/>
      </w:pPr>
      <w:bookmarkStart w:id="871" w:name="__RefHeading___Toc3520235_1280447820"/>
      <w:bookmarkStart w:id="872" w:name="_Toc336"/>
      <w:bookmarkEnd w:id="871"/>
      <w:r>
        <w:rPr>
          <w:rtl w:val="true"/>
        </w:rPr>
        <w:t>القسم الأوّل</w:t>
      </w:r>
      <w:bookmarkEnd w:id="872"/>
    </w:p>
    <w:p>
      <w:pPr>
        <w:pStyle w:val="Heading6"/>
        <w:numPr>
          <w:ilvl w:val="5"/>
          <w:numId w:val="1"/>
        </w:numPr>
        <w:rPr/>
      </w:pPr>
      <w:bookmarkStart w:id="873" w:name="__RefHeading___Toc3520237_1280447820"/>
      <w:bookmarkStart w:id="874" w:name="_Toc337"/>
      <w:bookmarkEnd w:id="873"/>
      <w:r>
        <w:rPr>
          <w:rtl w:val="true"/>
        </w:rPr>
        <w:t>اشارة</w:t>
      </w:r>
      <w:bookmarkEnd w:id="874"/>
    </w:p>
    <w:p>
      <w:pPr>
        <w:pStyle w:val="BookText"/>
        <w:rPr/>
      </w:pPr>
      <w:r>
        <w:rPr>
          <w:rFonts w:ascii="Amiri" w:hAnsi="Amiri" w:eastAsia="Amiri" w:cs="Amiri"/>
          <w:color w:val="111111"/>
          <w:sz w:val="28"/>
          <w:sz w:val="28"/>
          <w:szCs w:val="28"/>
          <w:rtl w:val="true"/>
          <w:lang w:bidi="ar-SA"/>
        </w:rPr>
        <w:t>أمّا القسم الأوّل فهو لا يخلو إمّا أن يكون للبعض رجحان على الآخر لغلبة الاستعمال والتبادر وغيرهما، أو لا، وعلى الثاني إمّا أن يتحقّق قدر مشترك بين المعنيين مثلًا، أو لا، فهنا ثلاث صور</w:t>
      </w:r>
      <w:r>
        <w:rPr>
          <w:rFonts w:eastAsia="Amiri" w:cs="Amiri" w:ascii="Amiri" w:hAnsi="Amiri"/>
          <w:color w:val="111111"/>
          <w:sz w:val="28"/>
          <w:szCs w:val="28"/>
          <w:rtl w:val="true"/>
          <w:lang w:bidi="ar-SA"/>
        </w:rPr>
        <w:t>:</w:t>
      </w:r>
    </w:p>
    <w:p>
      <w:pPr>
        <w:pStyle w:val="Heading6"/>
        <w:numPr>
          <w:ilvl w:val="5"/>
          <w:numId w:val="1"/>
        </w:numPr>
        <w:rPr/>
      </w:pPr>
      <w:bookmarkStart w:id="875" w:name="__RefHeading___Toc3520239_1280447820"/>
      <w:bookmarkStart w:id="876" w:name="_Toc338"/>
      <w:bookmarkEnd w:id="875"/>
      <w:r>
        <w:rPr>
          <w:rtl w:val="true"/>
        </w:rPr>
        <w:t>الصورة الأولى</w:t>
      </w:r>
      <w:bookmarkEnd w:id="87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لبعض المستعمل فيه المعلوم رجحان على الآخر، وهذا لا يخلو إمّا أن يتحقّق بينه وبين المرجوح علاقة من العلائق المعتبرة،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الأوّل ينبغي أن يكون حقيقة في الراجح مجازًا في المرجوح، إذ لو لم يكن كذلك، فلا يخلو إمّا أن يكون حقيقة في الجميع، أو مجازًا كذلك، أو حقيقة في المرجوح مجازًا في الراجح، أو لا حقيقة ولا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فاسد،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 مرارًا من انحصار الاستعمال الصحيح فيهما، فمع ثبوت الاستعمال لا وجه لاحتماله، 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الاشتراك الملزوم لتعدّد الوضع المنفيّ بالأصل</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المجاز يستدعي ملاحظة العلاقة، والأصل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مستدعية لملاحظة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ملاحظة الوضع عين العلم بالوضع، بخلاف ملاحظة العلاقة، لأنّا نمنع العينيّة، ألا ترى أنّ الاستعمال في الموضوع له غير مستلزم للحقيقة؛ لأنّ الاستعمال فيه إن كان بملاحظة الوضع فحقيقة، وإن كان بملاحظة العلاقة فمجاز، فتأمّل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يستلزم الوضع للمعنى الآخر والأصل عدمه، لكنّه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يكون الأصل عدم وضعه للمعنى الآخر، كذا يكون الأصل عدم </w:t>
      </w:r>
    </w:p>
    <w:p>
      <w:pPr>
        <w:pStyle w:val="BookText"/>
        <w:rPr/>
      </w:pPr>
      <w:r>
        <w:rPr>
          <w:rFonts w:ascii="Amiri" w:hAnsi="Amiri" w:eastAsia="Amiri" w:cs="Amiri"/>
          <w:color w:val="111111"/>
          <w:sz w:val="28"/>
          <w:sz w:val="28"/>
          <w:szCs w:val="28"/>
          <w:rtl w:val="true"/>
          <w:lang w:bidi="ar-SA"/>
        </w:rPr>
        <w:t>وضعه لأحد المعنيين، وغاية ما ثبت إنّما هو استعمال اللفظ فيهما، واللازم منه مطلق الوضع، أمّا</w:t>
      </w:r>
      <w:r>
        <w:rPr>
          <w:rStyle w:val="FootnoteAnchor"/>
          <w:rtl w:val="true"/>
        </w:rPr>
        <w:footnoteReference w:id="696"/>
      </w:r>
      <w:r>
        <w:rPr>
          <w:rFonts w:ascii="Amiri" w:hAnsi="Amiri" w:eastAsia="Amiri" w:cs="Amiri"/>
          <w:color w:val="111111"/>
          <w:sz w:val="28"/>
          <w:sz w:val="28"/>
          <w:szCs w:val="28"/>
          <w:rtl w:val="true"/>
          <w:lang w:bidi="ar-SA"/>
        </w:rPr>
        <w:t>كونه لأحدهما فلا؛ لأنّ الاستعمال فيهما مردّد بين كونه في الموضوع له في واحد منهما فيثبت المطلوب، أو في غيره فالأصل عدم وضعه لشيء من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المجازيّة لأحد المعنيين ثابتة، بناءً على ما مرّ من بطلان احتمال الاشتراك،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الآخر لو كان معنًى مجازيًّا أيضًا، يلزم فيه علم المستعمل بوضع اللفظ للمعنى الآخر والعلم بالعلاقة وملاحظتهما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كان معنى حقيقيًّا، فاللازم فيه العلم بالوضع وملاحظته، فهو أولى؛ لأنّ كلًّا من العلم بالوضع والعلاقة وملاحظتهما كان حادثًا، وكلّ حادث كان عدمه معلومًا، والانتقاض إنّما يثبت بالنسبة إلى العلم بالوضع وملاحظته، بناءً على أنّه على تقدير المجازيّة والحقيقيّة لازم، وأمّا بالنسبة إلى غيره فلا، فاللازم فيه</w:t>
      </w:r>
      <w:r>
        <w:rPr>
          <w:rStyle w:val="FootnoteAnchor"/>
          <w:rtl w:val="true"/>
        </w:rPr>
        <w:footnoteReference w:id="697"/>
      </w:r>
      <w:r>
        <w:rPr>
          <w:rFonts w:ascii="Amiri" w:hAnsi="Amiri" w:eastAsia="Amiri" w:cs="Amiri"/>
          <w:color w:val="111111"/>
          <w:sz w:val="28"/>
          <w:sz w:val="28"/>
          <w:szCs w:val="28"/>
          <w:rtl w:val="true"/>
          <w:lang w:bidi="ar-SA"/>
        </w:rPr>
        <w:t>استصحاب العدم حتّى لا يلزم انتقاض اليقين بالشكّ، فثبت الوضع لأحد المعنيين، وهو المطلوب، وسيجيء ما يدلّ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 تقدّم أنّ ظاهر استعمال اللفظ في المعنى يقتضي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يستدعي كون اللفظ حقيقة في المعنيين، وهو خلاف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يسلم بالنسبة إلى أحد المعنيين، لا بالنسبة إليهما؛ لاختصاص الدليل بذلك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الحقيقة أصل والمجاز فرع لها، فالحقيقة أولى من </w:t>
      </w:r>
    </w:p>
    <w:p>
      <w:pPr>
        <w:pStyle w:val="BookText"/>
        <w:rPr/>
      </w:pPr>
      <w:r>
        <w:rPr>
          <w:rFonts w:ascii="Amiri" w:hAnsi="Amiri" w:eastAsia="Amiri" w:cs="Amiri"/>
          <w:color w:val="111111"/>
          <w:sz w:val="28"/>
          <w:sz w:val="28"/>
          <w:szCs w:val="28"/>
          <w:rtl w:val="true"/>
          <w:lang w:bidi="ar-SA"/>
        </w:rPr>
        <w:t>المجاز، فحينئذٍ لو حكم لحقيقيّة المرجوح ومجازيّة الراجح يلزم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إنّما هو إذا كان لكلّ من المعنيين علاقة بالنسبة إلى الآخر، أو للمعنى المرجوح بالنسبة إلى الراجح، وأمّا إذا كان الأمر بالعكس فهناك يتعيّن أن يكون المعنى المرجوح حقيقيًّا والراجح مجازيًّا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ما إذا لم يكن بين المعنيين 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اللفظ حقيقة فيهما، أمّا في واحد منهما فلما تقدّم من أنّ ظاهر استعمال اللفظ في المعنى يقتضي كونه حقيقة، وأمّا في الآخر فلأنّ المجازيّة متوقّفة على العلاقة، والمفروض انتفاؤها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انتفاء العلاقة بين المعنيين، ولا يلزم منه انتفاء مطلق العلاقة؛ لأنّ نفي الأخصّ لا يستلزم نفي الأعمّ، فليكن بعضهما</w:t>
      </w:r>
      <w:r>
        <w:rPr>
          <w:rStyle w:val="FootnoteAnchor"/>
          <w:rtl w:val="true"/>
        </w:rPr>
        <w:footnoteReference w:id="698"/>
      </w:r>
      <w:r>
        <w:rPr>
          <w:rFonts w:ascii="Amiri" w:hAnsi="Amiri" w:eastAsia="Amiri" w:cs="Amiri"/>
          <w:color w:val="111111"/>
          <w:sz w:val="28"/>
          <w:sz w:val="28"/>
          <w:szCs w:val="28"/>
          <w:rtl w:val="true"/>
          <w:lang w:bidi="ar-SA"/>
        </w:rPr>
        <w:t>أو كلاهما معنًى مجازيًّا بالنسبة إلى معنى آخر، وهو الّذي وضع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اللفظ في المعنى حادث، فهو</w:t>
      </w:r>
      <w:r>
        <w:rPr>
          <w:rStyle w:val="FootnoteAnchor"/>
          <w:rtl w:val="true"/>
        </w:rPr>
        <w:footnoteReference w:id="699"/>
      </w:r>
      <w:r>
        <w:rPr>
          <w:rFonts w:ascii="Amiri" w:hAnsi="Amiri" w:eastAsia="Amiri" w:cs="Amiri"/>
          <w:color w:val="111111"/>
          <w:sz w:val="28"/>
          <w:sz w:val="28"/>
          <w:szCs w:val="28"/>
          <w:rtl w:val="true"/>
          <w:lang w:bidi="ar-SA"/>
        </w:rPr>
        <w:t>مسبوق بالعدم، فكما أنّ الاستعمال كان عدمه</w:t>
      </w:r>
      <w:r>
        <w:rPr>
          <w:rStyle w:val="FootnoteAnchor"/>
          <w:rtl w:val="true"/>
        </w:rPr>
        <w:footnoteReference w:id="700"/>
      </w:r>
      <w:r>
        <w:rPr>
          <w:rFonts w:ascii="Amiri" w:hAnsi="Amiri" w:eastAsia="Amiri" w:cs="Amiri"/>
          <w:color w:val="111111"/>
          <w:sz w:val="28"/>
          <w:sz w:val="28"/>
          <w:szCs w:val="28"/>
          <w:rtl w:val="true"/>
          <w:lang w:bidi="ar-SA"/>
        </w:rPr>
        <w:t>معلومًا، كان عدم ملاحظة العلاقة بين المستعمل فيه وبين غيره معلومًا، والّذي يثبت انتقاض هذا اليقين إنّما هو بالنسبة إلى الاستعمال، وأمّا بالنسبة إلى العلاقة فلا؛ لجواز أن يكون المستعمل فيه موضوعًا 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ملاحظة العلاقة معارضة بملاحظة الوضع، فلو كان المستعمل </w:t>
      </w:r>
    </w:p>
    <w:p>
      <w:pPr>
        <w:pStyle w:val="BookText"/>
        <w:rPr/>
      </w:pPr>
      <w:r>
        <w:rPr>
          <w:rFonts w:ascii="Amiri" w:hAnsi="Amiri" w:eastAsia="Amiri" w:cs="Amiri"/>
          <w:color w:val="111111"/>
          <w:sz w:val="28"/>
          <w:sz w:val="28"/>
          <w:szCs w:val="28"/>
          <w:rtl w:val="true"/>
          <w:lang w:bidi="ar-SA"/>
        </w:rPr>
        <w:t>فيه موضوعًا له، يلزم فيه ملاحظة الوضع، وهي أيضًا كان عدمها معلومًا، فإذا تعارضا تساقطا، فمن أين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ملاحظة الوضع ممّا لا بدّ منه على التقديرين، أمّا في صورة الوضع فظاهر، وأمّا في صورة عدمه فلأنّه مستلزم لملاحظة العلاقة، وهي على ما مرّ اتّصال ما بين المعنى المستعمل فيه والموضوع له، فملاحظة العلاقة مستلزمة لملاحظة الوضع من دون عكس، فالعلم المتعلّق بعدم ملاحظة الوضع قد انتقض بالعلم بملاحظته، بناءً على ثبوت الاستعمال وانحصاره في الحقيقة والمجاز واستلزام أيّ منهما كان إيّاها</w:t>
      </w:r>
      <w:r>
        <w:rPr>
          <w:rStyle w:val="FootnoteAnchor"/>
          <w:rtl w:val="true"/>
        </w:rPr>
        <w:footnoteReference w:id="701"/>
      </w:r>
      <w:r>
        <w:rPr>
          <w:rFonts w:ascii="Amiri" w:hAnsi="Amiri" w:eastAsia="Amiri" w:cs="Amiri"/>
          <w:color w:val="111111"/>
          <w:sz w:val="28"/>
          <w:sz w:val="28"/>
          <w:szCs w:val="28"/>
          <w:rtl w:val="true"/>
          <w:lang w:bidi="ar-SA"/>
        </w:rPr>
        <w:t>، وأمّا العلم المتعلّق بعدم ملاحظة العلاقة فلا؛ لما عرفت من احتمال كون الاستعمال في الموضوع له وعدم استلزامه لملاحظة العلاقة،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الغالب أنّ اللفظ إذا كان موضوعًا لمعنى، يكون مستعملًا فيه، 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فيما نحن فيه إن قلنا أنّه موضوع للمعنيين الّلذين ثبت استعمال اللفظ فيهما، فلا كلام فيه؛ وإن قلنا أنّه موضوع للمعنى الآخر والمفروض أنّ استعماله منحصر في غيره، فيلزم حمل المشتبه على النادر، مع أنّك قد عرفت أنّ حمله على الأغلب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الوجدان غير دالّ على عدم الوجود، فليكن موضوعًا للمعنى الآخر ومستعملًا فيه أيضًا ولم نظفر عليه واشتهر في المعنى المجازيّ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الاحتمال غير مناف لما تقدّم؛ لأنّ المدّعي حقيقيّة اللفظ في المعنيين المفروضين، والاحتمال المذكور مآله مهجوريّة المعنى الأصليّ وتعيّن المعنى </w:t>
      </w:r>
      <w:bookmarkStart w:id="877" w:name="pg16214_221804"/>
    </w:p>
    <w:p>
      <w:pPr>
        <w:pStyle w:val="BookText"/>
        <w:rPr/>
      </w:pPr>
      <w:bookmarkEnd w:id="877"/>
      <w:r>
        <w:rPr>
          <w:rFonts w:ascii="Amiri" w:hAnsi="Amiri" w:eastAsia="Amiri" w:cs="Amiri"/>
          <w:color w:val="111111"/>
          <w:sz w:val="28"/>
          <w:sz w:val="28"/>
          <w:szCs w:val="28"/>
          <w:rtl w:val="true"/>
          <w:lang w:bidi="ar-SA"/>
        </w:rPr>
        <w:t>المجازيّ، فيكون معنًى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على سبيل النقل أو الوضع الابتدائيّ، فليس الكلام في ذلك؛ لأنّ المقصود تشخيص المعاني الحقيقيّة والمجازيّة حال الاستعمال، على أنّه يمكن إبطال الاحتمال المذكور بأنّه بناءً عليه يلزم النقل والاشتراك، وعلى الأوّل الثاني فقط، فهو أولى كما لا يخفى</w:t>
      </w:r>
      <w:r>
        <w:rPr>
          <w:rFonts w:eastAsia="Amiri" w:cs="Amiri" w:ascii="Amiri" w:hAnsi="Amiri"/>
          <w:color w:val="111111"/>
          <w:sz w:val="28"/>
          <w:szCs w:val="28"/>
          <w:rtl w:val="true"/>
          <w:lang w:bidi="ar-SA"/>
        </w:rPr>
        <w:t>.</w:t>
      </w:r>
    </w:p>
    <w:p>
      <w:pPr>
        <w:pStyle w:val="Heading6"/>
        <w:numPr>
          <w:ilvl w:val="5"/>
          <w:numId w:val="1"/>
        </w:numPr>
        <w:rPr/>
      </w:pPr>
      <w:bookmarkStart w:id="878" w:name="__RefHeading___Toc3520241_1280447820"/>
      <w:bookmarkStart w:id="879" w:name="_Toc339"/>
      <w:bookmarkEnd w:id="878"/>
      <w:r>
        <w:rPr>
          <w:rtl w:val="true"/>
        </w:rPr>
        <w:t>الصورة الثانية</w:t>
      </w:r>
      <w:bookmarkEnd w:id="879"/>
    </w:p>
    <w:p>
      <w:pPr>
        <w:pStyle w:val="BookText"/>
        <w:rPr/>
      </w:pPr>
      <w:r>
        <w:rPr>
          <w:rFonts w:ascii="Amiri" w:hAnsi="Amiri" w:eastAsia="Amiri" w:cs="Amiri"/>
          <w:color w:val="111111"/>
          <w:sz w:val="28"/>
          <w:sz w:val="28"/>
          <w:szCs w:val="28"/>
          <w:rtl w:val="true"/>
          <w:lang w:bidi="ar-SA"/>
        </w:rPr>
        <w:t>والصورة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المعنيين مثلًا قدر مشترك، والحكم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موضوع لذلك المعنى المشترك، إذ لو لم يكن كذلك، فلا يخلو إمّا أن يكون موضوعًا له ولكلّ من المعنيين، أو لهما فقط، أو لبعضهما، أو لا لشيء منهما، بل الوضع إنّما هو للمعنى الآخر واستعماله فيهما مجاز، وكلّها فاسد، أمّا الأوّل والثاني فلاستلزامه الاشتراك المخالف للأصل، وأمّا الثالث والرابع فلاستلزامه المجاز المخالف للأصل، فتعيّن أن يكون الوضع للمعنى المشترك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الوضع له أيضًا يلزم الاشتراك أو المجاز؛ لأنّ اللفظ لو استعمل في كلّ من المعنيين لا يخفى أنّ مصحّح الاستعمال إمّا الوضع فيهما، أو العلاقة، أو ذاك في بعض وهذه في الآخر، والاشتراك والمجاز على الثالث لازم كالأوّل على الأوّل والثاني على الثاني، فالوضع للقدر المشترك إمّا مرجوح بالنسبة إلى تلك الاحتمالات</w:t>
      </w:r>
      <w:r>
        <w:rPr>
          <w:rStyle w:val="FootnoteAnchor"/>
          <w:rtl w:val="true"/>
        </w:rPr>
        <w:footnoteReference w:id="702"/>
      </w:r>
      <w:r>
        <w:rPr>
          <w:rFonts w:ascii="Amiri" w:hAnsi="Amiri" w:eastAsia="Amiri" w:cs="Amiri"/>
          <w:color w:val="111111"/>
          <w:sz w:val="28"/>
          <w:sz w:val="28"/>
          <w:szCs w:val="28"/>
          <w:rtl w:val="true"/>
          <w:lang w:bidi="ar-SA"/>
        </w:rPr>
        <w:t>، أو مساوٍ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لأنّا نمنع لزوم الاشتراك والتجوّز على تقدير الوضع للمعنى المشترك؛ لما تقرّر في محلّه أنّ استعمال اللفظ الموضوع للكلّ في أفراده كما يمكن أن يكون على سبيل التجوّز، وذلك فيما إذا كان الدالّ واحدًا والمدلول متعدّدًا، كذا يمكن أن يكون على سبيل الحقيقة بذلك الوضع، وذلك فيما إذا كان الدالّ والمدلول كلاهما متعدّدًا، فاللازم على تقدير الوضع للمعنى المشترك احتمال الاشتراك أو التجوّز، بخلافه على تلك الاحتمالات، فإنّ اللازم فيها إمّا لزوم التجوّز، أو الاشتراك، ولا شكّ أنّ المحتمل منهما كان راجحًا على المتيقّن منهما، فالوضع للأمر المشترك أولى،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الكلّيّ على الوجهين وإن كان مسلّمًا، لكنّه غير مجد فيما نحن فيه؛ لأنّ المفروض ثبوت الاستعمال في المعنيين، فحينئذٍ لا يخلو إمّا أن يكون المستعمل فيه موضوعًا له، أو غيره، وعلى الأوّل يلزم الاشتراك وعلى الثاني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المعلوم أصل الاستعمال، أمّا كونه في خصوص المعنيين فغير معلوم، والقدر المتيقّن القدر المشترك، فينبغي أن يؤخذ</w:t>
      </w:r>
      <w:r>
        <w:rPr>
          <w:rStyle w:val="FootnoteAnchor"/>
          <w:rtl w:val="true"/>
        </w:rPr>
        <w:footnoteReference w:id="703"/>
      </w:r>
      <w:r>
        <w:rPr>
          <w:rFonts w:ascii="Amiri" w:hAnsi="Amiri" w:eastAsia="Amiri" w:cs="Amiri"/>
          <w:color w:val="111111"/>
          <w:sz w:val="28"/>
          <w:sz w:val="28"/>
          <w:szCs w:val="28"/>
          <w:rtl w:val="true"/>
          <w:lang w:bidi="ar-SA"/>
        </w:rPr>
        <w:t>ويدفع الزائد بالأصل، أي الأصل عدم إرادته من اللفظ</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الأصل عدم إرادة الخصوص من اللفظ، يكون الأصل عدم إرادته من القرينة، فما الرجحان؟ </w:t>
      </w:r>
      <w:bookmarkStart w:id="880" w:name="pg16214_221806"/>
    </w:p>
    <w:p>
      <w:pPr>
        <w:pStyle w:val="BookText"/>
        <w:rPr/>
      </w:pPr>
      <w:bookmarkEnd w:id="880"/>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الخصوصيّة معلومة، إذ المفروض معلوميّة المستعمل فيه، ولا شكّ أنّ ذلك العلم مستند إلى شيء، فهو قرينة على ذلك، فلا معنى لنفيها بالأصل، وعلى فرض التسليم تعارض الأصلين يوجب تساقطهما في البين، فتبقى أصالة عدم الاشتراك والمجاز سالمة عن المعارض</w:t>
      </w:r>
      <w:r>
        <w:rPr>
          <w:rFonts w:eastAsia="Amiri" w:cs="Amiri" w:ascii="Amiri" w:hAnsi="Amiri"/>
          <w:color w:val="111111"/>
          <w:sz w:val="28"/>
          <w:szCs w:val="28"/>
          <w:rtl w:val="true"/>
          <w:lang w:bidi="ar-SA"/>
        </w:rPr>
        <w:t>.</w:t>
      </w:r>
    </w:p>
    <w:p>
      <w:pPr>
        <w:pStyle w:val="Heading6"/>
        <w:numPr>
          <w:ilvl w:val="5"/>
          <w:numId w:val="1"/>
        </w:numPr>
        <w:rPr/>
      </w:pPr>
      <w:bookmarkStart w:id="881" w:name="__RefHeading___Toc3520243_1280447820"/>
      <w:bookmarkStart w:id="882" w:name="_Toc340"/>
      <w:bookmarkEnd w:id="881"/>
      <w:r>
        <w:rPr>
          <w:rtl w:val="true"/>
        </w:rPr>
        <w:t>الصورة الثالثة</w:t>
      </w:r>
      <w:bookmarkEnd w:id="882"/>
    </w:p>
    <w:p>
      <w:pPr>
        <w:pStyle w:val="BookText"/>
        <w:rPr/>
      </w:pPr>
      <w:r>
        <w:rPr>
          <w:rFonts w:ascii="Amiri" w:hAnsi="Amiri" w:eastAsia="Amiri" w:cs="Amiri"/>
          <w:color w:val="111111"/>
          <w:sz w:val="28"/>
          <w:sz w:val="28"/>
          <w:szCs w:val="28"/>
          <w:rtl w:val="true"/>
          <w:lang w:bidi="ar-SA"/>
        </w:rPr>
        <w:t>والصورة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 المعنيين مثلًا قدر مشترك، وهذا أيضًا لا يخلو إمّا أن يكون بينهما علاقة من العلائق المصحّحة للتجوّز، أم لا، والأوّل يحكم بكونه حقيقة ومجازًا، وقد ظهر الوجه فيه ممّا مرّ، ويجري فيه بعض ما يأتي في القسم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 ذلك أن يكون اللفظ مشتركًا بينهما، إذ لو لم يكن كذلك لا يخلو إمّا أن يكون اللفظ مجازًا فيهما، أو حقيقة في البعض مجازًا في الآخر، أو لا هذا ولا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 قد تقدّم مرارًا بطلانه، والثاني أيضًا باطل؛ لأنّ المفروض انتفاء العلاقة بين المعنيين، فمع انتفائها احتمال المجازيّة سفسطة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انتفاء العلاقة بين المعنيين، ولا يلزم من انتفائها بينهما انتفاء احتمال مطلق المجازيّة؛ لجواز أن يكون معنى آخر موضوعًا له ويكون لأحد المعنيين علاقة بالنسبة إليه، فيكون معنًى مجازيًّا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عدم الوضع بإزاء غير المعنيين، وهذا وإن أمكن معارضته بأنّه كما أنّ الأصل عدم الوضع بإزاء غير المعنيين، فيلزم أن يكونا موضوعًا لهما، كذلك </w:t>
      </w:r>
      <w:bookmarkStart w:id="883" w:name="pg16214_221807"/>
    </w:p>
    <w:p>
      <w:pPr>
        <w:pStyle w:val="BookText"/>
        <w:rPr/>
      </w:pPr>
      <w:bookmarkEnd w:id="883"/>
      <w:r>
        <w:rPr>
          <w:rFonts w:ascii="Amiri" w:hAnsi="Amiri" w:eastAsia="Amiri" w:cs="Amiri"/>
          <w:color w:val="111111"/>
          <w:sz w:val="28"/>
          <w:sz w:val="28"/>
          <w:szCs w:val="28"/>
          <w:rtl w:val="true"/>
          <w:lang w:bidi="ar-SA"/>
        </w:rPr>
        <w:t>الأصل عدم الوضع بإزاء كلّ من المعنيين، فحينئذٍ يلزم الوضع بإزاء معنى آخر، وغاية ما يلزم من استعمال اللفظ فيهما مطلق الوضع، وأمّا كونه لخصوص المعنيين فلا كما لا يخفى، لكن لمّا يلزم على تقدير الوضع بإزاء غيرهما الاشتراك والمجاز، وعلى تقدير الوضع بإزائهما الاشتراك فقط، فهو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على تقدير الوضع بإزاء معنى آخر أيضًا لا يلزم المجازيّة؛ لمهجوريّة ذلك المعنى، فيلزم المطلوب، وهو الاشتراك مع النقل، والمصير إلى الاشتراك فقط أولى من المصير إلى الاشتراك والنقل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باطل؛ لأنّ أصالة عدم التجوّز وإن كانت معارضة بأصالة عدم الاشتراك، إلّا أنّه لمّا كان القول بالاشتراك ممّا لا بدّ منه لما عرفت آنفًا، فالمصير إليه أولى، فتأمّل جدًّا</w:t>
      </w:r>
      <w:r>
        <w:rPr>
          <w:rFonts w:eastAsia="Amiri" w:cs="Amiri" w:ascii="Amiri" w:hAnsi="Amiri"/>
          <w:color w:val="111111"/>
          <w:sz w:val="28"/>
          <w:szCs w:val="28"/>
          <w:rtl w:val="true"/>
          <w:lang w:bidi="ar-SA"/>
        </w:rPr>
        <w:t>.</w:t>
      </w:r>
    </w:p>
    <w:p>
      <w:pPr>
        <w:pStyle w:val="Heading6"/>
        <w:numPr>
          <w:ilvl w:val="5"/>
          <w:numId w:val="1"/>
        </w:numPr>
        <w:rPr/>
      </w:pPr>
      <w:bookmarkStart w:id="884" w:name="__RefHeading___Toc3520245_1280447820"/>
      <w:bookmarkStart w:id="885" w:name="_Toc341"/>
      <w:bookmarkEnd w:id="884"/>
      <w:r>
        <w:rPr>
          <w:rtl w:val="true"/>
        </w:rPr>
        <w:t>القسم الثاني</w:t>
      </w:r>
      <w:bookmarkEnd w:id="885"/>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علم تعدّد المستعمل فيه اللفظ وثبت الوضع بالنسبة إلى البعض واشتبه الحال بالنسبة إلى الآخر، فهذا القسم أيضًا لا يخلو إمّا أن يعلم العلاقة بين ما ثبت فيه الوضع وما لم يثبت، أو لا يُعلم انتفاؤها، أو لا هذا ولا ذاك</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أنواع العلائق محصورة و</w:t>
      </w:r>
      <w:r>
        <w:rPr>
          <w:rStyle w:val="FootnoteAnchor"/>
          <w:rtl w:val="true"/>
        </w:rPr>
        <w:footnoteReference w:id="704"/>
      </w:r>
      <w:r>
        <w:rPr>
          <w:rFonts w:ascii="Amiri" w:hAnsi="Amiri" w:eastAsia="Amiri" w:cs="Amiri"/>
          <w:color w:val="111111"/>
          <w:sz w:val="28"/>
          <w:sz w:val="28"/>
          <w:szCs w:val="28"/>
          <w:rtl w:val="true"/>
          <w:lang w:bidi="ar-SA"/>
        </w:rPr>
        <w:t>في كتب القوم معدودة</w:t>
      </w:r>
      <w:r>
        <w:rPr>
          <w:rStyle w:val="FootnoteAnchor"/>
          <w:rtl w:val="true"/>
        </w:rPr>
        <w:footnoteReference w:id="705"/>
      </w:r>
      <w:r>
        <w:rPr>
          <w:rFonts w:ascii="Amiri" w:hAnsi="Amiri" w:eastAsia="Amiri" w:cs="Amiri"/>
          <w:color w:val="111111"/>
          <w:sz w:val="28"/>
          <w:sz w:val="28"/>
          <w:szCs w:val="28"/>
          <w:rtl w:val="true"/>
          <w:lang w:bidi="ar-SA"/>
        </w:rPr>
        <w:t xml:space="preserve">، يمكن الاطّلاع على التحقّق والانتفاء، فلا محالة يرجع القسم الثالث إلى الأوّلين، فينبغي </w:t>
      </w:r>
      <w:bookmarkStart w:id="886" w:name="pg16214_221808"/>
    </w:p>
    <w:p>
      <w:pPr>
        <w:pStyle w:val="BookText"/>
        <w:rPr/>
      </w:pPr>
      <w:bookmarkEnd w:id="886"/>
      <w:r>
        <w:rPr>
          <w:rFonts w:ascii="Amiri" w:hAnsi="Amiri" w:eastAsia="Amiri" w:cs="Amiri"/>
          <w:color w:val="111111"/>
          <w:sz w:val="28"/>
          <w:sz w:val="28"/>
          <w:szCs w:val="28"/>
          <w:rtl w:val="true"/>
          <w:lang w:bidi="ar-SA"/>
        </w:rPr>
        <w:t>التكلّم فيهما،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منهما فينبغي الحكم فيه بالاشتراك؛ لأنّ احتمال التجوّز فرع وجود المصحّح، والمفروض انتفاؤه، واحتمال العلاقة بين ذلك المعنى ومعنى آخر غير ما ثبت</w:t>
      </w:r>
      <w:r>
        <w:rPr>
          <w:rStyle w:val="FootnoteAnchor"/>
          <w:rtl w:val="true"/>
        </w:rPr>
        <w:footnoteReference w:id="706"/>
      </w:r>
      <w:r>
        <w:rPr>
          <w:rFonts w:ascii="Amiri" w:hAnsi="Amiri" w:eastAsia="Amiri" w:cs="Amiri"/>
          <w:color w:val="111111"/>
          <w:sz w:val="28"/>
          <w:sz w:val="28"/>
          <w:szCs w:val="28"/>
          <w:rtl w:val="true"/>
          <w:lang w:bidi="ar-SA"/>
        </w:rPr>
        <w:t>له الوضع مدفوعٌ بما قدّمناه، فلا حاجة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الأوّل فقد اختار السيّد الأجلّ</w:t>
      </w:r>
      <w:r>
        <w:rPr>
          <w:rStyle w:val="FootnoteAnchor"/>
          <w:rtl w:val="true"/>
        </w:rPr>
        <w:footnoteReference w:id="707"/>
      </w:r>
      <w:r>
        <w:rPr>
          <w:rFonts w:ascii="Amiri" w:hAnsi="Amiri" w:eastAsia="Amiri" w:cs="Amiri"/>
          <w:color w:val="111111"/>
          <w:sz w:val="28"/>
          <w:sz w:val="28"/>
          <w:szCs w:val="28"/>
          <w:rtl w:val="true"/>
          <w:lang w:bidi="ar-SA"/>
        </w:rPr>
        <w:t>ومن وافقه فيه الاشتراك، والمشهور على ما هو المشهور المجاز</w:t>
      </w:r>
      <w:r>
        <w:rPr>
          <w:rStyle w:val="FootnoteAnchor"/>
          <w:rtl w:val="true"/>
        </w:rPr>
        <w:footnoteReference w:id="708"/>
      </w:r>
      <w:r>
        <w:rPr>
          <w:rFonts w:ascii="Amiri" w:hAnsi="Amiri" w:eastAsia="Amiri" w:cs="Amiri"/>
          <w:color w:val="111111"/>
          <w:sz w:val="28"/>
          <w:sz w:val="28"/>
          <w:szCs w:val="28"/>
          <w:rtl w:val="true"/>
          <w:lang w:bidi="ar-SA"/>
        </w:rPr>
        <w:t>وهذا هو المعنى الثاني لمعارضة الاشتراك والمجاز،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ثبت وضع اللفظ لإزاء معنى معيّن و</w:t>
      </w:r>
      <w:r>
        <w:rPr>
          <w:rStyle w:val="FootnoteAnchor"/>
          <w:rtl w:val="true"/>
        </w:rPr>
        <w:footnoteReference w:id="709"/>
      </w:r>
      <w:r>
        <w:rPr>
          <w:rFonts w:ascii="Amiri" w:hAnsi="Amiri" w:eastAsia="Amiri" w:cs="Amiri"/>
          <w:color w:val="111111"/>
          <w:sz w:val="28"/>
          <w:sz w:val="28"/>
          <w:szCs w:val="28"/>
          <w:rtl w:val="true"/>
          <w:lang w:bidi="ar-SA"/>
        </w:rPr>
        <w:t>استعمل في غيره وعلم المستعمل فيه ولم يعلم أنّ الاستعمال بطريق الحقيقة أو المجاز، فمرجّح الاشتراك يرجّح الأوّل والمجاز الثاني</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3520247_1280447820"/>
      <w:bookmarkStart w:id="888" w:name="_Toc342"/>
      <w:bookmarkEnd w:id="887"/>
      <w:r>
        <w:rPr>
          <w:rtl w:val="true"/>
        </w:rPr>
        <w:t>أدلّة القائلين بأنّ الاشتراك خير من المجاز</w:t>
      </w:r>
      <w:bookmarkEnd w:id="888"/>
    </w:p>
    <w:p>
      <w:pPr>
        <w:pStyle w:val="Heading6"/>
        <w:numPr>
          <w:ilvl w:val="5"/>
          <w:numId w:val="1"/>
        </w:numPr>
        <w:rPr/>
      </w:pPr>
      <w:bookmarkStart w:id="889" w:name="__RefHeading___Toc3520249_1280447820"/>
      <w:bookmarkStart w:id="890" w:name="_Toc343"/>
      <w:bookmarkEnd w:id="889"/>
      <w:r>
        <w:rPr>
          <w:rtl w:val="true"/>
        </w:rPr>
        <w:t>اشارة</w:t>
      </w:r>
      <w:bookmarkEnd w:id="890"/>
    </w:p>
    <w:p>
      <w:pPr>
        <w:pStyle w:val="BookText"/>
        <w:rPr/>
      </w:pPr>
      <w:r>
        <w:rPr>
          <w:rFonts w:ascii="Amiri" w:hAnsi="Amiri" w:eastAsia="Amiri" w:cs="Amiri"/>
          <w:color w:val="111111"/>
          <w:sz w:val="28"/>
          <w:sz w:val="28"/>
          <w:szCs w:val="28"/>
          <w:rtl w:val="true"/>
          <w:lang w:bidi="ar-SA"/>
        </w:rPr>
        <w:t>وتمسّك القائلون بالاشتراك بوجوه</w:t>
      </w:r>
      <w:r>
        <w:rPr>
          <w:rFonts w:eastAsia="Amiri" w:cs="Amiri" w:ascii="Amiri" w:hAnsi="Amiri"/>
          <w:color w:val="111111"/>
          <w:sz w:val="28"/>
          <w:szCs w:val="28"/>
          <w:rtl w:val="true"/>
          <w:lang w:bidi="ar-SA"/>
        </w:rPr>
        <w:t>:</w:t>
      </w:r>
    </w:p>
    <w:p>
      <w:pPr>
        <w:pStyle w:val="Heading6"/>
        <w:numPr>
          <w:ilvl w:val="5"/>
          <w:numId w:val="1"/>
        </w:numPr>
        <w:rPr/>
      </w:pPr>
      <w:bookmarkStart w:id="891" w:name="__RefHeading___Toc3520251_1280447820"/>
      <w:bookmarkStart w:id="892" w:name="_Toc344"/>
      <w:bookmarkEnd w:id="891"/>
      <w:r>
        <w:rPr>
          <w:rtl w:val="true"/>
        </w:rPr>
        <w:t>الدليل الأوّل</w:t>
      </w:r>
      <w:bookmarkEnd w:id="892"/>
    </w:p>
    <w:p>
      <w:pPr>
        <w:pStyle w:val="Heading6"/>
        <w:numPr>
          <w:ilvl w:val="5"/>
          <w:numId w:val="1"/>
        </w:numPr>
        <w:rPr/>
      </w:pPr>
      <w:bookmarkStart w:id="893" w:name="__RefHeading___Toc3520253_1280447820"/>
      <w:bookmarkStart w:id="894" w:name="_Toc345"/>
      <w:bookmarkEnd w:id="893"/>
      <w:r>
        <w:rPr>
          <w:rtl w:val="true"/>
        </w:rPr>
        <w:t>اشارة</w:t>
      </w:r>
      <w:bookmarkEnd w:id="89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الاشتراك أكثر، فيجب حمل مجهول الحال عليه؛ لأنّ الظنّ يحكم بإلحاق المشتبه على الأغلب</w:t>
      </w:r>
      <w:r>
        <w:rPr>
          <w:rStyle w:val="FootnoteAnchor"/>
          <w:rtl w:val="true"/>
        </w:rPr>
        <w:footnoteReference w:id="710"/>
      </w:r>
      <w:r>
        <w:rPr>
          <w:rFonts w:ascii="Amiri" w:hAnsi="Amiri" w:eastAsia="Amiri" w:cs="Amiri"/>
          <w:color w:val="111111"/>
          <w:sz w:val="28"/>
          <w:sz w:val="28"/>
          <w:szCs w:val="28"/>
          <w:rtl w:val="true"/>
          <w:lang w:bidi="ar-SA"/>
        </w:rPr>
        <w:t xml:space="preserve">، أمّا كونه أكثر فلأنّ الألفاظ منحصرة في الاسم والفعل والحرف، أمّا الحرف فيشهد على اشتراكه طرًّا تتبّع كتب النحو واللغة؛ </w:t>
      </w:r>
      <w:bookmarkStart w:id="895" w:name="pg16214_221809"/>
    </w:p>
    <w:p>
      <w:pPr>
        <w:pStyle w:val="BookText"/>
        <w:rPr/>
      </w:pPr>
      <w:bookmarkEnd w:id="895"/>
      <w:r>
        <w:rPr>
          <w:rFonts w:ascii="Amiri" w:hAnsi="Amiri" w:eastAsia="Amiri" w:cs="Amiri"/>
          <w:color w:val="111111"/>
          <w:sz w:val="28"/>
          <w:sz w:val="28"/>
          <w:szCs w:val="28"/>
          <w:rtl w:val="true"/>
          <w:lang w:bidi="ar-SA"/>
        </w:rPr>
        <w:t>وأمّا الفعل فلأنّه إمّا ماضٍ أو مضارع أو أمر، والأوّل مشترك بين الخبر والدعاء، والثاني مشترك بين الحال والاستقبال، والثالث بين الوجوب والاستحباب، وأمّا الاسم فلا شبهة في ثبوت الاشتراك في كثير من أفراده، فثبت</w:t>
      </w:r>
      <w:r>
        <w:rPr>
          <w:rStyle w:val="FootnoteAnchor"/>
          <w:rtl w:val="true"/>
        </w:rPr>
        <w:footnoteReference w:id="711"/>
      </w:r>
      <w:r>
        <w:rPr>
          <w:rFonts w:ascii="Amiri" w:hAnsi="Amiri" w:eastAsia="Amiri" w:cs="Amiri"/>
          <w:color w:val="111111"/>
          <w:sz w:val="28"/>
          <w:sz w:val="28"/>
          <w:szCs w:val="28"/>
          <w:rtl w:val="true"/>
          <w:lang w:bidi="ar-SA"/>
        </w:rPr>
        <w:t>الأكثريّة</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الاستدلال يحتمل معنيين،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أكثريّة الاشتراك من المجاز في كلّ واحد منها،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أكثريّته منه في المجموع من حيث المجموع</w:t>
      </w:r>
      <w:r>
        <w:rPr>
          <w:rFonts w:eastAsia="Amiri" w:cs="Amiri" w:ascii="Amiri" w:hAnsi="Amiri"/>
          <w:color w:val="111111"/>
          <w:sz w:val="28"/>
          <w:szCs w:val="28"/>
          <w:rtl w:val="true"/>
          <w:lang w:bidi="ar-SA"/>
        </w:rPr>
        <w:t>.</w:t>
      </w:r>
    </w:p>
    <w:p>
      <w:pPr>
        <w:pStyle w:val="Heading6"/>
        <w:numPr>
          <w:ilvl w:val="5"/>
          <w:numId w:val="1"/>
        </w:numPr>
        <w:rPr/>
      </w:pPr>
      <w:bookmarkStart w:id="896" w:name="__RefHeading___Toc3520255_1280447820"/>
      <w:bookmarkStart w:id="897" w:name="_Toc346"/>
      <w:bookmarkEnd w:id="896"/>
      <w:r>
        <w:rPr>
          <w:rtl w:val="true"/>
        </w:rPr>
        <w:t>المعنى الأوّل للدليل الأوّل</w:t>
      </w:r>
      <w:bookmarkEnd w:id="897"/>
    </w:p>
    <w:p>
      <w:pPr>
        <w:pStyle w:val="BookText"/>
        <w:rPr/>
      </w:pPr>
      <w:r>
        <w:rPr>
          <w:rFonts w:ascii="Amiri" w:hAnsi="Amiri" w:eastAsia="Amiri" w:cs="Amiri"/>
          <w:color w:val="111111"/>
          <w:sz w:val="28"/>
          <w:sz w:val="28"/>
          <w:szCs w:val="28"/>
          <w:rtl w:val="true"/>
          <w:lang w:bidi="ar-SA"/>
        </w:rPr>
        <w:t>والأوّل يفتقر</w:t>
      </w:r>
      <w:r>
        <w:rPr>
          <w:rStyle w:val="FootnoteAnchor"/>
          <w:rtl w:val="true"/>
        </w:rPr>
        <w:footnoteReference w:id="713"/>
      </w:r>
      <w:r>
        <w:rPr>
          <w:rFonts w:ascii="Amiri" w:hAnsi="Amiri" w:eastAsia="Amiri" w:cs="Amiri"/>
          <w:color w:val="111111"/>
          <w:sz w:val="28"/>
          <w:sz w:val="28"/>
          <w:szCs w:val="28"/>
          <w:rtl w:val="true"/>
          <w:lang w:bidi="ar-SA"/>
        </w:rPr>
        <w:t>صحّته إلى ثبوت ثلاثة أشياء في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الاشتراك ومعلوم المجازيّة ومجهول الحال، لكن يكون ما علم مجازيّته في كلّ واحد منها أقلّ بالنسبة إلى ما علم اشتراكه فيه، فيحمل ما اشتبه حاله عليه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w:t>
      </w:r>
      <w:r>
        <w:rPr>
          <w:rStyle w:val="FootnoteAnchor"/>
          <w:rtl w:val="true"/>
        </w:rPr>
        <w:footnoteReference w:id="714"/>
      </w:r>
      <w:r>
        <w:rPr>
          <w:rFonts w:ascii="Amiri" w:hAnsi="Amiri" w:eastAsia="Amiri" w:cs="Amiri"/>
          <w:color w:val="111111"/>
          <w:sz w:val="28"/>
          <w:sz w:val="28"/>
          <w:szCs w:val="28"/>
          <w:rtl w:val="true"/>
          <w:lang w:bidi="ar-SA"/>
        </w:rPr>
        <w:t>المعاني المشتركة في الحروف هي الّتي يذكرونها عند ذكر معانيها من غير الاقتران بالقرينة المجازيّة، والمعاني المجازيّة هي الّتي يذكرونها مع الاقتران بها،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الحرف يستعمل في معنى الآخر، أو في موضع الآخر، كما قال ابن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يجيء</w:t>
      </w:r>
      <w:r>
        <w:rPr>
          <w:rStyle w:val="FootnoteAnchor"/>
          <w:rtl w:val="true"/>
        </w:rPr>
        <w:footnoteReference w:id="715"/>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جعلا</w:t>
      </w:r>
      <w:r>
        <w:rPr>
          <w:rStyle w:val="FootnoteAnchor"/>
          <w:rtl w:val="true"/>
        </w:rPr>
        <w:footnoteReference w:id="716"/>
      </w:r>
      <w:r>
        <w:rPr>
          <w:rFonts w:ascii="IRNazanin" w:hAnsi="IRNazanin" w:eastAsia="IRNazanin"/>
          <w:color w:val="111111"/>
          <w:sz w:val="28"/>
          <w:sz w:val="28"/>
          <w:szCs w:val="28"/>
          <w:rtl w:val="true"/>
          <w:lang w:bidi="fa-IR"/>
        </w:rPr>
        <w:t>و</w:t>
      </w:r>
      <w:r>
        <w:rPr>
          <w:rStyle w:val="FootnoteAnchor"/>
          <w:rtl w:val="true"/>
        </w:rPr>
        <w:footnoteReference w:id="717"/>
      </w:r>
      <w:r>
        <w:rPr>
          <w:rFonts w:ascii="Amiri" w:hAnsi="Amiri" w:eastAsia="Amiri" w:cs="Amiri"/>
          <w:color w:val="111111"/>
          <w:sz w:val="28"/>
          <w:sz w:val="28"/>
          <w:szCs w:val="28"/>
          <w:rtl w:val="true"/>
          <w:lang w:bidi="ar-SA"/>
        </w:rPr>
        <w:t>المعاني المشتبه حالها هي الّتي قد علمنا استعمالها فيها مع عدم تعرّضهم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الأفعال فقد علم المعاني المشتركة فيها، أمّا المعنى المجازيّ فيها فكأنّه في الماضي المستقبل وفي المستقبل الماضي وفي الأمر الاباحة مثلًا، والمجهول الحال في الأوّلين المعنى الأمريّ مثلًا وفي الأخير التهديد أو غيره، وأمّا في الأسماء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وفساد هذا المعنى على هذا الوجه ظاهرٌ؛ إذ يلزم على هذا كون الماضي والمضارع عند استعمالهما في معنى</w:t>
      </w:r>
      <w:r>
        <w:rPr>
          <w:rStyle w:val="FootnoteAnchor"/>
          <w:rtl w:val="true"/>
        </w:rPr>
        <w:footnoteReference w:id="718"/>
      </w:r>
      <w:r>
        <w:rPr>
          <w:rFonts w:ascii="Amiri" w:hAnsi="Amiri" w:eastAsia="Amiri" w:cs="Amiri"/>
          <w:color w:val="111111"/>
          <w:sz w:val="28"/>
          <w:sz w:val="28"/>
          <w:szCs w:val="28"/>
          <w:rtl w:val="true"/>
          <w:lang w:bidi="ar-SA"/>
        </w:rPr>
        <w:t>الأمر حقيقة فيه مثلًا وكون الأمر في التهديد حقيقة، ولا أظنّهم أن يلتزموا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بناءً على هذا الاحتمال أن يكون المراد أكثريّة الاشتراك في كلّ واحد منها من التجوّز فيه، ولا يلزم ثبوت مجهول الحال في الجميع، بل في بعضه، لكن نظرًا إلى أكثريّة الاشتراك من التجوّز يحكم بالاشتراك في مجهول الحال، لكن هذا أيضًا فاسد؛ لأنّ دعوى أكثريّة الاشتراك من التجوّز في الاسم خروج عن الإنصاف وعدول عن سنن الصواب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الفعل؛ لأنّ صيغة الأمر منه باعتراف الخصم مشتركة بين الوجوب والاستحباب وقد استعملت في معاني متكثّرة كما لا يخفى على المطّلع في مباحثها؛ والأكثريّة إنّما تتحقّق إذا علم أنّ واحدًا منها معلوم التجوّز والباقي مشتبه الحال، </w:t>
      </w:r>
      <w:bookmarkStart w:id="898" w:name="pg16214_221811"/>
    </w:p>
    <w:p>
      <w:pPr>
        <w:pStyle w:val="BookText"/>
        <w:rPr/>
      </w:pPr>
      <w:bookmarkEnd w:id="898"/>
      <w:r>
        <w:rPr>
          <w:rFonts w:ascii="Amiri" w:hAnsi="Amiri" w:eastAsia="Amiri" w:cs="Amiri"/>
          <w:color w:val="111111"/>
          <w:sz w:val="28"/>
          <w:sz w:val="28"/>
          <w:szCs w:val="28"/>
          <w:rtl w:val="true"/>
          <w:lang w:bidi="ar-SA"/>
        </w:rPr>
        <w:t>وهو أيضًا بعيد عن الصواب، وعلى فرض التسليم يلزم أن يكون كلّ</w:t>
      </w:r>
      <w:r>
        <w:rPr>
          <w:rStyle w:val="FootnoteAnchor"/>
          <w:rtl w:val="true"/>
        </w:rPr>
        <w:footnoteReference w:id="719"/>
      </w:r>
      <w:r>
        <w:rPr>
          <w:rFonts w:ascii="Amiri" w:hAnsi="Amiri" w:eastAsia="Amiri" w:cs="Amiri"/>
          <w:color w:val="111111"/>
          <w:sz w:val="28"/>
          <w:sz w:val="28"/>
          <w:szCs w:val="28"/>
          <w:rtl w:val="true"/>
          <w:lang w:bidi="ar-SA"/>
        </w:rPr>
        <w:t>تلك المعاني إلّا واحدًا منها معنًى حقيقيًّا، وهم غير ملتزمين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الحكم بكون الواحد المعيّن معنًى مجازيًّا دون غيره 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الماضي، فإنّه على اعتراف الخصم مشتركٌ بين الخبر والدعاء، وينبغي أن يكون مراده بالخبر الإخبار بالواقع في الزمن الماضي كما لا يخفى، وحينئذٍ لو استعمل بمعنى المستقبل والأمر إمّا أن</w:t>
      </w:r>
      <w:r>
        <w:rPr>
          <w:rStyle w:val="FootnoteAnchor"/>
          <w:rtl w:val="true"/>
        </w:rPr>
        <w:footnoteReference w:id="720"/>
      </w:r>
      <w:r>
        <w:rPr>
          <w:rFonts w:ascii="Amiri" w:hAnsi="Amiri" w:eastAsia="Amiri" w:cs="Amiri"/>
          <w:color w:val="111111"/>
          <w:sz w:val="28"/>
          <w:sz w:val="28"/>
          <w:szCs w:val="28"/>
          <w:rtl w:val="true"/>
          <w:lang w:bidi="ar-SA"/>
        </w:rPr>
        <w:t>يكون كلّ منهما معنًى مجازيًّا، أو مشتبه الحال، أو واحد منهما كالأوّل والآخر كالثاني، أو مختلف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لا يلزم أكثريّة الاشتراك من التجوّز في الماضي، وعلى الثاني يلزم الحكم باشتراكه في الجميع ولا يلتزمون ذلك، وعلى فرض التسليم لم يتحقّق التجوّز فيه أصلًا، مع أنّ المفروض أكثريّة الاشتراك في الكلّ من التجوّز فيه؛ وعلى الثالث يلزم الترجيح من غير مرجّح، وكذا الكلام في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يمكن تسليم هذا المعنى بالنسبة إلى الحروف مع كلام ستقف عليه</w:t>
      </w:r>
      <w:r>
        <w:rPr>
          <w:rFonts w:eastAsia="Amiri" w:cs="Amiri" w:ascii="Amiri" w:hAnsi="Amiri"/>
          <w:color w:val="111111"/>
          <w:sz w:val="28"/>
          <w:szCs w:val="28"/>
          <w:rtl w:val="true"/>
          <w:lang w:bidi="ar-SA"/>
        </w:rPr>
        <w:t>.</w:t>
      </w:r>
    </w:p>
    <w:p>
      <w:pPr>
        <w:pStyle w:val="Heading6"/>
        <w:numPr>
          <w:ilvl w:val="5"/>
          <w:numId w:val="1"/>
        </w:numPr>
        <w:rPr/>
      </w:pPr>
      <w:bookmarkStart w:id="899" w:name="__RefHeading___Toc3520257_1280447820"/>
      <w:bookmarkStart w:id="900" w:name="_Toc347"/>
      <w:bookmarkEnd w:id="899"/>
      <w:r>
        <w:rPr>
          <w:rtl w:val="true"/>
        </w:rPr>
        <w:t>المعنى الثاني للدليل الأوّل</w:t>
      </w:r>
      <w:bookmarkEnd w:id="900"/>
    </w:p>
    <w:p>
      <w:pPr>
        <w:pStyle w:val="BookText"/>
        <w:rPr/>
      </w:pPr>
      <w:r>
        <w:rPr>
          <w:rFonts w:ascii="Amiri" w:hAnsi="Amiri" w:eastAsia="Amiri" w:cs="Amiri"/>
          <w:color w:val="111111"/>
          <w:sz w:val="28"/>
          <w:sz w:val="28"/>
          <w:szCs w:val="28"/>
          <w:rtl w:val="true"/>
          <w:lang w:bidi="ar-SA"/>
        </w:rPr>
        <w:t>والمعنى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أكثريّة الاشتراك من التجوّز في المجموع من حيث المجموع، وهذا المعنى إنّما تصحّ إرادته إذا صحّ المعنى الأوّل، وقد عرفت الحال فيه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يكون الاشتراك في الأكثر أكثر من التجوّز فيه وإن لم يكن الأمر في الباقي </w:t>
      </w:r>
    </w:p>
    <w:p>
      <w:pPr>
        <w:pStyle w:val="BookText"/>
        <w:rPr/>
      </w:pPr>
      <w:r>
        <w:rPr>
          <w:rFonts w:ascii="Amiri" w:hAnsi="Amiri" w:eastAsia="Amiri" w:cs="Amiri"/>
          <w:color w:val="111111"/>
          <w:sz w:val="28"/>
          <w:sz w:val="28"/>
          <w:szCs w:val="28"/>
          <w:rtl w:val="true"/>
          <w:lang w:bidi="ar-SA"/>
        </w:rPr>
        <w:t>كذلك، لكن إذا لوحظ المجموع من حيث المجموع يكون الاشتراك أكثر من التجوّز، وقد عرفت الحال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الاشتراك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الأقلّ كالحرف</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مثلًا أكثر، بحيث إذا لوحظت أكثريّته يكون التجوّز بالنسبة إليه أقلّ وإن كان التجوّز في البعض الآخر أكثر بالنسبة إلى الاشتراك فيه، لكن أكثريّته فيه ليست كأكثريّة الاشتراك في الآخر، بل الاشتراك بحيث إذا لوحظ مع مجموع التجوّز كان أكثر، لكن هذا المعنى أيضًا غير مسلّم؛ لأنّ أكثريّة الاشتراك</w:t>
      </w:r>
      <w:r>
        <w:rPr>
          <w:rStyle w:val="FootnoteAnchor"/>
          <w:rtl w:val="true"/>
        </w:rPr>
        <w:footnoteReference w:id="722"/>
      </w:r>
      <w:r>
        <w:rPr>
          <w:rFonts w:ascii="Amiri" w:hAnsi="Amiri" w:eastAsia="Amiri" w:cs="Amiri"/>
          <w:color w:val="111111"/>
          <w:sz w:val="28"/>
          <w:sz w:val="28"/>
          <w:szCs w:val="28"/>
          <w:rtl w:val="true"/>
          <w:lang w:bidi="ar-SA"/>
        </w:rPr>
        <w:t>في الحروف على فرض تسليمها ليست كأكثريّة التجوّز في غيرها</w:t>
      </w:r>
      <w:r>
        <w:rPr>
          <w:rStyle w:val="FootnoteAnchor"/>
          <w:rtl w:val="true"/>
        </w:rPr>
        <w:footnoteReference w:id="723"/>
      </w:r>
      <w:r>
        <w:rPr>
          <w:rFonts w:ascii="Amiri" w:hAnsi="Amiri" w:eastAsia="Amiri" w:cs="Amiri"/>
          <w:color w:val="111111"/>
          <w:sz w:val="28"/>
          <w:sz w:val="28"/>
          <w:szCs w:val="28"/>
          <w:rtl w:val="true"/>
          <w:lang w:bidi="ar-SA"/>
        </w:rPr>
        <w:t>، فضلًا عن أن يزيد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ههنا احتمال آخر، وهو أنّ الاشتراك في الحروف على فرض تسليمه لو كان أكثر من التجوّز فيها، هل يحمل ما جهل حاله في غير الحروف مع عدم ثبوت الأكثريّة فيه على الحروف، فيحكم باشتراكه أيضًا نظرًا إلى ثبوت الأكثريّة، أو يعكس الأمر بأن يحمل ما اشتبه حاله في الحروف على غيرها، فيحكم بتجوّزه أيضًا بناءً على ثبوت أكثريّة التجوّز من الاشتراك فيه</w:t>
      </w:r>
      <w:r>
        <w:rPr>
          <w:rStyle w:val="FootnoteAnchor"/>
          <w:rtl w:val="true"/>
        </w:rPr>
        <w:footnoteReference w:id="724"/>
      </w:r>
      <w:r>
        <w:rPr>
          <w:rFonts w:ascii="Amiri" w:hAnsi="Amiri" w:eastAsia="Amiri" w:cs="Amiri"/>
          <w:color w:val="111111"/>
          <w:sz w:val="28"/>
          <w:sz w:val="28"/>
          <w:szCs w:val="28"/>
          <w:rtl w:val="true"/>
          <w:lang w:bidi="ar-SA"/>
        </w:rPr>
        <w:t>، أو يفصّل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يحكم على ما جهل حاله في الحروف بالاشتراك نظرًا إلى ثبوت أكثريّته من التجوّز فيها، ويحكم على ما جهل حاله في غيرها بالتجوّز نظرًا إلى ثبوت أكثريّته فيه؟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اختير الأوّل يثبت ما ذهب إليه الخصم، بخلافه على الأخيرين، أمّا على </w:t>
      </w:r>
    </w:p>
    <w:p>
      <w:pPr>
        <w:pStyle w:val="BookText"/>
        <w:rPr/>
      </w:pPr>
      <w:r>
        <w:rPr>
          <w:rFonts w:ascii="Amiri" w:hAnsi="Amiri" w:eastAsia="Amiri" w:cs="Amiri"/>
          <w:color w:val="111111"/>
          <w:sz w:val="28"/>
          <w:sz w:val="28"/>
          <w:szCs w:val="28"/>
          <w:rtl w:val="true"/>
          <w:lang w:bidi="ar-SA"/>
        </w:rPr>
        <w:t>الثاني فظاهر، وأمّا على الثالث فلأنّ مذهبه ترجيح الاشتراك على التجوّز مطلقًا، والّذي يلزم فيما نحن فيه ترجيح الاشتراك على التجوّز تارةً وعكسه أخرى، لكن لا وجه لاختيار الأوّل؛ لأنّ الحمل على المُجانس أولى من الحمل على المخالف كما لا يخفى، مع أنّ حمل المشتبه في غير الحروف عليها وعدم حمل المشتبه فيها على غيرها 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الثالث ونثبت المدّعى بتمامه؛ لعدم القول بالفصل، بناءً على أنّه إذا ثبت ترجيح الاشتراك على التجوّز في الحروف نقول بترجيحه في غيرها أيضًا؛ لعدم القائل بالفصل؛ لأنّهم على فرقتين، طائفة ذهبوا إلى ترجيح الاشتراك على التجوّز مطلقًا، وأخرى اختاروا العكس كذلك، والقول بالفصل غير موجود، وحيث أثبتنا رجحان الاشتراك على التجوّز في الحروف بما سبق نقول بذلك في غيرها، فيثبت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انتفاء القائل بالفصل، لكنّه لا بعين رجحان الاشتراك على التجوّز؛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المفروض أكثريّة التجوّز من الاشتراك في غير الحروف، يحمل ما اشتبه حاله فيه عليه، فيحكم بالمجازيّة، فيلحق ما جهل حاله في الحرف بذلك، لفقدان القائل بالتفصيل، فتأمّل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على تقدير تسليم أكثريّة الاشتراك من التجوّز في الحروف، ويمكن منع ذلك بناءً على أنّ غاية ما يظهر من تتبّع كتب النحو واللغة تعدّد المستعمل فيه للحروف، وهو إنّما يدلّ على الحقيقة إذا قلنا برجحان الاشتراك على المجاز، فالاستدلال به على المطلوب يستلزم الدور، إذ مآله رجحان الاشتراك على المجاز لرجحانه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كلماتهم في ذكر معاني الحروف على أنحاء،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الحرف مثلًا لمعانٍ، الأوّل كذا والثاني كذا، إلخ،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الحرف يجيء على معانٍ، أو يستعمل في معان؛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الباء مثلًا بمعنى اللام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القسم الأوّل أنّ تلك المعاني وإن كانت من المعاني الحقيقيّة مع إمكان المناقشة في ذلك أيضًا، لكنّ الظاهر من الأخيرين أنّهما</w:t>
      </w:r>
      <w:r>
        <w:rPr>
          <w:rStyle w:val="FootnoteAnchor"/>
          <w:rtl w:val="true"/>
        </w:rPr>
        <w:footnoteReference w:id="725"/>
      </w:r>
      <w:r>
        <w:rPr>
          <w:rFonts w:ascii="Amiri" w:hAnsi="Amiri" w:eastAsia="Amiri" w:cs="Amiri"/>
          <w:color w:val="111111"/>
          <w:sz w:val="28"/>
          <w:sz w:val="28"/>
          <w:szCs w:val="28"/>
          <w:rtl w:val="true"/>
          <w:lang w:bidi="ar-SA"/>
        </w:rPr>
        <w:t>من المعاني المجازيّة، والحكم بأكثريّة الاشتراك من التجوّز في الحروف يتوقّف على كون أكثر كلماتهم في بيان معاني الحروف على النهج الأوّل، وهو غير معلوم كما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دعوى اشتراك الماضي بين الخبر والدعاء أيضًا ممنوعة،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ادّعي إطباق أئمّة اللغة على أنّه حقيقة في الأوّل فقط</w:t>
      </w:r>
      <w:r>
        <w:rPr>
          <w:rStyle w:val="FootnoteAnchor"/>
          <w:rtl w:val="true"/>
        </w:rPr>
        <w:footnoteReference w:id="726"/>
      </w:r>
      <w:r>
        <w:rPr>
          <w:rFonts w:ascii="Amiri" w:hAnsi="Amiri" w:eastAsia="Amiri" w:cs="Amiri"/>
          <w:color w:val="111111"/>
          <w:sz w:val="28"/>
          <w:sz w:val="28"/>
          <w:szCs w:val="28"/>
          <w:rtl w:val="true"/>
          <w:lang w:bidi="ar-SA"/>
        </w:rPr>
        <w:t>، وتبادره منه قرينة صادقة</w:t>
      </w:r>
      <w:r>
        <w:rPr>
          <w:rStyle w:val="FootnoteAnchor"/>
          <w:rtl w:val="true"/>
        </w:rPr>
        <w:footnoteReference w:id="727"/>
      </w:r>
      <w:r>
        <w:rPr>
          <w:rFonts w:ascii="Amiri" w:hAnsi="Amiri" w:eastAsia="Amiri" w:cs="Amiri"/>
          <w:color w:val="111111"/>
          <w:sz w:val="28"/>
          <w:sz w:val="28"/>
          <w:szCs w:val="28"/>
          <w:rtl w:val="true"/>
          <w:lang w:bidi="ar-SA"/>
        </w:rPr>
        <w:t>في ذلك، وعدم تبادر الثاني أو تبادر غيره منه أمارة لائحة على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الخلاف بينهم في المضارع والأمر في أنّه هل الأوّل موضوع للحال فقط، أو الاستقبال كذلك، والثاني للوجوب، أو الأوّل مشترك بينهما والثاني بين الوجوب والاستحباب؟ وليس القول بالاشتراك هنا قولًا متّفقًا عليه ولا بمعونة البرهان معوّلًا عليه حتّى يمكن الاستناد إليه في حكم الغير ويجعل أصلًا لتعرف حاله، كما لا يخفى على من لاحظ المسألة في المقامين وتلخّص من متابعة الغير في البين وتأمّل أدلّة القول في الطرفين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أنّ القائل بالاشتراك في المسألتين هو القائل بترجيحه على التجوّز </w:t>
      </w:r>
      <w:bookmarkStart w:id="901" w:name="pg16214_221815"/>
    </w:p>
    <w:p>
      <w:pPr>
        <w:pStyle w:val="BookText"/>
        <w:rPr/>
      </w:pPr>
      <w:bookmarkEnd w:id="901"/>
      <w:r>
        <w:rPr>
          <w:rFonts w:ascii="Amiri" w:hAnsi="Amiri" w:eastAsia="Amiri" w:cs="Amiri"/>
          <w:color w:val="111111"/>
          <w:sz w:val="28"/>
          <w:sz w:val="28"/>
          <w:szCs w:val="28"/>
          <w:rtl w:val="true"/>
          <w:lang w:bidi="ar-SA"/>
        </w:rPr>
        <w:t>عند المعارضة وبنى الأمر في ذلك على ما اختاره في تلك الصورة، فترجيح الاشتراك فيما نحن فيه حملًا على ذلك رجحان للاشتراك على التجوّز لرجحانه عليه، ولا يخفى فساده</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3520259_1280447820"/>
      <w:bookmarkStart w:id="903" w:name="_Toc348"/>
      <w:bookmarkEnd w:id="902"/>
      <w:r>
        <w:rPr>
          <w:rtl w:val="true"/>
        </w:rPr>
        <w:t>الدليل الثاني للقول بالاشتراك</w:t>
      </w:r>
      <w:bookmarkEnd w:id="903"/>
    </w:p>
    <w:p>
      <w:pPr>
        <w:pStyle w:val="Heading6"/>
        <w:numPr>
          <w:ilvl w:val="5"/>
          <w:numId w:val="1"/>
        </w:numPr>
        <w:rPr/>
      </w:pPr>
      <w:bookmarkStart w:id="904" w:name="__RefHeading___Toc3520261_1280447820"/>
      <w:bookmarkStart w:id="905" w:name="_Toc349"/>
      <w:bookmarkEnd w:id="904"/>
      <w:r>
        <w:rPr>
          <w:rtl w:val="true"/>
        </w:rPr>
        <w:t>اشارة</w:t>
      </w:r>
      <w:bookmarkEnd w:id="905"/>
    </w:p>
    <w:p>
      <w:pPr>
        <w:pStyle w:val="BookText"/>
        <w:rPr/>
      </w:pPr>
      <w:r>
        <w:rPr>
          <w:rFonts w:ascii="Amiri" w:hAnsi="Amiri" w:eastAsia="Amiri" w:cs="Amiri"/>
          <w:color w:val="111111"/>
          <w:sz w:val="28"/>
          <w:sz w:val="28"/>
          <w:szCs w:val="28"/>
          <w:rtl w:val="true"/>
          <w:lang w:bidi="ar-SA"/>
        </w:rPr>
        <w:t>والدليل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يظهر من السيّد الأجلّ ممّا ذكره في بيان اشتراك ألفاظ العموم</w:t>
      </w:r>
      <w:r>
        <w:rPr>
          <w:rStyle w:val="FootnoteAnchor"/>
          <w:rtl w:val="true"/>
        </w:rPr>
        <w:footnoteReference w:id="728"/>
      </w:r>
      <w:r>
        <w:rPr>
          <w:rFonts w:ascii="Amiri" w:hAnsi="Amiri" w:eastAsia="Amiri" w:cs="Amiri"/>
          <w:color w:val="111111"/>
          <w:sz w:val="28"/>
          <w:sz w:val="28"/>
          <w:szCs w:val="28"/>
          <w:rtl w:val="true"/>
          <w:lang w:bidi="ar-SA"/>
        </w:rPr>
        <w:t>،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في المعنى المستعمل فيه لو لم يكن حقيقة لكان مجازًا، والتالي باطل، فالمقدّم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الملازمة فظاهرة، وأمّا بطلان التالي فلأنّه لو كان مجازًا لأوْقَفَنَا أهل اللغة على ذلك</w:t>
      </w:r>
      <w:r>
        <w:rPr>
          <w:rStyle w:val="FootnoteAnchor"/>
          <w:rtl w:val="true"/>
        </w:rPr>
        <w:footnoteReference w:id="729"/>
      </w:r>
      <w:r>
        <w:rPr>
          <w:rFonts w:ascii="Amiri" w:hAnsi="Amiri" w:eastAsia="Amiri" w:cs="Amiri"/>
          <w:color w:val="111111"/>
          <w:sz w:val="28"/>
          <w:sz w:val="28"/>
          <w:szCs w:val="28"/>
          <w:rtl w:val="true"/>
          <w:lang w:bidi="ar-SA"/>
        </w:rPr>
        <w:t>، أو علمنا ذلك بالعلم الضروريّ، والتالي باطل وإلّا لما وقع الخلاف بينهم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الشرطيّة فلأنّه يظهر بالتصفّح والاستقراء أنّه كلّما وقع فيه التجوّز وجد فيه أحد الأمرين،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رَبُّكَ</w:t>
      </w:r>
      <w:r>
        <w:rPr>
          <w:rStyle w:val="FootnoteAnchor"/>
          <w:rtl w:val="true"/>
        </w:rPr>
        <w:footnoteReference w:id="730"/>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لَيْسَ كَمِثْلِهِ شَيْءٌ</w:t>
      </w:r>
      <w:r>
        <w:rPr>
          <w:rStyle w:val="FootnoteAnchor"/>
          <w:rtl w:val="true"/>
        </w:rPr>
        <w:footnoteReference w:id="731"/>
      </w:r>
      <w:r>
        <w:rPr>
          <w:rFonts w:ascii="Amiri" w:hAnsi="Amiri" w:eastAsia="Amiri" w:cs="Amiri"/>
          <w:color w:val="111111"/>
          <w:sz w:val="28"/>
          <w:sz w:val="28"/>
          <w:szCs w:val="28"/>
          <w:rtl w:val="true"/>
          <w:lang w:bidi="ar-SA"/>
        </w:rPr>
        <w:t>، 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الشجاع والبليد</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3520263_1280447820"/>
      <w:bookmarkStart w:id="907" w:name="_Toc350"/>
      <w:bookmarkEnd w:id="906"/>
      <w:r>
        <w:rPr>
          <w:rtl w:val="true"/>
        </w:rPr>
        <w:t>الجواب النقضي عن الدليل الثاني</w:t>
      </w:r>
      <w:bookmarkEnd w:id="90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والحلّ،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اللفظ </w:t>
      </w:r>
    </w:p>
    <w:p>
      <w:pPr>
        <w:pStyle w:val="BookText"/>
        <w:rPr/>
      </w:pPr>
      <w:r>
        <w:rPr>
          <w:rFonts w:ascii="Amiri" w:hAnsi="Amiri" w:eastAsia="Amiri" w:cs="Amiri"/>
          <w:color w:val="111111"/>
          <w:sz w:val="28"/>
          <w:sz w:val="28"/>
          <w:szCs w:val="28"/>
          <w:rtl w:val="true"/>
          <w:lang w:bidi="ar-SA"/>
        </w:rPr>
        <w:t>في المعنى المستعمل فيه لو لم يكن مجازًا لكان حقيقة، أمّا الملازمة فظاهرة، وأمّا بطلان التالي فلأنّه لو كان حقيقة لأوْقَفَنَا أهل اللغة على ذلك، أو علمناه بالعلم الضروريّ، والتالي باطل وإلّا لما وقع الخلاف بينهم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الشرطيّة فلأنّه يظهر بالتصفّح والاستقراء أنّ كلّ لفظ حقيقيّ وجد فيه أحد الأمرين، كالإنسان والحمار والأسد وسباع الأرض والسماء، وغير ذلك من الأفعال والأسماء في معانيها الظاهرة، فلا بدّ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التزام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القول بعدم جواز إثبات الحقائق بالنظر والاستدلال وانحصار ثبوتها بالنصّ أو الضرورة كما ادّعاه في المجازات</w:t>
      </w:r>
      <w:r>
        <w:rPr>
          <w:rStyle w:val="FootnoteAnchor"/>
          <w:rtl w:val="true"/>
        </w:rPr>
        <w:footnoteReference w:id="732"/>
      </w:r>
      <w:r>
        <w:rPr>
          <w:rFonts w:ascii="IRNazanin" w:hAnsi="IRNazanin" w:eastAsia="IRNazanin"/>
          <w:color w:val="111111"/>
          <w:sz w:val="28"/>
          <w:sz w:val="28"/>
          <w:szCs w:val="28"/>
          <w:rtl w:val="true"/>
          <w:lang w:bidi="fa-IR"/>
        </w:rPr>
        <w:t>، أو القول بجواز</w:t>
      </w:r>
      <w:r>
        <w:rPr>
          <w:rStyle w:val="FootnoteAnchor"/>
          <w:rtl w:val="true"/>
        </w:rPr>
        <w:footnoteReference w:id="733"/>
      </w:r>
      <w:r>
        <w:rPr>
          <w:rFonts w:ascii="Amiri" w:hAnsi="Amiri" w:eastAsia="Amiri" w:cs="Amiri"/>
          <w:color w:val="111111"/>
          <w:sz w:val="28"/>
          <w:sz w:val="28"/>
          <w:szCs w:val="28"/>
          <w:rtl w:val="true"/>
          <w:lang w:bidi="ar-SA"/>
        </w:rPr>
        <w:t>إثبات الوضع والحقيقة بهما دون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فاسد،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دعوى ثبوت النصّ أو الضرورة في أوضاع جميع الألفاظ ممّا يكذّبه الوجدان ويحكم بفساده العيان؛ وما اتّفقوا عليه من التمسّك في إثبات أوضاع كثير من الألفاظ بالاستدلال وتأسيس أمارات يتشبّث بها لثبوت الوضع في مقام الاشتباه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الألفاظ الّتي كلامنا فيها هي الّتي قد أثبت السيّد نفسه فيها الأوضاع من التمسّك بالأدلّة الّتي مضى بعضها ويجيء الكلام في البعض الآخر، إذ ثبوت النصّ فيها ينافي التمسّك بهذه المقالات الفاسدة والكلمات الواهية، فضلًا عن ثبوت الضرورة؛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النصّ أو الضرورة فيها متحقّقًا لما وقع الخلاف، لاسيّما مع ذهاب الأكثر إلى المجازيّة، والسيّد أيضًا لم يكن مدّعيًا </w:t>
      </w:r>
      <w:bookmarkStart w:id="908" w:name="pg16214_221817"/>
    </w:p>
    <w:p>
      <w:pPr>
        <w:pStyle w:val="BookText"/>
        <w:rPr/>
      </w:pPr>
      <w:bookmarkEnd w:id="908"/>
      <w:r>
        <w:rPr>
          <w:rFonts w:ascii="Amiri" w:hAnsi="Amiri" w:eastAsia="Amiri" w:cs="Amiri"/>
          <w:color w:val="111111"/>
          <w:sz w:val="28"/>
          <w:sz w:val="28"/>
          <w:szCs w:val="28"/>
          <w:rtl w:val="true"/>
          <w:lang w:bidi="ar-SA"/>
        </w:rPr>
        <w:t>لثبوت أحد الأمرين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دعوى الفرق بين الحقيقة والمجاز لجواز ثبوت الأوّل بالاستدلال والنظر دون الثاني، تحكّمٌ محضٌ غير ملتفت إليه؛ لعدم الفرق بينهما، بل الأمر في الحقيقة أهمّ للأصالة وفرعيّة المجاز، وجواز الاستدلال في الأوّل يدلّ على جواز الاستدلال في الثاني بطريق أولى، ولا يمكن استناد الاستدلال في الحقيقة إلى الاتّفاق؛ لاشتراك استدلال العلماء بينهما</w:t>
      </w:r>
      <w:r>
        <w:rPr>
          <w:rFonts w:eastAsia="Amiri" w:cs="Amiri" w:ascii="Amiri" w:hAnsi="Amiri"/>
          <w:color w:val="111111"/>
          <w:sz w:val="28"/>
          <w:szCs w:val="28"/>
          <w:rtl w:val="true"/>
          <w:lang w:bidi="ar-SA"/>
        </w:rPr>
        <w:t>.</w:t>
      </w:r>
    </w:p>
    <w:p>
      <w:pPr>
        <w:pStyle w:val="Heading6"/>
        <w:numPr>
          <w:ilvl w:val="5"/>
          <w:numId w:val="1"/>
        </w:numPr>
        <w:rPr/>
      </w:pPr>
      <w:bookmarkStart w:id="909" w:name="__RefHeading___Toc3520265_1280447820"/>
      <w:bookmarkStart w:id="910" w:name="_Toc351"/>
      <w:bookmarkEnd w:id="909"/>
      <w:r>
        <w:rPr>
          <w:rtl w:val="true"/>
        </w:rPr>
        <w:t>الجواب الحَلّي عن الدليل الثاني</w:t>
      </w:r>
      <w:bookmarkEnd w:id="910"/>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دعوى انحصار ما يثبت به التجوّز فيما ذكره من الأمرين المذكورين غير صحيحة؛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اتّفقوا على ضبط الأمارات الّتي بها يستدلّ على التجوّز على ما تقدّم، وتشبّثوا بها في إثبات كثير من المجازات الّتي نحن نقطع بعدم تحقّق شيء من الأمرين المذكورين فيها، فليكن المقام من ذلك؛ والأدلّة الدالّة على المجازيّة هو ما سيجيء إليه الإشارة بحول الله سبحانه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يمكن أن يقال بعد تسليم الملازمة في الشرطيّة الثانية بمنع</w:t>
      </w:r>
      <w:r>
        <w:rPr>
          <w:rStyle w:val="FootnoteAnchor"/>
          <w:rtl w:val="true"/>
        </w:rPr>
        <w:footnoteReference w:id="734"/>
      </w:r>
      <w:r>
        <w:rPr>
          <w:rFonts w:ascii="Amiri" w:hAnsi="Amiri" w:eastAsia="Amiri" w:cs="Amiri"/>
          <w:color w:val="111111"/>
          <w:sz w:val="28"/>
          <w:sz w:val="28"/>
          <w:szCs w:val="28"/>
          <w:rtl w:val="true"/>
          <w:lang w:bidi="ar-SA"/>
        </w:rPr>
        <w:t>بطلان التالي؛ لإمكان الإعلام والنصّ</w:t>
      </w:r>
      <w:r>
        <w:rPr>
          <w:rStyle w:val="FootnoteAnchor"/>
          <w:rtl w:val="true"/>
        </w:rPr>
        <w:footnoteReference w:id="735"/>
      </w:r>
      <w:r>
        <w:rPr>
          <w:rFonts w:ascii="Amiri" w:hAnsi="Amiri" w:eastAsia="Amiri" w:cs="Amiri"/>
          <w:color w:val="111111"/>
          <w:sz w:val="28"/>
          <w:sz w:val="28"/>
          <w:szCs w:val="28"/>
          <w:rtl w:val="true"/>
          <w:lang w:bidi="ar-SA"/>
        </w:rPr>
        <w:t>من أهل اللغة ويكون الخلاف لعدم ظفر بعضهم به، وكذلك الحال في العلم الضروريّ؛ لإمكان أن يكون الشيء الواحد معلومًا بالعلم الضروريّ بالنسبة إلى بعض ولم يكن كذلك بالنسبة إلى غيره، فتأمّل</w:t>
      </w:r>
      <w:r>
        <w:rPr>
          <w:rFonts w:eastAsia="Amiri" w:cs="Amiri" w:ascii="Amiri" w:hAnsi="Amiri"/>
          <w:color w:val="111111"/>
          <w:sz w:val="28"/>
          <w:szCs w:val="28"/>
          <w:rtl w:val="true"/>
          <w:lang w:bidi="ar-SA"/>
        </w:rPr>
        <w:t xml:space="preserve">. </w:t>
      </w:r>
      <w:bookmarkStart w:id="911" w:name="pg16214_221818"/>
    </w:p>
    <w:p>
      <w:pPr>
        <w:pStyle w:val="Heading6"/>
        <w:numPr>
          <w:ilvl w:val="5"/>
          <w:numId w:val="1"/>
        </w:numPr>
        <w:rPr/>
      </w:pPr>
      <w:bookmarkStart w:id="912" w:name="__RefHeading___Toc3520267_1280447820"/>
      <w:bookmarkStart w:id="913" w:name="_Toc352"/>
      <w:bookmarkEnd w:id="911"/>
      <w:bookmarkEnd w:id="912"/>
      <w:r>
        <w:rPr>
          <w:rtl w:val="true"/>
        </w:rPr>
        <w:t>الدليل الثالث للقول بالاشتراك</w:t>
      </w:r>
      <w:bookmarkEnd w:id="913"/>
    </w:p>
    <w:p>
      <w:pPr>
        <w:pStyle w:val="Heading6"/>
        <w:numPr>
          <w:ilvl w:val="5"/>
          <w:numId w:val="1"/>
        </w:numPr>
        <w:rPr/>
      </w:pPr>
      <w:bookmarkStart w:id="914" w:name="__RefHeading___Toc3520269_1280447820"/>
      <w:bookmarkStart w:id="915" w:name="_Toc353"/>
      <w:bookmarkEnd w:id="914"/>
      <w:r>
        <w:rPr>
          <w:rtl w:val="true"/>
        </w:rPr>
        <w:t>اشارة</w:t>
      </w:r>
      <w:bookmarkEnd w:id="915"/>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أيضًا بعد نفيه اللفظ المختصّ بالعموم وادّعائه اشتراك ما يدّعى له بينه وبين الخصوص من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يدلّ على ذلك أنّ كلّ لفظ</w:t>
      </w:r>
      <w:r>
        <w:rPr>
          <w:rStyle w:val="FootnoteAnchor"/>
          <w:rtl w:val="true"/>
        </w:rPr>
        <w:footnoteReference w:id="736"/>
      </w:r>
      <w:r>
        <w:rPr>
          <w:rFonts w:ascii="Amiri" w:hAnsi="Amiri" w:eastAsia="Amiri" w:cs="Amiri"/>
          <w:color w:val="111111"/>
          <w:sz w:val="28"/>
          <w:sz w:val="28"/>
          <w:szCs w:val="28"/>
          <w:rtl w:val="true"/>
          <w:lang w:bidi="ar-SA"/>
        </w:rPr>
        <w:t>يدّعون أنّه</w:t>
      </w:r>
      <w:r>
        <w:rPr>
          <w:rStyle w:val="FootnoteAnchor"/>
          <w:rtl w:val="true"/>
        </w:rPr>
        <w:footnoteReference w:id="737"/>
      </w:r>
      <w:r>
        <w:rPr>
          <w:rFonts w:ascii="IRNazanin" w:hAnsi="IRNazanin" w:eastAsia="IRNazanin"/>
          <w:color w:val="111111"/>
          <w:sz w:val="28"/>
          <w:sz w:val="28"/>
          <w:szCs w:val="28"/>
          <w:rtl w:val="true"/>
          <w:lang w:bidi="fa-IR"/>
        </w:rPr>
        <w:t>للاستغراق</w:t>
      </w:r>
      <w:r>
        <w:rPr>
          <w:rStyle w:val="FootnoteAnchor"/>
          <w:rtl w:val="true"/>
        </w:rPr>
        <w:footnoteReference w:id="738"/>
      </w:r>
      <w:r>
        <w:rPr>
          <w:rFonts w:ascii="Amiri" w:hAnsi="Amiri" w:eastAsia="Amiri" w:cs="Amiri"/>
          <w:color w:val="111111"/>
          <w:sz w:val="28"/>
          <w:sz w:val="28"/>
          <w:szCs w:val="28"/>
          <w:rtl w:val="true"/>
          <w:lang w:bidi="ar-SA"/>
        </w:rPr>
        <w:t>يستعمل</w:t>
      </w:r>
      <w:r>
        <w:rPr>
          <w:rStyle w:val="FootnoteAnchor"/>
          <w:rtl w:val="true"/>
        </w:rPr>
        <w:footnoteReference w:id="739"/>
      </w:r>
      <w:r>
        <w:rPr>
          <w:rFonts w:ascii="Amiri" w:hAnsi="Amiri" w:eastAsia="Amiri" w:cs="Amiri"/>
          <w:color w:val="111111"/>
          <w:sz w:val="28"/>
          <w:sz w:val="28"/>
          <w:szCs w:val="28"/>
          <w:rtl w:val="true"/>
          <w:lang w:bidi="ar-SA"/>
        </w:rPr>
        <w:t>تارةً للخصوص، وأخرى في العموم</w:t>
      </w:r>
      <w:r>
        <w:rPr>
          <w:rStyle w:val="FootnoteAnchor"/>
          <w:rtl w:val="true"/>
        </w:rPr>
        <w:footnoteReference w:id="740"/>
      </w:r>
      <w:r>
        <w:rPr>
          <w:rFonts w:ascii="Amiri" w:hAnsi="Amiri" w:eastAsia="Amiri" w:cs="Amiri"/>
          <w:color w:val="111111"/>
          <w:sz w:val="28"/>
          <w:sz w:val="28"/>
          <w:szCs w:val="28"/>
          <w:rtl w:val="true"/>
          <w:lang w:bidi="ar-SA"/>
        </w:rPr>
        <w:t>، ألا ترى أنّ القائل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داري أهنته أو أكرمته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يريد</w:t>
      </w:r>
      <w:r>
        <w:rPr>
          <w:rStyle w:val="FootnoteAnchor"/>
          <w:rtl w:val="true"/>
        </w:rPr>
        <w:footnoteReference w:id="741"/>
      </w:r>
      <w:r>
        <w:rPr>
          <w:rFonts w:ascii="Amiri" w:hAnsi="Amiri" w:eastAsia="Amiri" w:cs="Amiri"/>
          <w:color w:val="111111"/>
          <w:sz w:val="28"/>
          <w:sz w:val="28"/>
          <w:szCs w:val="28"/>
          <w:rtl w:val="true"/>
          <w:lang w:bidi="ar-SA"/>
        </w:rPr>
        <w:t>إلّا الخصوص</w:t>
      </w:r>
      <w:r>
        <w:rPr>
          <w:rStyle w:val="FootnoteAnchor"/>
          <w:rtl w:val="true"/>
        </w:rPr>
        <w:footnoteReference w:id="742"/>
      </w:r>
      <w:r>
        <w:rPr>
          <w:rFonts w:ascii="Amiri" w:hAnsi="Amiri" w:eastAsia="Amiri" w:cs="Amiri"/>
          <w:color w:val="111111"/>
          <w:sz w:val="28"/>
          <w:sz w:val="28"/>
          <w:szCs w:val="28"/>
          <w:rtl w:val="true"/>
          <w:lang w:bidi="ar-SA"/>
        </w:rPr>
        <w:t>، وقلّما يريد</w:t>
      </w:r>
      <w:r>
        <w:rPr>
          <w:rStyle w:val="FootnoteAnchor"/>
          <w:rtl w:val="true"/>
        </w:rPr>
        <w:footnoteReference w:id="743"/>
      </w:r>
      <w:r>
        <w:rPr>
          <w:rFonts w:ascii="Amiri" w:hAnsi="Amiri" w:eastAsia="Amiri" w:cs="Amiri"/>
          <w:color w:val="111111"/>
          <w:sz w:val="28"/>
          <w:sz w:val="28"/>
          <w:szCs w:val="28"/>
          <w:rtl w:val="true"/>
          <w:lang w:bidi="ar-SA"/>
        </w:rPr>
        <w:t>به العموم،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العلماء، وقصدت الشرفاء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يريد العموم تارةً، والخصوص أخرى؛ وهذا معلوم ضرورة، ممّا لا يقع في مثله خلاف</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استعمال اللفظة في شيئين أنّها مشتركة بينهما</w:t>
      </w:r>
      <w:r>
        <w:rPr>
          <w:rStyle w:val="FootnoteAnchor"/>
          <w:rtl w:val="true"/>
        </w:rPr>
        <w:footnoteReference w:id="744"/>
      </w:r>
      <w:r>
        <w:rPr>
          <w:rFonts w:ascii="Amiri" w:hAnsi="Amiri" w:eastAsia="Amiri" w:cs="Amiri"/>
          <w:color w:val="111111"/>
          <w:sz w:val="28"/>
          <w:sz w:val="28"/>
          <w:szCs w:val="28"/>
          <w:rtl w:val="true"/>
          <w:lang w:bidi="ar-SA"/>
        </w:rPr>
        <w:t xml:space="preserve">وموضوعة لهما، إلّا </w:t>
      </w:r>
      <w:bookmarkStart w:id="916" w:name="pg16214_221819"/>
    </w:p>
    <w:p>
      <w:pPr>
        <w:pStyle w:val="BookText"/>
        <w:rPr/>
      </w:pPr>
      <w:bookmarkEnd w:id="916"/>
      <w:r>
        <w:rPr>
          <w:rFonts w:ascii="Amiri" w:hAnsi="Amiri" w:eastAsia="Amiri" w:cs="Amiri"/>
          <w:color w:val="111111"/>
          <w:sz w:val="28"/>
          <w:sz w:val="28"/>
          <w:szCs w:val="28"/>
          <w:rtl w:val="true"/>
          <w:lang w:bidi="ar-SA"/>
        </w:rPr>
        <w:t>أن يوقفونا</w:t>
      </w:r>
      <w:r>
        <w:rPr>
          <w:rStyle w:val="FootnoteAnchor"/>
          <w:rtl w:val="true"/>
        </w:rPr>
        <w:footnoteReference w:id="745"/>
      </w:r>
      <w:r>
        <w:rPr>
          <w:rFonts w:ascii="Amiri" w:hAnsi="Amiri" w:eastAsia="Amiri" w:cs="Amiri"/>
          <w:color w:val="111111"/>
          <w:sz w:val="28"/>
          <w:sz w:val="28"/>
          <w:szCs w:val="28"/>
          <w:rtl w:val="true"/>
          <w:lang w:bidi="ar-SA"/>
        </w:rPr>
        <w:t>، أو يدلّونا بدليل قاطع على أنّهم باستعمالها</w:t>
      </w:r>
      <w:r>
        <w:rPr>
          <w:rStyle w:val="FootnoteAnchor"/>
          <w:rtl w:val="true"/>
        </w:rPr>
        <w:footnoteReference w:id="746"/>
      </w:r>
      <w:r>
        <w:rPr>
          <w:rFonts w:ascii="Amiri" w:hAnsi="Amiri" w:eastAsia="Amiri" w:cs="Amiri"/>
          <w:color w:val="111111"/>
          <w:sz w:val="28"/>
          <w:sz w:val="28"/>
          <w:szCs w:val="28"/>
          <w:rtl w:val="true"/>
          <w:lang w:bidi="ar-SA"/>
        </w:rPr>
        <w:t>متجوّزون</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اللفظ في الشيئين أو الأشياء ليس إلّا كاستعماله في الواحد في الدلالة على الحقيقة</w:t>
      </w:r>
      <w:r>
        <w:rPr>
          <w:rStyle w:val="FootnoteAnchor"/>
          <w:rtl w:val="true"/>
        </w:rPr>
        <w:footnoteReference w:id="748"/>
      </w:r>
      <w:r>
        <w:rPr>
          <w:rFonts w:ascii="Amiri" w:hAnsi="Amiri" w:eastAsia="Amiri" w:cs="Amiri"/>
          <w:color w:val="111111"/>
          <w:sz w:val="28"/>
          <w:sz w:val="28"/>
          <w:szCs w:val="28"/>
          <w:rtl w:val="true"/>
          <w:lang w:bidi="ar-SA"/>
        </w:rPr>
        <w:t>، فكما أنّ الاستعمال في الواحد يدلّ على أنّ اللفظ حقيقة فيه، فكذا المتعدّد</w:t>
      </w:r>
      <w:r>
        <w:rPr>
          <w:rFonts w:eastAsia="Amiri" w:cs="Amiri" w:ascii="Amiri" w:hAnsi="Amiri"/>
          <w:color w:val="111111"/>
          <w:sz w:val="28"/>
          <w:szCs w:val="28"/>
          <w:rtl w:val="true"/>
          <w:lang w:bidi="ar-SA"/>
        </w:rPr>
        <w:t>.</w:t>
      </w:r>
    </w:p>
    <w:p>
      <w:pPr>
        <w:pStyle w:val="Heading6"/>
        <w:numPr>
          <w:ilvl w:val="5"/>
          <w:numId w:val="1"/>
        </w:numPr>
        <w:rPr/>
      </w:pPr>
      <w:bookmarkStart w:id="917" w:name="__RefHeading___Toc3520271_1280447820"/>
      <w:bookmarkStart w:id="918" w:name="_Toc354"/>
      <w:bookmarkEnd w:id="917"/>
      <w:r>
        <w:rPr>
          <w:rtl w:val="true"/>
        </w:rPr>
        <w:t>الجواب عن الدليل الثالث</w:t>
      </w:r>
      <w:bookmarkEnd w:id="918"/>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لفظ</w:t>
      </w:r>
      <w:r>
        <w:rPr>
          <w:rStyle w:val="FootnoteAnchor"/>
          <w:rtl w:val="true"/>
        </w:rPr>
        <w:footnoteReference w:id="749"/>
      </w:r>
      <w:r>
        <w:rPr>
          <w:rFonts w:ascii="Amiri" w:hAnsi="Amiri" w:eastAsia="Amiri" w:cs="Amiri"/>
          <w:color w:val="111111"/>
          <w:sz w:val="28"/>
          <w:sz w:val="28"/>
          <w:szCs w:val="28"/>
          <w:rtl w:val="true"/>
          <w:lang w:bidi="ar-SA"/>
        </w:rPr>
        <w:t>العامّ في المعنيين وإن كان مسلّمًا، لكن لا نسلّم دلالة الاستعمال بنفسه على الحقيقة؛ لأنّ الاستعمال كما يوجد في الحقيقة يوجد في المجاز، ولا دلالة للعامّ على شيء من أفراده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أنّ استعمال اللفظ في المعنيين ليس إلّا كاستعماله في الواحد في الدلالة على الحقيقة، مقدوحٌ فيه؛ لأنّه إثبات اللغة بالقياس، وهو مرغوب عنه ولو عند المحقّقين من القائلين به في الأحكام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قياس مع الفارق؛ لأنّ من شرطه العلم بوجود علّة الحكم في المقيس، وهنا إنّما يتحقّق ذلك إذا علم أنّ الاستعمال في المعنى الواحد من حيث نفسه يدلّ على الحقيقة، إذ المفروض تحقّق الاستعمال في المستعمل في المعنى المتعدّد، وهو بنفسه علّة للحكم بالحقيقة، فوجب الحكم بها فيما نحن فيه؛ </w:t>
      </w:r>
    </w:p>
    <w:p>
      <w:pPr>
        <w:pStyle w:val="BookText"/>
        <w:rPr/>
      </w:pPr>
      <w:r>
        <w:rPr>
          <w:rFonts w:ascii="Amiri" w:hAnsi="Amiri" w:eastAsia="Amiri" w:cs="Amiri"/>
          <w:color w:val="111111"/>
          <w:sz w:val="28"/>
          <w:sz w:val="28"/>
          <w:szCs w:val="28"/>
          <w:rtl w:val="true"/>
          <w:lang w:bidi="ar-SA"/>
        </w:rPr>
        <w:t>لاستلزام تحقّق العلّة تحقّق المعلول، لكنّه غير معلوم؛ لأنّ المقطوع به دلالة الاستعمال عليها، لكونه في المعنى الواحد، أو عند عدم ظهور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يصحّ قياس المتعدّد؛ لانتفاء العلّة الموجبة للحكم، ولهذا اتّفق الفقهاء والأصوليّون على الحقيقة عند وحدة المستعمل فيه</w:t>
      </w:r>
      <w:r>
        <w:rPr>
          <w:rStyle w:val="FootnoteAnchor"/>
          <w:rtl w:val="true"/>
        </w:rPr>
        <w:footnoteReference w:id="750"/>
      </w:r>
      <w:r>
        <w:rPr>
          <w:rFonts w:ascii="Amiri" w:hAnsi="Amiri" w:eastAsia="Amiri" w:cs="Amiri"/>
          <w:color w:val="111111"/>
          <w:sz w:val="28"/>
          <w:sz w:val="28"/>
          <w:szCs w:val="28"/>
          <w:rtl w:val="true"/>
          <w:lang w:bidi="ar-SA"/>
        </w:rPr>
        <w:t>، واختلفوا في صورة التعدّد، بل اختار الأكثرون منهم التجوّز فيه</w:t>
      </w:r>
      <w:r>
        <w:rPr>
          <w:rStyle w:val="FootnoteAnchor"/>
          <w:rtl w:val="true"/>
        </w:rPr>
        <w:footnoteReference w:id="751"/>
      </w:r>
      <w:r>
        <w:rPr>
          <w:rFonts w:ascii="Amiri" w:hAnsi="Amiri" w:eastAsia="Amiri" w:cs="Amiri"/>
          <w:color w:val="111111"/>
          <w:sz w:val="28"/>
          <w:sz w:val="28"/>
          <w:szCs w:val="28"/>
          <w:rtl w:val="true"/>
          <w:lang w:bidi="ar-SA"/>
        </w:rPr>
        <w:t xml:space="preserve">، فلو كان مجرّد الاستعمال دليلًا على الحقيقة،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لهذا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علّة الحكم في صورة الوحدة مجرّد الاستعمال، لا مع وحدة المستعمل فيه، إذ لو كانت ذلك لزم أن لا يحكم بالحقيقة أبدًا؛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الشرطيّة فلأنّ العلم بوحدة المستعمل فيه إنّما يحصل إذا علم أنّ اللفظ لم يوضع لغير ذلك المعنى، ولا شبهة في انتفائه في كثير من الألفاظ لو لم يكن في جميعها، فحينئذٍ لا يمكن الحكم بالحقيقة؛ لأنّه مشروط بالعلم بانتفاء التعدّد، وهو غير متحقّق، وانتفاء الشرط يستلزم انتفاء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التالي فللقطع بأنّهم يحكمون بالحقيقة بمجرّد وجدان اللفظ مستعملًا في معنى واحد وإن لم يحصل القطع بانتفاء غيره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بوحدة المعنى وحدته في نفس الأمر حتّى يكون المعتبر حصول العلم بانتفاء غيره، بل الوحدة بحسب الظاهر، فإذا رأينا اللفظ مستعملًا في معنى </w:t>
      </w:r>
      <w:bookmarkStart w:id="919" w:name="pg16214_221821"/>
    </w:p>
    <w:p>
      <w:pPr>
        <w:pStyle w:val="BookText"/>
        <w:rPr/>
      </w:pPr>
      <w:bookmarkEnd w:id="919"/>
      <w:r>
        <w:rPr>
          <w:rFonts w:ascii="Amiri" w:hAnsi="Amiri" w:eastAsia="Amiri" w:cs="Amiri"/>
          <w:color w:val="111111"/>
          <w:sz w:val="28"/>
          <w:sz w:val="28"/>
          <w:szCs w:val="28"/>
          <w:rtl w:val="true"/>
          <w:lang w:bidi="ar-SA"/>
        </w:rPr>
        <w:t>ولم يظهر علينا غيره، يكون الظاهر أنّه واحد؛ لأصالة عدم استعماله في غيره؛ 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الحكم ثبوت الاستعمال وعدم ظهور تعدّد المستعمل فيه</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3520273_1280447820"/>
      <w:bookmarkStart w:id="921" w:name="_Toc355"/>
      <w:bookmarkEnd w:id="920"/>
      <w:r>
        <w:rPr>
          <w:rtl w:val="true"/>
        </w:rPr>
        <w:t>تحقيق المقام في الجواب عن الدليل الثالث</w:t>
      </w:r>
      <w:bookmarkEnd w:id="921"/>
    </w:p>
    <w:p>
      <w:pPr>
        <w:pStyle w:val="BookText"/>
        <w:rPr/>
      </w:pPr>
      <w:r>
        <w:rPr>
          <w:rFonts w:ascii="Amiri" w:hAnsi="Amiri" w:eastAsia="Amiri" w:cs="Amiri"/>
          <w:color w:val="111111"/>
          <w:sz w:val="28"/>
          <w:sz w:val="28"/>
          <w:szCs w:val="28"/>
          <w:rtl w:val="true"/>
          <w:lang w:bidi="ar-SA"/>
        </w:rPr>
        <w:t>تحقيق المقام يستدعي أن يقال في الجواب عن أصل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بالحقيقة في صورة</w:t>
      </w:r>
      <w:r>
        <w:rPr>
          <w:rStyle w:val="FootnoteAnchor"/>
          <w:rtl w:val="true"/>
        </w:rPr>
        <w:footnoteReference w:id="752"/>
      </w:r>
      <w:r>
        <w:rPr>
          <w:rFonts w:ascii="Amiri" w:hAnsi="Amiri" w:eastAsia="Amiri" w:cs="Amiri"/>
          <w:color w:val="111111"/>
          <w:sz w:val="28"/>
          <w:sz w:val="28"/>
          <w:szCs w:val="28"/>
          <w:rtl w:val="true"/>
          <w:lang w:bidi="ar-SA"/>
        </w:rPr>
        <w:t>الوحدة للأدلّة المتقدّمة، وهي غير جارية في صورة التعدّد؛ لأنّ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في ذلك المعنى الواحد لو لم يكن حقيقة لكان مجازًا، والمجاز يستلزم الوضع السابق، والأصل عدمه، وعدم جريانه فيما نحن فيه ظاهر؛ لأنّ الوضع المتوقّف عليه المجاز هنا ثابت، فلا يمكن التمسّك بالأصل في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الحكم بالمجازيّة إلحاق المشتبه إمّا بالممتنع، أو الممكن</w:t>
      </w:r>
      <w:r>
        <w:rPr>
          <w:rStyle w:val="FootnoteAnchor"/>
          <w:rtl w:val="true"/>
        </w:rPr>
        <w:footnoteReference w:id="753"/>
      </w:r>
      <w:r>
        <w:rPr>
          <w:rFonts w:ascii="Amiri" w:hAnsi="Amiri" w:eastAsia="Amiri" w:cs="Amiri"/>
          <w:color w:val="111111"/>
          <w:sz w:val="28"/>
          <w:sz w:val="28"/>
          <w:szCs w:val="28"/>
          <w:rtl w:val="true"/>
          <w:lang w:bidi="ar-SA"/>
        </w:rPr>
        <w:t>الغير الواقع، أو الواقع النادر على ما سبق بيانه، وهنا ليس كذلك؛ لأنّ المفروض ثبوت الوضع بالنسبة إلى بعض ما استعمل فيه اللفظ، والاشتباه إنّما هو في الآخر، فلو حكم بمجازيّته لكان مجازًا ذا حقيقة، فلا يلزم شيء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المجاز على الوضع والنقل والعلاقة والقرينة، بخلاف الحقيقة، فإنّها متوقّفة على الأوّل، فإنّ الأمر فيه أيضًا كالسابق لثبوت الأمور الأربعة فيما نحن فيه أعمّ من أن يكون اللفظ حقيقة أو مجازًا، بل المجاز هنا أولى؛ لكون الحكم بالحقيقة مستلزمًا لتعدّد الوضع والقرينة، بخلاف المجاز، فتأمّل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الاستعمال، بناءً على ما عرفت من أنّ ظاهر الاستعمال </w:t>
      </w:r>
    </w:p>
    <w:p>
      <w:pPr>
        <w:pStyle w:val="BookText"/>
        <w:rPr/>
      </w:pPr>
      <w:r>
        <w:rPr>
          <w:rFonts w:ascii="Amiri" w:hAnsi="Amiri" w:eastAsia="Amiri" w:cs="Amiri"/>
          <w:color w:val="111111"/>
          <w:sz w:val="28"/>
          <w:sz w:val="28"/>
          <w:szCs w:val="28"/>
          <w:rtl w:val="true"/>
          <w:lang w:bidi="ar-SA"/>
        </w:rPr>
        <w:t>يقتضي الحقيقة، وهو وإن كان متحقّقًا فيما نحن فيه وبناء المستدلّ عليه، لكن قد عرفت أنّ السرّ في ذلك أكثريّة استعمال اللفظ في المعنى الحقيقيّ من استعماله في المعنى المجازيّ، وهو غير جارٍ فيما نحن فيه؛ لما عرفت سابقًا من أنّ اللفظ المستعمل في المعاني المتعدّدة كونه حقيقة ومجازًا أكثر من الاشتراك، والظنّ إنّما يلحق المشتبه بالأغلب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تحقّق بما تقرّر أنّ مجرّد الاستعمال من حيث هو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قطع النظر عن جميع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الحقيقة، وهو لا ينافي دلالته عليه في الجملة، أي مع ملاحظة وحدة المستعمل فيه، أو عدم ظهور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يندفع التدافع في كلامهم حيث حكموا تارةً بأنّ الأصل في الاستعمال الحقيقة، وأخرى أنّ الاستعمال أعمّ من الحقيقة والمجاز ولا دلالة للعامّ على الخاصّ، فالمنفيّ الدلالة المستقلّة، والمثبت الدلالة في الجملة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وأوضح من ذلك أنّ من الأمور المعتبرة في التناقض والتنافي وحدة الموضوع، وهي منتفية فيما نحن فيه؛ لتغاير الموضع</w:t>
      </w:r>
      <w:r>
        <w:rPr>
          <w:rStyle w:val="FootnoteAnchor"/>
          <w:rtl w:val="true"/>
        </w:rPr>
        <w:footnoteReference w:id="754"/>
      </w:r>
      <w:r>
        <w:rPr>
          <w:rFonts w:ascii="Amiri" w:hAnsi="Amiri" w:eastAsia="Amiri" w:cs="Amiri"/>
          <w:color w:val="111111"/>
          <w:sz w:val="28"/>
          <w:sz w:val="28"/>
          <w:szCs w:val="28"/>
          <w:rtl w:val="true"/>
          <w:lang w:bidi="ar-SA"/>
        </w:rPr>
        <w:t xml:space="preserve">في المقالتين،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الاستعمال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يتمسّك بها فيما إذا لم يظهر تعدّد المستعمل فيه، وأعميّة الاستعمال من الحقيقة والمجاز إنّما يتمسّك بها فيما إذا ظهر ذلك وعلم الوضع بالنسبة إلى البعض</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اللفظ حقيقة في صورة وحدة المستعمل فيه ويتمسّك فيه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الاستعمال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اللفظ مجازًا في المعنى المشتبه على المشهور في صورة تعدّد المستعمل فيه، فليتمسّك فيه بأنّ الأصل في الاستعمال المجاز؛ لتساويهما في عدم استقلال الاستعمال في الدلالة على الحقيقة والمجاز فيهما، فكما يدلّ على الحقيقة في الصورة الأولى مع ملاحظة الوحدة، فليدلّ على المجاز في الصورة الثانية مع ملاحظة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بأعمّيّة الاستعمال فيما نحن فيه إنّما هو في مقابل من يرجّح الاشتراك بنفس الاستعمال،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أعمّ من الحقيقة والمجاز، أي الاستدلال إنّما يكون وجيهًا إذا كان الاستعمال مستقلًّا في الدلالة على الحقيقة، وليس الأمر كذلك؛ لأنّه كما يوجد في الحقيقة يوجد في المجاز، فجعله دليلًا على واحد منهما بخصوصه لا وجه 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يدلّ عليه مع ملاحظة وحدة المستعمل فيه،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الاستعمال فيه الحقيقة، بمعنى أنّ الظاهر ذلك؛ للأدلّة المتقدّمة، فحينئذٍ يجوز لمن رجّح المجاز في صورة التعدّد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الاستعمال في هذا المورد التجوّز، بمعنى أنّ الظاهر فيما إذا كان المستعمل فيه اللفظ متعدّدًا وثبت الوضع بالنسبة إلى البعض واشتبه الحال بالنسبة إلى الآخر ووجدت العلاقة بينهما، أن يكون اللفظ في المعنى المشتبه مجازًا لما يأتي</w:t>
      </w:r>
      <w:r>
        <w:rPr>
          <w:rFonts w:eastAsia="Amiri" w:cs="Amiri" w:ascii="Amiri" w:hAnsi="Amiri"/>
          <w:color w:val="111111"/>
          <w:sz w:val="28"/>
          <w:szCs w:val="28"/>
          <w:rtl w:val="true"/>
          <w:lang w:bidi="ar-SA"/>
        </w:rPr>
        <w:t xml:space="preserve">. </w:t>
      </w:r>
      <w:bookmarkStart w:id="922" w:name="pg16214_221824"/>
    </w:p>
    <w:p>
      <w:pPr>
        <w:pStyle w:val="BookText"/>
        <w:rPr/>
      </w:pPr>
      <w:bookmarkEnd w:id="922"/>
      <w:r>
        <w:rPr>
          <w:rFonts w:ascii="Amiri" w:hAnsi="Amiri" w:eastAsia="Amiri" w:cs="Amiri"/>
          <w:color w:val="111111"/>
          <w:sz w:val="28"/>
          <w:sz w:val="28"/>
          <w:szCs w:val="28"/>
          <w:rtl w:val="true"/>
          <w:lang w:bidi="ar-SA"/>
        </w:rPr>
        <w:t>وعدم تنطّقهم بتلك المقالة ليس لعدم صحّتها، بل لأجل أنّ مرجّح الاشتراك لمّا أتى بتلك المقالة تشبّثوا في ردّها بأعميّة الاستعمال ورجّحوا المجازيّة بما عندهم من الأدلّة، فيفهم منه أنّ من أتى في ذلك المقام بأنّ الأصل فيه التجوّز يكون صحيحًا</w:t>
      </w:r>
      <w:r>
        <w:rPr>
          <w:rFonts w:eastAsia="Amiri" w:cs="Amiri" w:ascii="Amiri" w:hAnsi="Amiri"/>
          <w:color w:val="111111"/>
          <w:sz w:val="28"/>
          <w:szCs w:val="28"/>
          <w:rtl w:val="true"/>
          <w:lang w:bidi="ar-SA"/>
        </w:rPr>
        <w:t>.</w:t>
      </w:r>
    </w:p>
    <w:p>
      <w:pPr>
        <w:pStyle w:val="Heading6"/>
        <w:numPr>
          <w:ilvl w:val="5"/>
          <w:numId w:val="1"/>
        </w:numPr>
        <w:rPr/>
      </w:pPr>
      <w:bookmarkStart w:id="923" w:name="__RefHeading___Toc3520275_1280447820"/>
      <w:bookmarkStart w:id="924" w:name="_Toc356"/>
      <w:bookmarkEnd w:id="923"/>
      <w:r>
        <w:rPr>
          <w:rtl w:val="true"/>
        </w:rPr>
        <w:t>المواضع الّتي يتمسّك فيها بأنّ الأصل في الاستعمال الحقيقة</w:t>
      </w:r>
      <w:bookmarkEnd w:id="924"/>
    </w:p>
    <w:p>
      <w:pPr>
        <w:pStyle w:val="BookText"/>
        <w:rPr/>
      </w:pPr>
      <w:r>
        <w:rPr>
          <w:rFonts w:ascii="Amiri" w:hAnsi="Amiri" w:eastAsia="Amiri" w:cs="Amiri"/>
          <w:color w:val="111111"/>
          <w:sz w:val="28"/>
          <w:sz w:val="28"/>
          <w:szCs w:val="28"/>
          <w:rtl w:val="true"/>
          <w:lang w:bidi="ar-SA"/>
        </w:rPr>
        <w:t xml:space="preserve">ولا يخفى عليك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الاستعمال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يمكن التمسّك به</w:t>
      </w:r>
      <w:r>
        <w:rPr>
          <w:rStyle w:val="FootnoteAnchor"/>
          <w:rtl w:val="true"/>
        </w:rPr>
        <w:footnoteReference w:id="756"/>
      </w:r>
      <w:r>
        <w:rPr>
          <w:rFonts w:ascii="Amiri" w:hAnsi="Amiri" w:eastAsia="Amiri" w:cs="Amiri"/>
          <w:color w:val="111111"/>
          <w:sz w:val="28"/>
          <w:sz w:val="28"/>
          <w:szCs w:val="28"/>
          <w:rtl w:val="true"/>
          <w:lang w:bidi="ar-SA"/>
        </w:rPr>
        <w:t>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 أي عند وحدة المستعمل فيه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تعدّد، لكن انتفت العلاقة المصحّحة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يكون المستعمل فيه متعدّدًا، وجدت العلاقة بينهما، لكن لم يكن لأحدهما على الآخر رجحان حتّى يحكم بحقيقيّته ومجازيّة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متعدّدًا أيضًا، لكن وجد القدر المشترك بينهما، فتأمّل</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معنى آخر، وهو ما تقدّم من أنّه إذا علم المعنى الحقيقيّ والمجازيّ للّفظ ولم يعلم المستعمل فيه، وجب حمله على المعنى الحقيقيّ؛ لأنّ الأصل في الاستعمال الحقيقة، أي الظاهر في اللفظ المستعمل عند استعماله مجرّدًا عن القرينة أن يكون حقيقة، أي مستعملًا في الموضوع له</w:t>
      </w:r>
      <w:r>
        <w:rPr>
          <w:rFonts w:eastAsia="Amiri" w:cs="Amiri" w:ascii="Amiri" w:hAnsi="Amiri"/>
          <w:color w:val="111111"/>
          <w:sz w:val="28"/>
          <w:szCs w:val="28"/>
          <w:rtl w:val="true"/>
          <w:lang w:bidi="ar-SA"/>
        </w:rPr>
        <w:t xml:space="preserve">. </w:t>
      </w:r>
      <w:bookmarkStart w:id="925" w:name="pg16214_221825"/>
    </w:p>
    <w:p>
      <w:pPr>
        <w:pStyle w:val="Heading6"/>
        <w:numPr>
          <w:ilvl w:val="5"/>
          <w:numId w:val="1"/>
        </w:numPr>
        <w:rPr/>
      </w:pPr>
      <w:bookmarkStart w:id="926" w:name="__RefHeading___Toc3520277_1280447820"/>
      <w:bookmarkStart w:id="927" w:name="_Toc357"/>
      <w:bookmarkEnd w:id="925"/>
      <w:bookmarkEnd w:id="926"/>
      <w:r>
        <w:rPr>
          <w:rtl w:val="true"/>
        </w:rPr>
        <w:t>الدليل الرابع للقول بالاشتراك</w:t>
      </w:r>
      <w:bookmarkEnd w:id="927"/>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الاشتراك لألفاظ العموم بين العموم والخصوص أيضًا من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هي الأصل في اللغة، والمجاز طارٍ عليها، بدلالة أنّ اللفظ قد يكون</w:t>
      </w:r>
      <w:r>
        <w:rPr>
          <w:rStyle w:val="FootnoteAnchor"/>
          <w:rtl w:val="true"/>
        </w:rPr>
        <w:footnoteReference w:id="758"/>
      </w:r>
      <w:r>
        <w:rPr>
          <w:rFonts w:ascii="Amiri" w:hAnsi="Amiri" w:eastAsia="Amiri" w:cs="Amiri"/>
          <w:color w:val="111111"/>
          <w:sz w:val="28"/>
          <w:sz w:val="28"/>
          <w:szCs w:val="28"/>
          <w:rtl w:val="true"/>
          <w:lang w:bidi="ar-SA"/>
        </w:rPr>
        <w:t>لها حقيقة في اللغة ولا مجاز لها</w:t>
      </w:r>
      <w:r>
        <w:rPr>
          <w:rStyle w:val="FootnoteAnchor"/>
          <w:rtl w:val="true"/>
        </w:rPr>
        <w:footnoteReference w:id="759"/>
      </w:r>
      <w:r>
        <w:rPr>
          <w:rFonts w:ascii="Amiri" w:hAnsi="Amiri" w:eastAsia="Amiri" w:cs="Amiri"/>
          <w:color w:val="111111"/>
          <w:sz w:val="28"/>
          <w:sz w:val="28"/>
          <w:szCs w:val="28"/>
          <w:rtl w:val="true"/>
          <w:lang w:bidi="ar-SA"/>
        </w:rPr>
        <w:t>، ولا يمكن أن يكون مجازًا</w:t>
      </w:r>
      <w:r>
        <w:rPr>
          <w:rStyle w:val="FootnoteAnchor"/>
          <w:rtl w:val="true"/>
        </w:rPr>
        <w:footnoteReference w:id="760"/>
      </w:r>
      <w:r>
        <w:rPr>
          <w:rFonts w:ascii="Amiri" w:hAnsi="Amiri" w:eastAsia="Amiri" w:cs="Amiri"/>
          <w:color w:val="111111"/>
          <w:sz w:val="28"/>
          <w:sz w:val="28"/>
          <w:szCs w:val="28"/>
          <w:rtl w:val="true"/>
          <w:lang w:bidi="ar-SA"/>
        </w:rPr>
        <w:t>لا حقيقة له في اللغة</w:t>
      </w:r>
      <w:r>
        <w:rPr>
          <w:rStyle w:val="FootnoteAnchor"/>
          <w:rtl w:val="true"/>
        </w:rPr>
        <w:footnoteReference w:id="761"/>
      </w:r>
      <w:r>
        <w:rPr>
          <w:rFonts w:ascii="Amiri" w:hAnsi="Amiri" w:eastAsia="Amiri" w:cs="Amiri"/>
          <w:color w:val="111111"/>
          <w:sz w:val="28"/>
          <w:sz w:val="28"/>
          <w:szCs w:val="28"/>
          <w:rtl w:val="true"/>
          <w:lang w:bidi="ar-SA"/>
        </w:rPr>
        <w:t>وإذا ثبت ذلك وجب</w:t>
      </w:r>
      <w:r>
        <w:rPr>
          <w:rStyle w:val="FootnoteAnchor"/>
          <w:rtl w:val="true"/>
        </w:rPr>
        <w:footnoteReference w:id="762"/>
      </w:r>
      <w:r>
        <w:rPr>
          <w:rFonts w:ascii="Amiri" w:hAnsi="Amiri" w:eastAsia="Amiri" w:cs="Amiri"/>
          <w:color w:val="111111"/>
          <w:sz w:val="28"/>
          <w:sz w:val="28"/>
          <w:szCs w:val="28"/>
          <w:rtl w:val="true"/>
          <w:lang w:bidi="ar-SA"/>
        </w:rPr>
        <w:t>أن يكون الحقيقة هي الّتي يقتضيها ظاهر الاستعمال، وإنّما ينتقل من اللفظ المستعمل إلى أنّه مجاز بالدلالة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بالأصل في كلامه إمّا معناه اللغويّ، أو المعنى المتقدّم، وعلى الوجهين لا يتمّ التقريب</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مفاده حينئذٍ أنّ الحقيقة موقوفٌ عليه للمجاز</w:t>
      </w:r>
      <w:r>
        <w:rPr>
          <w:rStyle w:val="FootnoteAnchor"/>
          <w:rtl w:val="true"/>
        </w:rPr>
        <w:footnoteReference w:id="764"/>
      </w:r>
      <w:r>
        <w:rPr>
          <w:rFonts w:ascii="Amiri" w:hAnsi="Amiri" w:eastAsia="Amiri" w:cs="Amiri"/>
          <w:color w:val="111111"/>
          <w:sz w:val="28"/>
          <w:sz w:val="28"/>
          <w:szCs w:val="28"/>
          <w:rtl w:val="true"/>
          <w:lang w:bidi="ar-SA"/>
        </w:rPr>
        <w:t>، كما يظهر هذا المعنى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بدلالة أنّ اللفظ قد يكون لها حقيقة ولا مجاز هنا، ولا يمكن أن يكون مجازًا لا حقيقة له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الموقوف يمتنع انفكاكه عن الموقوف عليه، بخلاف الموقوف عليه</w:t>
      </w:r>
      <w:r>
        <w:rPr>
          <w:rFonts w:eastAsia="Amiri" w:cs="Amiri" w:ascii="Amiri" w:hAnsi="Amiri"/>
          <w:color w:val="111111"/>
          <w:sz w:val="28"/>
          <w:szCs w:val="28"/>
          <w:rtl w:val="true"/>
          <w:lang w:bidi="ar-SA"/>
        </w:rPr>
        <w:t xml:space="preserve">. </w:t>
      </w:r>
      <w:bookmarkStart w:id="928" w:name="pg16214_221826"/>
    </w:p>
    <w:p>
      <w:pPr>
        <w:pStyle w:val="BookText"/>
        <w:rPr/>
      </w:pPr>
      <w:bookmarkEnd w:id="928"/>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تسليم ذلك، نمنع</w:t>
      </w:r>
      <w:r>
        <w:rPr>
          <w:rStyle w:val="FootnoteAnchor"/>
          <w:rtl w:val="true"/>
        </w:rPr>
        <w:footnoteReference w:id="765"/>
      </w:r>
      <w:r>
        <w:rPr>
          <w:rFonts w:ascii="Amiri" w:hAnsi="Amiri" w:eastAsia="Amiri" w:cs="Amiri"/>
          <w:color w:val="111111"/>
          <w:sz w:val="28"/>
          <w:sz w:val="28"/>
          <w:szCs w:val="28"/>
          <w:rtl w:val="true"/>
          <w:lang w:bidi="ar-SA"/>
        </w:rPr>
        <w:t>أولويّة حمل اللفظ على الموقوف عليه من حمله على الموقوف، وعلى من ادّعاها الإثبات، على أنّ ذلك غير مسلّم، بل الموقوف عليه للمجاز</w:t>
      </w:r>
      <w:r>
        <w:rPr>
          <w:rStyle w:val="FootnoteAnchor"/>
          <w:rtl w:val="true"/>
        </w:rPr>
        <w:footnoteReference w:id="766"/>
      </w:r>
      <w:r>
        <w:rPr>
          <w:rFonts w:ascii="Amiri" w:hAnsi="Amiri" w:eastAsia="Amiri" w:cs="Amiri"/>
          <w:color w:val="111111"/>
          <w:sz w:val="28"/>
          <w:sz w:val="28"/>
          <w:szCs w:val="28"/>
          <w:rtl w:val="true"/>
          <w:lang w:bidi="ar-SA"/>
        </w:rPr>
        <w:t>هو الوضع لا الحقيقة، فيمكن أن يكون اللفظ موضوعًا ولم يستعمل في الموضوع له واستعمل في غيره، فحينئذٍ يكون مجازًا لا حقيقة له، وقد تقدّم تحقيق الحال في ذلك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الاستعمال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له معنيين،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اللفظ على المعنى الحقيقيّ عند مجهوليّة المستعمل فيه؛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فيما استعمل فيه اللفظ ولم يعلم أنّه حقيقة أو مجاز، أن يكون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المعنيان وإن كانا مسلّمين، لكن لا دخل لهما فيما نحن فيه، أمّا الأوّل فظاهر، وأمّا الثاني فلما عرفت من أنّ ذلك مسلّم عند وحدة المستعمل فيه، لا عند تعدّده إذا كان ممّا نحن فيه، ومن ثمّ ذهب أكثر العلماء فيه إلى المجازيّة</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قد تقدّم وجه ذلك مفصّلًا، فلا حاجة إلى الإعادة</w:t>
      </w:r>
      <w:r>
        <w:rPr>
          <w:rFonts w:eastAsia="Amiri" w:cs="Amiri" w:ascii="Amiri" w:hAnsi="Amiri"/>
          <w:color w:val="111111"/>
          <w:sz w:val="28"/>
          <w:szCs w:val="28"/>
          <w:rtl w:val="true"/>
          <w:lang w:bidi="ar-SA"/>
        </w:rPr>
        <w:t>.</w:t>
      </w:r>
    </w:p>
    <w:p>
      <w:pPr>
        <w:pStyle w:val="Heading6"/>
        <w:numPr>
          <w:ilvl w:val="5"/>
          <w:numId w:val="1"/>
        </w:numPr>
        <w:rPr/>
      </w:pPr>
      <w:bookmarkStart w:id="929" w:name="__RefHeading___Toc3520279_1280447820"/>
      <w:bookmarkStart w:id="930" w:name="_Toc358"/>
      <w:bookmarkEnd w:id="929"/>
      <w:r>
        <w:rPr>
          <w:rtl w:val="true"/>
        </w:rPr>
        <w:t>الدليل الخامس للقول بالاشتراك</w:t>
      </w:r>
      <w:bookmarkEnd w:id="93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مجازًا لزم الوقوع في الخطأ في بعض المواضع، واللازم باطل، فالملزوم مثله، أمّا الملازمة فلأنّه عند وجود القرينة يحمل على ما دلّت عليه، وعند عدمها يحمل على المعنى الحقيقيّ وكان المراد المعنى المجازيّ، فيقع في الخطأ، </w:t>
      </w:r>
    </w:p>
    <w:p>
      <w:pPr>
        <w:pStyle w:val="BookText"/>
        <w:rPr/>
      </w:pPr>
      <w:r>
        <w:rPr>
          <w:rFonts w:ascii="Amiri" w:hAnsi="Amiri" w:eastAsia="Amiri" w:cs="Amiri"/>
          <w:color w:val="111111"/>
          <w:sz w:val="28"/>
          <w:sz w:val="28"/>
          <w:szCs w:val="28"/>
          <w:rtl w:val="true"/>
          <w:lang w:bidi="ar-SA"/>
        </w:rPr>
        <w:t>بخلافه على تقدير الاشتراك، فإنّه مع وجودها يحمل على ما دلّت عليه ومع انتفائها لا يحمل على شيء، بل يتوقّف، فلا يقع في الخطأ، فهو أولى، وأمّا بطلان اللازم فظاهر</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بالخطأ إمّا الخطأ في نفس الأمر، أو بحسب الظاهر، فإن كان الأوّل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حينئذٍ وإن كانت مسلّمة، لكن بطلان اللازم ممنوع</w:t>
      </w:r>
      <w:r>
        <w:rPr>
          <w:rStyle w:val="FootnoteAnchor"/>
          <w:rtl w:val="true"/>
        </w:rPr>
        <w:footnoteReference w:id="769"/>
      </w:r>
      <w:r>
        <w:rPr>
          <w:rFonts w:ascii="Amiri" w:hAnsi="Amiri" w:eastAsia="Amiri" w:cs="Amiri"/>
          <w:color w:val="111111"/>
          <w:sz w:val="28"/>
          <w:sz w:val="28"/>
          <w:szCs w:val="28"/>
          <w:rtl w:val="true"/>
          <w:lang w:bidi="ar-SA"/>
        </w:rPr>
        <w:t>لأنّ التكاليف إنّما هو بحسب الظاهر، لا بحسب نفس الأمر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التسليم يحتمل مثله على تقدير الاشتراك أيضًا، كأن تكون القرينة بمعونة بعض القرائن معيّنة لمعنى وبزواله معيّنة لمعنى آخر، أو تكون القرينة عند صدور الخطاب دالّة على معنى وعلى معنى آخر في وقت آخر، فيتفاوت، فيختلف المعنى المراد بسببه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بطلان اللازم حينئذٍ وإن كان مسلّمًا، لكنّ الملازمة ممنوعة؛ لأنّ المراد بحسب الظاهر في نظر المكلّف عند انتفاء القرينة المعنى الحقيقيّ، ولا يجوز أن يكون المخاطب مريدًا غيره بالنسبة إليه في تلك الحالة، لما تقدّم من الأدلّة في حجّيّة ظواهر الألفاظ</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بما ظهر في أولويّة المجاز من الاشتراك ممكن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التجوّز خير من الاشتراك؛ لأنّ معه تحصل الإفادة الصحيحة بحسب </w:t>
      </w:r>
      <w:bookmarkStart w:id="931" w:name="pg16214_221828"/>
    </w:p>
    <w:p>
      <w:pPr>
        <w:pStyle w:val="BookText"/>
        <w:rPr/>
      </w:pPr>
      <w:bookmarkEnd w:id="931"/>
      <w:r>
        <w:rPr>
          <w:rFonts w:ascii="Amiri" w:hAnsi="Amiri" w:eastAsia="Amiri" w:cs="Amiri"/>
          <w:color w:val="111111"/>
          <w:sz w:val="28"/>
          <w:sz w:val="28"/>
          <w:szCs w:val="28"/>
          <w:rtl w:val="true"/>
          <w:lang w:bidi="ar-SA"/>
        </w:rPr>
        <w:t>الظاهر، سواء كان مع القرينة أو بدونها، وأمّا مع الاشتراك فلا تحصل الإفادة التفصيليّة من غير أن تقترن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يلزم على تقدير تماميّة الدليل المذكور نفي المجاز بالمرّة والمستدلّ غير ملتزم بذلك</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3520281_1280447820"/>
      <w:bookmarkStart w:id="933" w:name="_Toc359"/>
      <w:bookmarkEnd w:id="932"/>
      <w:r>
        <w:rPr>
          <w:rtl w:val="true"/>
        </w:rPr>
        <w:t>فيما يدلّ على رجحان المجاز عند معارضته مع الاشتراك</w:t>
      </w:r>
      <w:bookmarkEnd w:id="933"/>
    </w:p>
    <w:p>
      <w:pPr>
        <w:pStyle w:val="Heading6"/>
        <w:numPr>
          <w:ilvl w:val="5"/>
          <w:numId w:val="1"/>
        </w:numPr>
        <w:rPr/>
      </w:pPr>
      <w:bookmarkStart w:id="934" w:name="__RefHeading___Toc3520283_1280447820"/>
      <w:bookmarkStart w:id="935" w:name="_Toc360"/>
      <w:bookmarkEnd w:id="934"/>
      <w:r>
        <w:rPr>
          <w:rtl w:val="true"/>
        </w:rPr>
        <w:t>اشارة</w:t>
      </w:r>
      <w:bookmarkEnd w:id="935"/>
    </w:p>
    <w:p>
      <w:pPr>
        <w:pStyle w:val="BookText"/>
        <w:rPr/>
      </w:pPr>
      <w:r>
        <w:rPr>
          <w:rFonts w:ascii="Amiri" w:hAnsi="Amiri" w:eastAsia="Amiri" w:cs="Amiri"/>
          <w:color w:val="111111"/>
          <w:sz w:val="28"/>
          <w:sz w:val="28"/>
          <w:szCs w:val="28"/>
          <w:rtl w:val="true"/>
          <w:lang w:bidi="ar-SA"/>
        </w:rPr>
        <w:t>وقد ظهر ممّا ذكر ضعف القول بالاشتراك؛ لضعف مستنده، فمختار المشهور هو المختار، ومستندهم على ذلك أمور</w:t>
      </w:r>
      <w:r>
        <w:rPr>
          <w:rFonts w:eastAsia="Amiri" w:cs="Amiri" w:ascii="Amiri" w:hAnsi="Amiri"/>
          <w:color w:val="111111"/>
          <w:sz w:val="28"/>
          <w:szCs w:val="28"/>
          <w:rtl w:val="true"/>
          <w:lang w:bidi="ar-SA"/>
        </w:rPr>
        <w:t>:</w:t>
      </w:r>
    </w:p>
    <w:p>
      <w:pPr>
        <w:pStyle w:val="Heading6"/>
        <w:numPr>
          <w:ilvl w:val="5"/>
          <w:numId w:val="1"/>
        </w:numPr>
        <w:rPr/>
      </w:pPr>
      <w:bookmarkStart w:id="936" w:name="__RefHeading___Toc3520285_1280447820"/>
      <w:bookmarkStart w:id="937" w:name="_Toc361"/>
      <w:bookmarkEnd w:id="936"/>
      <w:r>
        <w:rPr>
          <w:rtl w:val="true"/>
        </w:rPr>
        <w:t>الدليل الأوّل</w:t>
      </w:r>
      <w:bookmarkEnd w:id="93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المشترك يفتقر إلى تعدّد الوضع، وهو غير معلوم، فيندفع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فيما نحن فيه وضع اللفظ بإزاء أحد المعنيين مثلًا واستعماله في المعنى الآخر، وأمّا الوضع له فغير معلوم، وهو أمر حادث، فالأصل عدمه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المجاز يتوقّف على الوضع والنقل والعلاقة، بخلاف الاشتراك؛ فإنّه متوقّف على الأوّل، فيكون أولى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وإن كان مسلّمًا، لكن كلّ ذلك معلوم الثبوت، أمّا الوضع فلأنّ المفروض أنّ وضعه بإزاء المعنى الواحد معلوم، وهو الّذي توقّف عليه </w:t>
      </w:r>
    </w:p>
    <w:p>
      <w:pPr>
        <w:pStyle w:val="BookText"/>
        <w:rPr/>
      </w:pPr>
      <w:r>
        <w:rPr>
          <w:rFonts w:ascii="Amiri" w:hAnsi="Amiri" w:eastAsia="Amiri" w:cs="Amiri"/>
          <w:color w:val="111111"/>
          <w:sz w:val="28"/>
          <w:sz w:val="28"/>
          <w:szCs w:val="28"/>
          <w:rtl w:val="true"/>
          <w:lang w:bidi="ar-SA"/>
        </w:rPr>
        <w:t>المجاز، فلا يمكن التمسّك في دفعه</w:t>
      </w:r>
      <w:r>
        <w:rPr>
          <w:rStyle w:val="FootnoteAnchor"/>
          <w:rtl w:val="true"/>
        </w:rPr>
        <w:footnoteReference w:id="771"/>
      </w:r>
      <w:r>
        <w:rPr>
          <w:rFonts w:ascii="Amiri" w:hAnsi="Amiri" w:eastAsia="Amiri" w:cs="Amiri"/>
          <w:color w:val="111111"/>
          <w:sz w:val="28"/>
          <w:sz w:val="28"/>
          <w:szCs w:val="28"/>
          <w:rtl w:val="true"/>
          <w:lang w:bidi="ar-SA"/>
        </w:rPr>
        <w:t>بالأصل، والوضع الّذي توقّف عليه الاشتراك هو الوضع بإزاء ذلك المعنى، وهو غير ثابت، فيدفع بالأصل، وأمّا النقل فلأنّك قد عرفت أنّ المراد به في أمثال المقام الاستعمال، وهو أيضًا مفروض الثبوت، وأمّا العلاقة فكذلك؛ لما عرفت في عنوان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شيء آخر، وهو أنّ وجود العلاقة لا يكفي لصحّة المجازيّة، بل لا بدّ مع ذلك من ملاحظتها، وهي غير معلومة، فالأصل العدم، لكن يجاب بأنّ الحقيقة يفتقر</w:t>
      </w:r>
      <w:r>
        <w:rPr>
          <w:rStyle w:val="FootnoteAnchor"/>
          <w:rtl w:val="true"/>
        </w:rPr>
        <w:footnoteReference w:id="772"/>
      </w:r>
      <w:r>
        <w:rPr>
          <w:rFonts w:ascii="Amiri" w:hAnsi="Amiri" w:eastAsia="Amiri" w:cs="Amiri"/>
          <w:color w:val="111111"/>
          <w:sz w:val="28"/>
          <w:sz w:val="28"/>
          <w:szCs w:val="28"/>
          <w:rtl w:val="true"/>
          <w:lang w:bidi="ar-SA"/>
        </w:rPr>
        <w:t>إلى ملاحظة الوضع، فتعارضت الملاحظتان، فبقى</w:t>
      </w:r>
      <w:r>
        <w:rPr>
          <w:rStyle w:val="FootnoteAnchor"/>
          <w:rtl w:val="true"/>
        </w:rPr>
        <w:footnoteReference w:id="773"/>
      </w:r>
      <w:r>
        <w:rPr>
          <w:rFonts w:ascii="Amiri" w:hAnsi="Amiri" w:eastAsia="Amiri" w:cs="Amiri"/>
          <w:color w:val="111111"/>
          <w:sz w:val="28"/>
          <w:sz w:val="28"/>
          <w:szCs w:val="28"/>
          <w:rtl w:val="true"/>
          <w:lang w:bidi="ar-SA"/>
        </w:rPr>
        <w:t>أصالة عدم الوضع سالمة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ملاحظة الوضع عين العلم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الجواب عن ذلك بأنّ العلم بالوضع غير كافٍ لتحقّق الحقيقة، إذ قد يكون اللفظ مستعملًا في الموضوع له ويكون مجازًا، وذلك عند عدم ملاحظته، بل ملاحظة العلاقة، كما في اللفظ المشترك على ما عرفت في المقدّمة من أنّ استعماله في الموضوع له يمكن أن يكون على سبيل الحقيقة والمجاز، والفارق ملاحظة الوضع والعلاقة حال الاستعمال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ملاحظة الوضع على تقدير التجوّز أيضًا لازمة، إذ ملاحظة العلاقة لا تنفك عن ملاحظته؛ لما عرفت سابقًا من أنّ العلاقة اتّصال ما بين المستعمل فيه والموضوع له</w:t>
      </w:r>
      <w:r>
        <w:rPr>
          <w:rFonts w:eastAsia="Amiri" w:cs="Amiri" w:ascii="Amiri" w:hAnsi="Amiri"/>
          <w:color w:val="111111"/>
          <w:sz w:val="28"/>
          <w:szCs w:val="28"/>
          <w:rtl w:val="true"/>
          <w:lang w:bidi="ar-SA"/>
        </w:rPr>
        <w:t xml:space="preserve">. </w:t>
      </w:r>
      <w:bookmarkStart w:id="938" w:name="pg16214_221830"/>
    </w:p>
    <w:p>
      <w:pPr>
        <w:pStyle w:val="BookText"/>
        <w:rPr/>
      </w:pPr>
      <w:bookmarkEnd w:id="938"/>
      <w:r>
        <w:rPr>
          <w:rFonts w:ascii="Amiri" w:hAnsi="Amiri" w:eastAsia="Amiri" w:cs="Amiri"/>
          <w:color w:val="111111"/>
          <w:sz w:val="28"/>
          <w:sz w:val="28"/>
          <w:szCs w:val="28"/>
          <w:rtl w:val="true"/>
          <w:lang w:bidi="ar-SA"/>
        </w:rPr>
        <w:t>غاية</w:t>
      </w:r>
      <w:r>
        <w:rPr>
          <w:rStyle w:val="FootnoteAnchor"/>
          <w:rtl w:val="true"/>
        </w:rPr>
        <w:footnoteReference w:id="774"/>
      </w:r>
      <w:r>
        <w:rPr>
          <w:rFonts w:ascii="Amiri" w:hAnsi="Amiri" w:eastAsia="Amiri" w:cs="Amiri"/>
          <w:color w:val="111111"/>
          <w:sz w:val="28"/>
          <w:sz w:val="28"/>
          <w:szCs w:val="28"/>
          <w:rtl w:val="true"/>
          <w:lang w:bidi="ar-SA"/>
        </w:rPr>
        <w:t>ما في الباب أنّه على تقدير التجوّز يلزم ملاحظة الوضع للمعنى الآخر غير المستعمل فيه، وعلى تقدير الحقيقة ملاحظته له، وهذا لا يجدي نفعًا في المعارضة، فملاحظة الوضع على التقديرين متعارضتان، فتبقى ملاحظة العلاقة على تقدير التجوّز معارضة لأصالة عدم الوضع على تقدير الحقيقة، فلا يبقى للتجوّز 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 اللازم على تقدير التجوّز ملاحظة الموضوع له لا من حيث إنّه موضوع له، بل من حيث إنّ ملاحظة العلاقة لا يمكن بدونها، فلم يوجد هناك ملاحظتان تنفك إحداهما عن الأخرى، بل في الحقيقة ليست إلّا ملاحظة</w:t>
      </w:r>
      <w:r>
        <w:rPr>
          <w:rStyle w:val="FootnoteAnchor"/>
          <w:rtl w:val="true"/>
        </w:rPr>
        <w:footnoteReference w:id="775"/>
      </w:r>
      <w:r>
        <w:rPr>
          <w:rFonts w:ascii="Amiri" w:hAnsi="Amiri" w:eastAsia="Amiri" w:cs="Amiri"/>
          <w:color w:val="111111"/>
          <w:sz w:val="28"/>
          <w:sz w:val="28"/>
          <w:szCs w:val="28"/>
          <w:rtl w:val="true"/>
          <w:lang w:bidi="ar-SA"/>
        </w:rPr>
        <w:t>العلاقة، فتمّ الاستدلال</w:t>
      </w:r>
      <w:r>
        <w:rPr>
          <w:rFonts w:eastAsia="Amiri" w:cs="Amiri" w:ascii="Amiri" w:hAnsi="Amiri"/>
          <w:color w:val="111111"/>
          <w:sz w:val="28"/>
          <w:szCs w:val="28"/>
          <w:rtl w:val="true"/>
          <w:lang w:bidi="ar-SA"/>
        </w:rPr>
        <w:t>.</w:t>
      </w:r>
    </w:p>
    <w:p>
      <w:pPr>
        <w:pStyle w:val="Heading6"/>
        <w:numPr>
          <w:ilvl w:val="5"/>
          <w:numId w:val="1"/>
        </w:numPr>
        <w:rPr/>
      </w:pPr>
      <w:bookmarkStart w:id="939" w:name="__RefHeading___Toc3520287_1280447820"/>
      <w:bookmarkStart w:id="940" w:name="_Toc362"/>
      <w:bookmarkEnd w:id="939"/>
      <w:r>
        <w:rPr>
          <w:rtl w:val="true"/>
        </w:rPr>
        <w:t>الدليل الثاني</w:t>
      </w:r>
      <w:bookmarkEnd w:id="940"/>
    </w:p>
    <w:p>
      <w:pPr>
        <w:pStyle w:val="Heading6"/>
        <w:numPr>
          <w:ilvl w:val="5"/>
          <w:numId w:val="1"/>
        </w:numPr>
        <w:rPr/>
      </w:pPr>
      <w:bookmarkStart w:id="941" w:name="__RefHeading___Toc3520289_1280447820"/>
      <w:bookmarkStart w:id="942" w:name="_Toc363"/>
      <w:bookmarkEnd w:id="941"/>
      <w:r>
        <w:rPr>
          <w:rtl w:val="true"/>
        </w:rPr>
        <w:t>اشارة</w:t>
      </w:r>
      <w:bookmarkEnd w:id="942"/>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تتبّع اللغات وتصفّح المحاورات وتظافر المخاطبات يكشف أنّ اللفظ المستعمل في المعنيين أو أكثر كونه حقيقة ومجازًا أغلب من كونه حقيقةً في الجميع، وقد مرّ مرارًا أنّ الظنّ يحكم بإلحاق المشتبه بالأغلب</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بالأكثريّة إمّا فيما ثبتت فيه المجازيّة، أو في المشتبه، والأوّل لا نزاع فيه، فلا دخل له فيما نحن فيه، والثاني أوّل الكلام والاستناد إليه لإثبات المرام مصادرة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الجواب عن مثل ذلك فيما تقدّم، محصّله</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نختار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ثبتت المجازيّة في أغلب الموارد وأكثر المواضع، فحمل المشتبه عليه أولى من حمله على الأقلّ، وجه ذلك أنّ ثبوت الأكثريّة موجبة للظنّ بأنّ المشتبه من ذلك، والظنّ في أمثال ذلك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ويرشدك إلى اعتبار هذا الظنّ في هذا المقام ما دلّ على اعتباره في الحكم الشرعيّ، مثل ما دلّ على حلّيّة ما يباع في أسواق المسلمين وإن كان المأخوذ منه ممّن جهل حاله، كموثّقة إسحاق بن عمّار عن مولانا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w:t>
      </w:r>
      <w:r>
        <w:rPr>
          <w:rStyle w:val="FootnoteAnchor"/>
          <w:rtl w:val="true"/>
        </w:rPr>
        <w:footnoteReference w:id="778"/>
      </w:r>
      <w:r>
        <w:rPr>
          <w:rFonts w:ascii="IRNazanin" w:hAnsi="IRNazanin" w:eastAsia="IRNazanin"/>
          <w:color w:val="111111"/>
          <w:sz w:val="28"/>
          <w:sz w:val="28"/>
          <w:szCs w:val="28"/>
          <w:rtl w:val="true"/>
          <w:lang w:bidi="fa-IR"/>
        </w:rPr>
        <w:t>فيما صنع في أرض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فيها غير أهل الإسلام؟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الغالب عليها المسلمين</w:t>
      </w:r>
      <w:r>
        <w:rPr>
          <w:rStyle w:val="FootnoteAnchor"/>
          <w:rtl w:val="true"/>
        </w:rPr>
        <w:footnoteReference w:id="779"/>
      </w:r>
      <w:r>
        <w:rPr>
          <w:rFonts w:ascii="IRNazanin" w:hAnsi="IRNazanin" w:eastAsia="IRNazanin"/>
          <w:color w:val="111111"/>
          <w:sz w:val="28"/>
          <w:sz w:val="28"/>
          <w:szCs w:val="28"/>
          <w:rtl w:val="true"/>
          <w:lang w:bidi="fa-IR"/>
        </w:rPr>
        <w:t>فلا بأس</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المذكور يحتمل أن يكون في نفس الأمر والواقع معنًى حقيقيًّا، والحكم بالمجازيّة ينافيه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 يكون معنًى حقيقيًّا في الواقع، كذلك يحتمل أن يكون معنًى مجازيًّا، فالحكم بالحقيقيّة أيضًا ينافيه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الإيراد المذكور لا اختصاص له على تقدير المجازيّة؛ لوروده على احتمال الاشتراك أيضًا، لكنّ احتمال المجازيّة أولى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أكثريّة المجاز بالمعنى المذكور ممّا لا ريب فيه وإن ذهب القائل بالاشتراك إلى خلافه، وقد تقدّم مستنده في ذلك مع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هذا المقام فيما ذكره بعض الأعلام في أكثريّة الاشتراك، وهو أنّه ما من لفظٍ إلّا وهو مشترك بين معناه ونفس اللفظ،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 وهكذا، ولم يثبت التجوّز في جميع الألفاظ، فكان الاشتراك أكثر</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أنّك قد عرفت أنّ المراد أنّ اللفظ المستعمل في المعنى المتعدّد كونه حقيقةً ومجازًا أكثر من كونه حقيقة في الجميع، ولا ينافيه أكثريّة الاشتراك في غير محلّ الكلام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تحقّق الاشتراك فيما ذكر غير مسلّم؛ لأنّ الظاهر اعتبار وحدة النوع في المشترك بأن يكون اللفظ في كلا الاستعمالين إمّا حرفًا، أو فعلًا، أو اسمًا، وليس الأمر فيما نحن فيه كذلك؛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إفادته الابتداء حرفٌ، وفي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وهكذا في الباقي، فاختلف النوعان في الموضعين، فلم يتحقّق الاشتراك</w:t>
      </w:r>
      <w:r>
        <w:rPr>
          <w:rFonts w:eastAsia="Amiri" w:cs="Amiri" w:ascii="Amiri" w:hAnsi="Amiri"/>
          <w:color w:val="111111"/>
          <w:sz w:val="28"/>
          <w:szCs w:val="28"/>
          <w:rtl w:val="true"/>
          <w:lang w:bidi="ar-SA"/>
        </w:rPr>
        <w:t xml:space="preserve">. </w:t>
      </w:r>
      <w:bookmarkStart w:id="943" w:name="pg16214_221833"/>
    </w:p>
    <w:p>
      <w:pPr>
        <w:pStyle w:val="Heading6"/>
        <w:numPr>
          <w:ilvl w:val="5"/>
          <w:numId w:val="1"/>
        </w:numPr>
        <w:rPr/>
      </w:pPr>
      <w:bookmarkStart w:id="944" w:name="__RefHeading___Toc3520291_1280447820"/>
      <w:bookmarkStart w:id="945" w:name="_Toc364"/>
      <w:bookmarkEnd w:id="943"/>
      <w:bookmarkEnd w:id="944"/>
      <w:r>
        <w:rPr>
          <w:rtl w:val="true"/>
        </w:rPr>
        <w:t>إيراد كلام لدفع تضادّ</w:t>
      </w:r>
      <w:bookmarkEnd w:id="945"/>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تقدّم مرارًا أنّ الأصل في الاستعمال الحقيقة، وتمسّكنا فيما نحن فيه بأغلبيّة المجاز من الحقيقة، وقد تمسّك بها أئمّة الأصول في مواضع متعدّدة</w:t>
      </w:r>
      <w:r>
        <w:rPr>
          <w:rStyle w:val="FootnoteAnchor"/>
          <w:rtl w:val="true"/>
        </w:rPr>
        <w:footnoteReference w:id="782"/>
      </w:r>
      <w:r>
        <w:rPr>
          <w:rFonts w:ascii="Amiri" w:hAnsi="Amiri" w:eastAsia="Amiri" w:cs="Amiri"/>
          <w:color w:val="111111"/>
          <w:sz w:val="28"/>
          <w:sz w:val="28"/>
          <w:szCs w:val="28"/>
          <w:rtl w:val="true"/>
          <w:lang w:bidi="ar-SA"/>
        </w:rPr>
        <w:t xml:space="preserve">، وبينهما منافاة؛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الاستعمال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فيه الحقيقة، فلو كان المجاز أكثر يكون الظاهر ذلك كما لا يخفى، ففيه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الكلامين مختلف؛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الاستعمال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يتمسّك به فيما إذا لم يعلم المستعمل فيه وعلم المعنى الحقيقيّ والمجازيّ، وغلبة المجاز إنّما يتمسّك بها فيما إذا كان الأمر على عكس ذلك، أي علم المستعمل فيه ولم يعلم أنّه فيه حقيقة أو مجاز، فيرجّح المجازيّة بالأغلبيّة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فيما تقدّم أنّه إذا ظهر المستعمل فيه للفظ</w:t>
      </w:r>
      <w:r>
        <w:rPr>
          <w:rStyle w:val="FootnoteAnchor"/>
          <w:rtl w:val="true"/>
        </w:rPr>
        <w:footnoteReference w:id="783"/>
      </w:r>
      <w:r>
        <w:rPr>
          <w:rFonts w:ascii="Amiri" w:hAnsi="Amiri" w:eastAsia="Amiri" w:cs="Amiri"/>
          <w:color w:val="111111"/>
          <w:sz w:val="28"/>
          <w:sz w:val="28"/>
          <w:szCs w:val="28"/>
          <w:rtl w:val="true"/>
          <w:lang w:bidi="ar-SA"/>
        </w:rPr>
        <w:t>وكان واحدًا ولم يعلم الحقيقة ولا المجاز، الأصل أن يكون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التمسّك بغلبة المجاز في صورة تعدّد المستعمل فيه كما فيما نحن فيه، وأمّا عند وحدته فلا،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المجاز الّذي لا حقيقة له إمّا ممتنع الوجود، أو نادر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المعاني المجازيّة أكثر من المعاني الحقيقيّة، والظنّ إنّما يلحق الشيء بالأغلب، فليكن المعنى المعلوم معنًى مجازيًّا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أكثريّة المعاني المجازيّة من الحقيقيّة</w:t>
      </w:r>
      <w:r>
        <w:rPr>
          <w:rStyle w:val="FootnoteAnchor"/>
          <w:rtl w:val="true"/>
        </w:rPr>
        <w:footnoteReference w:id="784"/>
      </w:r>
      <w:r>
        <w:rPr>
          <w:rFonts w:ascii="Amiri" w:hAnsi="Amiri" w:eastAsia="Amiri" w:cs="Amiri"/>
          <w:color w:val="111111"/>
          <w:sz w:val="28"/>
          <w:sz w:val="28"/>
          <w:szCs w:val="28"/>
          <w:rtl w:val="true"/>
          <w:lang w:bidi="ar-SA"/>
        </w:rPr>
        <w:t xml:space="preserve">لها احتمالات أربعة قد تقدّم تحقيق </w:t>
      </w:r>
      <w:bookmarkStart w:id="946" w:name="pg16214_221834"/>
    </w:p>
    <w:p>
      <w:pPr>
        <w:pStyle w:val="BookText"/>
        <w:rPr/>
      </w:pPr>
      <w:bookmarkEnd w:id="946"/>
      <w:r>
        <w:rPr>
          <w:rFonts w:ascii="Amiri" w:hAnsi="Amiri" w:eastAsia="Amiri" w:cs="Amiri"/>
          <w:color w:val="111111"/>
          <w:sz w:val="28"/>
          <w:sz w:val="28"/>
          <w:szCs w:val="28"/>
          <w:rtl w:val="true"/>
          <w:lang w:bidi="ar-SA"/>
        </w:rPr>
        <w:t>الحال فيها بما لا مزيد عليه، وعلى أيّ حال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معارضة بما تقدّم من ندرة تحقّق المجاز من غير حقيقة وأكثريّة استعمال اللفظ في المعنى الحقيقيّ، مضافًا إلى ما تقدّم من الاستدلال على الحقيقة في الصورة المفروضة</w:t>
      </w:r>
      <w:r>
        <w:rPr>
          <w:rFonts w:eastAsia="Amiri" w:cs="Amiri" w:ascii="Amiri" w:hAnsi="Amiri"/>
          <w:color w:val="111111"/>
          <w:sz w:val="28"/>
          <w:szCs w:val="28"/>
          <w:rtl w:val="true"/>
          <w:lang w:bidi="ar-SA"/>
        </w:rPr>
        <w:t>.</w:t>
      </w:r>
    </w:p>
    <w:p>
      <w:pPr>
        <w:pStyle w:val="Heading6"/>
        <w:numPr>
          <w:ilvl w:val="5"/>
          <w:numId w:val="1"/>
        </w:numPr>
        <w:rPr/>
      </w:pPr>
      <w:bookmarkStart w:id="947" w:name="__RefHeading___Toc3520293_1280447820"/>
      <w:bookmarkStart w:id="948" w:name="_Toc365"/>
      <w:bookmarkEnd w:id="947"/>
      <w:r>
        <w:rPr>
          <w:rtl w:val="true"/>
        </w:rPr>
        <w:t>الدليل الثالث</w:t>
      </w:r>
      <w:bookmarkEnd w:id="948"/>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المجاز ومفاسد الاشتراك</w:t>
      </w:r>
      <w:r>
        <w:rPr>
          <w:rFonts w:eastAsia="Amiri" w:cs="Amiri" w:ascii="Amiri" w:hAnsi="Amiri"/>
          <w:color w:val="111111"/>
          <w:sz w:val="28"/>
          <w:szCs w:val="28"/>
          <w:rtl w:val="true"/>
          <w:lang w:bidi="ar-SA"/>
        </w:rPr>
        <w:t>.</w:t>
      </w:r>
    </w:p>
    <w:p>
      <w:pPr>
        <w:pStyle w:val="Heading5"/>
        <w:numPr>
          <w:ilvl w:val="4"/>
          <w:numId w:val="1"/>
        </w:numPr>
        <w:rPr/>
      </w:pPr>
      <w:bookmarkStart w:id="949" w:name="__RefHeading___Toc3520295_1280447820"/>
      <w:bookmarkStart w:id="950" w:name="_Toc366"/>
      <w:bookmarkEnd w:id="949"/>
      <w:r>
        <w:rPr>
          <w:rtl w:val="true"/>
        </w:rPr>
        <w:t>فوائد المجاز</w:t>
      </w:r>
      <w:bookmarkEnd w:id="950"/>
    </w:p>
    <w:p>
      <w:pPr>
        <w:pStyle w:val="Heading6"/>
        <w:numPr>
          <w:ilvl w:val="5"/>
          <w:numId w:val="1"/>
        </w:numPr>
        <w:rPr/>
      </w:pPr>
      <w:bookmarkStart w:id="951" w:name="__RefHeading___Toc3520297_1280447820"/>
      <w:bookmarkStart w:id="952" w:name="_Toc367"/>
      <w:bookmarkEnd w:id="951"/>
      <w:r>
        <w:rPr>
          <w:rtl w:val="true"/>
        </w:rPr>
        <w:t>اشارة</w:t>
      </w:r>
      <w:bookmarkEnd w:id="952"/>
    </w:p>
    <w:p>
      <w:pPr>
        <w:pStyle w:val="BookText"/>
        <w:rPr/>
      </w:pPr>
      <w:r>
        <w:rPr>
          <w:rFonts w:ascii="IRNazanin" w:hAnsi="IRNazanin" w:eastAsia="IRNazanin"/>
          <w:color w:val="111111"/>
          <w:sz w:val="28"/>
          <w:sz w:val="28"/>
          <w:szCs w:val="28"/>
          <w:rtl w:val="true"/>
          <w:lang w:bidi="fa-IR"/>
        </w:rPr>
        <w:t>أمّا فوائد المجاز فمنها</w:t>
      </w:r>
      <w:r>
        <w:rPr>
          <w:rFonts w:eastAsia="IRNazanin" w:cs="IRNazanin"/>
          <w:color w:val="111111"/>
          <w:sz w:val="28"/>
          <w:szCs w:val="28"/>
          <w:rtl w:val="true"/>
          <w:lang w:bidi="fa-IR"/>
        </w:rPr>
        <w:t>:</w:t>
      </w:r>
    </w:p>
    <w:p>
      <w:pPr>
        <w:pStyle w:val="Heading6"/>
        <w:numPr>
          <w:ilvl w:val="5"/>
          <w:numId w:val="1"/>
        </w:numPr>
        <w:rPr/>
      </w:pPr>
      <w:bookmarkStart w:id="953" w:name="__RefHeading___Toc3520299_1280447820"/>
      <w:bookmarkStart w:id="954" w:name="_Toc368"/>
      <w:bookmarkEnd w:id="953"/>
      <w:r>
        <w:rPr>
          <w:rtl w:val="true"/>
        </w:rPr>
        <w:t>الفائدة الأولى</w:t>
      </w:r>
      <w:bookmarkEnd w:id="954"/>
    </w:p>
    <w:p>
      <w:pPr>
        <w:pStyle w:val="Heading6"/>
        <w:numPr>
          <w:ilvl w:val="5"/>
          <w:numId w:val="1"/>
        </w:numPr>
        <w:rPr/>
      </w:pPr>
      <w:bookmarkStart w:id="955" w:name="__RefHeading___Toc3520301_1280447820"/>
      <w:bookmarkStart w:id="956" w:name="_Toc369"/>
      <w:bookmarkEnd w:id="955"/>
      <w:r>
        <w:rPr>
          <w:rtl w:val="true"/>
        </w:rPr>
        <w:t>اشارة</w:t>
      </w:r>
      <w:bookmarkEnd w:id="956"/>
    </w:p>
    <w:p>
      <w:pPr>
        <w:pStyle w:val="BookText"/>
        <w:rPr/>
      </w:pPr>
      <w:r>
        <w:rPr>
          <w:rFonts w:ascii="Amiri" w:hAnsi="Amiri" w:eastAsia="Amiri" w:cs="Amiri"/>
          <w:color w:val="111111"/>
          <w:sz w:val="28"/>
          <w:sz w:val="28"/>
          <w:szCs w:val="28"/>
          <w:rtl w:val="true"/>
          <w:lang w:bidi="ar-SA"/>
        </w:rPr>
        <w:t>أنّه قد يكون أبلغ؛ لأنّ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اشتعل الرأس شيبًا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أبلغ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شبت</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الدليل بحث؛ لأنّ المراد إمّا أن يكون أبلغيّة كلّ مجاز من كلّ حقيقة، أو أبلغيّته منها فيما إذا دار الأمر بينه وبين الاشتراك، أو في الجملة، 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يثبت به المدّعي، لكنّه غير مسلّم، والمستدلّ أيضًا غير مدّعٍ لذلك، كما يدلّ عليه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في المضارع على التقليل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اشترك مع الأوّل في إثبات المدّعي بذلك، لكنّه على فرض تسليمه لا يساعده المثال المذكور؛ لوضوح أنّ محلّ الكلام فيما نحن فيه فيما إذا تعدّد </w:t>
      </w:r>
    </w:p>
    <w:p>
      <w:pPr>
        <w:pStyle w:val="BookText"/>
        <w:rPr/>
      </w:pPr>
      <w:r>
        <w:rPr>
          <w:rFonts w:ascii="Amiri" w:hAnsi="Amiri" w:eastAsia="Amiri" w:cs="Amiri"/>
          <w:color w:val="111111"/>
          <w:sz w:val="28"/>
          <w:sz w:val="28"/>
          <w:szCs w:val="28"/>
          <w:rtl w:val="true"/>
          <w:lang w:bidi="ar-SA"/>
        </w:rPr>
        <w:t>المستعمل فيه واللفظ واحد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فيه</w:t>
      </w:r>
      <w:r>
        <w:rPr>
          <w:rStyle w:val="FootnoteAnchor"/>
          <w:rtl w:val="true"/>
        </w:rPr>
        <w:footnoteReference w:id="786"/>
      </w:r>
      <w:r>
        <w:rPr>
          <w:rFonts w:ascii="Amiri" w:hAnsi="Amiri" w:eastAsia="Amiri" w:cs="Amiri"/>
          <w:color w:val="111111"/>
          <w:sz w:val="28"/>
          <w:sz w:val="28"/>
          <w:szCs w:val="28"/>
          <w:rtl w:val="true"/>
          <w:lang w:bidi="ar-SA"/>
        </w:rPr>
        <w:t>بالعكس؛ لأنّ المراد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اشتعل الرأس شيبًا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واللفظ متعدّد؛ ولا يمكن اعتبار ذلك بالنسبة إلى لفظ</w:t>
      </w:r>
      <w:r>
        <w:rPr>
          <w:rStyle w:val="FootnoteAnchor"/>
          <w:rtl w:val="true"/>
        </w:rPr>
        <w:footnoteReference w:id="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معناه وما أريد منه في هذا المقام؛ لأنّ اللفظ حينئذٍ وإن كان واحدًا والمستعمل فيه متعدّدًا، لكن كلام المستدلّ صريح في اعتبار الأبلغيّة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الإغماض عن ذلك يكون المراد على ذلك التقدير أبلغيّة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الشيبوبة على تقدير كونه مجازًا منه في ذلك المعنى على تقدير كونه حقيقة فيه؛ وحينئذٍ يتوجّه منع الأغلبيّة؛ إذ المدلول حينئذٍ واحد، فإن تحقّقت تحقّقت على التقديرين وإلّا فلا، فتأمّل</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مسلّمًا والاستدلال عليه منطبقًا، لكنّه لم يثبت به المدّعي؛ لأنّ أغلبيّة المجاز في موضع كيف يصير سببًا لرجحانه على الحقيقة مطلقًا حتّى يثبت به أولويّة المجاز من الاشتراك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ذلك باختيار الثالث</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أغلبيّة المجاز في موضع كيف يصير سببًا لرجحانه على الحقيقة فيما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ثبتت الأغلبيّة له بالنسبة إليها في موضع احتملت في جميع المواضع، فدار الأمر بين حمل اللفظ على محتمل الأبلغيّة وغيره؛ وظاهرٌ أولويّة الأوّل من الثاني</w:t>
      </w:r>
      <w:r>
        <w:rPr>
          <w:rFonts w:eastAsia="Amiri" w:cs="Amiri" w:ascii="Amiri" w:hAnsi="Amiri"/>
          <w:color w:val="111111"/>
          <w:sz w:val="28"/>
          <w:szCs w:val="28"/>
          <w:rtl w:val="true"/>
          <w:lang w:bidi="ar-SA"/>
        </w:rPr>
        <w:t xml:space="preserve">. </w:t>
      </w:r>
      <w:bookmarkStart w:id="957" w:name="pg16214_221836"/>
    </w:p>
    <w:p>
      <w:pPr>
        <w:pStyle w:val="BookText"/>
        <w:rPr/>
      </w:pPr>
      <w:bookmarkEnd w:id="957"/>
      <w:r>
        <w:rPr>
          <w:rFonts w:ascii="Amiri" w:hAnsi="Amiri" w:eastAsia="Amiri" w:cs="Amiri"/>
          <w:color w:val="111111"/>
          <w:sz w:val="28"/>
          <w:sz w:val="28"/>
          <w:szCs w:val="28"/>
          <w:rtl w:val="true"/>
          <w:lang w:bidi="ar-SA"/>
        </w:rPr>
        <w:t>لكن يرد عليه ما أشرنا إليه آنفًا من أنّ المستعمل فيه فيما نحن فيه شيء واحد، فإن تحقّق احتمال الأبلغيّة تحقّق، سواء كان اللفظ مجازًا أو مشتركًا، وإلّا فلا على التقديرين، فلا يتفاوت الحال بين كونه مشتركًا أو مجازًا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أيضًا بأنّه على تقدير الاشتراك لمّا كان مصحّح الاستعمال فيه الوضع، يكون اللفظ دالًّا على الموضوع له، فلا يتصوّر فيه الاختلاف حتّى يتحقّق</w:t>
      </w:r>
      <w:r>
        <w:rPr>
          <w:rStyle w:val="FootnoteAnchor"/>
          <w:rtl w:val="true"/>
        </w:rPr>
        <w:footnoteReference w:id="789"/>
      </w:r>
      <w:r>
        <w:rPr>
          <w:rFonts w:ascii="Amiri" w:hAnsi="Amiri" w:eastAsia="Amiri" w:cs="Amiri"/>
          <w:color w:val="111111"/>
          <w:sz w:val="28"/>
          <w:sz w:val="28"/>
          <w:szCs w:val="28"/>
          <w:rtl w:val="true"/>
          <w:lang w:bidi="ar-SA"/>
        </w:rPr>
        <w:t>الأبلغيّة، وعلى تقدير المجازيّة لمّا كان المصحّح فيه العلاقة يتصوّر الاختلاف، فيمكن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المستعمل فيه وإن كان واحدًا من حيث الذات، لكنّه متغاير بالاعتبار، فبأحد الاعتبارين يمكن تحقّق الأبلغيّة دون الآخر</w:t>
      </w:r>
      <w:r>
        <w:rPr>
          <w:rFonts w:eastAsia="Amiri" w:cs="Amiri" w:ascii="Amiri" w:hAnsi="Amiri"/>
          <w:color w:val="111111"/>
          <w:sz w:val="28"/>
          <w:szCs w:val="28"/>
          <w:rtl w:val="true"/>
          <w:lang w:bidi="ar-SA"/>
        </w:rPr>
        <w:t>.</w:t>
      </w:r>
    </w:p>
    <w:p>
      <w:pPr>
        <w:pStyle w:val="Heading6"/>
        <w:numPr>
          <w:ilvl w:val="5"/>
          <w:numId w:val="1"/>
        </w:numPr>
        <w:rPr/>
      </w:pPr>
      <w:bookmarkStart w:id="958" w:name="__RefHeading___Toc3520303_1280447820"/>
      <w:bookmarkStart w:id="959" w:name="_Toc370"/>
      <w:bookmarkEnd w:id="958"/>
      <w:r>
        <w:rPr>
          <w:rtl w:val="true"/>
        </w:rPr>
        <w:t>تحرير قال لإفضاح مقال</w:t>
      </w:r>
      <w:bookmarkEnd w:id="959"/>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البلاغة، كما يجوز أن يكون من المبالغة، لكن من جملة الأدلّة الّتي تمسّكوا بها لرجحان المجاز أوفقيّته للمقام على ما سيجيء، وهو قرينة على كون الأبلغ فيما نحن فيه من المبالغة، لا من البلاغة؛ لئلّا يلزم التكرار</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أجيب عن ذلك بأنّ المأخوذ في البلاغة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والفصاحة؛ لأنّ البلاغة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مطابقته لمقتضى الحال مع فصاحته، والفصاحة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خلوصه من ضعف التأليف وتنافر الكلمات والتعقيد</w:t>
      </w:r>
      <w:r>
        <w:rPr>
          <w:rStyle w:val="FootnoteAnchor"/>
          <w:rtl w:val="true"/>
        </w:rPr>
        <w:footnoteReference w:id="791"/>
      </w:r>
      <w:r>
        <w:rPr>
          <w:rFonts w:ascii="Amiri" w:hAnsi="Amiri" w:eastAsia="Amiri" w:cs="Amiri"/>
          <w:color w:val="111111"/>
          <w:sz w:val="28"/>
          <w:sz w:val="28"/>
          <w:szCs w:val="28"/>
          <w:rtl w:val="true"/>
          <w:lang w:bidi="ar-SA"/>
        </w:rPr>
        <w:t>فالموافقة</w:t>
      </w:r>
      <w:r>
        <w:rPr>
          <w:rStyle w:val="FootnoteAnchor"/>
          <w:rtl w:val="true"/>
        </w:rPr>
        <w:footnoteReference w:id="792"/>
      </w:r>
      <w:r>
        <w:rPr>
          <w:rFonts w:ascii="Amiri" w:hAnsi="Amiri" w:eastAsia="Amiri" w:cs="Amiri"/>
          <w:color w:val="111111"/>
          <w:sz w:val="28"/>
          <w:sz w:val="28"/>
          <w:szCs w:val="28"/>
          <w:rtl w:val="true"/>
          <w:lang w:bidi="ar-SA"/>
        </w:rPr>
        <w:t xml:space="preserve">بنفسها غير </w:t>
      </w:r>
    </w:p>
    <w:p>
      <w:pPr>
        <w:pStyle w:val="BookText"/>
        <w:rPr/>
      </w:pPr>
      <w:r>
        <w:rPr>
          <w:rFonts w:ascii="Amiri" w:hAnsi="Amiri" w:eastAsia="Amiri" w:cs="Amiri"/>
          <w:color w:val="111111"/>
          <w:sz w:val="28"/>
          <w:sz w:val="28"/>
          <w:szCs w:val="28"/>
          <w:rtl w:val="true"/>
          <w:lang w:bidi="ar-SA"/>
        </w:rPr>
        <w:t>كافية لتحقّق البلاغة؛ لأنّها أعمّ منها، لإمكان تحقّقها في الكلام الغير الفصيح مع عدم تحقّق البلاغة، ومعلوم أنّ تحقّق الأعمّ غير مستلزم لتحقّق الأخصّ المعيّن، فلا يلزم التكرار</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ذلك بأنّ الأمر وإن كان كذلك في نفس الأمر، لكنّه لا يجدي نفعًا فيما نحن فيه، إذ المستدلّ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اشتعل الرأس شيبًا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وأبلغيّته منه إنّما هو بالنسبة إلى أوفقيّته للمقام دونه، لا باعتبار الفصاحة، إذ هي متحقّقة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وحينئذٍ يلزم التكرار أيضًا</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الفرق بين الأبلغيّة والبلاغة ظاهر؛ إذ الأبلغيّة يمكن أن تكون مع أوفقيّة الكلام للمقام وأفصحيّته، والمتحقّق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الفصاحة،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الأبلغيّة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اشتعل الرأس شيبًا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الأوفقيّة والأفصحيّة، والمأخوذ في الدليل الآتي إنّما هو الأوفقيّة فقط، فالتكرار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المقصود أولويّة المجاز من الاشتراك عند المعارضة؛ لكون المجاز أبلغ وأوفق، وذكر الأوفقيّة بعد الأبلغيّة غير مستلزم للتكرار؛ لكون</w:t>
      </w:r>
      <w:r>
        <w:rPr>
          <w:rStyle w:val="FootnoteAnchor"/>
          <w:rtl w:val="true"/>
        </w:rPr>
        <w:footnoteReference w:id="795"/>
      </w:r>
      <w:r>
        <w:rPr>
          <w:rFonts w:ascii="Amiri" w:hAnsi="Amiri" w:eastAsia="Amiri" w:cs="Amiri"/>
          <w:color w:val="111111"/>
          <w:sz w:val="28"/>
          <w:sz w:val="28"/>
          <w:szCs w:val="28"/>
          <w:rtl w:val="true"/>
          <w:lang w:bidi="ar-SA"/>
        </w:rPr>
        <w:t>المعتبر في البلاغة الشيئين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انحصار التفاوت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اشتعل الرأس شيبًا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الأوفقيّة لا يلزم محذور؛ لما عرفت من عدم كونه ممّا نحن فيه، إذ </w:t>
      </w:r>
      <w:bookmarkStart w:id="960" w:name="pg16214_221838"/>
    </w:p>
    <w:p>
      <w:pPr>
        <w:pStyle w:val="BookText"/>
        <w:rPr/>
      </w:pPr>
      <w:bookmarkEnd w:id="960"/>
      <w:r>
        <w:rPr>
          <w:rFonts w:ascii="Amiri" w:hAnsi="Amiri" w:eastAsia="Amiri" w:cs="Amiri"/>
          <w:color w:val="111111"/>
          <w:sz w:val="28"/>
          <w:sz w:val="28"/>
          <w:szCs w:val="28"/>
          <w:rtl w:val="true"/>
          <w:lang w:bidi="ar-SA"/>
        </w:rPr>
        <w:t>المدّعى رجحان المجاز على الاشتراك عند المعارضة بأبلغيّة الأوّل وأوفقيّته، فيمكن أن يكون المجاز في بعض المواضع الّتي يكون ممّا نحن فيه موافقًا للمقام مع الفصاحة وفي بعضها انتفى الثاني، وعبّر عن الأوّل بالأبلغيّة، وعن الثاني بالأوفقيّة، فأين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961" w:name="__RefHeading___Toc3520305_1280447820"/>
      <w:bookmarkStart w:id="962" w:name="_Toc371"/>
      <w:bookmarkEnd w:id="961"/>
      <w:r>
        <w:rPr>
          <w:rtl w:val="true"/>
        </w:rPr>
        <w:t>إعادة كلام لتحقيق مقام</w:t>
      </w:r>
      <w:bookmarkEnd w:id="962"/>
    </w:p>
    <w:p>
      <w:pPr>
        <w:pStyle w:val="BookText"/>
        <w:rPr/>
      </w:pPr>
      <w:r>
        <w:rPr>
          <w:rFonts w:ascii="Amiri" w:hAnsi="Amiri" w:eastAsia="Amiri" w:cs="Amiri"/>
          <w:color w:val="111111"/>
          <w:sz w:val="28"/>
          <w:sz w:val="28"/>
          <w:szCs w:val="28"/>
          <w:rtl w:val="true"/>
          <w:lang w:bidi="ar-SA"/>
        </w:rPr>
        <w:t>ولا يتوهّمن ممّا ذكر أنّ مقصودنا جواز كون الأبلغيّة من البلاغة، بل المقصود أنّ ما ذكر في بيان عدم جواز كونها من ذلك غير تامّ، بل التحقيق خلافه؛ لما عرفت من أنّ البلاغة عبارة عن الموافقة والفصاحة، واللفظ لمّا كان فيما نحن فيه واحدًا، لمَّا يختلف الحال فيه في الاتّصاف بالفصاحة وعدمه على تقدير التجوّز والحقيقة، فالتفرقة منحصرة في الموافقة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المفروض عدم الاكتفاء بذكر البلاغة عن الموافقة، فلو جعل الأبلغ من البلاغة يلزم التكرار، ويمكن حمل كلام ذلك القائل عليه وإن كان فيه قصور عن إفادة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أنّ التفسير المذكور للبلاغة كما يتحقّق في المجازات، كذا يتحقّق في الحقائق؛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انحصار البلاغة في المجازات يقتضي إمّا عدم اشتمال القرآن على الحقائق، أو عدم كونه</w:t>
      </w:r>
      <w:r>
        <w:rPr>
          <w:rStyle w:val="FootnoteAnchor"/>
          <w:rtl w:val="true"/>
        </w:rPr>
        <w:footnoteReference w:id="796"/>
      </w:r>
      <w:r>
        <w:rPr>
          <w:rFonts w:ascii="Amiri" w:hAnsi="Amiri" w:eastAsia="Amiri" w:cs="Amiri"/>
          <w:color w:val="111111"/>
          <w:sz w:val="28"/>
          <w:sz w:val="28"/>
          <w:szCs w:val="28"/>
          <w:rtl w:val="true"/>
          <w:lang w:bidi="ar-SA"/>
        </w:rPr>
        <w:t>بتمامه بليغًا، والتالي بشقّيه فاسد على ما تقدّم، فالمقدّم مثله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المقصود نفي البلاغة في مطلق الحقيقة، بل في خصوص الحقيقة الّتي كلامنا فيها، فإنّه لمّا كان اللفظ فيما نحن فيه على تقدير الحقيقة ملزومًا </w:t>
      </w:r>
      <w:bookmarkStart w:id="963" w:name="pg16214_221839"/>
    </w:p>
    <w:p>
      <w:pPr>
        <w:pStyle w:val="BookText"/>
        <w:rPr/>
      </w:pPr>
      <w:bookmarkEnd w:id="963"/>
      <w:r>
        <w:rPr>
          <w:rFonts w:ascii="Amiri" w:hAnsi="Amiri" w:eastAsia="Amiri" w:cs="Amiri"/>
          <w:color w:val="111111"/>
          <w:sz w:val="28"/>
          <w:sz w:val="28"/>
          <w:szCs w:val="28"/>
          <w:rtl w:val="true"/>
          <w:lang w:bidi="ar-SA"/>
        </w:rPr>
        <w:t>للاشتراك</w:t>
      </w:r>
      <w:r>
        <w:rPr>
          <w:rStyle w:val="FootnoteAnchor"/>
          <w:rtl w:val="true"/>
        </w:rPr>
        <w:footnoteReference w:id="797"/>
      </w:r>
      <w:r>
        <w:rPr>
          <w:rFonts w:ascii="Amiri" w:hAnsi="Amiri" w:eastAsia="Amiri" w:cs="Amiri"/>
          <w:color w:val="111111"/>
          <w:sz w:val="28"/>
          <w:sz w:val="28"/>
          <w:szCs w:val="28"/>
          <w:rtl w:val="true"/>
          <w:lang w:bidi="ar-SA"/>
        </w:rPr>
        <w:t>وهو يقتضي الإجمال، فلا يتحقّق معه البلاغة، وتحقّقها في بعض الحقيقة لا يجدي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لو كان موجبًا لعدم الاتّصاف بالبلاغة؛ لكان عدم اتّصاف المجاز بها أولى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الإجمال قد يكون مقتضى الحال، فمعه يتحقّق</w:t>
      </w:r>
      <w:r>
        <w:rPr>
          <w:rStyle w:val="FootnoteAnchor"/>
          <w:rtl w:val="true"/>
        </w:rPr>
        <w:footnoteReference w:id="798"/>
      </w:r>
      <w:r>
        <w:rPr>
          <w:rFonts w:ascii="Amiri" w:hAnsi="Amiri" w:eastAsia="Amiri" w:cs="Amiri"/>
          <w:color w:val="111111"/>
          <w:sz w:val="28"/>
          <w:sz w:val="28"/>
          <w:szCs w:val="28"/>
          <w:rtl w:val="true"/>
          <w:lang w:bidi="ar-SA"/>
        </w:rPr>
        <w:t>البلاغة في تلك الحال، وأيضًا إنّ الاشتراك لو كان منافيًا للبلاغة، لزم إمّا عدم اشتمال القرآن على الاشتراك، أو عدم كونه بتمامه بليغًا، وفساد التالي بشقّيه غير خفيّ على أولي الأبصار</w:t>
      </w:r>
      <w:r>
        <w:rPr>
          <w:rFonts w:eastAsia="Amiri" w:cs="Amiri" w:ascii="Amiri" w:hAnsi="Amiri"/>
          <w:color w:val="111111"/>
          <w:sz w:val="28"/>
          <w:szCs w:val="28"/>
          <w:rtl w:val="true"/>
          <w:lang w:bidi="ar-SA"/>
        </w:rPr>
        <w:t>.</w:t>
      </w:r>
    </w:p>
    <w:p>
      <w:pPr>
        <w:pStyle w:val="Heading6"/>
        <w:numPr>
          <w:ilvl w:val="5"/>
          <w:numId w:val="1"/>
        </w:numPr>
        <w:rPr/>
      </w:pPr>
      <w:bookmarkStart w:id="964" w:name="__RefHeading___Toc3520307_1280447820"/>
      <w:bookmarkStart w:id="965" w:name="_Toc372"/>
      <w:bookmarkEnd w:id="964"/>
      <w:r>
        <w:rPr>
          <w:rtl w:val="true"/>
        </w:rPr>
        <w:t>الحقّ في المسألة</w:t>
      </w:r>
      <w:bookmarkEnd w:id="965"/>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الأبلغيّة في المقام من المبالغة، فحينئذٍ لا يرد عليه شيء ممّا ذكر، أمّا بالنسبة إلى ما ذكر أوّلًا فظاهر، وأمّا بالنسبة إلى ما ذكرنا فلأنّ المبالغة إنّما يمكن تحقّقها فيما يقبل الزيادة والنقصان والشدّة والضعف، والمعاني الحقيقية</w:t>
      </w:r>
      <w:r>
        <w:rPr>
          <w:rStyle w:val="FootnoteAnchor"/>
          <w:rtl w:val="true"/>
        </w:rPr>
        <w:footnoteReference w:id="799"/>
      </w:r>
      <w:r>
        <w:rPr>
          <w:rFonts w:ascii="Amiri" w:hAnsi="Amiri" w:eastAsia="Amiri" w:cs="Amiri"/>
          <w:color w:val="111111"/>
          <w:sz w:val="28"/>
          <w:sz w:val="28"/>
          <w:szCs w:val="28"/>
          <w:rtl w:val="true"/>
          <w:lang w:bidi="ar-SA"/>
        </w:rPr>
        <w:t>لمّا كانت ملحوظة</w:t>
      </w:r>
      <w:r>
        <w:rPr>
          <w:rStyle w:val="FootnoteAnchor"/>
          <w:rtl w:val="true"/>
        </w:rPr>
        <w:footnoteReference w:id="800"/>
      </w:r>
      <w:r>
        <w:rPr>
          <w:rFonts w:ascii="Amiri" w:hAnsi="Amiri" w:eastAsia="Amiri" w:cs="Amiri"/>
          <w:color w:val="111111"/>
          <w:sz w:val="28"/>
          <w:sz w:val="28"/>
          <w:szCs w:val="28"/>
          <w:rtl w:val="true"/>
          <w:lang w:bidi="ar-SA"/>
        </w:rPr>
        <w:t>في نظر الواضع على الخصوص، فكانت دلالة الألفاظ بتعيينه</w:t>
      </w:r>
      <w:r>
        <w:rPr>
          <w:rStyle w:val="FootnoteAnchor"/>
          <w:rtl w:val="true"/>
        </w:rPr>
        <w:footnoteReference w:id="801"/>
      </w:r>
      <w:r>
        <w:rPr>
          <w:rFonts w:ascii="Amiri" w:hAnsi="Amiri" w:eastAsia="Amiri" w:cs="Amiri"/>
          <w:color w:val="111111"/>
          <w:sz w:val="28"/>
          <w:sz w:val="28"/>
          <w:szCs w:val="28"/>
          <w:rtl w:val="true"/>
          <w:lang w:bidi="ar-SA"/>
        </w:rPr>
        <w:t xml:space="preserve">إيّاها </w:t>
      </w:r>
    </w:p>
    <w:p>
      <w:pPr>
        <w:pStyle w:val="BookText"/>
        <w:rPr/>
      </w:pPr>
      <w:r>
        <w:rPr>
          <w:rFonts w:ascii="Amiri" w:hAnsi="Amiri" w:eastAsia="Amiri" w:cs="Amiri"/>
          <w:color w:val="111111"/>
          <w:sz w:val="28"/>
          <w:sz w:val="28"/>
          <w:szCs w:val="28"/>
          <w:rtl w:val="true"/>
          <w:lang w:bidi="ar-SA"/>
        </w:rPr>
        <w:t>للدلالة عليها، فلا يتحقّق فيها ذلك كما لا يخفى، فانحصر أمر المبالغة في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معلوميّة المستعمل فيه فيما نحن فيه، وهو معنى مشخّص، فلا يتفاوت الحال بين كون اللفظ فيه حقيقة ومجازًا، فإن تحقّقت المبالغة تحقّقت على التقديرين، وإلّا فلا كذلك، وتحقّقها في المجاز في غير ذلك الموضع لا يصير سببًا لرجحانه على الاشتراك فيما لم يتحقّق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المستعمل فيه فيما نحن فيه وإن كانت مسلّمة، لكن انتفاء التفاوت بين التجوّز والاشتراك غير مسلّم؛ لأنّه على تقدير التجوّز لمّا كان المصحّح في الاستعمال فيه المناسبة بالنسبة إلى الغير يتصوّر فيه الزيادة والنقصان، وأمّا على تقدير الاشتراك لمّا كان المصحّح فيه الوضع فلا على ما تقدّم، فاتّضح الحال بإعانة الموفّق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بقي في المقام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المجاز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أصل المبالغة في الحقائق، مع أنّك قد عرفت ممّا ذكرنا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صيغة التفضيل من غير الثلاثيّ المجرّد غير جائز، فكيف يجوز الحكم بكون الأبلغ من المبالغة؟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المراد المعنى التفضيليّ في المقام، بل المراد تحقّق أصل المعنى،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عِنْدَ الله خَيْرٌ مِنَ اللَّهْوِ وَمِنَ التِّجَارَةِ</w:t>
      </w:r>
      <w:r>
        <w:rPr>
          <w:rStyle w:val="FootnoteAnchor"/>
          <w:rtl w:val="true"/>
        </w:rPr>
        <w:footnoteReference w:id="80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يظهر الجواب عن الثاني، إذ الأبلغ حينئذٍ يكون بمعنى المبالغة، فلم يلزم بناء التفضيل من غير الثلاثيّ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التجوّز في التكلّم والاستعمال مع كونه خلاف الأصل، وترك الحقيقة مع موافقتها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الرجحان لأصل المجاز عند المعارضة بينه وبين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إنّما يكون إذا كان المعنى الحقيقيّ والمجازيّ معلومين واختير التجوّز في الاستعمال دون الحقيقة، والثاني فيما إذا علم المستعمل فيه ولم يعلم أنّه على سبيل الحقيقة أو المجاز؛ ويرجّح الثاني بالاختيار لما فيه من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إذا كان المقام من القسم الأوّل؛ فلا شبهة في صحّة التمسّك بذيل</w:t>
      </w:r>
      <w:r>
        <w:rPr>
          <w:rStyle w:val="FootnoteAnchor"/>
          <w:rtl w:val="true"/>
        </w:rPr>
        <w:footnoteReference w:id="803"/>
      </w:r>
      <w:r>
        <w:rPr>
          <w:rFonts w:ascii="Amiri" w:hAnsi="Amiri" w:eastAsia="Amiri" w:cs="Amiri"/>
          <w:color w:val="111111"/>
          <w:sz w:val="28"/>
          <w:sz w:val="28"/>
          <w:szCs w:val="28"/>
          <w:rtl w:val="true"/>
          <w:lang w:bidi="ar-SA"/>
        </w:rPr>
        <w:t>المبالغة حينئذٍ، إذ الحاصل على هذا أنّ ترك الحقيقة في الاستعمال وترجيح المجاز بالاختيار مع مخالفته للأصل؛ لحصول المبالغة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المقام من الثاني كما فيما نحن فيه، فالتمسّك بها لإثبات الرجحان للمجاز لا يخلو من إشكال؛ إذ من الجائز أن لا يكون مراد المستعمل إفادة المبالغة حتّى يرجّح التجوّز في استعماله على الحقيقة،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على نهج المبالغة لمّا كان أحسن، ينبغي أن يحمل الاستعمال المعلوم عليه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بأحسنيّة الاستعمال على نهج المبالغة على الإطلاق غير </w:t>
      </w:r>
      <w:bookmarkStart w:id="966" w:name="pg16214_221842"/>
    </w:p>
    <w:p>
      <w:pPr>
        <w:pStyle w:val="BookText"/>
        <w:rPr/>
      </w:pPr>
      <w:bookmarkEnd w:id="966"/>
      <w:r>
        <w:rPr>
          <w:rFonts w:ascii="Amiri" w:hAnsi="Amiri" w:eastAsia="Amiri" w:cs="Amiri"/>
          <w:color w:val="111111"/>
          <w:sz w:val="28"/>
          <w:sz w:val="28"/>
          <w:szCs w:val="28"/>
          <w:rtl w:val="true"/>
          <w:lang w:bidi="ar-SA"/>
        </w:rPr>
        <w:t>صحيح، إذ ربما كان المقام مقتضيًا لاستعمال اللفظ في المعنى الحقيقيّ، فحينئذٍ يكون الاستعمال على نهج الحقيقة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قد عرفت سابقًا أنّ أكثر استعمال الألفاظ في المعاني الحقيقيّة، فحينئذٍ يلزم أن يكون غالب الاستعمالات على الوجه المرجوح، ولا يخفى بعده، فلم يتمّ الدليل المذكور فيما نحن فيه،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المجازات لمّا أمكن تحقّق البلاغة والمبالغة وانحصر الأمر في الحقيقة في الأوّل، ولهذا</w:t>
      </w:r>
      <w:r>
        <w:rPr>
          <w:rStyle w:val="FootnoteAnchor"/>
          <w:rtl w:val="true"/>
        </w:rPr>
        <w:footnoteReference w:id="804"/>
      </w:r>
      <w:r>
        <w:rPr>
          <w:rFonts w:ascii="Amiri" w:hAnsi="Amiri" w:eastAsia="Amiri" w:cs="Amiri"/>
          <w:color w:val="111111"/>
          <w:sz w:val="28"/>
          <w:sz w:val="28"/>
          <w:szCs w:val="28"/>
          <w:rtl w:val="true"/>
          <w:lang w:bidi="ar-SA"/>
        </w:rPr>
        <w:t>يرجّح احتمال التجوّز على الحقيقة، فتأمّل</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3520309_1280447820"/>
      <w:bookmarkStart w:id="968" w:name="_Toc373"/>
      <w:bookmarkEnd w:id="967"/>
      <w:r>
        <w:rPr>
          <w:rtl w:val="true"/>
        </w:rPr>
        <w:t>دفع إيراد لتسديد كلام</w:t>
      </w:r>
      <w:bookmarkEnd w:id="968"/>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المثال المذكور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اشتعل الرأس شيبًا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مدخليّة له لما نحن فيه؛ لأنّ التجوّز فيه عقليّ، والكلام إنّما هو في المجاز اللغويّ؛ لوضوح أنّ المعارضة بين المجاز والاشتراك إنّما هو بالمجاز بهذا المعنى</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التجوّز اللغويّ في المثال ممنوع؛ لأنّ الاشتعال موضوع لانتشار شعاع النار، وقد استعمل هنا وأريد منه انتشار بياض الشيب في الرأس،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شبّه بياض الشيب بشواظ النار وانتشاره في الرأس بانتشار شعاع النار، فاستعير اللفظ الموضوع للمشبّه به للمشبّه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bookmarkStart w:id="969" w:name="pg16214_221843"/>
    </w:p>
    <w:p>
      <w:pPr>
        <w:pStyle w:val="Heading6"/>
        <w:numPr>
          <w:ilvl w:val="5"/>
          <w:numId w:val="1"/>
        </w:numPr>
        <w:rPr/>
      </w:pPr>
      <w:bookmarkStart w:id="970" w:name="__RefHeading___Toc3520311_1280447820"/>
      <w:bookmarkStart w:id="971" w:name="_Toc374"/>
      <w:bookmarkEnd w:id="969"/>
      <w:bookmarkEnd w:id="970"/>
      <w:r>
        <w:rPr>
          <w:rtl w:val="true"/>
        </w:rPr>
        <w:t>الفائدة الثانية للمجاز</w:t>
      </w:r>
      <w:bookmarkEnd w:id="971"/>
    </w:p>
    <w:p>
      <w:pPr>
        <w:pStyle w:val="Heading6"/>
        <w:numPr>
          <w:ilvl w:val="5"/>
          <w:numId w:val="1"/>
        </w:numPr>
        <w:rPr/>
      </w:pPr>
      <w:bookmarkStart w:id="972" w:name="__RefHeading___Toc3520313_1280447820"/>
      <w:bookmarkStart w:id="973" w:name="_Toc375"/>
      <w:bookmarkEnd w:id="972"/>
      <w:r>
        <w:rPr>
          <w:rtl w:val="true"/>
        </w:rPr>
        <w:t>اشارة</w:t>
      </w:r>
      <w:bookmarkEnd w:id="973"/>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قد يكون أوفق إمّا للطبع، لثقل في الحقيقة كالخنفقيق</w:t>
      </w:r>
      <w:r>
        <w:rPr>
          <w:rStyle w:val="FootnoteAnchor"/>
          <w:rtl w:val="true"/>
        </w:rPr>
        <w:footnoteReference w:id="806"/>
      </w:r>
      <w:r>
        <w:rPr>
          <w:rFonts w:ascii="Amiri" w:hAnsi="Amiri" w:eastAsia="Amiri" w:cs="Amiri"/>
          <w:color w:val="111111"/>
          <w:sz w:val="28"/>
          <w:sz w:val="28"/>
          <w:szCs w:val="28"/>
          <w:rtl w:val="true"/>
          <w:lang w:bidi="ar-SA"/>
        </w:rPr>
        <w:t>للداهية، أو لعذوبة في المجاز كالروضة للمقبرة، أو للمقام لزيادة بيان أو تعظيم أو إهانة</w:t>
      </w:r>
      <w:r>
        <w:rPr>
          <w:rStyle w:val="FootnoteAnchor"/>
          <w:rtl w:val="true"/>
        </w:rPr>
        <w:footnoteReference w:id="807"/>
      </w:r>
      <w:r>
        <w:rPr>
          <w:rFonts w:ascii="Amiri" w:hAnsi="Amiri" w:eastAsia="Amiri" w:cs="Amiri"/>
          <w:color w:val="111111"/>
          <w:sz w:val="28"/>
          <w:sz w:val="28"/>
          <w:szCs w:val="28"/>
          <w:rtl w:val="true"/>
          <w:lang w:bidi="ar-SA"/>
        </w:rPr>
        <w:t>يقتضيه الحال، هكذا قال جماعة من الأعلام في هذا المقام</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المقام على وجه يزول معه النقاب عن وجه المرام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أن </w:t>
      </w:r>
      <w:bookmarkStart w:id="974" w:name="pg16214_221844"/>
    </w:p>
    <w:p>
      <w:pPr>
        <w:pStyle w:val="BookText"/>
        <w:rPr/>
      </w:pPr>
      <w:bookmarkEnd w:id="974"/>
      <w:r>
        <w:rPr>
          <w:rFonts w:ascii="Amiri" w:hAnsi="Amiri" w:eastAsia="Amiri" w:cs="Amiri"/>
          <w:color w:val="111111"/>
          <w:sz w:val="28"/>
          <w:sz w:val="28"/>
          <w:szCs w:val="28"/>
          <w:rtl w:val="true"/>
          <w:lang w:bidi="ar-SA"/>
        </w:rPr>
        <w:t>يكون اللفظ مستعملًا في الموضوع له، فالعدول عنه إلى غيره لا يكون إلّا لموجب، وهو إمّا بالنسبة إلى جوهر اللفظ ومادّته، أو بالنسبة إلى عوارضه وخارجه، أو إلى مدلوله ومعناه، أو المركّب من الاثنين أو الثلاث، فتكون الأقسام سبعة</w:t>
      </w:r>
      <w:r>
        <w:rPr>
          <w:rFonts w:eastAsia="Amiri" w:cs="Amiri" w:ascii="Amiri" w:hAnsi="Amiri"/>
          <w:color w:val="111111"/>
          <w:sz w:val="28"/>
          <w:szCs w:val="28"/>
          <w:rtl w:val="true"/>
          <w:lang w:bidi="ar-SA"/>
        </w:rPr>
        <w:t>.</w:t>
      </w:r>
    </w:p>
    <w:p>
      <w:pPr>
        <w:pStyle w:val="Heading6"/>
        <w:numPr>
          <w:ilvl w:val="5"/>
          <w:numId w:val="1"/>
        </w:numPr>
        <w:rPr/>
      </w:pPr>
      <w:bookmarkStart w:id="975" w:name="__RefHeading___Toc3520315_1280447820"/>
      <w:bookmarkStart w:id="976" w:name="_Toc376"/>
      <w:bookmarkEnd w:id="975"/>
      <w:r>
        <w:rPr>
          <w:rtl w:val="true"/>
        </w:rPr>
        <w:t>الأمر العائد إلى جوهر اللفظ على أقسام</w:t>
      </w:r>
      <w:bookmarkEnd w:id="976"/>
    </w:p>
    <w:p>
      <w:pPr>
        <w:pStyle w:val="BookText"/>
        <w:rPr/>
      </w:pPr>
      <w:r>
        <w:rPr>
          <w:rFonts w:ascii="Amiri" w:hAnsi="Amiri" w:eastAsia="Amiri" w:cs="Amiri"/>
          <w:color w:val="111111"/>
          <w:sz w:val="28"/>
          <w:sz w:val="28"/>
          <w:szCs w:val="28"/>
          <w:rtl w:val="true"/>
          <w:lang w:bidi="ar-SA"/>
        </w:rPr>
        <w:t>ونحن نكتفي في بيان أحوال الثلاثة المنفردة؛ إذ به يعلم حال الأقسام الباقية،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العائد إلى جوهر اللفظ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لفظ الحقيقة ثقيلًا والمجاز فاقدًا عنه،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الخنفقيق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لفظ الحقيقة ممّا لا يحسن التصريح به، بخلاف المجاز، كالتعبير عن إيلاج الذكر في الفرج بالمسّ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لفظ المجاز عذبًا والحقيقة فاقدًا عنه،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منها كان لا بدّ في هذا الأمر من تعدّد اللفظ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هذا الأمر إنّما يتمسّك به في ترجيح المجاز للاستعمال وترك الحقيقة بأنّ العذوبة في المجاز مثلًا في الاختيار، لا في إثبات أصل المجازيّة للّفظ في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بأوفقيّة المجاز للطبع لثقل في الحقيقة، أو لعذوبة في المجاز فيما نحن فيه ممّا لا وجه 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اللفظ هنا واحد، فإن كان</w:t>
      </w:r>
      <w:r>
        <w:rPr>
          <w:rStyle w:val="FootnoteAnchor"/>
          <w:rtl w:val="true"/>
        </w:rPr>
        <w:footnoteReference w:id="809"/>
      </w:r>
      <w:r>
        <w:rPr>
          <w:rFonts w:ascii="Amiri" w:hAnsi="Amiri" w:eastAsia="Amiri" w:cs="Amiri"/>
          <w:color w:val="111111"/>
          <w:sz w:val="28"/>
          <w:sz w:val="28"/>
          <w:szCs w:val="28"/>
          <w:rtl w:val="true"/>
          <w:lang w:bidi="ar-SA"/>
        </w:rPr>
        <w:t xml:space="preserve">ثقيلًا كان، وإلّا فلا، فلا يتفاوت </w:t>
      </w:r>
    </w:p>
    <w:p>
      <w:pPr>
        <w:pStyle w:val="BookText"/>
        <w:rPr/>
      </w:pPr>
      <w:r>
        <w:rPr>
          <w:rFonts w:ascii="Amiri" w:hAnsi="Amiri" w:eastAsia="Amiri" w:cs="Amiri"/>
          <w:color w:val="111111"/>
          <w:sz w:val="28"/>
          <w:sz w:val="28"/>
          <w:szCs w:val="28"/>
          <w:rtl w:val="true"/>
          <w:lang w:bidi="ar-SA"/>
        </w:rPr>
        <w:t>الحال من هذه الجهة على تقديري</w:t>
      </w:r>
      <w:r>
        <w:rPr>
          <w:rStyle w:val="FootnoteAnchor"/>
          <w:rtl w:val="true"/>
        </w:rPr>
        <w:footnoteReference w:id="810"/>
      </w:r>
      <w:r>
        <w:rPr>
          <w:rFonts w:ascii="Amiri" w:hAnsi="Amiri" w:eastAsia="Amiri" w:cs="Amiri"/>
          <w:color w:val="111111"/>
          <w:sz w:val="28"/>
          <w:sz w:val="28"/>
          <w:szCs w:val="28"/>
          <w:rtl w:val="true"/>
          <w:lang w:bidi="ar-SA"/>
        </w:rPr>
        <w:t>التجوّز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الكلام فيما نحن فيه إنّما هو في إثبات الرجحان لأصل التجوّز والحقيقة في المستعمل فيه المعلوم، وقد عرفت أنّ التمسّك بالأمر المذكور إنّما هو في ترجيح المجاز بالاستعمال دون الحقيقة؛ وهم أيضًا إنّما تشبّثوا بذلك في ذلك المقام، والخبط إنّما نشأ لبعض الأفاضل</w:t>
      </w:r>
      <w:r>
        <w:rPr>
          <w:rStyle w:val="FootnoteAnchor"/>
          <w:rtl w:val="true"/>
        </w:rPr>
        <w:footnoteReference w:id="811"/>
      </w:r>
      <w:r>
        <w:rPr>
          <w:rFonts w:ascii="Amiri" w:hAnsi="Amiri" w:eastAsia="Amiri" w:cs="Amiri"/>
          <w:color w:val="111111"/>
          <w:sz w:val="28"/>
          <w:sz w:val="28"/>
          <w:szCs w:val="28"/>
          <w:rtl w:val="true"/>
          <w:lang w:bidi="ar-SA"/>
        </w:rPr>
        <w:t>، فتمسّك به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نظر المستدلّ أنّ العذوبة للمجاز وكذا الثقل للحقيقة في بعض المواضع يكون سببًا لرجحان المجاز ومرجوحيّة الحقيقة فيما نحن فيه، لا أن يكون التمسّك بذلك لتحقّقه فيه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فاسد،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وجه لجعل تحقّق الثقل في الحقيقة في موضع وكذا العذوبة في المجاز سببًا للمرجوحيّة، أو الرجحان فيما لم يتحقّق فيه ذلك</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الحقيقة قد يكون</w:t>
      </w:r>
      <w:r>
        <w:rPr>
          <w:rStyle w:val="FootnoteAnchor"/>
          <w:rtl w:val="true"/>
        </w:rPr>
        <w:footnoteReference w:id="813"/>
      </w:r>
      <w:r>
        <w:rPr>
          <w:rFonts w:ascii="Amiri" w:hAnsi="Amiri" w:eastAsia="Amiri" w:cs="Amiri"/>
          <w:color w:val="111111"/>
          <w:sz w:val="28"/>
          <w:sz w:val="28"/>
          <w:szCs w:val="28"/>
          <w:rtl w:val="true"/>
          <w:lang w:bidi="ar-SA"/>
        </w:rPr>
        <w:t>عذبًا والمجاز ثقيلًا، كما إذا استعمل ذلك اللفظ المجاز في معناه الحقيقيّ مثلًا والحقيقة في معناه المجازيّ، فتأمّل</w:t>
      </w:r>
      <w:r>
        <w:rPr>
          <w:rFonts w:eastAsia="Amiri" w:cs="Amiri" w:ascii="Amiri" w:hAnsi="Amiri"/>
          <w:color w:val="111111"/>
          <w:sz w:val="28"/>
          <w:szCs w:val="28"/>
          <w:rtl w:val="true"/>
          <w:lang w:bidi="ar-SA"/>
        </w:rPr>
        <w:t xml:space="preserve">. </w:t>
      </w:r>
      <w:bookmarkStart w:id="977" w:name="pg16214_221846"/>
    </w:p>
    <w:p>
      <w:pPr>
        <w:pStyle w:val="Heading6"/>
        <w:numPr>
          <w:ilvl w:val="5"/>
          <w:numId w:val="1"/>
        </w:numPr>
        <w:rPr/>
      </w:pPr>
      <w:bookmarkStart w:id="978" w:name="__RefHeading___Toc3520317_1280447820"/>
      <w:bookmarkStart w:id="979" w:name="_Toc377"/>
      <w:bookmarkEnd w:id="977"/>
      <w:bookmarkEnd w:id="978"/>
      <w:r>
        <w:rPr>
          <w:rtl w:val="true"/>
        </w:rPr>
        <w:t>الكلام في الأمر العائد إلى المعنى</w:t>
      </w:r>
      <w:bookmarkEnd w:id="979"/>
    </w:p>
    <w:p>
      <w:pPr>
        <w:pStyle w:val="BookText"/>
        <w:rPr/>
      </w:pPr>
      <w:r>
        <w:rPr>
          <w:rFonts w:ascii="Amiri" w:hAnsi="Amiri" w:eastAsia="Amiri" w:cs="Amiri"/>
          <w:color w:val="111111"/>
          <w:sz w:val="28"/>
          <w:sz w:val="28"/>
          <w:szCs w:val="28"/>
          <w:rtl w:val="true"/>
          <w:lang w:bidi="ar-SA"/>
        </w:rPr>
        <w:t>هذا كلّه في الكلام في الأمر العائد إلى جوهر اللفظ، وأمّا العائد إلى عوارضه فيجيء الكلام فيه بُعَيْد هذا؛ وإنّما الكلام هنا في الأمر العائد إلى المعنى، وما تقدّم من الزيادة في البيان والتعظيم والإهانة 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الحقيقيّ في كلّ موضع أمرٌ معيّن، فلا يقبل الزيادة والنقصان على ما تقدّم، وإذا كان المقصود زيادة البيان يؤتى بالمجاز كالأسد للشجاع، وهذا هو الّذي يعبّر عنه بالمبالغة، وهي قد تجتمع مع البلاغة، كما إذا كان المقام مقتضيًا لتلك الزيادة، وقد تفترق كما إذا لم يكن كذلك</w:t>
      </w:r>
      <w:r>
        <w:rPr>
          <w:rStyle w:val="FootnoteAnchor"/>
          <w:rtl w:val="true"/>
        </w:rPr>
        <w:footnoteReference w:id="814"/>
      </w:r>
      <w:r>
        <w:rPr>
          <w:rFonts w:ascii="Amiri" w:hAnsi="Amiri" w:eastAsia="Amiri" w:cs="Amiri"/>
          <w:color w:val="111111"/>
          <w:sz w:val="28"/>
          <w:sz w:val="28"/>
          <w:szCs w:val="28"/>
          <w:rtl w:val="true"/>
          <w:lang w:bidi="ar-SA"/>
        </w:rPr>
        <w:t>، فالحكم بكون زيادة البيان أوفق للمقام ليس على الإطلاق، وحينئذٍ يكون الفرق بين الفائدة المتقدّمة وهذه بالعموم من وجه؛ لافتراق السابقة عن هذه في غير الموافق، وهذه عنها في الأوفق للطبع؛ ومادّة الاجتماع ظاهرة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هذا الأمر لم يعتبر فيه تعدّد اللفظ، بل كما يمكن تحصّله بالنسبة إلى اللفظين كزيد وأسد مثلًا، كذا يمكن تحصّله بالنسبة إلى اللفظ الواحد بالنسبة إلى المعنى الواحد، بأنّه على تقدير المجازيّة تتحقّق تلك الفائدة وتنتفي عند انتفائها، وقد علمت وجهه ممّا تقدّم، وحينئذٍ يصحّ التمسّك به فيما نحن فيه</w:t>
      </w:r>
      <w:r>
        <w:rPr>
          <w:rStyle w:val="FootnoteAnchor"/>
          <w:rtl w:val="true"/>
        </w:rPr>
        <w:footnoteReference w:id="815"/>
      </w:r>
      <w:r>
        <w:rPr>
          <w:rFonts w:ascii="Amiri" w:hAnsi="Amiri" w:eastAsia="Amiri" w:cs="Amiri"/>
          <w:color w:val="111111"/>
          <w:sz w:val="28"/>
          <w:sz w:val="28"/>
          <w:szCs w:val="28"/>
          <w:rtl w:val="true"/>
          <w:lang w:bidi="ar-SA"/>
        </w:rPr>
        <w:t xml:space="preserve">، إلّا أنّ </w:t>
      </w:r>
      <w:bookmarkStart w:id="980" w:name="pg16214_221847"/>
    </w:p>
    <w:p>
      <w:pPr>
        <w:pStyle w:val="BookText"/>
        <w:rPr/>
      </w:pPr>
      <w:bookmarkEnd w:id="980"/>
      <w:r>
        <w:rPr>
          <w:rFonts w:ascii="Amiri" w:hAnsi="Amiri" w:eastAsia="Amiri" w:cs="Amiri"/>
          <w:color w:val="111111"/>
          <w:sz w:val="28"/>
          <w:sz w:val="28"/>
          <w:szCs w:val="28"/>
          <w:rtl w:val="true"/>
          <w:lang w:bidi="ar-SA"/>
        </w:rPr>
        <w:t>التمسّك به لترجيح المجاز بالاستعمال لا شبهة في صحّته، وأمّا لإثبات أصل المجازيّة فمحلّ كلام يظهر ممّا قدّمنا، مع ما يمكن أن يقال في دفعه مع تأمّل فيه</w:t>
      </w:r>
      <w:r>
        <w:rPr>
          <w:rFonts w:eastAsia="Amiri" w:cs="Amiri" w:ascii="Amiri" w:hAnsi="Amiri"/>
          <w:color w:val="111111"/>
          <w:sz w:val="28"/>
          <w:szCs w:val="28"/>
          <w:rtl w:val="true"/>
          <w:lang w:bidi="ar-SA"/>
        </w:rPr>
        <w:t>.</w:t>
      </w:r>
    </w:p>
    <w:p>
      <w:pPr>
        <w:pStyle w:val="Heading6"/>
        <w:numPr>
          <w:ilvl w:val="5"/>
          <w:numId w:val="1"/>
        </w:numPr>
        <w:rPr/>
      </w:pPr>
      <w:bookmarkStart w:id="981" w:name="__RefHeading___Toc3520319_1280447820"/>
      <w:bookmarkStart w:id="982" w:name="_Toc378"/>
      <w:bookmarkEnd w:id="981"/>
      <w:r>
        <w:rPr>
          <w:rtl w:val="true"/>
        </w:rPr>
        <w:t>عدم صحّة دعوى انحصار الزيادة في البيان في المجازات</w:t>
      </w:r>
      <w:bookmarkEnd w:id="982"/>
    </w:p>
    <w:p>
      <w:pPr>
        <w:pStyle w:val="BookText"/>
        <w:rPr/>
      </w:pPr>
      <w:r>
        <w:rPr>
          <w:rFonts w:ascii="Amiri" w:hAnsi="Amiri" w:eastAsia="Amiri" w:cs="Amiri"/>
          <w:color w:val="111111"/>
          <w:sz w:val="28"/>
          <w:sz w:val="28"/>
          <w:szCs w:val="28"/>
          <w:rtl w:val="true"/>
          <w:lang w:bidi="ar-SA"/>
        </w:rPr>
        <w:t>ثمّ إنّ في المقام تنبيهًا لا بدّ من الإشارة إليه، وهو أنّ دعوى انحصار الزيادة في البيان في المجازات غير صحيحة على الإطلاق؛ لوضوح أنّ المقام إذا كان مقتضيًا للتأكيد وأُتِيَ بكلام</w:t>
      </w:r>
      <w:r>
        <w:rPr>
          <w:rStyle w:val="FootnoteAnchor"/>
          <w:rtl w:val="true"/>
        </w:rPr>
        <w:footnoteReference w:id="816"/>
      </w:r>
      <w:r>
        <w:rPr>
          <w:rFonts w:ascii="Amiri" w:hAnsi="Amiri" w:eastAsia="Amiri" w:cs="Amiri"/>
          <w:color w:val="111111"/>
          <w:sz w:val="28"/>
          <w:sz w:val="28"/>
          <w:szCs w:val="28"/>
          <w:rtl w:val="true"/>
          <w:lang w:bidi="ar-SA"/>
        </w:rPr>
        <w:t>مؤكّد بأداة التأكيد، يحصل منه زيادة البيان، مع عدم انحصار هذا المسلك بمسلك المجاز كما لا يخفى على ذي دراية وسداد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زيادة البيان في المعنى في الكلام المؤكّد وإن كانت متحقّقة، لكنّها بمعونة أداة التأكيد، وفي المجاز ليس كذلك، وليس الكلام في مطلق زيادة البيان، فتأمّل</w:t>
      </w:r>
      <w:r>
        <w:rPr>
          <w:rFonts w:eastAsia="Amiri" w:cs="Amiri" w:ascii="Amiri" w:hAnsi="Amiri"/>
          <w:color w:val="111111"/>
          <w:sz w:val="28"/>
          <w:szCs w:val="28"/>
          <w:rtl w:val="true"/>
          <w:lang w:bidi="ar-SA"/>
        </w:rPr>
        <w:t>.</w:t>
      </w:r>
    </w:p>
    <w:p>
      <w:pPr>
        <w:pStyle w:val="Heading6"/>
        <w:numPr>
          <w:ilvl w:val="5"/>
          <w:numId w:val="1"/>
        </w:numPr>
        <w:rPr/>
      </w:pPr>
      <w:bookmarkStart w:id="983" w:name="__RefHeading___Toc3520321_1280447820"/>
      <w:bookmarkStart w:id="984" w:name="_Toc379"/>
      <w:bookmarkEnd w:id="983"/>
      <w:r>
        <w:rPr>
          <w:rtl w:val="true"/>
        </w:rPr>
        <w:t>الكلام في الأمر العائد إلى اللفظ بواسطة الخارج عنه</w:t>
      </w:r>
      <w:bookmarkEnd w:id="98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الأمر العائد إلى اللفظ بواسطة الخارج عنه، فكأنواع البديع مثل السجع، وقد مثّل لذلك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حمار ثرثار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كثير الكلام، فإنّه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بليد ثرثار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يستقم السجع</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التمثيل بما ذكر إنّما يصحّ إذا وقع أحد اللفظين في آخر كلام والآخر في آخِر آخَر، إذ السجع هو تواطؤ الفاصلتين</w:t>
      </w:r>
      <w:r>
        <w:rPr>
          <w:rStyle w:val="FootnoteAnchor"/>
          <w:rtl w:val="true"/>
        </w:rPr>
        <w:footnoteReference w:id="818"/>
      </w:r>
      <w:r>
        <w:rPr>
          <w:rFonts w:ascii="Amiri" w:hAnsi="Amiri" w:eastAsia="Amiri" w:cs="Amiri"/>
          <w:color w:val="111111"/>
          <w:sz w:val="28"/>
          <w:sz w:val="28"/>
          <w:szCs w:val="28"/>
          <w:rtl w:val="true"/>
          <w:lang w:bidi="ar-SA"/>
        </w:rPr>
        <w:t>من النثر على حرف واحد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يَرِدْ هنا ما تقدّم إليه الإشارة، وهو أنّ التمسّك باستقامة السجع على تقدير التجوّز إنّما يكون إذا أمكن التعبير عن معنى واحد بلفظين مثلًا، أحدهما حقيقة فيه والآخر مجاز، وقد استقام السجع على تقدير التجوّز دون الحقيقة، فهو مرجّح لاختيار المجاز في الاستعمال وترك الحقيقة، وهو إنّما يكون إذا كان كلّ من المجازيّة والحقيقيّة معلوم الثبوت، فلا دخل له فيما نحن فيه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يتمّ عند تعدّد اللفظ واختيار التجوّز في الاستعمال، لا في إثبات أصل المجازيّة ووحدة اللفظ كما فيما نحن فيه، إذ قد عرفت مرارًا أنّ الكلام فيما إذا علم المستعمل فيه اللفظ ولم يعلم أنّه فيه حقيقة أو مجاز، فإذا كان اللفظ ممّا يستقيم به السجع يستقيم به، سواء كان مجازًا أو حقيقةً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وكالمطابقة كما في قوله</w:t>
      </w:r>
      <w:r>
        <w:rPr>
          <w:rStyle w:val="FootnoteAnchor"/>
          <w:rtl w:val="true"/>
        </w:rPr>
        <w:footnoteReference w:id="8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ضحك المشيبُ برأسه فبكى</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ولو قيل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المشيب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انتفت</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والمقابلة</w:t>
      </w:r>
      <w:r>
        <w:rPr>
          <w:rStyle w:val="FootnoteAnchor"/>
          <w:rtl w:val="true"/>
        </w:rPr>
        <w:footnoteReference w:id="822"/>
      </w:r>
      <w:r>
        <w:rPr>
          <w:rFonts w:ascii="Amiri" w:hAnsi="Amiri" w:eastAsia="Amiri" w:cs="Amiri"/>
          <w:color w:val="111111"/>
          <w:sz w:val="28"/>
          <w:sz w:val="28"/>
          <w:szCs w:val="28"/>
          <w:rtl w:val="true"/>
          <w:lang w:bidi="ar-SA"/>
        </w:rPr>
        <w:t>، وقد مثّل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لجّ قلبي في هواها لجّت في مقتي</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 هواي، 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لجّ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فاتت</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العجائب أنّ الفاضل العضديّ مع نهاية اهتمامه في أمثال هذه الأمور، جعل هذا المثال مثالًا للمطابقة</w:t>
      </w:r>
      <w:r>
        <w:rPr>
          <w:rStyle w:val="FootnoteAnchor"/>
          <w:rtl w:val="true"/>
        </w:rPr>
        <w:footnoteReference w:id="825"/>
      </w:r>
      <w:r>
        <w:rPr>
          <w:rFonts w:ascii="Amiri" w:hAnsi="Amiri" w:eastAsia="Amiri" w:cs="Amiri"/>
          <w:color w:val="111111"/>
          <w:sz w:val="28"/>
          <w:sz w:val="28"/>
          <w:szCs w:val="28"/>
          <w:rtl w:val="true"/>
          <w:lang w:bidi="ar-SA"/>
        </w:rPr>
        <w:t>، وليس بصحيح، إذ المطابقة على ما صرّحوا به</w:t>
      </w:r>
      <w:r>
        <w:rPr>
          <w:rStyle w:val="FootnoteAnchor"/>
          <w:rtl w:val="true"/>
        </w:rPr>
        <w:footnoteReference w:id="826"/>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المتضادّين في الكلام مع مراعاة النوع حتّى لا يضمّ</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الاسم إلى الفعل،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فَلْيَضْحَكُوا قَلِيلًا وَلْيَبْكُوا كَثِيرًا</w:t>
      </w:r>
      <w:r>
        <w:rPr>
          <w:rStyle w:val="FootnoteAnchor"/>
          <w:rtl w:val="true"/>
        </w:rPr>
        <w:footnoteReference w:id="828"/>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سَوَاءٌ مِنْكُمْ مَنْ أَسَرَّ الْقَوْلَ وَمَنْ جَهَرَ بِهِ وَمَنْ هُوَ مُسْتَخْفٍ بِاللَّيْلِ وَسَارِبٌ بِالنَّهَارِ</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0"/>
      </w:r>
      <w:r>
        <w:rPr>
          <w:rFonts w:ascii="Amiri" w:hAnsi="Amiri" w:eastAsia="Amiri" w:cs="Amiri"/>
          <w:color w:val="111111"/>
          <w:sz w:val="28"/>
          <w:sz w:val="28"/>
          <w:szCs w:val="28"/>
          <w:rtl w:val="true"/>
          <w:lang w:bidi="ar-SA"/>
        </w:rPr>
        <w:t>،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الْمُلْكَ مَنْ تَشَاءُ وَتَنْزِعُ الْمُلْكَ مِمَّنْ تَشَاءُ وَتُعِزُّ مَنْ تَشَاءُ وَتُذِلُّ مَنْ تَشَاءُ</w:t>
      </w:r>
      <w:r>
        <w:rPr>
          <w:rStyle w:val="FootnoteAnchor"/>
          <w:rtl w:val="true"/>
        </w:rPr>
        <w:footnoteReference w:id="831"/>
      </w:r>
      <w:r>
        <w:rPr>
          <w:rFonts w:ascii="IRNazanin" w:hAnsi="IRNazanin" w:eastAsia="IRNazanin"/>
          <w:color w:val="111111"/>
          <w:sz w:val="28"/>
          <w:sz w:val="28"/>
          <w:szCs w:val="28"/>
          <w:rtl w:val="true"/>
          <w:lang w:bidi="fa-IR"/>
        </w:rPr>
        <w:t>، 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المعنى غير متحقّق في المثال المذكور،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مقصوده بالإضافة إلى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تمثيلًا لأصل المطابقة، لا المطابقة الّتي توجب التجوّز،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والجناس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شجاع، لم يحصل</w:t>
      </w:r>
      <w:r>
        <w:rPr>
          <w:rStyle w:val="FootnoteAnchor"/>
          <w:rtl w:val="true"/>
        </w:rPr>
        <w:footnoteReference w:id="832"/>
      </w:r>
      <w:r>
        <w:rPr>
          <w:rFonts w:ascii="Amiri" w:hAnsi="Amiri" w:eastAsia="Amiri" w:cs="Amiri"/>
          <w:color w:val="111111"/>
          <w:sz w:val="28"/>
          <w:sz w:val="28"/>
          <w:szCs w:val="28"/>
          <w:rtl w:val="true"/>
          <w:lang w:bidi="ar-SA"/>
        </w:rPr>
        <w:t>، وغير ما ذكر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الكلام في هذه الأمثلة من حيث تعدّد اللفظ ووحدته ووحدة المعنى، يظهر لك بعد التأمّل فيما أسلفنا، وكذا الكلام في التمسّك بهذه الأمور في إثبات أصل التجوّز، أو في اختياره في الاستعمال، فلا افتقار إلى الذكر</w:t>
      </w:r>
      <w:r>
        <w:rPr>
          <w:rFonts w:eastAsia="Amiri" w:cs="Amiri" w:ascii="Amiri" w:hAnsi="Amiri"/>
          <w:color w:val="111111"/>
          <w:sz w:val="28"/>
          <w:szCs w:val="28"/>
          <w:rtl w:val="true"/>
          <w:lang w:bidi="ar-SA"/>
        </w:rPr>
        <w:t xml:space="preserve">. </w:t>
      </w:r>
      <w:bookmarkStart w:id="985" w:name="pg16214_221851"/>
    </w:p>
    <w:p>
      <w:pPr>
        <w:pStyle w:val="Heading5"/>
        <w:numPr>
          <w:ilvl w:val="4"/>
          <w:numId w:val="1"/>
        </w:numPr>
        <w:rPr/>
      </w:pPr>
      <w:bookmarkStart w:id="986" w:name="__RefHeading___Toc3520323_1280447820"/>
      <w:bookmarkStart w:id="987" w:name="_Toc380"/>
      <w:bookmarkEnd w:id="985"/>
      <w:bookmarkEnd w:id="986"/>
      <w:r>
        <w:rPr>
          <w:rtl w:val="true"/>
        </w:rPr>
        <w:t>مفاسد الاشتراك</w:t>
      </w:r>
      <w:bookmarkEnd w:id="987"/>
    </w:p>
    <w:p>
      <w:pPr>
        <w:pStyle w:val="Heading6"/>
        <w:numPr>
          <w:ilvl w:val="5"/>
          <w:numId w:val="1"/>
        </w:numPr>
        <w:rPr/>
      </w:pPr>
      <w:bookmarkStart w:id="988" w:name="__RefHeading___Toc3520325_1280447820"/>
      <w:bookmarkStart w:id="989" w:name="_Toc381"/>
      <w:bookmarkEnd w:id="988"/>
      <w:r>
        <w:rPr>
          <w:rtl w:val="true"/>
        </w:rPr>
        <w:t>المفسدة الأولى</w:t>
      </w:r>
      <w:r>
        <w:rPr>
          <w:rtl w:val="true"/>
        </w:rPr>
        <w:t xml:space="preserve">: </w:t>
      </w:r>
      <w:r>
        <w:rPr>
          <w:rtl w:val="true"/>
        </w:rPr>
        <w:t>افتقاره إلى القرينتين</w:t>
      </w:r>
      <w:bookmarkEnd w:id="989"/>
    </w:p>
    <w:p>
      <w:pPr>
        <w:pStyle w:val="BookText"/>
        <w:rPr/>
      </w:pPr>
      <w:r>
        <w:rPr>
          <w:rFonts w:ascii="Amiri" w:hAnsi="Amiri" w:eastAsia="Amiri" w:cs="Amiri"/>
          <w:color w:val="111111"/>
          <w:sz w:val="28"/>
          <w:sz w:val="28"/>
          <w:szCs w:val="28"/>
          <w:rtl w:val="true"/>
          <w:lang w:bidi="ar-SA"/>
        </w:rPr>
        <w:t>وأمّا مفاسد الاشتراك،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يفتقر إلى القرينتين، بخلاف المجاز، فإنّه يكفي فيه قرينة واحدة</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المستعمل في المعنيين اللّذين ثبت الوضع لأحدهما؛ كونه مجازًا في المعنى الآخر أولى من كونه حقيقةً فيه أيضًا، إذ على تقدير التجوّز لا يفتقر إلّا إلى القرينة الواحدة الصارفة عن المعنى الحقيقيّ، إذ حينئذٍ يتعيّن المعنى المجازيّ بالاختيار؛ بخلافه على تقدير الاشتراك، فإنّه لمّا كان مفتقرًا إلى قرينة معيّنة لا بدّ له من قرينة بالنسبة إلى كلّ واحد من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لِمَا اشتهر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لا بدّ له من قرينتين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صارفة ومعيّنة</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تقدير التسليم نقول بإمكان الاكتفاء بقرينة</w:t>
      </w:r>
      <w:r>
        <w:rPr>
          <w:rStyle w:val="FootnoteAnchor"/>
          <w:rtl w:val="true"/>
        </w:rPr>
        <w:footnoteReference w:id="835"/>
      </w:r>
      <w:r>
        <w:rPr>
          <w:rFonts w:ascii="Amiri" w:hAnsi="Amiri" w:eastAsia="Amiri" w:cs="Amiri"/>
          <w:color w:val="111111"/>
          <w:sz w:val="28"/>
          <w:sz w:val="28"/>
          <w:szCs w:val="28"/>
          <w:rtl w:val="true"/>
          <w:lang w:bidi="ar-SA"/>
        </w:rPr>
        <w:t>واحدة على تقدير الاشتراك أيضًا، فإنّه إذا دلّت القرينة على عدم إرادة أحد المعنيين يتعيّن المعنى الآخر بالإرادة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ممنوع؛ لاحتمال إرادة المعنى المجازيّ، فلا بدّ من قرينة معيّنة للمعنى الآخر، فيلزم المحذور؛ لأنّ احتمال إرادة المعنى المجازيّ لا تصلح لمعارضة إرادة المعنى الحقيقيّ على ما تقدّم تحقيقه بما لا مزيد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أنّه خارج عن ما نحن فيه، إذ الكلام إنّما هو بالإضافة إلى المعنيين، فلو أجرى الكلام إلى معنى ثالث نقول بمثله على تقدير المجازيّة أيضًا؛ لوضوح أنّه على تقدير الصرف عن</w:t>
      </w:r>
      <w:r>
        <w:rPr>
          <w:rStyle w:val="FootnoteAnchor"/>
          <w:rtl w:val="true"/>
        </w:rPr>
        <w:footnoteReference w:id="836"/>
      </w:r>
      <w:r>
        <w:rPr>
          <w:rFonts w:ascii="Amiri" w:hAnsi="Amiri" w:eastAsia="Amiri" w:cs="Amiri"/>
          <w:color w:val="111111"/>
          <w:sz w:val="28"/>
          <w:sz w:val="28"/>
          <w:szCs w:val="28"/>
          <w:rtl w:val="true"/>
          <w:lang w:bidi="ar-SA"/>
        </w:rPr>
        <w:t>المعنى الحقيقيّ إنّما يتعيّن المعنى المجازيّ بالإرادة عند انفراده، وأمّا مع تعدّده فلا، كما لا يخفى، فلا يبقى فرق بين احتمال الاشتراك والتجوّز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المجاز قد يُكتفى فيه بقرينة واحدة صارفة عن المعنى الحقيقيّ، كما إذا كان المعنى المجازيّ متّحدًا، أو الأَولى بالإرادة بأيّ وجه كانت من الأقربيّة إلى المعنى الحقيقيّ، أو أكثريّته في الاستعمال وغيرهما، وقد يفتقر إلى المتعدّدة، كما في غير الصور المذكورة حسب ما اقتضته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لا بدّ له من القرينتين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صارفة ومعيّنة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على إطلاقه، إلّا أن يجعل الوحدة في الصورة الأولى والرجحان في غيرها من القرينة، وقد نبّهنا عليه فيما سلف أيضًا، إلّا أنّ الحال في المشترك أيضًا كذلك، فإنّه قد اكتفي فيه بقرينة واحدة وقد لا يُكتفى فيه</w:t>
      </w:r>
      <w:r>
        <w:rPr>
          <w:rStyle w:val="FootnoteAnchor"/>
          <w:rtl w:val="true"/>
        </w:rPr>
        <w:footnoteReference w:id="837"/>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نقول على تقدير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الأحسن أن يكتفى بالقرينة الواحدة المعيّنة</w:t>
      </w:r>
      <w:r>
        <w:rPr>
          <w:rStyle w:val="FootnoteAnchor"/>
          <w:rtl w:val="true"/>
        </w:rPr>
        <w:footnoteReference w:id="838"/>
      </w:r>
      <w:r>
        <w:rPr>
          <w:rFonts w:ascii="Amiri" w:hAnsi="Amiri" w:eastAsia="Amiri" w:cs="Amiri"/>
          <w:color w:val="111111"/>
          <w:sz w:val="28"/>
          <w:sz w:val="28"/>
          <w:szCs w:val="28"/>
          <w:rtl w:val="true"/>
          <w:lang w:bidi="ar-SA"/>
        </w:rPr>
        <w:t>للمراد ولو زاد معناه على معنيين، إذ لو اختار الصارفة افتقر إلى ذكر القرائن المتعدّدة بحسب غير المعنى المراد، مع أنّ بالقرينة المعيّنة كما يحصل العلم بالمراد، يحصل الصرف عن الأغيار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والأمر في المجاز وإن كان كذلك عند تعدّد المجازات، إذ حينئذٍ بالقرينة المعيّنة كما يحصل الصرف عن المعنى الحقيقيّ، كذا يحصل الصرف عن غير المراد من المعاني المجازيّة، إلّا أنّه ليس المقصود إثبات الرجحان للاشتراك، بل منع رجحان المجاز عليه، فاشتراكهما فيما ذكر غير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الإيراد المذكور لا وقع</w:t>
      </w:r>
      <w:r>
        <w:rPr>
          <w:rStyle w:val="FootnoteAnchor"/>
          <w:rtl w:val="true"/>
        </w:rPr>
        <w:footnoteReference w:id="839"/>
      </w:r>
      <w:r>
        <w:rPr>
          <w:rFonts w:ascii="Amiri" w:hAnsi="Amiri" w:eastAsia="Amiri" w:cs="Amiri"/>
          <w:color w:val="111111"/>
          <w:sz w:val="28"/>
          <w:sz w:val="28"/>
          <w:szCs w:val="28"/>
          <w:rtl w:val="true"/>
          <w:lang w:bidi="ar-SA"/>
        </w:rPr>
        <w:t>له، إذ إنّما يتوجّه إذا كان المراد من افتقار المشترك إلى قرينتين افتقاره إليهما بالنسبة إلى معنى واحد في استعمال واحد بأن تكون إحداهما صارفة عن غير المراد والأخرى معيّنة له؛ وليس كذلك، بل بالنسبة إلى المعنيين، فإنّه لا بدّ له في كلّ استعمال من قرينة، سواء كانت مانعة عن إرادة غير المراد، أو معيّنة للمراد، إذ لا فرق بين القرينتين فيما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الفرق بينهما في صورة انحصار معنى المشترك في اثنين وعدمه كما لا يخفى على المتأمّل؛ وهذا الافتقار من لوازم المشترك عند إرادة الدلالة التفصيليّة منه، فلا يمكن انفكاكه عنه حينئذٍ كما لا يخفى، بخلافه على تقدير المجاز، فإنّ المفتقرَ إلى القرينة الاستعمالُ المجازيُّ لا الحقيقيّ؛ لما مرّ مشروحًا في حجّيّة ظواهر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وحكاية وحدة المجاز وتعدّده لا مدخليّة لها في هذا المعنى، كما لا يخفى على أولي التأمّل والنهى</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لكنّ المجاز يفتقر إلى قرينتين في استعمال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صارفة عن المعنى الحقيقيّ ومعيّنة للمعنى المجازيّ، والمشترك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يفتقر إلى قرينتين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استعمالين، فالافتقار إليهما مشترك بينهما، فلا يكون احتمال التجوّز أولى من </w:t>
      </w:r>
    </w:p>
    <w:p>
      <w:pPr>
        <w:pStyle w:val="BookText"/>
        <w:rPr/>
      </w:pPr>
      <w:r>
        <w:rPr>
          <w:rFonts w:ascii="Amiri" w:hAnsi="Amiri" w:eastAsia="Amiri" w:cs="Amiri"/>
          <w:color w:val="111111"/>
          <w:sz w:val="28"/>
          <w:sz w:val="28"/>
          <w:szCs w:val="28"/>
          <w:rtl w:val="true"/>
          <w:lang w:bidi="ar-SA"/>
        </w:rPr>
        <w:t>الاشتراك؛ لاشتراكهما</w:t>
      </w:r>
      <w:r>
        <w:rPr>
          <w:rStyle w:val="FootnoteAnchor"/>
          <w:rtl w:val="true"/>
        </w:rPr>
        <w:footnoteReference w:id="840"/>
      </w:r>
      <w:r>
        <w:rPr>
          <w:rFonts w:ascii="Amiri" w:hAnsi="Amiri" w:eastAsia="Amiri" w:cs="Amiri"/>
          <w:color w:val="111111"/>
          <w:sz w:val="28"/>
          <w:sz w:val="28"/>
          <w:szCs w:val="28"/>
          <w:rtl w:val="true"/>
          <w:lang w:bidi="ar-SA"/>
        </w:rPr>
        <w:t>فيما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الافتقار إلى القرينتين على تقدير التجوّز في صورة انحصار المستعمل فيه في معنيين؛ لكفاية الصارفة عن المعنى الحقيقيّ في كون المعنى المجازيّ الواحد مرادًا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على تقدير عدم الانحصار فيما إذا كان بعض المجازات أولى، بل مطلقًا؛ لما ذكرنا من أنّ بالقرينة المعيّنة كما يتعيّن المراد، كذا يحصل الصرف عن الأغيار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التسليم نقول بتحقّقه في المشترك أيضًا، فإنّه في كلّ استعمال يفتقر إلى قرينتين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صارفة عن غير المراد ومعيّنة له، فلا افتراق بينهما من هذه الجهة ويبقى افتقار الاشتراك في كلّ معنى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المشترك يفتقر إلى قرينة بالإضافة إلى كلّ معنى، كذلك المجاز بالإضافة إلى كلّ معنى مجازيّ ولو كانت القرينة المفتقرة إليها بالنسبة إلى كلّ مجاز واحدة، فالافتقار إلى القرينة في كلّ معنى متحقّق على تقديري الاشتراك والتجوّز، فكيف يجعل ذلك سببًا لرجحان المجاز على الاشتراك مع اشتراكهما في ذلك؟</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الاشتراك الافتقار إلى القرينة متحقّق بالنسبة إلى جميع المعاني، وأمّا على تقدير التجوّز فإنّه وإن كان مسلّمًا بالنسبة إلى المعاني المجازيّة، لكنّه غير مسلّم بالنسبة إلى المعنى الحقيقيّ كما لا يخفى</w:t>
      </w:r>
      <w:r>
        <w:rPr>
          <w:rFonts w:eastAsia="Amiri" w:cs="Amiri" w:ascii="Amiri" w:hAnsi="Amiri"/>
          <w:color w:val="111111"/>
          <w:sz w:val="28"/>
          <w:szCs w:val="28"/>
          <w:rtl w:val="true"/>
          <w:lang w:bidi="ar-SA"/>
        </w:rPr>
        <w:t xml:space="preserve">. </w:t>
      </w:r>
      <w:bookmarkStart w:id="990" w:name="pg16214_221855"/>
    </w:p>
    <w:p>
      <w:pPr>
        <w:pStyle w:val="BookText"/>
        <w:rPr/>
      </w:pPr>
      <w:bookmarkEnd w:id="990"/>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الاشتراك الافتقار متحقّق بالنسبة إلى المعاني بأسرها، وأمّا على تقدير المجاز فالافتقار بالنسبة إلى المعاني المجازيّة، لا مطلق المعاني، فعدد القرائن على تقدير الاشتراك عدد المعاني وعلى تقدير المجاز ينقص عنه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وإن كان وجيهًا، لكن ما الدليل على أولويّة ما كان افتقاره إلى القرينة أقلّ ممّا كان افتقاره إليها</w:t>
      </w:r>
      <w:r>
        <w:rPr>
          <w:rStyle w:val="FootnoteAnchor"/>
          <w:rtl w:val="true"/>
        </w:rPr>
        <w:footnoteReference w:id="841"/>
      </w:r>
      <w:r>
        <w:rPr>
          <w:rFonts w:ascii="Amiri" w:hAnsi="Amiri" w:eastAsia="Amiri" w:cs="Amiri"/>
          <w:color w:val="111111"/>
          <w:sz w:val="28"/>
          <w:sz w:val="28"/>
          <w:szCs w:val="28"/>
          <w:rtl w:val="true"/>
          <w:lang w:bidi="ar-SA"/>
        </w:rPr>
        <w:t>أكثر بالمعنى الّذي انتهى الكلام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إذا تأمّلت فيما أبرزناه في هذا المقام على وجه البصيرة، ظهر لك أنّ ما اشتهر في الألسنة ونطق به كلام جماعة من الأجلّة من التفرقة بين القرينة في المشترك والمجاز بأنّها في الأوّل معيّنة وفي الثاني صارفة، كلامٌ ناشٍ على غير وجه البصيرة وإن أجرينا المقال على هذا الاصطلاح في بعض المباحث السالفة</w:t>
      </w:r>
      <w:r>
        <w:rPr>
          <w:rFonts w:eastAsia="Amiri" w:cs="Amiri" w:ascii="Amiri" w:hAnsi="Amiri"/>
          <w:color w:val="111111"/>
          <w:sz w:val="28"/>
          <w:szCs w:val="28"/>
          <w:rtl w:val="true"/>
          <w:lang w:bidi="ar-SA"/>
        </w:rPr>
        <w:t>.</w:t>
      </w:r>
    </w:p>
    <w:p>
      <w:pPr>
        <w:pStyle w:val="Heading6"/>
        <w:numPr>
          <w:ilvl w:val="5"/>
          <w:numId w:val="1"/>
        </w:numPr>
        <w:rPr/>
      </w:pPr>
      <w:bookmarkStart w:id="991" w:name="__RefHeading___Toc3520327_1280447820"/>
      <w:bookmarkStart w:id="992" w:name="_Toc382"/>
      <w:bookmarkEnd w:id="991"/>
      <w:r>
        <w:rPr>
          <w:rtl w:val="true"/>
        </w:rPr>
        <w:t>المفسدة الثانية للاشتراك</w:t>
      </w:r>
      <w:r>
        <w:rPr>
          <w:rtl w:val="true"/>
        </w:rPr>
        <w:t xml:space="preserve">: </w:t>
      </w:r>
      <w:r>
        <w:rPr>
          <w:rtl w:val="true"/>
        </w:rPr>
        <w:t>حصول الاختلال بالفهم</w:t>
      </w:r>
      <w:bookmarkEnd w:id="992"/>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الاشتراك قد يحصل الاختلال بالفهم، كما في صورة انتفاء القرينة، بخلافه على تقدير التجوّز، فإنّه عند وجود القرينة يحمل على ما دلّت عليه وعند انتفائها يحمل على المعنى الحقيقيّ، فلا اختلال</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والإيراد عليه وكذا الجواب يظهر ممّا أوردنا في أدلّة المرجّحين للاشتراك، فلا افتقار إلى الإعادة</w:t>
      </w:r>
      <w:r>
        <w:rPr>
          <w:rFonts w:eastAsia="Amiri" w:cs="Amiri" w:ascii="Amiri" w:hAnsi="Amiri"/>
          <w:color w:val="111111"/>
          <w:sz w:val="28"/>
          <w:szCs w:val="28"/>
          <w:rtl w:val="true"/>
          <w:lang w:bidi="ar-SA"/>
        </w:rPr>
        <w:t xml:space="preserve">. </w:t>
      </w:r>
      <w:bookmarkStart w:id="993" w:name="pg16214_221856"/>
    </w:p>
    <w:p>
      <w:pPr>
        <w:pStyle w:val="Heading6"/>
        <w:numPr>
          <w:ilvl w:val="5"/>
          <w:numId w:val="1"/>
        </w:numPr>
        <w:rPr/>
      </w:pPr>
      <w:bookmarkStart w:id="994" w:name="__RefHeading___Toc3520329_1280447820"/>
      <w:bookmarkStart w:id="995" w:name="_Toc383"/>
      <w:bookmarkEnd w:id="993"/>
      <w:bookmarkEnd w:id="994"/>
      <w:r>
        <w:rPr>
          <w:rtl w:val="true"/>
        </w:rPr>
        <w:t>المفسدة الثالثة للاشتراك</w:t>
      </w:r>
      <w:r>
        <w:rPr>
          <w:rtl w:val="true"/>
        </w:rPr>
        <w:t xml:space="preserve">: </w:t>
      </w:r>
      <w:r>
        <w:rPr>
          <w:rtl w:val="true"/>
        </w:rPr>
        <w:t>إفضاؤه إلى مستبعد من ضدّ أو نقيض</w:t>
      </w:r>
      <w:bookmarkEnd w:id="995"/>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الاشتراك قد يفضي إلى مستبعد من ضدّ أو نقيض، كما إذا كان اللفظ مشتركًا بين الضدّين، كالجون للسواد والبياض، أو النقيضين كالقرء للحيض والطهر، فإنّه إذا أطلق وكان المراد أحد المعنيين وحمل المخاطب على غيره بتخييل</w:t>
      </w:r>
      <w:r>
        <w:rPr>
          <w:rStyle w:val="FootnoteAnchor"/>
          <w:rtl w:val="true"/>
        </w:rPr>
        <w:footnoteReference w:id="843"/>
      </w:r>
      <w:r>
        <w:rPr>
          <w:rFonts w:ascii="Amiri" w:hAnsi="Amiri" w:eastAsia="Amiri" w:cs="Amiri"/>
          <w:color w:val="111111"/>
          <w:sz w:val="28"/>
          <w:sz w:val="28"/>
          <w:szCs w:val="28"/>
          <w:rtl w:val="true"/>
          <w:lang w:bidi="ar-SA"/>
        </w:rPr>
        <w:t>ما ليس قرينة قرينته، فقد حمل اللفظ على ما هو في غاية البعد من المراد</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اختصاص له بالاشتراك؛ لإمكان تحقّقه في المجاز أيضًا؛ لأنّ من أنواع العلائق التضادّ؛ وذلك إنّما هو إذا كان المعنى المجازيّ ضدًّا للمعنى الحقيقيّ، فإنّه إذا أطلق وأريد الحقيقة أو المجاز وحمل على الآخر لما ذكر، يلزم المحذور؛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وإن كان كذلك، إلّا أنّ المجاز لمّا كان مشروطًا بالعلاقة لا يلزم على تقدير الحمل على ضدّ المراد ذلك الاستبعاد، إذ على تقدير المجازيّة ينزّل التضادّ منزلة التناسب لمشاكلة، أو تهكّم، أو تمليح</w:t>
      </w:r>
      <w:r>
        <w:rPr>
          <w:rStyle w:val="FootnoteAnchor"/>
          <w:rtl w:val="true"/>
        </w:rPr>
        <w:footnoteReference w:id="845"/>
      </w:r>
      <w:r>
        <w:rPr>
          <w:rFonts w:ascii="Amiri" w:hAnsi="Amiri" w:eastAsia="Amiri" w:cs="Amiri"/>
          <w:color w:val="111111"/>
          <w:sz w:val="28"/>
          <w:sz w:val="28"/>
          <w:szCs w:val="28"/>
          <w:rtl w:val="true"/>
          <w:lang w:bidi="ar-SA"/>
        </w:rPr>
        <w:t>، بخلافه على تقدير الاشتراك</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الجواب عمّا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المستعمل فيه فيما نحن فيه واحد، فإن لزم</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المحذور يلزم مطلقًا ولو على تقدير المجازيّة، وإلّا فلا ولو على تقدير الاشتراك، 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لزومه في محلّ الكلام، بل المراد أنّ مع الاشتراك يمكن تحقّق المحذور، بخلافه على المجاز، فالحمل على ما لا يلزم المفسدة مطلقًا أولى، فتأمّل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عارض مرجّح الاشتراك فقال بأنّ للاشتراك فوائد لا توجد في المجاز وللمجاز مفاسد لا توجد في الاشتراك</w:t>
      </w:r>
      <w:r>
        <w:rPr>
          <w:rStyle w:val="FootnoteAnchor"/>
          <w:rtl w:val="true"/>
        </w:rPr>
        <w:footnoteReference w:id="847"/>
      </w:r>
      <w:r>
        <w:rPr>
          <w:rFonts w:ascii="Amiri" w:hAnsi="Amiri" w:eastAsia="Amiri" w:cs="Amiri"/>
          <w:color w:val="111111"/>
          <w:sz w:val="28"/>
          <w:sz w:val="28"/>
          <w:szCs w:val="28"/>
          <w:rtl w:val="true"/>
          <w:lang w:bidi="ar-SA"/>
        </w:rPr>
        <w:t>، لكن لمّا طال زمام الكلام عدلنا عن التعرّض لها والنقض والإبرام، مع أنّك إن أمعنت النظر فيما حقّقنا في أبلغيّة المجاز إلى هذا المقام، لعلّك تستغني عن التكلّم في بقيّة الأقسام، ومن الله الاستعانة في الفاتحة والختام</w:t>
      </w:r>
      <w:r>
        <w:rPr>
          <w:rFonts w:eastAsia="Amiri" w:cs="Amiri" w:ascii="Amiri" w:hAnsi="Amiri"/>
          <w:color w:val="111111"/>
          <w:sz w:val="28"/>
          <w:szCs w:val="28"/>
          <w:rtl w:val="true"/>
          <w:lang w:bidi="ar-SA"/>
        </w:rPr>
        <w:t xml:space="preserve">.  </w:t>
      </w:r>
      <w:bookmarkStart w:id="996" w:name="pg16214_221858"/>
    </w:p>
    <w:p>
      <w:pPr>
        <w:pStyle w:val="Heading4"/>
        <w:numPr>
          <w:ilvl w:val="3"/>
          <w:numId w:val="1"/>
        </w:numPr>
        <w:rPr/>
      </w:pPr>
      <w:bookmarkStart w:id="997" w:name="__RefHeading___Toc3520331_1280447820"/>
      <w:bookmarkStart w:id="998" w:name="_Toc384"/>
      <w:bookmarkEnd w:id="996"/>
      <w:bookmarkEnd w:id="997"/>
      <w:r>
        <w:rPr>
          <w:rtl w:val="true"/>
        </w:rPr>
        <w:t>والبحث الثاني</w:t>
      </w:r>
      <w:r>
        <w:rPr>
          <w:rtl w:val="true"/>
        </w:rPr>
        <w:t xml:space="preserve">: </w:t>
      </w:r>
      <w:r>
        <w:rPr>
          <w:rtl w:val="true"/>
        </w:rPr>
        <w:t>في تعارض الاشتراك مع الثلاثة الباقية من النقل والإضمار والتخصيص</w:t>
      </w:r>
      <w:bookmarkEnd w:id="998"/>
    </w:p>
    <w:p>
      <w:pPr>
        <w:pStyle w:val="Heading5"/>
        <w:numPr>
          <w:ilvl w:val="4"/>
          <w:numId w:val="1"/>
        </w:numPr>
        <w:rPr/>
      </w:pPr>
      <w:bookmarkStart w:id="999" w:name="__RefHeading___Toc3520333_1280447820"/>
      <w:bookmarkStart w:id="1000" w:name="_Toc385"/>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ففيه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تعارض الاشتراك والنقل</w:t>
      </w:r>
    </w:p>
    <w:p>
      <w:pPr>
        <w:pStyle w:val="Heading5"/>
        <w:numPr>
          <w:ilvl w:val="4"/>
          <w:numId w:val="1"/>
        </w:numPr>
        <w:rPr/>
      </w:pPr>
      <w:bookmarkStart w:id="1001" w:name="__RefHeading___Toc3520335_1280447820"/>
      <w:bookmarkStart w:id="1002" w:name="_Toc386"/>
      <w:bookmarkEnd w:id="1001"/>
      <w:r>
        <w:rPr>
          <w:rtl w:val="true"/>
        </w:rPr>
        <w:t>المبحث الأوّل</w:t>
      </w:r>
      <w:r>
        <w:rPr>
          <w:rtl w:val="true"/>
        </w:rPr>
        <w:t xml:space="preserve">: </w:t>
      </w:r>
      <w:r>
        <w:rPr>
          <w:rtl w:val="true"/>
        </w:rPr>
        <w:t>معارضة الاشتراك والنقل</w:t>
      </w:r>
      <w:bookmarkEnd w:id="1002"/>
    </w:p>
    <w:p>
      <w:pPr>
        <w:pStyle w:val="Heading6"/>
        <w:numPr>
          <w:ilvl w:val="5"/>
          <w:numId w:val="1"/>
        </w:numPr>
        <w:rPr/>
      </w:pPr>
      <w:bookmarkStart w:id="1003" w:name="__RefHeading___Toc3520337_1280447820"/>
      <w:bookmarkStart w:id="1004" w:name="_Toc387"/>
      <w:bookmarkEnd w:id="1003"/>
      <w:r>
        <w:rPr>
          <w:rtl w:val="true"/>
        </w:rPr>
        <w:t>اشارة</w:t>
      </w:r>
      <w:bookmarkEnd w:id="1004"/>
    </w:p>
    <w:p>
      <w:pPr>
        <w:pStyle w:val="BookText"/>
        <w:rPr/>
      </w:pPr>
      <w:r>
        <w:rPr>
          <w:rFonts w:ascii="Amiri" w:hAnsi="Amiri" w:eastAsia="Amiri" w:cs="Amiri"/>
          <w:color w:val="111111"/>
          <w:sz w:val="28"/>
          <w:sz w:val="28"/>
          <w:szCs w:val="28"/>
          <w:rtl w:val="true"/>
          <w:lang w:bidi="ar-SA"/>
        </w:rPr>
        <w:t>تنقيح المقام يستدعي التكلّم في مطلبين</w:t>
      </w:r>
      <w:r>
        <w:rPr>
          <w:rFonts w:eastAsia="Amiri" w:cs="Amiri" w:ascii="Amiri" w:hAnsi="Amiri"/>
          <w:color w:val="111111"/>
          <w:sz w:val="28"/>
          <w:szCs w:val="28"/>
          <w:rtl w:val="true"/>
          <w:lang w:bidi="ar-SA"/>
        </w:rPr>
        <w:t>:</w:t>
      </w:r>
    </w:p>
    <w:p>
      <w:pPr>
        <w:pStyle w:val="Heading6"/>
        <w:numPr>
          <w:ilvl w:val="5"/>
          <w:numId w:val="1"/>
        </w:numPr>
        <w:rPr/>
      </w:pPr>
      <w:bookmarkStart w:id="1005" w:name="__RefHeading___Toc3520339_1280447820"/>
      <w:bookmarkStart w:id="1006" w:name="_Toc388"/>
      <w:bookmarkEnd w:id="1005"/>
      <w:r>
        <w:rPr>
          <w:rtl w:val="true"/>
        </w:rPr>
        <w:t>المطلب الأوّل</w:t>
      </w:r>
      <w:r>
        <w:rPr>
          <w:rtl w:val="true"/>
        </w:rPr>
        <w:t xml:space="preserve">: </w:t>
      </w:r>
      <w:r>
        <w:rPr>
          <w:rtl w:val="true"/>
        </w:rPr>
        <w:t>في تصوير المسألة والإيماء إلى ما يترتّب عليها من الثمرة</w:t>
      </w:r>
      <w:bookmarkEnd w:id="1006"/>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مثّل لذلك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في البيت صلاة</w:t>
      </w:r>
      <w:r>
        <w:rPr>
          <w:rFonts w:eastAsia="IRNazanin" w:cs="IRNazanin"/>
          <w:color w:val="111111"/>
          <w:sz w:val="28"/>
          <w:szCs w:val="28"/>
          <w:rtl w:val="true"/>
          <w:lang w:bidi="fa-IR"/>
        </w:rPr>
        <w:t>»</w:t>
      </w:r>
      <w:r>
        <w:rPr>
          <w:rStyle w:val="FootnoteAnchor"/>
          <w:rtl w:val="true"/>
        </w:rPr>
        <w:footnoteReference w:id="848"/>
      </w:r>
      <w:r>
        <w:rPr>
          <w:rFonts w:ascii="Amiri" w:hAnsi="Amiri" w:eastAsia="Amiri" w:cs="Amiri"/>
          <w:color w:val="111111"/>
          <w:sz w:val="28"/>
          <w:sz w:val="28"/>
          <w:szCs w:val="28"/>
          <w:rtl w:val="true"/>
          <w:lang w:bidi="ar-SA"/>
        </w:rPr>
        <w:t xml:space="preserve">، بناءً على أنّا نعلم أنّ الدعاء معنى حقيقيّ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كالأفعال المفتتحة بالتكبير والمختتمة بالتسليم، لكن لم يعلم كون المعنى الثاني كذلك</w:t>
      </w:r>
      <w:r>
        <w:rPr>
          <w:rStyle w:val="FootnoteAnchor"/>
          <w:rtl w:val="true"/>
        </w:rPr>
        <w:footnoteReference w:id="849"/>
      </w:r>
      <w:r>
        <w:rPr>
          <w:rFonts w:ascii="Amiri" w:hAnsi="Amiri" w:eastAsia="Amiri" w:cs="Amiri"/>
          <w:color w:val="111111"/>
          <w:sz w:val="28"/>
          <w:sz w:val="28"/>
          <w:szCs w:val="28"/>
          <w:rtl w:val="true"/>
          <w:lang w:bidi="ar-SA"/>
        </w:rPr>
        <w:t>بعد المهجوريّة عن المعنى الأوّل، أم قبلها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مقتضى الحديث لزوم الطهارة في الطواف، بناءً على امتناع إرادة الحقيقة، فاللازم الحمل على أقرب المجازات، ومقتضاه مشاركة الطواف مع </w:t>
      </w:r>
    </w:p>
    <w:p>
      <w:pPr>
        <w:pStyle w:val="BookText"/>
        <w:rPr/>
      </w:pPr>
      <w:r>
        <w:rPr>
          <w:rFonts w:ascii="Amiri" w:hAnsi="Amiri" w:eastAsia="Amiri" w:cs="Amiri"/>
          <w:color w:val="111111"/>
          <w:sz w:val="28"/>
          <w:sz w:val="28"/>
          <w:szCs w:val="28"/>
          <w:rtl w:val="true"/>
          <w:lang w:bidi="ar-SA"/>
        </w:rPr>
        <w:t>الصلاة في جميع الأحكام الثابتة لها، إلّا ما دلّ الدليل على عدمه، ومن الأحكام الثابتة للمشبّه به لزوم الطهارة، فيجب أن يحكم بلزومه في المشبّه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الحكم بذلك؛ لاحتمال أن يكون المراد من الصلاة الدعاء، وهو غير مشروط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قيل في هذا المقام، ويجري ما ذكر في جميع الألفاظ الشرعيّة كما لا يخفى</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منظور فيه؛ لأنّ احتمال الاشتراك بين الدعاء والمعنى الشرعيّ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يتصوّر إذا كان في اللغة موضوعًا للمعنى الشرعيّ أيضًا، وهو غير صحيح؛ لظهور أنّ وضع اللفظ لمعنى فرع معرفته وتعقّله، والمعاني الشرعيّة لكونها من المعاني التوقيفيّة، لم تكن معروفة لأهل اللغة حتّى يقوم احتمال وضع اللفظ لها كما لا يخفى، فاحتمال الاشتراك فيها على النحو المذكور ممّا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الاحتمال المذكور يمكن ابتناؤه على القول بتوقيفيّة اللغات، أو على اصطلاحيّتها، لا بأن يكون المعنى الشرعيّ من موضوعات أهل اللغة، بل من موضوعات الشارع، لكن من غير أن يبنى الأمر على هجر المعنى اللغويّ، بل بأن يكون المعنى اللغويّ من معناه الحقيقيّ عنده وجعل المعنى الشرعيّ معنى آخر لذلك اللفظ، فحينئذٍ يكون اللفظ مشتركًا عنده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الاحتمال ممّا لا وجه له؛ لانعقاد الاتّفاق على خلافه؛ لأنّ المثبتين </w:t>
      </w:r>
      <w:bookmarkStart w:id="1007" w:name="pg16214_221860"/>
    </w:p>
    <w:p>
      <w:pPr>
        <w:pStyle w:val="BookText"/>
        <w:rPr/>
      </w:pPr>
      <w:bookmarkEnd w:id="1007"/>
      <w:r>
        <w:rPr>
          <w:rFonts w:ascii="Amiri" w:hAnsi="Amiri" w:eastAsia="Amiri" w:cs="Amiri"/>
          <w:color w:val="111111"/>
          <w:sz w:val="28"/>
          <w:sz w:val="28"/>
          <w:szCs w:val="28"/>
          <w:rtl w:val="true"/>
          <w:lang w:bidi="ar-SA"/>
        </w:rPr>
        <w:t>للحقيقة الشرعيّة أطبقوا على لزوم حمل الألفاظ الشرعيّة على معانيها الشرعيّة عند التجرّد عن القرائن الصارفة، كما أنّ النافين لها اتّفقوا على لزوم حملها على المعاني اللغويّة حينئذٍ</w:t>
      </w:r>
      <w:r>
        <w:rPr>
          <w:rStyle w:val="FootnoteAnchor"/>
          <w:rtl w:val="true"/>
        </w:rPr>
        <w:footnoteReference w:id="851"/>
      </w:r>
      <w:r>
        <w:rPr>
          <w:rFonts w:ascii="Amiri" w:hAnsi="Amiri" w:eastAsia="Amiri" w:cs="Amiri"/>
          <w:color w:val="111111"/>
          <w:sz w:val="28"/>
          <w:sz w:val="28"/>
          <w:szCs w:val="28"/>
          <w:rtl w:val="true"/>
          <w:lang w:bidi="ar-SA"/>
        </w:rPr>
        <w:t>، فيعلم من اتّفاق هؤلاء الفريقين على هذين المطلبين اتّفاقهم على فساد الاحتمال المذكور؛ إذ على التقدير الأوّل يكون اللازم حمل اللفظ على المعنى الشرعيّ، كما أنّه يجب على الثاني حمله على المعنى اللغويّ، وعلى التقديرين لا يكون اللفظ إلّا ذا معنى واحد، فلا وجه لاحتمال الاشتراك كما لا يخفى على ذي مسكة وسداد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احتمال الابتناء على القول بتوقيفيّة اللغات إنّما يصحّ إذا كان الوضع في الحقائق الشرعيّة مستندًا إليه تعالى، وسيجيء تحقيق الحال في ذلك</w:t>
      </w:r>
      <w:r>
        <w:rPr>
          <w:rFonts w:eastAsia="Amiri" w:cs="Amiri" w:ascii="Amiri" w:hAnsi="Amiri"/>
          <w:color w:val="111111"/>
          <w:sz w:val="28"/>
          <w:szCs w:val="28"/>
          <w:rtl w:val="true"/>
          <w:lang w:bidi="ar-SA"/>
        </w:rPr>
        <w:t>.</w:t>
      </w:r>
    </w:p>
    <w:p>
      <w:pPr>
        <w:pStyle w:val="Heading6"/>
        <w:numPr>
          <w:ilvl w:val="5"/>
          <w:numId w:val="1"/>
        </w:numPr>
        <w:rPr/>
      </w:pPr>
      <w:bookmarkStart w:id="1008" w:name="__RefHeading___Toc3520341_1280447820"/>
      <w:bookmarkStart w:id="1009" w:name="_Toc389"/>
      <w:bookmarkEnd w:id="1008"/>
      <w:r>
        <w:rPr>
          <w:rtl w:val="true"/>
        </w:rPr>
        <w:t>والمطلب الثاني</w:t>
      </w:r>
      <w:r>
        <w:rPr>
          <w:rtl w:val="true"/>
        </w:rPr>
        <w:t xml:space="preserve">: </w:t>
      </w:r>
      <w:r>
        <w:rPr>
          <w:rtl w:val="true"/>
        </w:rPr>
        <w:t>في أنّ أيًّا من الاحتمالين يترجّح بالاختيار في البين</w:t>
      </w:r>
      <w:bookmarkEnd w:id="1009"/>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 ذلك، فقيل بترجيح الاشتراك نظرًا إلى أنّ الألفاظ المشتركة في اللغات أكثر وجودًا من المنقولة، والظنّ يحكم بإلحاق المشتبه على الأغلب</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بترجيح النقل؛ لأنّه مع الاشتراك ربما يحصل الاختلال بالفهم، بخلافه على تقدير النقل</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والثالث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يكون لكلّ من الاحتمالين جهة رجحان ومرجوحيّة، فيتحقّق التعارض، وهو يوجب التساقط، فيجب التوقّف</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قيل في وجه رجحان الاشتراك بعد تسليم أكثريّته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يكن أرجح من النقل، لكان مساويًا له، أو مرجوحًا بالنسبة إليه؛ وهما باطلان؛ لأنّه إمّا</w:t>
      </w:r>
      <w:r>
        <w:rPr>
          <w:rStyle w:val="FootnoteAnchor"/>
          <w:rtl w:val="true"/>
        </w:rPr>
        <w:footnoteReference w:id="855"/>
      </w:r>
      <w:r>
        <w:rPr>
          <w:rFonts w:ascii="Amiri" w:hAnsi="Amiri" w:eastAsia="Amiri" w:cs="Amiri"/>
          <w:color w:val="111111"/>
          <w:sz w:val="28"/>
          <w:sz w:val="28"/>
          <w:szCs w:val="28"/>
          <w:rtl w:val="true"/>
          <w:lang w:bidi="ar-SA"/>
        </w:rPr>
        <w:t>يلزم ترجيح المرجوح على الراجح، أو الترجيح من غير مرجّح، فتعيّن الأوّل،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ذلك إنّما يلزم إذا كان المشترك من واضع واحد، وأمّا إذا كان من متعدّد فلا؛ لجواز أن تكون الألفاظ المشتركة بالنسبة إلى كلّ واضع أقلّ من الألفاظ المنقولة</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تسليم الأكثريّة في الألفاظ المشتركة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لهذا الكلام، إذ أكثريّتها من الألفاظ المنقولة يمكن أن يكون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الألفاظ المشتركة من كلّ واضع أكثر من الألفاظ المنقولة بالنسبة إليه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مجموع الألفاظ المشتركة أكثر من مجموع الألفاظ المنقولة وإن لم يكن بالنسبة إلى كلّ واضع كذلك</w:t>
      </w:r>
      <w:r>
        <w:rPr>
          <w:rFonts w:eastAsia="Amiri" w:cs="Amiri" w:ascii="Amiri" w:hAnsi="Amiri"/>
          <w:color w:val="111111"/>
          <w:sz w:val="28"/>
          <w:szCs w:val="28"/>
          <w:rtl w:val="true"/>
          <w:lang w:bidi="ar-SA"/>
        </w:rPr>
        <w:t xml:space="preserve">. </w:t>
      </w:r>
      <w:bookmarkStart w:id="1010" w:name="pg16214_221862"/>
    </w:p>
    <w:p>
      <w:pPr>
        <w:pStyle w:val="BookText"/>
        <w:rPr/>
      </w:pPr>
      <w:bookmarkEnd w:id="1010"/>
      <w:r>
        <w:rPr>
          <w:rFonts w:ascii="Amiri" w:hAnsi="Amiri" w:eastAsia="Amiri" w:cs="Amiri"/>
          <w:color w:val="111111"/>
          <w:sz w:val="28"/>
          <w:sz w:val="28"/>
          <w:szCs w:val="28"/>
          <w:rtl w:val="true"/>
          <w:lang w:bidi="ar-SA"/>
        </w:rPr>
        <w:t>وعلى تقدير الأوّل يتمّ المرام، وكذلك على الثاني؛ لأنّه لمّا كان المفروض أكثريّة المجموع من المجموع، يلزم أن تكون الألفاظ المشتركة من بعض الواضعين أكثر من الألفاظ المنقولة بالنسبة إليه لو لم يسلّم الأكثريّة بالنسبة إليهما، فهناك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تكن الألفاظ المشتركة أكثر فائدة من المنقولة يلزم أحد المحذورين، فيتمّ المدّعى، إذ المشترك لو كان في موضع أكثر فائدة يكون كذلك مطلقًا لعدم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بمنع أكثريّة الاشتراك من الألفاظ المنقولة لو لم ندّع الأغلبيّة في خلافه؛ لظهور أنّ غالب الألفاظ الدائرة في الاصطلاحات المختلفة من العلوم والحرف والصنائع ألفاظ منقولة، والألفاظ المشتركة فيها ليست بتلك المثابة قطعًا، فيبقى ما دلّ على أولويّة النقل سالمًا عمّا يصلح للمعارضة، فيجب العمل على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أكثريّة النقل من الاشتراك في</w:t>
      </w:r>
      <w:r>
        <w:rPr>
          <w:rStyle w:val="FootnoteAnchor"/>
          <w:rtl w:val="true"/>
        </w:rPr>
        <w:footnoteReference w:id="857"/>
      </w:r>
      <w:r>
        <w:rPr>
          <w:rFonts w:ascii="Amiri" w:hAnsi="Amiri" w:eastAsia="Amiri" w:cs="Amiri"/>
          <w:color w:val="111111"/>
          <w:sz w:val="28"/>
          <w:sz w:val="28"/>
          <w:szCs w:val="28"/>
          <w:rtl w:val="true"/>
          <w:lang w:bidi="ar-SA"/>
        </w:rPr>
        <w:t>الاصطلاحات الخاصّة وإن</w:t>
      </w:r>
      <w:r>
        <w:rPr>
          <w:rStyle w:val="FootnoteAnchor"/>
          <w:rtl w:val="true"/>
        </w:rPr>
        <w:footnoteReference w:id="858"/>
      </w:r>
      <w:r>
        <w:rPr>
          <w:rFonts w:ascii="Amiri" w:hAnsi="Amiri" w:eastAsia="Amiri" w:cs="Amiri"/>
          <w:color w:val="111111"/>
          <w:sz w:val="28"/>
          <w:sz w:val="28"/>
          <w:szCs w:val="28"/>
          <w:rtl w:val="true"/>
          <w:lang w:bidi="ar-SA"/>
        </w:rPr>
        <w:t>كانت مسلّمة، لكنّ ذلك لا يوجب أكثريّته منه في اللغة والعرف العامّ، بل إنّما يجدي في تلك الاصطلاحات الخاصّة فيما إذا دار الأمر بينهما فيها، وجعل ذلك ثمرة في المسألة غير لائق، إذ ليس ذلك ممّا يعتني به العلماء</w:t>
      </w:r>
      <w:r>
        <w:rPr>
          <w:rFonts w:eastAsia="Amiri" w:cs="Amiri" w:ascii="Amiri" w:hAnsi="Amiri"/>
          <w:color w:val="111111"/>
          <w:sz w:val="28"/>
          <w:szCs w:val="28"/>
          <w:rtl w:val="true"/>
          <w:lang w:bidi="ar-SA"/>
        </w:rPr>
        <w:t>.</w:t>
      </w:r>
    </w:p>
    <w:p>
      <w:pPr>
        <w:pStyle w:val="Heading6"/>
        <w:numPr>
          <w:ilvl w:val="5"/>
          <w:numId w:val="1"/>
        </w:numPr>
        <w:rPr/>
      </w:pPr>
      <w:bookmarkStart w:id="1011" w:name="__RefHeading___Toc3520343_1280447820"/>
      <w:bookmarkStart w:id="1012" w:name="_Toc390"/>
      <w:bookmarkEnd w:id="1011"/>
      <w:r>
        <w:rPr>
          <w:rtl w:val="true"/>
        </w:rPr>
        <w:t>قول الحقّ في المسألة</w:t>
      </w:r>
      <w:bookmarkEnd w:id="1012"/>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أن تجعل المسألة مبتنية على القول بثبوت الحقيقة الشرعيّة وعدمه، بناءً على أنّ المقصود الأصليّ من تدوين المباحث الأصوليّة معرفة أحوال </w:t>
      </w:r>
      <w:bookmarkStart w:id="1013" w:name="pg16214_221863"/>
    </w:p>
    <w:p>
      <w:pPr>
        <w:pStyle w:val="BookText"/>
        <w:rPr/>
      </w:pPr>
      <w:bookmarkEnd w:id="1013"/>
      <w:r>
        <w:rPr>
          <w:rFonts w:ascii="Amiri" w:hAnsi="Amiri" w:eastAsia="Amiri" w:cs="Amiri"/>
          <w:color w:val="111111"/>
          <w:sz w:val="28"/>
          <w:sz w:val="28"/>
          <w:szCs w:val="28"/>
          <w:rtl w:val="true"/>
          <w:lang w:bidi="ar-SA"/>
        </w:rPr>
        <w:t>المخاطبات الشرعيّة، فعلى القول بالحقيقة الشرعيّة يكون النقل في كلام الشارع أكثر من الاشتراك قطعًا، فيجب حمل مشتبه الحال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بالعدم فلم يظهر أكثريّة أحدهما من الآخر في كلامه، فحينئذٍ لو ثبتت الأكثريّة لواحد منهما في العرف، أو اللغة، أو فيهما دون الآخر، يحمل المشتبه الحال في كلام الشارع عليه؛ وإلّا فإن تخالفا بأن تحقّقت الكثرة لواحد منهما في واحد منهما وللآخر في الآخر يشكل الأمر، لكنّ الظاهر الإلحاق بالعرف وإلّا فيتوقّف، وإن كان ترجيح النقل نظرًا إلى الاصطلاحات الخاصّة لا يخلو من 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تعارض الاشتراك والإضمار</w:t>
      </w:r>
    </w:p>
    <w:p>
      <w:pPr>
        <w:pStyle w:val="Heading5"/>
        <w:numPr>
          <w:ilvl w:val="4"/>
          <w:numId w:val="1"/>
        </w:numPr>
        <w:rPr/>
      </w:pPr>
      <w:bookmarkStart w:id="1014" w:name="__RefHeading___Toc3520345_1280447820"/>
      <w:bookmarkStart w:id="1015" w:name="_Toc391"/>
      <w:bookmarkEnd w:id="1014"/>
      <w:r>
        <w:rPr>
          <w:rtl w:val="true"/>
        </w:rPr>
        <w:t>والمبحث الثاني</w:t>
      </w:r>
      <w:r>
        <w:rPr>
          <w:rtl w:val="true"/>
        </w:rPr>
        <w:t xml:space="preserve">: </w:t>
      </w:r>
      <w:r>
        <w:rPr>
          <w:rtl w:val="true"/>
        </w:rPr>
        <w:t>في معارضة الاشتراك والإضمار</w:t>
      </w:r>
      <w:bookmarkEnd w:id="101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مثّل لذلك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خمسٍٍ من الإبل شاة</w:t>
      </w:r>
      <w:r>
        <w:rPr>
          <w:rFonts w:eastAsia="IRNazanin" w:cs="IRNazanin"/>
          <w:color w:val="111111"/>
          <w:sz w:val="28"/>
          <w:szCs w:val="28"/>
          <w:rtl w:val="true"/>
          <w:lang w:bidi="fa-IR"/>
        </w:rPr>
        <w:t>»</w:t>
      </w:r>
      <w:r>
        <w:rPr>
          <w:rStyle w:val="FootnoteAnchor"/>
          <w:rtl w:val="true"/>
        </w:rPr>
        <w:footnoteReference w:id="859"/>
      </w:r>
      <w:r>
        <w:rPr>
          <w:rFonts w:ascii="Amiri" w:hAnsi="Amiri" w:eastAsia="Amiri" w:cs="Amiri"/>
          <w:color w:val="111111"/>
          <w:sz w:val="28"/>
          <w:sz w:val="28"/>
          <w:szCs w:val="28"/>
          <w:rtl w:val="true"/>
          <w:lang w:bidi="ar-SA"/>
        </w:rPr>
        <w:t xml:space="preserve">بناءً على أنّ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ممّا لا شبهة فيه، وامتنعت إرادتها في المقام، فاللازم إمّا حملها على السببيّة،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خمس من الإبل شاة، أو حملها على الظرفيّة،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الكلام مقدّرًا،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 من الإبل مقدار شاة، هكذا قيل</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تأمّل؛ لأنّا لم نجد فرقًا في الكلام بعد التقدير بما ذكر وقبله، فإن استقام الكلام بعد التقدير يستقيم قبله، وإلّا فلا كذلك، نعم، لو قدّر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 من الإبل الواجب شاة؛ لا استقام</w:t>
      </w:r>
      <w:r>
        <w:rPr>
          <w:rStyle w:val="FootnoteAnchor"/>
          <w:rtl w:val="true"/>
        </w:rPr>
        <w:footnoteReference w:id="861"/>
      </w:r>
      <w:r>
        <w:rPr>
          <w:rFonts w:ascii="Amiri" w:hAnsi="Amiri" w:eastAsia="Amiri" w:cs="Amiri"/>
          <w:color w:val="111111"/>
          <w:sz w:val="28"/>
          <w:sz w:val="28"/>
          <w:szCs w:val="28"/>
          <w:rtl w:val="true"/>
          <w:lang w:bidi="ar-SA"/>
        </w:rPr>
        <w:t>، لكن ظاهر كلماتهم في مقام الإضمار تقدير المضاف، وهو على ما ذكرناه غير متحقّق، لكنّه غير مضرّ، إذ لزوم كون المقدّر مضافًا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 من الإبل ثمن شاة، وحينئذٍ يكون المقدّر مضافًا، والفرق بين التقديرين هو أنّ في الأوّل يستفاد تعيّن الشاة، وفي الثاني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بعضهم الفرق بين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السببيّة وتقدير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الأوّل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خمس من الإبل شاة، فلا يسقط</w:t>
      </w:r>
      <w:r>
        <w:rPr>
          <w:rStyle w:val="FootnoteAnchor"/>
          <w:rtl w:val="true"/>
        </w:rPr>
        <w:footnoteReference w:id="862"/>
      </w:r>
      <w:r>
        <w:rPr>
          <w:rFonts w:ascii="Amiri" w:hAnsi="Amiri" w:eastAsia="Amiri" w:cs="Amiri"/>
          <w:color w:val="111111"/>
          <w:sz w:val="28"/>
          <w:sz w:val="28"/>
          <w:szCs w:val="28"/>
          <w:rtl w:val="true"/>
          <w:lang w:bidi="ar-SA"/>
        </w:rPr>
        <w:t>الزكاة بهلاك النصاب بعد الحول، وعلى الثاني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 من الإبل مقدار شاة، فتسقط بهلاكه بعده؛ لكون الواجب جزءًا من النصاب</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 لأنّ الجزئيّة غير معلومة، إلّا إذا أريد بالمقدار قطر الشاة، لكنّه ممّا يقطع بعدم إرادته كما لا يخفى</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ترجيح أحد الاحتمالين على الآخر،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أحلّه الله محلّ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وغيره</w:t>
      </w:r>
      <w:r>
        <w:rPr>
          <w:rStyle w:val="FootnoteAnchor"/>
          <w:rtl w:val="true"/>
        </w:rPr>
        <w:footnoteReference w:id="864"/>
      </w:r>
      <w:r>
        <w:rPr>
          <w:rFonts w:ascii="Amiri" w:hAnsi="Amiri" w:eastAsia="Amiri" w:cs="Amiri"/>
          <w:color w:val="111111"/>
          <w:sz w:val="28"/>
          <w:sz w:val="28"/>
          <w:szCs w:val="28"/>
          <w:rtl w:val="true"/>
          <w:lang w:bidi="ar-SA"/>
        </w:rPr>
        <w:t xml:space="preserve">على ترجيح الإضمار </w:t>
      </w:r>
    </w:p>
    <w:p>
      <w:pPr>
        <w:pStyle w:val="BookText"/>
        <w:rPr/>
      </w:pPr>
      <w:r>
        <w:rPr>
          <w:rFonts w:ascii="Amiri" w:hAnsi="Amiri" w:eastAsia="Amiri" w:cs="Amiri"/>
          <w:color w:val="111111"/>
          <w:sz w:val="28"/>
          <w:sz w:val="28"/>
          <w:szCs w:val="28"/>
          <w:rtl w:val="true"/>
          <w:lang w:bidi="ar-SA"/>
        </w:rPr>
        <w:t>على الاشتراك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الإجمال على تقدير الإضمار مختصٌّ ببعض الصور، وهو ما إذا كان القابل للتقدير أمرين أو أكثر ولا رجحان للبعض على الآخر، فهناك لا بدّ من قرينة دالّة على خصوص المقدّر، ومع انتفائها يتحقّق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تلك الصورة، كما إذا كان القابل للتقدير واحدًا، ليس إلّا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رَبُّكَ</w:t>
      </w:r>
      <w:r>
        <w:rPr>
          <w:rStyle w:val="FootnoteAnchor"/>
          <w:rtl w:val="true"/>
        </w:rPr>
        <w:footnoteReference w:id="865"/>
      </w:r>
      <w:r>
        <w:rPr>
          <w:rFonts w:ascii="Amiri" w:hAnsi="Amiri" w:eastAsia="Amiri" w:cs="Amiri"/>
          <w:color w:val="111111"/>
          <w:sz w:val="28"/>
          <w:sz w:val="28"/>
          <w:szCs w:val="28"/>
          <w:rtl w:val="true"/>
          <w:lang w:bidi="ar-SA"/>
        </w:rPr>
        <w:t>، أي حكمه، أو متعدّدًا، لكن يكون البعض راجحًا على غيره،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الآية</w:t>
      </w:r>
      <w:r>
        <w:rPr>
          <w:rStyle w:val="FootnoteAnchor"/>
          <w:rtl w:val="true"/>
        </w:rPr>
        <w:footnoteReference w:id="866"/>
      </w:r>
      <w:r>
        <w:rPr>
          <w:rFonts w:ascii="Amiri" w:hAnsi="Amiri" w:eastAsia="Amiri" w:cs="Amiri"/>
          <w:color w:val="111111"/>
          <w:sz w:val="28"/>
          <w:sz w:val="28"/>
          <w:szCs w:val="28"/>
          <w:rtl w:val="true"/>
          <w:lang w:bidi="ar-SA"/>
        </w:rPr>
        <w:t>، فإنّ المتبادر منه أكلها، فلا إجمال، أمّا في الأوّل فظاهر، وأمّا في الثاني فلقضاء الرجحان بالتعيين، بخلافه على تقدير الاشتراك، فإنّ الإجمال حينئذٍ لازمٌ في جميع الصور، ومعلوم أنّه كلّما كان الكلام أكثر فائدة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 إيرادًا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الإضمار وإن كان كما ذكر، لكنّه قد أوجب الافتقار</w:t>
      </w:r>
      <w:r>
        <w:rPr>
          <w:rStyle w:val="FootnoteAnchor"/>
          <w:rtl w:val="true"/>
        </w:rPr>
        <w:footnoteReference w:id="867"/>
      </w:r>
      <w:r>
        <w:rPr>
          <w:rFonts w:ascii="Amiri" w:hAnsi="Amiri" w:eastAsia="Amiri" w:cs="Amiri"/>
          <w:color w:val="111111"/>
          <w:sz w:val="28"/>
          <w:sz w:val="28"/>
          <w:szCs w:val="28"/>
          <w:rtl w:val="true"/>
          <w:lang w:bidi="ar-SA"/>
        </w:rPr>
        <w:t>إلى ثلاث 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أصل الإضمار وموضعه وتعيين المضمر؛ بخلاف الاشتراك، فإنّه لا يستدعي إلّا قرينة معيّنة للمراد، فكان الاشتراك أولى</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بأنّه وإن كان مسلّمًا، لكنّه في صورة واحدة، بخلاف الاشتراك، </w:t>
      </w:r>
      <w:bookmarkStart w:id="1016" w:name="pg16214_221866"/>
    </w:p>
    <w:p>
      <w:pPr>
        <w:pStyle w:val="BookText"/>
        <w:rPr/>
      </w:pPr>
      <w:bookmarkEnd w:id="1016"/>
      <w:r>
        <w:rPr>
          <w:rFonts w:ascii="Amiri" w:hAnsi="Amiri" w:eastAsia="Amiri" w:cs="Amiri"/>
          <w:color w:val="111111"/>
          <w:sz w:val="28"/>
          <w:sz w:val="28"/>
          <w:szCs w:val="28"/>
          <w:rtl w:val="true"/>
          <w:lang w:bidi="ar-SA"/>
        </w:rPr>
        <w:t>فإنّ افتقاره إليها دائميّ</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الإضمار أوجز وأخصر، فكان أولى، أمّا الأوّل فظاهر، وأمّا الثاني فلأنّ الاختصار من محاسن الكلام</w:t>
      </w:r>
      <w:r>
        <w:rPr>
          <w:rStyle w:val="FootnoteAnchor"/>
          <w:rtl w:val="true"/>
        </w:rPr>
        <w:footnoteReference w:id="86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أوتيت جوامع الكلم واختصر لي الكلام اختصارًا</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أيضًا بأنّ المشترك يستدعي تعدّد الوضع، وهو مدفوع بالأصل؛ لأنّ الإضمار يستدعي التقدير والأصل عدمه، فلا فرق بينهما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تعارض الاشتراك والتخصيص</w:t>
      </w:r>
      <w:r>
        <w:rPr>
          <w:rFonts w:eastAsia="Amiri" w:cs="Amiri" w:ascii="Amiri" w:hAnsi="Amiri"/>
          <w:color w:val="111111"/>
          <w:sz w:val="28"/>
          <w:szCs w:val="28"/>
          <w:rtl w:val="true"/>
          <w:lang w:bidi="ar-SA"/>
        </w:rPr>
        <w:t>]</w:t>
      </w:r>
    </w:p>
    <w:p>
      <w:pPr>
        <w:pStyle w:val="Heading5"/>
        <w:numPr>
          <w:ilvl w:val="4"/>
          <w:numId w:val="1"/>
        </w:numPr>
        <w:rPr/>
      </w:pPr>
      <w:bookmarkStart w:id="1017" w:name="__RefHeading___Toc3520347_1280447820"/>
      <w:bookmarkStart w:id="1018" w:name="_Toc392"/>
      <w:bookmarkEnd w:id="1017"/>
      <w:r>
        <w:rPr>
          <w:rtl w:val="true"/>
        </w:rPr>
        <w:t>والمبحث الثالث</w:t>
      </w:r>
      <w:r>
        <w:rPr>
          <w:rtl w:val="true"/>
        </w:rPr>
        <w:t xml:space="preserve">: </w:t>
      </w:r>
      <w:r>
        <w:rPr>
          <w:rtl w:val="true"/>
        </w:rPr>
        <w:t>في معارضة الاشتراك والتخصيص</w:t>
      </w:r>
      <w:bookmarkEnd w:id="101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واشتهر التمثيل فيما بينهم لذلك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مَا نَكَحَ آَبَاؤُكُمْ</w:t>
      </w:r>
      <w:r>
        <w:rPr>
          <w:rStyle w:val="FootnoteAnchor"/>
          <w:rtl w:val="true"/>
        </w:rPr>
        <w:footnoteReference w:id="871"/>
      </w:r>
      <w:r>
        <w:rPr>
          <w:rFonts w:ascii="Amiri" w:hAnsi="Amiri" w:eastAsia="Amiri" w:cs="Amiri"/>
          <w:color w:val="111111"/>
          <w:sz w:val="28"/>
          <w:sz w:val="28"/>
          <w:szCs w:val="28"/>
          <w:rtl w:val="true"/>
          <w:lang w:bidi="ar-SA"/>
        </w:rPr>
        <w:t>، بناءً على أنّ النكاح حقيقة في العقد، فإطلاق الآية وإن اقتضى حرمة منكوحة الأب مطلقًا وإن كان بعقد فاسد، لكنّها مخصّصة بغير المعقودة بالعقد الفاسد، فتبقى الآية دالّة على تحريم المعقودة بالعقد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العقد والوطئ، ولم يعلم من الآية حرمة المنكوحة بمجرّد العقد حتّى يحتاج</w:t>
      </w:r>
      <w:r>
        <w:rPr>
          <w:rStyle w:val="FootnoteAnchor"/>
          <w:rtl w:val="true"/>
        </w:rPr>
        <w:footnoteReference w:id="872"/>
      </w:r>
      <w:r>
        <w:rPr>
          <w:rFonts w:ascii="Amiri" w:hAnsi="Amiri" w:eastAsia="Amiri" w:cs="Amiri"/>
          <w:color w:val="111111"/>
          <w:sz w:val="28"/>
          <w:sz w:val="28"/>
          <w:szCs w:val="28"/>
          <w:rtl w:val="true"/>
          <w:lang w:bidi="ar-SA"/>
        </w:rPr>
        <w:t>إلى دعوى التخصيص</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تأمّل لا يخفى على المتأمّل، فالأولى أن يقرّر المطلوب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العقد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العقد صحيحًا كان أو فاسدًا، لكن في الآية تعيّن إرادة الصحيح؛ لانتفاء الحرمة في المنكوحة بالعقد الفاسد، وهو يمكن إمّا بكون</w:t>
      </w:r>
      <w:r>
        <w:rPr>
          <w:rStyle w:val="FootnoteAnchor"/>
          <w:rtl w:val="true"/>
        </w:rPr>
        <w:footnoteReference w:id="874"/>
      </w:r>
      <w:r>
        <w:rPr>
          <w:rFonts w:ascii="Amiri" w:hAnsi="Amiri" w:eastAsia="Amiri" w:cs="Amiri"/>
          <w:color w:val="111111"/>
          <w:sz w:val="28"/>
          <w:sz w:val="28"/>
          <w:szCs w:val="28"/>
          <w:rtl w:val="true"/>
          <w:lang w:bidi="ar-SA"/>
        </w:rPr>
        <w:t>النكاح له وضع واحد للأعمّ من الصحيح والفاسد، لكن خصّص في الآية بالصحيح؛ أو وُضِعَ آخر لخصوص الصحيح، وهو المراد بالآية، فيلزم الاشتراك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حَافِظُوا عَلَى الصَّلَوَاتِ وَالصَّلَاةِ الْوُسْطَى</w:t>
      </w:r>
      <w:r>
        <w:rPr>
          <w:rStyle w:val="FootnoteAnchor"/>
          <w:rtl w:val="true"/>
        </w:rPr>
        <w:footnoteReference w:id="875"/>
      </w:r>
      <w:r>
        <w:rPr>
          <w:rFonts w:ascii="Amiri" w:hAnsi="Amiri" w:eastAsia="Amiri" w:cs="Amiri"/>
          <w:color w:val="111111"/>
          <w:sz w:val="28"/>
          <w:sz w:val="28"/>
          <w:szCs w:val="28"/>
          <w:rtl w:val="true"/>
          <w:lang w:bidi="ar-SA"/>
        </w:rPr>
        <w:t xml:space="preserve">،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محلّى باللام، فيشمل المفروضة والمندوبة في أصل الوضع، لكن في الآية مخصّصة بالمفروضة؛ لعدم وجوب المحافظة للصلوات المندوبة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بالصلوات في الآية الصلوات المفروضة مسلّم، لكن لا بأن يكون له وضع واحد، وهو الأعمّ، فيلزم التخصيص، بل لكونه كما وضع تارةً للأعمّ وضع أخرى للمفروضة، وهي المرادة من الآية</w:t>
      </w:r>
      <w:r>
        <w:rPr>
          <w:rFonts w:eastAsia="Amiri" w:cs="Amiri" w:ascii="Amiri" w:hAnsi="Amiri"/>
          <w:color w:val="111111"/>
          <w:sz w:val="28"/>
          <w:szCs w:val="28"/>
          <w:rtl w:val="true"/>
          <w:lang w:bidi="ar-SA"/>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ترجيح التخصيص؛ لما يأتي من أنّه أولى من المجاز الأولى من الاشتراك، فيكون التخصيص أولى من الاشتراك، إذ الأولى من الأولى من الشيء أولى من ذلك الشيء قطعًا</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bookmarkStart w:id="1019" w:name="pg16214_221869"/>
    </w:p>
    <w:p>
      <w:pPr>
        <w:pStyle w:val="Heading4"/>
        <w:numPr>
          <w:ilvl w:val="3"/>
          <w:numId w:val="1"/>
        </w:numPr>
        <w:rPr/>
      </w:pPr>
      <w:bookmarkStart w:id="1020" w:name="__RefHeading___Toc3520349_1280447820"/>
      <w:bookmarkStart w:id="1021" w:name="_Toc393"/>
      <w:bookmarkEnd w:id="1019"/>
      <w:bookmarkEnd w:id="1020"/>
      <w:r>
        <w:rPr>
          <w:rtl w:val="true"/>
        </w:rPr>
        <w:t>والبحث الثالث</w:t>
      </w:r>
      <w:r>
        <w:rPr>
          <w:rtl w:val="true"/>
        </w:rPr>
        <w:t xml:space="preserve">: </w:t>
      </w:r>
      <w:r>
        <w:rPr>
          <w:rtl w:val="true"/>
        </w:rPr>
        <w:t>في بقيّة أقسام المعارضة</w:t>
      </w:r>
      <w:bookmarkEnd w:id="1021"/>
    </w:p>
    <w:p>
      <w:pPr>
        <w:pStyle w:val="Heading5"/>
        <w:numPr>
          <w:ilvl w:val="4"/>
          <w:numId w:val="1"/>
        </w:numPr>
        <w:rPr/>
      </w:pPr>
      <w:bookmarkStart w:id="1022" w:name="__RefHeading___Toc3520351_1280447820"/>
      <w:bookmarkStart w:id="1023" w:name="_Toc394"/>
      <w:bookmarkEnd w:id="1022"/>
      <w:r>
        <w:rPr>
          <w:rtl w:val="true"/>
        </w:rPr>
        <w:t>اشارة</w:t>
      </w:r>
      <w:bookmarkEnd w:id="1023"/>
    </w:p>
    <w:p>
      <w:pPr>
        <w:pStyle w:val="BookText"/>
        <w:rPr/>
      </w:pPr>
      <w:r>
        <w:rPr>
          <w:rFonts w:ascii="Amiri" w:hAnsi="Amiri" w:eastAsia="Amiri" w:cs="Amiri"/>
          <w:color w:val="111111"/>
          <w:sz w:val="28"/>
          <w:sz w:val="28"/>
          <w:szCs w:val="28"/>
          <w:rtl w:val="true"/>
          <w:lang w:bidi="ar-SA"/>
        </w:rPr>
        <w:t>وهي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تعارض المجاز والنقل</w:t>
      </w:r>
    </w:p>
    <w:p>
      <w:pPr>
        <w:pStyle w:val="Heading5"/>
        <w:numPr>
          <w:ilvl w:val="4"/>
          <w:numId w:val="1"/>
        </w:numPr>
        <w:rPr/>
      </w:pPr>
      <w:bookmarkStart w:id="1024" w:name="__RefHeading___Toc3520353_1280447820"/>
      <w:bookmarkStart w:id="1025" w:name="_Toc395"/>
      <w:bookmarkEnd w:id="1024"/>
      <w:r>
        <w:rPr>
          <w:rtl w:val="true"/>
        </w:rPr>
        <w:t>القسم الأوّل</w:t>
      </w:r>
      <w:r>
        <w:rPr>
          <w:rtl w:val="true"/>
        </w:rPr>
        <w:t xml:space="preserve">: </w:t>
      </w:r>
      <w:r>
        <w:rPr>
          <w:rtl w:val="true"/>
        </w:rPr>
        <w:t>معارضة المجاز والنقل</w:t>
      </w:r>
      <w:bookmarkEnd w:id="10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المجاز والنقل</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كغيره من عنوانات الصور المتعارضة يحتمل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النقل والمعنى المجازيّ ثابتًا، لكن لم يعلم المستعمل فيه وتردّد بين كون المراد منه المعنى المنقول إليه أو المجازيّ، والحكم فيه يستدعي التفصيل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يخلو إمّا أن علم أنّ صدور الخطاب بعد تحقّق النقل، أو قبله، أو لا هذا ولا ذاك، بل كلّ منهما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الحمل على المعنى المنقول إليه؛ لأنّه معنى حقيقيّ له، ومقتضى كون الأصل في الاستعمال الحقيقة، لزوم حمل الألفاظ على المعاني الحقيقيّة عند التجرّد عن القرائن المجازيّة، كما أقمنا عليه البرهان في المباحث السالفة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إمّا أن يكون ذلك المعنى المجازيّ المعنى المنقول منه، أو غيره، وهو إنّما يتحقّق إذا أقيمت القرينة على عدم إرادة المعنى المنقول منه، وعلى الأوّل يتعيّن الحمل عليه لعين ما ذكر، وعلى الثاني لا يخلو إمّا أن يكون أحدهما </w:t>
      </w:r>
    </w:p>
    <w:p>
      <w:pPr>
        <w:pStyle w:val="BookText"/>
        <w:rPr/>
      </w:pPr>
      <w:r>
        <w:rPr>
          <w:rFonts w:ascii="Amiri" w:hAnsi="Amiri" w:eastAsia="Amiri" w:cs="Amiri"/>
          <w:color w:val="111111"/>
          <w:sz w:val="28"/>
          <w:sz w:val="28"/>
          <w:szCs w:val="28"/>
          <w:rtl w:val="true"/>
          <w:lang w:bidi="ar-SA"/>
        </w:rPr>
        <w:t>أقرب إلى المعنى المنقول منه، أو لا، وعلى الأوّل يتعيّن الحمل على الأقرب، وعلى الثاني يكون اللفظ مجملًا ولا يمكن حمله إلّا على ما دلّت القرينة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إذا لم يعلم أنّ صدوره بعد تحقّق النقل أو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لزوم حمله على المعنى المنقول منه؛ لما ذكر بعد أن لوحظ أصالة تأخّر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المستعمل فيه معلومًا وتردّد اللفظ بين كونه مجازًا فيه أو منقولًا إليه، وهذا قد يمكن تشخيص الحال فيه من غير إشكال، كما إذا كان المتكلّم والمخاطب في زمان واحد، فإنّ لكلّ من المجاز والنقل علامة تخصّه، فاللازم الرجوع إليها والعمل بمقتضاها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اختلاف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المراد بالمقام؛ لكونه المناسب للأغراض الموجبة لتدوين علم الأصول والبحث عن 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فالراجح المصير إلى المجازيّة؛ لأكثريّة المجاز من النقل، وقد عرفت مرارًا أنّ الأولى إلحاق المشتبه بالأغلب؛ ولكون النقل مستلزمًا لمهجوريّة الوضع الأوّل وتعيّن اللفظ للمعنى الثاني، وكلاهما مخالف للأصل، بخلاف المجاز، فيكون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بافتقار النقل إلى اتّفاق أهل اللسان عليه، والاطّلاع عليه في غاية الصعوبة؛ بخلاف المجاز، فإنّه يتوقّف على العلاقة، والعلم بها في غاية السهولة</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لأنّ دلالة صعوبة الاطّلاع على المرجوحيّة وسهولته على الرجحان غير ظاهرة؛ نعم، لو قُرّر المقال على نحو أخر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النقل </w:t>
      </w:r>
    </w:p>
    <w:p>
      <w:pPr>
        <w:pStyle w:val="BookText"/>
        <w:rPr/>
      </w:pPr>
      <w:r>
        <w:rPr>
          <w:rFonts w:ascii="Amiri" w:hAnsi="Amiri" w:eastAsia="Amiri" w:cs="Amiri"/>
          <w:color w:val="111111"/>
          <w:sz w:val="28"/>
          <w:sz w:val="28"/>
          <w:szCs w:val="28"/>
          <w:rtl w:val="true"/>
          <w:lang w:bidi="ar-SA"/>
        </w:rPr>
        <w:t>يتوقّف على اتّفاق أهل اللسان عليه، وهو غير معلوم، فالأصل عدمه، بخلاف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وجيهًا، لكنّه يرجع إلى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تبيّن المستعمل فيه كما هو المفروض، لا ثمرة مهمّة في تشخيص كونه على سبيل النقل أو التجوّز؛ إذ أهمّ الدواعي لتشخيص هذه الأمور إنّما هو معلوميّة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الأمرين ليس لأجل ذلك الموضع، بل لأجل المواضع الأُخر، بناءً على أنّه إذا كان على سبيل النقل وجب الحمل على المعنى المنقول إليه كلّما استعمل مجرّدًا عن القرينة المجازيّة، والحمل على المعنى المنقول منه يتوقّف على الاقتران بها، ويتعاكس الأمر على تقدير التجوّز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التمثيل له بجميع الألفاظ الشرعيّة بالمقايسة إلى معانيها الشرعيّة على القول بنفي الحقيقة الشرعيّة، بناءً على ترجيح المجاز كما هو المختار، وكذلك الحال بناءً على ثبوتها لو رجّح النقل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ترجيح المجاز في هذا المقام ينافي القول بثبوت الحقيقة الشرعيّة، فاللازم على من رجّح المجاز في هذا المقام اختيار القول بالعدم، كما أنّ اللازم على من رجّح الثبوت في تلك المسألة المصير إلى النقل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إنّما هو إذا لم يقم دليل من وجه آخر على الثبوت وقد أقمنا الأدلّة للثبوت فيها، يخرج عن مقتضى ما ذكرنا في هذه المسألة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التجوّز إنّما هو إذا لم يقم على النقل دليل، وأمّا إذا وجد فتعيّن القول به، والأمر في الحقيقة الشرعيّة من هذا القبيل، كما لا يخفى على من أرخى النظر في سواء السبيل، والحمد للموفّق المؤيّد الجليل</w:t>
      </w:r>
      <w:r>
        <w:rPr>
          <w:rFonts w:eastAsia="Amiri" w:cs="Amiri" w:ascii="Amiri" w:hAnsi="Amiri"/>
          <w:color w:val="111111"/>
          <w:sz w:val="28"/>
          <w:szCs w:val="28"/>
          <w:rtl w:val="true"/>
          <w:lang w:bidi="ar-SA"/>
        </w:rPr>
        <w:t xml:space="preserve">. </w:t>
      </w:r>
      <w:bookmarkStart w:id="1026" w:name="pg16214_221872"/>
    </w:p>
    <w:p>
      <w:pPr>
        <w:pStyle w:val="BookText"/>
        <w:rPr/>
      </w:pPr>
      <w:bookmarkEnd w:id="1026"/>
      <w:r>
        <w:rPr>
          <w:rFonts w:ascii="Amiri" w:hAnsi="Amiri" w:eastAsia="Amiri" w:cs="Amiri"/>
          <w:color w:val="111111"/>
          <w:sz w:val="28"/>
          <w:sz w:val="28"/>
          <w:szCs w:val="28"/>
          <w:rtl w:val="true"/>
          <w:lang w:bidi="ar-SA"/>
        </w:rPr>
        <w:t>في تعارض المجاز والإضمار</w:t>
      </w:r>
    </w:p>
    <w:p>
      <w:pPr>
        <w:pStyle w:val="Heading5"/>
        <w:numPr>
          <w:ilvl w:val="4"/>
          <w:numId w:val="1"/>
        </w:numPr>
        <w:rPr/>
      </w:pPr>
      <w:bookmarkStart w:id="1027" w:name="__RefHeading___Toc3520355_1280447820"/>
      <w:bookmarkStart w:id="1028" w:name="_Toc396"/>
      <w:bookmarkEnd w:id="1027"/>
      <w:r>
        <w:rPr>
          <w:rtl w:val="true"/>
        </w:rPr>
        <w:t>والقسم الثاني</w:t>
      </w:r>
      <w:r>
        <w:rPr>
          <w:rtl w:val="true"/>
        </w:rPr>
        <w:t xml:space="preserve">: </w:t>
      </w:r>
      <w:r>
        <w:rPr>
          <w:rtl w:val="true"/>
        </w:rPr>
        <w:t>معارضة المجاز والإضمار</w:t>
      </w:r>
      <w:bookmarkEnd w:id="1028"/>
    </w:p>
    <w:p>
      <w:p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الْقَرْيَةَ</w:t>
      </w:r>
      <w:r>
        <w:rPr>
          <w:rStyle w:val="FootnoteAnchor"/>
          <w:rtl w:val="true"/>
        </w:rPr>
        <w:footnoteReference w:id="879"/>
      </w:r>
      <w:r>
        <w:rPr>
          <w:rFonts w:ascii="Amiri" w:hAnsi="Amiri" w:eastAsia="Amiri" w:cs="Amiri"/>
          <w:color w:val="111111"/>
          <w:sz w:val="28"/>
          <w:sz w:val="28"/>
          <w:szCs w:val="28"/>
          <w:rtl w:val="true"/>
          <w:lang w:bidi="ar-SA"/>
        </w:rPr>
        <w:t xml:space="preserve">، فإنّ عدم إمكان توجّه السؤال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يستدعي ارتكاب خلاف الظاهر إمّا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الأهل تسميةً للمتمكّن باسم المكان، أو بتقدير مضاف في العبارة،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اسئل أهل القرية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تعالى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والنهاية</w:t>
      </w:r>
      <w:r>
        <w:rPr>
          <w:rStyle w:val="FootnoteAnchor"/>
          <w:rtl w:val="true"/>
        </w:rPr>
        <w:footnoteReference w:id="881"/>
      </w:r>
      <w:r>
        <w:rPr>
          <w:rFonts w:ascii="Amiri" w:hAnsi="Amiri" w:eastAsia="Amiri" w:cs="Amiri"/>
          <w:color w:val="111111"/>
          <w:sz w:val="28"/>
          <w:sz w:val="28"/>
          <w:szCs w:val="28"/>
          <w:rtl w:val="true"/>
          <w:lang w:bidi="ar-SA"/>
        </w:rPr>
        <w:t>بالتسوية بينهما؛ لافتقار كلّ منهما إلى قرينة</w:t>
      </w:r>
      <w:r>
        <w:rPr>
          <w:rStyle w:val="FootnoteAnchor"/>
          <w:rtl w:val="true"/>
        </w:rPr>
        <w:footnoteReference w:id="882"/>
      </w:r>
      <w:r>
        <w:rPr>
          <w:rFonts w:ascii="Amiri" w:hAnsi="Amiri" w:eastAsia="Amiri" w:cs="Amiri"/>
          <w:color w:val="111111"/>
          <w:sz w:val="28"/>
          <w:sz w:val="28"/>
          <w:szCs w:val="28"/>
          <w:rtl w:val="true"/>
          <w:lang w:bidi="ar-SA"/>
        </w:rPr>
        <w:t>، والظاهر ترجيح المجاز لكونه أكثر وللفوائد المتكثّرة فيه، بخلاف الإضمار</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أنّه لا ثمرة مهمّة في ترجيح أحد الأمرين على الآخر في الآية المذكورة ونحوها، كما لا يخفى على من له أدنى تأمّل، فالثمرة تظهر في المواضع </w:t>
      </w:r>
      <w:bookmarkStart w:id="1029" w:name="pg16214_221873"/>
    </w:p>
    <w:p>
      <w:pPr>
        <w:pStyle w:val="BookText"/>
        <w:rPr/>
      </w:pPr>
      <w:bookmarkEnd w:id="1029"/>
      <w:r>
        <w:rPr>
          <w:rFonts w:ascii="Amiri" w:hAnsi="Amiri" w:eastAsia="Amiri" w:cs="Amiri"/>
          <w:color w:val="111111"/>
          <w:sz w:val="28"/>
          <w:sz w:val="28"/>
          <w:szCs w:val="28"/>
          <w:rtl w:val="true"/>
          <w:lang w:bidi="ar-SA"/>
        </w:rPr>
        <w:t>الّتي لم تكن على هذا المنوال بأن يختلف المعنى على تقدير التجوّز والإضمار،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وَالصَّلَاةِ الْوُسْطَى</w:t>
      </w:r>
      <w:r>
        <w:rPr>
          <w:rStyle w:val="FootnoteAnchor"/>
          <w:rtl w:val="true"/>
        </w:rPr>
        <w:footnoteReference w:id="884"/>
      </w:r>
      <w:r>
        <w:rPr>
          <w:rFonts w:ascii="Amiri" w:hAnsi="Amiri" w:eastAsia="Amiri" w:cs="Amiri"/>
          <w:color w:val="111111"/>
          <w:sz w:val="28"/>
          <w:sz w:val="28"/>
          <w:szCs w:val="28"/>
          <w:rtl w:val="true"/>
          <w:lang w:bidi="ar-SA"/>
        </w:rPr>
        <w:t>، فإنّه لمّا لم يجب محافظة الصلوات بأسرها، تعيّن إمّا حمل الأمر على الرجحان، أو تقدير مضاف في الكلام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بعض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الحال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مَا نَكَحَ آَبَاؤُكُمْ مِنَ النِّسَاءِ</w:t>
      </w:r>
      <w:r>
        <w:rPr>
          <w:rStyle w:val="FootnoteAnchor"/>
          <w:rtl w:val="true"/>
        </w:rPr>
        <w:footnoteReference w:id="885"/>
      </w:r>
      <w:r>
        <w:rPr>
          <w:rFonts w:ascii="Amiri" w:hAnsi="Amiri" w:eastAsia="Amiri" w:cs="Amiri"/>
          <w:color w:val="111111"/>
          <w:sz w:val="28"/>
          <w:sz w:val="28"/>
          <w:szCs w:val="28"/>
          <w:rtl w:val="true"/>
          <w:lang w:bidi="ar-SA"/>
        </w:rPr>
        <w:t>، بناءً على أنّه لمّا لم يحرم نكاح المعقودة بالعقد الفاسد، وجب إمّا حمل النهي على المرجوحيّة، أو تقدير</w:t>
      </w:r>
      <w:r>
        <w:rPr>
          <w:rStyle w:val="FootnoteAnchor"/>
          <w:rtl w:val="true"/>
        </w:rPr>
        <w:footnoteReference w:id="886"/>
      </w:r>
      <w:r>
        <w:rPr>
          <w:rFonts w:ascii="Amiri" w:hAnsi="Amiri" w:eastAsia="Amiri" w:cs="Amiri"/>
          <w:color w:val="111111"/>
          <w:sz w:val="28"/>
          <w:sz w:val="28"/>
          <w:szCs w:val="28"/>
          <w:rtl w:val="true"/>
          <w:lang w:bidi="ar-SA"/>
        </w:rPr>
        <w:t>محذوف في الآية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بعض ما نكح آباؤكم، وهي المعقودة بالعقد الصحيح، فعلى المختار من أولويّة التجوّز من الإضمار لا يمكن الاستدلال بهما على وجوب المحافظة وحرمة نكاح المعقودة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ذلك إنّما هو من حيث التجوّز والإضمار، وأمّا إذا لوحظ الأوّل مع التخصيص كما تقدّم الكلام فيه، فيتمّ</w:t>
      </w:r>
      <w:r>
        <w:rPr>
          <w:rStyle w:val="FootnoteAnchor"/>
          <w:rtl w:val="true"/>
        </w:rPr>
        <w:footnoteReference w:id="887"/>
      </w:r>
      <w:r>
        <w:rPr>
          <w:rFonts w:ascii="Amiri" w:hAnsi="Amiri" w:eastAsia="Amiri" w:cs="Amiri"/>
          <w:color w:val="111111"/>
          <w:sz w:val="28"/>
          <w:sz w:val="28"/>
          <w:szCs w:val="28"/>
          <w:rtl w:val="true"/>
          <w:lang w:bidi="ar-SA"/>
        </w:rPr>
        <w:t>الاستدلال لأولويّة التخصيص من المجاز كما مرّ مرارًا ويجيء الكلام فيه؛ وتظهر الثمرة فيما لم يكن على هذا المنوال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تعارض المجاز والتخصيص</w:t>
      </w:r>
    </w:p>
    <w:p>
      <w:pPr>
        <w:pStyle w:val="Heading5"/>
        <w:numPr>
          <w:ilvl w:val="4"/>
          <w:numId w:val="1"/>
        </w:numPr>
        <w:rPr/>
      </w:pPr>
      <w:bookmarkStart w:id="1030" w:name="__RefHeading___Toc3520357_1280447820"/>
      <w:bookmarkStart w:id="1031" w:name="_Toc397"/>
      <w:bookmarkEnd w:id="1030"/>
      <w:r>
        <w:rPr>
          <w:rtl w:val="true"/>
        </w:rPr>
        <w:t>والقسم الثالث</w:t>
      </w:r>
      <w:r>
        <w:rPr>
          <w:rtl w:val="true"/>
        </w:rPr>
        <w:t xml:space="preserve">: </w:t>
      </w:r>
      <w:r>
        <w:rPr>
          <w:rtl w:val="true"/>
        </w:rPr>
        <w:t>معارضة المجاز والتخصيص</w:t>
      </w:r>
      <w:bookmarkEnd w:id="1031"/>
    </w:p>
    <w:p>
      <w:pPr>
        <w:pStyle w:val="Heading6"/>
        <w:numPr>
          <w:ilvl w:val="5"/>
          <w:numId w:val="1"/>
        </w:numPr>
        <w:rPr/>
      </w:pPr>
      <w:bookmarkStart w:id="1032" w:name="__RefHeading___Toc3520359_1280447820"/>
      <w:bookmarkStart w:id="1033" w:name="_Toc398"/>
      <w:bookmarkEnd w:id="1032"/>
      <w:r>
        <w:rPr>
          <w:rtl w:val="true"/>
        </w:rPr>
        <w:t>اشارة</w:t>
      </w:r>
      <w:bookmarkEnd w:id="1033"/>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الآيتين المذكورتين على ما عرفت آنفًا ونحوهما، وقد مثّل له في النهاية </w:t>
      </w:r>
    </w:p>
    <w:p>
      <w:pPr>
        <w:pStyle w:val="BookText"/>
        <w:rPr/>
      </w:pPr>
      <w:r>
        <w:rPr>
          <w:rFonts w:ascii="Amiri" w:hAnsi="Amiri" w:eastAsia="Amiri" w:cs="Amiri"/>
          <w:color w:val="111111"/>
          <w:sz w:val="28"/>
          <w:sz w:val="28"/>
          <w:szCs w:val="28"/>
          <w:rtl w:val="true"/>
          <w:lang w:bidi="ar-SA"/>
        </w:rPr>
        <w:t>وغيره</w:t>
      </w:r>
      <w:r>
        <w:rPr>
          <w:rStyle w:val="FootnoteAnchor"/>
          <w:rtl w:val="true"/>
        </w:rPr>
        <w:footnoteReference w:id="888"/>
      </w:r>
      <w:r>
        <w:rPr>
          <w:rFonts w:ascii="IRNazanin" w:hAnsi="IRNazanin" w:eastAsia="IRNazanin"/>
          <w:color w:val="111111"/>
          <w:sz w:val="28"/>
          <w:sz w:val="28"/>
          <w:szCs w:val="28"/>
          <w:rtl w:val="true"/>
          <w:lang w:bidi="fa-IR"/>
        </w:rPr>
        <w:t>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فَاقْتُلُوا الْمُشْرِكِينَ</w:t>
      </w:r>
      <w:r>
        <w:rPr>
          <w:rStyle w:val="FootnoteAnchor"/>
          <w:rtl w:val="true"/>
        </w:rPr>
        <w:footnoteReference w:id="889"/>
      </w:r>
      <w:r>
        <w:rPr>
          <w:rFonts w:ascii="Amiri" w:hAnsi="Amiri" w:eastAsia="Amiri" w:cs="Amiri"/>
          <w:color w:val="111111"/>
          <w:sz w:val="28"/>
          <w:sz w:val="28"/>
          <w:szCs w:val="28"/>
          <w:rtl w:val="true"/>
          <w:lang w:bidi="ar-SA"/>
        </w:rPr>
        <w:t>، بناءً على أنّه يمكن أن يكون المراد الحقيقةَ، خُصّ عنه أهل الذمّة، أو المراد غيرهم، فيكون مجازًا من باب إطلاق اسم الكلّ على الجزء</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استدلّ على أولويّة التخصيص من المجاز بأنّ مع التخصيص لا يفوت المقصود مطلقًا ولو مع انتفاء القرينة، أمّا مع وجود القرينة على التخصيص فظاهر، وأمّا مع انتفائها فللزوم حمل اللفظ حينئذٍ على العموم الشامل للمراد وغيره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تأمّل،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روحه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يكون المراد الحقيقة، خُصّ عنه أهل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ينافي ما اشتهر بينهم من التفرقة بين التخصيص والنسخ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دفع والثاني رفع، والمقصود منه أنّ المخصّص دالّ على أنّ المتكلّم بالعامّ ما أراد عمومه حين التكلّم، بل المراد منه بعضه، فيظهر من المخصّص عدم ثبوت الحكم للعموم ودفعه، لا أنّه</w:t>
      </w:r>
      <w:r>
        <w:rPr>
          <w:rStyle w:val="FootnoteAnchor"/>
          <w:rtl w:val="true"/>
        </w:rPr>
        <w:footnoteReference w:id="892"/>
      </w:r>
      <w:r>
        <w:rPr>
          <w:rFonts w:ascii="Amiri" w:hAnsi="Amiri" w:eastAsia="Amiri" w:cs="Amiri"/>
          <w:color w:val="111111"/>
          <w:sz w:val="28"/>
          <w:sz w:val="28"/>
          <w:szCs w:val="28"/>
          <w:rtl w:val="true"/>
          <w:lang w:bidi="ar-SA"/>
        </w:rPr>
        <w:t>ثابت في أوّل الأمر ثمّ يرفع كما في النسخ، بل الأمر في التخصيص كذلك؛ لظهور أنّه ليس المراد من العامّ عند إرادة التخصيص إلّا بعض أفراده وأنّ المتكلّم لم يستعمله حينئذٍ إلّا في ذلك البعض</w:t>
      </w:r>
      <w:r>
        <w:rPr>
          <w:rFonts w:eastAsia="Amiri" w:cs="Amiri" w:ascii="Amiri" w:hAnsi="Amiri"/>
          <w:color w:val="111111"/>
          <w:sz w:val="28"/>
          <w:szCs w:val="28"/>
          <w:rtl w:val="true"/>
          <w:lang w:bidi="ar-SA"/>
        </w:rPr>
        <w:t xml:space="preserve">. </w:t>
      </w:r>
      <w:bookmarkStart w:id="1034" w:name="pg16214_221875"/>
    </w:p>
    <w:p>
      <w:pPr>
        <w:pStyle w:val="BookText"/>
        <w:rPr/>
      </w:pPr>
      <w:bookmarkEnd w:id="1034"/>
      <w:r>
        <w:rPr>
          <w:rFonts w:ascii="Amiri" w:hAnsi="Amiri" w:eastAsia="Amiri" w:cs="Amiri"/>
          <w:color w:val="111111"/>
          <w:sz w:val="28"/>
          <w:sz w:val="28"/>
          <w:szCs w:val="28"/>
          <w:rtl w:val="true"/>
          <w:lang w:bidi="ar-SA"/>
        </w:rPr>
        <w:t>فعلى هذا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الحقيقة، خُصّ عنه أهل الذمّة، أو المراد غيرهم؛ لما عرفت من أنّه على التقديرين يلزم أن يكون المراد غيرهم، نعم، ربما يمكن أن يتخيّل له وجه، بناءً على أنّ القول بأنّ العامّ المخصّص حقيقةٌ في الباقي، لكنّه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فلخفاء تحقّق الكلّ والجزء فيه، إذ مدلول العامّ كلّ فرد فرد، وممّا يدلّك على ذلك عدّهم في جملة العلائق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العامّ على الخاصّ، وعدم اكتفائهم بالكلّ والجزء عنه،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الوجه المذكور في ترجيح التخصيص على المجاز غير مستقيم فيما نحن فيه، إذ لا يتفاوت الحال على تقدير وجود القرينة وعدمها فيه بين احتمال التخصيص والتجوّز، إذ المجمل على التقديرين العموم، فلو سلّم عدم لزوم الحمل على غير المراد على تقدير التخصيص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كذلك على تقدير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الحمل على العموم فيما إذا كان المراد الخصوص، يلزم الحمل على غير المراد أيضًا، فلا يتفاوت الحال بين ما إذا كان المراد في ضمن غير المراد، أو لم يكن بعد إن كانت الخصوصيّة ملحوظة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تبيّن ضعف الوجه المذكور ولو مع الإغماض عن خصوص المثال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ليس خصوص المثال المذكور كما لا يخفى على المتأمّل</w:t>
      </w:r>
      <w:r>
        <w:rPr>
          <w:rFonts w:eastAsia="Amiri" w:cs="Amiri" w:ascii="Amiri" w:hAnsi="Amiri"/>
          <w:color w:val="111111"/>
          <w:sz w:val="28"/>
          <w:szCs w:val="28"/>
          <w:rtl w:val="true"/>
          <w:lang w:bidi="ar-SA"/>
        </w:rPr>
        <w:t>.</w:t>
      </w:r>
    </w:p>
    <w:p>
      <w:pPr>
        <w:pStyle w:val="Heading6"/>
        <w:numPr>
          <w:ilvl w:val="5"/>
          <w:numId w:val="1"/>
        </w:numPr>
        <w:rPr/>
      </w:pPr>
      <w:bookmarkStart w:id="1035" w:name="__RefHeading___Toc3520361_1280447820"/>
      <w:bookmarkStart w:id="1036" w:name="_Toc399"/>
      <w:bookmarkEnd w:id="1035"/>
      <w:r>
        <w:rPr>
          <w:rtl w:val="true"/>
        </w:rPr>
        <w:t>في أولويّة التخصيص من المجاز</w:t>
      </w:r>
      <w:bookmarkEnd w:id="1036"/>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يستدلّ لرجحان التخصيص على المجاز بأنّ التخصيص أكثر، فالحمل عليه أجدر؛ وكفاك في أكثريّته ما شاع وذاع حتّى خرق الأسماع ملأ </w:t>
      </w:r>
    </w:p>
    <w:p>
      <w:pPr>
        <w:pStyle w:val="BookText"/>
        <w:rPr/>
      </w:pPr>
      <w:r>
        <w:rPr>
          <w:rFonts w:ascii="Amiri" w:hAnsi="Amiri" w:eastAsia="Amiri" w:cs="Amiri"/>
          <w:color w:val="111111"/>
          <w:sz w:val="28"/>
          <w:sz w:val="28"/>
          <w:szCs w:val="28"/>
          <w:rtl w:val="true"/>
          <w:lang w:bidi="ar-SA"/>
        </w:rPr>
        <w:t>الأصقاع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يدّع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يكاد يدّعيه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من لفظٍ إلّا وقد استعمل في المعنى المجازيّ، وما ادّعاه بعضهم من أنّ غالب اللغات مجازات</w:t>
      </w:r>
      <w:r>
        <w:rPr>
          <w:rStyle w:val="FootnoteAnchor"/>
          <w:rtl w:val="true"/>
        </w:rPr>
        <w:footnoteReference w:id="894"/>
      </w:r>
      <w:r>
        <w:rPr>
          <w:rFonts w:ascii="Amiri" w:hAnsi="Amiri" w:eastAsia="Amiri" w:cs="Amiri"/>
          <w:color w:val="111111"/>
          <w:sz w:val="28"/>
          <w:sz w:val="28"/>
          <w:szCs w:val="28"/>
          <w:rtl w:val="true"/>
          <w:lang w:bidi="ar-SA"/>
        </w:rPr>
        <w:t>، فقد مرّ تحقيق الحال في الاحتمالات المتصوّرة في هذا المقال في أوائل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على فرض إمكان حمله على ما يتوهّم منه في هذا المقام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أكثريّة المجاز؛ لكون التخصيص نوعًا من أنواعه، فلا منافاة، فتأمّل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الحمل على الأكثر</w:t>
      </w:r>
      <w:r>
        <w:rPr>
          <w:rStyle w:val="FootnoteAnchor"/>
          <w:rtl w:val="true"/>
        </w:rPr>
        <w:footnoteReference w:id="895"/>
      </w:r>
      <w:r>
        <w:rPr>
          <w:rFonts w:ascii="Amiri" w:hAnsi="Amiri" w:eastAsia="Amiri" w:cs="Amiri"/>
          <w:color w:val="111111"/>
          <w:sz w:val="28"/>
          <w:sz w:val="28"/>
          <w:szCs w:val="28"/>
          <w:rtl w:val="true"/>
          <w:lang w:bidi="ar-SA"/>
        </w:rPr>
        <w:t>فلأنّه إذا دار الأمر بين إلحاق المشتبه بالأكثر أو الأقلّ، فإلحاقه بالأوّل أولى؛ لكون المظنون أنّه منه، وهذا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يلحق الشيء بالأغلب</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 وأمّا</w:t>
      </w:r>
      <w:r>
        <w:rPr>
          <w:rStyle w:val="FootnoteAnchor"/>
          <w:rtl w:val="true"/>
        </w:rPr>
        <w:footnoteReference w:id="897"/>
      </w:r>
      <w:r>
        <w:rPr>
          <w:rFonts w:ascii="Amiri" w:hAnsi="Amiri" w:eastAsia="Amiri" w:cs="Amiri"/>
          <w:color w:val="111111"/>
          <w:sz w:val="28"/>
          <w:sz w:val="28"/>
          <w:szCs w:val="28"/>
          <w:rtl w:val="true"/>
          <w:lang w:bidi="ar-SA"/>
        </w:rPr>
        <w:t>التعويل على الظنّ في أمثال المقام، فإنّ الظاهر أنّه محلّ وفاق بين الأعلام</w:t>
      </w:r>
      <w:r>
        <w:rPr>
          <w:rStyle w:val="FootnoteAnchor"/>
          <w:rtl w:val="true"/>
        </w:rPr>
        <w:footnoteReference w:id="898"/>
      </w:r>
      <w:r>
        <w:rPr>
          <w:rFonts w:ascii="Amiri" w:hAnsi="Amiri" w:eastAsia="Amiri" w:cs="Amiri"/>
          <w:color w:val="111111"/>
          <w:sz w:val="28"/>
          <w:sz w:val="28"/>
          <w:szCs w:val="28"/>
          <w:rtl w:val="true"/>
          <w:lang w:bidi="ar-SA"/>
        </w:rPr>
        <w:t>، فلا التفات إلى ما ذكره بعض الأفاضل</w:t>
      </w:r>
      <w:r>
        <w:rPr>
          <w:rStyle w:val="FootnoteAnchor"/>
          <w:rtl w:val="true"/>
        </w:rPr>
        <w:footnoteReference w:id="899"/>
      </w:r>
      <w:r>
        <w:rPr>
          <w:rFonts w:ascii="Amiri" w:hAnsi="Amiri" w:eastAsia="Amiri" w:cs="Amiri"/>
          <w:color w:val="111111"/>
          <w:sz w:val="28"/>
          <w:sz w:val="28"/>
          <w:szCs w:val="28"/>
          <w:rtl w:val="true"/>
          <w:lang w:bidi="ar-SA"/>
        </w:rPr>
        <w:t>، فإنّه بمعزل عمّا يظهر من سيرة الأماجد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أنّه لو لم يعوّل على الظنّ إمّا أن يُقضى بإلحاقه بالموهوم، فيلزم ترجيح المرجوح على الراجح؛ أو يتوقّف بين الأمرين، فيلزم الحكم بالتسوية بين الراجح والمرجوح في البين، وهو غير ملائم لمسلك الإنصاف، كما لا يخفى على من وفّق للاهتداء إلى سداد</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المسلك الّذي لا محيص عنه من الاكتفاء في دلالة الألفاظ بالظنون، لو سمعنا لفظًا من أيّ كلام يكون وظننّا بأيّ طريق كان أنّ مراد المتكلّم ذلك، يجوز الحمل والبناء عليه، كما إذا استعمل لفظٌ وأُقيمت القرينة على عدم إرادة ظاهره، وتعدّد مجازه، لكن أحد المجازين يكون أشهر من الآخر، يتعيّن الحمل عليه من غير نكير؛ وذلك إنّما هو للشهرة وكثرة استعماله فيه، فيظنّ أنّه المراد، فيُكتفى به، ونحن لا نجد فرقًا بين هذه المسألة والّتي كلامنا فيها أصلًا، والمناط فيهما واحد من غير تفاوت كما يظهر للمتأمّل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أنّ الاكتفاء بالظنّ في أمثال المقام يظهر من فحوى بعض النصوص الواردة في الأحكام الشرعيّة، كالموثّقة المرويّة في زيادات التهذيب عن إسحاق بن عمّار،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بالصلاة في الفرو</w:t>
      </w:r>
      <w:r>
        <w:rPr>
          <w:rStyle w:val="FootnoteAnchor"/>
          <w:rtl w:val="true"/>
        </w:rPr>
        <w:footnoteReference w:id="901"/>
      </w:r>
      <w:r>
        <w:rPr>
          <w:rFonts w:ascii="Amiri" w:hAnsi="Amiri" w:eastAsia="Amiri" w:cs="Amiri"/>
          <w:color w:val="111111"/>
          <w:sz w:val="28"/>
          <w:sz w:val="28"/>
          <w:szCs w:val="28"/>
          <w:rtl w:val="true"/>
          <w:lang w:bidi="ar-SA"/>
        </w:rPr>
        <w:t>اليمانيّ وفيما صنع في 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غير أهل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عليها المسلمين</w:t>
      </w:r>
      <w:r>
        <w:rPr>
          <w:rStyle w:val="FootnoteAnchor"/>
          <w:rtl w:val="true"/>
        </w:rPr>
        <w:footnoteReference w:id="902"/>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والمقصود الأهمّ في القواعد الأصوليّة والقوانين اللفظيّة إنّما هو التوصّل إلى الأحكام الشرعيّة، فتلك فروع وهذه أصول، والاكتفاء بالغلبة</w:t>
      </w:r>
      <w:r>
        <w:rPr>
          <w:rStyle w:val="FootnoteAnchor"/>
          <w:rtl w:val="true"/>
        </w:rPr>
        <w:footnoteReference w:id="904"/>
      </w:r>
      <w:r>
        <w:rPr>
          <w:rFonts w:ascii="Amiri" w:hAnsi="Amiri" w:eastAsia="Amiri" w:cs="Amiri"/>
          <w:color w:val="111111"/>
          <w:sz w:val="28"/>
          <w:sz w:val="28"/>
          <w:szCs w:val="28"/>
          <w:rtl w:val="true"/>
          <w:lang w:bidi="ar-SA"/>
        </w:rPr>
        <w:t>والشيوع في الأصل يقتضي الاكتفاء به في الفرع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بالظنّ في الفرع الّذي هو الأصل يستدعي الاكتفاء به في الأصل الّذي هو الفرع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الحديث على ما ذكر إنّما هو إذا كان المراد بالغالب الأكثر، وهو ممنوع؛ لجواز أن يكون المراد به السلطان،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السلطان الغالب، إلى آخره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الاحتمال وإن استظهره الفاضل السميّ المجلسيّ</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تعالى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وبناه</w:t>
      </w:r>
      <w:r>
        <w:rPr>
          <w:rStyle w:val="FootnoteAnchor"/>
          <w:rtl w:val="true"/>
        </w:rPr>
        <w:footnoteReference w:id="906"/>
      </w:r>
      <w:r>
        <w:rPr>
          <w:rFonts w:ascii="IRNazanin" w:hAnsi="IRNazanin" w:eastAsia="IRNazanin"/>
          <w:color w:val="111111"/>
          <w:sz w:val="28"/>
          <w:sz w:val="28"/>
          <w:szCs w:val="28"/>
          <w:rtl w:val="true"/>
          <w:lang w:bidi="fa-IR"/>
        </w:rPr>
        <w:t xml:space="preserve">عليه، لكنّه ليس كذلك ولا من الاحتمال الّذي يضرّ بالاستدلال؛ لكونه خلاف الظاهر؛ لأنّ الظاهر من سياقه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نفى البأس عن الصلاة في اللباس المصنوع في بلاد الإسلام، اشتبه الأمر على الراوي في أنّ مقصوده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أرض الإسلام ما إذا كان أهلها أجمع من المسلمين، أو يعمّه وغيره،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فيها غير أهل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أهلها منحصرًا في الإسلام ما حكمها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وظاهرٌ أنّ مقصوده إذا كان فيها غير أهل الإسلام، لا أن يكون السلطان غير المسلم، فبعد مراعاة مطابقة الجواب للسؤال يكون المقصود من الجواب ما ذكرنا، لا السلطان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الأمر على ما ذكرت، ينبغي العدول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الغالب والأكثر فيها المسلمين</w:t>
      </w:r>
      <w:r>
        <w:rPr>
          <w:rStyle w:val="FootnoteAnchor"/>
          <w:rtl w:val="true"/>
        </w:rPr>
        <w:footnoteReference w:id="907"/>
      </w:r>
      <w:r>
        <w:rPr>
          <w:rFonts w:ascii="Amiri" w:hAnsi="Amiri" w:eastAsia="Amiri" w:cs="Amiri"/>
          <w:color w:val="111111"/>
          <w:sz w:val="28"/>
          <w:sz w:val="28"/>
          <w:szCs w:val="28"/>
          <w:rtl w:val="true"/>
          <w:lang w:bidi="ar-SA"/>
        </w:rPr>
        <w:t xml:space="preserve">فلا بأس،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أنّ المراد بالغالب السلطان،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المسلّط عليهم،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الاحتمال المذكور مرجوح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السلطان إنّما هو على أهل الأرض لا عليها، فتأمّل، وإتيان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 لا المفرد، فلو كان المراد ما ذكر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عليهم مسلمًا، كما لا يخفى، والقول بالحذف على تقديره في السؤال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السلطان فيها غير أهل الإسلام، وهو مدفوع بالأصل؛ والظاهر منه أن ليس المقصود منه إلّا السؤال عن أصل كون غير أهل الاسلام فيها كما لا يخفى، فتأمّل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تسليمه أيضًا يثبت المرام، فإنّ نفي البأس عن الصلاة مع كون غير أهل الإسلام في البلد فيما إذا كان السلطان مسلمًا، إنّما هو من جهة أنّ المظنون كون العمل في الجلود وغيرها على ما يقتضيه مذهب السلطان، كما يؤمي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على دين ملوكهم</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 xml:space="preserve">، فيظهر منه جواز العمل </w:t>
      </w:r>
    </w:p>
    <w:p>
      <w:pPr>
        <w:pStyle w:val="BookText"/>
        <w:rPr/>
      </w:pPr>
      <w:r>
        <w:rPr>
          <w:rFonts w:ascii="Amiri" w:hAnsi="Amiri" w:eastAsia="Amiri" w:cs="Amiri"/>
          <w:color w:val="111111"/>
          <w:sz w:val="28"/>
          <w:sz w:val="28"/>
          <w:szCs w:val="28"/>
          <w:rtl w:val="true"/>
          <w:lang w:bidi="ar-SA"/>
        </w:rPr>
        <w:t>بالظنّ</w:t>
      </w:r>
      <w:r>
        <w:rPr>
          <w:rStyle w:val="FootnoteAnchor"/>
          <w:rtl w:val="true"/>
        </w:rPr>
        <w:footnoteReference w:id="909"/>
      </w:r>
      <w:r>
        <w:rPr>
          <w:rFonts w:ascii="Amiri" w:hAnsi="Amiri" w:eastAsia="Amiri" w:cs="Amiri"/>
          <w:color w:val="111111"/>
          <w:sz w:val="28"/>
          <w:sz w:val="28"/>
          <w:szCs w:val="28"/>
          <w:rtl w:val="true"/>
          <w:lang w:bidi="ar-SA"/>
        </w:rPr>
        <w:t>والتعويل عليه،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يخفى أنّ هنا احتمالًا آخر، وهو أن يكون الضمير المجرور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الغالب عليها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عائدًا إلى غير أهل الإسلام، والعدول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للتنبيه على أنّ غير أهل الإسلام ليس ممّا ينبغي أن يعاد ضمير ذوي العقول إليهم؛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الغالب والمسلّط المسلمين على غيرهم وهم مغلوبون</w:t>
      </w:r>
      <w:r>
        <w:rPr>
          <w:rStyle w:val="FootnoteAnchor"/>
          <w:rtl w:val="true"/>
        </w:rPr>
        <w:footnoteReference w:id="910"/>
      </w:r>
      <w:r>
        <w:rPr>
          <w:rFonts w:ascii="Amiri" w:hAnsi="Amiri" w:eastAsia="Amiri" w:cs="Amiri"/>
          <w:color w:val="111111"/>
          <w:sz w:val="28"/>
          <w:sz w:val="28"/>
          <w:szCs w:val="28"/>
          <w:rtl w:val="true"/>
          <w:lang w:bidi="ar-SA"/>
        </w:rPr>
        <w:t>، فلا بأس في الصلاة حينئذٍ في اللباس المعمول في ذلك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أيضًا يثبت المرام، إذ المسلمون لو كانوا غالبين على غيرهم ومسلّطين عليهم، يكون المظنون حينئذٍ أنّ الثياب المعمولة والجلود المصنوعة إنّما هي على مقتضى مذهبهم، فيستفاد منه حجّيّة الظنّ في الحكم الشرعيّ؛ وبالتقريب المتقدّم يُعدّى</w:t>
      </w:r>
      <w:r>
        <w:rPr>
          <w:rStyle w:val="FootnoteAnchor"/>
          <w:rtl w:val="true"/>
        </w:rPr>
        <w:footnoteReference w:id="911"/>
      </w:r>
      <w:r>
        <w:rPr>
          <w:rFonts w:ascii="Amiri" w:hAnsi="Amiri" w:eastAsia="Amiri" w:cs="Amiri"/>
          <w:color w:val="111111"/>
          <w:sz w:val="28"/>
          <w:sz w:val="28"/>
          <w:szCs w:val="28"/>
          <w:rtl w:val="true"/>
          <w:lang w:bidi="ar-SA"/>
        </w:rPr>
        <w:t>الحكم إلى الحكم الأصوليّ،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تبيّن أنّ الاكتفاء في جواز الاستعمال بمجرّد كون السلطان مسلمًا، ليس على ما ينبغي، بل غير صحيح، إذ قد يكون السلطان مسلمًا، لكن يُخفي مذهبه اتّقاءً منهم، فلا يحصل الظنّ بكون الجلود معمولة على مقتضى مذهبه، كما لا يخفى</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فيما إذا كان أكثر أهل البلد مسلمين، فإنّهم قد يتّفق أن يكونوا </w:t>
      </w:r>
      <w:bookmarkStart w:id="1037" w:name="pg16214_221881"/>
    </w:p>
    <w:p>
      <w:pPr>
        <w:pStyle w:val="BookText"/>
        <w:rPr/>
      </w:pPr>
      <w:bookmarkEnd w:id="1037"/>
      <w:r>
        <w:rPr>
          <w:rFonts w:ascii="Amiri" w:hAnsi="Amiri" w:eastAsia="Amiri" w:cs="Amiri"/>
          <w:color w:val="111111"/>
          <w:sz w:val="28"/>
          <w:sz w:val="28"/>
          <w:szCs w:val="28"/>
          <w:rtl w:val="true"/>
          <w:lang w:bidi="ar-SA"/>
        </w:rPr>
        <w:t>مغلوبين، فحينئذٍ أيضًا لا يحصل الظنّ مطلقًا بكون العمل في الجلود على مقتضى الإسلام، فالظاهر هو المعنى الثالث، وهو قد يجتمع مع أكثريّة أهل الإسلام وقد يفترق عنه،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عن احتمالات الحديث وإن كان في الكتب الفروع أنسب، لكن لمّا جرّتنا الحاجة إلى ذكره في المقام أرخينا المقال في تحقيقه ومعناه</w:t>
      </w:r>
      <w:r>
        <w:rPr>
          <w:rFonts w:eastAsia="Amiri" w:cs="Amiri" w:ascii="Amiri" w:hAnsi="Amiri"/>
          <w:color w:val="111111"/>
          <w:sz w:val="28"/>
          <w:szCs w:val="28"/>
          <w:rtl w:val="true"/>
          <w:lang w:bidi="ar-SA"/>
        </w:rPr>
        <w:t>.</w:t>
      </w:r>
    </w:p>
    <w:p>
      <w:pPr>
        <w:pStyle w:val="Heading6"/>
        <w:numPr>
          <w:ilvl w:val="5"/>
          <w:numId w:val="1"/>
        </w:numPr>
        <w:rPr/>
      </w:pPr>
      <w:bookmarkStart w:id="1038" w:name="__RefHeading___Toc3520363_1280447820"/>
      <w:bookmarkStart w:id="1039" w:name="_Toc400"/>
      <w:bookmarkEnd w:id="1038"/>
      <w:r>
        <w:rPr>
          <w:rtl w:val="true"/>
        </w:rPr>
        <w:t>في بقيّة أقسام المعارضة</w:t>
      </w:r>
      <w:bookmarkEnd w:id="1039"/>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بقي من أقسام المعارضة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التخصيص مع الإضمار، ومعارضته مع النقل، ومعارضة الإضمار والنقل، لكن لمّا يمكن استفادة الحال فيها ممّا ذكر من الأقسام، فلا افتقار فيها إلى نقل الكلام، فعليك</w:t>
      </w:r>
      <w:r>
        <w:rPr>
          <w:rStyle w:val="FootnoteAnchor"/>
          <w:rtl w:val="true"/>
        </w:rPr>
        <w:footnoteReference w:id="912"/>
      </w:r>
      <w:r>
        <w:rPr>
          <w:rFonts w:ascii="Amiri" w:hAnsi="Amiri" w:eastAsia="Amiri" w:cs="Amiri"/>
          <w:color w:val="111111"/>
          <w:sz w:val="28"/>
          <w:sz w:val="28"/>
          <w:szCs w:val="28"/>
          <w:rtl w:val="true"/>
          <w:lang w:bidi="ar-SA"/>
        </w:rPr>
        <w:t>بالتأمّل في المباحث السالفة لينكشف لك حال الأقسام المذكورة، ولله الحمد والشكر والمنّة</w:t>
      </w:r>
      <w:r>
        <w:rPr>
          <w:rFonts w:eastAsia="Amiri" w:cs="Amiri" w:ascii="Amiri" w:hAnsi="Amiri"/>
          <w:color w:val="111111"/>
          <w:sz w:val="28"/>
          <w:szCs w:val="28"/>
          <w:rtl w:val="true"/>
          <w:lang w:bidi="ar-SA"/>
        </w:rPr>
        <w:t xml:space="preserve">. </w:t>
      </w:r>
      <w:bookmarkStart w:id="1040" w:name="pg16214_221882"/>
    </w:p>
    <w:p>
      <w:pPr>
        <w:pStyle w:val="Heading2"/>
        <w:numPr>
          <w:ilvl w:val="1"/>
          <w:numId w:val="1"/>
        </w:numPr>
        <w:rPr/>
      </w:pPr>
      <w:bookmarkStart w:id="1041" w:name="__RefHeading___Toc3520365_1280447820"/>
      <w:bookmarkStart w:id="1042" w:name="_Toc401"/>
      <w:bookmarkEnd w:id="1040"/>
      <w:bookmarkEnd w:id="1041"/>
      <w:r>
        <w:rPr>
          <w:rtl w:val="true"/>
        </w:rPr>
        <w:t>فهرس المحتويات</w:t>
      </w:r>
      <w:bookmarkEnd w:id="1042"/>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لمحةٌ من حياة المؤلّف</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اسمه ونسبه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ولادته ونشأته</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إطراء العلماء له</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زهده وعبادته</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إقامته الحدود الشرعيّة</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مشايخ روايته</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تلامذته</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تآليفه القيّمة</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والرسائل الفقهيّة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والرسائل الحديثيّة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والرسائل الأصوليّة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الرجاليّة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والرسائل المتفرّقة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 ومرقده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بين يدي الكتاب</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فهرست ما في الكتاب</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تأريخ تصنيف الكتاب</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عملنا في التحقيق</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النسخ المعتمدة</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منهجنا في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كلمة شكر وثناء</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في بيان ماهيّتهما</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في بيان ماهيّة الحقيقة</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عقد وحلّ</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في بيان ماهيّة المجاز</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في تحقيق معنى الحقيقة والمجاز بحسب الاصطلاح</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لدفع الانتقاض</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في اللفظ المشترك</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في النقل التعيّنيّ</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في النقل التعيينيّ</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 الانتقاض</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حدّ آخر للحقيقة والمجاز</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الحقيقة والمجاز أولى من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تحقّق الوضع في المركّبات</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في حدّي الحقيقة والمجاز هل هو شخصيّ أو نوعيّ أو أعمّ منهما؟</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كشفُ إجمال لتوضيح مقال</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تحقيق في الوضع النوعيّ</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معنى آخر للوضع النوعيّ</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الفرق بين هذين القسمين للوضع النوعيّ</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الوضع المأخوذ في الحدّين أعمّ من الشخصيّ والنوعيّ</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شبهة في أنّ الألفاظ المشتركة عند استعمالها في معانيها يلزم أن يكون مجازًا لا حقيقة، مع الجواب عنها</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إشكالات وتفصّيات</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الجواب عن الإشكال الأوّل</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في الفرق بين القرينة الّتي في المشترك والّتي في المجاز</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اعتبار الإرادة في معنى الدلالة لا وجه له</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الدلالة لم تكن مشروطة بالإرادة</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الجواب عن الإشكال الثاني</w:t>
      </w:r>
      <w:r>
        <w:rPr>
          <w:rFonts w:eastAsia="Amiri" w:cs="Amiri" w:ascii="Amiri" w:hAnsi="Amiri"/>
          <w:color w:val="111111"/>
          <w:sz w:val="28"/>
          <w:szCs w:val="28"/>
          <w:lang w:bidi="ar-SA"/>
        </w:rPr>
        <w:t>91</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عن الإشكال الثالث</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الجواب عن الإشكال الرابع</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تعريف الاسم والحرف عند النحاة</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القسم السابع</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القسم الثامن</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الجواب عن الإشكال الرابع</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الجواب الثاني عن الإشكال الرابع</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الجواب الثالث عن الإشكال الرابع</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الجواب الرابع عن الإشكال الرابع</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في أنّ الفعل لا يلزم أن يكون حقيقة ولا مجازًا مع الجواب عنه</w:t>
      </w:r>
      <w:r>
        <w:rPr>
          <w:rFonts w:eastAsia="Amiri" w:cs="Amiri" w:ascii="Amiri" w:hAnsi="Amiri"/>
          <w:color w:val="111111"/>
          <w:sz w:val="28"/>
          <w:szCs w:val="28"/>
          <w:lang w:bidi="ar-SA"/>
        </w:rPr>
        <w:t>119</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عن الإشكال الخامس</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لِمَ عدم وقوع الفعل مسندًا إليه ووقوع الاسم مسندًا ومسندًا إليه</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في الفرق بين اسم الفاعل والفعل</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Amiri" w:hAnsi="Amiri" w:eastAsia="Amiri" w:cs="Amiri"/>
          <w:color w:val="111111"/>
          <w:sz w:val="28"/>
          <w:sz w:val="28"/>
          <w:szCs w:val="28"/>
          <w:rtl w:val="true"/>
          <w:lang w:bidi="ar-SA"/>
        </w:rPr>
        <w:t>في تحقيق العلاقة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اعتبار العلاقة في المجازات</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وجه اشتراط العلاقة في المعاني المجازيّة</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والتحقيق أنّ الدالّ في المجازات اللفظ بشرط القرينة لا مجموعهما</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رأي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العلاقة وبيان أنواعها</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الجزئيّة والكلّية</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يشترط في إطلاق اللفظ الموضوع للجزء على الكلّ أمران</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سرّ الاشتراط المذكور</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lang w:bidi="ar-SA"/>
        </w:rPr>
        <w:t>142</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اندراج هاتين العلاقتين تحت الحدّ المذكور للعلاقة</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من أنواع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المشابهة في الشكل والصفة</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الكلام في اندراج هذه العلاقة تحت حدّها المتقدّم</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النوع الرابع من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المستعمل فيه على صفة</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الإشكال في أنّ حكمهم بمجازيّة اللفظ باعتبار ما كان، ينافي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المشتقّ على الذات لا يتوقّف على بقاء المبدأ، مع الجواب عنه</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الجواب عن الإشكال</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النوع الخامس من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اللفظ على ما يؤول إلى ما وضع ذلك اللفظ له</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وهمٌ وإزاحةٌ</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النوع السادس من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المجاورة</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عقدٌ وحلٌّ</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في تحقيق المجاورة وبيان أقسامها</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الكلام في اندراج هذه العلاقة تحت حدّها المتقدّم</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النوع السابع والثامن من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الحالّيّة والمحلّيّة</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تحقيق المقام يستدعي بيان أمور</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الحلول وتقسيمه إلى القسمين</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الحلول على قسمين</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تعريف آخر للحلول</w:t>
      </w:r>
      <w:r>
        <w:rPr>
          <w:rFonts w:eastAsia="Amiri" w:cs="Amiri" w:ascii="Amiri" w:hAnsi="Amiri"/>
          <w:color w:val="111111"/>
          <w:sz w:val="28"/>
          <w:szCs w:val="28"/>
          <w:lang w:bidi="ar-SA"/>
        </w:rPr>
        <w:t>164</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المصحّح للتجوّز هو القسم الأوّل منهما فقط</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الحالّ والمحلّ والكلّيّة والجزئيّة والظرف والمظروف والمجاورة</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الفرق بين الحالّ والمحلّ وبين الظرف والمظروف</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الفرق بين الحالّ والمحلّ وبين المتجاورين</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الفرق بين الظرف والمظروف وبين المتجاورين</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التنبيه على عدم صحّة التمثيل بالآيات المذكورة لما نحن فيه</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رفع إبهام لتتميم مرام</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الاشتراك في المحلّ لا يكون مصحّحًا للتجوّز</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تنبيه تفريعيّ</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تحقيق المقام يستدعي بيان أمور</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المعنى الحقيقيّ والمجازيّ في محلّ واحد</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المعنى الحقيقيّ والمجازيّ في محلّين</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المعنى الحقيقيّ والمجازيّ في حيّزين متقاربين</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النوع التاسع والعاشر من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العلّيّة والمعلوليّة</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في تعريف العلّة التامّة والناقصة</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في أقسام العلّة الناقصة</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التنبيه على أمور</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اختلاف الأعلام في التعبير عن هذه العلاقة</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جواز التجوّز في المقام عامّ في جميع الأقسام</w:t>
      </w:r>
      <w:r>
        <w:rPr>
          <w:rFonts w:eastAsia="Amiri" w:cs="Amiri" w:ascii="Amiri" w:hAnsi="Amiri"/>
          <w:color w:val="111111"/>
          <w:sz w:val="28"/>
          <w:szCs w:val="28"/>
          <w:lang w:bidi="ar-SA"/>
        </w:rPr>
        <w:t>186</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يكتفي في التجوّز بوجدان العلاقة أو يشترط مع ذلك </w:t>
      </w:r>
    </w:p>
    <w:p>
      <w:pPr>
        <w:pStyle w:val="BookText"/>
        <w:rPr/>
      </w:pPr>
      <w:r>
        <w:rPr>
          <w:rFonts w:ascii="Amiri" w:hAnsi="Amiri" w:eastAsia="Amiri" w:cs="Amiri"/>
          <w:color w:val="111111"/>
          <w:sz w:val="28"/>
          <w:sz w:val="28"/>
          <w:szCs w:val="28"/>
          <w:rtl w:val="true"/>
          <w:lang w:bidi="ar-SA"/>
        </w:rPr>
        <w:t>نقل الآحاد عن أهل اللغة</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الدليل الأوّل للقول بعدم الاشتراط</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الدليل الثاني للقول بعدم الاشتراط</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الدليل الثالث للقول بعدم الاشتراط</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الدليل الرابع للقول بعدم الاشتراط</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دليل القائلين بالاشتراط مع الجواب عنه</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الدليل الأوّل للقول بالاشتراط</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دفع إيراد لتسديد مقام</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الجواب عن الإيراد</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الردّ على الجواب من دليل القائلين باشتراط نقل الآحاد</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الدليل الثاني للقول بالاشتراط</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الدليل الثالث للقول بالاشتراط</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Amiri" w:hAnsi="Amiri" w:eastAsia="Amiri" w:cs="Amiri"/>
          <w:color w:val="111111"/>
          <w:sz w:val="28"/>
          <w:sz w:val="28"/>
          <w:szCs w:val="28"/>
          <w:rtl w:val="true"/>
          <w:lang w:bidi="ar-SA"/>
        </w:rPr>
        <w:t>في الأمارات الّتي بها يحصل الامتياز بين الحقيقة والمجاز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فيما يتوصّل إلى الحقيقة والمجاز من كلمات أهل اللغة</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في صحّة السلب وعدمها</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المقامات الّتي يتشبّث فيها بصحّة السلب والعدم</w:t>
      </w:r>
      <w:r>
        <w:rPr>
          <w:rFonts w:eastAsia="Amiri" w:cs="Amiri" w:ascii="Amiri" w:hAnsi="Amiri"/>
          <w:color w:val="111111"/>
          <w:sz w:val="28"/>
          <w:szCs w:val="28"/>
          <w:lang w:bidi="ar-SA"/>
        </w:rPr>
        <w:t>215</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وإزاحة</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مراد الفاضل العضديّ</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السلب غير مفتقر إليه</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الاعتراضات الواردة على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السلب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الجواب عن الاعتراض الأوّل</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الجواب عن الاعتراض الثاني</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الجواب الثاني عن الاعتراض الثاني</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الجواب الثالث عن الاعتراض الثاني</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الاعتراض الثالث</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الجواب عن الاعتراض الثالث</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في التبادر وعدمه أو عدم تبادر الغير وتبادره</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إيرادات وتفصّيات</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الإيراد الأوّل على التبادر مع الجواب عنه</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نقل الجواب الظاهر من بعض المحقّقين مع تزييفه وإبطاله</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تقرير الإيراد على النحو الصحيح</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الإيراد الثاني على التبادر مع الجواب عنه</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الجواب عن الإيراد الثاني</w:t>
      </w:r>
      <w:r>
        <w:rPr>
          <w:rFonts w:eastAsia="Amiri" w:cs="Amiri" w:ascii="Amiri" w:hAnsi="Amiri"/>
          <w:color w:val="111111"/>
          <w:sz w:val="28"/>
          <w:szCs w:val="28"/>
          <w:lang w:bidi="ar-SA"/>
        </w:rPr>
        <w:t>243</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الإيراد الثالث على التبادر مع الجواب عنه</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الجواب عن الإيراد الثالث</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المواضع الّتي يتمسّك فيها بالتبادر لإثبات الحقيقة وما لايتمسّك به فيه</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التبادر المظنونيّ هل يمكن الاستدلال به على الحقيقة أم لا؟</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الإيراد الرابع على التبادر مع الجواب عنه</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الجواب عن الإيراد الرابع</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في الاطّراد وعدمه</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في دلالة الاطّراد على الحقيقة</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جعل الاطّراد دليلًا للحقيقة فاسد</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lang w:bidi="ar-SA"/>
        </w:rPr>
        <w:t>263</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دلالة عدم الاطّراد على المجاز</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الجواب عن الإيراد الأوّل</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الجواب عن الإيراد الثاني</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في بيان عدم الاطّراد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الْقَرْيَةَ</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في بيان الأمور الّتي زادها بعضهم في هذا المقام وجعلها علامة للمجاز</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اللفظ على صيغة مخالفة لجمع حقيقته دليلُ المجاز</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التمسّك بالتخالف بين صيغتي الجمع وجعله علامة للمجاز لا وجه له</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تقييد اللفظ بالنسبة إلى المعنى دليلٌ على مجازيّته فيه</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تطويل قال لإفضاح مقال</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الاحتمالات المتصوّرة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إطلاق اللفظ على معنى على تعلّقه بالآخر دليل المجاز</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إعادة كلام لتحقيق مقام</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افتقار فهم المعنى من اللفظ علامةُ الحقيقة وعكسه المجاز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الإيراد على هذه العلامة</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الإيراد الأوّل مع الجواب عنه</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في الفرق بين القرينة الّتي في الحقيقة المرجوحة وبينها في المجازات</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الحقيقة قد تصير مجازًا وبالعكس</w:t>
      </w:r>
      <w:r>
        <w:rPr>
          <w:rFonts w:eastAsia="Amiri" w:cs="Amiri" w:ascii="Amiri" w:hAnsi="Amiri"/>
          <w:color w:val="111111"/>
          <w:sz w:val="28"/>
          <w:szCs w:val="28"/>
          <w:lang w:bidi="ar-SA"/>
        </w:rPr>
        <w:t>299</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 مع الجواب عنه</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أنّ ما اشتهر من عدم ثبوت اللغات بالاستدلال لا ينافي إثباتها بالتبادر ونحوه</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الباب الثالث</w:t>
      </w:r>
    </w:p>
    <w:p>
      <w:pPr>
        <w:pStyle w:val="BookText"/>
        <w:rPr/>
      </w:pPr>
      <w:r>
        <w:rPr>
          <w:rFonts w:ascii="Amiri" w:hAnsi="Amiri" w:eastAsia="Amiri" w:cs="Amiri"/>
          <w:color w:val="111111"/>
          <w:sz w:val="28"/>
          <w:sz w:val="28"/>
          <w:szCs w:val="28"/>
          <w:rtl w:val="true"/>
          <w:lang w:bidi="ar-SA"/>
        </w:rPr>
        <w:t>في تحقّق الواسطة في 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في تحقّق الواسطة بينهما وجواز انفكاك كلّ منهما عن الآخر</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الواسطة بين المجاز والحقيقة</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انفكاك الحقيقة من المجاز</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الاحتمالات في معنى أنّ المجاز أكثر من الحقيقة</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المعنى الأوّل</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المعنى الثالث</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المعنى الرابع</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المعنى الخامس</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lang w:bidi="ar-SA"/>
        </w:rPr>
        <w:t>317</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استلزام المجاز للحقيقة</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دليل القائلين بالاستلزام</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دليل القائلين على أنّ وضع الألفاظ المفردة ليس لإفادة المعاني المفردة مع الجواب عنه</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الجواب عنه</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وضع الألفاظ المفردة لأجل إفادة المعاني المركّبة يحتمل معنيين</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وضع الألفاظ المفردة ليس لإفادة المعاني المفردة</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ذكر اختلاف القائلين بعدم الاستلزام ومستندهم</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انفكاك الحقيقة عن المجاز في الألفاظ المفردة</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في تعارض الأحوال وغيره ممّا يتعلّق بذلك المقال</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معارضة الاشتراك والمجاز</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الصور المتصوّرة في كلّ لفظ إذا وقع في كلام</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في لزوم حمل الألفاظ على المعاني الحقيقيّة عند انتفاء القرينة</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lang w:bidi="ar-SA"/>
        </w:rPr>
        <w:t>349</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المستعمل فيه المعلوم واحدًا</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الاستدلال على كون المجاز مخالفًا للأصل</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والمقام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المستعمل فيه المعلوم متعدّدًا</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أدلّة القائلين بأنّ الاشتراك خير من المجاز</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المعنى الأوّل للدليل الأوّل</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المعنى الثاني للدليل الأوّل</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الدليل الثاني للقول بالاشتراك</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الجواب النقضي عن الدليل الثاني</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الجواب الحَلّي عن الدليل الثاني</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الدليل الثالث للقول بالاشتراك</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الجواب عن الدليل الثالث</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تحقيق المقام في الجواب عن الدليل الثالث</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المواضع الّتي يتمسّك فيها بأنّ الأصل في الاستعمال الحقيقة</w:t>
      </w:r>
      <w:r>
        <w:rPr>
          <w:rFonts w:eastAsia="Amiri" w:cs="Amiri" w:ascii="Amiri" w:hAnsi="Amiri"/>
          <w:color w:val="111111"/>
          <w:sz w:val="28"/>
          <w:szCs w:val="28"/>
          <w:lang w:bidi="ar-SA"/>
        </w:rPr>
        <w:t>389</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 للقول بالاشتراك</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الخامس للقول بالاشتراك</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فيما يدلّ على رجحان المجاز عند معارضته مع الاشتراك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إيراد كلام لدفع تضادّ</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فوائد المجاز</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تحرير قال لإفضاح مقال</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إعادة كلام لتحقيق مقام</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الحقّ في المسألة</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دفع إيراد لتسديد كلام</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الفائدة الثانية للمجاز</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الأمر العائد إلى جوهر اللفظ على أقسام</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الكلام في الأمر العائد إلى المعنى</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عدم صحّة دعوى انحصار الزيادة في البيان في المجازات</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الكلام في الأمر العائد إلى اللفظ بواسطة الخارج عنه</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مفاسد الاشتراك</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المفسدة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افتقاره إلى القرينتين</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المفسدة الثانية للاشتراك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الاختلال بالفهم</w:t>
      </w:r>
      <w:r>
        <w:rPr>
          <w:rFonts w:eastAsia="Amiri" w:cs="Amiri" w:ascii="Amiri" w:hAnsi="Amiri"/>
          <w:color w:val="111111"/>
          <w:sz w:val="28"/>
          <w:szCs w:val="28"/>
          <w:lang w:bidi="ar-SA"/>
        </w:rPr>
        <w:t>420</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المفسدة الثالثة للاشتراك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إفضاؤه إلى مستبعد من ضدّ أو نقيض</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الاشتراك مع الثلاثة الباقية من النقل والإضمار والتخصيص</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الاشتراك والنقل</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 المسألة والإيماء إلى ما يترتّب عليها من الثمرة</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والمطلب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أيًّا من الاحتمالين يترجّح بالاختيار في البين</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قول الحقّ في المسألة</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والمبحث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معارضة الاشتراك والإضمار</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والمبحث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معارضة الاشتراك والتخصيص</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والبحث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أقسام المعارضة</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المجاز والنقل</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المجاز والإضمار</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والقسم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المجاز والتخصيص</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في أولويّة التخصيص من المجاز</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في بقيّة أقسام المعارضة</w:t>
      </w:r>
      <w:r>
        <w:rPr>
          <w:rFonts w:eastAsia="Amiri" w:cs="Amiri" w:ascii="Amiri" w:hAnsi="Amiri"/>
          <w:color w:val="111111"/>
          <w:sz w:val="28"/>
          <w:szCs w:val="28"/>
          <w:lang w:bidi="ar-SA"/>
        </w:rPr>
        <w:t>446</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المفاخر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والثاني،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تاريخ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الروضة البهيّة في الإجازة الشفيعيّة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لباب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الكرام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مكارم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بغية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موسوعة الإمام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w:t>
      </w:r>
      <w:r>
        <w:rPr>
          <w:rFonts w:ascii="IRNazanin" w:hAnsi="IRNazanin" w:eastAsia="IRNazanin"/>
          <w:b w:val="false"/>
          <w:b w:val="false"/>
          <w:bCs w:val="false"/>
          <w:i w:val="false"/>
          <w:i w:val="false"/>
          <w:iCs w:val="false"/>
          <w:color w:val="333333"/>
          <w:sz w:val="20"/>
          <w:sz w:val="20"/>
          <w:szCs w:val="20"/>
          <w:rtl w:val="true"/>
        </w:rPr>
        <w:t>، 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دانشمندان وبزرگان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تذكرة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رجال ومشاهير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وفيات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غرقاب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بغية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هديّة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مزارات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تذكرة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أعلام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ذكره صاحب الترجمة في ديباجة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تاريخ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صاحب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إجازاته، إذ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المولى الساطع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فزنا بالاستفادة من جنابه في أوائل التحصيل في علم الأصول، وقرأنا عليه من مصنّفاته ما هو مشهور بالفوائد 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آقا محمّد باقر البهبهاني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حواشي بعض إجازاته،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حُرِمنا من شرافة مجاورة العتبات العاليات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مشرّفها آلاف التحيّة والصلوات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وانتقلنا منها إلى ديار العجم في سنة خمس ومائتين بعد الألف، وكان مولانا مولى الكلّ آقا محمّد باقر البهبهانيّ في الحياة، ثمّ انتقل إلى الفردوس الأعلى في سنة ستّ ومائتين بعد الألف قدّس الله تعالى روحه السعيدة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الإجازات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المترجم له في حاشية بعض إجازاته ما هذا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انتقل المرحوم المغفور مير عبد الباقي إلى دار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تعالى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ورودي في أصبهان في سنة سبع ومائتين بعد الألف من الهجرة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الإجازات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سيّدنا المترجم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اتّفق لي في سنة مائتين وخمس عشرة بعد الألف الارتحال من أصبهان إلى بلدة قم، ومكثت فيها أربعة أشهر أو أكثر، وكنت مشتغلًا بكتابة هذا المجلّد من الشرح، إلخ</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الإجازة الشفيعيّة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طرائف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مناسكه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وقد أشار بذلك الميرزا حبيب الله 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مرثيّته للمترجم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بهذا التاريخ معاصره الأديب الفاضل الميرزا محمّد عليّ الطباطبائيّ الزوّاريّ، المتخلّص بوفا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تذكرته الموسومة بالمآثر الباقريّة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الّتي جمع فيها بعض من القصائد والمقطّعات الّتي أنشدها الشعراء في مدح حجّة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 مسجده الأعظم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أنشأه في 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 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من محلّات أصفهان العظيمة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أحكام القناة للمترجم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الإجازة الشفيعيّة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إجازة كبيرة مبسوطة، تاريخها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عيد الفطر سنة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أوّلها بعد البسملة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والصلاة على رسول الله وعلى آله أولياء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مصوّرتها بتمامها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كتب خطّي كتابخانه هاي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وبيان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ترجمة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11/109</w:t>
      </w:r>
      <w:r>
        <w:rPr>
          <w:rFonts w:ascii="IRNazanin" w:hAnsi="IRNazanin" w:eastAsia="IRNazanin"/>
          <w:b w:val="false"/>
          <w:b w:val="false"/>
          <w:bCs w:val="false"/>
          <w:i w:val="false"/>
          <w:i w:val="false"/>
          <w:iCs w:val="false"/>
          <w:color w:val="333333"/>
          <w:sz w:val="20"/>
          <w:sz w:val="20"/>
          <w:szCs w:val="20"/>
          <w:rtl w:val="true"/>
        </w:rPr>
        <w:t>، بيان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أحسن الوديعة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المآثر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الروضة البهيّة في الإجازة الشفيعيّة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ماضي النجف وحاضرها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مكارم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لباب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الكرام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بغية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موسوعة الإمام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2950</w:t>
      </w:r>
      <w:r>
        <w:rPr>
          <w:rFonts w:ascii="IRNazanin" w:hAnsi="IRNazanin" w:eastAsia="IRNazanin"/>
          <w:b w:val="false"/>
          <w:b w:val="false"/>
          <w:bCs w:val="false"/>
          <w:i w:val="false"/>
          <w:i w:val="false"/>
          <w:iCs w:val="false"/>
          <w:color w:val="333333"/>
          <w:sz w:val="20"/>
          <w:sz w:val="20"/>
          <w:szCs w:val="20"/>
          <w:rtl w:val="true"/>
        </w:rPr>
        <w:t>، 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مرآة الشرق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رجال ومشاهير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تاريخ أصفهان 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تاريخ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دانشمندان وبزرگان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أعلام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منتخب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ناسخ التواريخ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قاجار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علماي معاصرين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روضة الصفا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موسوعة الإمام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تذكرة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بيان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دانشمندان وبزرگان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ترجمته في غرقاب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تذكرة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بيان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مكارم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2487</w:t>
      </w:r>
      <w:r>
        <w:rPr>
          <w:rFonts w:ascii="IRNazanin" w:hAnsi="IRNazanin" w:eastAsia="IRNazanin"/>
          <w:b w:val="false"/>
          <w:b w:val="false"/>
          <w:bCs w:val="false"/>
          <w:i w:val="false"/>
          <w:i w:val="false"/>
          <w:iCs w:val="false"/>
          <w:color w:val="333333"/>
          <w:sz w:val="20"/>
          <w:sz w:val="20"/>
          <w:szCs w:val="20"/>
          <w:rtl w:val="true"/>
        </w:rPr>
        <w:t>، بزرگان ودانشمندان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ترجمته في تذكرة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بيان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دانشمندان وبزرگان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رجال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المآثر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تكملة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ترجمته في بيان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دانشمندان وبزرگان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تاريخ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المآثر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معجم رجال الفكر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أعلام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ترجمته في بيان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الكرام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دانشمندان وبزرگان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تكملة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المآثر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تذكرة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أعلام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ترجمته في دانشمندان وبزرگان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الكرام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بيان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مكارم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ترجمته في بيان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آثار ملّي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تسلسل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وألّف الميرزا أبو القاسم بن محمّد مهدي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ملخّص المقال في دفع القيل والقال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الردّ على هذه الرسالة إجابة لسؤال أخيه المولى أحمد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المخطوطة منه موجودة في المكتبة المرعشيّة برقم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مذكورة في فهرسها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مخطوط</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بيان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مخطوط،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حوزة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وأعيان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الميرزا عبد الوهّاب الشريف ابن محمّد عليّ القزوينيّ، من أكابر تلامذته والمجازين منه بإجازة كبيرة مبسوطة، ذكر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ألّف أوّلًا رسالة فارسيّة مختصرة، وأخرى عربيّة في مسائل التقليد، ثمّ بعد ما رأى رسالة حجّة الإسلام في التقليد وإيجابه على المقلّد العدول إلى المجتهد الحيّ بعد موت من كان يقلّده، كتب هذه الرسالة ناقلًا لعين عبارات حجّة الإسلام ثمّ الردّ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والكرام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حوزة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حوزة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مضافًا إلى الوجوه الّتي أبرزناها في مقام ترجيح أقرب المجازات على غيره فيما علّقناه في أصول المعالم في مباحث المجمل والمبيّن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مخطوطات مكتبة كليّة الإلهيّات في 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التاريخ مطابق لما كتبه صاحب الروضات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مقدّمة النهريّة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مطابق لما كتبه العلّامة الشيخ محمّد جعفر بن محمّد إبراهيم الكرباسيّ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ظهر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 في شرح إرشاد الأذهان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فهرس مخطوطات مكتبة مركز إحياء التراث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وضبطه كذلك العالم الفاضل الشاعر رضا قليخان هما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وفاته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نقي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ثقتي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جاز أن يكون للفاعل، جاز أن يكون بمعنى المفعول، لكن معنى الفاعل هنا يختلف مع الأوّل، كما يظهر ممّا 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السرّ في تسوية المذكّر والمؤنّث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للمفعول بخلاف ما إذا كان للفاعل؟ أُجيب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السرّ في ذلك هو أنّ مع الأقرب معاملة الفعل، بخلاف الأبعد؛ ليحصل الفرق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الچلبيّ في حواشي 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 بنفسه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المطوّل، للچلبيّ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وينظر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والأولى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دعوى مخالفة الواقع إنّما تتوجّه إذا كان التعبير على ما تقدّم في كلام القائل، ويمكن التعبير بحيث لم يتوجّه عليه ذلك 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اللفظ إذا نقل إلى معنى بعد ما كان وصفًا، كانت اسميّته فرعًا لوصفيّته، إلى آخر ما تقدّم، فيكون النقل على وجه التعيين وحينئذٍ لا يتوجّه عليه إلّا ما ذكر أخيرًا من اقتضائه لحوق التاء في كلّ وصف نقل إلى معنى كالكافي والشافي والوافي وأمثالها مع أنّه خلاف الواقع،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ذلك أنّ التمسّك بتلك المقالة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كون التاء للنقل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في ما إذا قدّر الموصوف مذكّرًا،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كتاب كافية أو شافية، فيتوهّم أنّ اللازم تجريد الوصف من التاء،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وجود التاء حينئذٍ لكون الاسم منقولًا عن معناه الوصفيّ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التاء حينئذٍ من قبيل الدال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فكما لا يسقط ذلك أبدًا، كذلك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المنقول إليه ومنه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 بخطّ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وبناءً على قول هذا البعض يكون الانتقاض أظهر، إذ 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إن استعمل في زمان سابق في الموضوع له فحقيقة، وهو صادق حقيقة على اللفظ حال الاستعمال في المعنى المجازيّ كما لا يخفى،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 بخطّ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أنّه كما يندفع الانتقاض بقيد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 به التخاطب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كذا يندفع بقيد الحيثيّة أيضًا،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والمحصول،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 بخطّ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 على اختيار الشقّ الأوّل من الترديد المذكور، وأمّا بناءً على الشقّ الثاني فالانتقاض بالنسبة إلى حدّ الحقيقة أيضًا متحقّق،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 بخطّ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هذا الانتقاض إنّما هو إذا كان وضع المشترك من واضع؛ وتوضيح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تحقّق المشترك يمكن أن يكون من وجهين،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يضع واضع لفظًا لمعنى وآخر يضعه لمعنى آخر، وهذا اللفظ وإن لم يكن عند كلّ واحد من الواضعين مشتركًا، لكنّه عند غيرهما مشترك فيما إذا وصل الوضعان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يضع واضع واحد لفظًا لأكثر من معنى وهذا اللفظ مشترك مطلقًا، سواء كان عند الواضع أو غيره ممّن يطّلع على الوضع، ولا يرد النقض بالنسبة إلى الأوّل؛ لصدق أنّ كلّ وضع هناك أوّل، بل يرد بالنسبة إلى الثاني، فيجاب بما يأتي، مع ما فيه،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 بخطّ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المجاز تقييديّة وإن جاز أن تكون في الحقيقة تعليليّة أيضًا،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 بخطّ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 التخاطب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مشتركًا مع الحيثيّة فيدفع النقض في غير المشترك، إلّا أنّه لمّا لم يندفع به النقض به أيضًا، فلذا تركه واختار الحيثيّة،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 بخطّ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بالنسبة إلى استعماله في المعنى المنقول إليه حينئذٍ حقيقة يصدق عليه حدّها ولا يصدق عليه حدّ المجاز بالنسبة إلى ذلك المعنى في تلك الحالة وإن يصدق عليه حدّه بالنسبة إلى المنقول منه فيها، وكذا الكلام بالنسبة إلى استعماله في المنقول منه؛ فإنّه لا يصدق بالنسبة إلى ذلك المعنى حدّ الحقيقة وإن يصدق عليه حدّها في تلك الحالة بالنسبة إلى المعنى المنقول إليه،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 بخطّ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يدّعى أنّ معنى المشترك حين ملاحظة العلاقة بينه وبين معنى آخر يصدق عليه أنّه غير الموضوع له، لكنّه مشكل،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بعد مراعاة ما تقدّم من إرادة الاستعمال الحالي من الاستعمال واعتبار صدق الحدّ بالنسبة إلى معنى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الذريعة إلى أصول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وحاشية الدسوقيّ على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والمطوّل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وحاشية الدسوقيّ على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لهيئة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 بخطّ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 ليس المراد بالوضع الشخصيّ ما يكون الموضوع فيه جزئيًّا حقيقيًّا لا يتكثّر بتكثّر الاستعمالات، ضرورة أنّ الإنسان وزيد ونحوهما من الأسماء الّتي يكون الوضع فيها شخصيًّا يتعدّد بتعدّد المستعملين ويتكرّر بتكرّر الاستعمالات، فلكلّ منها أفراد متكثّرة كهيئة المشتقّ، بل المراد بالوضع الشخصيّ ما تكون المادّة والهيئة فيه ملحوظتين مع بقاء الترتيب بين الحروف حال الوضع، 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يختلف اختلافًا راجعًا إلى أصل اللفظ وجوهر الكلمة وإن تكثّرت أفراده المتمايزة باعتبار الأمور الخارجة عن اللفظ، كاختلاف المستعمل أو الزمان، والمراد بالوضع النوعيّ ما يقابل هذا المعنى، أي يكون التمايز بين أفراده راجعًا إلى أصل اللفظ وجوهر الكلمة أيضًا،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هو ثابتٌ حال الوضع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بالتأمّل هنا إشارة إلى أنّه ليس المراد من كون المادّة فيه ملحوظة دون الهيئة أنّ الهيئة فيه غير ملحوظة أصلًا؛ لوضوح أنّ الإخلال بترتيب الحروف فيه مخلّ للإفادة، فالهيئة فيه مرعيّة ولو في الجملة، لا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عرفت من امتناع تحقّق الوضع من دون تعقّل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الأشاجع على ما في القاموس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الأصابع الّتي تتّصل بعصب ظاهر الكفّ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بها في المقام الأصابع تسميةً للكلّ باسم جزئه، ومع ذلك لا بدّ من تقدير مضاف أيضًا، ففي العبارة مجاز حذف في كلمة،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المنكب إلى أطراف الأصابع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المجازات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على انحصار الاستعمال الصحيح في الحقيقة والمجاز، وحيث قد انتفى الأوّل تعيّن الثاني، وإلّا يمكن دعوى عدم المجازيّة في الألفاظ المشتركة مطلقًا ولو عند استعمالها في غير ما وضعت لها، بناءً على أنّ الكلام على تسليم أنّ المعتبر في الحقيقة الوضع بالمعنى المذكور، والمفروض انتفاؤه في الألفاظ المشتركة، ومعلوم أنّ المجاز يتوقّف على ذلك الوضع، فيلزم من انتفاء الموقوف عليه انتفاء الموقوف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 بخطّ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أنّ كلّ واحد من الواضعين قد عيّن اللفظ للدلالة على المعنى بنفسه، وكانت الغاية مترتّبة عليه عند كلّ واحد منهما، لكن لمّا وصل إلى ثالث عرض الاشتراك، فمنع من ترتّب الغاية، فحينئذٍ قد حصل الوضع بالمعنى المذكور مع افتقار الدلالة إلى شيء من المعنيين بعينه إلى قرينة،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نحن فيه من هذا القبيل؛ لأنّ الاشتراك الّذي هو المانع من قبل الواضع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الترتيب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 بخطّ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إنّما يتوجّه إذا كان قصد الواضع في أوّل الأمر الاشتراك، وهو ليس بلازم؛ لجواز أن يضع اللفظ أوّلًا لمعنى ولم يكن قصده وضعه للآخر، وحينئذٍ قد ترتّبت عليه غايته، ثمّ بعد ذلك وضعه لمعنى آخر، فقد حصل الاشتراك؛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يجري الكلام حينئذٍ في الوضع الثاني،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ليس بجائز،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 بخطّ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اللفظ إنّما يدلّ على المعنى المستعمل فيه، ولا شبهة في مجهوليّته في المشترك عند التجرّد، والجهل به يستلزم انتفاء الدلالة وإلّا كان معلومًا، مع أنّ الواقع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أريد بالمستعمل فيه ما يمكن أن يكون مستعملًا فيه من غير واسطة، أي الموضوع له، فالملازمة مسلّمة وبطلان التالي ممنوع؛ لما تقدّم من أنّ الدلالة بالنسبة إلى جميع المعاني ثابتة؛ وإن أريد خصوص مراد المستعمل في ذلك الاستعمال، بمعنى أن يعلم من اللفظ مراد المتكلّم بعينه، فالملازمة ممنوعة؛ لما عرفت من الفرق وستعرف أيضًا بنحو أوضح،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توجد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 بخطّ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 رقبة 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دلالة العتق والإيمان على عدم كون المراد من الرقبة معناها، ينتقل الذهن منها إليه أيضًا،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الاعتراض المذكور بناءً على هذا القول كان متوجّهًا أيضًا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المجاهد في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 الشيخ الرئيس القول بالتوقّف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عند استعمالها فيما وضعت تلك الألفاظ لها، ويمكن الاستدلال على عدم صدق المجازيّة بالنسبة إليها مطلقًا ولو عند استعمالها في غير ما وضعت لها، بناءً على أنّ صدق المجازيّة متوقّف على الوضع بذلك المعنى المذكور على ما هو المفروض، والمفروض انتفاؤه، فيلزم عدم صدق المجازيّة مطلقًا؛ لوضوح أنّ انتفاء الموقوف عليه يستلزم انتفاء الموقوف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الجواب الأوّل يوجب إطلاق الواضع على الكثرة، والثاني يوجب إطلاقه على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الأصل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يستقلّ هما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الإيضاح في علل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وشرح جمل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الاحتمالات الثمانية عشر إنّما هي في صورة التوافق في المرجع،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الحدّين وإن لاحظت التخالف فيهما أو في أحدهما بأن يحمل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 الاسم على الظرفيّة، وفي حدّ الحرف على السببيّة، أو بالعكس، وكلّ ذلك مع التوافق في المرجع والتخالف زادت الأقسام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فيبطل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ذهن المتكلّم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عمر بن أبي بكر بن يونس المحقّق جمال الدين أبو عمرو ابن الحاجب الكرديّ الدوينيّ الأصل الإسنائيّ المولد المقرئ النحويّ الأصوليّ الفقيه المالكيّ صاحب التصانيف، ت سنة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 سيّد علي بن محمّد بن علي الشريف الحسينيّ الحنفيّ الاسترآباديّ، كان متكلّمًا بارعًا، كثير التحقيق، ماهرًا في الحكمة والعربية، صاحب المصنّفات والحواشي والشروح المعروفة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حاشيته على أول تفسير الكشاف وعلى المطول، وعلى شرح 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الحرف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الاسم أيضًا يدلّ على معنى حاصل في ذهن المتكلّم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والإيضاح في علل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وشرح جمل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كالعَلَم المنصوب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طويل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بذو طول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الابتداء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معاني الجمل المذكورة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انفرد عن ذلك الشيء بقي غير دالّ على معنى أصلًا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والعرض</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فيبطله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بتعيين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الحاشية على تهذيب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وتحرير القواعد المنطقيّة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وكتاب 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وشرح مطالع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تلزم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تسهيل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اللامعة،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ويتّصف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تأمّل، والأولى على محاذاة ما سيأتي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قد تنظر إلى شيء ويكون الداعي اختبار حال المبصر، فحينئذٍ يكون المبصر ملحوظًا قصدًا، يكون بحيث تقدر أن تحكم عليه، ويكون البصر في تلك الحالة ملحوظًا تبعًا وآلة لتعرف حاله؛ وقد يكون الداعي إلى النظر اختبار حال البصر، فحينئذٍ يكون البصر ملحوظًا قصدًا يصلح أن يحكم عليه، والمبصر الملحوظ تبعًا وآلة غير صالح لذلك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الصورة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والعرض</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الوضع في الحرف وإن كان عامًّا، لكن الموضوع له خاصّ، إذ الحروف موضوعة باعتبار معنى عامّ، وهو نوع من النسبة كالابتداء مثلًا لكلّ ابتداء معيّن بخصوصه، إذ لو كان الموضوع له أيضًا تلك النسب المطلقة تكون معاني الحروف مستقلّة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الدلالة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أنّ الظاهر من المعنى هو المعنى المطابقيّ، كما هو المراد بالنسبة إلى غير الفعل، فإرادة المعنى التضمّنيّ يستلزم الجمع بين المعنى الظاهر وغيره في لفظ واحد بإرادة واحدة، وهو غير مرضيّ عند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ملّا محمّد صادق على شرح الكاتي على متن ايساغوجي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وتحرير القواعد المنطقيّة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والصواب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إليه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الأنسب تأخير التكلّم في المقام الأوّل عن التكلّم في المقام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الواضع بالنسبة إلى استعمال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فتعيّن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كشّاف اصطلاحات الفنون والعلوم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المستعمل فيه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تعتبر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انفكاكها عنه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تنتفي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البيّن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وحدة المعنى في الأوّل معيّنة له، والراجحيّة والأرجحيّة كذلك في الثاني، فلا يصحّ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ثبتت الدلالة مع انتفاء القرينة المعيّنة؛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يعهد منهم إطلاق القرينة على مثل ذلك، على 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دلالة المجاز من الدلالة اللفظيّة، وبناءً على الاحتمال المذكور لم يكن الأمر كذلك؛ لكون المركّب من الداخل والخارج خارجًا، فتأمّل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لا حاجة في صورة وحدة المعنى المجازيّ، لا حاجة إليها عند التعدّد في تلك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أنّها دالّة، وإلّا التوقّف والاشتراط ممّا لا شبهة فيه 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الوضع والمناسبة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الدعوى عدميّ ووجوديّ، أمّا العدميّ فهو أنّ الدالّ على المعاني المجازيّة ليس مجموع اللفظ والقرينة، وأمّا الوجوديّ فهو أنّ الدالّ اللفظ بشرطها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عدم توقّف الدلالة في تلك الصورة على القرينة المعيّنة غير منافٍ لتوقّفها عليها في هذه الصورة، فليكن كذلك فيما إذا كانت جزءًا للدالّ بأن لم يكن عدم الجزئيّة في ذلك المقام منافيًا للجزئيّة ههنا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شيء بشيء في وقت وبشيئين في آخر ممكن لا شبهة فيه، كما أنّ جزئيّة شيء لشيء في وقت وشيئين له في آخر كذلك، إلّا أنّ عدم الجزئيّة في تلك الصورة مستلزم لعدمها ههنا؛ لأنّ اللفظ هناك كان دالًا لأجل المناسبة والقرينة، فليكن هنا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الدسوقي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والعَلاقة بفتح العين سواء كانت في المعاني كعلاقة المجاز والحبّ القائم بالقلب، أو المحسوسات كعلاقة السيف والسوط،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بالفتح في المعاني وبالكسر في الحسّيّات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الحاشية على شرح التلخيص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معالم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كلمتهم في ضبط أنواع العلاقة من حيث العدد، إذ أنّ بعضهم ردّها إلى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المشابهة وغيرها كما في بعض كتب البيان، وفي مختصر الحاجبيّ عدّ منها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المشابهة في الشكل أو في الوصف الظاهر، والكون، والأول، والمجاورة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 عن العضديّ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تتصوّر من وجوه 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الآمديّ أنّها تتصوّر من وجوه خمسة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شرح المنهاج عدّ منها تسعة، ومن أجلّة المعاصرين من عدّ منها عشرة، وفي تهذيب العلّامة أحد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نهايته كما عن الفخر والبيضاويّ اثنا عشر، وفي زبدة شيخنا البهائيّ أنّها محصورة في خمسة وعشرين، ناسبًا إلى القدماء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وعزي أيضًا إلى المشهور كما عن شرحها للفاضل، وعن بعضهم أنّها ستّة وعشرون كما نقله في المفاتيح، وعن الصفي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يحضرنا من أنواعها أحد وثلاثون، وفي المفاتيح عن أستاذه أنّها غير محصورة،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على 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وشرح مختصر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التفتازانيّ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ومختصر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الأشاجع على ما في القاموس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الأصابع الّتي تتّصل بعصب ظاهر الكفّ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إطلاقها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كما في باقي النسخ</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يخفى عليك أن ليس المراد من التركّب الحقيقىّ الحسّي أن تكون الأجزاء مجتمعة في الوجود ومحيطة بالكلّ هيئة محسوسة كالسكنجبين مثلًا؛ لشيوع إطلاق جزء الصلاة عليها كالركوع مثلًا، كما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وَارْكَعُوا مَعَ الرَّاكِعِينَ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قِيلَ لَهُمُ ارْكَعُوا لا يَرْكَعُونَ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أنّه ليس الأمر فيها كذلك كما لا يخفى، بل المراد أعمّ من ذلك، فيشمل مثل الصلاة الّتي تكون أجزاؤها محسوسة حال اشتغال المصلّي بها،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تعليقته على معالم الدين،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صادقًا لما ذكر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الهيئة المحيطة به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كفاية الاشتراك في مطلق الصفة لصحّة التجوّز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سرّ ذلك الاستعمال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ظاهرة الثبوت بالنسبة إلى المعنى الحقيقيّ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إنّما يتمّ إذا لم يقترن المجاز بالقرينة المعيّنة، وأمّا عند اقترانه بها فلا؛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القرينة المعيّنة إنّما تعيّن المعنى المجازيّ، لا الجهة المشابهة بينه وبين المعنى الحقيقيّ، وعلى تقدير تعيينها إيّاها أيضًا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تلك الصفة لا تخلو إمّا أن تكون ظاهرة الثبوت بالنسبة إلى المعنى المجازيّ فيكون ذلك المعنى أصلًا فيها، أو إلى المعنى الحقيقيّ فيخرج عمّا نحن فيه وإن كانت حقيقة بالنسبة إليه، والمفروض أنّها كذلك بالنسبة إلى المعنى الحقيقيّ أيضًا، فلا تتحقّق الأصالة والفرعيّة،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التوجيه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مجتمعين خ ل؛ وهو الصواب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مفسّرة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منه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المتكلّم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يكون لذلك الموصوف بإزاء كلّ صفة لفظ يكون إطلاق ذلك اللفظ على ذلك الموصوف عند الاتّصاف حقيقة، كالماشي حال الاتّصاف بالمشي، والآكل حال الاتّصاف بالأكل 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الصغاريّة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للصفة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تلك الصفة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المبدأ</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وههنا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والدوام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أنّ الباء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التبعيضيّة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أقسام المجاورة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وإشراق هياكل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وشرح عيون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وشرح الهداية الأثيريّة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وكشّاف اصطلاحات الفنون والعلوم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الهداية الأثيريّة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وكشّاف اصطلاحات الفنون والعلوم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المجرّد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يمكن منع صدق الحلول بالنسبة إلى الصور العلميّة والأصوات،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المشار إليه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الأخرى</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المحاكمات بين شرحي 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وإشراق هياكل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وشرح الهداية الأثيريّة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والحكمة المتعالية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وكشّاف اصطلاحات الفنون والعلوم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الرقبة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الرقبة ليس لها تقدّم عليه في الخارج</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المقصود تعريف الظرف والمظروف بما ذكر، فإنّ الماء متقرّر في الحياض والآبار ونحوهما، مع أنّ شيئًا منها لا تسمّى ظرفًا؛ وكذا الجنازة، فإنّها اسم للشيء المعلوم الّذي يحمل به الميّت ولا يسمّى ظرفًا أيضًا، وإن أردت تعريف الظرف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عبارة عمّا كان على هيئة مهيّئة لتقرّر الآخر فيه، وذلك الآخر يسمّى مظروفًا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الظرف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المناقشة في إطلاق المجاورة على الظرف والمظروف في العرف والعادة، بل الظاهر عدم إطلاقهم المجاورة على المشتمل والمشتمل فيه والمحيط والمحاط، بل يطلقون ذلك على الشيء الخارج المتّصل بالشيء، أو القريب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 كما في باقي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بالآية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اللامعة،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أسرار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لكونها 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القول بأنّ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الَّذِينَ ابْيَضَّتْ وُجُوهُهُمْ فَفِي رَحْمَةِ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الجنّة وأنّه من باب إطلاق الحالّ، ظاهره يوهم أنّ نفس الجنّة ليست من رحمة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إمكان المناقشة فيه أيضًا، لحلول الحياة في جميع البدن بخلاف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وظفروا به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هو الفاضل العضديّ، تمّ تخريجه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كصاحب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أنّ الهيولي محلّ للصورة وليست مقوّمة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كشاف اصطلاحات الفنون والعلوم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إيضاح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ومطالع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وحاشية المحاكمات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والإشارات والتنبيهات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وشرح مطالع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والجوهر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كتاب 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وكشّاف اصطلاحات الفنون والعلوم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عليك أنّه ليس المراد من المادّة والصورة في المقام ما يخصّ الأجسام من المادّة والصورة الجوهرتين، بل ما يعمّهما وغيرهما من الجواهر والأعراض الّذي يكون الشيء معه بالقوّة أو بالفعل، إذ المراد بالصورة في هذا المقام ما يكون الشيء معه بالفعل، فإن كان لعنصر ذلك الشيء قوام بدونه، تكون تلك الصورة عرضًا، كالصورة الّتي للكوز، وذلك الشيء يسمّى بالموضوع؛ وإن لم يكن له قوام إلّا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كالنفس الّتي للحيوان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تلك الصورة جوهرًا وصورة باصطلاح آخر، وذلك الشيء يسمّى بالمادّة والهيولى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وحكمة العين وشرحه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 في العلّة المادّيّة قوّة قبول 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بالغرض بالنسبة إلى الفاعل، فالغرض والعلّة الغائيّة متّحدان بالذات ومختلفان بالاعتبار، فمن حيث نسبة الجلوس إلى الفاعل يكون غرضًا له، ومن حيث نسبته إلى السرير يكون علّة غائيّة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السرير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إلهيّات المحاكمات مع تعليقات الباغنويّ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والتحصيل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والجوهر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والحكمة المتعالية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والشواهد الربوبيّة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وكشّاف اصطلاحات الفنون والعلوم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 العين وشرحه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وينظر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اصطلاحات الفنون والعلوم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تتحقّق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أجاب عن ذلك في حكمة العين وشرحه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وينظر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اصطلاحات الفنون والعلوم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أنّه كما أنّه لا يمكن انفكاك المعلول عن العلّة الفاعليّة، كذلك لا يمكن الانفكاك عن الغائيّة إلّا على تقدير كون الفاعل غير شاعر، وهو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لأنّه في الحقيقة من الله تعالى، كما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وَأَنْزَلْنَا مِنَ الْمُعْصِرَاتِ مَاءً ثَجَّاجًا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لِنُخْرِجَ بِهِ حَبًّا وَنَبَاتًا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يخفى عليك أنّ في إطلاق العلّة الفاعليّة على غير ذي الشعور 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المسبّب على السبب المادّي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 العنب من العلّة المادّيّة خفاء، بناءً على ما مرّ من كون العلّة المادّيّة جزءًا للمعلول، وليس العنب جزءًا للخمر؛ وكونه من ذلك بناءً على ما مرّ من أنّ العلّة المادّيّة ما فيه قوّة وجود المعلول وكون العنب من ذلك،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فسّر بقولك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أعصر عنبًا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والمناسب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كالصورة الّتي لا تؤثر اليد إلّا بتوسّطها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الأوّل، كما في بعض النسخ، 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لتحصل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رضاء</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العلاقات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وج</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وحكاه عنه في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المجيب هو الحاجبيّ في المختصر والعضديّ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وينظر أيضًا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وزبدة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وجود المقتضي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وجود المانع</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على الفاضل الباغنويّ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المرتّبة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وشرح الوافية، للسيّد بحر العلوم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تستلزمها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القول الآمديّ في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القاضي أبي بكر، وينظر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المناسب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اللفظ</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يغير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فالمعنى</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والكاشف عن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الفائدة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بواسطة، إذ الدور إذا انحصل بمقدّمتين يكون مصرّحًا، وإذا انحصل بثلاث مقدّمات يكون مضمرًا بواسطة، وإذا انحصل بأربع منها يكون مضمرًا بواسطتين؛ وما نحن فيه من القبيل الثاني، فتوهّم أنّه دور مضمر بواسطتين، لا وجه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هو</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التمسّك</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المجازيّة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تفيدها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وحاصل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عدم صحّة السلب الموضوع له عن المستعمل فيه قد يكون باعتبار المصداق، وقد يكون باعتبار المفهوم؛ ومعلوم أنّ صحّة السلب باعتبار المصداق مستلزم لصحّته باعتبار المفهوم، لكن لا عكس؛ لجواز أن يتحقّق السلب باعتبار المفهوم ولا يتحقّق باعتبار المصداق، كما في المتساويين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علمت ذلك فاعلم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كما يمكن سلب الإنسان عن البليد مصداقًا، كذا يتحقّق مفهومًا، بخلاف الإنسان بالإضافة إلى الناطق، فإنّ السلب عنه ممكن مفهومًا، لكن غير ممكن مصداقًا، فالمعتبر فيكلّ من علامة الحقيقة والمجاز باعتبار المفهوم دون المصداق، فلا إيراد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فيعلم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تحقّق غيرها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 اللامعة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كلتاهما مخطوطتان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فإيراد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يتحقّق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تعارضه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الوحيد البهبهانيّ في 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الفائدة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الاعتراض الآمديّ في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والإيجيّ في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وينظر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تمتاز</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يحكم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الأصل والوضع</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اللفظ المذكور إذا لوحظ مع معناه الحقيقيّ، يصدق عليه أنّ غيره متبادر منه، فيلزم أن يكون مجازًا مع أنّه معنى حقيقيّ له، 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اللفظ في هذا المعنى المشتهر مجاز مع تحقّق علامة الحقيقة، والجواب ظاهر ممّا ذكرناه، فلا حاجة إلى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التبادر علامة للحقيقة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المجاهد في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للوضع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الاصطلاح</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مجازاتهم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واستنباط</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تبادر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الاطّراد هو أن يكون المعنى الّذي لأجله صحّ استعمال اللفظ في محلّ صحّ استعماله في كلّ ما تحقّق فيه ذلك 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لم يكن هذا مناسبًا 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الاطّراد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المعنى المصدريّ، عدلنا إلى ما ذكر وإن لم تكن المناسبة 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الجدران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دليلًا للحقيقة،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للجميع</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انّ المعنى غير مطّرد، بل المراد المعنى الّذي لم يطّرد اللفظ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أثبتها كثير من الأصوليّين،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والحاجبيّ والعضديّ وشيخنا البهائيّ، ينظر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دخل لهذا الترديد فيما نحن بصدده، وإنّما الإتيان به لأجل التنبيه على بعض الفوائد يظهر بعد التأمّل فيما ذكر في وجه دلالة عدم الاطّراد على المجاز؛ منه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الاطّراد دليلًا على الحقيقة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ومنتهى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وشرح الوافية، للسيّد بحر العلوم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المقتضي علّة لعدم المقتضى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يجعله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منك أنّ المجاز قد يطّرد، وكيف يجتمع هذا مع الحكم بسلب الاقتضائيّة عن العلاقة؟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المقتضي في ذلك المجاز نفس العلاقة، بل هي مع إذن الواضع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يتوجّه المنع في حصر المقتضي في الوضع؛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حصر مطلق الاقتضائيّة، بلا الاقتضائيّة اللازمة، وذلك منحصر في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رفع الحاجب عن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لزوم التناقض ممنوع؛ لعدم مناقضة الخاصّ للعامّ، فيكون المقام من باب التخصيص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اسأل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ذلك الغزاليّ في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والعضديّ في شرحه على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وينظر 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وإرشاد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فتتعيّن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وشرح الوافية، للسيّد بحر العلوم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هذا الاعتراض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أنّا سلّمنا دلالة المخالفة على انتفاء المواطئة، لكن لا يلزم منه المجازيّة؛ لاحتمال أن يكون اللفظ مشتركًا لفظيًّا بين المعنيين، ولا يتمّ المدّعى إلّا بانتفائه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والمرجوحيّة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تلزم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توجد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العصبة من الفرسان، ويجمع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ثبات وثبين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المتواطؤ</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التمّسك بالمخالفة لنفي المواطئة إنّما يكون حسنًا إذا كان بين المعنيين التباس على ما حقّقناه في صحّة السلب وعدمها، وحيث لم يكن ذلك فلا، وما نحن فيه من هذا القبيل؛ لوضوح انتفاء الاشتراك بين القول المخصوص والفعل، فيعلم عدم التواطؤ ولو مع قطع النظر عن التخالف بين صيغتي الجمع</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 الصبح وأفضح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بدا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اندمجت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صالح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حاشيته على معالم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ظلم الجهالة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لجين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يجلو من جلا الأمور إذا كشفها وأزالها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والريح تعبث بالغصون وقد جرى ذهب الأصيل على لجين الماء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كاللُجين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لابن خفاجة الأندلسيّ، ينظر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ونهاية الإرب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المراد بالتزام التقييد التزام القرينة، وهو مسلّم، فعلى هذا كيف يكون الاقتران بالقرينة منافيًا؟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أن يكون مراد ذلك القائل ذلك، أمّا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 القرينة لا تسمّى قيدًا، وأمّا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فلأنّه لو كان الأمر كذلك يكون عكسه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عدم التزام القرينة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الالتزام بالقرينة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دليلًا على الحقيقة كما لا يخفى، وهو 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عدم التزام التقييد دليل عليها، فيعلم منه عدم إرادة القرينة من التقييد؛ لأنّ كون عدم التزام القرينة دليلًا على الحقيقة ممّا لا شبهة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أنّ التزام التقييد في المعنى كافٍ؛ منه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وإرشاد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التفتازانيّ في حاشيته على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أبي حامد أحمد بن محمّد الأنطاكيّ، نزيل مصر، المعروف بأبي الرقعمق، وقد أرسل له أصحابه يدعونه إلى الصبوح في يوم بارد، وقالوا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تريد أن نصنع لك طعامًا؟ وكان فقيرًا ليس له كسوة تقيه البرد، فكتب إليهم يقول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التفتازانيّ في حاشيته على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ونسبه إلى القيل الشيخ خليل القزوينيّ في حاشيته على العدّة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كأنّهم جعلوا المصاحبة في الذكر علاقة في مجاز المشاكلة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متوقّفة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القيل الجيزاويّ في حاشيته على حاشية التفتازانيّ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ارتسمت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دعاء أبي حمزة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دعاء كميل بن زياد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والظاهر أنّه سقط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القرينة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يتوقّف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بخصوصه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 كما في باقي النسخ</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يتحقّق</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للشهرة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وبعيد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الأعلام ليست حقيقة ولا مجازًا؛ لكونها من الألقاب، والحقيقة استعمال اللفظ فيما وضع له، والمجاز في غير ما وضع له، وهو يستدعي كونهما قد وضعا قبل الاستعمال لغة، وأسماء الأعلام كذلك، فإنّ مستعملها لم يستعملها فيما وضعه أهل اللغة ولا في غيره؛ لأنّها لم تكن من وضعهم، بل لفظ مستعمل من كلام العرب ما عدا الوضع الأوّل، فإنّه لا يخلو عن الحقيقة والمجاز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الاشتراط على المشهور بين العلماء إنّما هو في إطلاق اللفظ الموضوع للجزء على الكلّ، وما ذكر في هذا المقام مبنيٌّ على ما ذكره بعض المحقّقين من عدم اختصاص الاشتراط المذكور بذلك واعتباره في عكسه أيضًا، كما احتملنا ذلك في مباحث العلاقة، فلا تغفل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لوضوح استلزام استعمال اللفظ في الموضوع له تحقّق اللفظ والاستعمال والموضوع له، وأمّا تحقّق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 الموضوع له معنى معيّن مشخّص، فغير ذلك المعنى غير الموضوع له، وتحقّقه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ما ذكر إنّما يتمّ إذا كانت الأمور الثلاثة الّتي تتوقّف عليها الحقيقة عينُ الّتي يتوقّف عليها المجاز، وليس كذلك، إذ الاستعمال الّذي في المجاز إنّما هو في غير الموضوع له، والّذي في الحقيقة إنّما هو في الموضوع له، وبالجملة إنّما يسلّم ذلك إذا كان الموقوف عليه للحقيقة جزء ما يتوقّف عليه المجاز، فتكون النسبة بينهما عمومًا مطلقًا بأن يكون المجاز أخصّ، فتحقّقه كان مستلزمًا لتحقّق الحقيقة من غير عكس، وظاهرٌ أنّ الأمر فيما نحن فيه لم يكن كذلك؛ لما عرفت من أنّ الاستعمال في أحدهما في الموضوع له وفي الآخر في غيره، وأيضًا أنّ الموضوع له في الحقيقة إنّما يفتقر إليه لاستعمال اللفظ فيه وفي المجاز لمناسبة المستعمل فيه إيّاه، والاعتباران متغايران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يحصل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أكثريّة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المحقّق السيّد محمّد مهديّ الطباطبائيّ النجفيّ المعروف ببحر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الألفاظ</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ونقله عنه في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الإيضاح، للخطيب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لكثرته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المقصود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المعنى الرابع يحتمل أن يكون على نسق المعنى الثاني والثالث، والمنع متوجّه بالنسبة إليهما، لكن لا يتوهّم منه توجّه المنع بالنسبة إلى كلّ لفظ من الألفاظ المذكورة في الكتاب والسنّة؛ لوضوح تحقّق الأكثريّة بالنسبة إلى بعض الألفاظ، كصيغة الأمر مثلًا؛ ولهذا ترى جمعًا من الفحول تأمّلوا في حملها على الوجوب في أخبار الأئمّة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بل المنع بالنسبة إلى المجموع من حيث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الرازيّ في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جِنّي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 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الموصليّ، أبو الفتح، من أئمّة الأدب والنحو، وله شعر، ولد بالموصل، وتوفّي ببغداد سنة اثنتين وتسعين وثلاثمائة، وكان أبوه مملوكًا روميًّا لسليمان بن فهد الأزديّ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شيوخ الشريف الرضيّ، وكان المتنبيّ يقول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رجل لا يعرف قدره كثير من الناس، وهو أعرف بشعري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من نُسب إلى أمه من الشعراء، وشرح ديوان المتنبي، والمبهج في اشتقاق أسماء رجال الحماسة، والمحتسب في شواذ القراءات، وسرّ الصناعة، والخصائص ثلاثة أجزاء في اللغة، وغير ذلك وهو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ترجمته في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حال المعنى الثاني</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كالثاني في الثاني وكالثالث 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إمكان المناقشة فيه أيضًا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وشرح الوافية، لبحر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القائلين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أصول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يفيد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واستدلّ الشارح العضديّ وفاقًا لابن الحاجب بأنّه لو لم يستلزم المجاز الحقيقة؛ لعرى الوضع عن الفائدة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لم يكن التالي في كلامهما مترتّبًا على المقدّم بلا واسطة، عدلنا عنه وغيّرنا بما ترى، ولعلّ وجه تعبيرهما بذلك للتنبيه في بادي الأمر على المفسدة وأنّه مع قطع النظر عنها لا فساد في تحقّق الوضع من غير استعمال؛ منه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يصحّ بالنسبة إلى اللفظ المشترك؛ لأنّ الإشارة إلى المعنى بالمشترك ليست بلفظ يخصّه؛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أريد بالإشارة التفصيليّة لا يمكن ذلك إلّا بنحو يتحقّق الاختصاص في ذلك الاستعمال، وإن أريد الإشارة الإجماليّة يكون المعتبر الاختصاص الإجمالي أيضًا، أي الإضافيّ، وعلى التقديرين الاختصاص متحقّق، على أنّه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بالاختصاص بحسب الوضع بالنسبة إلى ذلك المعنى، ولا يخفى تحقّقه في الألفاظ المشتركة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تحصيله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الألفاظ المفردة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تسليم إفادة المعاني المركّبة بمعونة إفادة المعاني المفردة كانت ممكنة، إذ هي ممنوعة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موجب لاستفادة تلك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استلزام المجاز الحقيقة، وعليه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لتحقّق</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السابق</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يترتّب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وواقع</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تخلّفت عنه؛ وعليه علامة خ 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قامت الحرب على ساق، إذا اشتدّ الأمر وصعب الخلاص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وينظر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رفع الحاجب عن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فيلزم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رفع التالي منتج لرفع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اللازم من هذا الاستدلال خلاف ما توهّمه المجيب من عدم تحقّق المعنى، إذ يلزمه تحقّقه كما لا يخفى، ثمّ يلزم منه فساد مذهبه من توهّم الاستلزام، إذ بعد تسليم عدم تحقّق المعنى الموضوع له، كيف يمكن استعماله فيه حتّى يكون 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الاستدلال من عجيب ما وقع في هذا المقام، إلّا أنّه لمّا كان جدليًّا وإلزاميًّا لا يُبالى به،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ثبت الوضع في نوع الهيئة الإسناديّة، كذا ثبت الاستعمال فيه، كما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فحينئذٍ بطل استدلال النافي أيضًا، حيث استدلّ بهذه المركّبات على أنّها مجازات لا حقائق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نوع الهيئة في ضمن فرد في معناه لا يوجب استعماله في ضمن فرد آخر فيه كما لا يخفى، وصدق الحقيقة على كلّ فرد من أفراد النوع متوقّف على استعمال ذلك الفرد في معناه، فاستعمال الفرد المتحقّق في ضمن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معناه لا يكفي لصدق الحقيقة بالنسبة إلى فرد المتحقّق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قامت الحرب على 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الحقيقة في الإسناد المسمّاة بالحقيقة العقليّة إسناد الشيء إلى من هو له عند المتكلّم في الظاهر، سواء كان بحسب الواقع، أم لا؛ ومعنى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المتكلّم في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يفهم من ظاهر كلامه ويدرك من ظاهر حاله، وذلك بأن لا ينصب قرينة على أنّه غير ما هو له في اعتقاده، فتكون أقسام الحقيقة العقليّة أربعة،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يطابق الواقع والاعتقاد جميعًا، كقول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أنبتَ اللهُ البقلَ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يطابق الاعتقاد دون الواقع، كقول الكافر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أنبتَ الربيعُ البقلَ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يطابق الواقع فقط، كقول المعتزليّ لمن لا يعرف حاله وهو يخفيها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الله الأفعال كلّها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هنا تمّ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سقط ظاهر كما لا يخفى، سقط من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يطابق الواقع والاعتقاد، كقولك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تعلم أنّه لم يجيء دون المخاطب، كما في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المذكور ليس بحاصر، إذ التجوّز في الهيئة التركيبيّة الّتي هي المعتبرة فيوضع المركّبات خارج عن الأقسام، إذ التجوّز في الإسناد ليس تجوّزًا فيها؛ لوضوح انّ الهيئة التركيبيّة من الأمور اللفظيّة والتجوّز في الإسناد من الأمور العقليّة، لكن لمّا يعلم الكلام فيها من الكلام فيما ذكر، فلا حاجة إلى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وتخفيف الميم المفتوحة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كالتفتازانيّ في حاشيته على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 على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اللام وتشديد الميم، بمعنى الشعر المتدلّى الّذي يجاوز شحم الأذنين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تعليقة على 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تشبّه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المشبّه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فيطلق، كما في المصدر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المشبّه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جميع الأفعال المنسلخة من الزمان، إذ من جملتها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ونحوهما، واستعمالها في المعاني الموضوعة لها ممّا لا شبهة فيها، بل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جاز أن يكون النقل تعيينيًّا، جاز أن يكون تعيّنيًّا، فحينئذٍ تثبت المجازيّة؛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المطلوب يتوقّف على كون النقل تعيّنيًّا، إذ مع احتمال التعييني للمستلزم أن يدّعي أنّه من هذا القبيل، وعلى فرض تسليم أن يكون من ذلك، دلالته على المطلوب ممنوعة، إذ بعد تحقّق النقل صار اللفظ حقيقة، فالمجاز لم ينفكّ عن الحقيقة،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التعيين على التعيّن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النقل هنا عرفيًّا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الاستعلام ممّن زال عنه جلباب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الاستعلام ممّن زال عنه جلباب الجهل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يترتّب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مفتقرًا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لوحظ المجاز مع الاشتراك والنقل والتخصيص والإضمار، والحاصل أربع، ثمّ الاشتراك مع النقل والتخصيص والإضمار، والحاصل ثلاث، ثمّ النقل مع التخصيص والإضمار، والحاصل اثنان، ثمّ التخصيص مع الإضمار، فالمجموع عشر، ولا يخفى أنّ انحصار الصور في العشر إنّما هو إذا لوحظ كلّ واحد من الاحتمالات الخمسة مع الآخر بانفراده، وأمّا إذا أضيف إلى ذلك ملاحظة الواحد مع مجموع الأربعة، ثمّ مع مجموع الثلاثة، ثمّ مع مجموع الاثنين، ثمّ واحد من الأربعة مع مجموع الثلاثة، ثمّ مع مجموع الاثنين، ثمّ واحد من الثلاثة مع مجموع الاثنين، فتبلغ الأقسام ستّة عشر،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مفاتيح الأصول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فالظاهر من السيّد المرتضى وابن زهرة ترجيح الاشتراك، ولذا حكما باشتراك كثير من الألفاظ، وحكاه الشهيد الثاني في ذلك عن جماعة، فإنّه قال في جملة كلام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نسلّم أولويّة المجاز على الاشتراك، بل قال جمع من المحقّقين بأولويّة الاشتراك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الاشتراك</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الأخرى</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ادّعى اتّفاقهم على ذلك النراقيّ في 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والسيّد المجاهد في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والرازيّ في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لأجل السياق</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تنقل الإطباق الحلّي في 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والرازيّ في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والمحقّق الأعرجيّ في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لإزاء</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القرينة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فلزوم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النصّ في المجامع الحديثيّة، نعم، نقله الوحيد البهبهانيّ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شرحه على الوافية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والمولى محمّد مهدي النراقيّ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الصادقين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والحاجي الكرباسيّ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والسيّد المجاهد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في جميع الأعصار والأمصار، وعليه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بعضهم في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ينافيه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الشواهد الربوبيّة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ومتشابه القرآن ومختلفه،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إثبات ذلك بجريان أصل العدم في ملاحظة العلاقة، ولا شبهة في أنّها حادثة؛ لكونها مترتّبة على وجود المستعمل الحادث؛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الوضع يفتقر إلى ملاحظته، وهي أيضًا حادثة مثل تلك الملاحظة، فتساويا من تلك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الحقيقة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فطرها أبي</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ابن الأثير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الرازيّ في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كأس دهاق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ممتلئة، وماء دهاق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اسقني دهاقًا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المعنيين، وعلى الأوّل 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اسقني من كأس مملوّ من ماء، وعلى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اسقني ماء كثيرًا، وهذا هو الأولى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ونقله عنه في 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وينظر 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والطراز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 هو أنّ في اندراج ما نحن فيه في عنوان مسألة استلزام المجاز للحقيقة وعدمه نوع خفاء، كما يظهر للمتأمّل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الوضع والنقل والعلاقة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القرينة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على ذلك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المجاهد في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والرازيّ في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المستعمل فيه إمّا حقيقيّ أو مجازيّ، وعلى التقديرين يلزم الوضع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فآلى</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هذا القسم للمقسم الّذي لم يعلم فيه الموضوع إّما هو بالنسبة إلى المعنى الآخر،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المجاز يفتقر إلى الوضع والنقل والعلاقة والقرينة، فكان مرجوحًا؛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النقل فهو عبارة عن الاستعمال والمفروض ثبوته، وأمّا العلاقة فالمفروض تحقّقها؛ على أنّك قد عرفت حال التمسّك بالأصل فيها،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القرينة فالمجاز وإن كان مفتقرًا إليها، لكنّه لا اختصاص للمجاز في ذلك؛ لتحقّقه في المشترك أيضًا، بل المشترك يفتقر إلى قرينتين والمجاز إلى قرينة واحدة، وأمّا الوضع فهو في المشترك متعدّد وفي المجاز واحد، فكان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بالنسبة إلى غيره فلا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ملاحظته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على تقدير أن يكون الوضع مصحّح الاستعمال فيهما، يكون هو عين الاحتمال الأوّل؛ وعلى تقدير أن يكون العلاقة يلزم الحقيقة والمجاز في المعنيين؛ وعلى الاحتمال الثاني هناك كان اللازم الاشتراك فقط، وعلى تقدير أن يكون الوضع في البعض والعلاقة في الآخر، يلزم الاشتراك والمجاز، وعلى الاحتمال الثالث هناك كان اللازم الحقيقة والمجاز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يوجد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وحصرت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العلاقة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خمسة وعشرين، الحصر في هذا العدد للقدماء، وهذا تفصيله، إلى آخر كلامه رفع مقامه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ثابت له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بالأغلب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تفتقر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تجيء</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كالحروف</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التجوّز</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الاشتراك</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إطباقهم في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صارفة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الذريعة إلى أصول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لجواز</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والنفي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للاستقرار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تستعمل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الدليل ليس دليلًا لما نحن فيه، إذ عنوان المسألة هو أن يكون الوضع بالنسبة إلى واحد من المستعمل فيه المتعدّد ثابتًا، والظاهر من هذا الكلام خلافه؛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الوضع لتلك الألفاظ في العموم اتّفاقيّ بينهم، إنّما الكلام في الخصوص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يراد به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يراد به إلّا الخصوص</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يوافقونا، كما في المصدر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باستعمالها في أحدهما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أصول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الذريعة إلى أصول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دعوى الاتّفاق في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وينظر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للممكن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الوحيد البهبهانيّ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أنّ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عادتهم التمسّك بأصالة الحقيقة، ولا يتوهّم التناقض منهم؛ لأنّ مرادهم الموضع الّذي علم معناه الحقيقيّ ولم يعلم استعماله فيه، فالأصل الحقيقة قطعًا بالأدلّة الّتي ذكرناها في الفائدة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والموضع الّذي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الاستعمال أعمّ من الحقيقة، هو ما إذا علم المستعمل فيه، لكن لم يعلم كونه حقيقة أو مجازًا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 أنّ الحكم بالحقيقة في غير الموضع الأوّل ليس للتمسّك بأن الأصل في الاستعمال الحقيقة، بل للأدلّة المذكورة سابقًا، فالاستعمال لا يكون دليلًا على الحقيقة إلّا في الموضع الأوّل،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اللفظة قد تكون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كما في المصدر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وحكاه عنه المحقّق الأعرجيّ في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القمّي في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والوحيد البهبهانيّ في 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ممنوع</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استدلّ بذلك الوحيد البهبهانيّ في 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والسيّد المجاهد في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والكرباسيّ في 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تفتقر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بملاحظة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فمحصّله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بالصلاة في القزّ اليمانيّ وفيما 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بالصلاة في الفراء اليمانيّ وفيما 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إلخ</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باب ما يجوز الصلاة فيه من اللباس والمكان وما لا يجوز،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طهارة ما يُشترى من مسلم ومن سوق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بعضٍ في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وفصول البدائع في أصول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المثال المذكور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وجهه فيما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تتحقّق</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تمسّك بها التفتازانيّ في حاشيته على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الإيضاح، للخطيب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والموافقة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المشترك والمجاز بالنسبة إلى الدلالة التفصيليّة وعدمها سيّان؛ فإنّه لو وجدت القرينة تتحقّق فيهما الدلالة، وإلّا فلا، على أنّ المشترك له رجحان عليه من حيث إنّ دلالته على المقصود عند انتفاء القرينة ثابتة، بخلاف المجاز على ما تقدّم تحقيقه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تتحقّق</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الحقيقيّة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ملحوظًا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بتبعيّته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فلهذا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وزبدة التفاسير، لملّا فتح الله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وتفسير فخر الدين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ذيل تفسير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وَاشْتَعَلَ الرَّأْسُ شَيْبًا 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كلماتهم في هذه الكلمة، ففي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والنون والفاء ثمّ النون والياء والقاف؛ 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كعبارة المحقّق الشريف والمحقّق التفتازانيّ وغيرهما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خنفقيق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والنون والفاء ثمّ القافين المتخلّل بينهما الياء المثنّاة من تحت؛ أمّا الأوّل فلم يذكره في القاموس وغيره، ممّا وقفت عليه أنّه بمعنى الداهية، ولم يذكروا تلك اللفظة أصلًا؛ وأمّا الثاني فهو وإن كان مذكورًا في القاموس، لكن لم يذكر أنّه بمعنى الداهية، بل ذكر لها ثلاثة معان،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الخنفقيق كقندفير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 جدًّا من النوق والظلمان، وحكاية جري الخيل، وهو مشيٌ في اضطراب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غير ما ذكر، نعم، ذكر في الصحاح وكنز اللغة أنّه بمعنى الداهية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وكأن كلماتهم محمولة عليه، والّذي ذكره في القاموس أنّه بمعنى 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الخَيْفَق كصيقل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فعلى هذا،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بعضهم في المقام اشتباه كأنّه من سهو قلم النسّاخ، إذ لم يذكر تلك اللفظة في كلام أهل اللغة فيما أعلم 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للشجاع لكونه بمنزلة دعوى الشيء ببيّنة وبرهان، ومثال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للشريف، ومثال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 للخسيس</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وفصول البدائع في أصول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نحن فيه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يظهر أنّ النسبة بين الكلام البليغ والمشتمل على المبالغة عموم من وجه؛ لافتراق البلاغة عن المبالغة في الكلام المؤدّى بالألفاظ الحقيقيّة فيما إذا اقتضى المقام ذل، والثاني عن الأوّل في المؤدّى بالألفاظ المجازيّة على نحو تتحقّق المبالغة مع عدم اقتضاء المقام ذلك واجتماعهما في ذلك الكلام مع اقتضائه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الأمر في ذلك كالأمر العائد إلى جوهر اللفظ؛ لما عرفت من أنّه لا بدّ فيه من تعدّد اللفظ، بخلاف هذا الأمر، فإنّه يصحّ ولو على تقدير وحدة اللفظ، فيصحّ التمسّك به فيما نحن فيه من هذه الجهة وإن كانت صحّته محلّ كلام من جهة أخرى، كما أشار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ويعلم من ذلك موضع آخر تحقّقت فيه البلاغة مع انتفاء المبالغة، مضافًا إلى ما تقدّمت إليه 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الفاصلتان هما الكلمتان الأخيرتان من الفقرتين أو من المصراعين، الأوّل في النثر والثاني في النظم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ديوان دعبل الخزاعيّ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ونسبه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البردانيّ محمّد بن أحمد بن محمّد أبو الحسن عن كتاب المحمّدون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تعجبي يا سلمُ من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سلمى</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انتفت المطابقة، ينظر 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المقابلة على ما صرّحوا به هي الجمع بين شيئين أو أكثر متوافقين وبين ضدّيهما، وتحقّق هذا المعنى في المثال غير معلوم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 لكن حكاه قولًا في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وفصول البدائع في أصول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الإيضاح، للخطيب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ونهاية الإرب في فنون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الضدّان مدلولًا عليهما بالفعلين كما في الأمثلة المذكورة،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ويُميت، أو باسمين كما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وَتَحْسَبُهُمْ أَيْقَاظًا وَهُمْ رُقُودٌ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بالحرفين كما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مَا كَسَبَتْ وَعَلَيْهَا مَا اكْتَسَبَتْ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في اللام معنى الانتفاع،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الضرر، وربما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تتحقّق المطابقة في الاسم والفعل أيضًا، كما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أَوَمَنْ كَانَ مَيْتًا فَأَحْيَيْنَاهُ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سارب بالنهار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بارز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لقرينة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لاشتراكهما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بتخيّل، كما في المفاتيح</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التمليح هو الإتيان بما فيه ملاحة وظرافة،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 الشاعر إذا أتى بشيء 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الإشارة إلى قصة أو مَثَل أو شعر، فإنّما هو التلميح بتقديم اللام على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الاستهزاء، والنسبة بينهما العموم والخصوص الوجهيّ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التمليح إيراد القبيح في صورة شيء مليح للاستظراف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وعوالي اللآلئ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والجامع الصغير،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معنى حقيقيًّا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إطباقهم على ذلك في 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ونقله عنه في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والمبادئ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والرازي في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ونقله عن العلّامة في 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قال في المفاتيح بعد نقل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عن قوّة لمصير المعظم إليه ولإمكان دعوى أغلبيّة النقل، انتهى</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وسنن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وسنن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وعوالي اللآلئ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نقلًا عن العوالي</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لاستقام،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تسقط</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وينظر 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ينظر 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وإرشاد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44087</w:t>
      </w:r>
      <w:r>
        <w:rPr>
          <w:rFonts w:ascii="IRNazanin" w:hAnsi="IRNazanin" w:eastAsia="IRNazanin"/>
          <w:b w:val="false"/>
          <w:b w:val="false"/>
          <w:bCs w:val="false"/>
          <w:i w:val="false"/>
          <w:i w:val="false"/>
          <w:iCs w:val="false"/>
          <w:color w:val="333333"/>
          <w:sz w:val="20"/>
          <w:sz w:val="20"/>
          <w:szCs w:val="20"/>
          <w:rtl w:val="true"/>
        </w:rPr>
        <w:t>، وفتح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13/438</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وأصول السرخسيّ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كون الإضمار أقرب؛ لأنّه لا يفتقر إلّا إلى قرينة، والمجاز مع افتقاره إليها يفتقر إلى الوضع اللاحق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ما فيه، ولذا حكم الأكثر بتساويهما، انتهى كلامه رفع مقامه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القائلين بالتسوية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في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والبيضاويّ في منهاج الأصول المطبوع مع نهاية السؤل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والأسنويّ في نهاية السؤل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تقدير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ينظر 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الزركشيّ عن ابن جنّي في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والرازيّ في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ينظر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الأكثريّة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يظهر من صاحب المعالم المخالفة والتوقّف في الترجيح، كما حكاه عنه في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السداد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 وفي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باب ما يجوز الصلاة فيه من اللباس والمكان وما لا يجوز،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باب طهارة ما يشترى من مسلم ومن سوق المسلمين،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باب جواز الصلاة فيما يشترى من سوق المسلمين من الثياب والجلود ما لم يعلم أنّه ميتة أو نجس،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بالأغلبيّة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استظهره في 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بناؤه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للمسلمين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الملّا عليّ القاري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أعرفه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الأسرار المرفوعة في الأخبار 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الإربليّ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والناس على دين ملوكهم كما ورد في الحديث والمَثَل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معناه ما رواه في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بأمرائهم أشبه منهم بآبائهم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الظنّ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يغلبون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تعدّي</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image" Target="media/image2.jpeg"/><Relationship Id="rId469" Type="http://schemas.openxmlformats.org/officeDocument/2006/relationships/image" Target="media/image2.jpeg"/><Relationship Id="rId470" Type="http://schemas.openxmlformats.org/officeDocument/2006/relationships/footer" Target="footer463.xml"/><Relationship Id="rId471" Type="http://schemas.openxmlformats.org/officeDocument/2006/relationships/footnotes" Target="footnotes.xml"/><Relationship Id="rId472" Type="http://schemas.openxmlformats.org/officeDocument/2006/relationships/numbering" Target="numbering.xml"/><Relationship Id="rId473" Type="http://schemas.openxmlformats.org/officeDocument/2006/relationships/fontTable" Target="fontTable.xml"/><Relationship Id="rId474" Type="http://schemas.openxmlformats.org/officeDocument/2006/relationships/settings" Target="settings.xml"/><Relationship Id="rId4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474</Pages>
  <Words>39353</Words>
  <Characters>184249</Characters>
  <CharactersWithSpaces>222265</CharactersWithSpaces>
  <Paragraphs>1573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2026-08-25T10:39:53Z</dcterms:created>
  <dc:creator>ghaemiyeh.com</dc:creator>
  <dc:description/>
  <dc:language>en-US</dc:language>
  <cp:lastModifiedBy/>
  <dcterms:modified xsi:type="dcterms:W3CDTF">2026-08-25T14:10:08Z</dcterms:modified>
  <cp:revision>1</cp:revision>
  <dc:subject/>
  <dc:title>الزهرة البارقة لمعرفة أحوال المجاز والحقیقة جلد 1</dc:title>
</cp:coreProperties>
</file>

<file path=docProps/custom.xml><?xml version="1.0" encoding="utf-8"?>
<Properties xmlns="http://schemas.openxmlformats.org/officeDocument/2006/custom-properties" xmlns:vt="http://schemas.openxmlformats.org/officeDocument/2006/docPropsVTypes"/>
</file>