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ینابیع الأحکام فی معرفة الحلال و الحرام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6405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2586407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586409_1280447820">
            <w:r>
              <w:rPr>
                <w:webHidden/>
                <w:rStyle w:val="IndexLink"/>
                <w:rtl w:val="true"/>
              </w:rPr>
              <w:t>كتاب الزكاة</w:t>
            </w:r>
            <w:r>
              <w:rPr>
                <w:rStyle w:val="IndexLink"/>
                <w:rtl w:val="true"/>
              </w:rPr>
              <w:tab/>
            </w:r>
            <w:r>
              <w:rPr>
                <w:rStyle w:val="IndexLink"/>
              </w:rPr>
              <w:t>11</w:t>
            </w:r>
          </w:hyperlink>
        </w:p>
        <w:p>
          <w:pPr>
            <w:pStyle w:val="Contents3"/>
            <w:tabs>
              <w:tab w:val="clear" w:pos="8459"/>
              <w:tab w:val="right" w:pos="9026" w:leader="dot"/>
            </w:tabs>
            <w:rPr/>
          </w:pPr>
          <w:hyperlink w:anchor="__RefHeading___Toc2586411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586413_1280447820">
            <w:r>
              <w:rPr>
                <w:webHidden/>
                <w:rStyle w:val="IndexLink"/>
                <w:rtl w:val="true"/>
              </w:rPr>
              <w:t>[</w:t>
            </w:r>
            <w:r>
              <w:rPr>
                <w:rStyle w:val="IndexLink"/>
                <w:rtl w:val="true"/>
              </w:rPr>
              <w:t>في معنى الزكاة</w:t>
            </w:r>
            <w:r>
              <w:rPr>
                <w:rStyle w:val="IndexLink"/>
                <w:rtl w:val="true"/>
              </w:rPr>
              <w:t>]</w:t>
              <w:tab/>
            </w:r>
            <w:r>
              <w:rPr>
                <w:rStyle w:val="IndexLink"/>
              </w:rPr>
              <w:t>12</w:t>
            </w:r>
          </w:hyperlink>
        </w:p>
        <w:p>
          <w:pPr>
            <w:pStyle w:val="Contents3"/>
            <w:tabs>
              <w:tab w:val="clear" w:pos="8459"/>
              <w:tab w:val="right" w:pos="9026" w:leader="dot"/>
            </w:tabs>
            <w:rPr/>
          </w:pPr>
          <w:hyperlink w:anchor="__RefHeading___Toc2586415_1280447820">
            <w:r>
              <w:rPr>
                <w:webHidden/>
                <w:rStyle w:val="IndexLink"/>
                <w:rtl w:val="true"/>
              </w:rPr>
              <w:t>المقصد الأوّل في زكاة المال</w:t>
            </w:r>
            <w:r>
              <w:rPr>
                <w:rStyle w:val="IndexLink"/>
                <w:rtl w:val="true"/>
              </w:rPr>
              <w:tab/>
            </w:r>
            <w:r>
              <w:rPr>
                <w:rStyle w:val="IndexLink"/>
              </w:rPr>
              <w:t>15</w:t>
            </w:r>
          </w:hyperlink>
        </w:p>
        <w:p>
          <w:pPr>
            <w:pStyle w:val="Contents4"/>
            <w:tabs>
              <w:tab w:val="clear" w:pos="8176"/>
              <w:tab w:val="right" w:pos="9026" w:leader="dot"/>
            </w:tabs>
            <w:rPr/>
          </w:pPr>
          <w:hyperlink w:anchor="__RefHeading___Toc2586417_1280447820">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2586419_1280447820">
            <w:r>
              <w:rPr>
                <w:webHidden/>
                <w:rStyle w:val="IndexLink"/>
                <w:rtl w:val="true"/>
              </w:rPr>
              <w:t>[</w:t>
            </w:r>
            <w:r>
              <w:rPr>
                <w:rStyle w:val="IndexLink"/>
                <w:rtl w:val="true"/>
              </w:rPr>
              <w:t>مخالفة الشيخ للمشهور و أدلّته</w:t>
            </w:r>
            <w:r>
              <w:rPr>
                <w:rStyle w:val="IndexLink"/>
                <w:rtl w:val="true"/>
              </w:rPr>
              <w:t>]</w:t>
              <w:tab/>
            </w:r>
            <w:r>
              <w:rPr>
                <w:rStyle w:val="IndexLink"/>
              </w:rPr>
              <w:t>18</w:t>
            </w:r>
          </w:hyperlink>
        </w:p>
        <w:p>
          <w:pPr>
            <w:pStyle w:val="Contents4"/>
            <w:tabs>
              <w:tab w:val="clear" w:pos="8176"/>
              <w:tab w:val="right" w:pos="9026" w:leader="dot"/>
            </w:tabs>
            <w:rPr/>
          </w:pPr>
          <w:hyperlink w:anchor="__RefHeading___Toc2586421_1280447820">
            <w:r>
              <w:rPr>
                <w:webHidden/>
                <w:rStyle w:val="IndexLink"/>
                <w:rtl w:val="true"/>
              </w:rPr>
              <w:t>[</w:t>
            </w:r>
            <w:r>
              <w:rPr>
                <w:rStyle w:val="IndexLink"/>
                <w:rtl w:val="true"/>
              </w:rPr>
              <w:t>آيات القرآن و حقّ الحصاد</w:t>
            </w:r>
            <w:r>
              <w:rPr>
                <w:rStyle w:val="IndexLink"/>
                <w:rtl w:val="true"/>
              </w:rPr>
              <w:t>]</w:t>
              <w:tab/>
            </w:r>
            <w:r>
              <w:rPr>
                <w:rStyle w:val="IndexLink"/>
              </w:rPr>
              <w:t>19</w:t>
            </w:r>
          </w:hyperlink>
        </w:p>
        <w:p>
          <w:pPr>
            <w:pStyle w:val="Contents4"/>
            <w:tabs>
              <w:tab w:val="clear" w:pos="8176"/>
              <w:tab w:val="right" w:pos="9026" w:leader="dot"/>
            </w:tabs>
            <w:rPr/>
          </w:pPr>
          <w:hyperlink w:anchor="__RefHeading___Toc2586423_1280447820">
            <w:r>
              <w:rPr>
                <w:webHidden/>
                <w:rStyle w:val="IndexLink"/>
                <w:rtl w:val="true"/>
              </w:rPr>
              <w:t>[</w:t>
            </w:r>
            <w:r>
              <w:rPr>
                <w:rStyle w:val="IndexLink"/>
                <w:rtl w:val="true"/>
              </w:rPr>
              <w:t>الروايات و حقّ الحصاد</w:t>
            </w:r>
            <w:r>
              <w:rPr>
                <w:rStyle w:val="IndexLink"/>
                <w:rtl w:val="true"/>
              </w:rPr>
              <w:t>]</w:t>
              <w:tab/>
            </w:r>
            <w:r>
              <w:rPr>
                <w:rStyle w:val="IndexLink"/>
              </w:rPr>
              <w:t>20</w:t>
            </w:r>
          </w:hyperlink>
        </w:p>
        <w:p>
          <w:pPr>
            <w:pStyle w:val="Contents4"/>
            <w:tabs>
              <w:tab w:val="clear" w:pos="8176"/>
              <w:tab w:val="right" w:pos="9026" w:leader="dot"/>
            </w:tabs>
            <w:rPr/>
          </w:pPr>
          <w:hyperlink w:anchor="__RefHeading___Toc2586425_1280447820">
            <w:r>
              <w:rPr>
                <w:webHidden/>
                <w:rStyle w:val="IndexLink"/>
                <w:rtl w:val="true"/>
              </w:rPr>
              <w:t>[</w:t>
            </w:r>
            <w:r>
              <w:rPr>
                <w:rStyle w:val="IndexLink"/>
                <w:rtl w:val="true"/>
              </w:rPr>
              <w:t>دلالة الآيات و الروايات على استحباب حقّ الحصاد</w:t>
            </w:r>
            <w:r>
              <w:rPr>
                <w:rStyle w:val="IndexLink"/>
                <w:rtl w:val="true"/>
              </w:rPr>
              <w:t>]</w:t>
              <w:tab/>
            </w:r>
            <w:r>
              <w:rPr>
                <w:rStyle w:val="IndexLink"/>
              </w:rPr>
              <w:t>23</w:t>
            </w:r>
          </w:hyperlink>
        </w:p>
        <w:p>
          <w:pPr>
            <w:pStyle w:val="Contents4"/>
            <w:tabs>
              <w:tab w:val="clear" w:pos="8176"/>
              <w:tab w:val="right" w:pos="9026" w:leader="dot"/>
            </w:tabs>
            <w:rPr/>
          </w:pPr>
          <w:hyperlink w:anchor="__RefHeading___Toc2586427_1280447820">
            <w:r>
              <w:rPr>
                <w:webHidden/>
                <w:rStyle w:val="IndexLink"/>
                <w:rtl w:val="true"/>
              </w:rPr>
              <w:t>المبحث الأوّل فيمن يجب عليه الزكاة</w:t>
            </w:r>
            <w:r>
              <w:rPr>
                <w:rStyle w:val="IndexLink"/>
                <w:rtl w:val="true"/>
              </w:rPr>
              <w:tab/>
            </w:r>
            <w:r>
              <w:rPr>
                <w:rStyle w:val="IndexLink"/>
              </w:rPr>
              <w:t>24</w:t>
            </w:r>
          </w:hyperlink>
        </w:p>
        <w:p>
          <w:pPr>
            <w:pStyle w:val="Contents5"/>
            <w:tabs>
              <w:tab w:val="clear" w:pos="7892"/>
              <w:tab w:val="right" w:pos="9026" w:leader="dot"/>
            </w:tabs>
            <w:rPr/>
          </w:pPr>
          <w:hyperlink w:anchor="__RefHeading___Toc2586429_1280447820">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2586431_1280447820">
            <w:r>
              <w:rPr>
                <w:webHidden/>
                <w:rStyle w:val="IndexLink"/>
                <w:rtl w:val="true"/>
              </w:rPr>
              <w:t>المطلب الأوّل</w:t>
            </w:r>
            <w:r>
              <w:rPr>
                <w:rStyle w:val="IndexLink"/>
                <w:rtl w:val="true"/>
              </w:rPr>
              <w:t xml:space="preserve">: </w:t>
            </w:r>
            <w:r>
              <w:rPr>
                <w:rStyle w:val="IndexLink"/>
                <w:rtl w:val="true"/>
              </w:rPr>
              <w:t>في اشتراط وجوبها بالبلوغ</w:t>
            </w:r>
            <w:r>
              <w:rPr>
                <w:rStyle w:val="IndexLink"/>
                <w:rtl w:val="true"/>
              </w:rPr>
              <w:t>:</w:t>
              <w:tab/>
            </w:r>
            <w:r>
              <w:rPr>
                <w:rStyle w:val="IndexLink"/>
              </w:rPr>
              <w:t>24</w:t>
            </w:r>
          </w:hyperlink>
        </w:p>
        <w:p>
          <w:pPr>
            <w:pStyle w:val="Contents6"/>
            <w:tabs>
              <w:tab w:val="clear" w:pos="7609"/>
              <w:tab w:val="right" w:pos="9026" w:leader="dot"/>
            </w:tabs>
            <w:rPr/>
          </w:pPr>
          <w:hyperlink w:anchor="__RefHeading___Toc2586433_1280447820">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2586435_1280447820">
            <w:r>
              <w:rPr>
                <w:webHidden/>
                <w:rStyle w:val="IndexLink"/>
                <w:rtl w:val="true"/>
              </w:rPr>
              <w:t>[</w:t>
            </w:r>
            <w:r>
              <w:rPr>
                <w:rStyle w:val="IndexLink"/>
                <w:rtl w:val="true"/>
              </w:rPr>
              <w:t>الزكاة في أموال الطفل من النقدين</w:t>
            </w:r>
            <w:r>
              <w:rPr>
                <w:rStyle w:val="IndexLink"/>
                <w:rtl w:val="true"/>
              </w:rPr>
              <w:t>]</w:t>
              <w:tab/>
            </w:r>
            <w:r>
              <w:rPr>
                <w:rStyle w:val="IndexLink"/>
              </w:rPr>
              <w:t>28</w:t>
            </w:r>
          </w:hyperlink>
        </w:p>
        <w:p>
          <w:pPr>
            <w:pStyle w:val="Contents6"/>
            <w:tabs>
              <w:tab w:val="clear" w:pos="7609"/>
              <w:tab w:val="right" w:pos="9026" w:leader="dot"/>
            </w:tabs>
            <w:rPr/>
          </w:pPr>
          <w:hyperlink w:anchor="__RefHeading___Toc2586437_1280447820">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2586439_1280447820">
            <w:r>
              <w:rPr>
                <w:webHidden/>
                <w:rStyle w:val="IndexLink"/>
                <w:rtl w:val="true"/>
              </w:rPr>
              <w:t>[</w:t>
            </w:r>
            <w:r>
              <w:rPr>
                <w:rStyle w:val="IndexLink"/>
                <w:rtl w:val="true"/>
              </w:rPr>
              <w:t>ردّ دلالة الروايات على وجوب الزكاة في أموال الطفل</w:t>
            </w:r>
            <w:r>
              <w:rPr>
                <w:rStyle w:val="IndexLink"/>
                <w:rtl w:val="true"/>
              </w:rPr>
              <w:t>]</w:t>
              <w:tab/>
            </w:r>
            <w:r>
              <w:rPr>
                <w:rStyle w:val="IndexLink"/>
              </w:rPr>
              <w:t>30</w:t>
            </w:r>
          </w:hyperlink>
        </w:p>
        <w:p>
          <w:pPr>
            <w:pStyle w:val="Contents6"/>
            <w:tabs>
              <w:tab w:val="clear" w:pos="7609"/>
              <w:tab w:val="right" w:pos="9026" w:leader="dot"/>
            </w:tabs>
            <w:rPr/>
          </w:pPr>
          <w:hyperlink w:anchor="__RefHeading___Toc2586441_1280447820">
            <w:r>
              <w:rPr>
                <w:webHidden/>
                <w:rStyle w:val="IndexLink"/>
                <w:rtl w:val="true"/>
              </w:rPr>
              <w:t>المسألة الثانية</w:t>
            </w:r>
            <w:r>
              <w:rPr>
                <w:rStyle w:val="IndexLink"/>
                <w:rtl w:val="true"/>
              </w:rPr>
              <w:t xml:space="preserve">: </w:t>
            </w:r>
            <w:r>
              <w:rPr>
                <w:rStyle w:val="IndexLink"/>
                <w:rtl w:val="true"/>
              </w:rPr>
              <w:t>في غلاّت الطفل</w:t>
            </w:r>
            <w:r>
              <w:rPr>
                <w:rStyle w:val="IndexLink"/>
                <w:rtl w:val="true"/>
              </w:rPr>
              <w:t>:</w:t>
              <w:tab/>
            </w:r>
            <w:r>
              <w:rPr>
                <w:rStyle w:val="IndexLink"/>
              </w:rPr>
              <w:t>32</w:t>
            </w:r>
          </w:hyperlink>
        </w:p>
        <w:p>
          <w:pPr>
            <w:pStyle w:val="Contents6"/>
            <w:tabs>
              <w:tab w:val="clear" w:pos="7609"/>
              <w:tab w:val="right" w:pos="9026" w:leader="dot"/>
            </w:tabs>
            <w:rPr/>
          </w:pPr>
          <w:hyperlink w:anchor="__RefHeading___Toc2586443_1280447820">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2586445_1280447820">
            <w:r>
              <w:rPr>
                <w:webHidden/>
                <w:rStyle w:val="IndexLink"/>
                <w:rtl w:val="true"/>
              </w:rPr>
              <w:t>[</w:t>
            </w:r>
            <w:r>
              <w:rPr>
                <w:rStyle w:val="IndexLink"/>
                <w:rtl w:val="true"/>
              </w:rPr>
              <w:t>أدلّة عدم وجوب الزكاة في غلاّت الطفل</w:t>
            </w:r>
            <w:r>
              <w:rPr>
                <w:rStyle w:val="IndexLink"/>
                <w:rtl w:val="true"/>
              </w:rPr>
              <w:t>]</w:t>
              <w:tab/>
            </w:r>
            <w:r>
              <w:rPr>
                <w:rStyle w:val="IndexLink"/>
              </w:rPr>
              <w:t>33</w:t>
            </w:r>
          </w:hyperlink>
        </w:p>
        <w:p>
          <w:pPr>
            <w:pStyle w:val="Contents6"/>
            <w:tabs>
              <w:tab w:val="clear" w:pos="7609"/>
              <w:tab w:val="right" w:pos="9026" w:leader="dot"/>
            </w:tabs>
            <w:rPr/>
          </w:pPr>
          <w:hyperlink w:anchor="__RefHeading___Toc2586447_1280447820">
            <w:r>
              <w:rPr>
                <w:webHidden/>
                <w:rStyle w:val="IndexLink"/>
                <w:rtl w:val="true"/>
              </w:rPr>
              <w:t>المسألة الثالثة</w:t>
            </w:r>
            <w:r>
              <w:rPr>
                <w:rStyle w:val="IndexLink"/>
                <w:rtl w:val="true"/>
              </w:rPr>
              <w:t xml:space="preserve">: </w:t>
            </w:r>
            <w:r>
              <w:rPr>
                <w:rStyle w:val="IndexLink"/>
                <w:rtl w:val="true"/>
              </w:rPr>
              <w:t>في مواشي الصبيّ‌</w:t>
            </w:r>
            <w:r>
              <w:rPr>
                <w:rStyle w:val="IndexLink"/>
                <w:rtl w:val="true"/>
              </w:rPr>
              <w:t>:</w:t>
              <w:tab/>
            </w:r>
            <w:r>
              <w:rPr>
                <w:rStyle w:val="IndexLink"/>
              </w:rPr>
              <w:t>36</w:t>
            </w:r>
          </w:hyperlink>
        </w:p>
        <w:p>
          <w:pPr>
            <w:pStyle w:val="Contents6"/>
            <w:tabs>
              <w:tab w:val="clear" w:pos="7609"/>
              <w:tab w:val="right" w:pos="9026" w:leader="dot"/>
            </w:tabs>
            <w:rPr/>
          </w:pPr>
          <w:hyperlink w:anchor="__RefHeading___Toc2586449_1280447820">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2586451_1280447820">
            <w:r>
              <w:rPr>
                <w:webHidden/>
                <w:rStyle w:val="IndexLink"/>
                <w:rtl w:val="true"/>
              </w:rPr>
              <w:t>[</w:t>
            </w:r>
            <w:r>
              <w:rPr>
                <w:rStyle w:val="IndexLink"/>
                <w:rtl w:val="true"/>
              </w:rPr>
              <w:t>أدلّة الوجوب و ردّه</w:t>
            </w:r>
            <w:r>
              <w:rPr>
                <w:rStyle w:val="IndexLink"/>
                <w:rtl w:val="true"/>
              </w:rPr>
              <w:t>]</w:t>
              <w:tab/>
            </w:r>
            <w:r>
              <w:rPr>
                <w:rStyle w:val="IndexLink"/>
              </w:rPr>
              <w:t>38</w:t>
            </w:r>
          </w:hyperlink>
        </w:p>
        <w:p>
          <w:pPr>
            <w:pStyle w:val="Contents6"/>
            <w:tabs>
              <w:tab w:val="clear" w:pos="7609"/>
              <w:tab w:val="right" w:pos="9026" w:leader="dot"/>
            </w:tabs>
            <w:rPr/>
          </w:pPr>
          <w:hyperlink w:anchor="__RefHeading___Toc2586453_1280447820">
            <w:r>
              <w:rPr>
                <w:webHidden/>
                <w:rStyle w:val="IndexLink"/>
                <w:rtl w:val="true"/>
              </w:rPr>
              <w:t>[</w:t>
            </w:r>
            <w:r>
              <w:rPr>
                <w:rStyle w:val="IndexLink"/>
                <w:rtl w:val="true"/>
              </w:rPr>
              <w:t>عدم استحباب الزكاة في مواشي الصبيّ‌</w:t>
            </w:r>
            <w:r>
              <w:rPr>
                <w:rStyle w:val="IndexLink"/>
                <w:rtl w:val="true"/>
              </w:rPr>
              <w:t>]</w:t>
              <w:tab/>
            </w:r>
            <w:r>
              <w:rPr>
                <w:rStyle w:val="IndexLink"/>
              </w:rPr>
              <w:t>39</w:t>
            </w:r>
          </w:hyperlink>
        </w:p>
        <w:p>
          <w:pPr>
            <w:pStyle w:val="Contents6"/>
            <w:tabs>
              <w:tab w:val="clear" w:pos="7609"/>
              <w:tab w:val="right" w:pos="9026" w:leader="dot"/>
            </w:tabs>
            <w:rPr/>
          </w:pPr>
          <w:hyperlink w:anchor="__RefHeading___Toc2586455_1280447820">
            <w:r>
              <w:rPr>
                <w:webHidden/>
                <w:rStyle w:val="IndexLink"/>
                <w:rtl w:val="true"/>
              </w:rPr>
              <w:t>[</w:t>
            </w:r>
            <w:r>
              <w:rPr>
                <w:rStyle w:val="IndexLink"/>
                <w:rtl w:val="true"/>
              </w:rPr>
              <w:t>الاتّجار بمال الطفل و بيان أقسامها الاولى و الثانية</w:t>
            </w:r>
            <w:r>
              <w:rPr>
                <w:rStyle w:val="IndexLink"/>
                <w:rtl w:val="true"/>
              </w:rPr>
              <w:t>]</w:t>
              <w:tab/>
            </w:r>
            <w:r>
              <w:rPr>
                <w:rStyle w:val="IndexLink"/>
              </w:rPr>
              <w:t>40</w:t>
            </w:r>
          </w:hyperlink>
        </w:p>
        <w:p>
          <w:pPr>
            <w:pStyle w:val="Contents6"/>
            <w:tabs>
              <w:tab w:val="clear" w:pos="7609"/>
              <w:tab w:val="right" w:pos="9026" w:leader="dot"/>
            </w:tabs>
            <w:rPr/>
          </w:pPr>
          <w:hyperlink w:anchor="__RefHeading___Toc2586457_1280447820">
            <w:r>
              <w:rPr>
                <w:webHidden/>
                <w:rStyle w:val="IndexLink"/>
                <w:rtl w:val="true"/>
              </w:rPr>
              <w:t>[</w:t>
            </w:r>
            <w:r>
              <w:rPr>
                <w:rStyle w:val="IndexLink"/>
                <w:rtl w:val="true"/>
              </w:rPr>
              <w:t>اجرة عمل المتولّي لمال اليتيم</w:t>
            </w:r>
            <w:r>
              <w:rPr>
                <w:rStyle w:val="IndexLink"/>
                <w:rtl w:val="true"/>
              </w:rPr>
              <w:t>]</w:t>
              <w:tab/>
            </w:r>
            <w:r>
              <w:rPr>
                <w:rStyle w:val="IndexLink"/>
              </w:rPr>
              <w:t>43</w:t>
            </w:r>
          </w:hyperlink>
        </w:p>
        <w:p>
          <w:pPr>
            <w:pStyle w:val="Contents6"/>
            <w:tabs>
              <w:tab w:val="clear" w:pos="7609"/>
              <w:tab w:val="right" w:pos="9026" w:leader="dot"/>
            </w:tabs>
            <w:rPr/>
          </w:pPr>
          <w:hyperlink w:anchor="__RefHeading___Toc2586459_1280447820">
            <w:r>
              <w:rPr>
                <w:webHidden/>
                <w:rStyle w:val="IndexLink"/>
                <w:rtl w:val="true"/>
              </w:rPr>
              <w:t>[</w:t>
            </w:r>
            <w:r>
              <w:rPr>
                <w:rStyle w:val="IndexLink"/>
                <w:rtl w:val="true"/>
              </w:rPr>
              <w:t>اعتبار اجرة المثل لعمل المتولّي لمال اليتيم و أدلّته</w:t>
            </w:r>
            <w:r>
              <w:rPr>
                <w:rStyle w:val="IndexLink"/>
                <w:rtl w:val="true"/>
              </w:rPr>
              <w:t>]</w:t>
              <w:tab/>
            </w:r>
            <w:r>
              <w:rPr>
                <w:rStyle w:val="IndexLink"/>
              </w:rPr>
              <w:t>44</w:t>
            </w:r>
          </w:hyperlink>
        </w:p>
        <w:p>
          <w:pPr>
            <w:pStyle w:val="Contents6"/>
            <w:tabs>
              <w:tab w:val="clear" w:pos="7609"/>
              <w:tab w:val="right" w:pos="9026" w:leader="dot"/>
            </w:tabs>
            <w:rPr/>
          </w:pPr>
          <w:hyperlink w:anchor="__RefHeading___Toc2586461_1280447820">
            <w:r>
              <w:rPr>
                <w:webHidden/>
                <w:rStyle w:val="IndexLink"/>
                <w:rtl w:val="true"/>
              </w:rPr>
              <w:t>[</w:t>
            </w:r>
            <w:r>
              <w:rPr>
                <w:rStyle w:val="IndexLink"/>
                <w:rtl w:val="true"/>
              </w:rPr>
              <w:t>المناقشة في الآيات و الروايات</w:t>
            </w:r>
            <w:r>
              <w:rPr>
                <w:rStyle w:val="IndexLink"/>
                <w:rtl w:val="true"/>
              </w:rPr>
              <w:t>]</w:t>
              <w:tab/>
            </w:r>
            <w:r>
              <w:rPr>
                <w:rStyle w:val="IndexLink"/>
              </w:rPr>
              <w:t>45</w:t>
            </w:r>
          </w:hyperlink>
        </w:p>
        <w:p>
          <w:pPr>
            <w:pStyle w:val="Contents6"/>
            <w:tabs>
              <w:tab w:val="clear" w:pos="7609"/>
              <w:tab w:val="right" w:pos="9026" w:leader="dot"/>
            </w:tabs>
            <w:rPr/>
          </w:pPr>
          <w:hyperlink w:anchor="__RefHeading___Toc2586463_1280447820">
            <w:r>
              <w:rPr>
                <w:webHidden/>
                <w:rStyle w:val="IndexLink"/>
                <w:rtl w:val="true"/>
              </w:rPr>
              <w:t>[</w:t>
            </w:r>
            <w:r>
              <w:rPr>
                <w:rStyle w:val="IndexLink"/>
                <w:rtl w:val="true"/>
              </w:rPr>
              <w:t>استحباب الزكاة في مال الطفل يعتبر بحصول الربح أو عدم الخسران‌؟</w:t>
            </w:r>
            <w:r>
              <w:rPr>
                <w:rStyle w:val="IndexLink"/>
                <w:rtl w:val="true"/>
              </w:rPr>
              <w:t>]</w:t>
              <w:tab/>
            </w:r>
            <w:r>
              <w:rPr>
                <w:rStyle w:val="IndexLink"/>
              </w:rPr>
              <w:t>46</w:t>
            </w:r>
          </w:hyperlink>
        </w:p>
        <w:p>
          <w:pPr>
            <w:pStyle w:val="Contents6"/>
            <w:tabs>
              <w:tab w:val="clear" w:pos="7609"/>
              <w:tab w:val="right" w:pos="9026" w:leader="dot"/>
            </w:tabs>
            <w:rPr/>
          </w:pPr>
          <w:hyperlink w:anchor="__RefHeading___Toc2586465_1280447820">
            <w:r>
              <w:rPr>
                <w:webHidden/>
                <w:rStyle w:val="IndexLink"/>
                <w:rtl w:val="true"/>
              </w:rPr>
              <w:t>[</w:t>
            </w:r>
            <w:r>
              <w:rPr>
                <w:rStyle w:val="IndexLink"/>
                <w:rtl w:val="true"/>
              </w:rPr>
              <w:t>في اتجار الوليّ للطفل هل يعتبر المصلحة أو يكفي عدم المفسدة‌؟</w:t>
            </w:r>
            <w:r>
              <w:rPr>
                <w:rStyle w:val="IndexLink"/>
                <w:rtl w:val="true"/>
              </w:rPr>
              <w:t>]</w:t>
              <w:tab/>
            </w:r>
            <w:r>
              <w:rPr>
                <w:rStyle w:val="IndexLink"/>
              </w:rPr>
              <w:t>47</w:t>
            </w:r>
          </w:hyperlink>
        </w:p>
        <w:p>
          <w:pPr>
            <w:pStyle w:val="Contents6"/>
            <w:tabs>
              <w:tab w:val="clear" w:pos="7609"/>
              <w:tab w:val="right" w:pos="9026" w:leader="dot"/>
            </w:tabs>
            <w:rPr/>
          </w:pPr>
          <w:hyperlink w:anchor="__RefHeading___Toc2586467_1280447820">
            <w:r>
              <w:rPr>
                <w:webHidden/>
                <w:rStyle w:val="IndexLink"/>
                <w:rtl w:val="true"/>
              </w:rPr>
              <w:t>[</w:t>
            </w:r>
            <w:r>
              <w:rPr>
                <w:rStyle w:val="IndexLink"/>
                <w:rtl w:val="true"/>
              </w:rPr>
              <w:t>الاستدلال على اعتبار المصلحة بالآية الشريفة</w:t>
            </w:r>
            <w:r>
              <w:rPr>
                <w:rStyle w:val="IndexLink"/>
                <w:rtl w:val="true"/>
              </w:rPr>
              <w:t xml:space="preserve">: </w:t>
            </w:r>
            <w:r>
              <w:rPr>
                <w:rStyle w:val="IndexLink"/>
                <w:rtl w:val="true"/>
              </w:rPr>
              <w:t xml:space="preserve">وَ لاٰ تَقْرَبُوا </w:t>
            </w:r>
            <w:r>
              <w:rPr>
                <w:rStyle w:val="IndexLink"/>
                <w:rtl w:val="true"/>
              </w:rPr>
              <w:t>]</w:t>
              <w:tab/>
            </w:r>
            <w:r>
              <w:rPr>
                <w:rStyle w:val="IndexLink"/>
              </w:rPr>
              <w:t>49</w:t>
            </w:r>
          </w:hyperlink>
        </w:p>
        <w:p>
          <w:pPr>
            <w:pStyle w:val="Contents6"/>
            <w:tabs>
              <w:tab w:val="clear" w:pos="7609"/>
              <w:tab w:val="right" w:pos="9026" w:leader="dot"/>
            </w:tabs>
            <w:rPr/>
          </w:pPr>
          <w:hyperlink w:anchor="__RefHeading___Toc2586469_1280447820">
            <w:r>
              <w:rPr>
                <w:webHidden/>
                <w:rStyle w:val="IndexLink"/>
                <w:rtl w:val="true"/>
              </w:rPr>
              <w:t>[</w:t>
            </w:r>
            <w:r>
              <w:rPr>
                <w:rStyle w:val="IndexLink"/>
                <w:rtl w:val="true"/>
              </w:rPr>
              <w:t>أقرب المحتملات في الآية الشريفة</w:t>
            </w:r>
            <w:r>
              <w:rPr>
                <w:rStyle w:val="IndexLink"/>
                <w:rtl w:val="true"/>
              </w:rPr>
              <w:t>]</w:t>
              <w:tab/>
            </w:r>
            <w:r>
              <w:rPr>
                <w:rStyle w:val="IndexLink"/>
              </w:rPr>
              <w:t>50</w:t>
            </w:r>
          </w:hyperlink>
        </w:p>
        <w:p>
          <w:pPr>
            <w:pStyle w:val="Contents6"/>
            <w:tabs>
              <w:tab w:val="clear" w:pos="7609"/>
              <w:tab w:val="right" w:pos="9026" w:leader="dot"/>
            </w:tabs>
            <w:rPr/>
          </w:pPr>
          <w:hyperlink w:anchor="__RefHeading___Toc2586471_1280447820">
            <w:r>
              <w:rPr>
                <w:webHidden/>
                <w:rStyle w:val="IndexLink"/>
                <w:rtl w:val="true"/>
              </w:rPr>
              <w:t>[</w:t>
            </w:r>
            <w:r>
              <w:rPr>
                <w:rStyle w:val="IndexLink"/>
                <w:rtl w:val="true"/>
              </w:rPr>
              <w:t>بيان القاعدة الكلّيّة المستفادة من الآية الشريفة</w:t>
            </w:r>
            <w:r>
              <w:rPr>
                <w:rStyle w:val="IndexLink"/>
                <w:rtl w:val="true"/>
              </w:rPr>
              <w:t>]</w:t>
              <w:tab/>
            </w:r>
            <w:r>
              <w:rPr>
                <w:rStyle w:val="IndexLink"/>
              </w:rPr>
              <w:t>51</w:t>
            </w:r>
          </w:hyperlink>
        </w:p>
        <w:p>
          <w:pPr>
            <w:pStyle w:val="Contents6"/>
            <w:tabs>
              <w:tab w:val="clear" w:pos="7609"/>
              <w:tab w:val="right" w:pos="9026" w:leader="dot"/>
            </w:tabs>
            <w:rPr/>
          </w:pPr>
          <w:hyperlink w:anchor="__RefHeading___Toc2586473_1280447820">
            <w:r>
              <w:rPr>
                <w:webHidden/>
                <w:rStyle w:val="IndexLink"/>
                <w:rtl w:val="true"/>
              </w:rPr>
              <w:t>[</w:t>
            </w:r>
            <w:r>
              <w:rPr>
                <w:rStyle w:val="IndexLink"/>
                <w:rtl w:val="true"/>
              </w:rPr>
              <w:t>علاج التعارض في حسنة الكاهلي</w:t>
            </w:r>
            <w:r>
              <w:rPr>
                <w:rStyle w:val="IndexLink"/>
                <w:rtl w:val="true"/>
              </w:rPr>
              <w:t>]</w:t>
              <w:tab/>
            </w:r>
            <w:r>
              <w:rPr>
                <w:rStyle w:val="IndexLink"/>
              </w:rPr>
              <w:t>52</w:t>
            </w:r>
          </w:hyperlink>
        </w:p>
        <w:p>
          <w:pPr>
            <w:pStyle w:val="Contents6"/>
            <w:tabs>
              <w:tab w:val="clear" w:pos="7609"/>
              <w:tab w:val="right" w:pos="9026" w:leader="dot"/>
            </w:tabs>
            <w:rPr/>
          </w:pPr>
          <w:hyperlink w:anchor="__RefHeading___Toc2586475_1280447820">
            <w:r>
              <w:rPr>
                <w:webHidden/>
                <w:rStyle w:val="IndexLink"/>
                <w:rtl w:val="true"/>
              </w:rPr>
              <w:t>[</w:t>
            </w:r>
            <w:r>
              <w:rPr>
                <w:rStyle w:val="IndexLink"/>
                <w:rtl w:val="true"/>
              </w:rPr>
              <w:t>التصرّف الواجب من الوليّ في فرض المصلحة</w:t>
            </w:r>
            <w:r>
              <w:rPr>
                <w:rStyle w:val="IndexLink"/>
                <w:rtl w:val="true"/>
              </w:rPr>
              <w:t>]</w:t>
              <w:tab/>
            </w:r>
            <w:r>
              <w:rPr>
                <w:rStyle w:val="IndexLink"/>
              </w:rPr>
              <w:t>53</w:t>
            </w:r>
          </w:hyperlink>
        </w:p>
        <w:p>
          <w:pPr>
            <w:pStyle w:val="Contents6"/>
            <w:tabs>
              <w:tab w:val="clear" w:pos="7609"/>
              <w:tab w:val="right" w:pos="9026" w:leader="dot"/>
            </w:tabs>
            <w:rPr/>
          </w:pPr>
          <w:hyperlink w:anchor="__RefHeading___Toc2586477_1280447820">
            <w:r>
              <w:rPr>
                <w:webHidden/>
                <w:rStyle w:val="IndexLink"/>
                <w:rtl w:val="true"/>
              </w:rPr>
              <w:t>[</w:t>
            </w:r>
            <w:r>
              <w:rPr>
                <w:rStyle w:val="IndexLink"/>
                <w:rtl w:val="true"/>
              </w:rPr>
              <w:t>المناقشة في الروايات</w:t>
            </w:r>
            <w:r>
              <w:rPr>
                <w:rStyle w:val="IndexLink"/>
                <w:rtl w:val="true"/>
              </w:rPr>
              <w:t>]</w:t>
              <w:tab/>
            </w:r>
            <w:r>
              <w:rPr>
                <w:rStyle w:val="IndexLink"/>
              </w:rPr>
              <w:t>57</w:t>
            </w:r>
          </w:hyperlink>
        </w:p>
        <w:p>
          <w:pPr>
            <w:pStyle w:val="Contents6"/>
            <w:tabs>
              <w:tab w:val="clear" w:pos="7609"/>
              <w:tab w:val="right" w:pos="9026" w:leader="dot"/>
            </w:tabs>
            <w:rPr/>
          </w:pPr>
          <w:hyperlink w:anchor="__RefHeading___Toc2586479_1280447820">
            <w:r>
              <w:rPr>
                <w:webHidden/>
                <w:rStyle w:val="IndexLink"/>
                <w:rtl w:val="true"/>
              </w:rPr>
              <w:t>[</w:t>
            </w:r>
            <w:r>
              <w:rPr>
                <w:rStyle w:val="IndexLink"/>
                <w:rtl w:val="true"/>
              </w:rPr>
              <w:t>الاستدلال على تعميم ولاية الأب للجدّ</w:t>
            </w:r>
            <w:r>
              <w:rPr>
                <w:rStyle w:val="IndexLink"/>
                <w:rtl w:val="true"/>
              </w:rPr>
              <w:t>]</w:t>
              <w:tab/>
            </w:r>
            <w:r>
              <w:rPr>
                <w:rStyle w:val="IndexLink"/>
              </w:rPr>
              <w:t>58</w:t>
            </w:r>
          </w:hyperlink>
        </w:p>
        <w:p>
          <w:pPr>
            <w:pStyle w:val="Contents6"/>
            <w:tabs>
              <w:tab w:val="clear" w:pos="7609"/>
              <w:tab w:val="right" w:pos="9026" w:leader="dot"/>
            </w:tabs>
            <w:rPr/>
          </w:pPr>
          <w:hyperlink w:anchor="__RefHeading___Toc2586481_1280447820">
            <w:r>
              <w:rPr>
                <w:webHidden/>
                <w:rStyle w:val="IndexLink"/>
                <w:rtl w:val="true"/>
              </w:rPr>
              <w:t>[</w:t>
            </w:r>
            <w:r>
              <w:rPr>
                <w:rStyle w:val="IndexLink"/>
                <w:rtl w:val="true"/>
              </w:rPr>
              <w:t>الزكاة فيما لو اتّجر الوليّ من أموال المولّى عليه لنفسه</w:t>
            </w:r>
            <w:r>
              <w:rPr>
                <w:rStyle w:val="IndexLink"/>
                <w:rtl w:val="true"/>
              </w:rPr>
              <w:t>]</w:t>
              <w:tab/>
            </w:r>
            <w:r>
              <w:rPr>
                <w:rStyle w:val="IndexLink"/>
              </w:rPr>
              <w:t>60</w:t>
            </w:r>
          </w:hyperlink>
        </w:p>
        <w:p>
          <w:pPr>
            <w:pStyle w:val="Contents6"/>
            <w:tabs>
              <w:tab w:val="clear" w:pos="7609"/>
              <w:tab w:val="right" w:pos="9026" w:leader="dot"/>
            </w:tabs>
            <w:rPr/>
          </w:pPr>
          <w:hyperlink w:anchor="__RefHeading___Toc2586483_1280447820">
            <w:r>
              <w:rPr>
                <w:webHidden/>
                <w:rStyle w:val="IndexLink"/>
                <w:rtl w:val="true"/>
              </w:rPr>
              <w:t>[</w:t>
            </w:r>
            <w:r>
              <w:rPr>
                <w:rStyle w:val="IndexLink"/>
                <w:rtl w:val="true"/>
              </w:rPr>
              <w:t>اشتراط اقتراض الوليّ بالملاءة</w:t>
            </w:r>
            <w:r>
              <w:rPr>
                <w:rStyle w:val="IndexLink"/>
                <w:rtl w:val="true"/>
              </w:rPr>
              <w:t>]</w:t>
              <w:tab/>
            </w:r>
            <w:r>
              <w:rPr>
                <w:rStyle w:val="IndexLink"/>
              </w:rPr>
              <w:t>61</w:t>
            </w:r>
          </w:hyperlink>
        </w:p>
        <w:p>
          <w:pPr>
            <w:pStyle w:val="Contents6"/>
            <w:tabs>
              <w:tab w:val="clear" w:pos="7609"/>
              <w:tab w:val="right" w:pos="9026" w:leader="dot"/>
            </w:tabs>
            <w:rPr/>
          </w:pPr>
          <w:hyperlink w:anchor="__RefHeading___Toc2586485_1280447820">
            <w:r>
              <w:rPr>
                <w:webHidden/>
                <w:rStyle w:val="IndexLink"/>
                <w:rtl w:val="true"/>
              </w:rPr>
              <w:t>[</w:t>
            </w:r>
            <w:r>
              <w:rPr>
                <w:rStyle w:val="IndexLink"/>
                <w:rtl w:val="true"/>
              </w:rPr>
              <w:t>الاستدلال بالروايات</w:t>
            </w:r>
            <w:r>
              <w:rPr>
                <w:rStyle w:val="IndexLink"/>
                <w:rtl w:val="true"/>
              </w:rPr>
              <w:t>]</w:t>
              <w:tab/>
            </w:r>
            <w:r>
              <w:rPr>
                <w:rStyle w:val="IndexLink"/>
              </w:rPr>
              <w:t>62</w:t>
            </w:r>
          </w:hyperlink>
        </w:p>
        <w:p>
          <w:pPr>
            <w:pStyle w:val="Contents6"/>
            <w:tabs>
              <w:tab w:val="clear" w:pos="7609"/>
              <w:tab w:val="right" w:pos="9026" w:leader="dot"/>
            </w:tabs>
            <w:rPr/>
          </w:pPr>
          <w:hyperlink w:anchor="__RefHeading___Toc2586487_1280447820">
            <w:r>
              <w:rPr>
                <w:webHidden/>
                <w:rStyle w:val="IndexLink"/>
                <w:rtl w:val="true"/>
              </w:rPr>
              <w:t>[</w:t>
            </w:r>
            <w:r>
              <w:rPr>
                <w:rStyle w:val="IndexLink"/>
                <w:rtl w:val="true"/>
              </w:rPr>
              <w:t>قصور دلالة النصوص لجميع الأولياء</w:t>
            </w:r>
            <w:r>
              <w:rPr>
                <w:rStyle w:val="IndexLink"/>
                <w:rtl w:val="true"/>
              </w:rPr>
              <w:t>]</w:t>
              <w:tab/>
            </w:r>
            <w:r>
              <w:rPr>
                <w:rStyle w:val="IndexLink"/>
              </w:rPr>
              <w:t>64</w:t>
            </w:r>
          </w:hyperlink>
        </w:p>
        <w:p>
          <w:pPr>
            <w:pStyle w:val="Contents6"/>
            <w:tabs>
              <w:tab w:val="clear" w:pos="7609"/>
              <w:tab w:val="right" w:pos="9026" w:leader="dot"/>
            </w:tabs>
            <w:rPr/>
          </w:pPr>
          <w:hyperlink w:anchor="__RefHeading___Toc2586489_1280447820">
            <w:r>
              <w:rPr>
                <w:webHidden/>
                <w:rStyle w:val="IndexLink"/>
                <w:rtl w:val="true"/>
              </w:rPr>
              <w:t>[</w:t>
            </w:r>
            <w:r>
              <w:rPr>
                <w:rStyle w:val="IndexLink"/>
                <w:rtl w:val="true"/>
              </w:rPr>
              <w:t>تفسير الملاءة و الأقوال فيها</w:t>
            </w:r>
            <w:r>
              <w:rPr>
                <w:rStyle w:val="IndexLink"/>
                <w:rtl w:val="true"/>
              </w:rPr>
              <w:t>]</w:t>
              <w:tab/>
            </w:r>
            <w:r>
              <w:rPr>
                <w:rStyle w:val="IndexLink"/>
              </w:rPr>
              <w:t>65</w:t>
            </w:r>
          </w:hyperlink>
        </w:p>
        <w:p>
          <w:pPr>
            <w:pStyle w:val="Contents6"/>
            <w:tabs>
              <w:tab w:val="clear" w:pos="7609"/>
              <w:tab w:val="right" w:pos="9026" w:leader="dot"/>
            </w:tabs>
            <w:rPr/>
          </w:pPr>
          <w:hyperlink w:anchor="__RefHeading___Toc2586491_1280447820">
            <w:r>
              <w:rPr>
                <w:webHidden/>
                <w:rStyle w:val="IndexLink"/>
                <w:rtl w:val="true"/>
              </w:rPr>
              <w:t>[</w:t>
            </w:r>
            <w:r>
              <w:rPr>
                <w:rStyle w:val="IndexLink"/>
                <w:rtl w:val="true"/>
              </w:rPr>
              <w:t>القول الثالث في تفسير الملاءة</w:t>
            </w:r>
            <w:r>
              <w:rPr>
                <w:rStyle w:val="IndexLink"/>
                <w:rtl w:val="true"/>
              </w:rPr>
              <w:t>]</w:t>
              <w:tab/>
            </w:r>
            <w:r>
              <w:rPr>
                <w:rStyle w:val="IndexLink"/>
              </w:rPr>
              <w:t>66</w:t>
            </w:r>
          </w:hyperlink>
        </w:p>
        <w:p>
          <w:pPr>
            <w:pStyle w:val="Contents6"/>
            <w:tabs>
              <w:tab w:val="clear" w:pos="7609"/>
              <w:tab w:val="right" w:pos="9026" w:leader="dot"/>
            </w:tabs>
            <w:rPr/>
          </w:pPr>
          <w:hyperlink w:anchor="__RefHeading___Toc2586493_1280447820">
            <w:r>
              <w:rPr>
                <w:webHidden/>
                <w:rStyle w:val="IndexLink"/>
                <w:rtl w:val="true"/>
              </w:rPr>
              <w:t>[</w:t>
            </w:r>
            <w:r>
              <w:rPr>
                <w:rStyle w:val="IndexLink"/>
                <w:rtl w:val="true"/>
              </w:rPr>
              <w:t>بطلان القرض عند انتفاء الملاءة</w:t>
            </w:r>
            <w:r>
              <w:rPr>
                <w:rStyle w:val="IndexLink"/>
                <w:rtl w:val="true"/>
              </w:rPr>
              <w:t>]</w:t>
              <w:tab/>
            </w:r>
            <w:r>
              <w:rPr>
                <w:rStyle w:val="IndexLink"/>
              </w:rPr>
              <w:t>67</w:t>
            </w:r>
          </w:hyperlink>
        </w:p>
        <w:p>
          <w:pPr>
            <w:pStyle w:val="Contents6"/>
            <w:tabs>
              <w:tab w:val="clear" w:pos="7609"/>
              <w:tab w:val="right" w:pos="9026" w:leader="dot"/>
            </w:tabs>
            <w:rPr/>
          </w:pPr>
          <w:hyperlink w:anchor="__RefHeading___Toc2586495_1280447820">
            <w:r>
              <w:rPr>
                <w:webHidden/>
                <w:rStyle w:val="IndexLink"/>
                <w:rtl w:val="true"/>
              </w:rPr>
              <w:t>[</w:t>
            </w:r>
            <w:r>
              <w:rPr>
                <w:rStyle w:val="IndexLink"/>
                <w:rtl w:val="true"/>
              </w:rPr>
              <w:t>أقوال الفقهاء في الاشتراء بعين مال الطفل أو في الذمّة</w:t>
            </w:r>
            <w:r>
              <w:rPr>
                <w:rStyle w:val="IndexLink"/>
                <w:rtl w:val="true"/>
              </w:rPr>
              <w:t>]</w:t>
              <w:tab/>
            </w:r>
            <w:r>
              <w:rPr>
                <w:rStyle w:val="IndexLink"/>
              </w:rPr>
              <w:t>69</w:t>
            </w:r>
          </w:hyperlink>
        </w:p>
        <w:p>
          <w:pPr>
            <w:pStyle w:val="Contents6"/>
            <w:tabs>
              <w:tab w:val="clear" w:pos="7609"/>
              <w:tab w:val="right" w:pos="9026" w:leader="dot"/>
            </w:tabs>
            <w:rPr/>
          </w:pPr>
          <w:hyperlink w:anchor="__RefHeading___Toc2586497_1280447820">
            <w:r>
              <w:rPr>
                <w:webHidden/>
                <w:rStyle w:val="IndexLink"/>
                <w:rtl w:val="true"/>
              </w:rPr>
              <w:t>[</w:t>
            </w:r>
            <w:r>
              <w:rPr>
                <w:rStyle w:val="IndexLink"/>
                <w:rtl w:val="true"/>
              </w:rPr>
              <w:t>استحباب الزكاة في مال الطفل و المناقشة فيه</w:t>
            </w:r>
            <w:r>
              <w:rPr>
                <w:rStyle w:val="IndexLink"/>
                <w:rtl w:val="true"/>
              </w:rPr>
              <w:t>]</w:t>
              <w:tab/>
            </w:r>
            <w:r>
              <w:rPr>
                <w:rStyle w:val="IndexLink"/>
              </w:rPr>
              <w:t>71</w:t>
            </w:r>
          </w:hyperlink>
        </w:p>
        <w:p>
          <w:pPr>
            <w:pStyle w:val="Contents6"/>
            <w:tabs>
              <w:tab w:val="clear" w:pos="7609"/>
              <w:tab w:val="right" w:pos="9026" w:leader="dot"/>
            </w:tabs>
            <w:rPr/>
          </w:pPr>
          <w:hyperlink w:anchor="__RefHeading___Toc2586499_1280447820">
            <w:r>
              <w:rPr>
                <w:webHidden/>
                <w:rStyle w:val="IndexLink"/>
                <w:rtl w:val="true"/>
              </w:rPr>
              <w:t>[</w:t>
            </w:r>
            <w:r>
              <w:rPr>
                <w:rStyle w:val="IndexLink"/>
                <w:rtl w:val="true"/>
              </w:rPr>
              <w:t>وجوه ما لو كان المتّجر غير وليّ و لا مأذون</w:t>
            </w:r>
            <w:r>
              <w:rPr>
                <w:rStyle w:val="IndexLink"/>
                <w:rtl w:val="true"/>
              </w:rPr>
              <w:t>]</w:t>
              <w:tab/>
            </w:r>
            <w:r>
              <w:rPr>
                <w:rStyle w:val="IndexLink"/>
              </w:rPr>
              <w:t>72</w:t>
            </w:r>
          </w:hyperlink>
        </w:p>
        <w:p>
          <w:pPr>
            <w:pStyle w:val="Contents6"/>
            <w:tabs>
              <w:tab w:val="clear" w:pos="7609"/>
              <w:tab w:val="right" w:pos="9026" w:leader="dot"/>
            </w:tabs>
            <w:rPr/>
          </w:pPr>
          <w:hyperlink w:anchor="__RefHeading___Toc2586501_1280447820">
            <w:r>
              <w:rPr>
                <w:webHidden/>
                <w:rStyle w:val="IndexLink"/>
                <w:rtl w:val="true"/>
              </w:rPr>
              <w:t>المسألة الرابعة</w:t>
            </w:r>
            <w:r>
              <w:rPr>
                <w:rStyle w:val="IndexLink"/>
                <w:rtl w:val="true"/>
              </w:rPr>
              <w:t xml:space="preserve">: </w:t>
            </w:r>
            <w:r>
              <w:rPr>
                <w:rStyle w:val="IndexLink"/>
                <w:rtl w:val="true"/>
              </w:rPr>
              <w:t>فيما لو كان المتّجر غير الوليّ و اتّجر لنفسه</w:t>
            </w:r>
            <w:r>
              <w:rPr>
                <w:rStyle w:val="IndexLink"/>
                <w:rtl w:val="true"/>
              </w:rPr>
              <w:tab/>
            </w:r>
            <w:r>
              <w:rPr>
                <w:rStyle w:val="IndexLink"/>
              </w:rPr>
              <w:t>77</w:t>
            </w:r>
          </w:hyperlink>
        </w:p>
        <w:p>
          <w:pPr>
            <w:pStyle w:val="Contents5"/>
            <w:tabs>
              <w:tab w:val="clear" w:pos="7892"/>
              <w:tab w:val="right" w:pos="9026" w:leader="dot"/>
            </w:tabs>
            <w:rPr/>
          </w:pPr>
          <w:hyperlink w:anchor="__RefHeading___Toc2586503_1280447820">
            <w:r>
              <w:rPr>
                <w:webHidden/>
                <w:rStyle w:val="IndexLink"/>
                <w:rtl w:val="true"/>
              </w:rPr>
              <w:t>المطلب الثاني في اشتراط وجوب الزكاة بالعقل</w:t>
            </w:r>
            <w:r>
              <w:rPr>
                <w:rStyle w:val="IndexLink"/>
                <w:rtl w:val="true"/>
              </w:rPr>
              <w:tab/>
            </w:r>
            <w:r>
              <w:rPr>
                <w:rStyle w:val="IndexLink"/>
              </w:rPr>
              <w:t>79</w:t>
            </w:r>
          </w:hyperlink>
        </w:p>
        <w:p>
          <w:pPr>
            <w:pStyle w:val="Contents6"/>
            <w:tabs>
              <w:tab w:val="clear" w:pos="7609"/>
              <w:tab w:val="right" w:pos="9026" w:leader="dot"/>
            </w:tabs>
            <w:rPr/>
          </w:pPr>
          <w:hyperlink w:anchor="__RefHeading___Toc2586505_1280447820">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2586507_1280447820">
            <w:r>
              <w:rPr>
                <w:webHidden/>
                <w:rStyle w:val="IndexLink"/>
                <w:rtl w:val="true"/>
              </w:rPr>
              <w:t>فوائد</w:t>
            </w:r>
            <w:r>
              <w:rPr>
                <w:rStyle w:val="IndexLink"/>
                <w:rtl w:val="true"/>
              </w:rPr>
              <w:t>:</w:t>
              <w:tab/>
            </w:r>
            <w:r>
              <w:rPr>
                <w:rStyle w:val="IndexLink"/>
              </w:rPr>
              <w:t>82</w:t>
            </w:r>
          </w:hyperlink>
        </w:p>
        <w:p>
          <w:pPr>
            <w:pStyle w:val="Contents5"/>
            <w:tabs>
              <w:tab w:val="clear" w:pos="7892"/>
              <w:tab w:val="right" w:pos="9026" w:leader="dot"/>
            </w:tabs>
            <w:rPr/>
          </w:pPr>
          <w:hyperlink w:anchor="__RefHeading___Toc2586509_1280447820">
            <w:r>
              <w:rPr>
                <w:webHidden/>
                <w:rStyle w:val="IndexLink"/>
                <w:rtl w:val="true"/>
              </w:rPr>
              <w:t>المطلب الثالث في اشتراط وجوب الزكاة بالحرّية</w:t>
            </w:r>
            <w:r>
              <w:rPr>
                <w:rStyle w:val="IndexLink"/>
                <w:rtl w:val="true"/>
              </w:rPr>
              <w:tab/>
            </w:r>
            <w:r>
              <w:rPr>
                <w:rStyle w:val="IndexLink"/>
              </w:rPr>
              <w:t>85</w:t>
            </w:r>
          </w:hyperlink>
        </w:p>
        <w:p>
          <w:pPr>
            <w:pStyle w:val="Contents6"/>
            <w:tabs>
              <w:tab w:val="clear" w:pos="7609"/>
              <w:tab w:val="right" w:pos="9026" w:leader="dot"/>
            </w:tabs>
            <w:rPr/>
          </w:pPr>
          <w:hyperlink w:anchor="__RefHeading___Toc2586511_1280447820">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2586513_1280447820">
            <w:r>
              <w:rPr>
                <w:webHidden/>
                <w:rStyle w:val="IndexLink"/>
                <w:rtl w:val="true"/>
              </w:rPr>
              <w:t>في تزييف أدلّة مالكيّة العبد</w:t>
            </w:r>
            <w:r>
              <w:rPr>
                <w:rStyle w:val="IndexLink"/>
                <w:rtl w:val="true"/>
              </w:rPr>
              <w:tab/>
            </w:r>
            <w:r>
              <w:rPr>
                <w:rStyle w:val="IndexLink"/>
              </w:rPr>
              <w:t>106</w:t>
            </w:r>
          </w:hyperlink>
        </w:p>
        <w:p>
          <w:pPr>
            <w:pStyle w:val="Contents6"/>
            <w:tabs>
              <w:tab w:val="clear" w:pos="7609"/>
              <w:tab w:val="right" w:pos="9026" w:leader="dot"/>
            </w:tabs>
            <w:rPr/>
          </w:pPr>
          <w:hyperlink w:anchor="__RefHeading___Toc2586515_1280447820">
            <w:r>
              <w:rPr>
                <w:webHidden/>
                <w:rStyle w:val="IndexLink"/>
                <w:rtl w:val="true"/>
              </w:rPr>
              <w:t>حجّة القول الثالث</w:t>
            </w:r>
            <w:r>
              <w:rPr>
                <w:rStyle w:val="IndexLink"/>
                <w:rtl w:val="true"/>
              </w:rPr>
              <w:t>:</w:t>
              <w:tab/>
            </w:r>
            <w:r>
              <w:rPr>
                <w:rStyle w:val="IndexLink"/>
              </w:rPr>
              <w:t>109</w:t>
            </w:r>
          </w:hyperlink>
        </w:p>
        <w:p>
          <w:pPr>
            <w:pStyle w:val="Contents6"/>
            <w:tabs>
              <w:tab w:val="clear" w:pos="7609"/>
              <w:tab w:val="right" w:pos="9026" w:leader="dot"/>
            </w:tabs>
            <w:rPr/>
          </w:pPr>
          <w:hyperlink w:anchor="__RefHeading___Toc2586517_1280447820">
            <w:r>
              <w:rPr>
                <w:webHidden/>
                <w:rStyle w:val="IndexLink"/>
                <w:rtl w:val="true"/>
              </w:rPr>
              <w:t>و أمّا القول الرابع</w:t>
            </w:r>
            <w:r>
              <w:rPr>
                <w:rStyle w:val="IndexLink"/>
                <w:rtl w:val="true"/>
              </w:rPr>
              <w:t>:</w:t>
              <w:tab/>
            </w:r>
            <w:r>
              <w:rPr>
                <w:rStyle w:val="IndexLink"/>
              </w:rPr>
              <w:t>110</w:t>
            </w:r>
          </w:hyperlink>
        </w:p>
        <w:p>
          <w:pPr>
            <w:pStyle w:val="Contents5"/>
            <w:tabs>
              <w:tab w:val="clear" w:pos="7892"/>
              <w:tab w:val="right" w:pos="9026" w:leader="dot"/>
            </w:tabs>
            <w:rPr/>
          </w:pPr>
          <w:hyperlink w:anchor="__RefHeading___Toc2586519_1280447820">
            <w:r>
              <w:rPr>
                <w:webHidden/>
                <w:rStyle w:val="IndexLink"/>
                <w:rtl w:val="true"/>
              </w:rPr>
              <w:t>المطلب الرابع في اشتراط وجوب الزكاة في جميع الأجناس الزكويّة بالملك</w:t>
            </w:r>
            <w:r>
              <w:rPr>
                <w:rStyle w:val="IndexLink"/>
                <w:rtl w:val="true"/>
              </w:rPr>
              <w:tab/>
            </w:r>
            <w:r>
              <w:rPr>
                <w:rStyle w:val="IndexLink"/>
              </w:rPr>
              <w:t>117</w:t>
            </w:r>
          </w:hyperlink>
        </w:p>
        <w:p>
          <w:pPr>
            <w:pStyle w:val="Contents6"/>
            <w:tabs>
              <w:tab w:val="clear" w:pos="7609"/>
              <w:tab w:val="right" w:pos="9026" w:leader="dot"/>
            </w:tabs>
            <w:rPr/>
          </w:pPr>
          <w:hyperlink w:anchor="__RefHeading___Toc2586521_1280447820">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2586523_1280447820">
            <w:r>
              <w:rPr>
                <w:webHidden/>
                <w:rStyle w:val="IndexLink"/>
                <w:rtl w:val="true"/>
              </w:rPr>
              <w:t>[</w:t>
            </w:r>
            <w:r>
              <w:rPr>
                <w:rStyle w:val="IndexLink"/>
                <w:rtl w:val="true"/>
              </w:rPr>
              <w:t>مسائل</w:t>
            </w:r>
            <w:r>
              <w:rPr>
                <w:rStyle w:val="IndexLink"/>
                <w:rtl w:val="true"/>
              </w:rPr>
              <w:t>]</w:t>
              <w:tab/>
            </w:r>
            <w:r>
              <w:rPr>
                <w:rStyle w:val="IndexLink"/>
              </w:rPr>
              <w:t>119</w:t>
            </w:r>
          </w:hyperlink>
        </w:p>
        <w:p>
          <w:pPr>
            <w:pStyle w:val="Contents6"/>
            <w:tabs>
              <w:tab w:val="clear" w:pos="7609"/>
              <w:tab w:val="right" w:pos="9026" w:leader="dot"/>
            </w:tabs>
            <w:rPr/>
          </w:pPr>
          <w:hyperlink w:anchor="__RefHeading___Toc2586525_1280447820">
            <w:r>
              <w:rPr>
                <w:webHidden/>
                <w:rStyle w:val="IndexLink"/>
                <w:rtl w:val="true"/>
              </w:rPr>
              <w:t>المسألة الاولى</w:t>
            </w:r>
            <w:r>
              <w:rPr>
                <w:rStyle w:val="IndexLink"/>
                <w:rtl w:val="true"/>
              </w:rPr>
              <w:t xml:space="preserve">: </w:t>
            </w:r>
            <w:r>
              <w:rPr>
                <w:rStyle w:val="IndexLink"/>
                <w:rtl w:val="true"/>
              </w:rPr>
              <w:t>لو وهب له نصاب لم يجر في الحول إلاّ بعد القبض،</w:t>
            </w:r>
            <w:r>
              <w:rPr>
                <w:rStyle w:val="IndexLink"/>
                <w:rtl w:val="true"/>
              </w:rPr>
              <w:tab/>
            </w:r>
            <w:r>
              <w:rPr>
                <w:rStyle w:val="IndexLink"/>
              </w:rPr>
              <w:t>119</w:t>
            </w:r>
          </w:hyperlink>
        </w:p>
        <w:p>
          <w:pPr>
            <w:pStyle w:val="Contents6"/>
            <w:tabs>
              <w:tab w:val="clear" w:pos="7609"/>
              <w:tab w:val="right" w:pos="9026" w:leader="dot"/>
            </w:tabs>
            <w:rPr/>
          </w:pPr>
          <w:hyperlink w:anchor="__RefHeading___Toc2586527_1280447820">
            <w:r>
              <w:rPr>
                <w:webHidden/>
                <w:rStyle w:val="IndexLink"/>
                <w:rtl w:val="true"/>
              </w:rPr>
              <w:t>المسألة الثانية</w:t>
            </w:r>
            <w:r>
              <w:rPr>
                <w:rStyle w:val="IndexLink"/>
                <w:rtl w:val="true"/>
              </w:rPr>
              <w:t xml:space="preserve">: </w:t>
            </w:r>
            <w:r>
              <w:rPr>
                <w:rStyle w:val="IndexLink"/>
                <w:rtl w:val="true"/>
              </w:rPr>
              <w:t>لو اوصي له بنصاب يعتبر الحول بعد القبول بعد الوفاة</w:t>
            </w:r>
            <w:r>
              <w:rPr>
                <w:rStyle w:val="IndexLink"/>
                <w:rtl w:val="true"/>
              </w:rPr>
              <w:tab/>
            </w:r>
            <w:r>
              <w:rPr>
                <w:rStyle w:val="IndexLink"/>
              </w:rPr>
              <w:t>121</w:t>
            </w:r>
          </w:hyperlink>
        </w:p>
        <w:p>
          <w:pPr>
            <w:pStyle w:val="Contents6"/>
            <w:tabs>
              <w:tab w:val="clear" w:pos="7609"/>
              <w:tab w:val="right" w:pos="9026" w:leader="dot"/>
            </w:tabs>
            <w:rPr/>
          </w:pPr>
          <w:hyperlink w:anchor="__RefHeading___Toc2586529_1280447820">
            <w:r>
              <w:rPr>
                <w:webHidden/>
                <w:rStyle w:val="IndexLink"/>
                <w:rtl w:val="true"/>
              </w:rPr>
              <w:t>المسألة الثالثة</w:t>
            </w:r>
            <w:r>
              <w:rPr>
                <w:rStyle w:val="IndexLink"/>
                <w:rtl w:val="true"/>
              </w:rPr>
              <w:t>: [</w:t>
            </w:r>
            <w:r>
              <w:rPr>
                <w:rStyle w:val="IndexLink"/>
                <w:rtl w:val="true"/>
              </w:rPr>
              <w:t>لو اشترى نصابا من الحيوان هل يجري في الحول من حين العقد و لا يعتبر فيه تقضّي زمان الخيار أو لا يجري</w:t>
            </w:r>
            <w:r>
              <w:rPr>
                <w:rStyle w:val="IndexLink"/>
                <w:rtl w:val="true"/>
              </w:rPr>
              <w:t>]</w:t>
              <w:tab/>
            </w:r>
            <w:r>
              <w:rPr>
                <w:rStyle w:val="IndexLink"/>
              </w:rPr>
              <w:t>122</w:t>
            </w:r>
          </w:hyperlink>
        </w:p>
        <w:p>
          <w:pPr>
            <w:pStyle w:val="Contents6"/>
            <w:tabs>
              <w:tab w:val="clear" w:pos="7609"/>
              <w:tab w:val="right" w:pos="9026" w:leader="dot"/>
            </w:tabs>
            <w:rPr/>
          </w:pPr>
          <w:hyperlink w:anchor="__RefHeading___Toc2586531_1280447820">
            <w:r>
              <w:rPr>
                <w:webHidden/>
                <w:rStyle w:val="IndexLink"/>
                <w:rtl w:val="true"/>
              </w:rPr>
              <w:t>المسألة الرابعة</w:t>
            </w:r>
            <w:r>
              <w:rPr>
                <w:rStyle w:val="IndexLink"/>
                <w:rtl w:val="true"/>
              </w:rPr>
              <w:t xml:space="preserve">: </w:t>
            </w:r>
            <w:r>
              <w:rPr>
                <w:rStyle w:val="IndexLink"/>
                <w:rtl w:val="true"/>
              </w:rPr>
              <w:t>في الغنيمة هل يجري في الحول بالحيازة أو لا يجري فيه إلاّ بعد القسمة‌؟</w:t>
            </w:r>
            <w:r>
              <w:rPr>
                <w:rStyle w:val="IndexLink"/>
                <w:rtl w:val="true"/>
              </w:rPr>
              <w:tab/>
            </w:r>
            <w:r>
              <w:rPr>
                <w:rStyle w:val="IndexLink"/>
              </w:rPr>
              <w:t>124</w:t>
            </w:r>
          </w:hyperlink>
        </w:p>
        <w:p>
          <w:pPr>
            <w:pStyle w:val="Contents6"/>
            <w:tabs>
              <w:tab w:val="clear" w:pos="7609"/>
              <w:tab w:val="right" w:pos="9026" w:leader="dot"/>
            </w:tabs>
            <w:rPr/>
          </w:pPr>
          <w:hyperlink w:anchor="__RefHeading___Toc2586533_1280447820">
            <w:r>
              <w:rPr>
                <w:webHidden/>
                <w:rStyle w:val="IndexLink"/>
                <w:rtl w:val="true"/>
              </w:rPr>
              <w:t>المسألة الخامسة</w:t>
            </w:r>
            <w:r>
              <w:rPr>
                <w:rStyle w:val="IndexLink"/>
                <w:rtl w:val="true"/>
              </w:rPr>
              <w:t xml:space="preserve">: </w:t>
            </w:r>
            <w:r>
              <w:rPr>
                <w:rStyle w:val="IndexLink"/>
                <w:rtl w:val="true"/>
              </w:rPr>
              <w:t>إذا نذر أن يتصدّق بعين النصاب</w:t>
            </w:r>
            <w:r>
              <w:rPr>
                <w:rStyle w:val="IndexLink"/>
                <w:rtl w:val="true"/>
              </w:rPr>
              <w:tab/>
            </w:r>
            <w:r>
              <w:rPr>
                <w:rStyle w:val="IndexLink"/>
              </w:rPr>
              <w:t>128</w:t>
            </w:r>
          </w:hyperlink>
        </w:p>
        <w:p>
          <w:pPr>
            <w:pStyle w:val="Contents6"/>
            <w:tabs>
              <w:tab w:val="clear" w:pos="7609"/>
              <w:tab w:val="right" w:pos="9026" w:leader="dot"/>
            </w:tabs>
            <w:rPr/>
          </w:pPr>
          <w:hyperlink w:anchor="__RefHeading___Toc2586535_128044782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2586537_1280447820">
            <w:r>
              <w:rPr>
                <w:webHidden/>
                <w:rStyle w:val="IndexLink"/>
                <w:rtl w:val="true"/>
              </w:rPr>
              <w:t>و وجه أوّل الحكمين</w:t>
            </w:r>
            <w:r>
              <w:rPr>
                <w:rStyle w:val="IndexLink"/>
                <w:rtl w:val="true"/>
              </w:rPr>
              <w:t>:</w:t>
              <w:tab/>
            </w:r>
            <w:r>
              <w:rPr>
                <w:rStyle w:val="IndexLink"/>
              </w:rPr>
              <w:t>128</w:t>
            </w:r>
          </w:hyperlink>
        </w:p>
        <w:p>
          <w:pPr>
            <w:pStyle w:val="Contents6"/>
            <w:tabs>
              <w:tab w:val="clear" w:pos="7609"/>
              <w:tab w:val="right" w:pos="9026" w:leader="dot"/>
            </w:tabs>
            <w:rPr/>
          </w:pPr>
          <w:hyperlink w:anchor="__RefHeading___Toc2586539_1280447820">
            <w:r>
              <w:rPr>
                <w:webHidden/>
                <w:rStyle w:val="IndexLink"/>
                <w:rtl w:val="true"/>
              </w:rPr>
              <w:t>فروع</w:t>
            </w:r>
            <w:r>
              <w:rPr>
                <w:rStyle w:val="IndexLink"/>
                <w:rtl w:val="true"/>
              </w:rPr>
              <w:t>:</w:t>
              <w:tab/>
            </w:r>
            <w:r>
              <w:rPr>
                <w:rStyle w:val="IndexLink"/>
              </w:rPr>
              <w:t>130</w:t>
            </w:r>
          </w:hyperlink>
        </w:p>
        <w:p>
          <w:pPr>
            <w:pStyle w:val="Contents5"/>
            <w:tabs>
              <w:tab w:val="clear" w:pos="7892"/>
              <w:tab w:val="right" w:pos="9026" w:leader="dot"/>
            </w:tabs>
            <w:rPr/>
          </w:pPr>
          <w:hyperlink w:anchor="__RefHeading___Toc2586541_1280447820">
            <w:r>
              <w:rPr>
                <w:webHidden/>
                <w:rStyle w:val="IndexLink"/>
                <w:rtl w:val="true"/>
              </w:rPr>
              <w:t>المطلب الخامس في اشتراط وجوب الزكاة بالتمكّن من التصرّف في النصاب</w:t>
            </w:r>
            <w:r>
              <w:rPr>
                <w:rStyle w:val="IndexLink"/>
                <w:rtl w:val="true"/>
              </w:rPr>
              <w:tab/>
            </w:r>
            <w:r>
              <w:rPr>
                <w:rStyle w:val="IndexLink"/>
              </w:rPr>
              <w:t>132</w:t>
            </w:r>
          </w:hyperlink>
        </w:p>
        <w:p>
          <w:pPr>
            <w:pStyle w:val="Contents6"/>
            <w:tabs>
              <w:tab w:val="clear" w:pos="7609"/>
              <w:tab w:val="right" w:pos="9026" w:leader="dot"/>
            </w:tabs>
            <w:rPr/>
          </w:pPr>
          <w:hyperlink w:anchor="__RefHeading___Toc2586543_1280447820">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2586545_1280447820">
            <w:r>
              <w:rPr>
                <w:webHidden/>
                <w:rStyle w:val="IndexLink"/>
                <w:rtl w:val="true"/>
              </w:rPr>
              <w:t>المسألة الاولى</w:t>
            </w:r>
            <w:r>
              <w:rPr>
                <w:rStyle w:val="IndexLink"/>
                <w:rtl w:val="true"/>
              </w:rPr>
              <w:t xml:space="preserve">: </w:t>
            </w:r>
            <w:r>
              <w:rPr>
                <w:rStyle w:val="IndexLink"/>
                <w:rtl w:val="true"/>
              </w:rPr>
              <w:t>في المال المغصوب،</w:t>
            </w:r>
            <w:r>
              <w:rPr>
                <w:rStyle w:val="IndexLink"/>
                <w:rtl w:val="true"/>
              </w:rPr>
              <w:tab/>
            </w:r>
            <w:r>
              <w:rPr>
                <w:rStyle w:val="IndexLink"/>
              </w:rPr>
              <w:t>138</w:t>
            </w:r>
          </w:hyperlink>
        </w:p>
        <w:p>
          <w:pPr>
            <w:pStyle w:val="Contents6"/>
            <w:tabs>
              <w:tab w:val="clear" w:pos="7609"/>
              <w:tab w:val="right" w:pos="9026" w:leader="dot"/>
            </w:tabs>
            <w:rPr/>
          </w:pPr>
          <w:hyperlink w:anchor="__RefHeading___Toc2586547_1280447820">
            <w:r>
              <w:rPr>
                <w:webHidden/>
                <w:rStyle w:val="IndexLink"/>
                <w:rtl w:val="true"/>
              </w:rPr>
              <w:t>المسألة الثانية</w:t>
            </w:r>
            <w:r>
              <w:rPr>
                <w:rStyle w:val="IndexLink"/>
                <w:rtl w:val="true"/>
              </w:rPr>
              <w:t xml:space="preserve">: </w:t>
            </w:r>
            <w:r>
              <w:rPr>
                <w:rStyle w:val="IndexLink"/>
                <w:rtl w:val="true"/>
              </w:rPr>
              <w:t>في المال الغائب عن المالك و وكيله</w:t>
            </w:r>
            <w:r>
              <w:rPr>
                <w:rStyle w:val="IndexLink"/>
                <w:rtl w:val="true"/>
              </w:rPr>
              <w:tab/>
            </w:r>
            <w:r>
              <w:rPr>
                <w:rStyle w:val="IndexLink"/>
              </w:rPr>
              <w:t>139</w:t>
            </w:r>
          </w:hyperlink>
        </w:p>
        <w:p>
          <w:pPr>
            <w:pStyle w:val="Contents6"/>
            <w:tabs>
              <w:tab w:val="clear" w:pos="7609"/>
              <w:tab w:val="right" w:pos="9026" w:leader="dot"/>
            </w:tabs>
            <w:rPr/>
          </w:pPr>
          <w:hyperlink w:anchor="__RefHeading___Toc2586549_1280447820">
            <w:r>
              <w:rPr>
                <w:webHidden/>
                <w:rStyle w:val="IndexLink"/>
                <w:rtl w:val="true"/>
              </w:rPr>
              <w:t>المسألة الثالثة</w:t>
            </w:r>
            <w:r>
              <w:rPr>
                <w:rStyle w:val="IndexLink"/>
                <w:rtl w:val="true"/>
              </w:rPr>
              <w:t xml:space="preserve">: </w:t>
            </w:r>
            <w:r>
              <w:rPr>
                <w:rStyle w:val="IndexLink"/>
                <w:rtl w:val="true"/>
              </w:rPr>
              <w:t>الرهن لا يجب فيه الزكاة</w:t>
            </w:r>
            <w:r>
              <w:rPr>
                <w:rStyle w:val="IndexLink"/>
                <w:rtl w:val="true"/>
              </w:rPr>
              <w:tab/>
            </w:r>
            <w:r>
              <w:rPr>
                <w:rStyle w:val="IndexLink"/>
              </w:rPr>
              <w:t>147</w:t>
            </w:r>
          </w:hyperlink>
        </w:p>
        <w:p>
          <w:pPr>
            <w:pStyle w:val="Contents6"/>
            <w:tabs>
              <w:tab w:val="clear" w:pos="7609"/>
              <w:tab w:val="right" w:pos="9026" w:leader="dot"/>
            </w:tabs>
            <w:rPr/>
          </w:pPr>
          <w:hyperlink w:anchor="__RefHeading___Toc2586551_1280447820">
            <w:r>
              <w:rPr>
                <w:webHidden/>
                <w:rStyle w:val="IndexLink"/>
                <w:rtl w:val="true"/>
              </w:rPr>
              <w:t>المسألة الرابعة</w:t>
            </w:r>
            <w:r>
              <w:rPr>
                <w:rStyle w:val="IndexLink"/>
                <w:rtl w:val="true"/>
              </w:rPr>
              <w:t xml:space="preserve">: </w:t>
            </w:r>
            <w:r>
              <w:rPr>
                <w:rStyle w:val="IndexLink"/>
                <w:rtl w:val="true"/>
              </w:rPr>
              <w:t>لا يجب الزكاة في الوقف</w:t>
            </w:r>
            <w:r>
              <w:rPr>
                <w:rStyle w:val="IndexLink"/>
                <w:rtl w:val="true"/>
              </w:rPr>
              <w:tab/>
            </w:r>
            <w:r>
              <w:rPr>
                <w:rStyle w:val="IndexLink"/>
              </w:rPr>
              <w:t>150</w:t>
            </w:r>
          </w:hyperlink>
        </w:p>
        <w:p>
          <w:pPr>
            <w:pStyle w:val="Contents6"/>
            <w:tabs>
              <w:tab w:val="clear" w:pos="7609"/>
              <w:tab w:val="right" w:pos="9026" w:leader="dot"/>
            </w:tabs>
            <w:rPr/>
          </w:pPr>
          <w:hyperlink w:anchor="__RefHeading___Toc2586553_1280447820">
            <w:r>
              <w:rPr>
                <w:webHidden/>
                <w:rStyle w:val="IndexLink"/>
                <w:rtl w:val="true"/>
              </w:rPr>
              <w:t>المسألة الخامسة</w:t>
            </w:r>
            <w:r>
              <w:rPr>
                <w:rStyle w:val="IndexLink"/>
                <w:rtl w:val="true"/>
              </w:rPr>
              <w:t xml:space="preserve">: </w:t>
            </w:r>
            <w:r>
              <w:rPr>
                <w:rStyle w:val="IndexLink"/>
                <w:rtl w:val="true"/>
              </w:rPr>
              <w:t>لا تجب الزكاة في الضالّ و المفقود و المجحود و المسروق و ما سقط في البحر</w:t>
            </w:r>
            <w:r>
              <w:rPr>
                <w:rStyle w:val="IndexLink"/>
                <w:rtl w:val="true"/>
              </w:rPr>
              <w:tab/>
            </w:r>
            <w:r>
              <w:rPr>
                <w:rStyle w:val="IndexLink"/>
              </w:rPr>
              <w:t>152</w:t>
            </w:r>
          </w:hyperlink>
        </w:p>
        <w:p>
          <w:pPr>
            <w:pStyle w:val="Contents6"/>
            <w:tabs>
              <w:tab w:val="clear" w:pos="7609"/>
              <w:tab w:val="right" w:pos="9026" w:leader="dot"/>
            </w:tabs>
            <w:rPr/>
          </w:pPr>
          <w:hyperlink w:anchor="__RefHeading___Toc2586555_1280447820">
            <w:r>
              <w:rPr>
                <w:webHidden/>
                <w:rStyle w:val="IndexLink"/>
                <w:rtl w:val="true"/>
              </w:rPr>
              <w:t>المسألة السادسة</w:t>
            </w:r>
            <w:r>
              <w:rPr>
                <w:rStyle w:val="IndexLink"/>
                <w:rtl w:val="true"/>
              </w:rPr>
              <w:t xml:space="preserve">: </w:t>
            </w:r>
            <w:r>
              <w:rPr>
                <w:rStyle w:val="IndexLink"/>
                <w:rtl w:val="true"/>
              </w:rPr>
              <w:t>لا يجب الزكاة في الدين</w:t>
            </w:r>
            <w:r>
              <w:rPr>
                <w:rStyle w:val="IndexLink"/>
                <w:rtl w:val="true"/>
              </w:rPr>
              <w:tab/>
            </w:r>
            <w:r>
              <w:rPr>
                <w:rStyle w:val="IndexLink"/>
              </w:rPr>
              <w:t>154</w:t>
            </w:r>
          </w:hyperlink>
        </w:p>
        <w:p>
          <w:pPr>
            <w:pStyle w:val="Contents6"/>
            <w:tabs>
              <w:tab w:val="clear" w:pos="7609"/>
              <w:tab w:val="right" w:pos="9026" w:leader="dot"/>
            </w:tabs>
            <w:rPr/>
          </w:pPr>
          <w:hyperlink w:anchor="__RefHeading___Toc2586557_1280447820">
            <w:r>
              <w:rPr>
                <w:webHidden/>
                <w:rStyle w:val="IndexLink"/>
                <w:rtl w:val="true"/>
              </w:rPr>
              <w:t>المسألة السابعة</w:t>
            </w:r>
            <w:r>
              <w:rPr>
                <w:rStyle w:val="IndexLink"/>
                <w:rtl w:val="true"/>
              </w:rPr>
              <w:t xml:space="preserve">: </w:t>
            </w:r>
            <w:r>
              <w:rPr>
                <w:rStyle w:val="IndexLink"/>
                <w:rtl w:val="true"/>
              </w:rPr>
              <w:t>فيما يجب فيه الزكاة من القرض،</w:t>
            </w:r>
            <w:r>
              <w:rPr>
                <w:rStyle w:val="IndexLink"/>
                <w:rtl w:val="true"/>
              </w:rPr>
              <w:tab/>
            </w:r>
            <w:r>
              <w:rPr>
                <w:rStyle w:val="IndexLink"/>
              </w:rPr>
              <w:t>158</w:t>
            </w:r>
          </w:hyperlink>
        </w:p>
        <w:p>
          <w:pPr>
            <w:pStyle w:val="Contents6"/>
            <w:tabs>
              <w:tab w:val="clear" w:pos="7609"/>
              <w:tab w:val="right" w:pos="9026" w:leader="dot"/>
            </w:tabs>
            <w:rPr/>
          </w:pPr>
          <w:hyperlink w:anchor="__RefHeading___Toc2586559_1280447820">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2586561_1280447820">
            <w:r>
              <w:rPr>
                <w:webHidden/>
                <w:rStyle w:val="IndexLink"/>
                <w:rtl w:val="true"/>
              </w:rPr>
              <w:t>خاتمة</w:t>
            </w:r>
            <w:r>
              <w:rPr>
                <w:rStyle w:val="IndexLink"/>
                <w:rtl w:val="true"/>
              </w:rPr>
              <w:t xml:space="preserve">: </w:t>
            </w:r>
            <w:r>
              <w:rPr>
                <w:rStyle w:val="IndexLink"/>
                <w:rtl w:val="true"/>
              </w:rPr>
              <w:t>الإسلام ليس شرطا لوجوب الزكاة بل هو شرط لصحّتها،</w:t>
            </w:r>
            <w:r>
              <w:rPr>
                <w:rStyle w:val="IndexLink"/>
                <w:rtl w:val="true"/>
              </w:rPr>
              <w:tab/>
            </w:r>
            <w:r>
              <w:rPr>
                <w:rStyle w:val="IndexLink"/>
              </w:rPr>
              <w:t>165</w:t>
            </w:r>
          </w:hyperlink>
        </w:p>
        <w:p>
          <w:pPr>
            <w:pStyle w:val="Contents4"/>
            <w:tabs>
              <w:tab w:val="clear" w:pos="8176"/>
              <w:tab w:val="right" w:pos="9026" w:leader="dot"/>
            </w:tabs>
            <w:rPr/>
          </w:pPr>
          <w:hyperlink w:anchor="__RefHeading___Toc2586563_1280447820">
            <w:r>
              <w:rPr>
                <w:webHidden/>
                <w:rStyle w:val="IndexLink"/>
                <w:rtl w:val="true"/>
              </w:rPr>
              <w:t>المبحث الثاني فيما يجب فيه الزكاة من الأموالو سائر ما يتعلّق به من الشروط و الأحكام</w:t>
            </w:r>
            <w:r>
              <w:rPr>
                <w:rStyle w:val="IndexLink"/>
                <w:rtl w:val="true"/>
              </w:rPr>
              <w:tab/>
            </w:r>
            <w:r>
              <w:rPr>
                <w:rStyle w:val="IndexLink"/>
              </w:rPr>
              <w:t>168</w:t>
            </w:r>
          </w:hyperlink>
        </w:p>
        <w:p>
          <w:pPr>
            <w:pStyle w:val="Contents5"/>
            <w:tabs>
              <w:tab w:val="clear" w:pos="7892"/>
              <w:tab w:val="right" w:pos="9026" w:leader="dot"/>
            </w:tabs>
            <w:rPr/>
          </w:pPr>
          <w:hyperlink w:anchor="__RefHeading___Toc2586565_128044782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2586567_1280447820">
            <w:r>
              <w:rPr>
                <w:webHidden/>
                <w:rStyle w:val="IndexLink"/>
                <w:rtl w:val="true"/>
              </w:rPr>
              <w:t>[</w:t>
            </w:r>
            <w:r>
              <w:rPr>
                <w:rStyle w:val="IndexLink"/>
                <w:rtl w:val="true"/>
              </w:rPr>
              <w:t>ردّ المؤلّف على أدلّة ابن الجنيد</w:t>
            </w:r>
            <w:r>
              <w:rPr>
                <w:rStyle w:val="IndexLink"/>
                <w:rtl w:val="true"/>
              </w:rPr>
              <w:t>]</w:t>
              <w:tab/>
            </w:r>
            <w:r>
              <w:rPr>
                <w:rStyle w:val="IndexLink"/>
              </w:rPr>
              <w:t>174</w:t>
            </w:r>
          </w:hyperlink>
        </w:p>
        <w:p>
          <w:pPr>
            <w:pStyle w:val="Contents5"/>
            <w:tabs>
              <w:tab w:val="clear" w:pos="7892"/>
              <w:tab w:val="right" w:pos="9026" w:leader="dot"/>
            </w:tabs>
            <w:rPr/>
          </w:pPr>
          <w:hyperlink w:anchor="__RefHeading___Toc2586569_1280447820">
            <w:r>
              <w:rPr>
                <w:webHidden/>
                <w:rStyle w:val="IndexLink"/>
                <w:rtl w:val="true"/>
              </w:rPr>
              <w:t>[</w:t>
            </w:r>
            <w:r>
              <w:rPr>
                <w:rStyle w:val="IndexLink"/>
                <w:rtl w:val="true"/>
              </w:rPr>
              <w:t>ما يستحبّ فيه الزكاة إجمالا</w:t>
            </w:r>
            <w:r>
              <w:rPr>
                <w:rStyle w:val="IndexLink"/>
                <w:rtl w:val="true"/>
              </w:rPr>
              <w:t>]</w:t>
              <w:tab/>
            </w:r>
            <w:r>
              <w:rPr>
                <w:rStyle w:val="IndexLink"/>
              </w:rPr>
              <w:t>175</w:t>
            </w:r>
          </w:hyperlink>
        </w:p>
        <w:p>
          <w:pPr>
            <w:pStyle w:val="Contents5"/>
            <w:tabs>
              <w:tab w:val="clear" w:pos="7892"/>
              <w:tab w:val="right" w:pos="9026" w:leader="dot"/>
            </w:tabs>
            <w:rPr/>
          </w:pPr>
          <w:hyperlink w:anchor="__RefHeading___Toc2586571_1280447820">
            <w:r>
              <w:rPr>
                <w:webHidden/>
                <w:rStyle w:val="IndexLink"/>
                <w:rtl w:val="true"/>
              </w:rPr>
              <w:t>المقام الأوّل فيما يتعلّق بالأنعام الثلاثة من الأحكام و الشروط و اللواحق فنقول</w:t>
            </w:r>
            <w:r>
              <w:rPr>
                <w:rStyle w:val="IndexLink"/>
                <w:rtl w:val="true"/>
              </w:rPr>
              <w:t xml:space="preserve">: </w:t>
            </w:r>
            <w:r>
              <w:rPr>
                <w:rStyle w:val="IndexLink"/>
                <w:rtl w:val="true"/>
              </w:rPr>
              <w:t>يشترط في وجوب الزكاة فيها امور</w:t>
            </w:r>
            <w:r>
              <w:rPr>
                <w:rStyle w:val="IndexLink"/>
                <w:rtl w:val="true"/>
              </w:rPr>
              <w:t>:</w:t>
              <w:tab/>
            </w:r>
            <w:r>
              <w:rPr>
                <w:rStyle w:val="IndexLink"/>
              </w:rPr>
              <w:t>177</w:t>
            </w:r>
          </w:hyperlink>
        </w:p>
        <w:p>
          <w:pPr>
            <w:pStyle w:val="Contents6"/>
            <w:tabs>
              <w:tab w:val="clear" w:pos="7609"/>
              <w:tab w:val="right" w:pos="9026" w:leader="dot"/>
            </w:tabs>
            <w:rPr/>
          </w:pPr>
          <w:hyperlink w:anchor="__RefHeading___Toc2586573_1280447820">
            <w:r>
              <w:rPr>
                <w:webHidden/>
                <w:rStyle w:val="IndexLink"/>
                <w:rtl w:val="true"/>
              </w:rPr>
              <w:t>الأوّل</w:t>
            </w:r>
            <w:r>
              <w:rPr>
                <w:rStyle w:val="IndexLink"/>
                <w:rtl w:val="true"/>
              </w:rPr>
              <w:t xml:space="preserve">: </w:t>
            </w:r>
            <w:r>
              <w:rPr>
                <w:rStyle w:val="IndexLink"/>
                <w:rtl w:val="true"/>
              </w:rPr>
              <w:t>النصاب</w:t>
            </w:r>
            <w:r>
              <w:rPr>
                <w:rStyle w:val="IndexLink"/>
                <w:rtl w:val="true"/>
              </w:rPr>
              <w:tab/>
            </w:r>
            <w:r>
              <w:rPr>
                <w:rStyle w:val="IndexLink"/>
              </w:rPr>
              <w:t>177</w:t>
            </w:r>
          </w:hyperlink>
        </w:p>
        <w:p>
          <w:pPr>
            <w:pStyle w:val="Contents6"/>
            <w:tabs>
              <w:tab w:val="clear" w:pos="7609"/>
              <w:tab w:val="right" w:pos="9026" w:leader="dot"/>
            </w:tabs>
            <w:rPr/>
          </w:pPr>
          <w:hyperlink w:anchor="__RefHeading___Toc2586575_1280447820">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2586577_1280447820">
            <w:r>
              <w:rPr>
                <w:webHidden/>
                <w:rStyle w:val="IndexLink"/>
                <w:rtl w:val="true"/>
              </w:rPr>
              <w:t>المرحلة الاولى</w:t>
            </w:r>
            <w:r>
              <w:rPr>
                <w:rStyle w:val="IndexLink"/>
                <w:rtl w:val="true"/>
              </w:rPr>
              <w:t xml:space="preserve">: </w:t>
            </w:r>
            <w:r>
              <w:rPr>
                <w:rStyle w:val="IndexLink"/>
                <w:rtl w:val="true"/>
              </w:rPr>
              <w:t>في نصاب الإبل،</w:t>
            </w:r>
            <w:r>
              <w:rPr>
                <w:rStyle w:val="IndexLink"/>
                <w:rtl w:val="true"/>
              </w:rPr>
              <w:tab/>
            </w:r>
            <w:r>
              <w:rPr>
                <w:rStyle w:val="IndexLink"/>
              </w:rPr>
              <w:t>177</w:t>
            </w:r>
          </w:hyperlink>
        </w:p>
        <w:p>
          <w:pPr>
            <w:pStyle w:val="Contents6"/>
            <w:tabs>
              <w:tab w:val="clear" w:pos="7609"/>
              <w:tab w:val="right" w:pos="9026" w:leader="dot"/>
            </w:tabs>
            <w:rPr/>
          </w:pPr>
          <w:hyperlink w:anchor="__RefHeading___Toc2586579_1280447820">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2586581_1280447820">
            <w:r>
              <w:rPr>
                <w:webHidden/>
                <w:rStyle w:val="IndexLink"/>
                <w:rtl w:val="true"/>
              </w:rPr>
              <w:t>[</w:t>
            </w:r>
            <w:r>
              <w:rPr>
                <w:rStyle w:val="IndexLink"/>
                <w:rtl w:val="true"/>
              </w:rPr>
              <w:t>احدها</w:t>
            </w:r>
            <w:r>
              <w:rPr>
                <w:rStyle w:val="IndexLink"/>
                <w:rtl w:val="true"/>
              </w:rPr>
              <w:t>] [</w:t>
            </w:r>
            <w:r>
              <w:rPr>
                <w:rStyle w:val="IndexLink"/>
                <w:rtl w:val="true"/>
              </w:rPr>
              <w:t>كيفيّة التقدير بالأربعين و الخمسين</w:t>
            </w:r>
            <w:r>
              <w:rPr>
                <w:rStyle w:val="IndexLink"/>
                <w:rtl w:val="true"/>
              </w:rPr>
              <w:t>]</w:t>
              <w:tab/>
            </w:r>
            <w:r>
              <w:rPr>
                <w:rStyle w:val="IndexLink"/>
              </w:rPr>
              <w:t>183</w:t>
            </w:r>
          </w:hyperlink>
        </w:p>
        <w:p>
          <w:pPr>
            <w:pStyle w:val="Contents6"/>
            <w:tabs>
              <w:tab w:val="clear" w:pos="7609"/>
              <w:tab w:val="right" w:pos="9026" w:leader="dot"/>
            </w:tabs>
            <w:rPr/>
          </w:pPr>
          <w:hyperlink w:anchor="__RefHeading___Toc2586583_1280447820">
            <w:r>
              <w:rPr>
                <w:webHidden/>
                <w:rStyle w:val="IndexLink"/>
                <w:rtl w:val="true"/>
              </w:rPr>
              <w:t>[</w:t>
            </w:r>
            <w:r>
              <w:rPr>
                <w:rStyle w:val="IndexLink"/>
                <w:rtl w:val="true"/>
              </w:rPr>
              <w:t>ثانيها</w:t>
            </w:r>
            <w:r>
              <w:rPr>
                <w:rStyle w:val="IndexLink"/>
                <w:rtl w:val="true"/>
              </w:rPr>
              <w:t xml:space="preserve">: </w:t>
            </w:r>
            <w:r>
              <w:rPr>
                <w:rStyle w:val="IndexLink"/>
                <w:rtl w:val="true"/>
              </w:rPr>
              <w:t>زيادة واحدة على المائة و العشرين يوجب تغيير الفرض</w:t>
            </w:r>
            <w:r>
              <w:rPr>
                <w:rStyle w:val="IndexLink"/>
                <w:rtl w:val="true"/>
              </w:rPr>
              <w:t>]</w:t>
              <w:tab/>
            </w:r>
            <w:r>
              <w:rPr>
                <w:rStyle w:val="IndexLink"/>
              </w:rPr>
              <w:t>185</w:t>
            </w:r>
          </w:hyperlink>
        </w:p>
        <w:p>
          <w:pPr>
            <w:pStyle w:val="Contents6"/>
            <w:tabs>
              <w:tab w:val="clear" w:pos="7609"/>
              <w:tab w:val="right" w:pos="9026" w:leader="dot"/>
            </w:tabs>
            <w:rPr/>
          </w:pPr>
          <w:hyperlink w:anchor="__RefHeading___Toc2586585_1280447820">
            <w:r>
              <w:rPr>
                <w:webHidden/>
                <w:rStyle w:val="IndexLink"/>
                <w:rtl w:val="true"/>
              </w:rPr>
              <w:t>و ثالثها</w:t>
            </w:r>
            <w:r>
              <w:rPr>
                <w:rStyle w:val="IndexLink"/>
                <w:rtl w:val="true"/>
              </w:rPr>
              <w:t xml:space="preserve">: </w:t>
            </w:r>
            <w:r>
              <w:rPr>
                <w:rStyle w:val="IndexLink"/>
                <w:rtl w:val="true"/>
              </w:rPr>
              <w:t>اختلفوا في أنّ الواحدة الزائدة على المائة و العشرين هل هو جزء من النصاب</w:t>
            </w:r>
            <w:r>
              <w:rPr>
                <w:rStyle w:val="IndexLink"/>
                <w:rtl w:val="true"/>
              </w:rPr>
              <w:tab/>
            </w:r>
            <w:r>
              <w:rPr>
                <w:rStyle w:val="IndexLink"/>
              </w:rPr>
              <w:t>186</w:t>
            </w:r>
          </w:hyperlink>
        </w:p>
        <w:p>
          <w:pPr>
            <w:pStyle w:val="Contents6"/>
            <w:tabs>
              <w:tab w:val="clear" w:pos="7609"/>
              <w:tab w:val="right" w:pos="9026" w:leader="dot"/>
            </w:tabs>
            <w:rPr/>
          </w:pPr>
          <w:hyperlink w:anchor="__RefHeading___Toc2586587_1280447820">
            <w:r>
              <w:rPr>
                <w:webHidden/>
                <w:rStyle w:val="IndexLink"/>
                <w:rtl w:val="true"/>
              </w:rPr>
              <w:t>و رابعها</w:t>
            </w:r>
            <w:r>
              <w:rPr>
                <w:rStyle w:val="IndexLink"/>
                <w:rtl w:val="true"/>
              </w:rPr>
              <w:t xml:space="preserve">: </w:t>
            </w:r>
            <w:r>
              <w:rPr>
                <w:rStyle w:val="IndexLink"/>
                <w:rtl w:val="true"/>
              </w:rPr>
              <w:t>أنّ في كون التخيير فيما اجتمع في مال ما يمكن إخراج الفريضين</w:t>
            </w:r>
            <w:r>
              <w:rPr>
                <w:rStyle w:val="IndexLink"/>
                <w:rtl w:val="true"/>
              </w:rPr>
              <w:tab/>
            </w:r>
            <w:r>
              <w:rPr>
                <w:rStyle w:val="IndexLink"/>
              </w:rPr>
              <w:t>187</w:t>
            </w:r>
          </w:hyperlink>
        </w:p>
        <w:p>
          <w:pPr>
            <w:pStyle w:val="Contents6"/>
            <w:tabs>
              <w:tab w:val="clear" w:pos="7609"/>
              <w:tab w:val="right" w:pos="9026" w:leader="dot"/>
            </w:tabs>
            <w:rPr/>
          </w:pPr>
          <w:hyperlink w:anchor="__RefHeading___Toc2586589_1280447820">
            <w:r>
              <w:rPr>
                <w:webHidden/>
                <w:rStyle w:val="IndexLink"/>
                <w:rtl w:val="true"/>
              </w:rPr>
              <w:t>و خامسها</w:t>
            </w:r>
            <w:r>
              <w:rPr>
                <w:rStyle w:val="IndexLink"/>
                <w:rtl w:val="true"/>
              </w:rPr>
              <w:t xml:space="preserve">: </w:t>
            </w:r>
            <w:r>
              <w:rPr>
                <w:rStyle w:val="IndexLink"/>
                <w:rtl w:val="true"/>
              </w:rPr>
              <w:t xml:space="preserve">من فقد </w:t>
            </w:r>
            <w:r>
              <w:rPr>
                <w:rStyle w:val="IndexLink"/>
                <w:rtl w:val="true"/>
              </w:rPr>
              <w:t>«</w:t>
            </w:r>
            <w:r>
              <w:rPr>
                <w:rStyle w:val="IndexLink"/>
                <w:rtl w:val="true"/>
              </w:rPr>
              <w:t>ابنة المخاض</w:t>
            </w:r>
            <w:r>
              <w:rPr>
                <w:rStyle w:val="IndexLink"/>
                <w:rtl w:val="true"/>
              </w:rPr>
              <w:t xml:space="preserve">» </w:t>
            </w:r>
            <w:r>
              <w:rPr>
                <w:rStyle w:val="IndexLink"/>
                <w:rtl w:val="true"/>
              </w:rPr>
              <w:t xml:space="preserve">فيما فريضته هذه و عنده </w:t>
            </w:r>
            <w:r>
              <w:rPr>
                <w:rStyle w:val="IndexLink"/>
                <w:rtl w:val="true"/>
              </w:rPr>
              <w:t>«</w:t>
            </w:r>
            <w:r>
              <w:rPr>
                <w:rStyle w:val="IndexLink"/>
                <w:rtl w:val="true"/>
              </w:rPr>
              <w:t>ابن لبون ذكر</w:t>
            </w:r>
            <w:r>
              <w:rPr>
                <w:rStyle w:val="IndexLink"/>
                <w:rtl w:val="true"/>
              </w:rPr>
              <w:t xml:space="preserve">» </w:t>
            </w:r>
            <w:r>
              <w:rPr>
                <w:rStyle w:val="IndexLink"/>
                <w:rtl w:val="true"/>
              </w:rPr>
              <w:t>يجزئه ذلك</w:t>
            </w:r>
            <w:r>
              <w:rPr>
                <w:rStyle w:val="IndexLink"/>
                <w:rtl w:val="true"/>
              </w:rPr>
              <w:tab/>
            </w:r>
            <w:r>
              <w:rPr>
                <w:rStyle w:val="IndexLink"/>
              </w:rPr>
              <w:t>189</w:t>
            </w:r>
          </w:hyperlink>
        </w:p>
        <w:p>
          <w:pPr>
            <w:pStyle w:val="Contents6"/>
            <w:tabs>
              <w:tab w:val="clear" w:pos="7609"/>
              <w:tab w:val="right" w:pos="9026" w:leader="dot"/>
            </w:tabs>
            <w:rPr/>
          </w:pPr>
          <w:hyperlink w:anchor="__RefHeading___Toc2586591_1280447820">
            <w:r>
              <w:rPr>
                <w:webHidden/>
                <w:rStyle w:val="IndexLink"/>
                <w:rtl w:val="true"/>
              </w:rPr>
              <w:t>المرحلة الثانية في نصاب البقر</w:t>
            </w:r>
            <w:r>
              <w:rPr>
                <w:rStyle w:val="IndexLink"/>
                <w:rtl w:val="true"/>
              </w:rPr>
              <w:t>:</w:t>
              <w:tab/>
            </w:r>
            <w:r>
              <w:rPr>
                <w:rStyle w:val="IndexLink"/>
              </w:rPr>
              <w:t>191</w:t>
            </w:r>
          </w:hyperlink>
        </w:p>
        <w:p>
          <w:pPr>
            <w:pStyle w:val="Contents6"/>
            <w:tabs>
              <w:tab w:val="clear" w:pos="7609"/>
              <w:tab w:val="right" w:pos="9026" w:leader="dot"/>
            </w:tabs>
            <w:rPr/>
          </w:pPr>
          <w:hyperlink w:anchor="__RefHeading___Toc2586593_1280447820">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2586595_1280447820">
            <w:r>
              <w:rPr>
                <w:webHidden/>
                <w:rStyle w:val="IndexLink"/>
                <w:rtl w:val="true"/>
              </w:rPr>
              <w:t>[</w:t>
            </w:r>
            <w:r>
              <w:rPr>
                <w:rStyle w:val="IndexLink"/>
                <w:rtl w:val="true"/>
              </w:rPr>
              <w:t>أداء الفريضة في البقر على وجه التخيير أو التعيين‌؟</w:t>
            </w:r>
            <w:r>
              <w:rPr>
                <w:rStyle w:val="IndexLink"/>
                <w:rtl w:val="true"/>
              </w:rPr>
              <w:t>]</w:t>
              <w:tab/>
            </w:r>
            <w:r>
              <w:rPr>
                <w:rStyle w:val="IndexLink"/>
              </w:rPr>
              <w:t>192</w:t>
            </w:r>
          </w:hyperlink>
        </w:p>
        <w:p>
          <w:pPr>
            <w:pStyle w:val="Contents6"/>
            <w:tabs>
              <w:tab w:val="clear" w:pos="7609"/>
              <w:tab w:val="right" w:pos="9026" w:leader="dot"/>
            </w:tabs>
            <w:rPr/>
          </w:pPr>
          <w:hyperlink w:anchor="__RefHeading___Toc2586597_1280447820">
            <w:r>
              <w:rPr>
                <w:webHidden/>
                <w:rStyle w:val="IndexLink"/>
                <w:rtl w:val="true"/>
              </w:rPr>
              <w:t>المرحلة الثالثة في نصاب الغنم</w:t>
            </w:r>
            <w:r>
              <w:rPr>
                <w:rStyle w:val="IndexLink"/>
                <w:rtl w:val="true"/>
              </w:rPr>
              <w:t>:</w:t>
              <w:tab/>
            </w:r>
            <w:r>
              <w:rPr>
                <w:rStyle w:val="IndexLink"/>
              </w:rPr>
              <w:t>195</w:t>
            </w:r>
          </w:hyperlink>
        </w:p>
        <w:p>
          <w:pPr>
            <w:pStyle w:val="Contents6"/>
            <w:tabs>
              <w:tab w:val="clear" w:pos="7609"/>
              <w:tab w:val="right" w:pos="9026" w:leader="dot"/>
            </w:tabs>
            <w:rPr/>
          </w:pPr>
          <w:hyperlink w:anchor="__RefHeading___Toc2586599_1280447820">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2586601_1280447820">
            <w:r>
              <w:rPr>
                <w:webHidden/>
                <w:rStyle w:val="IndexLink"/>
                <w:rtl w:val="true"/>
              </w:rPr>
              <w:t>[</w:t>
            </w:r>
            <w:r>
              <w:rPr>
                <w:rStyle w:val="IndexLink"/>
                <w:rtl w:val="true"/>
              </w:rPr>
              <w:t>الخلاف في عدد نصب الغنم</w:t>
            </w:r>
            <w:r>
              <w:rPr>
                <w:rStyle w:val="IndexLink"/>
                <w:rtl w:val="true"/>
              </w:rPr>
              <w:t>]</w:t>
              <w:tab/>
            </w:r>
            <w:r>
              <w:rPr>
                <w:rStyle w:val="IndexLink"/>
              </w:rPr>
              <w:t>197</w:t>
            </w:r>
          </w:hyperlink>
        </w:p>
        <w:p>
          <w:pPr>
            <w:pStyle w:val="Contents6"/>
            <w:tabs>
              <w:tab w:val="clear" w:pos="7609"/>
              <w:tab w:val="right" w:pos="9026" w:leader="dot"/>
            </w:tabs>
            <w:rPr/>
          </w:pPr>
          <w:hyperlink w:anchor="__RefHeading___Toc2586603_1280447820">
            <w:r>
              <w:rPr>
                <w:webHidden/>
                <w:rStyle w:val="IndexLink"/>
                <w:rtl w:val="true"/>
              </w:rPr>
              <w:t>و ينبغي ختم المقام برسم امور</w:t>
            </w:r>
            <w:r>
              <w:rPr>
                <w:rStyle w:val="IndexLink"/>
                <w:rtl w:val="true"/>
              </w:rPr>
              <w:t>:</w:t>
              <w:tab/>
            </w:r>
            <w:r>
              <w:rPr>
                <w:rStyle w:val="IndexLink"/>
              </w:rPr>
              <w:t>204</w:t>
            </w:r>
          </w:hyperlink>
        </w:p>
        <w:p>
          <w:pPr>
            <w:pStyle w:val="Contents6"/>
            <w:tabs>
              <w:tab w:val="clear" w:pos="7609"/>
              <w:tab w:val="right" w:pos="9026" w:leader="dot"/>
            </w:tabs>
            <w:rPr/>
          </w:pPr>
          <w:hyperlink w:anchor="__RefHeading___Toc2586605_1280447820">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2586607_1280447820">
            <w:r>
              <w:rPr>
                <w:webHidden/>
                <w:rStyle w:val="IndexLink"/>
                <w:rtl w:val="true"/>
              </w:rPr>
              <w:t>[</w:t>
            </w:r>
            <w:r>
              <w:rPr>
                <w:rStyle w:val="IndexLink"/>
                <w:rtl w:val="true"/>
              </w:rPr>
              <w:t>لا يجب الزكاة في ما زاد على النصاب</w:t>
            </w:r>
            <w:r>
              <w:rPr>
                <w:rStyle w:val="IndexLink"/>
                <w:rtl w:val="true"/>
              </w:rPr>
              <w:t>]</w:t>
              <w:tab/>
            </w:r>
            <w:r>
              <w:rPr>
                <w:rStyle w:val="IndexLink"/>
              </w:rPr>
              <w:t>205</w:t>
            </w:r>
          </w:hyperlink>
        </w:p>
        <w:p>
          <w:pPr>
            <w:pStyle w:val="Contents6"/>
            <w:tabs>
              <w:tab w:val="clear" w:pos="7609"/>
              <w:tab w:val="right" w:pos="9026" w:leader="dot"/>
            </w:tabs>
            <w:rPr/>
          </w:pPr>
          <w:hyperlink w:anchor="__RefHeading___Toc2586609_1280447820">
            <w:r>
              <w:rPr>
                <w:webHidden/>
                <w:rStyle w:val="IndexLink"/>
                <w:rtl w:val="true"/>
              </w:rPr>
              <w:t>[</w:t>
            </w:r>
            <w:r>
              <w:rPr>
                <w:rStyle w:val="IndexLink"/>
                <w:rtl w:val="true"/>
              </w:rPr>
              <w:t>بيان الاصطلاحات في الزائد على النصاب</w:t>
            </w:r>
            <w:r>
              <w:rPr>
                <w:rStyle w:val="IndexLink"/>
                <w:rtl w:val="true"/>
              </w:rPr>
              <w:t>]</w:t>
              <w:tab/>
            </w:r>
            <w:r>
              <w:rPr>
                <w:rStyle w:val="IndexLink"/>
              </w:rPr>
              <w:t>206</w:t>
            </w:r>
          </w:hyperlink>
        </w:p>
        <w:p>
          <w:pPr>
            <w:pStyle w:val="Contents6"/>
            <w:tabs>
              <w:tab w:val="clear" w:pos="7609"/>
              <w:tab w:val="right" w:pos="9026" w:leader="dot"/>
            </w:tabs>
            <w:rPr/>
          </w:pPr>
          <w:hyperlink w:anchor="__RefHeading___Toc2586611_1280447820">
            <w:r>
              <w:rPr>
                <w:webHidden/>
                <w:rStyle w:val="IndexLink"/>
                <w:rtl w:val="true"/>
              </w:rPr>
              <w:t>[</w:t>
            </w:r>
            <w:r>
              <w:rPr>
                <w:rStyle w:val="IndexLink"/>
                <w:rtl w:val="true"/>
              </w:rPr>
              <w:t>لا يجتمع المتفرّق فى الملك</w:t>
            </w:r>
            <w:r>
              <w:rPr>
                <w:rStyle w:val="IndexLink"/>
                <w:rtl w:val="true"/>
              </w:rPr>
              <w:t>]</w:t>
              <w:tab/>
            </w:r>
            <w:r>
              <w:rPr>
                <w:rStyle w:val="IndexLink"/>
              </w:rPr>
              <w:t>207</w:t>
            </w:r>
          </w:hyperlink>
        </w:p>
        <w:p>
          <w:pPr>
            <w:pStyle w:val="Contents6"/>
            <w:tabs>
              <w:tab w:val="clear" w:pos="7609"/>
              <w:tab w:val="right" w:pos="9026" w:leader="dot"/>
            </w:tabs>
            <w:rPr/>
          </w:pPr>
          <w:hyperlink w:anchor="__RefHeading___Toc2586613_1280447820">
            <w:r>
              <w:rPr>
                <w:webHidden/>
                <w:rStyle w:val="IndexLink"/>
                <w:rtl w:val="true"/>
              </w:rPr>
              <w:t>[</w:t>
            </w:r>
            <w:r>
              <w:rPr>
                <w:rStyle w:val="IndexLink"/>
                <w:rtl w:val="true"/>
              </w:rPr>
              <w:t>بيان أسنان الإبل</w:t>
            </w:r>
            <w:r>
              <w:rPr>
                <w:rStyle w:val="IndexLink"/>
                <w:rtl w:val="true"/>
              </w:rPr>
              <w:t>]</w:t>
              <w:tab/>
            </w:r>
            <w:r>
              <w:rPr>
                <w:rStyle w:val="IndexLink"/>
              </w:rPr>
              <w:t>208</w:t>
            </w:r>
          </w:hyperlink>
        </w:p>
        <w:p>
          <w:pPr>
            <w:pStyle w:val="Contents6"/>
            <w:tabs>
              <w:tab w:val="clear" w:pos="7609"/>
              <w:tab w:val="right" w:pos="9026" w:leader="dot"/>
            </w:tabs>
            <w:rPr/>
          </w:pPr>
          <w:hyperlink w:anchor="__RefHeading___Toc2586615_1280447820">
            <w:r>
              <w:rPr>
                <w:webHidden/>
                <w:rStyle w:val="IndexLink"/>
                <w:rtl w:val="true"/>
              </w:rPr>
              <w:t>[</w:t>
            </w:r>
            <w:r>
              <w:rPr>
                <w:rStyle w:val="IndexLink"/>
                <w:rtl w:val="true"/>
              </w:rPr>
              <w:t>لا يشترط في الحقّة طروقة الفحل</w:t>
            </w:r>
            <w:r>
              <w:rPr>
                <w:rStyle w:val="IndexLink"/>
                <w:rtl w:val="true"/>
              </w:rPr>
              <w:t>]</w:t>
              <w:tab/>
            </w:r>
            <w:r>
              <w:rPr>
                <w:rStyle w:val="IndexLink"/>
              </w:rPr>
              <w:t>210</w:t>
            </w:r>
          </w:hyperlink>
        </w:p>
        <w:p>
          <w:pPr>
            <w:pStyle w:val="Contents6"/>
            <w:tabs>
              <w:tab w:val="clear" w:pos="7609"/>
              <w:tab w:val="right" w:pos="9026" w:leader="dot"/>
            </w:tabs>
            <w:rPr/>
          </w:pPr>
          <w:hyperlink w:anchor="__RefHeading___Toc2586617_1280447820">
            <w:r>
              <w:rPr>
                <w:webHidden/>
                <w:rStyle w:val="IndexLink"/>
                <w:rtl w:val="true"/>
              </w:rPr>
              <w:t>الشرط الثاني السوم</w:t>
            </w:r>
            <w:r>
              <w:rPr>
                <w:rStyle w:val="IndexLink"/>
                <w:rtl w:val="true"/>
              </w:rPr>
              <w:t>:</w:t>
              <w:tab/>
            </w:r>
            <w:r>
              <w:rPr>
                <w:rStyle w:val="IndexLink"/>
              </w:rPr>
              <w:t>211</w:t>
            </w:r>
          </w:hyperlink>
        </w:p>
        <w:p>
          <w:pPr>
            <w:pStyle w:val="Contents6"/>
            <w:tabs>
              <w:tab w:val="clear" w:pos="7609"/>
              <w:tab w:val="right" w:pos="9026" w:leader="dot"/>
            </w:tabs>
            <w:rPr/>
          </w:pPr>
          <w:hyperlink w:anchor="__RefHeading___Toc2586619_1280447820">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2586621_1280447820">
            <w:r>
              <w:rPr>
                <w:webHidden/>
                <w:rStyle w:val="IndexLink"/>
                <w:rtl w:val="true"/>
              </w:rPr>
              <w:t>[</w:t>
            </w:r>
            <w:r>
              <w:rPr>
                <w:rStyle w:val="IndexLink"/>
                <w:rtl w:val="true"/>
              </w:rPr>
              <w:t>الأقوال في وقت اعتبار الحول في أولاد السائمة</w:t>
            </w:r>
            <w:r>
              <w:rPr>
                <w:rStyle w:val="IndexLink"/>
                <w:rtl w:val="true"/>
              </w:rPr>
              <w:t>]</w:t>
              <w:tab/>
            </w:r>
            <w:r>
              <w:rPr>
                <w:rStyle w:val="IndexLink"/>
              </w:rPr>
              <w:t>212</w:t>
            </w:r>
          </w:hyperlink>
        </w:p>
        <w:p>
          <w:pPr>
            <w:pStyle w:val="Contents6"/>
            <w:tabs>
              <w:tab w:val="clear" w:pos="7609"/>
              <w:tab w:val="right" w:pos="9026" w:leader="dot"/>
            </w:tabs>
            <w:rPr/>
          </w:pPr>
          <w:hyperlink w:anchor="__RefHeading___Toc2586623_1280447820">
            <w:r>
              <w:rPr>
                <w:webHidden/>
                <w:rStyle w:val="IndexLink"/>
                <w:rtl w:val="true"/>
              </w:rPr>
              <w:t>الشرط الثالث الحول</w:t>
            </w:r>
            <w:r>
              <w:rPr>
                <w:rStyle w:val="IndexLink"/>
                <w:rtl w:val="true"/>
              </w:rPr>
              <w:t xml:space="preserve">: </w:t>
            </w:r>
            <w:r>
              <w:rPr>
                <w:rStyle w:val="IndexLink"/>
                <w:rtl w:val="true"/>
              </w:rPr>
              <w:t>فلا يجب في الأنعام زكاة قبل حلوله</w:t>
            </w:r>
            <w:r>
              <w:rPr>
                <w:rStyle w:val="IndexLink"/>
                <w:rtl w:val="true"/>
              </w:rPr>
              <w:tab/>
            </w:r>
            <w:r>
              <w:rPr>
                <w:rStyle w:val="IndexLink"/>
              </w:rPr>
              <w:t>221</w:t>
            </w:r>
          </w:hyperlink>
        </w:p>
        <w:p>
          <w:pPr>
            <w:pStyle w:val="Contents6"/>
            <w:tabs>
              <w:tab w:val="clear" w:pos="7609"/>
              <w:tab w:val="right" w:pos="9026" w:leader="dot"/>
            </w:tabs>
            <w:rPr/>
          </w:pPr>
          <w:hyperlink w:anchor="__RefHeading___Toc2586625_1280447820">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2586627_1280447820">
            <w:r>
              <w:rPr>
                <w:webHidden/>
                <w:rStyle w:val="IndexLink"/>
                <w:rtl w:val="true"/>
              </w:rPr>
              <w:t>في استقرار الوجوب بدخول الشهر الثاني عشر و عدمه</w:t>
            </w:r>
            <w:r>
              <w:rPr>
                <w:rStyle w:val="IndexLink"/>
                <w:rtl w:val="true"/>
              </w:rPr>
              <w:tab/>
            </w:r>
            <w:r>
              <w:rPr>
                <w:rStyle w:val="IndexLink"/>
              </w:rPr>
              <w:t>222</w:t>
            </w:r>
          </w:hyperlink>
        </w:p>
        <w:p>
          <w:pPr>
            <w:pStyle w:val="Contents6"/>
            <w:tabs>
              <w:tab w:val="clear" w:pos="7609"/>
              <w:tab w:val="right" w:pos="9026" w:leader="dot"/>
            </w:tabs>
            <w:rPr/>
          </w:pPr>
          <w:hyperlink w:anchor="__RefHeading___Toc2586629_1280447820">
            <w:r>
              <w:rPr>
                <w:webHidden/>
                <w:rStyle w:val="IndexLink"/>
                <w:rtl w:val="true"/>
              </w:rPr>
              <w:t>الشرط الرابع</w:t>
            </w:r>
            <w:r>
              <w:rPr>
                <w:rStyle w:val="IndexLink"/>
                <w:rtl w:val="true"/>
              </w:rPr>
              <w:t xml:space="preserve">: </w:t>
            </w:r>
            <w:r>
              <w:rPr>
                <w:rStyle w:val="IndexLink"/>
                <w:rtl w:val="true"/>
              </w:rPr>
              <w:t>في زكاة خصوص الإبل و البقر أن لا تكون عوامل،</w:t>
            </w:r>
            <w:r>
              <w:rPr>
                <w:rStyle w:val="IndexLink"/>
                <w:rtl w:val="true"/>
              </w:rPr>
              <w:tab/>
            </w:r>
            <w:r>
              <w:rPr>
                <w:rStyle w:val="IndexLink"/>
              </w:rPr>
              <w:t>226</w:t>
            </w:r>
          </w:hyperlink>
        </w:p>
        <w:p>
          <w:pPr>
            <w:pStyle w:val="Contents6"/>
            <w:tabs>
              <w:tab w:val="clear" w:pos="7609"/>
              <w:tab w:val="right" w:pos="9026" w:leader="dot"/>
            </w:tabs>
            <w:rPr/>
          </w:pPr>
          <w:hyperlink w:anchor="__RefHeading___Toc2586631_1280447820">
            <w:r>
              <w:rPr>
                <w:webHidden/>
                <w:rStyle w:val="IndexLink"/>
                <w:rtl w:val="true"/>
              </w:rPr>
              <w:t>[</w:t>
            </w:r>
            <w:r>
              <w:rPr>
                <w:rStyle w:val="IndexLink"/>
                <w:rtl w:val="true"/>
              </w:rPr>
              <w:t>مسائل</w:t>
            </w:r>
            <w:r>
              <w:rPr>
                <w:rStyle w:val="IndexLink"/>
                <w:rtl w:val="true"/>
              </w:rPr>
              <w:t>]</w:t>
              <w:tab/>
            </w:r>
            <w:r>
              <w:rPr>
                <w:rStyle w:val="IndexLink"/>
              </w:rPr>
              <w:t>228</w:t>
            </w:r>
          </w:hyperlink>
        </w:p>
        <w:p>
          <w:pPr>
            <w:pStyle w:val="Contents6"/>
            <w:tabs>
              <w:tab w:val="clear" w:pos="7609"/>
              <w:tab w:val="right" w:pos="9026" w:leader="dot"/>
            </w:tabs>
            <w:rPr/>
          </w:pPr>
          <w:hyperlink w:anchor="__RefHeading___Toc2586633_1280447820">
            <w:r>
              <w:rPr>
                <w:webHidden/>
                <w:rStyle w:val="IndexLink"/>
                <w:rtl w:val="true"/>
              </w:rPr>
              <w:t>المرحلة الاولى</w:t>
            </w:r>
            <w:r>
              <w:rPr>
                <w:rStyle w:val="IndexLink"/>
                <w:rtl w:val="true"/>
              </w:rPr>
              <w:t xml:space="preserve">: </w:t>
            </w:r>
            <w:r>
              <w:rPr>
                <w:rStyle w:val="IndexLink"/>
                <w:rtl w:val="true"/>
              </w:rPr>
              <w:t>إذا اختلّ بعض الشرائط في أثناء الحول</w:t>
            </w:r>
            <w:r>
              <w:rPr>
                <w:rStyle w:val="IndexLink"/>
                <w:rtl w:val="true"/>
              </w:rPr>
              <w:tab/>
            </w:r>
            <w:r>
              <w:rPr>
                <w:rStyle w:val="IndexLink"/>
              </w:rPr>
              <w:t>228</w:t>
            </w:r>
          </w:hyperlink>
        </w:p>
        <w:p>
          <w:pPr>
            <w:pStyle w:val="Contents6"/>
            <w:tabs>
              <w:tab w:val="clear" w:pos="7609"/>
              <w:tab w:val="right" w:pos="9026" w:leader="dot"/>
            </w:tabs>
            <w:rPr/>
          </w:pPr>
          <w:hyperlink w:anchor="__RefHeading___Toc2586635_1280447820">
            <w:r>
              <w:rPr>
                <w:webHidden/>
                <w:rStyle w:val="IndexLink"/>
                <w:rtl w:val="true"/>
              </w:rPr>
              <w:t>المرحلة الثانية</w:t>
            </w:r>
            <w:r>
              <w:rPr>
                <w:rStyle w:val="IndexLink"/>
                <w:rtl w:val="true"/>
              </w:rPr>
              <w:t xml:space="preserve">: </w:t>
            </w:r>
            <w:r>
              <w:rPr>
                <w:rStyle w:val="IndexLink"/>
                <w:rtl w:val="true"/>
              </w:rPr>
              <w:t>في أحكام السخال المتجدّدة و غيرها ممّا تجدّد ملكه في أثناء حول الامّهات</w:t>
            </w:r>
            <w:r>
              <w:rPr>
                <w:rStyle w:val="IndexLink"/>
                <w:rtl w:val="true"/>
              </w:rPr>
              <w:tab/>
            </w:r>
            <w:r>
              <w:rPr>
                <w:rStyle w:val="IndexLink"/>
              </w:rPr>
              <w:t>233</w:t>
            </w:r>
          </w:hyperlink>
        </w:p>
        <w:p>
          <w:pPr>
            <w:pStyle w:val="Contents6"/>
            <w:tabs>
              <w:tab w:val="clear" w:pos="7609"/>
              <w:tab w:val="right" w:pos="9026" w:leader="dot"/>
            </w:tabs>
            <w:rPr/>
          </w:pPr>
          <w:hyperlink w:anchor="__RefHeading___Toc2586637_1280447820">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2586639_1280447820">
            <w:r>
              <w:rPr>
                <w:webHidden/>
                <w:rStyle w:val="IndexLink"/>
                <w:rtl w:val="true"/>
              </w:rPr>
              <w:t>تذنيب</w:t>
            </w:r>
            <w:r>
              <w:rPr>
                <w:rStyle w:val="IndexLink"/>
                <w:rtl w:val="true"/>
              </w:rPr>
              <w:t xml:space="preserve">: </w:t>
            </w:r>
            <w:r>
              <w:rPr>
                <w:rStyle w:val="IndexLink"/>
                <w:rtl w:val="true"/>
              </w:rPr>
              <w:t>لو ارتدّ المالك للنصاب</w:t>
            </w:r>
            <w:r>
              <w:rPr>
                <w:rStyle w:val="IndexLink"/>
                <w:rtl w:val="true"/>
              </w:rPr>
              <w:tab/>
            </w:r>
            <w:r>
              <w:rPr>
                <w:rStyle w:val="IndexLink"/>
              </w:rPr>
              <w:t>240</w:t>
            </w:r>
          </w:hyperlink>
        </w:p>
        <w:p>
          <w:pPr>
            <w:pStyle w:val="Contents6"/>
            <w:tabs>
              <w:tab w:val="clear" w:pos="7609"/>
              <w:tab w:val="right" w:pos="9026" w:leader="dot"/>
            </w:tabs>
            <w:rPr/>
          </w:pPr>
          <w:hyperlink w:anchor="__RefHeading___Toc2586641_1280447820">
            <w:r>
              <w:rPr>
                <w:webHidden/>
                <w:rStyle w:val="IndexLink"/>
                <w:rtl w:val="true"/>
              </w:rPr>
              <w:t>المرحلة الثالثة</w:t>
            </w:r>
            <w:r>
              <w:rPr>
                <w:rStyle w:val="IndexLink"/>
                <w:rtl w:val="true"/>
              </w:rPr>
              <w:t xml:space="preserve">: </w:t>
            </w:r>
            <w:r>
              <w:rPr>
                <w:rStyle w:val="IndexLink"/>
                <w:rtl w:val="true"/>
              </w:rPr>
              <w:t>في الإبدال و الفروع المتعلّقة بها</w:t>
            </w:r>
            <w:r>
              <w:rPr>
                <w:rStyle w:val="IndexLink"/>
                <w:rtl w:val="true"/>
              </w:rPr>
              <w:tab/>
            </w:r>
            <w:r>
              <w:rPr>
                <w:rStyle w:val="IndexLink"/>
              </w:rPr>
              <w:t>241</w:t>
            </w:r>
          </w:hyperlink>
        </w:p>
        <w:p>
          <w:pPr>
            <w:pStyle w:val="Contents6"/>
            <w:tabs>
              <w:tab w:val="clear" w:pos="7609"/>
              <w:tab w:val="right" w:pos="9026" w:leader="dot"/>
            </w:tabs>
            <w:rPr/>
          </w:pPr>
          <w:hyperlink w:anchor="__RefHeading___Toc2586643_1280447820">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2586645_1280447820">
            <w:r>
              <w:rPr>
                <w:webHidden/>
                <w:rStyle w:val="IndexLink"/>
                <w:rtl w:val="true"/>
              </w:rPr>
              <w:t>[</w:t>
            </w:r>
            <w:r>
              <w:rPr>
                <w:rStyle w:val="IndexLink"/>
                <w:rtl w:val="true"/>
              </w:rPr>
              <w:t>فى الإبدال</w:t>
            </w:r>
            <w:r>
              <w:rPr>
                <w:rStyle w:val="IndexLink"/>
                <w:rtl w:val="true"/>
              </w:rPr>
              <w:t>]</w:t>
              <w:tab/>
            </w:r>
            <w:r>
              <w:rPr>
                <w:rStyle w:val="IndexLink"/>
              </w:rPr>
              <w:t>244</w:t>
            </w:r>
          </w:hyperlink>
        </w:p>
        <w:p>
          <w:pPr>
            <w:pStyle w:val="Contents6"/>
            <w:tabs>
              <w:tab w:val="clear" w:pos="7609"/>
              <w:tab w:val="right" w:pos="9026" w:leader="dot"/>
            </w:tabs>
            <w:rPr/>
          </w:pPr>
          <w:hyperlink w:anchor="__RefHeading___Toc2586647_1280447820">
            <w:r>
              <w:rPr>
                <w:webHidden/>
                <w:rStyle w:val="IndexLink"/>
                <w:rtl w:val="true"/>
              </w:rPr>
              <w:t>[</w:t>
            </w:r>
            <w:r>
              <w:rPr>
                <w:rStyle w:val="IndexLink"/>
                <w:rtl w:val="true"/>
              </w:rPr>
              <w:t>دفع الأعلى أو الأدنى مع الجبر</w:t>
            </w:r>
            <w:r>
              <w:rPr>
                <w:rStyle w:val="IndexLink"/>
                <w:rtl w:val="true"/>
              </w:rPr>
              <w:t>]</w:t>
              <w:tab/>
            </w:r>
            <w:r>
              <w:rPr>
                <w:rStyle w:val="IndexLink"/>
              </w:rPr>
              <w:t>253</w:t>
            </w:r>
          </w:hyperlink>
        </w:p>
        <w:p>
          <w:pPr>
            <w:pStyle w:val="Contents6"/>
            <w:tabs>
              <w:tab w:val="clear" w:pos="7609"/>
              <w:tab w:val="right" w:pos="9026" w:leader="dot"/>
            </w:tabs>
            <w:rPr/>
          </w:pPr>
          <w:hyperlink w:anchor="__RefHeading___Toc2586649_1280447820">
            <w:r>
              <w:rPr>
                <w:webHidden/>
                <w:rStyle w:val="IndexLink"/>
                <w:rtl w:val="true"/>
              </w:rPr>
              <w:t>المرحلة الرابعة</w:t>
            </w:r>
            <w:r>
              <w:rPr>
                <w:rStyle w:val="IndexLink"/>
                <w:rtl w:val="true"/>
              </w:rPr>
              <w:t xml:space="preserve">: </w:t>
            </w:r>
            <w:r>
              <w:rPr>
                <w:rStyle w:val="IndexLink"/>
                <w:rtl w:val="true"/>
              </w:rPr>
              <w:t>في دفع القيمة عن أعيان الفرائض في الزكاة و سائر الفروع و الأحكام المناسبة لهذا الباب</w:t>
            </w:r>
            <w:r>
              <w:rPr>
                <w:rStyle w:val="IndexLink"/>
                <w:rtl w:val="true"/>
              </w:rPr>
              <w:tab/>
            </w:r>
            <w:r>
              <w:rPr>
                <w:rStyle w:val="IndexLink"/>
              </w:rPr>
              <w:t>255</w:t>
            </w:r>
          </w:hyperlink>
        </w:p>
        <w:p>
          <w:pPr>
            <w:pStyle w:val="Contents6"/>
            <w:tabs>
              <w:tab w:val="clear" w:pos="7609"/>
              <w:tab w:val="right" w:pos="9026" w:leader="dot"/>
            </w:tabs>
            <w:rPr/>
          </w:pPr>
          <w:hyperlink w:anchor="__RefHeading___Toc2586651_1280447820">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2586653_1280447820">
            <w:r>
              <w:rPr>
                <w:webHidden/>
                <w:rStyle w:val="IndexLink"/>
                <w:rtl w:val="true"/>
              </w:rPr>
              <w:t>فروع</w:t>
            </w:r>
            <w:r>
              <w:rPr>
                <w:rStyle w:val="IndexLink"/>
                <w:rtl w:val="true"/>
              </w:rPr>
              <w:t>:</w:t>
              <w:tab/>
            </w:r>
            <w:r>
              <w:rPr>
                <w:rStyle w:val="IndexLink"/>
              </w:rPr>
              <w:t>259</w:t>
            </w:r>
          </w:hyperlink>
        </w:p>
        <w:p>
          <w:pPr>
            <w:pStyle w:val="Contents6"/>
            <w:tabs>
              <w:tab w:val="clear" w:pos="7609"/>
              <w:tab w:val="right" w:pos="9026" w:leader="dot"/>
            </w:tabs>
            <w:rPr/>
          </w:pPr>
          <w:hyperlink w:anchor="__RefHeading___Toc2586655_1280447820">
            <w:r>
              <w:rPr>
                <w:webHidden/>
                <w:rStyle w:val="IndexLink"/>
                <w:rtl w:val="true"/>
              </w:rPr>
              <w:t>[</w:t>
            </w:r>
            <w:r>
              <w:rPr>
                <w:rStyle w:val="IndexLink"/>
                <w:rtl w:val="true"/>
              </w:rPr>
              <w:t>الاول دفع القيمة لا أصل و لا بدل</w:t>
            </w:r>
            <w:r>
              <w:rPr>
                <w:rStyle w:val="IndexLink"/>
                <w:rtl w:val="true"/>
              </w:rPr>
              <w:t>]</w:t>
              <w:tab/>
            </w:r>
            <w:r>
              <w:rPr>
                <w:rStyle w:val="IndexLink"/>
              </w:rPr>
              <w:t>259</w:t>
            </w:r>
          </w:hyperlink>
        </w:p>
        <w:p>
          <w:pPr>
            <w:pStyle w:val="Contents6"/>
            <w:tabs>
              <w:tab w:val="clear" w:pos="7609"/>
              <w:tab w:val="right" w:pos="9026" w:leader="dot"/>
            </w:tabs>
            <w:rPr/>
          </w:pPr>
          <w:hyperlink w:anchor="__RefHeading___Toc2586657_1280447820">
            <w:r>
              <w:rPr>
                <w:webHidden/>
                <w:rStyle w:val="IndexLink"/>
                <w:rtl w:val="true"/>
              </w:rPr>
              <w:t>[</w:t>
            </w:r>
            <w:r>
              <w:rPr>
                <w:rStyle w:val="IndexLink"/>
                <w:rtl w:val="true"/>
              </w:rPr>
              <w:t>الثانى اخراج العين افضل فى الانعام</w:t>
            </w:r>
            <w:r>
              <w:rPr>
                <w:rStyle w:val="IndexLink"/>
                <w:rtl w:val="true"/>
              </w:rPr>
              <w:t>]</w:t>
              <w:tab/>
            </w:r>
            <w:r>
              <w:rPr>
                <w:rStyle w:val="IndexLink"/>
              </w:rPr>
              <w:t>259</w:t>
            </w:r>
          </w:hyperlink>
        </w:p>
        <w:p>
          <w:pPr>
            <w:pStyle w:val="Contents6"/>
            <w:tabs>
              <w:tab w:val="clear" w:pos="7609"/>
              <w:tab w:val="right" w:pos="9026" w:leader="dot"/>
            </w:tabs>
            <w:rPr/>
          </w:pPr>
          <w:hyperlink w:anchor="__RefHeading___Toc2586659_1280447820">
            <w:r>
              <w:rPr>
                <w:webHidden/>
                <w:rStyle w:val="IndexLink"/>
                <w:rtl w:val="true"/>
              </w:rPr>
              <w:t>[</w:t>
            </w:r>
            <w:r>
              <w:rPr>
                <w:rStyle w:val="IndexLink"/>
                <w:rtl w:val="true"/>
              </w:rPr>
              <w:t>الثالث</w:t>
            </w:r>
            <w:r>
              <w:rPr>
                <w:rStyle w:val="IndexLink"/>
                <w:rtl w:val="true"/>
              </w:rPr>
              <w:t>] [</w:t>
            </w:r>
            <w:r>
              <w:rPr>
                <w:rStyle w:val="IndexLink"/>
                <w:rtl w:val="true"/>
              </w:rPr>
              <w:t>إخراج المنفعة في الزكاة</w:t>
            </w:r>
            <w:r>
              <w:rPr>
                <w:rStyle w:val="IndexLink"/>
                <w:rtl w:val="true"/>
              </w:rPr>
              <w:t>]</w:t>
              <w:tab/>
            </w:r>
            <w:r>
              <w:rPr>
                <w:rStyle w:val="IndexLink"/>
              </w:rPr>
              <w:t>261</w:t>
            </w:r>
          </w:hyperlink>
        </w:p>
        <w:p>
          <w:pPr>
            <w:pStyle w:val="Contents6"/>
            <w:tabs>
              <w:tab w:val="clear" w:pos="7609"/>
              <w:tab w:val="right" w:pos="9026" w:leader="dot"/>
            </w:tabs>
            <w:rPr/>
          </w:pPr>
          <w:hyperlink w:anchor="__RefHeading___Toc2586661_1280447820">
            <w:r>
              <w:rPr>
                <w:webHidden/>
                <w:rStyle w:val="IndexLink"/>
                <w:rtl w:val="true"/>
              </w:rPr>
              <w:t>[</w:t>
            </w:r>
            <w:r>
              <w:rPr>
                <w:rStyle w:val="IndexLink"/>
                <w:rtl w:val="true"/>
              </w:rPr>
              <w:t>الرابع يعتبر فى الغيبة قيمة وقت الاخراج</w:t>
            </w:r>
            <w:r>
              <w:rPr>
                <w:rStyle w:val="IndexLink"/>
                <w:rtl w:val="true"/>
              </w:rPr>
              <w:t>]</w:t>
              <w:tab/>
            </w:r>
            <w:r>
              <w:rPr>
                <w:rStyle w:val="IndexLink"/>
              </w:rPr>
              <w:t>262</w:t>
            </w:r>
          </w:hyperlink>
        </w:p>
        <w:p>
          <w:pPr>
            <w:pStyle w:val="Contents6"/>
            <w:tabs>
              <w:tab w:val="clear" w:pos="7609"/>
              <w:tab w:val="right" w:pos="9026" w:leader="dot"/>
            </w:tabs>
            <w:rPr/>
          </w:pPr>
          <w:hyperlink w:anchor="__RefHeading___Toc2586663_1280447820">
            <w:r>
              <w:rPr>
                <w:webHidden/>
                <w:rStyle w:val="IndexLink"/>
                <w:rtl w:val="true"/>
              </w:rPr>
              <w:t>مسائل مهمّة</w:t>
            </w:r>
            <w:r>
              <w:rPr>
                <w:rStyle w:val="IndexLink"/>
                <w:rtl w:val="true"/>
              </w:rPr>
              <w:t>:</w:t>
              <w:tab/>
            </w:r>
            <w:r>
              <w:rPr>
                <w:rStyle w:val="IndexLink"/>
              </w:rPr>
              <w:t>263</w:t>
            </w:r>
          </w:hyperlink>
        </w:p>
        <w:p>
          <w:pPr>
            <w:pStyle w:val="Contents6"/>
            <w:tabs>
              <w:tab w:val="clear" w:pos="7609"/>
              <w:tab w:val="right" w:pos="9026" w:leader="dot"/>
            </w:tabs>
            <w:rPr/>
          </w:pPr>
          <w:hyperlink w:anchor="__RefHeading___Toc2586665_1280447820">
            <w:r>
              <w:rPr>
                <w:webHidden/>
                <w:rStyle w:val="IndexLink"/>
                <w:rtl w:val="true"/>
              </w:rPr>
              <w:t>[</w:t>
            </w:r>
            <w:r>
              <w:rPr>
                <w:rStyle w:val="IndexLink"/>
                <w:rtl w:val="true"/>
              </w:rPr>
              <w:t>الاولى</w:t>
            </w:r>
            <w:r>
              <w:rPr>
                <w:rStyle w:val="IndexLink"/>
                <w:rtl w:val="true"/>
              </w:rPr>
              <w:t>] [</w:t>
            </w:r>
            <w:r>
              <w:rPr>
                <w:rStyle w:val="IndexLink"/>
                <w:rtl w:val="true"/>
              </w:rPr>
              <w:t>الشاة المأخوذة للزكاة</w:t>
            </w:r>
            <w:r>
              <w:rPr>
                <w:rStyle w:val="IndexLink"/>
                <w:rtl w:val="true"/>
              </w:rPr>
              <w:t>]</w:t>
              <w:tab/>
            </w:r>
            <w:r>
              <w:rPr>
                <w:rStyle w:val="IndexLink"/>
              </w:rPr>
              <w:t>263</w:t>
            </w:r>
          </w:hyperlink>
        </w:p>
        <w:p>
          <w:pPr>
            <w:pStyle w:val="Contents6"/>
            <w:tabs>
              <w:tab w:val="clear" w:pos="7609"/>
              <w:tab w:val="right" w:pos="9026" w:leader="dot"/>
            </w:tabs>
            <w:rPr/>
          </w:pPr>
          <w:hyperlink w:anchor="__RefHeading___Toc2586667_1280447820">
            <w:r>
              <w:rPr>
                <w:webHidden/>
                <w:rStyle w:val="IndexLink"/>
                <w:rtl w:val="true"/>
              </w:rPr>
              <w:t>المسألة الثانية</w:t>
            </w:r>
            <w:r>
              <w:rPr>
                <w:rStyle w:val="IndexLink"/>
                <w:rtl w:val="true"/>
              </w:rPr>
              <w:t>: [</w:t>
            </w:r>
            <w:r>
              <w:rPr>
                <w:rStyle w:val="IndexLink"/>
                <w:rtl w:val="true"/>
              </w:rPr>
              <w:t>عدم جواز أخذ المريضة مع وجود الصحيحة</w:t>
            </w:r>
            <w:r>
              <w:rPr>
                <w:rStyle w:val="IndexLink"/>
                <w:rtl w:val="true"/>
              </w:rPr>
              <w:t>]</w:t>
              <w:tab/>
            </w:r>
            <w:r>
              <w:rPr>
                <w:rStyle w:val="IndexLink"/>
              </w:rPr>
              <w:t>268</w:t>
            </w:r>
          </w:hyperlink>
        </w:p>
        <w:p>
          <w:pPr>
            <w:pStyle w:val="Contents6"/>
            <w:tabs>
              <w:tab w:val="clear" w:pos="7609"/>
              <w:tab w:val="right" w:pos="9026" w:leader="dot"/>
            </w:tabs>
            <w:rPr/>
          </w:pPr>
          <w:hyperlink w:anchor="__RefHeading___Toc2586669_1280447820">
            <w:r>
              <w:rPr>
                <w:webHidden/>
                <w:rStyle w:val="IndexLink"/>
                <w:rtl w:val="true"/>
              </w:rPr>
              <w:t>المسألة الثالثة</w:t>
            </w:r>
            <w:r>
              <w:rPr>
                <w:rStyle w:val="IndexLink"/>
                <w:rtl w:val="true"/>
              </w:rPr>
              <w:t xml:space="preserve">: </w:t>
            </w:r>
            <w:r>
              <w:rPr>
                <w:rStyle w:val="IndexLink"/>
                <w:rtl w:val="true"/>
              </w:rPr>
              <w:t>لا تؤخذ الربّى و الأكولة و فحل الضراب في الصدقة،</w:t>
            </w:r>
            <w:r>
              <w:rPr>
                <w:rStyle w:val="IndexLink"/>
                <w:rtl w:val="true"/>
              </w:rPr>
              <w:tab/>
            </w:r>
            <w:r>
              <w:rPr>
                <w:rStyle w:val="IndexLink"/>
              </w:rPr>
              <w:t>274</w:t>
            </w:r>
          </w:hyperlink>
        </w:p>
        <w:p>
          <w:pPr>
            <w:pStyle w:val="Contents6"/>
            <w:tabs>
              <w:tab w:val="clear" w:pos="7609"/>
              <w:tab w:val="right" w:pos="9026" w:leader="dot"/>
            </w:tabs>
            <w:rPr/>
          </w:pPr>
          <w:hyperlink w:anchor="__RefHeading___Toc2586671_1280447820">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2586673_1280447820">
            <w:r>
              <w:rPr>
                <w:webHidden/>
                <w:rStyle w:val="IndexLink"/>
                <w:rtl w:val="true"/>
              </w:rPr>
              <w:t>و ينبغي التنبيه على امور</w:t>
            </w:r>
            <w:r>
              <w:rPr>
                <w:rStyle w:val="IndexLink"/>
                <w:rtl w:val="true"/>
              </w:rPr>
              <w:t>:</w:t>
              <w:tab/>
            </w:r>
            <w:r>
              <w:rPr>
                <w:rStyle w:val="IndexLink"/>
              </w:rPr>
              <w:t>275</w:t>
            </w:r>
          </w:hyperlink>
        </w:p>
        <w:p>
          <w:pPr>
            <w:pStyle w:val="Contents6"/>
            <w:tabs>
              <w:tab w:val="clear" w:pos="7609"/>
              <w:tab w:val="right" w:pos="9026" w:leader="dot"/>
            </w:tabs>
            <w:rPr/>
          </w:pPr>
          <w:hyperlink w:anchor="__RefHeading___Toc2586675_1280447820">
            <w:r>
              <w:rPr>
                <w:webHidden/>
                <w:rStyle w:val="IndexLink"/>
                <w:rtl w:val="true"/>
              </w:rPr>
              <w:t>[[</w:t>
            </w:r>
            <w:r>
              <w:rPr>
                <w:rStyle w:val="IndexLink"/>
                <w:rtl w:val="true"/>
              </w:rPr>
              <w:t>الاولى</w:t>
            </w:r>
            <w:r>
              <w:rPr>
                <w:rStyle w:val="IndexLink"/>
                <w:rtl w:val="true"/>
              </w:rPr>
              <w:t xml:space="preserve">] </w:t>
            </w:r>
            <w:r>
              <w:rPr>
                <w:rStyle w:val="IndexLink"/>
                <w:rtl w:val="true"/>
              </w:rPr>
              <w:t>تفسير الربّى و الأكولة</w:t>
            </w:r>
            <w:r>
              <w:rPr>
                <w:rStyle w:val="IndexLink"/>
                <w:rtl w:val="true"/>
              </w:rPr>
              <w:t>]</w:t>
              <w:tab/>
            </w:r>
            <w:r>
              <w:rPr>
                <w:rStyle w:val="IndexLink"/>
              </w:rPr>
              <w:t>275</w:t>
            </w:r>
          </w:hyperlink>
        </w:p>
        <w:p>
          <w:pPr>
            <w:pStyle w:val="Contents6"/>
            <w:tabs>
              <w:tab w:val="clear" w:pos="7609"/>
              <w:tab w:val="right" w:pos="9026" w:leader="dot"/>
            </w:tabs>
            <w:rPr/>
          </w:pPr>
          <w:hyperlink w:anchor="__RefHeading___Toc2586677_1280447820">
            <w:r>
              <w:rPr>
                <w:webHidden/>
                <w:rStyle w:val="IndexLink"/>
                <w:rtl w:val="true"/>
              </w:rPr>
              <w:t>ثانيها</w:t>
            </w:r>
            <w:r>
              <w:rPr>
                <w:rStyle w:val="IndexLink"/>
                <w:rtl w:val="true"/>
              </w:rPr>
              <w:t xml:space="preserve">: </w:t>
            </w:r>
            <w:r>
              <w:rPr>
                <w:rStyle w:val="IndexLink"/>
                <w:rtl w:val="true"/>
              </w:rPr>
              <w:t>هل يجوز أخذ أحد هذه مع رضا المالك و دفعه بطيب نفسه</w:t>
            </w:r>
            <w:r>
              <w:rPr>
                <w:rStyle w:val="IndexLink"/>
                <w:rtl w:val="true"/>
              </w:rPr>
              <w:tab/>
            </w:r>
            <w:r>
              <w:rPr>
                <w:rStyle w:val="IndexLink"/>
              </w:rPr>
              <w:t>276</w:t>
            </w:r>
          </w:hyperlink>
        </w:p>
        <w:p>
          <w:pPr>
            <w:pStyle w:val="Contents6"/>
            <w:tabs>
              <w:tab w:val="clear" w:pos="7609"/>
              <w:tab w:val="right" w:pos="9026" w:leader="dot"/>
            </w:tabs>
            <w:rPr/>
          </w:pPr>
          <w:hyperlink w:anchor="__RefHeading___Toc2586679_1280447820">
            <w:r>
              <w:rPr>
                <w:webHidden/>
                <w:rStyle w:val="IndexLink"/>
                <w:rtl w:val="true"/>
              </w:rPr>
              <w:t>[</w:t>
            </w:r>
            <w:r>
              <w:rPr>
                <w:rStyle w:val="IndexLink"/>
                <w:rtl w:val="true"/>
              </w:rPr>
              <w:t>ثالثها</w:t>
            </w:r>
            <w:r>
              <w:rPr>
                <w:rStyle w:val="IndexLink"/>
                <w:rtl w:val="true"/>
              </w:rPr>
              <w:t xml:space="preserve">: </w:t>
            </w:r>
            <w:r>
              <w:rPr>
                <w:rStyle w:val="IndexLink"/>
                <w:rtl w:val="true"/>
              </w:rPr>
              <w:t>الاختلاف فى عد الاكولة و فحل الضراب من النصاب و عدمه</w:t>
            </w:r>
            <w:r>
              <w:rPr>
                <w:rStyle w:val="IndexLink"/>
                <w:rtl w:val="true"/>
              </w:rPr>
              <w:t>]</w:t>
              <w:tab/>
            </w:r>
            <w:r>
              <w:rPr>
                <w:rStyle w:val="IndexLink"/>
              </w:rPr>
              <w:t>277</w:t>
            </w:r>
          </w:hyperlink>
        </w:p>
        <w:p>
          <w:pPr>
            <w:pStyle w:val="Contents5"/>
            <w:tabs>
              <w:tab w:val="clear" w:pos="7892"/>
              <w:tab w:val="right" w:pos="9026" w:leader="dot"/>
            </w:tabs>
            <w:rPr/>
          </w:pPr>
          <w:hyperlink w:anchor="__RefHeading___Toc2586681_1280447820">
            <w:r>
              <w:rPr>
                <w:webHidden/>
                <w:rStyle w:val="IndexLink"/>
                <w:rtl w:val="true"/>
              </w:rPr>
              <w:t>المقام الثانيفيما يتعلّق بالذهب و الفضّة</w:t>
            </w:r>
            <w:r>
              <w:rPr>
                <w:rStyle w:val="IndexLink"/>
                <w:rtl w:val="true"/>
              </w:rPr>
              <w:tab/>
            </w:r>
            <w:r>
              <w:rPr>
                <w:rStyle w:val="IndexLink"/>
              </w:rPr>
              <w:t>280</w:t>
            </w:r>
          </w:hyperlink>
        </w:p>
        <w:p>
          <w:pPr>
            <w:pStyle w:val="Contents6"/>
            <w:tabs>
              <w:tab w:val="clear" w:pos="7609"/>
              <w:tab w:val="right" w:pos="9026" w:leader="dot"/>
            </w:tabs>
            <w:rPr/>
          </w:pPr>
          <w:hyperlink w:anchor="__RefHeading___Toc2586683_1280447820">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2586685_1280447820">
            <w:r>
              <w:rPr>
                <w:webHidden/>
                <w:rStyle w:val="IndexLink"/>
                <w:rtl w:val="true"/>
              </w:rPr>
              <w:t>[</w:t>
            </w:r>
            <w:r>
              <w:rPr>
                <w:rStyle w:val="IndexLink"/>
                <w:rtl w:val="true"/>
              </w:rPr>
              <w:t>شروط وجوب الزكاة فى النقدين</w:t>
            </w:r>
            <w:r>
              <w:rPr>
                <w:rStyle w:val="IndexLink"/>
                <w:rtl w:val="true"/>
              </w:rPr>
              <w:t>]</w:t>
              <w:tab/>
            </w:r>
            <w:r>
              <w:rPr>
                <w:rStyle w:val="IndexLink"/>
              </w:rPr>
              <w:t>280</w:t>
            </w:r>
          </w:hyperlink>
        </w:p>
        <w:p>
          <w:pPr>
            <w:pStyle w:val="Contents6"/>
            <w:tabs>
              <w:tab w:val="clear" w:pos="7609"/>
              <w:tab w:val="right" w:pos="9026" w:leader="dot"/>
            </w:tabs>
            <w:rPr/>
          </w:pPr>
          <w:hyperlink w:anchor="__RefHeading___Toc2586687_1280447820">
            <w:r>
              <w:rPr>
                <w:webHidden/>
                <w:rStyle w:val="IndexLink"/>
                <w:rtl w:val="true"/>
              </w:rPr>
              <w:t>الشرط الأوّل</w:t>
            </w:r>
            <w:r>
              <w:rPr>
                <w:rStyle w:val="IndexLink"/>
                <w:rtl w:val="true"/>
              </w:rPr>
              <w:t xml:space="preserve">: </w:t>
            </w:r>
            <w:r>
              <w:rPr>
                <w:rStyle w:val="IndexLink"/>
                <w:rtl w:val="true"/>
              </w:rPr>
              <w:t>النصاب،</w:t>
            </w:r>
            <w:r>
              <w:rPr>
                <w:rStyle w:val="IndexLink"/>
                <w:rtl w:val="true"/>
              </w:rPr>
              <w:tab/>
            </w:r>
            <w:r>
              <w:rPr>
                <w:rStyle w:val="IndexLink"/>
              </w:rPr>
              <w:t>280</w:t>
            </w:r>
          </w:hyperlink>
        </w:p>
        <w:p>
          <w:pPr>
            <w:pStyle w:val="Contents6"/>
            <w:tabs>
              <w:tab w:val="clear" w:pos="7609"/>
              <w:tab w:val="right" w:pos="9026" w:leader="dot"/>
            </w:tabs>
            <w:rPr/>
          </w:pPr>
          <w:hyperlink w:anchor="__RefHeading___Toc2586689_1280447820">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2586691_1280447820">
            <w:r>
              <w:rPr>
                <w:webHidden/>
                <w:rStyle w:val="IndexLink"/>
                <w:rtl w:val="true"/>
              </w:rPr>
              <w:t>و ينبغي التنبيه على امور</w:t>
            </w:r>
            <w:r>
              <w:rPr>
                <w:rStyle w:val="IndexLink"/>
                <w:rtl w:val="true"/>
              </w:rPr>
              <w:t>:</w:t>
              <w:tab/>
            </w:r>
            <w:r>
              <w:rPr>
                <w:rStyle w:val="IndexLink"/>
              </w:rPr>
              <w:t>289</w:t>
            </w:r>
          </w:hyperlink>
        </w:p>
        <w:p>
          <w:pPr>
            <w:pStyle w:val="Contents6"/>
            <w:tabs>
              <w:tab w:val="clear" w:pos="7609"/>
              <w:tab w:val="right" w:pos="9026" w:leader="dot"/>
            </w:tabs>
            <w:rPr/>
          </w:pPr>
          <w:hyperlink w:anchor="__RefHeading___Toc2586693_1280447820">
            <w:r>
              <w:rPr>
                <w:webHidden/>
                <w:rStyle w:val="IndexLink"/>
                <w:rtl w:val="true"/>
              </w:rPr>
              <w:t>الأوّل</w:t>
            </w:r>
            <w:r>
              <w:rPr>
                <w:rStyle w:val="IndexLink"/>
                <w:rtl w:val="true"/>
              </w:rPr>
              <w:t xml:space="preserve">: </w:t>
            </w:r>
            <w:r>
              <w:rPr>
                <w:rStyle w:val="IndexLink"/>
                <w:rtl w:val="true"/>
              </w:rPr>
              <w:t>ما نقص عن المائتين و عن الأربعين بعد المائتين عفو فلا زكاة فيه</w:t>
            </w:r>
            <w:r>
              <w:rPr>
                <w:rStyle w:val="IndexLink"/>
                <w:rtl w:val="true"/>
              </w:rPr>
              <w:tab/>
            </w:r>
            <w:r>
              <w:rPr>
                <w:rStyle w:val="IndexLink"/>
              </w:rPr>
              <w:t>289</w:t>
            </w:r>
          </w:hyperlink>
        </w:p>
        <w:p>
          <w:pPr>
            <w:pStyle w:val="Contents6"/>
            <w:tabs>
              <w:tab w:val="clear" w:pos="7609"/>
              <w:tab w:val="right" w:pos="9026" w:leader="dot"/>
            </w:tabs>
            <w:rPr/>
          </w:pPr>
          <w:hyperlink w:anchor="__RefHeading___Toc2586695_1280447820">
            <w:r>
              <w:rPr>
                <w:webHidden/>
                <w:rStyle w:val="IndexLink"/>
                <w:rtl w:val="true"/>
              </w:rPr>
              <w:t>الثاني</w:t>
            </w:r>
            <w:r>
              <w:rPr>
                <w:rStyle w:val="IndexLink"/>
                <w:rtl w:val="true"/>
              </w:rPr>
              <w:t xml:space="preserve">: </w:t>
            </w:r>
            <w:r>
              <w:rPr>
                <w:rStyle w:val="IndexLink"/>
                <w:rtl w:val="true"/>
              </w:rPr>
              <w:t>القدر الواجب هنا في كلّ من النصابين</w:t>
            </w:r>
            <w:r>
              <w:rPr>
                <w:rStyle w:val="IndexLink"/>
                <w:rtl w:val="true"/>
              </w:rPr>
              <w:tab/>
            </w:r>
            <w:r>
              <w:rPr>
                <w:rStyle w:val="IndexLink"/>
              </w:rPr>
              <w:t>289</w:t>
            </w:r>
          </w:hyperlink>
        </w:p>
        <w:p>
          <w:pPr>
            <w:pStyle w:val="Contents6"/>
            <w:tabs>
              <w:tab w:val="clear" w:pos="7609"/>
              <w:tab w:val="right" w:pos="9026" w:leader="dot"/>
            </w:tabs>
            <w:rPr/>
          </w:pPr>
          <w:hyperlink w:anchor="__RefHeading___Toc2586697_1280447820">
            <w:r>
              <w:rPr>
                <w:webHidden/>
                <w:rStyle w:val="IndexLink"/>
                <w:rtl w:val="true"/>
              </w:rPr>
              <w:t>[</w:t>
            </w:r>
            <w:r>
              <w:rPr>
                <w:rStyle w:val="IndexLink"/>
                <w:rtl w:val="true"/>
              </w:rPr>
              <w:t>الثالث</w:t>
            </w:r>
            <w:r>
              <w:rPr>
                <w:rStyle w:val="IndexLink"/>
                <w:rtl w:val="true"/>
              </w:rPr>
              <w:t xml:space="preserve">] </w:t>
            </w:r>
            <w:r>
              <w:rPr>
                <w:rStyle w:val="IndexLink"/>
                <w:rtl w:val="true"/>
              </w:rPr>
              <w:t>تفسير الدرهم</w:t>
            </w:r>
            <w:r>
              <w:rPr>
                <w:rStyle w:val="IndexLink"/>
                <w:rtl w:val="true"/>
              </w:rPr>
              <w:tab/>
            </w:r>
            <w:r>
              <w:rPr>
                <w:rStyle w:val="IndexLink"/>
              </w:rPr>
              <w:t>289</w:t>
            </w:r>
          </w:hyperlink>
        </w:p>
        <w:p>
          <w:pPr>
            <w:pStyle w:val="Contents6"/>
            <w:tabs>
              <w:tab w:val="clear" w:pos="7609"/>
              <w:tab w:val="right" w:pos="9026" w:leader="dot"/>
            </w:tabs>
            <w:rPr/>
          </w:pPr>
          <w:hyperlink w:anchor="__RefHeading___Toc2586699_1280447820">
            <w:r>
              <w:rPr>
                <w:webHidden/>
                <w:rStyle w:val="IndexLink"/>
                <w:rtl w:val="true"/>
              </w:rPr>
              <w:t>الشرط الثاني</w:t>
            </w:r>
            <w:r>
              <w:rPr>
                <w:rStyle w:val="IndexLink"/>
                <w:rtl w:val="true"/>
              </w:rPr>
              <w:t xml:space="preserve">: </w:t>
            </w:r>
            <w:r>
              <w:rPr>
                <w:rStyle w:val="IndexLink"/>
                <w:rtl w:val="true"/>
              </w:rPr>
              <w:t>أن يكونا مسكوكين بسكّة المعاملة</w:t>
            </w:r>
            <w:r>
              <w:rPr>
                <w:rStyle w:val="IndexLink"/>
                <w:rtl w:val="true"/>
              </w:rPr>
              <w:tab/>
            </w:r>
            <w:r>
              <w:rPr>
                <w:rStyle w:val="IndexLink"/>
              </w:rPr>
              <w:t>291</w:t>
            </w:r>
          </w:hyperlink>
        </w:p>
        <w:p>
          <w:pPr>
            <w:pStyle w:val="Contents6"/>
            <w:tabs>
              <w:tab w:val="clear" w:pos="7609"/>
              <w:tab w:val="right" w:pos="9026" w:leader="dot"/>
            </w:tabs>
            <w:rPr/>
          </w:pPr>
          <w:hyperlink w:anchor="__RefHeading___Toc2586701_1280447820">
            <w:r>
              <w:rPr>
                <w:webHidden/>
                <w:rStyle w:val="IndexLink"/>
                <w:rtl w:val="true"/>
              </w:rPr>
              <w:t>الشرط الثالث</w:t>
            </w:r>
            <w:r>
              <w:rPr>
                <w:rStyle w:val="IndexLink"/>
                <w:rtl w:val="true"/>
              </w:rPr>
              <w:t xml:space="preserve">: </w:t>
            </w:r>
            <w:r>
              <w:rPr>
                <w:rStyle w:val="IndexLink"/>
                <w:rtl w:val="true"/>
              </w:rPr>
              <w:t>حول الحول على النصاب</w:t>
            </w:r>
            <w:r>
              <w:rPr>
                <w:rStyle w:val="IndexLink"/>
                <w:rtl w:val="true"/>
              </w:rPr>
              <w:tab/>
            </w:r>
            <w:r>
              <w:rPr>
                <w:rStyle w:val="IndexLink"/>
              </w:rPr>
              <w:t>294</w:t>
            </w:r>
          </w:hyperlink>
        </w:p>
        <w:p>
          <w:pPr>
            <w:pStyle w:val="Contents6"/>
            <w:tabs>
              <w:tab w:val="clear" w:pos="7609"/>
              <w:tab w:val="right" w:pos="9026" w:leader="dot"/>
            </w:tabs>
            <w:rPr/>
          </w:pPr>
          <w:hyperlink w:anchor="__RefHeading___Toc2586703_1280447820">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2586705_1280447820">
            <w:r>
              <w:rPr>
                <w:webHidden/>
                <w:rStyle w:val="IndexLink"/>
                <w:rtl w:val="true"/>
              </w:rPr>
              <w:t>[</w:t>
            </w:r>
            <w:r>
              <w:rPr>
                <w:rStyle w:val="IndexLink"/>
                <w:rtl w:val="true"/>
              </w:rPr>
              <w:t>مسائل مهمة</w:t>
            </w:r>
            <w:r>
              <w:rPr>
                <w:rStyle w:val="IndexLink"/>
                <w:rtl w:val="true"/>
              </w:rPr>
              <w:t>]</w:t>
              <w:tab/>
            </w:r>
            <w:r>
              <w:rPr>
                <w:rStyle w:val="IndexLink"/>
              </w:rPr>
              <w:t>296</w:t>
            </w:r>
          </w:hyperlink>
        </w:p>
        <w:p>
          <w:pPr>
            <w:pStyle w:val="Contents6"/>
            <w:tabs>
              <w:tab w:val="clear" w:pos="7609"/>
              <w:tab w:val="right" w:pos="9026" w:leader="dot"/>
            </w:tabs>
            <w:rPr/>
          </w:pPr>
          <w:hyperlink w:anchor="__RefHeading___Toc2586707_1280447820">
            <w:r>
              <w:rPr>
                <w:webHidden/>
                <w:rStyle w:val="IndexLink"/>
                <w:rtl w:val="true"/>
              </w:rPr>
              <w:t>المسألة الاولى</w:t>
            </w:r>
            <w:r>
              <w:rPr>
                <w:rStyle w:val="IndexLink"/>
                <w:rtl w:val="true"/>
              </w:rPr>
              <w:t>: [</w:t>
            </w:r>
            <w:r>
              <w:rPr>
                <w:rStyle w:val="IndexLink"/>
                <w:rtl w:val="true"/>
              </w:rPr>
              <w:t>تغيير النصاب في أثناء الحول</w:t>
            </w:r>
            <w:r>
              <w:rPr>
                <w:rStyle w:val="IndexLink"/>
                <w:rtl w:val="true"/>
              </w:rPr>
              <w:t>]</w:t>
              <w:tab/>
            </w:r>
            <w:r>
              <w:rPr>
                <w:rStyle w:val="IndexLink"/>
              </w:rPr>
              <w:t>296</w:t>
            </w:r>
          </w:hyperlink>
        </w:p>
        <w:p>
          <w:pPr>
            <w:pStyle w:val="Contents6"/>
            <w:tabs>
              <w:tab w:val="clear" w:pos="7609"/>
              <w:tab w:val="right" w:pos="9026" w:leader="dot"/>
            </w:tabs>
            <w:rPr/>
          </w:pPr>
          <w:hyperlink w:anchor="__RefHeading___Toc2586709_1280447820">
            <w:r>
              <w:rPr>
                <w:webHidden/>
                <w:rStyle w:val="IndexLink"/>
                <w:rtl w:val="true"/>
              </w:rPr>
              <w:t>المسألة الثانية</w:t>
            </w:r>
            <w:r>
              <w:rPr>
                <w:rStyle w:val="IndexLink"/>
                <w:rtl w:val="true"/>
              </w:rPr>
              <w:t>: [</w:t>
            </w:r>
            <w:r>
              <w:rPr>
                <w:rStyle w:val="IndexLink"/>
                <w:rtl w:val="true"/>
              </w:rPr>
              <w:t>عدم وجوب الزكاة في الحليّ و السبائك</w:t>
            </w:r>
            <w:r>
              <w:rPr>
                <w:rStyle w:val="IndexLink"/>
                <w:rtl w:val="true"/>
              </w:rPr>
              <w:t>]</w:t>
              <w:tab/>
            </w:r>
            <w:r>
              <w:rPr>
                <w:rStyle w:val="IndexLink"/>
              </w:rPr>
              <w:t>297</w:t>
            </w:r>
          </w:hyperlink>
        </w:p>
        <w:p>
          <w:pPr>
            <w:pStyle w:val="Contents6"/>
            <w:tabs>
              <w:tab w:val="clear" w:pos="7609"/>
              <w:tab w:val="right" w:pos="9026" w:leader="dot"/>
            </w:tabs>
            <w:rPr/>
          </w:pPr>
          <w:hyperlink w:anchor="__RefHeading___Toc2586711_1280447820">
            <w:r>
              <w:rPr>
                <w:webHidden/>
                <w:rStyle w:val="IndexLink"/>
                <w:rtl w:val="true"/>
              </w:rPr>
              <w:t>المسألة الثالثة</w:t>
            </w:r>
            <w:r>
              <w:rPr>
                <w:rStyle w:val="IndexLink"/>
                <w:rtl w:val="true"/>
              </w:rPr>
              <w:t>: [</w:t>
            </w:r>
            <w:r>
              <w:rPr>
                <w:rStyle w:val="IndexLink"/>
                <w:rtl w:val="true"/>
              </w:rPr>
              <w:t>عدم اعتبار الجودة و الرداءة</w:t>
            </w:r>
            <w:r>
              <w:rPr>
                <w:rStyle w:val="IndexLink"/>
                <w:rtl w:val="true"/>
              </w:rPr>
              <w:t>]</w:t>
              <w:tab/>
            </w:r>
            <w:r>
              <w:rPr>
                <w:rStyle w:val="IndexLink"/>
              </w:rPr>
              <w:t>302</w:t>
            </w:r>
          </w:hyperlink>
        </w:p>
        <w:p>
          <w:pPr>
            <w:pStyle w:val="Contents6"/>
            <w:tabs>
              <w:tab w:val="clear" w:pos="7609"/>
              <w:tab w:val="right" w:pos="9026" w:leader="dot"/>
            </w:tabs>
            <w:rPr/>
          </w:pPr>
          <w:hyperlink w:anchor="__RefHeading___Toc2586713_1280447820">
            <w:r>
              <w:rPr>
                <w:webHidden/>
                <w:rStyle w:val="IndexLink"/>
                <w:rtl w:val="true"/>
              </w:rPr>
              <w:t>المسألة الرابعة</w:t>
            </w:r>
            <w:r>
              <w:rPr>
                <w:rStyle w:val="IndexLink"/>
                <w:rtl w:val="true"/>
              </w:rPr>
              <w:t>: [</w:t>
            </w:r>
            <w:r>
              <w:rPr>
                <w:rStyle w:val="IndexLink"/>
                <w:rtl w:val="true"/>
              </w:rPr>
              <w:t>الدراهم و الدنانير المغشوشة</w:t>
            </w:r>
            <w:r>
              <w:rPr>
                <w:rStyle w:val="IndexLink"/>
                <w:rtl w:val="true"/>
              </w:rPr>
              <w:t>]</w:t>
              <w:tab/>
            </w:r>
            <w:r>
              <w:rPr>
                <w:rStyle w:val="IndexLink"/>
              </w:rPr>
              <w:t>303</w:t>
            </w:r>
          </w:hyperlink>
        </w:p>
        <w:p>
          <w:pPr>
            <w:pStyle w:val="Contents5"/>
            <w:tabs>
              <w:tab w:val="clear" w:pos="7892"/>
              <w:tab w:val="right" w:pos="9026" w:leader="dot"/>
            </w:tabs>
            <w:rPr/>
          </w:pPr>
          <w:hyperlink w:anchor="__RefHeading___Toc2586715_1280447820">
            <w:r>
              <w:rPr>
                <w:webHidden/>
                <w:rStyle w:val="IndexLink"/>
                <w:rtl w:val="true"/>
              </w:rPr>
              <w:t>المقام الثالث في زكاة الغلاّت و سائر ما يتعلّق بها</w:t>
            </w:r>
            <w:r>
              <w:rPr>
                <w:rStyle w:val="IndexLink"/>
                <w:rtl w:val="true"/>
              </w:rPr>
              <w:tab/>
            </w:r>
            <w:r>
              <w:rPr>
                <w:rStyle w:val="IndexLink"/>
              </w:rPr>
              <w:t>305</w:t>
            </w:r>
          </w:hyperlink>
        </w:p>
        <w:p>
          <w:pPr>
            <w:pStyle w:val="Contents6"/>
            <w:tabs>
              <w:tab w:val="clear" w:pos="7609"/>
              <w:tab w:val="right" w:pos="9026" w:leader="dot"/>
            </w:tabs>
            <w:rPr/>
          </w:pPr>
          <w:hyperlink w:anchor="__RefHeading___Toc2586717_1280447820">
            <w:r>
              <w:rPr>
                <w:webHidden/>
                <w:rStyle w:val="IndexLink"/>
                <w:rtl w:val="true"/>
              </w:rPr>
              <w:t>[</w:t>
            </w:r>
            <w:r>
              <w:rPr>
                <w:rStyle w:val="IndexLink"/>
                <w:rtl w:val="true"/>
              </w:rPr>
              <w:t>في زكاة الغلاّت، شرطيّة النصاب</w:t>
            </w:r>
            <w:r>
              <w:rPr>
                <w:rStyle w:val="IndexLink"/>
                <w:rtl w:val="true"/>
              </w:rPr>
              <w:t>]</w:t>
              <w:tab/>
            </w:r>
            <w:r>
              <w:rPr>
                <w:rStyle w:val="IndexLink"/>
              </w:rPr>
              <w:t>305</w:t>
            </w:r>
          </w:hyperlink>
        </w:p>
        <w:p>
          <w:pPr>
            <w:pStyle w:val="Contents6"/>
            <w:tabs>
              <w:tab w:val="clear" w:pos="7609"/>
              <w:tab w:val="right" w:pos="9026" w:leader="dot"/>
            </w:tabs>
            <w:rPr/>
          </w:pPr>
          <w:hyperlink w:anchor="__RefHeading___Toc2586719_1280447820">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2586721_1280447820">
            <w:r>
              <w:rPr>
                <w:webHidden/>
                <w:rStyle w:val="IndexLink"/>
                <w:rtl w:val="true"/>
              </w:rPr>
              <w:t>[</w:t>
            </w:r>
            <w:r>
              <w:rPr>
                <w:rStyle w:val="IndexLink"/>
                <w:rtl w:val="true"/>
              </w:rPr>
              <w:t>فى كمّيّة الصاع</w:t>
            </w:r>
            <w:r>
              <w:rPr>
                <w:rStyle w:val="IndexLink"/>
                <w:rtl w:val="true"/>
              </w:rPr>
              <w:t>]</w:t>
              <w:tab/>
            </w:r>
            <w:r>
              <w:rPr>
                <w:rStyle w:val="IndexLink"/>
              </w:rPr>
              <w:t>310</w:t>
            </w:r>
          </w:hyperlink>
        </w:p>
        <w:p>
          <w:pPr>
            <w:pStyle w:val="Contents6"/>
            <w:tabs>
              <w:tab w:val="clear" w:pos="7609"/>
              <w:tab w:val="right" w:pos="9026" w:leader="dot"/>
            </w:tabs>
            <w:rPr/>
          </w:pPr>
          <w:hyperlink w:anchor="__RefHeading___Toc2586723_1280447820">
            <w:r>
              <w:rPr>
                <w:webHidden/>
                <w:rStyle w:val="IndexLink"/>
                <w:rtl w:val="true"/>
              </w:rPr>
              <w:t>و ينبغي التنبيه على امور</w:t>
            </w:r>
            <w:r>
              <w:rPr>
                <w:rStyle w:val="IndexLink"/>
                <w:rtl w:val="true"/>
              </w:rPr>
              <w:t>:</w:t>
              <w:tab/>
            </w:r>
            <w:r>
              <w:rPr>
                <w:rStyle w:val="IndexLink"/>
              </w:rPr>
              <w:t>312</w:t>
            </w:r>
          </w:hyperlink>
        </w:p>
        <w:p>
          <w:pPr>
            <w:pStyle w:val="Contents6"/>
            <w:tabs>
              <w:tab w:val="clear" w:pos="7609"/>
              <w:tab w:val="right" w:pos="9026" w:leader="dot"/>
            </w:tabs>
            <w:rPr/>
          </w:pPr>
          <w:hyperlink w:anchor="__RefHeading___Toc2586725_1280447820">
            <w:r>
              <w:rPr>
                <w:webHidden/>
                <w:rStyle w:val="IndexLink"/>
                <w:rtl w:val="true"/>
              </w:rPr>
              <w:t>الأوّل</w:t>
            </w:r>
            <w:r>
              <w:rPr>
                <w:rStyle w:val="IndexLink"/>
                <w:rtl w:val="true"/>
              </w:rPr>
              <w:t>: [</w:t>
            </w:r>
            <w:r>
              <w:rPr>
                <w:rStyle w:val="IndexLink"/>
                <w:rtl w:val="true"/>
              </w:rPr>
              <w:t>تحقيقيّة التقدير</w:t>
            </w:r>
            <w:r>
              <w:rPr>
                <w:rStyle w:val="IndexLink"/>
                <w:rtl w:val="true"/>
              </w:rPr>
              <w:t>]</w:t>
              <w:tab/>
            </w:r>
            <w:r>
              <w:rPr>
                <w:rStyle w:val="IndexLink"/>
              </w:rPr>
              <w:t>312</w:t>
            </w:r>
          </w:hyperlink>
        </w:p>
        <w:p>
          <w:pPr>
            <w:pStyle w:val="Contents6"/>
            <w:tabs>
              <w:tab w:val="clear" w:pos="7609"/>
              <w:tab w:val="right" w:pos="9026" w:leader="dot"/>
            </w:tabs>
            <w:rPr/>
          </w:pPr>
          <w:hyperlink w:anchor="__RefHeading___Toc2586727_1280447820">
            <w:r>
              <w:rPr>
                <w:webHidden/>
                <w:rStyle w:val="IndexLink"/>
                <w:rtl w:val="true"/>
              </w:rPr>
              <w:t>الأمر الثاني</w:t>
            </w:r>
            <w:r>
              <w:rPr>
                <w:rStyle w:val="IndexLink"/>
                <w:rtl w:val="true"/>
              </w:rPr>
              <w:t>: [</w:t>
            </w:r>
            <w:r>
              <w:rPr>
                <w:rStyle w:val="IndexLink"/>
                <w:rtl w:val="true"/>
              </w:rPr>
              <w:t>اعتبار الوزن في نصاب الغلاّت</w:t>
            </w:r>
            <w:r>
              <w:rPr>
                <w:rStyle w:val="IndexLink"/>
                <w:rtl w:val="true"/>
              </w:rPr>
              <w:t>]</w:t>
              <w:tab/>
            </w:r>
            <w:r>
              <w:rPr>
                <w:rStyle w:val="IndexLink"/>
              </w:rPr>
              <w:t>313</w:t>
            </w:r>
          </w:hyperlink>
        </w:p>
        <w:p>
          <w:pPr>
            <w:pStyle w:val="Contents6"/>
            <w:tabs>
              <w:tab w:val="clear" w:pos="7609"/>
              <w:tab w:val="right" w:pos="9026" w:leader="dot"/>
            </w:tabs>
            <w:rPr/>
          </w:pPr>
          <w:hyperlink w:anchor="__RefHeading___Toc2586729_1280447820">
            <w:r>
              <w:rPr>
                <w:webHidden/>
                <w:rStyle w:val="IndexLink"/>
                <w:rtl w:val="true"/>
              </w:rPr>
              <w:t>الأمر الثالث</w:t>
            </w:r>
            <w:r>
              <w:rPr>
                <w:rStyle w:val="IndexLink"/>
                <w:rtl w:val="true"/>
              </w:rPr>
              <w:t>: [</w:t>
            </w:r>
            <w:r>
              <w:rPr>
                <w:rStyle w:val="IndexLink"/>
                <w:rtl w:val="true"/>
              </w:rPr>
              <w:t>نصاب الغلاّت يعتبر وقت الجفاف</w:t>
            </w:r>
            <w:r>
              <w:rPr>
                <w:rStyle w:val="IndexLink"/>
                <w:rtl w:val="true"/>
              </w:rPr>
              <w:t>]</w:t>
              <w:tab/>
            </w:r>
            <w:r>
              <w:rPr>
                <w:rStyle w:val="IndexLink"/>
              </w:rPr>
              <w:t>314</w:t>
            </w:r>
          </w:hyperlink>
        </w:p>
        <w:p>
          <w:pPr>
            <w:pStyle w:val="Contents6"/>
            <w:tabs>
              <w:tab w:val="clear" w:pos="7609"/>
              <w:tab w:val="right" w:pos="9026" w:leader="dot"/>
            </w:tabs>
            <w:rPr/>
          </w:pPr>
          <w:hyperlink w:anchor="__RefHeading___Toc2586731_1280447820">
            <w:r>
              <w:rPr>
                <w:webHidden/>
                <w:rStyle w:val="IndexLink"/>
                <w:rtl w:val="true"/>
              </w:rPr>
              <w:t>[</w:t>
            </w:r>
            <w:r>
              <w:rPr>
                <w:rStyle w:val="IndexLink"/>
                <w:rtl w:val="true"/>
              </w:rPr>
              <w:t>مسائل مهمة</w:t>
            </w:r>
            <w:r>
              <w:rPr>
                <w:rStyle w:val="IndexLink"/>
                <w:rtl w:val="true"/>
              </w:rPr>
              <w:t>]</w:t>
              <w:tab/>
            </w:r>
            <w:r>
              <w:rPr>
                <w:rStyle w:val="IndexLink"/>
              </w:rPr>
              <w:t>315</w:t>
            </w:r>
          </w:hyperlink>
        </w:p>
        <w:p>
          <w:pPr>
            <w:pStyle w:val="Contents6"/>
            <w:tabs>
              <w:tab w:val="clear" w:pos="7609"/>
              <w:tab w:val="right" w:pos="9026" w:leader="dot"/>
            </w:tabs>
            <w:rPr/>
          </w:pPr>
          <w:hyperlink w:anchor="__RefHeading___Toc2586733_1280447820">
            <w:r>
              <w:rPr>
                <w:webHidden/>
                <w:rStyle w:val="IndexLink"/>
                <w:rtl w:val="true"/>
              </w:rPr>
              <w:t>المسألة الاولى</w:t>
            </w:r>
            <w:r>
              <w:rPr>
                <w:rStyle w:val="IndexLink"/>
                <w:rtl w:val="true"/>
              </w:rPr>
              <w:t>: [</w:t>
            </w:r>
            <w:r>
              <w:rPr>
                <w:rStyle w:val="IndexLink"/>
                <w:rtl w:val="true"/>
              </w:rPr>
              <w:t>فى تعلّق الزكاة بعد بدوّ الصلاح و قبل التسمية</w:t>
            </w:r>
            <w:r>
              <w:rPr>
                <w:rStyle w:val="IndexLink"/>
                <w:rtl w:val="true"/>
              </w:rPr>
              <w:t>]</w:t>
              <w:tab/>
            </w:r>
            <w:r>
              <w:rPr>
                <w:rStyle w:val="IndexLink"/>
              </w:rPr>
              <w:t>315</w:t>
            </w:r>
          </w:hyperlink>
        </w:p>
        <w:p>
          <w:pPr>
            <w:pStyle w:val="Contents6"/>
            <w:tabs>
              <w:tab w:val="clear" w:pos="7609"/>
              <w:tab w:val="right" w:pos="9026" w:leader="dot"/>
            </w:tabs>
            <w:rPr/>
          </w:pPr>
          <w:hyperlink w:anchor="__RefHeading___Toc2586735_1280447820">
            <w:r>
              <w:rPr>
                <w:webHidden/>
                <w:rStyle w:val="IndexLink"/>
                <w:rtl w:val="true"/>
              </w:rPr>
              <w:t>المسألة الثانية</w:t>
            </w:r>
            <w:r>
              <w:rPr>
                <w:rStyle w:val="IndexLink"/>
                <w:rtl w:val="true"/>
              </w:rPr>
              <w:t>: [</w:t>
            </w:r>
            <w:r>
              <w:rPr>
                <w:rStyle w:val="IndexLink"/>
                <w:rtl w:val="true"/>
              </w:rPr>
              <w:t>وقت إخراج الزكاة في الغلاّت</w:t>
            </w:r>
            <w:r>
              <w:rPr>
                <w:rStyle w:val="IndexLink"/>
                <w:rtl w:val="true"/>
              </w:rPr>
              <w:t>]</w:t>
              <w:tab/>
            </w:r>
            <w:r>
              <w:rPr>
                <w:rStyle w:val="IndexLink"/>
              </w:rPr>
              <w:t>325</w:t>
            </w:r>
          </w:hyperlink>
        </w:p>
        <w:p>
          <w:pPr>
            <w:pStyle w:val="Contents6"/>
            <w:tabs>
              <w:tab w:val="clear" w:pos="7609"/>
              <w:tab w:val="right" w:pos="9026" w:leader="dot"/>
            </w:tabs>
            <w:rPr/>
          </w:pPr>
          <w:hyperlink w:anchor="__RefHeading___Toc2586737_1280447820">
            <w:r>
              <w:rPr>
                <w:webHidden/>
                <w:rStyle w:val="IndexLink"/>
                <w:rtl w:val="true"/>
              </w:rPr>
              <w:t>المسألة الثالثة</w:t>
            </w:r>
            <w:r>
              <w:rPr>
                <w:rStyle w:val="IndexLink"/>
                <w:rtl w:val="true"/>
              </w:rPr>
              <w:t>: [</w:t>
            </w:r>
            <w:r>
              <w:rPr>
                <w:rStyle w:val="IndexLink"/>
                <w:rtl w:val="true"/>
              </w:rPr>
              <w:t>في إخراج المؤن</w:t>
            </w:r>
            <w:r>
              <w:rPr>
                <w:rStyle w:val="IndexLink"/>
                <w:rtl w:val="true"/>
              </w:rPr>
              <w:t>]</w:t>
              <w:tab/>
            </w:r>
            <w:r>
              <w:rPr>
                <w:rStyle w:val="IndexLink"/>
              </w:rPr>
              <w:t>327</w:t>
            </w:r>
          </w:hyperlink>
        </w:p>
        <w:p>
          <w:pPr>
            <w:pStyle w:val="Contents6"/>
            <w:tabs>
              <w:tab w:val="clear" w:pos="7609"/>
              <w:tab w:val="right" w:pos="9026" w:leader="dot"/>
            </w:tabs>
            <w:rPr/>
          </w:pPr>
          <w:hyperlink w:anchor="__RefHeading___Toc2586739_1280447820">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2586741_1280447820">
            <w:r>
              <w:rPr>
                <w:webHidden/>
                <w:rStyle w:val="IndexLink"/>
                <w:rtl w:val="true"/>
              </w:rPr>
              <w:t>و ينبغي التنبيه على أمرين</w:t>
            </w:r>
            <w:r>
              <w:rPr>
                <w:rStyle w:val="IndexLink"/>
                <w:rtl w:val="true"/>
              </w:rPr>
              <w:t>:</w:t>
              <w:tab/>
            </w:r>
            <w:r>
              <w:rPr>
                <w:rStyle w:val="IndexLink"/>
              </w:rPr>
              <w:t>337</w:t>
            </w:r>
          </w:hyperlink>
        </w:p>
        <w:p>
          <w:pPr>
            <w:pStyle w:val="Contents6"/>
            <w:tabs>
              <w:tab w:val="clear" w:pos="7609"/>
              <w:tab w:val="right" w:pos="9026" w:leader="dot"/>
            </w:tabs>
            <w:rPr/>
          </w:pPr>
          <w:hyperlink w:anchor="__RefHeading___Toc2586743_1280447820">
            <w:r>
              <w:rPr>
                <w:webHidden/>
                <w:rStyle w:val="IndexLink"/>
                <w:rtl w:val="true"/>
              </w:rPr>
              <w:t>أحدهما</w:t>
            </w:r>
            <w:r>
              <w:rPr>
                <w:rStyle w:val="IndexLink"/>
                <w:rtl w:val="true"/>
              </w:rPr>
              <w:t xml:space="preserve">: </w:t>
            </w:r>
            <w:r>
              <w:rPr>
                <w:rStyle w:val="IndexLink"/>
                <w:rtl w:val="true"/>
              </w:rPr>
              <w:t>أنّ المؤن هل يعتبر إخراجها قبل اعتبار النصاب</w:t>
            </w:r>
            <w:r>
              <w:rPr>
                <w:rStyle w:val="IndexLink"/>
                <w:rtl w:val="true"/>
              </w:rPr>
              <w:tab/>
            </w:r>
            <w:r>
              <w:rPr>
                <w:rStyle w:val="IndexLink"/>
              </w:rPr>
              <w:t>337</w:t>
            </w:r>
          </w:hyperlink>
        </w:p>
        <w:p>
          <w:pPr>
            <w:pStyle w:val="Contents6"/>
            <w:tabs>
              <w:tab w:val="clear" w:pos="7609"/>
              <w:tab w:val="right" w:pos="9026" w:leader="dot"/>
            </w:tabs>
            <w:rPr/>
          </w:pPr>
          <w:hyperlink w:anchor="__RefHeading___Toc2586745_1280447820">
            <w:r>
              <w:rPr>
                <w:webHidden/>
                <w:rStyle w:val="IndexLink"/>
                <w:rtl w:val="true"/>
              </w:rPr>
              <w:t>و ثانيهما</w:t>
            </w:r>
            <w:r>
              <w:rPr>
                <w:rStyle w:val="IndexLink"/>
                <w:rtl w:val="true"/>
              </w:rPr>
              <w:t xml:space="preserve">: </w:t>
            </w:r>
            <w:r>
              <w:rPr>
                <w:rStyle w:val="IndexLink"/>
                <w:rtl w:val="true"/>
              </w:rPr>
              <w:t>في بيان ضابط المئونة المعتبر استثناؤها</w:t>
            </w:r>
            <w:r>
              <w:rPr>
                <w:rStyle w:val="IndexLink"/>
                <w:rtl w:val="true"/>
              </w:rPr>
              <w:tab/>
            </w:r>
            <w:r>
              <w:rPr>
                <w:rStyle w:val="IndexLink"/>
              </w:rPr>
              <w:t>341</w:t>
            </w:r>
          </w:hyperlink>
        </w:p>
        <w:p>
          <w:pPr>
            <w:pStyle w:val="Contents6"/>
            <w:tabs>
              <w:tab w:val="clear" w:pos="7609"/>
              <w:tab w:val="right" w:pos="9026" w:leader="dot"/>
            </w:tabs>
            <w:rPr/>
          </w:pPr>
          <w:hyperlink w:anchor="__RefHeading___Toc2586747_1280447820">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2586749_1280447820">
            <w:r>
              <w:rPr>
                <w:webHidden/>
                <w:rStyle w:val="IndexLink"/>
                <w:rtl w:val="true"/>
              </w:rPr>
              <w:t>فروع</w:t>
            </w:r>
            <w:r>
              <w:rPr>
                <w:rStyle w:val="IndexLink"/>
                <w:rtl w:val="true"/>
              </w:rPr>
              <w:t>:</w:t>
              <w:tab/>
            </w:r>
            <w:r>
              <w:rPr>
                <w:rStyle w:val="IndexLink"/>
              </w:rPr>
              <w:t>349</w:t>
            </w:r>
          </w:hyperlink>
        </w:p>
        <w:p>
          <w:pPr>
            <w:pStyle w:val="Contents6"/>
            <w:tabs>
              <w:tab w:val="clear" w:pos="7609"/>
              <w:tab w:val="right" w:pos="9026" w:leader="dot"/>
            </w:tabs>
            <w:rPr/>
          </w:pPr>
          <w:hyperlink w:anchor="__RefHeading___Toc2586751_1280447820">
            <w:r>
              <w:rPr>
                <w:webHidden/>
                <w:rStyle w:val="IndexLink"/>
                <w:rtl w:val="true"/>
              </w:rPr>
              <w:t>الأوّل</w:t>
            </w:r>
            <w:r>
              <w:rPr>
                <w:rStyle w:val="IndexLink"/>
                <w:rtl w:val="true"/>
              </w:rPr>
              <w:t>: [</w:t>
            </w:r>
            <w:r>
              <w:rPr>
                <w:rStyle w:val="IndexLink"/>
                <w:rtl w:val="true"/>
              </w:rPr>
              <w:t>ما يأخذه الجائرون زيادة على الضريبة</w:t>
            </w:r>
            <w:r>
              <w:rPr>
                <w:rStyle w:val="IndexLink"/>
                <w:rtl w:val="true"/>
              </w:rPr>
              <w:t>]</w:t>
              <w:tab/>
            </w:r>
            <w:r>
              <w:rPr>
                <w:rStyle w:val="IndexLink"/>
              </w:rPr>
              <w:t>349</w:t>
            </w:r>
          </w:hyperlink>
        </w:p>
        <w:p>
          <w:pPr>
            <w:pStyle w:val="Contents6"/>
            <w:tabs>
              <w:tab w:val="clear" w:pos="7609"/>
              <w:tab w:val="right" w:pos="9026" w:leader="dot"/>
            </w:tabs>
            <w:rPr/>
          </w:pPr>
          <w:hyperlink w:anchor="__RefHeading___Toc2586753_1280447820">
            <w:r>
              <w:rPr>
                <w:webHidden/>
                <w:rStyle w:val="IndexLink"/>
                <w:rtl w:val="true"/>
              </w:rPr>
              <w:t>الثاني</w:t>
            </w:r>
            <w:r>
              <w:rPr>
                <w:rStyle w:val="IndexLink"/>
                <w:rtl w:val="true"/>
              </w:rPr>
              <w:t xml:space="preserve">: </w:t>
            </w:r>
            <w:r>
              <w:rPr>
                <w:rStyle w:val="IndexLink"/>
                <w:rtl w:val="true"/>
              </w:rPr>
              <w:t>لو ضرب السلطان الجائر على ملك المالك المختصّ به حصّة من حاصله</w:t>
            </w:r>
            <w:r>
              <w:rPr>
                <w:rStyle w:val="IndexLink"/>
                <w:rtl w:val="true"/>
              </w:rPr>
              <w:tab/>
            </w:r>
            <w:r>
              <w:rPr>
                <w:rStyle w:val="IndexLink"/>
              </w:rPr>
              <w:t>350</w:t>
            </w:r>
          </w:hyperlink>
        </w:p>
        <w:p>
          <w:pPr>
            <w:pStyle w:val="Contents6"/>
            <w:tabs>
              <w:tab w:val="clear" w:pos="7609"/>
              <w:tab w:val="right" w:pos="9026" w:leader="dot"/>
            </w:tabs>
            <w:rPr/>
          </w:pPr>
          <w:hyperlink w:anchor="__RefHeading___Toc2586755_1280447820">
            <w:r>
              <w:rPr>
                <w:webHidden/>
                <w:rStyle w:val="IndexLink"/>
                <w:rtl w:val="true"/>
              </w:rPr>
              <w:t>[</w:t>
            </w:r>
            <w:r>
              <w:rPr>
                <w:rStyle w:val="IndexLink"/>
                <w:rtl w:val="true"/>
              </w:rPr>
              <w:t>الثالث</w:t>
            </w:r>
            <w:r>
              <w:rPr>
                <w:rStyle w:val="IndexLink"/>
                <w:rtl w:val="true"/>
              </w:rPr>
              <w:t xml:space="preserve">: </w:t>
            </w:r>
            <w:r>
              <w:rPr>
                <w:rStyle w:val="IndexLink"/>
                <w:rtl w:val="true"/>
              </w:rPr>
              <w:t>اقسام المؤنة</w:t>
            </w:r>
            <w:r>
              <w:rPr>
                <w:rStyle w:val="IndexLink"/>
                <w:rtl w:val="true"/>
              </w:rPr>
              <w:t>]</w:t>
              <w:tab/>
            </w:r>
            <w:r>
              <w:rPr>
                <w:rStyle w:val="IndexLink"/>
              </w:rPr>
              <w:t>350</w:t>
            </w:r>
          </w:hyperlink>
        </w:p>
        <w:p>
          <w:pPr>
            <w:pStyle w:val="Contents6"/>
            <w:tabs>
              <w:tab w:val="clear" w:pos="7609"/>
              <w:tab w:val="right" w:pos="9026" w:leader="dot"/>
            </w:tabs>
            <w:rPr/>
          </w:pPr>
          <w:hyperlink w:anchor="__RefHeading___Toc2586757_1280447820">
            <w:r>
              <w:rPr>
                <w:webHidden/>
                <w:rStyle w:val="IndexLink"/>
                <w:rtl w:val="true"/>
              </w:rPr>
              <w:t>الرابع</w:t>
            </w:r>
            <w:r>
              <w:rPr>
                <w:rStyle w:val="IndexLink"/>
                <w:rtl w:val="true"/>
              </w:rPr>
              <w:t xml:space="preserve">: </w:t>
            </w:r>
            <w:r>
              <w:rPr>
                <w:rStyle w:val="IndexLink"/>
                <w:rtl w:val="true"/>
              </w:rPr>
              <w:t>لا يلحق بالمؤن المعتبر استثناؤها، ثمن الأرض المبتاعة و مئونة حفر القناة</w:t>
            </w:r>
            <w:r>
              <w:rPr>
                <w:rStyle w:val="IndexLink"/>
                <w:rtl w:val="true"/>
              </w:rPr>
              <w:tab/>
            </w:r>
            <w:r>
              <w:rPr>
                <w:rStyle w:val="IndexLink"/>
              </w:rPr>
              <w:t>350</w:t>
            </w:r>
          </w:hyperlink>
        </w:p>
        <w:p>
          <w:pPr>
            <w:pStyle w:val="Contents6"/>
            <w:tabs>
              <w:tab w:val="clear" w:pos="7609"/>
              <w:tab w:val="right" w:pos="9026" w:leader="dot"/>
            </w:tabs>
            <w:rPr/>
          </w:pPr>
          <w:hyperlink w:anchor="__RefHeading___Toc2586759_1280447820">
            <w:r>
              <w:rPr>
                <w:webHidden/>
                <w:rStyle w:val="IndexLink"/>
                <w:rtl w:val="true"/>
              </w:rPr>
              <w:t>المسألة الرابعة</w:t>
            </w:r>
            <w:r>
              <w:rPr>
                <w:rStyle w:val="IndexLink"/>
                <w:rtl w:val="true"/>
              </w:rPr>
              <w:t>: [</w:t>
            </w:r>
            <w:r>
              <w:rPr>
                <w:rStyle w:val="IndexLink"/>
                <w:rtl w:val="true"/>
              </w:rPr>
              <w:t>في القدر المخرج من الزكاة و الضابط فيه</w:t>
            </w:r>
            <w:r>
              <w:rPr>
                <w:rStyle w:val="IndexLink"/>
                <w:rtl w:val="true"/>
              </w:rPr>
              <w:t>]</w:t>
              <w:tab/>
            </w:r>
            <w:r>
              <w:rPr>
                <w:rStyle w:val="IndexLink"/>
              </w:rPr>
              <w:t>351</w:t>
            </w:r>
          </w:hyperlink>
        </w:p>
        <w:p>
          <w:pPr>
            <w:pStyle w:val="Contents6"/>
            <w:tabs>
              <w:tab w:val="clear" w:pos="7609"/>
              <w:tab w:val="right" w:pos="9026" w:leader="dot"/>
            </w:tabs>
            <w:rPr/>
          </w:pPr>
          <w:hyperlink w:anchor="__RefHeading___Toc2586761_1280447820">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2586763_1280447820">
            <w:r>
              <w:rPr>
                <w:webHidden/>
                <w:rStyle w:val="IndexLink"/>
                <w:rtl w:val="true"/>
              </w:rPr>
              <w:t>تذنيب</w:t>
            </w:r>
            <w:r>
              <w:rPr>
                <w:rStyle w:val="IndexLink"/>
                <w:rtl w:val="true"/>
              </w:rPr>
              <w:t>: [</w:t>
            </w:r>
            <w:r>
              <w:rPr>
                <w:rStyle w:val="IndexLink"/>
                <w:rtl w:val="true"/>
              </w:rPr>
              <w:t>لو اجتمع الأمران من السقاية</w:t>
            </w:r>
            <w:r>
              <w:rPr>
                <w:rStyle w:val="IndexLink"/>
                <w:rtl w:val="true"/>
              </w:rPr>
              <w:t>]</w:t>
              <w:tab/>
            </w:r>
            <w:r>
              <w:rPr>
                <w:rStyle w:val="IndexLink"/>
              </w:rPr>
              <w:t>355</w:t>
            </w:r>
          </w:hyperlink>
        </w:p>
        <w:p>
          <w:pPr>
            <w:pStyle w:val="Contents6"/>
            <w:tabs>
              <w:tab w:val="clear" w:pos="7609"/>
              <w:tab w:val="right" w:pos="9026" w:leader="dot"/>
            </w:tabs>
            <w:rPr/>
          </w:pPr>
          <w:hyperlink w:anchor="__RefHeading___Toc2586765_1280447820">
            <w:r>
              <w:rPr>
                <w:webHidden/>
                <w:rStyle w:val="IndexLink"/>
                <w:rtl w:val="true"/>
              </w:rPr>
              <w:t>المسألة الخامسة</w:t>
            </w:r>
            <w:r>
              <w:rPr>
                <w:rStyle w:val="IndexLink"/>
                <w:rtl w:val="true"/>
              </w:rPr>
              <w:t>: [</w:t>
            </w:r>
            <w:r>
              <w:rPr>
                <w:rStyle w:val="IndexLink"/>
                <w:rtl w:val="true"/>
              </w:rPr>
              <w:t>الملاك في المتفرّقات وحدة المالك</w:t>
            </w:r>
            <w:r>
              <w:rPr>
                <w:rStyle w:val="IndexLink"/>
                <w:rtl w:val="true"/>
              </w:rPr>
              <w:t>]</w:t>
              <w:tab/>
            </w:r>
            <w:r>
              <w:rPr>
                <w:rStyle w:val="IndexLink"/>
              </w:rPr>
              <w:t>358</w:t>
            </w:r>
          </w:hyperlink>
        </w:p>
        <w:p>
          <w:pPr>
            <w:pStyle w:val="Contents6"/>
            <w:tabs>
              <w:tab w:val="clear" w:pos="7609"/>
              <w:tab w:val="right" w:pos="9026" w:leader="dot"/>
            </w:tabs>
            <w:rPr/>
          </w:pPr>
          <w:hyperlink w:anchor="__RefHeading___Toc2586767_1280447820">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2586769_1280447820">
            <w:r>
              <w:rPr>
                <w:webHidden/>
                <w:rStyle w:val="IndexLink"/>
                <w:rtl w:val="true"/>
              </w:rPr>
              <w:t>فرعان</w:t>
            </w:r>
            <w:r>
              <w:rPr>
                <w:rStyle w:val="IndexLink"/>
                <w:rtl w:val="true"/>
              </w:rPr>
              <w:t>: [</w:t>
            </w:r>
            <w:r>
              <w:rPr>
                <w:rStyle w:val="IndexLink"/>
                <w:rtl w:val="true"/>
              </w:rPr>
              <w:t>في تجميع المتفرّقات</w:t>
            </w:r>
            <w:r>
              <w:rPr>
                <w:rStyle w:val="IndexLink"/>
                <w:rtl w:val="true"/>
              </w:rPr>
              <w:t>]</w:t>
              <w:tab/>
            </w:r>
            <w:r>
              <w:rPr>
                <w:rStyle w:val="IndexLink"/>
              </w:rPr>
              <w:t>358</w:t>
            </w:r>
          </w:hyperlink>
        </w:p>
        <w:p>
          <w:pPr>
            <w:pStyle w:val="Contents6"/>
            <w:tabs>
              <w:tab w:val="clear" w:pos="7609"/>
              <w:tab w:val="right" w:pos="9026" w:leader="dot"/>
            </w:tabs>
            <w:rPr/>
          </w:pPr>
          <w:hyperlink w:anchor="__RefHeading___Toc2586771_1280447820">
            <w:r>
              <w:rPr>
                <w:webHidden/>
                <w:rStyle w:val="IndexLink"/>
                <w:rtl w:val="true"/>
              </w:rPr>
              <w:t>المسألة السادسة</w:t>
            </w:r>
            <w:r>
              <w:rPr>
                <w:rStyle w:val="IndexLink"/>
                <w:rtl w:val="true"/>
              </w:rPr>
              <w:t>: [</w:t>
            </w:r>
            <w:r>
              <w:rPr>
                <w:rStyle w:val="IndexLink"/>
                <w:rtl w:val="true"/>
              </w:rPr>
              <w:t>عدم كفاية الرطب للزكاة</w:t>
            </w:r>
            <w:r>
              <w:rPr>
                <w:rStyle w:val="IndexLink"/>
                <w:rtl w:val="true"/>
              </w:rPr>
              <w:t>]</w:t>
              <w:tab/>
            </w:r>
            <w:r>
              <w:rPr>
                <w:rStyle w:val="IndexLink"/>
              </w:rPr>
              <w:t>359</w:t>
            </w:r>
          </w:hyperlink>
        </w:p>
        <w:p>
          <w:pPr>
            <w:pStyle w:val="Contents6"/>
            <w:tabs>
              <w:tab w:val="clear" w:pos="7609"/>
              <w:tab w:val="right" w:pos="9026" w:leader="dot"/>
            </w:tabs>
            <w:rPr/>
          </w:pPr>
          <w:hyperlink w:anchor="__RefHeading___Toc2586773_1280447820">
            <w:r>
              <w:rPr>
                <w:webHidden/>
                <w:rStyle w:val="IndexLink"/>
                <w:rtl w:val="true"/>
              </w:rPr>
              <w:t>المسألة السابعة</w:t>
            </w:r>
            <w:r>
              <w:rPr>
                <w:rStyle w:val="IndexLink"/>
                <w:rtl w:val="true"/>
              </w:rPr>
              <w:t>: [</w:t>
            </w:r>
            <w:r>
              <w:rPr>
                <w:rStyle w:val="IndexLink"/>
                <w:rtl w:val="true"/>
              </w:rPr>
              <w:t>لو مات المالك و عليه دين</w:t>
            </w:r>
            <w:r>
              <w:rPr>
                <w:rStyle w:val="IndexLink"/>
                <w:rtl w:val="true"/>
              </w:rPr>
              <w:t>]</w:t>
              <w:tab/>
            </w:r>
            <w:r>
              <w:rPr>
                <w:rStyle w:val="IndexLink"/>
              </w:rPr>
              <w:t>360</w:t>
            </w:r>
          </w:hyperlink>
        </w:p>
        <w:p>
          <w:pPr>
            <w:pStyle w:val="Contents6"/>
            <w:tabs>
              <w:tab w:val="clear" w:pos="7609"/>
              <w:tab w:val="right" w:pos="9026" w:leader="dot"/>
            </w:tabs>
            <w:rPr/>
          </w:pPr>
          <w:hyperlink w:anchor="__RefHeading___Toc2586775_1280447820">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2586777_1280447820">
            <w:r>
              <w:rPr>
                <w:webHidden/>
                <w:rStyle w:val="IndexLink"/>
                <w:rtl w:val="true"/>
              </w:rPr>
              <w:t>[</w:t>
            </w:r>
            <w:r>
              <w:rPr>
                <w:rStyle w:val="IndexLink"/>
                <w:rtl w:val="true"/>
              </w:rPr>
              <w:t>الخلاف في انتقال التركة إلى الورّاث مع استيعاب الدين</w:t>
            </w:r>
            <w:r>
              <w:rPr>
                <w:rStyle w:val="IndexLink"/>
                <w:rtl w:val="true"/>
              </w:rPr>
              <w:t>]</w:t>
              <w:tab/>
            </w:r>
            <w:r>
              <w:rPr>
                <w:rStyle w:val="IndexLink"/>
              </w:rPr>
              <w:t>362</w:t>
            </w:r>
          </w:hyperlink>
        </w:p>
        <w:p>
          <w:pPr>
            <w:pStyle w:val="Contents6"/>
            <w:tabs>
              <w:tab w:val="clear" w:pos="7609"/>
              <w:tab w:val="right" w:pos="9026" w:leader="dot"/>
            </w:tabs>
            <w:rPr/>
          </w:pPr>
          <w:hyperlink w:anchor="__RefHeading___Toc2586779_1280447820">
            <w:r>
              <w:rPr>
                <w:webHidden/>
                <w:rStyle w:val="IndexLink"/>
                <w:rtl w:val="true"/>
              </w:rPr>
              <w:t>المسألة الثامنة</w:t>
            </w:r>
            <w:r>
              <w:rPr>
                <w:rStyle w:val="IndexLink"/>
                <w:rtl w:val="true"/>
              </w:rPr>
              <w:t xml:space="preserve">: </w:t>
            </w:r>
            <w:r>
              <w:rPr>
                <w:rStyle w:val="IndexLink"/>
                <w:rtl w:val="true"/>
              </w:rPr>
              <w:t>في أنّ الزكاة تتعلّق بالعين</w:t>
            </w:r>
            <w:r>
              <w:rPr>
                <w:rStyle w:val="IndexLink"/>
                <w:rtl w:val="true"/>
              </w:rPr>
              <w:tab/>
            </w:r>
            <w:r>
              <w:rPr>
                <w:rStyle w:val="IndexLink"/>
              </w:rPr>
              <w:t>374</w:t>
            </w:r>
          </w:hyperlink>
        </w:p>
        <w:p>
          <w:pPr>
            <w:pStyle w:val="Contents6"/>
            <w:tabs>
              <w:tab w:val="clear" w:pos="7609"/>
              <w:tab w:val="right" w:pos="9026" w:leader="dot"/>
            </w:tabs>
            <w:rPr/>
          </w:pPr>
          <w:hyperlink w:anchor="__RefHeading___Toc2586781_1280447820">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2586783_1280447820">
            <w:r>
              <w:rPr>
                <w:webHidden/>
                <w:rStyle w:val="IndexLink"/>
                <w:rtl w:val="true"/>
              </w:rPr>
              <w:t>ثمّ إنّ هاهنا مسائل</w:t>
            </w:r>
            <w:r>
              <w:rPr>
                <w:rStyle w:val="IndexLink"/>
                <w:rtl w:val="true"/>
              </w:rPr>
              <w:t>:</w:t>
              <w:tab/>
            </w:r>
            <w:r>
              <w:rPr>
                <w:rStyle w:val="IndexLink"/>
              </w:rPr>
              <w:t>382</w:t>
            </w:r>
          </w:hyperlink>
        </w:p>
        <w:p>
          <w:pPr>
            <w:pStyle w:val="Contents6"/>
            <w:tabs>
              <w:tab w:val="clear" w:pos="7609"/>
              <w:tab w:val="right" w:pos="9026" w:leader="dot"/>
            </w:tabs>
            <w:rPr/>
          </w:pPr>
          <w:hyperlink w:anchor="__RefHeading___Toc2586785_1280447820">
            <w:r>
              <w:rPr>
                <w:webHidden/>
                <w:rStyle w:val="IndexLink"/>
                <w:rtl w:val="true"/>
              </w:rPr>
              <w:t>منها</w:t>
            </w:r>
            <w:r>
              <w:rPr>
                <w:rStyle w:val="IndexLink"/>
                <w:rtl w:val="true"/>
              </w:rPr>
              <w:t xml:space="preserve">: </w:t>
            </w:r>
            <w:r>
              <w:rPr>
                <w:rStyle w:val="IndexLink"/>
                <w:rtl w:val="true"/>
              </w:rPr>
              <w:t>أنّه لو تمكّن من إخراج الزكاة و إيصالها إلى المستحقّ أو الإمام أو الساعي و لم يفعل فقد فرّط،</w:t>
            </w:r>
            <w:r>
              <w:rPr>
                <w:rStyle w:val="IndexLink"/>
                <w:rtl w:val="true"/>
              </w:rPr>
              <w:tab/>
            </w:r>
            <w:r>
              <w:rPr>
                <w:rStyle w:val="IndexLink"/>
              </w:rPr>
              <w:t>382</w:t>
            </w:r>
          </w:hyperlink>
        </w:p>
        <w:p>
          <w:pPr>
            <w:pStyle w:val="Contents6"/>
            <w:tabs>
              <w:tab w:val="clear" w:pos="7609"/>
              <w:tab w:val="right" w:pos="9026" w:leader="dot"/>
            </w:tabs>
            <w:rPr/>
          </w:pPr>
          <w:hyperlink w:anchor="__RefHeading___Toc2586787_1280447820">
            <w:r>
              <w:rPr>
                <w:webHidden/>
                <w:rStyle w:val="IndexLink"/>
                <w:rtl w:val="true"/>
              </w:rPr>
              <w:t>[</w:t>
            </w:r>
            <w:r>
              <w:rPr>
                <w:rStyle w:val="IndexLink"/>
                <w:rtl w:val="true"/>
              </w:rPr>
              <w:t>تعلّق الزكاة بالصداق</w:t>
            </w:r>
            <w:r>
              <w:rPr>
                <w:rStyle w:val="IndexLink"/>
                <w:rtl w:val="true"/>
              </w:rPr>
              <w:t>]</w:t>
              <w:tab/>
            </w:r>
            <w:r>
              <w:rPr>
                <w:rStyle w:val="IndexLink"/>
              </w:rPr>
              <w:t>382</w:t>
            </w:r>
          </w:hyperlink>
        </w:p>
        <w:p>
          <w:pPr>
            <w:pStyle w:val="Contents6"/>
            <w:tabs>
              <w:tab w:val="clear" w:pos="7609"/>
              <w:tab w:val="right" w:pos="9026" w:leader="dot"/>
            </w:tabs>
            <w:rPr/>
          </w:pPr>
          <w:hyperlink w:anchor="__RefHeading___Toc2586789_1280447820">
            <w:r>
              <w:rPr>
                <w:webHidden/>
                <w:rStyle w:val="IndexLink"/>
                <w:rtl w:val="true"/>
              </w:rPr>
              <w:t>[</w:t>
            </w:r>
            <w:r>
              <w:rPr>
                <w:rStyle w:val="IndexLink"/>
                <w:rtl w:val="true"/>
              </w:rPr>
              <w:t>تكرّر الأحوال المتعدّدة على النصاب</w:t>
            </w:r>
            <w:r>
              <w:rPr>
                <w:rStyle w:val="IndexLink"/>
                <w:rtl w:val="true"/>
              </w:rPr>
              <w:t>]</w:t>
              <w:tab/>
            </w:r>
            <w:r>
              <w:rPr>
                <w:rStyle w:val="IndexLink"/>
              </w:rPr>
              <w:t>383</w:t>
            </w:r>
          </w:hyperlink>
        </w:p>
        <w:p>
          <w:pPr>
            <w:pStyle w:val="Contents6"/>
            <w:tabs>
              <w:tab w:val="clear" w:pos="7609"/>
              <w:tab w:val="right" w:pos="9026" w:leader="dot"/>
            </w:tabs>
            <w:rPr/>
          </w:pPr>
          <w:hyperlink w:anchor="__RefHeading___Toc2586791_1280447820">
            <w:r>
              <w:rPr>
                <w:webHidden/>
                <w:rStyle w:val="IndexLink"/>
                <w:rtl w:val="true"/>
              </w:rPr>
              <w:t>[</w:t>
            </w:r>
            <w:r>
              <w:rPr>
                <w:rStyle w:val="IndexLink"/>
                <w:rtl w:val="true"/>
              </w:rPr>
              <w:t>التجانس في الأنعام</w:t>
            </w:r>
            <w:r>
              <w:rPr>
                <w:rStyle w:val="IndexLink"/>
                <w:rtl w:val="true"/>
              </w:rPr>
              <w:t>]</w:t>
              <w:tab/>
            </w:r>
            <w:r>
              <w:rPr>
                <w:rStyle w:val="IndexLink"/>
              </w:rPr>
              <w:t>386</w:t>
            </w:r>
          </w:hyperlink>
        </w:p>
        <w:p>
          <w:pPr>
            <w:pStyle w:val="Contents6"/>
            <w:tabs>
              <w:tab w:val="clear" w:pos="7609"/>
              <w:tab w:val="right" w:pos="9026" w:leader="dot"/>
            </w:tabs>
            <w:rPr/>
          </w:pPr>
          <w:hyperlink w:anchor="__RefHeading___Toc2586793_1280447820">
            <w:r>
              <w:rPr>
                <w:webHidden/>
                <w:rStyle w:val="IndexLink"/>
                <w:rtl w:val="true"/>
              </w:rPr>
              <w:t>[</w:t>
            </w:r>
            <w:r>
              <w:rPr>
                <w:rStyle w:val="IndexLink"/>
                <w:rtl w:val="true"/>
              </w:rPr>
              <w:t>قبول ادّعاء المالك من دون بيّنة و يمين</w:t>
            </w:r>
            <w:r>
              <w:rPr>
                <w:rStyle w:val="IndexLink"/>
                <w:rtl w:val="true"/>
              </w:rPr>
              <w:t>]</w:t>
              <w:tab/>
            </w:r>
            <w:r>
              <w:rPr>
                <w:rStyle w:val="IndexLink"/>
              </w:rPr>
              <w:t>387</w:t>
            </w:r>
          </w:hyperlink>
        </w:p>
        <w:p>
          <w:pPr>
            <w:pStyle w:val="Contents6"/>
            <w:tabs>
              <w:tab w:val="clear" w:pos="7609"/>
              <w:tab w:val="right" w:pos="9026" w:leader="dot"/>
            </w:tabs>
            <w:rPr/>
          </w:pPr>
          <w:hyperlink w:anchor="__RefHeading___Toc2586795_1280447820">
            <w:r>
              <w:rPr>
                <w:webHidden/>
                <w:rStyle w:val="IndexLink"/>
                <w:rtl w:val="true"/>
              </w:rPr>
              <w:t>[</w:t>
            </w:r>
            <w:r>
              <w:rPr>
                <w:rStyle w:val="IndexLink"/>
                <w:rtl w:val="true"/>
              </w:rPr>
              <w:t>جواز الخرص</w:t>
            </w:r>
            <w:r>
              <w:rPr>
                <w:rStyle w:val="IndexLink"/>
                <w:rtl w:val="true"/>
              </w:rPr>
              <w:t>]</w:t>
              <w:tab/>
            </w:r>
            <w:r>
              <w:rPr>
                <w:rStyle w:val="IndexLink"/>
              </w:rPr>
              <w:t>388</w:t>
            </w:r>
          </w:hyperlink>
        </w:p>
        <w:p>
          <w:pPr>
            <w:pStyle w:val="Contents6"/>
            <w:tabs>
              <w:tab w:val="clear" w:pos="7609"/>
              <w:tab w:val="right" w:pos="9026" w:leader="dot"/>
            </w:tabs>
            <w:rPr/>
          </w:pPr>
          <w:hyperlink w:anchor="__RefHeading___Toc2586797_1280447820">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2586799_1280447820">
            <w:r>
              <w:rPr>
                <w:webHidden/>
                <w:rStyle w:val="IndexLink"/>
                <w:rtl w:val="true"/>
              </w:rPr>
              <w:t>في وقت الخرص</w:t>
            </w:r>
            <w:r>
              <w:rPr>
                <w:rStyle w:val="IndexLink"/>
                <w:rtl w:val="true"/>
              </w:rPr>
              <w:tab/>
            </w:r>
            <w:r>
              <w:rPr>
                <w:rStyle w:val="IndexLink"/>
              </w:rPr>
              <w:t>390</w:t>
            </w:r>
          </w:hyperlink>
        </w:p>
        <w:p>
          <w:pPr>
            <w:pStyle w:val="Contents6"/>
            <w:tabs>
              <w:tab w:val="clear" w:pos="7609"/>
              <w:tab w:val="right" w:pos="9026" w:leader="dot"/>
            </w:tabs>
            <w:rPr/>
          </w:pPr>
          <w:hyperlink w:anchor="__RefHeading___Toc2586801_1280447820">
            <w:r>
              <w:rPr>
                <w:webHidden/>
                <w:rStyle w:val="IndexLink"/>
                <w:rtl w:val="true"/>
              </w:rPr>
              <w:t>[</w:t>
            </w:r>
            <w:r>
              <w:rPr>
                <w:rStyle w:val="IndexLink"/>
                <w:rtl w:val="true"/>
              </w:rPr>
              <w:t>عدد الخارصين</w:t>
            </w:r>
            <w:r>
              <w:rPr>
                <w:rStyle w:val="IndexLink"/>
                <w:rtl w:val="true"/>
              </w:rPr>
              <w:t>]</w:t>
              <w:tab/>
            </w:r>
            <w:r>
              <w:rPr>
                <w:rStyle w:val="IndexLink"/>
              </w:rPr>
              <w:t>391</w:t>
            </w:r>
          </w:hyperlink>
        </w:p>
        <w:p>
          <w:pPr>
            <w:pStyle w:val="Contents6"/>
            <w:tabs>
              <w:tab w:val="clear" w:pos="7609"/>
              <w:tab w:val="right" w:pos="9026" w:leader="dot"/>
            </w:tabs>
            <w:rPr/>
          </w:pPr>
          <w:hyperlink w:anchor="__RefHeading___Toc2586803_1280447820">
            <w:r>
              <w:rPr>
                <w:webHidden/>
                <w:rStyle w:val="IndexLink"/>
                <w:rtl w:val="true"/>
              </w:rPr>
              <w:t>بيان كيفيّة الخرص</w:t>
            </w:r>
            <w:r>
              <w:rPr>
                <w:rStyle w:val="IndexLink"/>
                <w:rtl w:val="true"/>
              </w:rPr>
              <w:tab/>
            </w:r>
            <w:r>
              <w:rPr>
                <w:rStyle w:val="IndexLink"/>
              </w:rPr>
              <w:t>392</w:t>
            </w:r>
          </w:hyperlink>
        </w:p>
        <w:p>
          <w:pPr>
            <w:pStyle w:val="Contents5"/>
            <w:tabs>
              <w:tab w:val="clear" w:pos="7892"/>
              <w:tab w:val="right" w:pos="9026" w:leader="dot"/>
            </w:tabs>
            <w:rPr/>
          </w:pPr>
          <w:hyperlink w:anchor="__RefHeading___Toc2586805_1280447820">
            <w:r>
              <w:rPr>
                <w:webHidden/>
                <w:rStyle w:val="IndexLink"/>
                <w:rtl w:val="true"/>
              </w:rPr>
              <w:t>ينبوع القول في مال التجارة</w:t>
            </w:r>
            <w:r>
              <w:rPr>
                <w:rStyle w:val="IndexLink"/>
                <w:rtl w:val="true"/>
              </w:rPr>
              <w:tab/>
            </w:r>
            <w:r>
              <w:rPr>
                <w:rStyle w:val="IndexLink"/>
              </w:rPr>
              <w:t>395</w:t>
            </w:r>
          </w:hyperlink>
        </w:p>
        <w:p>
          <w:pPr>
            <w:pStyle w:val="Contents6"/>
            <w:tabs>
              <w:tab w:val="clear" w:pos="7609"/>
              <w:tab w:val="right" w:pos="9026" w:leader="dot"/>
            </w:tabs>
            <w:rPr/>
          </w:pPr>
          <w:hyperlink w:anchor="__RefHeading___Toc2586807_1280447820">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2586809_1280447820">
            <w:r>
              <w:rPr>
                <w:webHidden/>
                <w:rStyle w:val="IndexLink"/>
                <w:rtl w:val="true"/>
              </w:rPr>
              <w:t>[</w:t>
            </w:r>
            <w:r>
              <w:rPr>
                <w:rStyle w:val="IndexLink"/>
                <w:rtl w:val="true"/>
              </w:rPr>
              <w:t>حكم الزكاة فى مال التجارة</w:t>
            </w:r>
            <w:r>
              <w:rPr>
                <w:rStyle w:val="IndexLink"/>
                <w:rtl w:val="true"/>
              </w:rPr>
              <w:t>]</w:t>
              <w:tab/>
            </w:r>
            <w:r>
              <w:rPr>
                <w:rStyle w:val="IndexLink"/>
              </w:rPr>
              <w:t>402</w:t>
            </w:r>
          </w:hyperlink>
        </w:p>
        <w:p>
          <w:pPr>
            <w:pStyle w:val="Contents6"/>
            <w:tabs>
              <w:tab w:val="clear" w:pos="7609"/>
              <w:tab w:val="right" w:pos="9026" w:leader="dot"/>
            </w:tabs>
            <w:rPr/>
          </w:pPr>
          <w:hyperlink w:anchor="__RefHeading___Toc2586811_1280447820">
            <w:r>
              <w:rPr>
                <w:webHidden/>
                <w:rStyle w:val="IndexLink"/>
                <w:rtl w:val="true"/>
              </w:rPr>
              <w:t>[</w:t>
            </w:r>
            <w:r>
              <w:rPr>
                <w:rStyle w:val="IndexLink"/>
                <w:rtl w:val="true"/>
              </w:rPr>
              <w:t>شروط استحباب الزكاة في مال التجارة</w:t>
            </w:r>
            <w:r>
              <w:rPr>
                <w:rStyle w:val="IndexLink"/>
                <w:rtl w:val="true"/>
              </w:rPr>
              <w:t>]</w:t>
              <w:tab/>
            </w:r>
            <w:r>
              <w:rPr>
                <w:rStyle w:val="IndexLink"/>
              </w:rPr>
              <w:t>406</w:t>
            </w:r>
          </w:hyperlink>
        </w:p>
        <w:p>
          <w:pPr>
            <w:pStyle w:val="Contents6"/>
            <w:tabs>
              <w:tab w:val="clear" w:pos="7609"/>
              <w:tab w:val="right" w:pos="9026" w:leader="dot"/>
            </w:tabs>
            <w:rPr/>
          </w:pPr>
          <w:hyperlink w:anchor="__RefHeading___Toc2586813_1280447820">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2586815_1280447820">
            <w:r>
              <w:rPr>
                <w:webHidden/>
                <w:rStyle w:val="IndexLink"/>
                <w:rtl w:val="true"/>
              </w:rPr>
              <w:t>منها</w:t>
            </w:r>
            <w:r>
              <w:rPr>
                <w:rStyle w:val="IndexLink"/>
                <w:rtl w:val="true"/>
              </w:rPr>
              <w:t xml:space="preserve">: </w:t>
            </w:r>
            <w:r>
              <w:rPr>
                <w:rStyle w:val="IndexLink"/>
                <w:rtl w:val="true"/>
              </w:rPr>
              <w:t>وجود رأس المال طول الحول</w:t>
            </w:r>
            <w:r>
              <w:rPr>
                <w:rStyle w:val="IndexLink"/>
                <w:rtl w:val="true"/>
              </w:rPr>
              <w:tab/>
            </w:r>
            <w:r>
              <w:rPr>
                <w:rStyle w:val="IndexLink"/>
              </w:rPr>
              <w:t>406</w:t>
            </w:r>
          </w:hyperlink>
        </w:p>
        <w:p>
          <w:pPr>
            <w:pStyle w:val="Contents6"/>
            <w:tabs>
              <w:tab w:val="clear" w:pos="7609"/>
              <w:tab w:val="right" w:pos="9026" w:leader="dot"/>
            </w:tabs>
            <w:rPr/>
          </w:pPr>
          <w:hyperlink w:anchor="__RefHeading___Toc2586817_1280447820">
            <w:r>
              <w:rPr>
                <w:webHidden/>
                <w:rStyle w:val="IndexLink"/>
                <w:rtl w:val="true"/>
              </w:rPr>
              <w:t>[</w:t>
            </w:r>
            <w:r>
              <w:rPr>
                <w:rStyle w:val="IndexLink"/>
                <w:rtl w:val="true"/>
              </w:rPr>
              <w:t>شرط الحول</w:t>
            </w:r>
            <w:r>
              <w:rPr>
                <w:rStyle w:val="IndexLink"/>
                <w:rtl w:val="true"/>
              </w:rPr>
              <w:t>]</w:t>
              <w:tab/>
            </w:r>
            <w:r>
              <w:rPr>
                <w:rStyle w:val="IndexLink"/>
              </w:rPr>
              <w:t>407</w:t>
            </w:r>
          </w:hyperlink>
        </w:p>
        <w:p>
          <w:pPr>
            <w:pStyle w:val="Contents6"/>
            <w:tabs>
              <w:tab w:val="clear" w:pos="7609"/>
              <w:tab w:val="right" w:pos="9026" w:leader="dot"/>
            </w:tabs>
            <w:rPr/>
          </w:pPr>
          <w:hyperlink w:anchor="__RefHeading___Toc2586819_1280447820">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2586821_1280447820">
            <w:r>
              <w:rPr>
                <w:webHidden/>
                <w:rStyle w:val="IndexLink"/>
                <w:rtl w:val="true"/>
              </w:rPr>
              <w:t>[</w:t>
            </w:r>
            <w:r>
              <w:rPr>
                <w:rStyle w:val="IndexLink"/>
                <w:rtl w:val="true"/>
              </w:rPr>
              <w:t>لو تبدّلت الأعيان في أثناء الحول سقطت الزكاة</w:t>
            </w:r>
            <w:r>
              <w:rPr>
                <w:rStyle w:val="IndexLink"/>
                <w:rtl w:val="true"/>
              </w:rPr>
              <w:t>]</w:t>
              <w:tab/>
            </w:r>
            <w:r>
              <w:rPr>
                <w:rStyle w:val="IndexLink"/>
              </w:rPr>
              <w:t>408</w:t>
            </w:r>
          </w:hyperlink>
        </w:p>
        <w:p>
          <w:pPr>
            <w:pStyle w:val="Contents6"/>
            <w:tabs>
              <w:tab w:val="clear" w:pos="7609"/>
              <w:tab w:val="right" w:pos="9026" w:leader="dot"/>
            </w:tabs>
            <w:rPr/>
          </w:pPr>
          <w:hyperlink w:anchor="__RefHeading___Toc2586823_1280447820">
            <w:r>
              <w:rPr>
                <w:webHidden/>
                <w:rStyle w:val="IndexLink"/>
                <w:rtl w:val="true"/>
              </w:rPr>
              <w:t>[</w:t>
            </w:r>
            <w:r>
              <w:rPr>
                <w:rStyle w:val="IndexLink"/>
                <w:rtl w:val="true"/>
              </w:rPr>
              <w:t>بلوغ قيمة مال التجارة بأحد النقدين نصابا</w:t>
            </w:r>
            <w:r>
              <w:rPr>
                <w:rStyle w:val="IndexLink"/>
                <w:rtl w:val="true"/>
              </w:rPr>
              <w:t>]</w:t>
              <w:tab/>
            </w:r>
            <w:r>
              <w:rPr>
                <w:rStyle w:val="IndexLink"/>
              </w:rPr>
              <w:t>410</w:t>
            </w:r>
          </w:hyperlink>
        </w:p>
        <w:p>
          <w:pPr>
            <w:pStyle w:val="Contents6"/>
            <w:tabs>
              <w:tab w:val="clear" w:pos="7609"/>
              <w:tab w:val="right" w:pos="9026" w:leader="dot"/>
            </w:tabs>
            <w:rPr/>
          </w:pPr>
          <w:hyperlink w:anchor="__RefHeading___Toc2586825_1280447820">
            <w:r>
              <w:rPr>
                <w:webHidden/>
                <w:rStyle w:val="IndexLink"/>
                <w:rtl w:val="true"/>
              </w:rPr>
              <w:t>[</w:t>
            </w:r>
            <w:r>
              <w:rPr>
                <w:rStyle w:val="IndexLink"/>
                <w:rtl w:val="true"/>
              </w:rPr>
              <w:t>زكاة مال التجارة تتعلّق بالقيمة لا بالعين</w:t>
            </w:r>
            <w:r>
              <w:rPr>
                <w:rStyle w:val="IndexLink"/>
                <w:rtl w:val="true"/>
              </w:rPr>
              <w:t>]</w:t>
              <w:tab/>
            </w:r>
            <w:r>
              <w:rPr>
                <w:rStyle w:val="IndexLink"/>
              </w:rPr>
              <w:t>416</w:t>
            </w:r>
          </w:hyperlink>
        </w:p>
        <w:p>
          <w:pPr>
            <w:pStyle w:val="Contents6"/>
            <w:tabs>
              <w:tab w:val="clear" w:pos="7609"/>
              <w:tab w:val="right" w:pos="9026" w:leader="dot"/>
            </w:tabs>
            <w:rPr/>
          </w:pPr>
          <w:hyperlink w:anchor="__RefHeading___Toc2586827_1280447820">
            <w:r>
              <w:rPr>
                <w:webHidden/>
                <w:rStyle w:val="IndexLink"/>
                <w:rtl w:val="true"/>
              </w:rPr>
              <w:t>[</w:t>
            </w:r>
            <w:r>
              <w:rPr>
                <w:rStyle w:val="IndexLink"/>
                <w:rtl w:val="true"/>
              </w:rPr>
              <w:t>فوائد تعلّق الزكاة بالقيمة</w:t>
            </w:r>
            <w:r>
              <w:rPr>
                <w:rStyle w:val="IndexLink"/>
                <w:rtl w:val="true"/>
              </w:rPr>
              <w:t>]</w:t>
              <w:tab/>
            </w:r>
            <w:r>
              <w:rPr>
                <w:rStyle w:val="IndexLink"/>
              </w:rPr>
              <w:t>418</w:t>
            </w:r>
          </w:hyperlink>
        </w:p>
        <w:p>
          <w:pPr>
            <w:pStyle w:val="Contents6"/>
            <w:tabs>
              <w:tab w:val="clear" w:pos="7609"/>
              <w:tab w:val="right" w:pos="9026" w:leader="dot"/>
            </w:tabs>
            <w:rPr/>
          </w:pPr>
          <w:hyperlink w:anchor="__RefHeading___Toc2586829_1280447820">
            <w:r>
              <w:rPr>
                <w:webHidden/>
                <w:rStyle w:val="IndexLink"/>
                <w:rtl w:val="true"/>
              </w:rPr>
              <w:t>مسائل</w:t>
            </w:r>
            <w:r>
              <w:rPr>
                <w:rStyle w:val="IndexLink"/>
                <w:rtl w:val="true"/>
              </w:rPr>
              <w:t>:</w:t>
              <w:tab/>
            </w:r>
            <w:r>
              <w:rPr>
                <w:rStyle w:val="IndexLink"/>
              </w:rPr>
              <w:t>419</w:t>
            </w:r>
          </w:hyperlink>
        </w:p>
        <w:p>
          <w:pPr>
            <w:pStyle w:val="Contents6"/>
            <w:tabs>
              <w:tab w:val="clear" w:pos="7609"/>
              <w:tab w:val="right" w:pos="9026" w:leader="dot"/>
            </w:tabs>
            <w:rPr/>
          </w:pPr>
          <w:hyperlink w:anchor="__RefHeading___Toc2586831_1280447820">
            <w:r>
              <w:rPr>
                <w:webHidden/>
                <w:rStyle w:val="IndexLink"/>
                <w:rtl w:val="true"/>
              </w:rPr>
              <w:t>المسألة الاولى</w:t>
            </w:r>
            <w:r>
              <w:rPr>
                <w:rStyle w:val="IndexLink"/>
                <w:rtl w:val="true"/>
              </w:rPr>
              <w:t>: [</w:t>
            </w:r>
            <w:r>
              <w:rPr>
                <w:rStyle w:val="IndexLink"/>
                <w:rtl w:val="true"/>
              </w:rPr>
              <w:t>التجارة في النصب و اجتماع الزكاتين</w:t>
            </w:r>
            <w:r>
              <w:rPr>
                <w:rStyle w:val="IndexLink"/>
                <w:rtl w:val="true"/>
              </w:rPr>
              <w:t>]</w:t>
              <w:tab/>
            </w:r>
            <w:r>
              <w:rPr>
                <w:rStyle w:val="IndexLink"/>
              </w:rPr>
              <w:t>419</w:t>
            </w:r>
          </w:hyperlink>
        </w:p>
        <w:p>
          <w:pPr>
            <w:pStyle w:val="Contents6"/>
            <w:tabs>
              <w:tab w:val="clear" w:pos="7609"/>
              <w:tab w:val="right" w:pos="9026" w:leader="dot"/>
            </w:tabs>
            <w:rPr/>
          </w:pPr>
          <w:hyperlink w:anchor="__RefHeading___Toc2586833_1280447820">
            <w:r>
              <w:rPr>
                <w:webHidden/>
                <w:rStyle w:val="IndexLink"/>
                <w:rtl w:val="true"/>
              </w:rPr>
              <w:t>المسألة الثانية</w:t>
            </w:r>
            <w:r>
              <w:rPr>
                <w:rStyle w:val="IndexLink"/>
                <w:rtl w:val="true"/>
              </w:rPr>
              <w:t>: [</w:t>
            </w:r>
            <w:r>
              <w:rPr>
                <w:rStyle w:val="IndexLink"/>
                <w:rtl w:val="true"/>
              </w:rPr>
              <w:t>الزكاة في مال المضاربة و ربحها</w:t>
            </w:r>
            <w:r>
              <w:rPr>
                <w:rStyle w:val="IndexLink"/>
                <w:rtl w:val="true"/>
              </w:rPr>
              <w:t>]</w:t>
              <w:tab/>
            </w:r>
            <w:r>
              <w:rPr>
                <w:rStyle w:val="IndexLink"/>
              </w:rPr>
              <w:t>422</w:t>
            </w:r>
          </w:hyperlink>
        </w:p>
        <w:p>
          <w:pPr>
            <w:pStyle w:val="Contents6"/>
            <w:tabs>
              <w:tab w:val="clear" w:pos="7609"/>
              <w:tab w:val="right" w:pos="9026" w:leader="dot"/>
            </w:tabs>
            <w:rPr/>
          </w:pPr>
          <w:hyperlink w:anchor="__RefHeading___Toc2586835_1280447820">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2586837_1280447820">
            <w:r>
              <w:rPr>
                <w:webHidden/>
                <w:rStyle w:val="IndexLink"/>
                <w:rtl w:val="true"/>
              </w:rPr>
              <w:t>[</w:t>
            </w:r>
            <w:r>
              <w:rPr>
                <w:rStyle w:val="IndexLink"/>
                <w:rtl w:val="true"/>
              </w:rPr>
              <w:t>المنساق من نصوص زكاة التجارة</w:t>
            </w:r>
            <w:r>
              <w:rPr>
                <w:rStyle w:val="IndexLink"/>
                <w:rtl w:val="true"/>
              </w:rPr>
              <w:t>]</w:t>
              <w:tab/>
            </w:r>
            <w:r>
              <w:rPr>
                <w:rStyle w:val="IndexLink"/>
              </w:rPr>
              <w:t>424</w:t>
            </w:r>
          </w:hyperlink>
        </w:p>
        <w:p>
          <w:pPr>
            <w:pStyle w:val="Contents6"/>
            <w:tabs>
              <w:tab w:val="clear" w:pos="7609"/>
              <w:tab w:val="right" w:pos="9026" w:leader="dot"/>
            </w:tabs>
            <w:rPr/>
          </w:pPr>
          <w:hyperlink w:anchor="__RefHeading___Toc2586839_1280447820">
            <w:r>
              <w:rPr>
                <w:webHidden/>
                <w:rStyle w:val="IndexLink"/>
                <w:rtl w:val="true"/>
              </w:rPr>
              <w:t>[</w:t>
            </w:r>
            <w:r>
              <w:rPr>
                <w:rStyle w:val="IndexLink"/>
                <w:rtl w:val="true"/>
              </w:rPr>
              <w:t>معنى كون الربح وقاية الرأس المال</w:t>
            </w:r>
            <w:r>
              <w:rPr>
                <w:rStyle w:val="IndexLink"/>
                <w:rtl w:val="true"/>
              </w:rPr>
              <w:t>]</w:t>
              <w:tab/>
            </w:r>
            <w:r>
              <w:rPr>
                <w:rStyle w:val="IndexLink"/>
              </w:rPr>
              <w:t>424</w:t>
            </w:r>
          </w:hyperlink>
        </w:p>
        <w:p>
          <w:pPr>
            <w:pStyle w:val="Contents6"/>
            <w:tabs>
              <w:tab w:val="clear" w:pos="7609"/>
              <w:tab w:val="right" w:pos="9026" w:leader="dot"/>
            </w:tabs>
            <w:rPr/>
          </w:pPr>
          <w:hyperlink w:anchor="__RefHeading___Toc2586841_1280447820">
            <w:r>
              <w:rPr>
                <w:webHidden/>
                <w:rStyle w:val="IndexLink"/>
                <w:rtl w:val="true"/>
              </w:rPr>
              <w:t>المسألة الثالثة</w:t>
            </w:r>
            <w:r>
              <w:rPr>
                <w:rStyle w:val="IndexLink"/>
                <w:rtl w:val="true"/>
              </w:rPr>
              <w:t>: [</w:t>
            </w:r>
            <w:r>
              <w:rPr>
                <w:rStyle w:val="IndexLink"/>
                <w:rtl w:val="true"/>
              </w:rPr>
              <w:t>الدين لا يمنع الزكاة</w:t>
            </w:r>
            <w:r>
              <w:rPr>
                <w:rStyle w:val="IndexLink"/>
                <w:rtl w:val="true"/>
              </w:rPr>
              <w:t>]</w:t>
              <w:tab/>
            </w:r>
            <w:r>
              <w:rPr>
                <w:rStyle w:val="IndexLink"/>
              </w:rPr>
              <w:t>426</w:t>
            </w:r>
          </w:hyperlink>
        </w:p>
        <w:p>
          <w:pPr>
            <w:pStyle w:val="Contents6"/>
            <w:tabs>
              <w:tab w:val="clear" w:pos="7609"/>
              <w:tab w:val="right" w:pos="9026" w:leader="dot"/>
            </w:tabs>
            <w:rPr/>
          </w:pPr>
          <w:hyperlink w:anchor="__RefHeading___Toc2586843_1280447820">
            <w:r>
              <w:rPr>
                <w:webHidden/>
                <w:rStyle w:val="IndexLink"/>
                <w:rtl w:val="true"/>
              </w:rPr>
              <w:t>المسألة الرابعة</w:t>
            </w:r>
            <w:r>
              <w:rPr>
                <w:rStyle w:val="IndexLink"/>
                <w:rtl w:val="true"/>
              </w:rPr>
              <w:t>: [</w:t>
            </w:r>
            <w:r>
              <w:rPr>
                <w:rStyle w:val="IndexLink"/>
                <w:rtl w:val="true"/>
              </w:rPr>
              <w:t>الزكاة في نماء العقارات و الخيول السائمة</w:t>
            </w:r>
            <w:r>
              <w:rPr>
                <w:rStyle w:val="IndexLink"/>
                <w:rtl w:val="true"/>
              </w:rPr>
              <w:t>]</w:t>
              <w:tab/>
            </w:r>
            <w:r>
              <w:rPr>
                <w:rStyle w:val="IndexLink"/>
              </w:rPr>
              <w:t>427</w:t>
            </w:r>
          </w:hyperlink>
        </w:p>
        <w:p>
          <w:pPr>
            <w:pStyle w:val="Contents6"/>
            <w:tabs>
              <w:tab w:val="clear" w:pos="7609"/>
              <w:tab w:val="right" w:pos="9026" w:leader="dot"/>
            </w:tabs>
            <w:rPr/>
          </w:pPr>
          <w:hyperlink w:anchor="__RefHeading___Toc2586845_1280447820">
            <w:r>
              <w:rPr>
                <w:webHidden/>
                <w:rStyle w:val="IndexLink"/>
                <w:rtl w:val="true"/>
              </w:rPr>
              <w:t>المسألة الخامسة</w:t>
            </w:r>
            <w:r>
              <w:rPr>
                <w:rStyle w:val="IndexLink"/>
                <w:rtl w:val="true"/>
              </w:rPr>
              <w:t xml:space="preserve">: </w:t>
            </w:r>
            <w:r>
              <w:rPr>
                <w:rStyle w:val="IndexLink"/>
                <w:rtl w:val="true"/>
              </w:rPr>
              <w:t>قال في الشرائع</w:t>
            </w:r>
            <w:r>
              <w:rPr>
                <w:rStyle w:val="IndexLink"/>
                <w:rtl w:val="true"/>
              </w:rPr>
              <w:t>: «</w:t>
            </w:r>
            <w:r>
              <w:rPr>
                <w:rStyle w:val="IndexLink"/>
                <w:rtl w:val="true"/>
              </w:rPr>
              <w:t>الخيل إذا كانت إناثا سائمة و حال عليها الحول ففي العتاق عن كلّ فرس ديناران،</w:t>
            </w:r>
            <w:r>
              <w:rPr>
                <w:rStyle w:val="IndexLink"/>
                <w:rtl w:val="true"/>
              </w:rPr>
              <w:tab/>
            </w:r>
            <w:r>
              <w:rPr>
                <w:rStyle w:val="IndexLink"/>
              </w:rPr>
              <w:t>429</w:t>
            </w:r>
          </w:hyperlink>
        </w:p>
        <w:p>
          <w:pPr>
            <w:pStyle w:val="Contents4"/>
            <w:tabs>
              <w:tab w:val="clear" w:pos="8176"/>
              <w:tab w:val="right" w:pos="9026" w:leader="dot"/>
            </w:tabs>
            <w:rPr/>
          </w:pPr>
          <w:hyperlink w:anchor="__RefHeading___Toc2586847_1280447820">
            <w:r>
              <w:rPr>
                <w:webHidden/>
                <w:rStyle w:val="IndexLink"/>
                <w:rtl w:val="true"/>
              </w:rPr>
              <w:t xml:space="preserve">المبحث الثالث </w:t>
            </w:r>
            <w:r>
              <w:rPr>
                <w:rStyle w:val="IndexLink"/>
                <w:rtl w:val="true"/>
              </w:rPr>
              <w:t>[</w:t>
            </w:r>
            <w:r>
              <w:rPr>
                <w:rStyle w:val="IndexLink"/>
                <w:rtl w:val="true"/>
              </w:rPr>
              <w:t>أصناف المستحقّين للزكاة</w:t>
            </w:r>
            <w:r>
              <w:rPr>
                <w:rStyle w:val="IndexLink"/>
                <w:rtl w:val="true"/>
              </w:rPr>
              <w:t>]</w:t>
              <w:tab/>
            </w:r>
            <w:r>
              <w:rPr>
                <w:rStyle w:val="IndexLink"/>
              </w:rPr>
              <w:t>430</w:t>
            </w:r>
          </w:hyperlink>
        </w:p>
        <w:p>
          <w:pPr>
            <w:pStyle w:val="Contents5"/>
            <w:tabs>
              <w:tab w:val="clear" w:pos="7892"/>
              <w:tab w:val="right" w:pos="9026" w:leader="dot"/>
            </w:tabs>
            <w:rPr/>
          </w:pPr>
          <w:hyperlink w:anchor="__RefHeading___Toc2586849_1280447820">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2586851_1280447820">
            <w:r>
              <w:rPr>
                <w:webHidden/>
                <w:rStyle w:val="IndexLink"/>
                <w:rtl w:val="true"/>
              </w:rPr>
              <w:t>الصنف الأوّل و الثاني</w:t>
            </w:r>
            <w:r>
              <w:rPr>
                <w:rStyle w:val="IndexLink"/>
                <w:rtl w:val="true"/>
              </w:rPr>
              <w:t xml:space="preserve">: </w:t>
            </w:r>
            <w:r>
              <w:rPr>
                <w:rStyle w:val="IndexLink"/>
                <w:rtl w:val="true"/>
              </w:rPr>
              <w:t>الفقراء و المساكين،</w:t>
            </w:r>
            <w:r>
              <w:rPr>
                <w:rStyle w:val="IndexLink"/>
                <w:rtl w:val="true"/>
              </w:rPr>
              <w:tab/>
            </w:r>
            <w:r>
              <w:rPr>
                <w:rStyle w:val="IndexLink"/>
              </w:rPr>
              <w:t>430</w:t>
            </w:r>
          </w:hyperlink>
        </w:p>
        <w:p>
          <w:pPr>
            <w:pStyle w:val="Contents6"/>
            <w:tabs>
              <w:tab w:val="clear" w:pos="7609"/>
              <w:tab w:val="right" w:pos="9026" w:leader="dot"/>
            </w:tabs>
            <w:rPr/>
          </w:pPr>
          <w:hyperlink w:anchor="__RefHeading___Toc2586853_1280447820">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2586855_1280447820">
            <w:r>
              <w:rPr>
                <w:webHidden/>
                <w:rStyle w:val="IndexLink"/>
                <w:rtl w:val="true"/>
              </w:rPr>
              <w:t>[</w:t>
            </w:r>
            <w:r>
              <w:rPr>
                <w:rStyle w:val="IndexLink"/>
                <w:rtl w:val="true"/>
              </w:rPr>
              <w:t>كلمات الأصحاب فى ما يتحقّق به الغنى</w:t>
            </w:r>
            <w:r>
              <w:rPr>
                <w:rStyle w:val="IndexLink"/>
                <w:rtl w:val="true"/>
              </w:rPr>
              <w:t>]</w:t>
              <w:tab/>
            </w:r>
            <w:r>
              <w:rPr>
                <w:rStyle w:val="IndexLink"/>
              </w:rPr>
              <w:t>433</w:t>
            </w:r>
          </w:hyperlink>
        </w:p>
        <w:p>
          <w:pPr>
            <w:pStyle w:val="Contents6"/>
            <w:tabs>
              <w:tab w:val="clear" w:pos="7609"/>
              <w:tab w:val="right" w:pos="9026" w:leader="dot"/>
            </w:tabs>
            <w:rPr/>
          </w:pPr>
          <w:hyperlink w:anchor="__RefHeading___Toc2586857_1280447820">
            <w:r>
              <w:rPr>
                <w:webHidden/>
                <w:rStyle w:val="IndexLink"/>
                <w:rtl w:val="true"/>
              </w:rPr>
              <w:t>[</w:t>
            </w:r>
            <w:r>
              <w:rPr>
                <w:rStyle w:val="IndexLink"/>
                <w:rtl w:val="true"/>
              </w:rPr>
              <w:t>الغنى في مساق الأخبار</w:t>
            </w:r>
            <w:r>
              <w:rPr>
                <w:rStyle w:val="IndexLink"/>
                <w:rtl w:val="true"/>
              </w:rPr>
              <w:t>]</w:t>
              <w:tab/>
            </w:r>
            <w:r>
              <w:rPr>
                <w:rStyle w:val="IndexLink"/>
              </w:rPr>
              <w:t>436</w:t>
            </w:r>
          </w:hyperlink>
        </w:p>
        <w:p>
          <w:pPr>
            <w:pStyle w:val="Contents6"/>
            <w:tabs>
              <w:tab w:val="clear" w:pos="7609"/>
              <w:tab w:val="right" w:pos="9026" w:leader="dot"/>
            </w:tabs>
            <w:rPr/>
          </w:pPr>
          <w:hyperlink w:anchor="__RefHeading___Toc2586859_1280447820">
            <w:r>
              <w:rPr>
                <w:webHidden/>
                <w:rStyle w:val="IndexLink"/>
                <w:rtl w:val="true"/>
              </w:rPr>
              <w:t>[</w:t>
            </w:r>
            <w:r>
              <w:rPr>
                <w:rStyle w:val="IndexLink"/>
                <w:rtl w:val="true"/>
              </w:rPr>
              <w:t>مسائل</w:t>
            </w:r>
            <w:r>
              <w:rPr>
                <w:rStyle w:val="IndexLink"/>
                <w:rtl w:val="true"/>
              </w:rPr>
              <w:t>]</w:t>
              <w:tab/>
            </w:r>
            <w:r>
              <w:rPr>
                <w:rStyle w:val="IndexLink"/>
              </w:rPr>
              <w:t>440</w:t>
            </w:r>
          </w:hyperlink>
        </w:p>
        <w:p>
          <w:pPr>
            <w:pStyle w:val="Contents6"/>
            <w:tabs>
              <w:tab w:val="clear" w:pos="7609"/>
              <w:tab w:val="right" w:pos="9026" w:leader="dot"/>
            </w:tabs>
            <w:rPr/>
          </w:pPr>
          <w:hyperlink w:anchor="__RefHeading___Toc2586861_1280447820">
            <w:r>
              <w:rPr>
                <w:webHidden/>
                <w:rStyle w:val="IndexLink"/>
                <w:rtl w:val="true"/>
              </w:rPr>
              <w:t>الاولى</w:t>
            </w:r>
            <w:r>
              <w:rPr>
                <w:rStyle w:val="IndexLink"/>
                <w:rtl w:val="true"/>
              </w:rPr>
              <w:t>: [</w:t>
            </w:r>
            <w:r>
              <w:rPr>
                <w:rStyle w:val="IndexLink"/>
                <w:rtl w:val="true"/>
              </w:rPr>
              <w:t>جواز أخذ الزكاة لمن يقصر عن كفايته</w:t>
            </w:r>
            <w:r>
              <w:rPr>
                <w:rStyle w:val="IndexLink"/>
                <w:rtl w:val="true"/>
              </w:rPr>
              <w:t>]</w:t>
              <w:tab/>
            </w:r>
            <w:r>
              <w:rPr>
                <w:rStyle w:val="IndexLink"/>
              </w:rPr>
              <w:t>440</w:t>
            </w:r>
          </w:hyperlink>
        </w:p>
        <w:p>
          <w:pPr>
            <w:pStyle w:val="Contents6"/>
            <w:tabs>
              <w:tab w:val="clear" w:pos="7609"/>
              <w:tab w:val="right" w:pos="9026" w:leader="dot"/>
            </w:tabs>
            <w:rPr/>
          </w:pPr>
          <w:hyperlink w:anchor="__RefHeading___Toc2586863_1280447820">
            <w:r>
              <w:rPr>
                <w:webHidden/>
                <w:rStyle w:val="IndexLink"/>
                <w:rtl w:val="true"/>
              </w:rPr>
              <w:t>الثانية</w:t>
            </w:r>
            <w:r>
              <w:rPr>
                <w:rStyle w:val="IndexLink"/>
                <w:rtl w:val="true"/>
              </w:rPr>
              <w:t xml:space="preserve">: </w:t>
            </w:r>
            <w:r>
              <w:rPr>
                <w:rStyle w:val="IndexLink"/>
                <w:rtl w:val="true"/>
              </w:rPr>
              <w:t>لو كان له مال معدّ للإنفاق من جنس أحد النقدين أو غيرهما</w:t>
            </w:r>
            <w:r>
              <w:rPr>
                <w:rStyle w:val="IndexLink"/>
                <w:rtl w:val="true"/>
              </w:rPr>
              <w:tab/>
            </w:r>
            <w:r>
              <w:rPr>
                <w:rStyle w:val="IndexLink"/>
              </w:rPr>
              <w:t>440</w:t>
            </w:r>
          </w:hyperlink>
        </w:p>
        <w:p>
          <w:pPr>
            <w:pStyle w:val="Contents6"/>
            <w:tabs>
              <w:tab w:val="clear" w:pos="7609"/>
              <w:tab w:val="right" w:pos="9026" w:leader="dot"/>
            </w:tabs>
            <w:rPr/>
          </w:pPr>
          <w:hyperlink w:anchor="__RefHeading___Toc2586865_1280447820">
            <w:r>
              <w:rPr>
                <w:webHidden/>
                <w:rStyle w:val="IndexLink"/>
                <w:rtl w:val="true"/>
              </w:rPr>
              <w:t>الثالثة</w:t>
            </w:r>
            <w:r>
              <w:rPr>
                <w:rStyle w:val="IndexLink"/>
                <w:rtl w:val="true"/>
              </w:rPr>
              <w:t>: [</w:t>
            </w:r>
            <w:r>
              <w:rPr>
                <w:rStyle w:val="IndexLink"/>
                <w:rtl w:val="true"/>
              </w:rPr>
              <w:t>شرط حلّيّة الزكاة للمكتسب</w:t>
            </w:r>
            <w:r>
              <w:rPr>
                <w:rStyle w:val="IndexLink"/>
                <w:rtl w:val="true"/>
              </w:rPr>
              <w:t>]</w:t>
              <w:tab/>
            </w:r>
            <w:r>
              <w:rPr>
                <w:rStyle w:val="IndexLink"/>
              </w:rPr>
              <w:t>441</w:t>
            </w:r>
          </w:hyperlink>
        </w:p>
        <w:p>
          <w:pPr>
            <w:pStyle w:val="Contents6"/>
            <w:tabs>
              <w:tab w:val="clear" w:pos="7609"/>
              <w:tab w:val="right" w:pos="9026" w:leader="dot"/>
            </w:tabs>
            <w:rPr/>
          </w:pPr>
          <w:hyperlink w:anchor="__RefHeading___Toc2586867_1280447820">
            <w:r>
              <w:rPr>
                <w:webHidden/>
                <w:rStyle w:val="IndexLink"/>
                <w:rtl w:val="true"/>
              </w:rPr>
              <w:t>الرابعة</w:t>
            </w:r>
            <w:r>
              <w:rPr>
                <w:rStyle w:val="IndexLink"/>
                <w:rtl w:val="true"/>
              </w:rPr>
              <w:t>: [</w:t>
            </w:r>
            <w:r>
              <w:rPr>
                <w:rStyle w:val="IndexLink"/>
                <w:rtl w:val="true"/>
              </w:rPr>
              <w:t>إعطاء الزكاة للفقراء و إن كان لهم الدار و الخادم</w:t>
            </w:r>
            <w:r>
              <w:rPr>
                <w:rStyle w:val="IndexLink"/>
                <w:rtl w:val="true"/>
              </w:rPr>
              <w:t>]</w:t>
              <w:tab/>
            </w:r>
            <w:r>
              <w:rPr>
                <w:rStyle w:val="IndexLink"/>
              </w:rPr>
              <w:t>445</w:t>
            </w:r>
          </w:hyperlink>
        </w:p>
        <w:p>
          <w:pPr>
            <w:pStyle w:val="Contents6"/>
            <w:tabs>
              <w:tab w:val="clear" w:pos="7609"/>
              <w:tab w:val="right" w:pos="9026" w:leader="dot"/>
            </w:tabs>
            <w:rPr/>
          </w:pPr>
          <w:hyperlink w:anchor="__RefHeading___Toc2586869_1280447820">
            <w:r>
              <w:rPr>
                <w:webHidden/>
                <w:rStyle w:val="IndexLink"/>
                <w:rtl w:val="true"/>
              </w:rPr>
              <w:t>الخامسة</w:t>
            </w:r>
            <w:r>
              <w:rPr>
                <w:rStyle w:val="IndexLink"/>
                <w:rtl w:val="true"/>
              </w:rPr>
              <w:t>: [</w:t>
            </w:r>
            <w:r>
              <w:rPr>
                <w:rStyle w:val="IndexLink"/>
                <w:rtl w:val="true"/>
              </w:rPr>
              <w:t>جواز إعطاء الفقير مقدار ما يغنيه</w:t>
            </w:r>
            <w:r>
              <w:rPr>
                <w:rStyle w:val="IndexLink"/>
                <w:rtl w:val="true"/>
              </w:rPr>
              <w:t>]</w:t>
              <w:tab/>
            </w:r>
            <w:r>
              <w:rPr>
                <w:rStyle w:val="IndexLink"/>
              </w:rPr>
              <w:t>447</w:t>
            </w:r>
          </w:hyperlink>
        </w:p>
        <w:p>
          <w:pPr>
            <w:pStyle w:val="Contents6"/>
            <w:tabs>
              <w:tab w:val="clear" w:pos="7609"/>
              <w:tab w:val="right" w:pos="9026" w:leader="dot"/>
            </w:tabs>
            <w:rPr/>
          </w:pPr>
          <w:hyperlink w:anchor="__RefHeading___Toc2586871_1280447820">
            <w:r>
              <w:rPr>
                <w:webHidden/>
                <w:rStyle w:val="IndexLink"/>
                <w:rtl w:val="true"/>
              </w:rPr>
              <w:t>السادسة</w:t>
            </w:r>
            <w:r>
              <w:rPr>
                <w:rStyle w:val="IndexLink"/>
                <w:rtl w:val="true"/>
              </w:rPr>
              <w:t>: [</w:t>
            </w:r>
            <w:r>
              <w:rPr>
                <w:rStyle w:val="IndexLink"/>
                <w:rtl w:val="true"/>
              </w:rPr>
              <w:t>من ادّعى الفقر طلبا للزكاة</w:t>
            </w:r>
            <w:r>
              <w:rPr>
                <w:rStyle w:val="IndexLink"/>
                <w:rtl w:val="true"/>
              </w:rPr>
              <w:t>]</w:t>
              <w:tab/>
            </w:r>
            <w:r>
              <w:rPr>
                <w:rStyle w:val="IndexLink"/>
              </w:rPr>
              <w:t>451</w:t>
            </w:r>
          </w:hyperlink>
        </w:p>
        <w:p>
          <w:pPr>
            <w:pStyle w:val="Contents6"/>
            <w:tabs>
              <w:tab w:val="clear" w:pos="7609"/>
              <w:tab w:val="right" w:pos="9026" w:leader="dot"/>
            </w:tabs>
            <w:rPr/>
          </w:pPr>
          <w:hyperlink w:anchor="__RefHeading___Toc2586873_1280447820">
            <w:r>
              <w:rPr>
                <w:webHidden/>
                <w:rStyle w:val="IndexLink"/>
                <w:rtl w:val="true"/>
              </w:rPr>
              <w:t>اشارة</w:t>
            </w:r>
            <w:r>
              <w:rPr>
                <w:rStyle w:val="IndexLink"/>
                <w:rtl w:val="true"/>
              </w:rPr>
              <w:tab/>
            </w:r>
            <w:r>
              <w:rPr>
                <w:rStyle w:val="IndexLink"/>
              </w:rPr>
              <w:t>451</w:t>
            </w:r>
          </w:hyperlink>
        </w:p>
        <w:p>
          <w:pPr>
            <w:pStyle w:val="Contents6"/>
            <w:tabs>
              <w:tab w:val="clear" w:pos="7609"/>
              <w:tab w:val="right" w:pos="9026" w:leader="dot"/>
            </w:tabs>
            <w:rPr/>
          </w:pPr>
          <w:hyperlink w:anchor="__RefHeading___Toc2586875_1280447820">
            <w:r>
              <w:rPr>
                <w:webHidden/>
                <w:rStyle w:val="IndexLink"/>
                <w:rtl w:val="true"/>
              </w:rPr>
              <w:t>[</w:t>
            </w:r>
            <w:r>
              <w:rPr>
                <w:rStyle w:val="IndexLink"/>
                <w:rtl w:val="true"/>
              </w:rPr>
              <w:t>مطالبة البيّنة ممّن ادّعى الفقر</w:t>
            </w:r>
            <w:r>
              <w:rPr>
                <w:rStyle w:val="IndexLink"/>
                <w:rtl w:val="true"/>
              </w:rPr>
              <w:t>]</w:t>
              <w:tab/>
            </w:r>
            <w:r>
              <w:rPr>
                <w:rStyle w:val="IndexLink"/>
              </w:rPr>
              <w:t>453</w:t>
            </w:r>
          </w:hyperlink>
        </w:p>
        <w:p>
          <w:pPr>
            <w:pStyle w:val="Contents6"/>
            <w:tabs>
              <w:tab w:val="clear" w:pos="7609"/>
              <w:tab w:val="right" w:pos="9026" w:leader="dot"/>
            </w:tabs>
            <w:rPr/>
          </w:pPr>
          <w:hyperlink w:anchor="__RefHeading___Toc2586877_1280447820">
            <w:r>
              <w:rPr>
                <w:webHidden/>
                <w:rStyle w:val="IndexLink"/>
                <w:rtl w:val="true"/>
              </w:rPr>
              <w:t>[</w:t>
            </w:r>
            <w:r>
              <w:rPr>
                <w:rStyle w:val="IndexLink"/>
                <w:rtl w:val="true"/>
              </w:rPr>
              <w:t>مطالبة البيّنة و اليمين يلزم حرمان أكثر الفقراء</w:t>
            </w:r>
            <w:r>
              <w:rPr>
                <w:rStyle w:val="IndexLink"/>
                <w:rtl w:val="true"/>
              </w:rPr>
              <w:t>]</w:t>
              <w:tab/>
            </w:r>
            <w:r>
              <w:rPr>
                <w:rStyle w:val="IndexLink"/>
              </w:rPr>
              <w:t>456</w:t>
            </w:r>
          </w:hyperlink>
        </w:p>
        <w:p>
          <w:pPr>
            <w:pStyle w:val="Contents6"/>
            <w:tabs>
              <w:tab w:val="clear" w:pos="7609"/>
              <w:tab w:val="right" w:pos="9026" w:leader="dot"/>
            </w:tabs>
            <w:rPr/>
          </w:pPr>
          <w:hyperlink w:anchor="__RefHeading___Toc2586879_1280447820">
            <w:r>
              <w:rPr>
                <w:webHidden/>
                <w:rStyle w:val="IndexLink"/>
                <w:rtl w:val="true"/>
              </w:rPr>
              <w:t>السابعة</w:t>
            </w:r>
            <w:r>
              <w:rPr>
                <w:rStyle w:val="IndexLink"/>
                <w:rtl w:val="true"/>
              </w:rPr>
              <w:t>: [</w:t>
            </w:r>
            <w:r>
              <w:rPr>
                <w:rStyle w:val="IndexLink"/>
                <w:rtl w:val="true"/>
              </w:rPr>
              <w:t>لا يجب إعلام الفقير بأنّ المدفوع إليه من وجه الزكاة</w:t>
            </w:r>
            <w:r>
              <w:rPr>
                <w:rStyle w:val="IndexLink"/>
                <w:rtl w:val="true"/>
              </w:rPr>
              <w:t>]</w:t>
              <w:tab/>
            </w:r>
            <w:r>
              <w:rPr>
                <w:rStyle w:val="IndexLink"/>
              </w:rPr>
              <w:t>457</w:t>
            </w:r>
          </w:hyperlink>
        </w:p>
        <w:p>
          <w:pPr>
            <w:pStyle w:val="Contents6"/>
            <w:tabs>
              <w:tab w:val="clear" w:pos="7609"/>
              <w:tab w:val="right" w:pos="9026" w:leader="dot"/>
            </w:tabs>
            <w:rPr/>
          </w:pPr>
          <w:hyperlink w:anchor="__RefHeading___Toc2586881_1280447820">
            <w:r>
              <w:rPr>
                <w:webHidden/>
                <w:rStyle w:val="IndexLink"/>
                <w:rtl w:val="true"/>
              </w:rPr>
              <w:t>الثامنة</w:t>
            </w:r>
            <w:r>
              <w:rPr>
                <w:rStyle w:val="IndexLink"/>
                <w:rtl w:val="true"/>
              </w:rPr>
              <w:t>: [</w:t>
            </w:r>
            <w:r>
              <w:rPr>
                <w:rStyle w:val="IndexLink"/>
                <w:rtl w:val="true"/>
              </w:rPr>
              <w:t>لو بان الفقير غنيّا ارتجعت الزكاة</w:t>
            </w:r>
            <w:r>
              <w:rPr>
                <w:rStyle w:val="IndexLink"/>
                <w:rtl w:val="true"/>
              </w:rPr>
              <w:t>]</w:t>
              <w:tab/>
            </w:r>
            <w:r>
              <w:rPr>
                <w:rStyle w:val="IndexLink"/>
              </w:rPr>
              <w:t>460</w:t>
            </w:r>
          </w:hyperlink>
        </w:p>
        <w:p>
          <w:pPr>
            <w:pStyle w:val="Contents6"/>
            <w:tabs>
              <w:tab w:val="clear" w:pos="7609"/>
              <w:tab w:val="right" w:pos="9026" w:leader="dot"/>
            </w:tabs>
            <w:rPr/>
          </w:pPr>
          <w:hyperlink w:anchor="__RefHeading___Toc2586883_1280447820">
            <w:r>
              <w:rPr>
                <w:webHidden/>
                <w:rStyle w:val="IndexLink"/>
                <w:rtl w:val="true"/>
              </w:rPr>
              <w:t>اشارة</w:t>
            </w:r>
            <w:r>
              <w:rPr>
                <w:rStyle w:val="IndexLink"/>
                <w:rtl w:val="true"/>
              </w:rPr>
              <w:tab/>
            </w:r>
            <w:r>
              <w:rPr>
                <w:rStyle w:val="IndexLink"/>
              </w:rPr>
              <w:t>460</w:t>
            </w:r>
          </w:hyperlink>
        </w:p>
        <w:p>
          <w:pPr>
            <w:pStyle w:val="Contents6"/>
            <w:tabs>
              <w:tab w:val="clear" w:pos="7609"/>
              <w:tab w:val="right" w:pos="9026" w:leader="dot"/>
            </w:tabs>
            <w:rPr/>
          </w:pPr>
          <w:hyperlink w:anchor="__RefHeading___Toc2586885_1280447820">
            <w:r>
              <w:rPr>
                <w:webHidden/>
                <w:rStyle w:val="IndexLink"/>
                <w:rtl w:val="true"/>
              </w:rPr>
              <w:t>[</w:t>
            </w:r>
            <w:r>
              <w:rPr>
                <w:rStyle w:val="IndexLink"/>
                <w:rtl w:val="true"/>
              </w:rPr>
              <w:t>مسالتان</w:t>
            </w:r>
            <w:r>
              <w:rPr>
                <w:rStyle w:val="IndexLink"/>
                <w:rtl w:val="true"/>
              </w:rPr>
              <w:t>]</w:t>
              <w:tab/>
            </w:r>
            <w:r>
              <w:rPr>
                <w:rStyle w:val="IndexLink"/>
              </w:rPr>
              <w:t>461</w:t>
            </w:r>
          </w:hyperlink>
        </w:p>
        <w:p>
          <w:pPr>
            <w:pStyle w:val="Contents6"/>
            <w:tabs>
              <w:tab w:val="clear" w:pos="7609"/>
              <w:tab w:val="right" w:pos="9026" w:leader="dot"/>
            </w:tabs>
            <w:rPr/>
          </w:pPr>
          <w:hyperlink w:anchor="__RefHeading___Toc2586887_1280447820">
            <w:r>
              <w:rPr>
                <w:webHidden/>
                <w:rStyle w:val="IndexLink"/>
                <w:rtl w:val="true"/>
              </w:rPr>
              <w:t>إحداهما</w:t>
            </w:r>
            <w:r>
              <w:rPr>
                <w:rStyle w:val="IndexLink"/>
                <w:rtl w:val="true"/>
              </w:rPr>
              <w:t>: [</w:t>
            </w:r>
            <w:r>
              <w:rPr>
                <w:rStyle w:val="IndexLink"/>
                <w:rtl w:val="true"/>
              </w:rPr>
              <w:t>وجوب ارتجاع الزكاة مع إمكانه</w:t>
            </w:r>
            <w:r>
              <w:rPr>
                <w:rStyle w:val="IndexLink"/>
                <w:rtl w:val="true"/>
              </w:rPr>
              <w:t>]</w:t>
              <w:tab/>
            </w:r>
            <w:r>
              <w:rPr>
                <w:rStyle w:val="IndexLink"/>
              </w:rPr>
              <w:t>461</w:t>
            </w:r>
          </w:hyperlink>
        </w:p>
        <w:p>
          <w:pPr>
            <w:pStyle w:val="Contents6"/>
            <w:tabs>
              <w:tab w:val="clear" w:pos="7609"/>
              <w:tab w:val="right" w:pos="9026" w:leader="dot"/>
            </w:tabs>
            <w:rPr/>
          </w:pPr>
          <w:hyperlink w:anchor="__RefHeading___Toc2586889_1280447820">
            <w:r>
              <w:rPr>
                <w:webHidden/>
                <w:rStyle w:val="IndexLink"/>
                <w:rtl w:val="true"/>
              </w:rPr>
              <w:t>و اخراهما</w:t>
            </w:r>
            <w:r>
              <w:rPr>
                <w:rStyle w:val="IndexLink"/>
                <w:rtl w:val="true"/>
              </w:rPr>
              <w:t xml:space="preserve">: </w:t>
            </w:r>
            <w:r>
              <w:rPr>
                <w:rStyle w:val="IndexLink"/>
                <w:rtl w:val="true"/>
              </w:rPr>
              <w:t>عدم لزوم ضمانها على الدافع</w:t>
            </w:r>
            <w:r>
              <w:rPr>
                <w:rStyle w:val="IndexLink"/>
                <w:rtl w:val="true"/>
              </w:rPr>
              <w:tab/>
            </w:r>
            <w:r>
              <w:rPr>
                <w:rStyle w:val="IndexLink"/>
              </w:rPr>
              <w:t>463</w:t>
            </w:r>
          </w:hyperlink>
        </w:p>
        <w:p>
          <w:pPr>
            <w:pStyle w:val="Contents5"/>
            <w:tabs>
              <w:tab w:val="clear" w:pos="7892"/>
              <w:tab w:val="right" w:pos="9026" w:leader="dot"/>
            </w:tabs>
            <w:rPr/>
          </w:pPr>
          <w:hyperlink w:anchor="__RefHeading___Toc2586891_1280447820">
            <w:r>
              <w:rPr>
                <w:webHidden/>
                <w:rStyle w:val="IndexLink"/>
                <w:rtl w:val="true"/>
              </w:rPr>
              <w:t>الصنف الثالث العاملون عليها</w:t>
            </w:r>
            <w:r>
              <w:rPr>
                <w:rStyle w:val="IndexLink"/>
                <w:rtl w:val="true"/>
              </w:rPr>
              <w:t>:</w:t>
              <w:tab/>
            </w:r>
            <w:r>
              <w:rPr>
                <w:rStyle w:val="IndexLink"/>
              </w:rPr>
              <w:t>468</w:t>
            </w:r>
          </w:hyperlink>
        </w:p>
        <w:p>
          <w:pPr>
            <w:pStyle w:val="Contents5"/>
            <w:tabs>
              <w:tab w:val="clear" w:pos="7892"/>
              <w:tab w:val="right" w:pos="9026" w:leader="dot"/>
            </w:tabs>
            <w:rPr/>
          </w:pPr>
          <w:hyperlink w:anchor="__RefHeading___Toc2586893_1280447820">
            <w:r>
              <w:rPr>
                <w:webHidden/>
                <w:rStyle w:val="IndexLink"/>
                <w:rtl w:val="true"/>
              </w:rPr>
              <w:t>الصنف الرابع المؤلّفة قلوبهم</w:t>
            </w:r>
            <w:r>
              <w:rPr>
                <w:rStyle w:val="IndexLink"/>
                <w:rtl w:val="true"/>
              </w:rPr>
              <w:t>:</w:t>
              <w:tab/>
            </w:r>
            <w:r>
              <w:rPr>
                <w:rStyle w:val="IndexLink"/>
              </w:rPr>
              <w:t>471</w:t>
            </w:r>
          </w:hyperlink>
        </w:p>
        <w:p>
          <w:pPr>
            <w:pStyle w:val="Contents5"/>
            <w:tabs>
              <w:tab w:val="clear" w:pos="7892"/>
              <w:tab w:val="right" w:pos="9026" w:leader="dot"/>
            </w:tabs>
            <w:rPr/>
          </w:pPr>
          <w:hyperlink w:anchor="__RefHeading___Toc2586895_1280447820">
            <w:r>
              <w:rPr>
                <w:webHidden/>
                <w:rStyle w:val="IndexLink"/>
                <w:rtl w:val="true"/>
              </w:rPr>
              <w:t>الصنف الخامس جهة الرقاب</w:t>
            </w:r>
            <w:r>
              <w:rPr>
                <w:rStyle w:val="IndexLink"/>
                <w:rtl w:val="true"/>
              </w:rPr>
              <w:t>:</w:t>
              <w:tab/>
            </w:r>
            <w:r>
              <w:rPr>
                <w:rStyle w:val="IndexLink"/>
              </w:rPr>
              <w:t>478</w:t>
            </w:r>
          </w:hyperlink>
        </w:p>
        <w:p>
          <w:pPr>
            <w:pStyle w:val="Contents2"/>
            <w:tabs>
              <w:tab w:val="clear" w:pos="8743"/>
              <w:tab w:val="right" w:pos="9026" w:leader="dot"/>
            </w:tabs>
            <w:rPr/>
          </w:pPr>
          <w:hyperlink w:anchor="__RefHeading___Toc2586897_1280447820">
            <w:r>
              <w:rPr>
                <w:webHidden/>
                <w:rStyle w:val="IndexLink"/>
                <w:rtl w:val="true"/>
              </w:rPr>
              <w:t>الفهرس</w:t>
            </w:r>
            <w:r>
              <w:rPr>
                <w:rStyle w:val="IndexLink"/>
                <w:rtl w:val="true"/>
              </w:rPr>
              <w:tab/>
            </w:r>
            <w:r>
              <w:rPr>
                <w:rStyle w:val="IndexLink"/>
              </w:rPr>
              <w:t>484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81_154394"/>
      <w:bookmarkStart w:id="1" w:name="pg16181_154394"/>
      <w:bookmarkEnd w:id="1"/>
    </w:p>
    <w:p>
      <w:pPr>
        <w:pStyle w:val="Heading2"/>
        <w:numPr>
          <w:ilvl w:val="1"/>
          <w:numId w:val="1"/>
        </w:numPr>
        <w:rPr/>
      </w:pPr>
      <w:bookmarkStart w:id="2" w:name="pg16181_154394"/>
      <w:bookmarkStart w:id="3" w:name="__RefHeading___Toc2586405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قزویني، علي‌بن اسماعیل،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ینابیع‌الاحکام في معرفة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علي الموسوي القزویني ؛ تحقیق علي العلوي القزویني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في الحوزة العلمیه بقم، موسسه النشر‌الاسلامي،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النشر‌الاسلامي التابعه لجماعة المدرسین بقم المشرفه؛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077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077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جلد پنجم عبدالرحیم الجزمئی‌القزوینی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 قزویني، علي، محقق</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جزمئي قزویني، عبدالرحیم</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المدرسین في الحوزة العلمیه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النشر‌الاسلامي</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BP183/3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1‌1‌4‌1‌6‌5‌0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6407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ینابیع‌الاحکام فی معرفه‌الحلال و‌الحرام</w:t>
      </w:r>
    </w:p>
    <w:p>
      <w:pPr>
        <w:pStyle w:val="BookText"/>
        <w:rPr/>
      </w:pPr>
      <w:r>
        <w:rPr>
          <w:rFonts w:ascii="IRNazanin" w:hAnsi="IRNazanin" w:eastAsia="IRNazanin"/>
          <w:color w:val="111111"/>
          <w:sz w:val="28"/>
          <w:sz w:val="28"/>
          <w:szCs w:val="28"/>
          <w:rtl w:val="true"/>
          <w:lang w:bidi="fa-IR"/>
        </w:rPr>
        <w:t>تالیف علی الموسوی‌القزوینی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علی العلوی‌القزوینی</w:t>
      </w:r>
      <w:r>
        <w:rPr>
          <w:rFonts w:eastAsia="IRNazanin" w:cs="IRNazanin"/>
          <w:color w:val="111111"/>
          <w:sz w:val="28"/>
          <w:szCs w:val="28"/>
          <w:rtl w:val="true"/>
          <w:lang w:bidi="fa-IR"/>
        </w:rPr>
        <w:t xml:space="preserve">. </w:t>
      </w:r>
      <w:bookmarkStart w:id="7" w:name="pg16181_154396"/>
    </w:p>
    <w:p>
      <w:pPr>
        <w:pStyle w:val="Heading2"/>
        <w:numPr>
          <w:ilvl w:val="1"/>
          <w:numId w:val="1"/>
        </w:numPr>
        <w:rPr/>
      </w:pPr>
      <w:bookmarkStart w:id="8" w:name="__RefHeading___Toc2586409_1280447820"/>
      <w:bookmarkStart w:id="9" w:name="_Toc3"/>
      <w:bookmarkEnd w:id="7"/>
      <w:bookmarkEnd w:id="8"/>
      <w:r>
        <w:rPr>
          <w:rtl w:val="true"/>
        </w:rPr>
        <w:t>كتاب الزكاة</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586411_1280447820"/>
      <w:bookmarkStart w:id="11" w:name="_Toc4"/>
      <w:bookmarkEnd w:id="10"/>
      <w:r>
        <w:rPr>
          <w:rtl w:val="true"/>
        </w:rPr>
        <w:t>اشارة</w:t>
      </w:r>
      <w:bookmarkStart w:id="12" w:name="pg16181_154397"/>
      <w:bookmarkEnd w:id="11"/>
    </w:p>
    <w:p>
      <w:pPr>
        <w:pStyle w:val="BookText"/>
        <w:rPr/>
      </w:pPr>
      <w:bookmarkEnd w:id="12"/>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الطاهرين و 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الزكاة</w:t>
      </w:r>
    </w:p>
    <w:p>
      <w:pPr>
        <w:pStyle w:val="Heading3"/>
        <w:numPr>
          <w:ilvl w:val="2"/>
          <w:numId w:val="1"/>
        </w:numPr>
        <w:rPr/>
      </w:pPr>
      <w:bookmarkStart w:id="13" w:name="__RefHeading___Toc2586413_1280447820"/>
      <w:bookmarkStart w:id="14" w:name="_Toc5"/>
      <w:bookmarkEnd w:id="13"/>
      <w:r>
        <w:rPr>
          <w:rtl w:val="true"/>
        </w:rPr>
        <w:t>[</w:t>
      </w:r>
      <w:r>
        <w:rPr>
          <w:rtl w:val="true"/>
        </w:rPr>
        <w:t>في معنى الزكاة</w:t>
      </w:r>
      <w:r>
        <w:rPr>
          <w:rtl w:val="true"/>
        </w:rPr>
        <w:t>]</w:t>
      </w:r>
      <w:bookmarkEnd w:id="14"/>
    </w:p>
    <w:p>
      <w:pPr>
        <w:pStyle w:val="BookText"/>
        <w:rPr/>
      </w:pPr>
      <w:r>
        <w:rPr>
          <w:rFonts w:ascii="Amiri" w:hAnsi="Amiri" w:eastAsia="Amiri" w:cs="Amiri"/>
          <w:color w:val="111111"/>
          <w:sz w:val="28"/>
          <w:sz w:val="28"/>
          <w:szCs w:val="28"/>
          <w:rtl w:val="true"/>
          <w:lang w:bidi="ar-SA"/>
        </w:rPr>
        <w:t>و اعلم أنّ الزكاة لغة جاء 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 منه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Style w:val="FootnoteAnchor"/>
          <w:rtl w:val="true"/>
        </w:rPr>
        <w:footnoteReference w:id="2"/>
      </w:r>
      <w:r>
        <w:rPr>
          <w:rFonts w:ascii="Amiri" w:hAnsi="Amiri" w:eastAsia="Amiri" w:cs="Amiri"/>
          <w:color w:val="111111"/>
          <w:sz w:val="28"/>
          <w:sz w:val="28"/>
          <w:szCs w:val="28"/>
          <w:rtl w:val="true"/>
          <w:lang w:bidi="ar-SA"/>
        </w:rPr>
        <w:t>أي طهّرها من الأوساخ الباطنيّة الّتي تعتري النفس من الصفات الرديئة و الأخلاق الرذيلة كالبخل و الشحّ و الحسد و الكبر و طلب الجاه و طلب الدنيا و العجب و الرياء و نحو ذلك، و منه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قَتَلْتَ نَفْساً زَكِيَّةً‌ </w:t>
      </w:r>
      <w:r>
        <w:rPr>
          <w:rStyle w:val="FootnoteAnchor"/>
          <w:rtl w:val="true"/>
        </w:rPr>
        <w:footnoteReference w:id="3"/>
      </w:r>
      <w:r>
        <w:rPr>
          <w:rFonts w:ascii="Amiri" w:hAnsi="Amiri" w:eastAsia="Amiri" w:cs="Amiri"/>
          <w:color w:val="111111"/>
          <w:sz w:val="28"/>
          <w:sz w:val="28"/>
          <w:szCs w:val="28"/>
          <w:rtl w:val="true"/>
          <w:lang w:bidi="ar-SA"/>
        </w:rPr>
        <w:t>أي طاهرة، و منه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تُزَكِّيهِمْ بِهٰا </w:t>
      </w:r>
      <w:r>
        <w:rPr>
          <w:rStyle w:val="FootnoteAnchor"/>
          <w:rtl w:val="true"/>
        </w:rPr>
        <w:footnoteReference w:id="4"/>
      </w:r>
      <w:r>
        <w:rPr>
          <w:rFonts w:ascii="Amiri" w:hAnsi="Amiri" w:eastAsia="Amiri" w:cs="Amiri"/>
          <w:color w:val="111111"/>
          <w:sz w:val="28"/>
          <w:sz w:val="28"/>
          <w:szCs w:val="28"/>
          <w:rtl w:val="true"/>
          <w:lang w:bidi="ar-SA"/>
        </w:rPr>
        <w:t>بناء على أنّ العطف للتفسير لنكتة اخرى غير التوضيح، و لعلّها التنبيه على أنّ هذه الصدقة سمّيت في الوضع الشرعي زكاة لأجل هذه المناسبة تسمية للسبب باسم المسبّب</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 و الزيادة، و يجوز كون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المعهودة في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مناسبة هذا المعنى باعتبار أنّها توجب نموّ المال و ازدياده و تضاعف بركاته أو زيادة الأجر و الثواب و تضاعف المثوبات الاخرويّة، و في زكاة البدن الّتي هي زكاة الفطرة توجب ازدياد العمر و تضاعف طوله باعتبار أنّها تزيل أوساخ الأمراض الّتي </w:t>
      </w:r>
    </w:p>
    <w:p>
      <w:pPr>
        <w:pStyle w:val="BookText"/>
        <w:rPr/>
      </w:pPr>
      <w:r>
        <w:rPr>
          <w:rFonts w:ascii="Amiri" w:hAnsi="Amiri" w:eastAsia="Amiri" w:cs="Amiri"/>
          <w:color w:val="111111"/>
          <w:sz w:val="28"/>
          <w:sz w:val="28"/>
          <w:szCs w:val="28"/>
          <w:rtl w:val="true"/>
          <w:lang w:bidi="ar-SA"/>
        </w:rPr>
        <w:t>تعتري الإنسان المشرفة له على الموت على ما يستفاد من بعض الروايات</w:t>
      </w:r>
      <w:r>
        <w:rPr>
          <w:rStyle w:val="FootnoteAnchor"/>
          <w:rtl w:val="true"/>
        </w:rPr>
        <w:footnoteReference w:id="5"/>
      </w:r>
      <w:r>
        <w:rPr>
          <w:rFonts w:ascii="Amiri" w:hAnsi="Amiri" w:eastAsia="Amiri" w:cs="Amiri"/>
          <w:color w:val="111111"/>
          <w:sz w:val="28"/>
          <w:sz w:val="28"/>
          <w:szCs w:val="28"/>
          <w:rtl w:val="true"/>
          <w:lang w:bidi="ar-SA"/>
        </w:rPr>
        <w:t>من أنّ من فوائدها حفظه عن اتّفاق موته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الاعتبار و إن كان هو المعروف إلاّ أنّ الأوفق بالإشارة المستفادة من الآية المتقدّمة هو الاعتبار الأوّل، و كيف كان فهو شرعا بناء على ثبوت الحقيقة الشرعيّة في ألفاظ العبادات و لا سيّما هذه اللفظة و اختها اسم لصدقة معهودة معروفة عند المتشرّعة منقسمة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إلى الواجبة و المستحبّة، و اخرى إلى ما يتعلّق بالمال و ما يتعلّق بالذمّة و هو 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تعريفها فذكروا لها تعاريف متكثّرة لا يسلم شيء منها عن شيء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المعتبر و التذكرة من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لحقّ يجب في المال يعتبر في وجوبه النصاب</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ascii="Amiri" w:hAnsi="Amiri" w:eastAsia="Amiri" w:cs="Amiri"/>
          <w:color w:val="111111"/>
          <w:sz w:val="28"/>
          <w:sz w:val="28"/>
          <w:szCs w:val="28"/>
          <w:rtl w:val="true"/>
          <w:lang w:bidi="ar-SA"/>
        </w:rPr>
        <w:t>و ما عن المسالك من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مقدّرة بأصل الشرع ابتداء</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 ما عن الدروس من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المقدّرة بالأصالة</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 ما عن التنقيح من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راجحة مقدّرة بأصل الشرع</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 ما عن الشهيد أيضا من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متعلّقة بنصاب بالأصالة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 ما عن التحرير من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المخرج من النصاب</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 ما عن المنتهى من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ثبت في المال بشرائط</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 ما عن البيان من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معيّن في المال أو في الذمّة للطهارة و النماء</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 في المجمع من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مقدّرة بأصل الشرع ابتداء تثبت في المال أو في الذمّة للطهارة لهما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خفاء في أنّ هذا الاختلاف ليس خلافا في معنى الزكاة بحسب الشرع إذ ليس له إلاّ معنى واحد قصد الكلّ بما أتاه من العبارة، الكشف عن ذلك المعنى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حيث إنّ ذلك المعنى معلوم معهود لدى المتشرّعة يغنينا ذلك عن التكلّم فيها جمعا و منعا، و في مؤدّاها صحّة و سقما، و النظر فيما اورد عليها و ما لعلّه سيورد، و الحرص على إصلاح ما يمكن إصلاحه بدفع بعض ما اورد أو توجيه ما يقبل التوجيه صونا له عن ورود ما اورد أو لعلّه يورد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فالحريّ بالغرض الأصلي هو الاشتغال بالبحث عن حكم الزكاة و سائر ما يتعلّق، و حيث قد أشرنا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تعلّقها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 فتمام البحث فيها يقع في مقصدين</w:t>
      </w:r>
      <w:r>
        <w:rPr>
          <w:rFonts w:eastAsia="Amiri" w:cs="Amiri" w:ascii="Amiri" w:hAnsi="Amiri"/>
          <w:color w:val="111111"/>
          <w:sz w:val="28"/>
          <w:szCs w:val="28"/>
          <w:rtl w:val="true"/>
          <w:lang w:bidi="ar-SA"/>
        </w:rPr>
        <w:t xml:space="preserve">: </w:t>
      </w:r>
      <w:bookmarkStart w:id="15" w:name="pg16181_154400"/>
    </w:p>
    <w:p>
      <w:pPr>
        <w:pStyle w:val="Heading3"/>
        <w:numPr>
          <w:ilvl w:val="2"/>
          <w:numId w:val="1"/>
        </w:numPr>
        <w:rPr/>
      </w:pPr>
      <w:bookmarkStart w:id="16" w:name="__RefHeading___Toc2586415_1280447820"/>
      <w:bookmarkStart w:id="17" w:name="_Toc6"/>
      <w:bookmarkEnd w:id="15"/>
      <w:bookmarkEnd w:id="16"/>
      <w:r>
        <w:rPr>
          <w:rtl w:val="true"/>
        </w:rPr>
        <w:t>المقصد الأوّل في زكاة المال</w:t>
      </w:r>
      <w:bookmarkEnd w:id="17"/>
    </w:p>
    <w:p>
      <w:pPr>
        <w:pStyle w:val="Heading4"/>
        <w:numPr>
          <w:ilvl w:val="3"/>
          <w:numId w:val="1"/>
        </w:numPr>
        <w:rPr/>
      </w:pPr>
      <w:bookmarkStart w:id="18" w:name="__RefHeading___Toc2586417_1280447820"/>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و هي من أركان الشرع المبين و ضروريّات الدين، الّتي منكرها مع العلم بكونها ثبتت بضرورة من الدين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وجوبها ثابت بالإجماع محصّلا و منقولا بالغا نقله حدّ التواتر بل فوقه بل بالضرورة من دين الإسلام حسبما أشرنا إليه، و الكتاب و السنّة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الكتاب الآيات المتكاثرة الّتي منها ما تكرّر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وَ آتُوا اَلزَّكٰاةَ‌ </w:t>
      </w:r>
      <w:r>
        <w:rPr>
          <w:rStyle w:val="FootnoteAnchor"/>
          <w:rtl w:val="true"/>
        </w:rPr>
        <w:footnoteReference w:id="16"/>
      </w: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يُؤْتُونَ اَلزَّكٰاةَ </w:t>
      </w:r>
      <w:r>
        <w:rPr>
          <w:rStyle w:val="FootnoteAnchor"/>
          <w:rtl w:val="true"/>
        </w:rPr>
        <w:footnoteReference w:id="17"/>
      </w: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w:t>
      </w:r>
      <w:r>
        <w:rPr>
          <w:rStyle w:val="FootnoteAnchor"/>
          <w:rtl w:val="true"/>
        </w:rPr>
        <w:footnoteReference w:id="18"/>
      </w: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يَكْنِزُونَ اَلذَّهَبَ وَ اَلْفِضَّةَ وَ 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 جُنُوبُهُمْ وَ ظُهُورُهُمْ هٰذٰا مٰا كَنَزْتُمْ لِأَنْفُسِكُمْ فَذُوقُوا مٰا كُنْتُمْ تَكْنِزُونَ </w:t>
      </w:r>
      <w:r>
        <w:rPr>
          <w:rStyle w:val="FootnoteAnchor"/>
          <w:rtl w:val="true"/>
        </w:rPr>
        <w:footnoteReference w:id="19"/>
      </w: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تُزَكِّيهِمْ بِهٰا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جمع، بل عن مجمع البيان</w:t>
      </w:r>
      <w:r>
        <w:rPr>
          <w:rStyle w:val="FootnoteAnchor"/>
          <w:rtl w:val="true"/>
        </w:rPr>
        <w:footnoteReference w:id="21"/>
      </w:r>
      <w:r>
        <w:rPr>
          <w:rFonts w:ascii="Amiri" w:hAnsi="Amiri" w:eastAsia="Amiri" w:cs="Amiri"/>
          <w:color w:val="111111"/>
          <w:sz w:val="28"/>
          <w:sz w:val="28"/>
          <w:szCs w:val="28"/>
          <w:rtl w:val="true"/>
          <w:lang w:bidi="ar-SA"/>
        </w:rPr>
        <w:t>أنّه نقله عن الجبائي</w:t>
      </w:r>
      <w:r>
        <w:rPr>
          <w:rStyle w:val="FootnoteAnchor"/>
          <w:rtl w:val="true"/>
        </w:rPr>
        <w:footnoteReference w:id="22"/>
      </w:r>
      <w:r>
        <w:rPr>
          <w:rFonts w:ascii="Amiri" w:hAnsi="Amiri" w:eastAsia="Amiri" w:cs="Amiri"/>
          <w:color w:val="111111"/>
          <w:sz w:val="28"/>
          <w:sz w:val="28"/>
          <w:szCs w:val="28"/>
          <w:rtl w:val="true"/>
          <w:lang w:bidi="ar-SA"/>
        </w:rPr>
        <w:t>و أكثر المفسّرين، و عن كنز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إجماع الامّة</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و إن تأمّل </w:t>
      </w:r>
    </w:p>
    <w:p>
      <w:pPr>
        <w:pStyle w:val="BookText"/>
        <w:rPr/>
      </w:pPr>
      <w:r>
        <w:rPr>
          <w:rFonts w:ascii="Amiri" w:hAnsi="Amiri" w:eastAsia="Amiri" w:cs="Amiri"/>
          <w:color w:val="111111"/>
          <w:sz w:val="28"/>
          <w:sz w:val="28"/>
          <w:szCs w:val="28"/>
          <w:rtl w:val="true"/>
          <w:lang w:bidi="ar-SA"/>
        </w:rPr>
        <w:t>فيهما صاحب الذخيرة</w:t>
      </w:r>
      <w:r>
        <w:rPr>
          <w:rStyle w:val="FootnoteAnchor"/>
          <w:rtl w:val="true"/>
        </w:rPr>
        <w:footnoteReference w:id="24"/>
      </w:r>
      <w:r>
        <w:rPr>
          <w:rFonts w:ascii="Amiri" w:hAnsi="Amiri" w:eastAsia="Amiri" w:cs="Amiri"/>
          <w:color w:val="111111"/>
          <w:sz w:val="28"/>
          <w:sz w:val="28"/>
          <w:szCs w:val="28"/>
          <w:rtl w:val="true"/>
          <w:lang w:bidi="ar-SA"/>
        </w:rPr>
        <w:t>تعليلا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كثير من المفسّرين</w:t>
      </w:r>
      <w:r>
        <w:rPr>
          <w:rStyle w:val="FootnoteAnchor"/>
          <w:rtl w:val="true"/>
        </w:rPr>
        <w:footnoteReference w:id="25"/>
      </w:r>
      <w:r>
        <w:rPr>
          <w:rFonts w:ascii="Amiri" w:hAnsi="Amiri" w:eastAsia="Amiri" w:cs="Amiri"/>
          <w:color w:val="111111"/>
          <w:sz w:val="28"/>
          <w:sz w:val="28"/>
          <w:szCs w:val="28"/>
          <w:rtl w:val="true"/>
          <w:lang w:bidi="ar-SA"/>
        </w:rPr>
        <w:t>إلى أنّ المراد بها ثلث الأموال و إنّ الآية وردت في جماعة مخصوصة أمر اللّه تعالى بأخذ ثلث أموالهم كفّارة لما صدر منهم و اختلفوا في من وردت فيهم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لما ذكرناه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 لمّا نزلت آية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تُزَكِّيهِمْ بِهٰا </w:t>
      </w:r>
      <w:r>
        <w:rPr>
          <w:rStyle w:val="FootnoteAnchor"/>
          <w:rtl w:val="true"/>
        </w:rPr>
        <w:footnoteReference w:id="27"/>
      </w:r>
      <w:r>
        <w:rPr>
          <w:rFonts w:ascii="Amiri" w:hAnsi="Amiri" w:eastAsia="Amiri" w:cs="Amiri"/>
          <w:color w:val="111111"/>
          <w:sz w:val="28"/>
          <w:sz w:val="28"/>
          <w:szCs w:val="28"/>
          <w:rtl w:val="true"/>
          <w:lang w:bidi="ar-SA"/>
        </w:rPr>
        <w:t>في شهر رمضان فأمر رسول اللّه صلّى اللّه عليه و آله 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قد فرض عليكم الزكاة كما فرض عليكم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عزّ و جلّ عليهم من الذهب و الفضّة، و فرض عليهم الصدقة من الإبل و البقر و الغنم، و من الحنطة و الشعير و التمر و الزبيب، فنادى بهم بذلك في شهر رمضان و عفا لهم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يعرض</w:t>
      </w:r>
      <w:r>
        <w:rPr>
          <w:rStyle w:val="FootnoteAnchor"/>
          <w:rtl w:val="true"/>
        </w:rPr>
        <w:footnoteReference w:id="28"/>
      </w:r>
      <w:r>
        <w:rPr>
          <w:rFonts w:ascii="Amiri" w:hAnsi="Amiri" w:eastAsia="Amiri" w:cs="Amiri"/>
          <w:color w:val="111111"/>
          <w:sz w:val="28"/>
          <w:sz w:val="28"/>
          <w:szCs w:val="28"/>
          <w:rtl w:val="true"/>
          <w:lang w:bidi="ar-SA"/>
        </w:rPr>
        <w:t>لشيء من أموالهم حتّى حال عليهم الحول من قابل، فصاموا و أفطروا فأمر مناديه فنادى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زكّوا أموالكم تقبل صلاتكم،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عمّال الصدقة و عمّال الطسوق</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السنّة الأخبار</w:t>
      </w:r>
      <w:r>
        <w:rPr>
          <w:rStyle w:val="FootnoteAnchor"/>
          <w:rtl w:val="true"/>
        </w:rPr>
        <w:footnoteReference w:id="31"/>
      </w:r>
      <w:r>
        <w:rPr>
          <w:rFonts w:ascii="Amiri" w:hAnsi="Amiri" w:eastAsia="Amiri" w:cs="Amiri"/>
          <w:color w:val="111111"/>
          <w:sz w:val="28"/>
          <w:sz w:val="28"/>
          <w:szCs w:val="28"/>
          <w:rtl w:val="true"/>
          <w:lang w:bidi="ar-SA"/>
        </w:rPr>
        <w:t xml:space="preserve">الدالّة على فضلها و أنحاء مثوباتها و وجوبها و عقاب تاركها ما فوق حدّ الإحصاء و غير خفيّة على المتتبّع و لا حاجة إلى التعرّض لذكرها بعد وضوح أصل الحكم، بل ضروريّته المخرجة له عن عنوان المسائل الفرعيّة المستدلّ </w:t>
      </w:r>
    </w:p>
    <w:p>
      <w:pPr>
        <w:pStyle w:val="BookText"/>
        <w:rPr/>
      </w:pPr>
      <w:r>
        <w:rPr>
          <w:rFonts w:ascii="Amiri" w:hAnsi="Amiri" w:eastAsia="Amiri" w:cs="Amiri"/>
          <w:color w:val="111111"/>
          <w:sz w:val="28"/>
          <w:sz w:val="28"/>
          <w:szCs w:val="28"/>
          <w:rtl w:val="true"/>
          <w:lang w:bidi="ar-SA"/>
        </w:rPr>
        <w:t>عليها بالأدلّة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ثبت أصل وجوب الزكاة على سبيل الإجمال فينبغي التكلّم في تفاصيل هذه القضيّة المجملة ممّا يرجع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عليه الزكاة، و ما يجب فيه الزكاة، و ما يصرف إليه الزكاة، فالكلام بالقياس إلى هذه الجهات الثلاث و ما يتبعها يقع في مباحث، و قبل الخوض فيها ينبغي أن ينبّه على فائدة تعرّض لذكرها جمع من المصنّفين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المشهور قديما و حديثا محقّقا و محكيّا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في المال حقّ آخر سوى الزكاة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بمعنى أصالة البراءة عن وجوب ما عداهما، و عن العقاب المحتمل ترتّبه على ترك أداء ما عداهما، المتأيّد بالمرويّ 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المال حقّ غير الزكاة</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 إن طعن عليها في الذخيرة بكونها عاميّة لا تصلح للتعويل عليها</w:t>
      </w:r>
      <w:r>
        <w:rPr>
          <w:rStyle w:val="FootnoteAnchor"/>
          <w:rtl w:val="true"/>
        </w:rPr>
        <w:footnoteReference w:id="33"/>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يمنع من التأييد إن كان الأصل قابلا لأن يؤيّد و فيه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اكتفينا في جبر الرواية الضعيفة بالشهرة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الرواية مجبورة بها فكانت حجّة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ايّد أيضا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وجب لاشتهر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لتوفّر الدواعي إلى اشتهاره و التالي باطل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يدلّ عليه قويّة معاوية بن شريح بل حسنته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الزرع حقّان حقّ تؤخذ به و حقّ تعطيه،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اؤخذ به و ما الّذي اعطيه‌؟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تؤخذ به فالعشر و نصف العشر، و أمّا الّذي تعطيه 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يَوْمَ حَصٰادِهِ‌ </w:t>
      </w:r>
      <w:r>
        <w:rPr>
          <w:rStyle w:val="FootnoteAnchor"/>
          <w:rtl w:val="true"/>
        </w:rPr>
        <w:footnoteReference w:id="34"/>
      </w:r>
      <w:r>
        <w:rPr>
          <w:rFonts w:ascii="Amiri" w:hAnsi="Amiri" w:eastAsia="Amiri" w:cs="Amiri"/>
          <w:color w:val="111111"/>
          <w:sz w:val="28"/>
          <w:sz w:val="28"/>
          <w:szCs w:val="28"/>
          <w:rtl w:val="true"/>
          <w:lang w:bidi="ar-SA"/>
        </w:rPr>
        <w:t>يعني من حصدك الشيء بعد الشيء و لا أعلمه إلاّ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الضغث ثمّ الضغث</w:t>
      </w:r>
      <w:r>
        <w:rPr>
          <w:rStyle w:val="FootnoteAnchor"/>
          <w:rtl w:val="true"/>
        </w:rPr>
        <w:footnoteReference w:id="35"/>
      </w:r>
      <w:r>
        <w:rPr>
          <w:rFonts w:ascii="Amiri" w:hAnsi="Amiri" w:eastAsia="Amiri" w:cs="Amiri"/>
          <w:color w:val="111111"/>
          <w:sz w:val="28"/>
          <w:sz w:val="28"/>
          <w:szCs w:val="28"/>
          <w:rtl w:val="true"/>
          <w:lang w:bidi="ar-SA"/>
        </w:rPr>
        <w:t>حتّى يفرغ</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بناء على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و العقاب على تركه في دار الآخرة فيكون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الّذي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يعطيه بمشيئته من دون أن يؤاخذ على تركه</w:t>
      </w:r>
      <w:r>
        <w:rPr>
          <w:rFonts w:eastAsia="Amiri" w:cs="Amiri" w:ascii="Amiri" w:hAnsi="Amiri"/>
          <w:color w:val="111111"/>
          <w:sz w:val="28"/>
          <w:szCs w:val="28"/>
          <w:rtl w:val="true"/>
          <w:lang w:bidi="ar-SA"/>
        </w:rPr>
        <w:t xml:space="preserve">. </w:t>
      </w:r>
      <w:bookmarkStart w:id="20" w:name="pg16181_154403"/>
    </w:p>
    <w:p>
      <w:pPr>
        <w:pStyle w:val="BookText"/>
        <w:rPr/>
      </w:pPr>
      <w:bookmarkEnd w:id="20"/>
      <w:r>
        <w:rPr>
          <w:rFonts w:ascii="Amiri" w:hAnsi="Amiri" w:eastAsia="Amiri" w:cs="Amiri"/>
          <w:color w:val="111111"/>
          <w:sz w:val="28"/>
          <w:sz w:val="28"/>
          <w:szCs w:val="28"/>
          <w:rtl w:val="true"/>
          <w:lang w:bidi="ar-SA"/>
        </w:rPr>
        <w:t>و لكن ناقش فيه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يجوز أن يكون معنى قوله عليه السّلام تؤخذ به، الأخذ في</w:t>
      </w:r>
      <w:r>
        <w:rPr>
          <w:rStyle w:val="FootnoteAnchor"/>
          <w:rtl w:val="true"/>
        </w:rPr>
        <w:footnoteReference w:id="37"/>
      </w:r>
      <w:r>
        <w:rPr>
          <w:rFonts w:ascii="Amiri" w:hAnsi="Amiri" w:eastAsia="Amiri" w:cs="Amiri"/>
          <w:color w:val="111111"/>
          <w:sz w:val="28"/>
          <w:sz w:val="28"/>
          <w:szCs w:val="28"/>
          <w:rtl w:val="true"/>
          <w:lang w:bidi="ar-SA"/>
        </w:rPr>
        <w:t>الدنيا، لأن يأخذ الزكاة من أصحاب الأموال، بخلاف حقّ الحصاد فإنّه أمر بينه و بين اللّه و إن عصى بالترك</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دفعها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تتّجه لو كانت العبارة 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تؤخذ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يساعد على الحمل المذكور مراعاة شدّة الارتباط بين المعطوف و المعطوف عليه، إذ على ما بنى عليه الاستدلال يوجد نوع تنافر بينهما كما لا يخفى على ذي الذوق السليم</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2586419_1280447820"/>
      <w:bookmarkStart w:id="22" w:name="_Toc8"/>
      <w:bookmarkEnd w:id="21"/>
      <w:r>
        <w:rPr>
          <w:rtl w:val="true"/>
        </w:rPr>
        <w:t>[</w:t>
      </w:r>
      <w:r>
        <w:rPr>
          <w:rtl w:val="true"/>
        </w:rPr>
        <w:t>مخالفة الشيخ للمشهور و أدلّته</w:t>
      </w:r>
      <w:r>
        <w:rPr>
          <w:rtl w:val="true"/>
        </w:rPr>
        <w:t>]</w:t>
      </w:r>
      <w:bookmarkEnd w:id="22"/>
    </w:p>
    <w:p>
      <w:pPr>
        <w:pStyle w:val="BookText"/>
        <w:rPr/>
      </w:pPr>
      <w:r>
        <w:rPr>
          <w:rFonts w:ascii="Amiri" w:hAnsi="Amiri" w:eastAsia="Amiri" w:cs="Amiri"/>
          <w:color w:val="111111"/>
          <w:sz w:val="28"/>
          <w:sz w:val="28"/>
          <w:szCs w:val="28"/>
          <w:rtl w:val="true"/>
          <w:lang w:bidi="ar-SA"/>
        </w:rPr>
        <w:t>و كيف كان فعن الشيخ في الخلاف المصير إلى مخالفة المشهور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بوجوب حقّ آخر غير الزكاة و هو ما خرج يوم الحصاد من الضغث بعد الضغث، و الحفنة</w:t>
      </w:r>
      <w:r>
        <w:rPr>
          <w:rStyle w:val="FootnoteAnchor"/>
          <w:rtl w:val="true"/>
        </w:rPr>
        <w:footnoteReference w:id="39"/>
      </w:r>
      <w:r>
        <w:rPr>
          <w:rFonts w:ascii="Amiri" w:hAnsi="Amiri" w:eastAsia="Amiri" w:cs="Amiri"/>
          <w:color w:val="111111"/>
          <w:sz w:val="28"/>
          <w:sz w:val="28"/>
          <w:szCs w:val="28"/>
          <w:rtl w:val="true"/>
          <w:lang w:bidi="ar-SA"/>
        </w:rPr>
        <w:t>بعد الحفنة يوم الجذاذ</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 عن المرتضى في الانتصار احتماله</w:t>
      </w:r>
      <w:r>
        <w:rPr>
          <w:rStyle w:val="FootnoteAnchor"/>
          <w:rtl w:val="true"/>
        </w:rPr>
        <w:footnoteReference w:id="41"/>
      </w:r>
      <w:r>
        <w:rPr>
          <w:rFonts w:ascii="Amiri" w:hAnsi="Amiri" w:eastAsia="Amiri" w:cs="Amiri"/>
          <w:color w:val="111111"/>
          <w:sz w:val="28"/>
          <w:sz w:val="28"/>
          <w:szCs w:val="28"/>
          <w:rtl w:val="true"/>
          <w:lang w:bidi="ar-SA"/>
        </w:rPr>
        <w:t>و نفى البعد عنه في الذخيرة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أمكن رفع الخلاف بحمل الوجوب في كلام الشيخ على إرادة المعنى اللغوي الجامع للاستحباب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ما ادّعاه من إجماع الفرقة عليه على ما ستعرفه و شهرة خلافه حسبما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فحجّته على الوجوب على تقدير تحقّق المخالفة امور 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عليه، و اجيب بمنع الإجماع على الوجوب مع شهرة خلافه، بل المسلّم انعقاده على الرجحان المطلق المشترك بينه و بين الاستحباب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و اجيب</w:t>
      </w:r>
      <w:r>
        <w:rPr>
          <w:rStyle w:val="FootnoteAnchor"/>
          <w:rtl w:val="true"/>
        </w:rPr>
        <w:footnoteReference w:id="43"/>
      </w:r>
      <w:r>
        <w:rPr>
          <w:rFonts w:ascii="IRNazanin" w:hAnsi="IRNazanin" w:eastAsia="IRNazanin"/>
          <w:color w:val="111111"/>
          <w:sz w:val="28"/>
          <w:sz w:val="28"/>
          <w:szCs w:val="28"/>
          <w:rtl w:val="true"/>
          <w:lang w:bidi="fa-IR"/>
        </w:rPr>
        <w:t>بمنع دلالتها على الوجوب</w:t>
      </w:r>
      <w:r>
        <w:rPr>
          <w:rFonts w:eastAsia="IRNazanin" w:cs="IRNazanin"/>
          <w:color w:val="111111"/>
          <w:sz w:val="28"/>
          <w:szCs w:val="28"/>
          <w:rtl w:val="true"/>
          <w:lang w:bidi="fa-IR"/>
        </w:rPr>
        <w:t xml:space="preserve">. </w:t>
      </w:r>
      <w:bookmarkStart w:id="23" w:name="pg16181_154404"/>
    </w:p>
    <w:p>
      <w:pPr>
        <w:pStyle w:val="BookText"/>
        <w:rPr/>
      </w:pPr>
      <w:bookmarkEnd w:id="23"/>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يَوْمَ حَصٰادِهِ وَ لاٰ تُسْرِفُوا إِنَّهُ لاٰ يُحِبُّ اَلْمُسْرِفِينَ‌ </w:t>
      </w:r>
      <w:r>
        <w:rPr>
          <w:rStyle w:val="FootnoteAnchor"/>
          <w:rtl w:val="true"/>
        </w:rPr>
        <w:footnoteReference w:id="44"/>
      </w:r>
      <w:r>
        <w:rPr>
          <w:rFonts w:ascii="Amiri" w:hAnsi="Amiri" w:eastAsia="Amiri" w:cs="Amiri"/>
          <w:color w:val="111111"/>
          <w:sz w:val="28"/>
          <w:sz w:val="28"/>
          <w:szCs w:val="28"/>
          <w:rtl w:val="true"/>
          <w:lang w:bidi="ar-SA"/>
        </w:rPr>
        <w:t xml:space="preserve">و نهوضها دليلا على مختاره مبنيّ على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اجيب عنها تارة بالحمل على الاستحباب، و اخرى بمنع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به على ما ذكره جمع</w:t>
      </w:r>
      <w:r>
        <w:rPr>
          <w:rStyle w:val="FootnoteAnchor"/>
          <w:rtl w:val="true"/>
        </w:rPr>
        <w:footnoteReference w:id="45"/>
      </w:r>
      <w:r>
        <w:rPr>
          <w:rFonts w:ascii="Amiri" w:hAnsi="Amiri" w:eastAsia="Amiri" w:cs="Amiri"/>
          <w:color w:val="111111"/>
          <w:sz w:val="28"/>
          <w:sz w:val="28"/>
          <w:szCs w:val="28"/>
          <w:rtl w:val="true"/>
          <w:lang w:bidi="ar-SA"/>
        </w:rPr>
        <w:t>من المفسّرين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ايّد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يحسن إذا كان الحقّ معلوما قبل نزول الآية، و لكن يزيّفه أنّه مشترك اللزوم بينه و بين إرادة حقّ الحصاد لأنّ التكليف به أيضا إنّما يحسن لو كان ذلك الحقّ معلوما قبل نزول الآية، و لو دفع بجواز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بالسنّة المطهّرة السابقة أو أن يبيّن بالسنّة المطهّرة اللاحقة حين حضور وقت الحاجة، و كان التكليف المستفاد من الآية تكليفا بالمجمل ورد قبل وقت الحاجة لمصلحة، لتعارضه مثله فإنّ نحوه</w:t>
      </w:r>
      <w:r>
        <w:rPr>
          <w:rStyle w:val="FootnoteAnchor"/>
          <w:rtl w:val="true"/>
        </w:rPr>
        <w:footnoteReference w:id="46"/>
      </w:r>
      <w:r>
        <w:rPr>
          <w:rFonts w:ascii="Amiri" w:hAnsi="Amiri" w:eastAsia="Amiri" w:cs="Amiri"/>
          <w:color w:val="111111"/>
          <w:sz w:val="28"/>
          <w:sz w:val="28"/>
          <w:szCs w:val="28"/>
          <w:rtl w:val="true"/>
          <w:lang w:bidi="ar-SA"/>
        </w:rPr>
        <w:t xml:space="preserve">يجري على تقدير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فالعمدة في المقام تحقيق المعنى المراد من حَقَّهُ‌ و لا يكفي فيه قول جمع من المفسّرين، إذ لا حجّة فيه ما لم ينته إلى تفسير أهل بيت العصمة، و لكن الظاهر من جهة الآية و المقطوع به من جهة الأخبار كون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الحصاد</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586421_1280447820"/>
      <w:bookmarkStart w:id="25" w:name="_Toc9"/>
      <w:bookmarkEnd w:id="24"/>
      <w:r>
        <w:rPr>
          <w:rtl w:val="true"/>
        </w:rPr>
        <w:t>[</w:t>
      </w:r>
      <w:r>
        <w:rPr>
          <w:rtl w:val="true"/>
        </w:rPr>
        <w:t>آيات القرآن و حقّ الحصاد</w:t>
      </w:r>
      <w:r>
        <w:rPr>
          <w:rtl w:val="true"/>
        </w:rPr>
        <w:t>]</w:t>
      </w:r>
      <w:bookmarkEnd w:id="25"/>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فلوجهين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الحمل على الزكاة المفروضة يستلزم التجوّز في آتُوا حَقَّهُ‌ بحمله </w:t>
      </w:r>
      <w:bookmarkStart w:id="26" w:name="pg16181_154405"/>
    </w:p>
    <w:p>
      <w:pPr>
        <w:pStyle w:val="BookText"/>
        <w:rPr/>
      </w:pPr>
      <w:bookmarkEnd w:id="26"/>
      <w:r>
        <w:rPr>
          <w:rFonts w:ascii="Amiri" w:hAnsi="Amiri" w:eastAsia="Amiri" w:cs="Amiri"/>
          <w:color w:val="111111"/>
          <w:sz w:val="28"/>
          <w:sz w:val="28"/>
          <w:szCs w:val="28"/>
          <w:rtl w:val="true"/>
          <w:lang w:bidi="ar-SA"/>
        </w:rPr>
        <w:t>على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اعزموا يوم الحصاد على أداء الحقّ و اهتمّوا به حتّى لا تؤخّروه من أوّل أوقات إمكان أدائه، و هذا ممّا لا داعي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الإسراف المنهيّ عنه هنا عبارة عن المجاوزة عن القصد، و لا يكون إلاّ فيما لا تكون مقدّرا، و الزكاة المفروضة مقدّرة لكونها بين العشر و نصف العشر و لا يتحقّق في أدائها المجاوزة عن القصد، و لذا استشهد به الإمام</w:t>
      </w:r>
      <w:r>
        <w:rPr>
          <w:rStyle w:val="FootnoteAnchor"/>
          <w:rtl w:val="true"/>
        </w:rPr>
        <w:footnoteReference w:id="47"/>
      </w:r>
      <w:r>
        <w:rPr>
          <w:rFonts w:ascii="Amiri" w:hAnsi="Amiri" w:eastAsia="Amiri" w:cs="Amiri"/>
          <w:color w:val="111111"/>
          <w:sz w:val="28"/>
          <w:sz w:val="28"/>
          <w:szCs w:val="28"/>
          <w:rtl w:val="true"/>
          <w:lang w:bidi="ar-SA"/>
        </w:rPr>
        <w:t>عليه السّلام فيما رواه المرتضى في الانتصار</w:t>
      </w:r>
      <w:r>
        <w:rPr>
          <w:rStyle w:val="FootnoteAnchor"/>
          <w:rtl w:val="true"/>
        </w:rPr>
        <w:footnoteReference w:id="48"/>
      </w:r>
      <w:r>
        <w:rPr>
          <w:rFonts w:ascii="Amiri" w:hAnsi="Amiri" w:eastAsia="Amiri" w:cs="Amiri"/>
          <w:color w:val="111111"/>
          <w:sz w:val="28"/>
          <w:sz w:val="28"/>
          <w:szCs w:val="28"/>
          <w:rtl w:val="true"/>
          <w:lang w:bidi="ar-SA"/>
        </w:rPr>
        <w:t>مرسلا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يَوْمَ حَصٰادِهِ‌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من الزكاة، أ لا ترى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تُسْرِفُوا إِنَّهُ لاٰ يُحِبُّ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نكتة منه عليه السّلام مليحة لأنّ النهي عن السرف لا يكون إلاّ فيما ليس بمقدّر و الزكاة مقدّرة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2586423_1280447820"/>
      <w:bookmarkStart w:id="28" w:name="_Toc10"/>
      <w:bookmarkEnd w:id="27"/>
      <w:r>
        <w:rPr>
          <w:rtl w:val="true"/>
        </w:rPr>
        <w:t>[</w:t>
      </w:r>
      <w:r>
        <w:rPr>
          <w:rtl w:val="true"/>
        </w:rPr>
        <w:t>الروايات و حقّ الحصاد</w:t>
      </w:r>
      <w:r>
        <w:rPr>
          <w:rtl w:val="true"/>
        </w:rPr>
        <w:t>]</w:t>
      </w:r>
      <w:bookmarkEnd w:id="28"/>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فالأخبار الدالّة عليه صراحة و ظهورا في غاية الكثرة، كخبر معاوية بن شريح المتقدّم</w:t>
      </w:r>
      <w:r>
        <w:rPr>
          <w:rStyle w:val="FootnoteAnchor"/>
          <w:rtl w:val="true"/>
        </w:rPr>
        <w:footnoteReference w:id="50"/>
      </w:r>
      <w:r>
        <w:rPr>
          <w:rFonts w:ascii="IRNazanin" w:hAnsi="IRNazanin" w:eastAsia="IRNazanin"/>
          <w:color w:val="111111"/>
          <w:sz w:val="28"/>
          <w:sz w:val="28"/>
          <w:szCs w:val="28"/>
          <w:rtl w:val="true"/>
          <w:lang w:bidi="fa-IR"/>
        </w:rPr>
        <w:t>و المرسل</w:t>
      </w:r>
      <w:r>
        <w:rPr>
          <w:rStyle w:val="FootnoteAnchor"/>
          <w:rtl w:val="true"/>
        </w:rPr>
        <w:footnoteReference w:id="51"/>
      </w:r>
      <w:r>
        <w:rPr>
          <w:rFonts w:ascii="Amiri" w:hAnsi="Amiri" w:eastAsia="Amiri" w:cs="Amiri"/>
          <w:color w:val="111111"/>
          <w:sz w:val="28"/>
          <w:sz w:val="28"/>
          <w:szCs w:val="28"/>
          <w:rtl w:val="true"/>
          <w:lang w:bidi="ar-SA"/>
        </w:rPr>
        <w:t>المتقدّم أيضا، و صحيحة زرارة و محمّد بن مسلم و أبي بصير كلّهم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يَوْمَ حَصٰادِهِ‌ فقالوا جميعا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الصدقة تعطي المسكين القبضة بعد القبضة و من الجذاذ</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الحفنة بعد الحفنة حتّى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شعيب العقرقوفي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يَوْمَ حَصٰادِهِ‌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 من السنبل و الكفّ من التمر إذا خرص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هل يستقيم إعطاؤه إذا أدخله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أسخى لنفسه قبل أن يدخله بيته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سعد بن سعد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يحضر المساكين و هو يحصد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المرسل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الصادق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يَوْمَ حَصٰادِهِ‌ كيف اعطي‌؟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بيدك على الضغث فتعطيه المسكين و المسكين حتّى تفرغ</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زرارة و حمران و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و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يَوْمَ حَصٰادِهِ‌ قالا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منه الضغث بعد الضغث و من السنبل القبضة بعد القبضة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جراح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يَوْمَ حَصٰادِهِ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منه المساكين الّذين يحضرونك تأخذ بيدك القبضة بعد القبضة حتّى تفرغ</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يَوْمَ حَصٰادِهِ فسمّاه اللّه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حقّه يوم حصاده‌؟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 تناوله من حضرك من أهل الخصاصة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بصير المرادي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تصرم</w:t>
      </w:r>
      <w:r>
        <w:rPr>
          <w:rStyle w:val="FootnoteAnchor"/>
          <w:rtl w:val="true"/>
        </w:rPr>
        <w:footnoteReference w:id="61"/>
      </w:r>
      <w:r>
        <w:rPr>
          <w:rFonts w:ascii="Amiri" w:hAnsi="Amiri" w:eastAsia="Amiri" w:cs="Amiri"/>
          <w:color w:val="111111"/>
          <w:sz w:val="28"/>
          <w:sz w:val="28"/>
          <w:szCs w:val="28"/>
          <w:rtl w:val="true"/>
          <w:lang w:bidi="ar-SA"/>
        </w:rPr>
        <w:t xml:space="preserve">بالليل و لا تحصد </w:t>
      </w:r>
    </w:p>
    <w:p>
      <w:pPr>
        <w:pStyle w:val="BookText"/>
        <w:rPr/>
      </w:pPr>
      <w:r>
        <w:rPr>
          <w:rFonts w:ascii="Amiri" w:hAnsi="Amiri" w:eastAsia="Amiri" w:cs="Amiri"/>
          <w:color w:val="111111"/>
          <w:sz w:val="28"/>
          <w:sz w:val="28"/>
          <w:szCs w:val="28"/>
          <w:rtl w:val="true"/>
          <w:lang w:bidi="ar-SA"/>
        </w:rPr>
        <w:t>بالليل و لا تضحّ‌</w:t>
      </w:r>
      <w:r>
        <w:rPr>
          <w:rStyle w:val="FootnoteAnchor"/>
          <w:rtl w:val="true"/>
        </w:rPr>
        <w:footnoteReference w:id="62"/>
      </w:r>
      <w:r>
        <w:rPr>
          <w:rFonts w:ascii="Amiri" w:hAnsi="Amiri" w:eastAsia="Amiri" w:cs="Amiri"/>
          <w:color w:val="111111"/>
          <w:sz w:val="28"/>
          <w:sz w:val="28"/>
          <w:szCs w:val="28"/>
          <w:rtl w:val="true"/>
          <w:lang w:bidi="ar-SA"/>
        </w:rPr>
        <w:t>بالليل و لا تبذر</w:t>
      </w:r>
      <w:r>
        <w:rPr>
          <w:rStyle w:val="FootnoteAnchor"/>
          <w:rtl w:val="true"/>
        </w:rPr>
        <w:footnoteReference w:id="63"/>
      </w:r>
      <w:r>
        <w:rPr>
          <w:rFonts w:ascii="Amiri" w:hAnsi="Amiri" w:eastAsia="Amiri" w:cs="Amiri"/>
          <w:color w:val="111111"/>
          <w:sz w:val="28"/>
          <w:sz w:val="28"/>
          <w:szCs w:val="28"/>
          <w:rtl w:val="true"/>
          <w:lang w:bidi="ar-SA"/>
        </w:rPr>
        <w:t>بالليل فإنّك إن فعلت لم يأتك القانع و المعترّ،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القانع و المعترّ؟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يقنع بما أعطيته و المعترّ الّذي يمرّ بك و يسألك، و إن حصدت بالليل لم يأتك السؤال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يَوْمَ حَصٰادِهِ عند الحصاد يعني القبضة بعد القبضة إذا حصدته، فإذا خرج فالحفنة بعد الحفنة، و كذلك عند الصرام، و كذلك البذر و لا تبذر بالليل لأنّك تعطي في البذر كما تعطي في الحصاد</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الحصاد و الجذاذ بالليل،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يَوْمَ حَصٰادِهِ‌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محمّد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عن أبي جعفر عليه السّلام عن عليّ بن الحسين عليه السّلام أنّه قال لقهرمانه و وجده قد جذّ نخلا له من آخر الليل، فقال عليه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تفعل أ لا تعلم أنّ رسول اللّه صلّى اللّه عليه و آله نهى عن الحصاد و الجذاذ بالليل، و كان يقول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الضغث تعطيه من يسأل فذلك حقّه يوم حصاده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إلى غير ذلك من المستفيضة</w:t>
      </w:r>
      <w:r>
        <w:rPr>
          <w:rStyle w:val="FootnoteAnchor"/>
          <w:rtl w:val="true"/>
        </w:rPr>
        <w:footnoteReference w:id="67"/>
      </w:r>
      <w:r>
        <w:rPr>
          <w:rFonts w:ascii="Amiri" w:hAnsi="Amiri" w:eastAsia="Amiri" w:cs="Amiri"/>
          <w:color w:val="111111"/>
          <w:sz w:val="28"/>
          <w:sz w:val="28"/>
          <w:szCs w:val="28"/>
          <w:rtl w:val="true"/>
          <w:lang w:bidi="ar-SA"/>
        </w:rPr>
        <w:t>الدالّة على كراهة الحصاد و الجذاذ بالليل تعليلا بنحو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أحمد بن محمّد</w:t>
      </w:r>
      <w:r>
        <w:rPr>
          <w:rStyle w:val="FootnoteAnchor"/>
          <w:rtl w:val="true"/>
        </w:rPr>
        <w:footnoteReference w:id="68"/>
      </w:r>
      <w:r>
        <w:rPr>
          <w:rFonts w:ascii="Amiri" w:hAnsi="Amiri" w:eastAsia="Amiri" w:cs="Amiri"/>
          <w:color w:val="111111"/>
          <w:sz w:val="28"/>
          <w:sz w:val="28"/>
          <w:szCs w:val="28"/>
          <w:rtl w:val="true"/>
          <w:lang w:bidi="ar-SA"/>
        </w:rPr>
        <w:t>بن أبي نصر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يَوْمَ حَصٰادِهِ وَ لاٰ تُسْرِفُوا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الإسراف في الحصاد و الجذاذ أن يصدّق الرجل بكفّيه جميعا، و كان أبي عليه السّلام إذا حضر شيئا من هذا فرأى أحدا من غلمانه يتصدّق بكفّيه، 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بيد واحدة، </w:t>
      </w:r>
      <w:bookmarkStart w:id="29" w:name="pg16181_154408"/>
    </w:p>
    <w:p>
      <w:pPr>
        <w:pStyle w:val="BookText"/>
        <w:rPr/>
      </w:pPr>
      <w:bookmarkEnd w:id="29"/>
      <w:r>
        <w:rPr>
          <w:rFonts w:ascii="Amiri" w:hAnsi="Amiri" w:eastAsia="Amiri" w:cs="Amiri"/>
          <w:color w:val="111111"/>
          <w:sz w:val="28"/>
          <w:sz w:val="28"/>
          <w:szCs w:val="28"/>
          <w:rtl w:val="true"/>
          <w:lang w:bidi="ar-SA"/>
        </w:rPr>
        <w:t>القبضة بعد القبضة و الضغث بعد الضغث من السنبل</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تُسْرِفُوا إِنَّهُ لاٰ يُحِبُّ اَلْمُسْرِفِينَ‌ </w:t>
      </w:r>
      <w:r>
        <w:rPr>
          <w:rStyle w:val="FootnoteAnchor"/>
          <w:rtl w:val="true"/>
        </w:rPr>
        <w:footnoteReference w:id="70"/>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فلان بن فلان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حرث و كان إذا جذّه تصدّق به، و بقى هو و عياله بغير شيء فجعل اللّه ذلك سرفا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2586425_1280447820"/>
      <w:bookmarkStart w:id="31" w:name="_Toc11"/>
      <w:bookmarkEnd w:id="30"/>
      <w:r>
        <w:rPr>
          <w:rtl w:val="true"/>
        </w:rPr>
        <w:t>[</w:t>
      </w:r>
      <w:r>
        <w:rPr>
          <w:rtl w:val="true"/>
        </w:rPr>
        <w:t>دلالة الآيات و الروايات على استحباب حقّ الحصاد</w:t>
      </w:r>
      <w:r>
        <w:rPr>
          <w:rtl w:val="true"/>
        </w:rPr>
        <w:t>]</w:t>
      </w:r>
      <w:bookmarkEnd w:id="31"/>
    </w:p>
    <w:p>
      <w:pPr>
        <w:pStyle w:val="BookText"/>
        <w:rPr/>
      </w:pPr>
      <w:r>
        <w:rPr>
          <w:rFonts w:ascii="Amiri" w:hAnsi="Amiri" w:eastAsia="Amiri" w:cs="Amiri"/>
          <w:color w:val="111111"/>
          <w:sz w:val="28"/>
          <w:sz w:val="28"/>
          <w:szCs w:val="28"/>
          <w:rtl w:val="true"/>
          <w:lang w:bidi="ar-SA"/>
        </w:rPr>
        <w:t>و بقى الكلام في حمل الأمر في الآية بأداء ذلك الحقّ على الوجوب أو الاستحباب، و يكفي في صرفه عن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 المعظم إلى عدم الوجوب، و كونه مشهورا شهرة عظيمة كادت تبلغ الإجماع، إذ به يتوهّن ظهور الصيغة في إرادة الوجوب، كما يتوهّن به دلالة الأخبار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بل يدلّ عليه خبر معاوية بن شريح المتقدّم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استظهار إرادة الاستحباب من الآية و من الأخبار أيضا، من أخبار كراهة الحصاد في الليل لأنّها تلازم استحباب أداء ذلك الحقّ‌، إذ لو كان واجبا لناسب كون الحصاد في الليل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يشعر به أيضا ما دلّ من الأخبار على ثبوت نحو ذلك الحقّ في البذر أيضا بتقريب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بوجوبه، و كيف كان فالمعتمد هو المشهور المنصور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تقرّر ذلك فينبغي التكلّم في المباحث الثلاثة المتقدّم إليها الإشارة</w:t>
      </w:r>
      <w:r>
        <w:rPr>
          <w:rFonts w:eastAsia="Amiri" w:cs="Amiri" w:ascii="Amiri" w:hAnsi="Amiri"/>
          <w:color w:val="111111"/>
          <w:sz w:val="28"/>
          <w:szCs w:val="28"/>
          <w:rtl w:val="true"/>
          <w:lang w:bidi="ar-SA"/>
        </w:rPr>
        <w:t xml:space="preserve">. </w:t>
      </w:r>
      <w:bookmarkStart w:id="32" w:name="pg16181_154409"/>
    </w:p>
    <w:p>
      <w:pPr>
        <w:pStyle w:val="Heading4"/>
        <w:numPr>
          <w:ilvl w:val="3"/>
          <w:numId w:val="1"/>
        </w:numPr>
        <w:rPr/>
      </w:pPr>
      <w:bookmarkStart w:id="33" w:name="__RefHeading___Toc2586427_1280447820"/>
      <w:bookmarkStart w:id="34" w:name="_Toc12"/>
      <w:bookmarkEnd w:id="32"/>
      <w:bookmarkEnd w:id="33"/>
      <w:r>
        <w:rPr>
          <w:rtl w:val="true"/>
        </w:rPr>
        <w:t>المبحث الأوّل فيمن يجب عليه الزكاة</w:t>
      </w:r>
      <w:bookmarkEnd w:id="34"/>
    </w:p>
    <w:p>
      <w:pPr>
        <w:pStyle w:val="Heading5"/>
        <w:numPr>
          <w:ilvl w:val="4"/>
          <w:numId w:val="1"/>
        </w:numPr>
        <w:rPr/>
      </w:pPr>
      <w:bookmarkStart w:id="35" w:name="__RefHeading___Toc2586429_1280447820"/>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التأمّل في وجوب الزكاة على البالغ، العاقل، الحرّ، المالك للأجناس الزكويّة، المتمكّن من التصرّف فيها قولا واحدا و إجماعا محصّلا و منقولا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كلام فيه و لا شبهة تعتريه، و إنّما الكلام في مدخليّة كلّ من القيود الخمس في موضوع الحكم بحيث لم تجب على من فقدها، و مرجعه إلى اشتراط وجوبها بشروط خمس ليتفرّع عليه عدم وجوبها على الطفل، و لا على المجنون، و لا على المملوك، و لا على من لم يتملّك النصاب، و لا على من لا يتمكّن من التصرّف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المقام إنّما هو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بالتكلّم في مطالب خمس</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2586431_1280447820"/>
      <w:bookmarkStart w:id="38" w:name="_Toc14"/>
      <w:bookmarkEnd w:id="37"/>
      <w:r>
        <w:rPr>
          <w:rtl w:val="true"/>
        </w:rPr>
        <w:t>المطلب الأوّل</w:t>
      </w:r>
      <w:r>
        <w:rPr>
          <w:rtl w:val="true"/>
        </w:rPr>
        <w:t xml:space="preserve">: </w:t>
      </w:r>
      <w:r>
        <w:rPr>
          <w:rtl w:val="true"/>
        </w:rPr>
        <w:t>في اشتراط وجوبها بالبلوغ</w:t>
      </w:r>
      <w:r>
        <w:rPr>
          <w:rtl w:val="true"/>
        </w:rPr>
        <w:t>:</w:t>
      </w:r>
      <w:bookmarkEnd w:id="38"/>
    </w:p>
    <w:p>
      <w:pPr>
        <w:pStyle w:val="Heading6"/>
        <w:numPr>
          <w:ilvl w:val="5"/>
          <w:numId w:val="1"/>
        </w:numPr>
        <w:rPr/>
      </w:pPr>
      <w:bookmarkStart w:id="39" w:name="__RefHeading___Toc2586433_1280447820"/>
      <w:bookmarkStart w:id="40" w:name="_Toc15"/>
      <w:bookmarkEnd w:id="39"/>
      <w:r>
        <w:rPr>
          <w:rtl w:val="true"/>
        </w:rPr>
        <w:t>اشارة</w:t>
      </w:r>
      <w:bookmarkEnd w:id="4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تجب في أموال الصغير 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لا أب له أو لا مطلقا</w:t>
      </w:r>
      <w:r>
        <w:rPr>
          <w:rStyle w:val="FootnoteAnchor"/>
          <w:rtl w:val="true"/>
        </w:rPr>
        <w:footnoteReference w:id="73"/>
      </w:r>
      <w:r>
        <w:rPr>
          <w:rFonts w:ascii="Amiri" w:hAnsi="Amiri" w:eastAsia="Amiri" w:cs="Amiri"/>
          <w:color w:val="111111"/>
          <w:sz w:val="28"/>
          <w:sz w:val="28"/>
          <w:szCs w:val="28"/>
          <w:rtl w:val="true"/>
          <w:lang w:bidi="ar-SA"/>
        </w:rPr>
        <w:t>و هو في الجملة إجماعي، و في كلام جماعة</w:t>
      </w:r>
      <w:r>
        <w:rPr>
          <w:rStyle w:val="FootnoteAnchor"/>
          <w:rtl w:val="true"/>
        </w:rPr>
        <w:footnoteReference w:id="74"/>
      </w:r>
      <w:r>
        <w:rPr>
          <w:rFonts w:ascii="Amiri" w:hAnsi="Amiri" w:eastAsia="Amiri" w:cs="Amiri"/>
          <w:color w:val="111111"/>
          <w:sz w:val="28"/>
          <w:sz w:val="28"/>
          <w:szCs w:val="28"/>
          <w:rtl w:val="true"/>
          <w:lang w:bidi="ar-SA"/>
        </w:rPr>
        <w:t>دعوى الإجماع عليه، و من مشايخنا</w:t>
      </w:r>
      <w:r>
        <w:rPr>
          <w:rStyle w:val="FootnoteAnchor"/>
          <w:rtl w:val="true"/>
        </w:rPr>
        <w:footnoteReference w:id="75"/>
      </w:r>
      <w:r>
        <w:rPr>
          <w:rFonts w:ascii="Amiri" w:hAnsi="Amiri" w:eastAsia="Amiri" w:cs="Amiri"/>
          <w:color w:val="111111"/>
          <w:sz w:val="28"/>
          <w:sz w:val="28"/>
          <w:szCs w:val="28"/>
          <w:rtl w:val="true"/>
          <w:lang w:bidi="ar-SA"/>
        </w:rPr>
        <w:t>من ادّعى استفاضة نقله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العمدة في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مع انضمام عدم تناول أوامر الزكاة و أدلّة وجوبها للطفل و ماله، و بعده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فمن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تعرّض الشارع لجعل زكاة في مال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الدائر بين الأصل القطعي الثابت بالعقل و النقل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الطفل ما لم يبلغ ليس عليه تكليف و لا سيّما الإلزامي إيجابا و تحريما، و أصالة البراءة عن الوجوب المحتمل و العقاب المحتمل ترتّبه على ترك إخراج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المخاطب بإخراج الزكاة إن احتمل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فينفيه الأصل بالمعنى الأوّل</w:t>
      </w:r>
      <w:r>
        <w:rPr>
          <w:rStyle w:val="FootnoteAnchor"/>
          <w:rtl w:val="true"/>
        </w:rPr>
        <w:footnoteReference w:id="77"/>
      </w:r>
      <w:r>
        <w:rPr>
          <w:rFonts w:ascii="Amiri" w:hAnsi="Amiri" w:eastAsia="Amiri" w:cs="Amiri"/>
          <w:color w:val="111111"/>
          <w:sz w:val="28"/>
          <w:sz w:val="28"/>
          <w:szCs w:val="28"/>
          <w:rtl w:val="true"/>
          <w:lang w:bidi="ar-SA"/>
        </w:rPr>
        <w:t xml:space="preserve">و إن احتمل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فينفيه الأصل بالمعنى الثاني</w:t>
      </w:r>
      <w:r>
        <w:rPr>
          <w:rStyle w:val="FootnoteAnchor"/>
          <w:rtl w:val="true"/>
        </w:rPr>
        <w:footnoteReference w:id="78"/>
      </w:r>
      <w:r>
        <w:rPr>
          <w:rFonts w:ascii="Amiri" w:hAnsi="Amiri" w:eastAsia="Amiri" w:cs="Amiri"/>
          <w:color w:val="111111"/>
          <w:sz w:val="28"/>
          <w:sz w:val="28"/>
          <w:szCs w:val="28"/>
          <w:rtl w:val="true"/>
          <w:lang w:bidi="ar-SA"/>
        </w:rPr>
        <w:t xml:space="preserve">و إنّما خصّصناه بالوليّ لعدم جريانه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بالبالغين الكاملين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المنساق من أدلّته أنّه لم ينتف عن مورده من شروط التكليف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فيكون بحسب المورد مخصوصا بالبالغين الكاملين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أيضا كما عن المعتبر و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الزكاة عبادة محضة تفتقر إلى النيّة فلا تجب على من تتعذّر عليه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r>
        <w:rPr>
          <w:rFonts w:ascii="Amiri" w:hAnsi="Amiri" w:eastAsia="Amiri" w:cs="Amiri"/>
          <w:color w:val="111111"/>
          <w:sz w:val="28"/>
          <w:sz w:val="28"/>
          <w:szCs w:val="28"/>
          <w:rtl w:val="true"/>
          <w:lang w:bidi="ar-SA"/>
        </w:rPr>
        <w:t>و لعلّ السرّ في تعذّر النيّة على الطفل أنّ حقيقة النيّة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امتثال الأمر، و حيثما انتفى الأمر استحال النيّة بمعنى قصد 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يندفع ما اجيب عن الاستدلال تارة بمنع تعذّرها، و اخرى بنقضه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عليه بأنّ المخاطب بالإخراج على تقدير الوجوب إنّما هو الوليّ و تتأتّى منه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الزكاة عبادة فلا تجب على الصبيّ كالصلاة و الحجّ لتوجّه الخطاب بالإخراج إلى الوليّ لا إلى الطفل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منهما الاستدلال بالمرسل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حتّى يبلغ، </w:t>
      </w:r>
    </w:p>
    <w:p>
      <w:pPr>
        <w:pStyle w:val="BookText"/>
        <w:rPr/>
      </w:pPr>
      <w:r>
        <w:rPr>
          <w:rFonts w:ascii="Amiri" w:hAnsi="Amiri" w:eastAsia="Amiri" w:cs="Amiri"/>
          <w:color w:val="111111"/>
          <w:sz w:val="28"/>
          <w:sz w:val="28"/>
          <w:szCs w:val="28"/>
          <w:rtl w:val="true"/>
          <w:lang w:bidi="ar-SA"/>
        </w:rPr>
        <w:t>و عن النائم حتّى ينتبه، و عن المجنون حتّى يفيق</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لأنّ رفع القلم عن الصبيّ لا ينافي وجوب الزكاة في ماله بعد ما كان المخاطب بإخراجه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فأخبار مستفيضة، فيها الصحاح و غيرها، ففي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مال اليتيم،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زكاة</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أبي بصير المرادي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مال اليتيم زكاة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أنّه سمعه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مال اليتيم زكاة، و ليس عليه صلاة، و ليس على جميع غلاّته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نخل أو زرع أو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و إن بلغ اليتيم فليس عليه لما مضى زكاة، و لا عليه لما يستقبل حتّى يدرك، فإذا أدرك كانت عليه زكاة واحدة، و كان عليه مثل ما على غيره من الناس</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مال اليتيم زكاة، و إن بلغ اليتيم فليس عليه لما مضى زكاة، و لا عليه فيما بقي حتّى يدرك، فإذا أدرك فإنّما عليه زكاة واحدة، ثمّ كان عليه مثل ما على غيره من الناس</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محمّد بن القسم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 أسأله عن الوصيّ أ يزكّي زكاة الفطرة عن اليتامى إذا كان لهم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خبر العلا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مال اليتيم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يخالف الناس في مال اليتيم، ليس عليه زكاة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اليتيم عليه 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موضوعا فليس عليه زكاة، فإذا عملت به فأنت له ضامن و الربح لليتيم</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كون هذه الأخبار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نفي الوجوب ممّا لا حاجة له إلى بيان، ككون إطلاق النفي فيها ظاهرا في عموم النفي بالقياس إلى الاستحباب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يفيد نفي مطلق الحكم وجوبا 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النفي بإطلاقه يفيد أنّه لم يجعل في مال اليتيم زكاة لا وجوبا و لا استحبابا، و موردها و إن كان هو اليتيم الظاهر عرفا 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لا قائل بالفصل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أب</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فيثبت عموم الحكم بالإجماع المركّب و عدم القول بالفصل، مع ما ستعرفه في خبر محمّد بن الفضيل الآتي من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صبية صغار لهم مال بيد أبيهم أو أخيهم</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و في خبر يونس بن يعقوب من التعبير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اخوة صغار</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المتناول بإطلاقه، و عموم الجواب من جهة ترك الاستفصال لهما معا، و كون إطلاق المال المذكور فيها شاملا لجميع أنحاء مال الطفل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النقدين اتّجر بها أو لم يتّجر، و الغلاّت و المواشي أيضا واضح لا حاجة له إلى البيان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الأصل في مال الطفل، و هل خرج منه شيء من أمواله بأن يثبت فيه زكاة وجوبا أو استحبابا أو لا؟ تحقيقه يستدعي البحث في ثلاث مسائل</w:t>
      </w:r>
      <w:r>
        <w:rPr>
          <w:rFonts w:eastAsia="Amiri" w:cs="Amiri" w:ascii="Amiri" w:hAnsi="Amiri"/>
          <w:color w:val="111111"/>
          <w:sz w:val="28"/>
          <w:szCs w:val="28"/>
          <w:rtl w:val="true"/>
          <w:lang w:bidi="ar-SA"/>
        </w:rPr>
        <w:t xml:space="preserve">: </w:t>
      </w:r>
      <w:bookmarkStart w:id="41" w:name="pg16181_154413"/>
    </w:p>
    <w:p>
      <w:pPr>
        <w:pStyle w:val="Heading6"/>
        <w:numPr>
          <w:ilvl w:val="5"/>
          <w:numId w:val="1"/>
        </w:numPr>
        <w:rPr/>
      </w:pPr>
      <w:bookmarkStart w:id="42" w:name="__RefHeading___Toc2586435_1280447820"/>
      <w:bookmarkStart w:id="43" w:name="_Toc16"/>
      <w:bookmarkEnd w:id="41"/>
      <w:bookmarkEnd w:id="42"/>
      <w:r>
        <w:rPr>
          <w:rtl w:val="true"/>
        </w:rPr>
        <w:t>[</w:t>
      </w:r>
      <w:r>
        <w:rPr>
          <w:rtl w:val="true"/>
        </w:rPr>
        <w:t>الزكاة في أموال الطفل من النقدين</w:t>
      </w:r>
      <w:r>
        <w:rPr>
          <w:rtl w:val="true"/>
        </w:rPr>
        <w:t>]</w:t>
      </w:r>
      <w:bookmarkEnd w:id="43"/>
    </w:p>
    <w:p>
      <w:pPr>
        <w:pStyle w:val="Heading6"/>
        <w:numPr>
          <w:ilvl w:val="5"/>
          <w:numId w:val="1"/>
        </w:numPr>
        <w:rPr/>
      </w:pPr>
      <w:bookmarkStart w:id="44" w:name="__RefHeading___Toc2586437_1280447820"/>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ماله الّذي يكون من قبيل النقدين و له حالان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موضوعا في مكان من غير أن يتّجر به، و هذا ما لا زكاة فيه أصلا لا وجوبا و لا استحبابا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بحيث يتّجر بها الوليّ له، و هذا ممّا اختلف فيه قول الأصحاب، فالمشهور بينهم شهرة عظيمة كادت تبلغ الإجماع، بل هو على ما تعرفه 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يجب فيه الزكاة بل تستحبّ‌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المفيد في المقنعة ظهور كلامه في الوجوب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صامت أموال الأطفال من الدراهم و الدنانير إلاّ أن يتّجر به الوليّ‌، فإن اتّجر بها و حرّكها وجب عليه إخراج الزكاة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عن الشيخ في التهذيب تأويله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به الندب و الاستحباب لا الفرض و الإيجاب، لأنّ المال لو كان لبالغ و اتّجر به لما وجب فيه الزكاة عنده وجوب الفرض فالطفل أولى</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الحلّي في السرائر إنكار الوجوب و الاستحباب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الرواية الواردة بالاستحباب ضعيفة شاذّة أوردها الشيخ إيرادا لا اعتقادا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البيان استظهاره من كلام ابن الجنيد</w:t>
      </w:r>
      <w:r>
        <w:rPr>
          <w:rStyle w:val="FootnoteAnchor"/>
          <w:rtl w:val="true"/>
        </w:rPr>
        <w:footnoteReference w:id="97"/>
      </w:r>
      <w:r>
        <w:rPr>
          <w:rFonts w:ascii="Amiri" w:hAnsi="Amiri" w:eastAsia="Amiri" w:cs="Amiri"/>
          <w:color w:val="111111"/>
          <w:sz w:val="28"/>
          <w:sz w:val="28"/>
          <w:szCs w:val="28"/>
          <w:rtl w:val="true"/>
          <w:lang w:bidi="ar-SA"/>
        </w:rPr>
        <w:t>و نفى البعد عن المصير إليه في المدارك بعد ما استجود كلام الحلّي</w:t>
      </w:r>
      <w:r>
        <w:rPr>
          <w:rStyle w:val="FootnoteAnchor"/>
          <w:rtl w:val="true"/>
        </w:rPr>
        <w:footnoteReference w:id="98"/>
      </w:r>
      <w:r>
        <w:rPr>
          <w:rFonts w:ascii="Amiri" w:hAnsi="Amiri" w:eastAsia="Amiri" w:cs="Amiri"/>
          <w:color w:val="111111"/>
          <w:sz w:val="28"/>
          <w:sz w:val="28"/>
          <w:szCs w:val="28"/>
          <w:rtl w:val="true"/>
          <w:lang w:bidi="ar-SA"/>
        </w:rPr>
        <w:t>و ربما حكي تقويته عن المحقّق البهبهاني في شرح المفاتيح</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الأقوى الأوّل، لنا على عدم الوجوب ما تقدّم</w:t>
      </w:r>
      <w:r>
        <w:rPr>
          <w:rStyle w:val="FootnoteAnchor"/>
          <w:rtl w:val="true"/>
        </w:rPr>
        <w:footnoteReference w:id="100"/>
      </w:r>
      <w:r>
        <w:rPr>
          <w:rFonts w:ascii="Amiri" w:hAnsi="Amiri" w:eastAsia="Amiri" w:cs="Amiri"/>
          <w:color w:val="111111"/>
          <w:sz w:val="28"/>
          <w:sz w:val="28"/>
          <w:szCs w:val="28"/>
          <w:rtl w:val="true"/>
          <w:lang w:bidi="ar-SA"/>
        </w:rPr>
        <w:t xml:space="preserve">من الروايات المطلقة النافية </w:t>
      </w:r>
    </w:p>
    <w:p>
      <w:pPr>
        <w:pStyle w:val="BookText"/>
        <w:rPr/>
      </w:pPr>
      <w:r>
        <w:rPr>
          <w:rFonts w:ascii="Amiri" w:hAnsi="Amiri" w:eastAsia="Amiri" w:cs="Amiri"/>
          <w:color w:val="111111"/>
          <w:sz w:val="28"/>
          <w:sz w:val="28"/>
          <w:szCs w:val="28"/>
          <w:rtl w:val="true"/>
          <w:lang w:bidi="ar-SA"/>
        </w:rPr>
        <w:t>للزكاة عن مال الطفل مطلقا المتناول إطلاقها لمال التجارة أيضا، مضافا إلى خصوص صحيح زرارة و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 و أبي عبد اللّه عليه السّلام إنّهما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مال اليتيم في الدين و المال الصامت شيء، فأمّا الغلاّت فعليها الصدقة واجبة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للقائل</w:t>
      </w:r>
      <w:r>
        <w:rPr>
          <w:rStyle w:val="FootnoteAnchor"/>
          <w:rtl w:val="true"/>
        </w:rPr>
        <w:footnoteReference w:id="102"/>
      </w:r>
      <w:r>
        <w:rPr>
          <w:rFonts w:ascii="Amiri" w:hAnsi="Amiri" w:eastAsia="Amiri" w:cs="Amiri"/>
          <w:color w:val="111111"/>
          <w:sz w:val="28"/>
          <w:sz w:val="28"/>
          <w:szCs w:val="28"/>
          <w:rtl w:val="true"/>
          <w:lang w:bidi="ar-SA"/>
        </w:rPr>
        <w:t xml:space="preserve">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صراحة كلامه في إرادة الظاهر و تطرّق التأويل إليه من 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خصوص رواية محمّد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صبية صغار لهم مال بيد أبيهم أو أخيهم هل يجب على مالهم 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مالهم زكاة حتّى يعمل به فإذا عمل به وجبت الزكاة، فأمّا إذا كان موقوفا فلا زكاة عليه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روايات اخر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إلى أبي عبد اللّه عليه السّلام إنّ لي اخوة صغارا فمتى تجب على أموالهم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عليهم الصلاة وجب عليهم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تجب عليهم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اتّجر به فزكّه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موثّقة أحمد بن عمر بن أبي شعبة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مال اليتيم،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عليه إلاّ أن يعمل به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مال اليتيم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يتّجر به أو تعمل به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سعيد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مال اليتيم زكاة إلاّ أن يتّجر به، فإن اتّجر به فالربح لليتيم و إن وضع فعلى الّذي يتّجر به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46" w:name="pg16181_154415"/>
    </w:p>
    <w:p>
      <w:pPr>
        <w:pStyle w:val="BookText"/>
        <w:rPr/>
      </w:pPr>
      <w:bookmarkEnd w:id="46"/>
      <w:r>
        <w:rPr>
          <w:rFonts w:ascii="Amiri" w:hAnsi="Amiri" w:eastAsia="Amiri" w:cs="Amiri"/>
          <w:color w:val="111111"/>
          <w:sz w:val="28"/>
          <w:sz w:val="28"/>
          <w:szCs w:val="28"/>
          <w:rtl w:val="true"/>
          <w:lang w:bidi="ar-SA"/>
        </w:rPr>
        <w:t xml:space="preserve">و خبر أبي العطارد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اليتيم يكون عندي فأتّجر 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حرّكته فعليك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احرّكه ثمانية أشهر و أدعه أربعة أشهر،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زكاته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زرارة و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الجوهر و أشباهه زكاة و إن كثر، و ليس في نقر</w:t>
      </w:r>
      <w:r>
        <w:rPr>
          <w:rStyle w:val="FootnoteAnchor"/>
          <w:rtl w:val="true"/>
        </w:rPr>
        <w:footnoteReference w:id="109"/>
      </w:r>
      <w:r>
        <w:rPr>
          <w:rFonts w:ascii="Amiri" w:hAnsi="Amiri" w:eastAsia="Amiri" w:cs="Amiri"/>
          <w:color w:val="111111"/>
          <w:sz w:val="28"/>
          <w:sz w:val="28"/>
          <w:szCs w:val="28"/>
          <w:rtl w:val="true"/>
          <w:lang w:bidi="ar-SA"/>
        </w:rPr>
        <w:t>الفضّة زكاة، و ليس على مال اليتيم زكاة إلاّ أن يتّجر به ففيه الزكاة، و الربح لليتيم و على التاجر ضمان المال</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 w:name="__RefHeading___Toc2586439_1280447820"/>
      <w:bookmarkStart w:id="48" w:name="_Toc18"/>
      <w:bookmarkEnd w:id="47"/>
      <w:r>
        <w:rPr>
          <w:rtl w:val="true"/>
        </w:rPr>
        <w:t>[</w:t>
      </w:r>
      <w:r>
        <w:rPr>
          <w:rtl w:val="true"/>
        </w:rPr>
        <w:t>ردّ دلالة الروايات على وجوب الزكاة في أموال الطفل</w:t>
      </w:r>
      <w:r>
        <w:rPr>
          <w:rtl w:val="true"/>
        </w:rPr>
        <w:t>]</w:t>
      </w:r>
      <w:bookmarkEnd w:id="48"/>
    </w:p>
    <w:p>
      <w:pPr>
        <w:pStyle w:val="BookText"/>
        <w:rPr/>
      </w:pPr>
      <w:r>
        <w:rPr>
          <w:rFonts w:ascii="Amiri" w:hAnsi="Amiri" w:eastAsia="Amiri" w:cs="Amiri"/>
          <w:color w:val="111111"/>
          <w:sz w:val="28"/>
          <w:sz w:val="28"/>
          <w:szCs w:val="28"/>
          <w:rtl w:val="true"/>
          <w:lang w:bidi="ar-SA"/>
        </w:rPr>
        <w:t>و الجواب عن الأوّل كون ظاهره ممّا أعرض عنه المعظم فيتوهّن، و مع الغضّ عن ذلك فهو ضعيف السند لضعف راويه</w:t>
      </w:r>
      <w:r>
        <w:rPr>
          <w:rStyle w:val="FootnoteAnchor"/>
          <w:rtl w:val="true"/>
        </w:rPr>
        <w:footnoteReference w:id="111"/>
      </w:r>
      <w:r>
        <w:rPr>
          <w:rFonts w:ascii="Amiri" w:hAnsi="Amiri" w:eastAsia="Amiri" w:cs="Amiri"/>
          <w:color w:val="111111"/>
          <w:sz w:val="28"/>
          <w:sz w:val="28"/>
          <w:szCs w:val="28"/>
          <w:rtl w:val="true"/>
          <w:lang w:bidi="ar-SA"/>
        </w:rPr>
        <w:t>فتارة ضعّف و اخرى رمي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البواقي بمنع ظهور أكثرها في الوجوب، لأنّ الاستثناء عن النفي العام لا يفيد إلاّ إثبات الأمر المردّد بين الوجوب و الاستحباب لا خصوص الوجوب، إلاّ إذا فرض المنفيّ في جانب المستثنى منه خصوص الوجوب، و لعلّه موضع منع</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اكتفى في إثبات المطلب بظهور بعضها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اتّجر فزكّه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يونس بن يعقوب</w:t>
      </w:r>
      <w:r>
        <w:rPr>
          <w:rStyle w:val="FootnoteAnchor"/>
          <w:rtl w:val="true"/>
        </w:rPr>
        <w:footnoteReference w:id="112"/>
      </w:r>
      <w:r>
        <w:rPr>
          <w:rFonts w:ascii="Amiri" w:hAnsi="Amiri" w:eastAsia="Amiri" w:cs="Amiri"/>
          <w:color w:val="111111"/>
          <w:sz w:val="28"/>
          <w:sz w:val="28"/>
          <w:szCs w:val="28"/>
          <w:rtl w:val="true"/>
          <w:lang w:bidi="ar-SA"/>
        </w:rPr>
        <w:t>أو سلّم الظهور في البواقي، أيضا يتوجّه إليه أنّه يتوهّن بإعراض الأصحاب أو معظمهم عن العمل به بل بفهمهم لخلافه مع ما فيها من الكثرة، فنحو هذه الكثرة مع قلّة القابل بظهورها تنهض شاهدا بالخروج عن الظاهر، و منه 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كلّما ازدادت الروايات كثرة و القائل بظهورها قلّة غلب على الظنّ عدم إرادة الظاهر بل </w:t>
      </w:r>
    </w:p>
    <w:p>
      <w:pPr>
        <w:pStyle w:val="BookText"/>
        <w:rPr/>
      </w:pPr>
      <w:r>
        <w:rPr>
          <w:rFonts w:ascii="Amiri" w:hAnsi="Amiri" w:eastAsia="Amiri" w:cs="Amiri"/>
          <w:color w:val="111111"/>
          <w:sz w:val="28"/>
          <w:sz w:val="28"/>
          <w:szCs w:val="28"/>
          <w:rtl w:val="true"/>
          <w:lang w:bidi="ar-SA"/>
        </w:rPr>
        <w:t>إرادة خلافه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كلّه ظهر دليل الاستحباب فإنّ هذه الروايات على كثرتها بعد صرفها عن الوجوب لا محمل لها إلاّ الاستحباب، مضافا إلى الإجماعات المنقولة المعتضدة بالشهرة العظيمة الّتي منها ما عن المعتبر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إجماع علمائنا</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 منها ما عن السيّد الطباطبائي في المصابيح</w:t>
      </w:r>
      <w:r>
        <w:rPr>
          <w:rStyle w:val="FootnoteAnchor"/>
          <w:rtl w:val="true"/>
        </w:rPr>
        <w:footnoteReference w:id="115"/>
      </w:r>
      <w:r>
        <w:rPr>
          <w:rFonts w:ascii="Amiri" w:hAnsi="Amiri" w:eastAsia="Amiri" w:cs="Amiri"/>
          <w:color w:val="111111"/>
          <w:sz w:val="28"/>
          <w:sz w:val="28"/>
          <w:szCs w:val="28"/>
          <w:rtl w:val="true"/>
          <w:lang w:bidi="ar-SA"/>
        </w:rPr>
        <w:t>و السيّدين في الانتصار</w:t>
      </w:r>
      <w:r>
        <w:rPr>
          <w:rStyle w:val="FootnoteAnchor"/>
          <w:rtl w:val="true"/>
        </w:rPr>
        <w:footnoteReference w:id="116"/>
      </w:r>
      <w:r>
        <w:rPr>
          <w:rFonts w:ascii="Amiri" w:hAnsi="Amiri" w:eastAsia="Amiri" w:cs="Amiri"/>
          <w:color w:val="111111"/>
          <w:sz w:val="28"/>
          <w:sz w:val="28"/>
          <w:szCs w:val="28"/>
          <w:rtl w:val="true"/>
          <w:lang w:bidi="ar-SA"/>
        </w:rPr>
        <w:t>و الناصريّات</w:t>
      </w:r>
      <w:r>
        <w:rPr>
          <w:rStyle w:val="FootnoteAnchor"/>
          <w:rtl w:val="true"/>
        </w:rPr>
        <w:footnoteReference w:id="117"/>
      </w:r>
      <w:r>
        <w:rPr>
          <w:rFonts w:ascii="Amiri" w:hAnsi="Amiri" w:eastAsia="Amiri" w:cs="Amiri"/>
          <w:color w:val="111111"/>
          <w:sz w:val="28"/>
          <w:sz w:val="28"/>
          <w:szCs w:val="28"/>
          <w:rtl w:val="true"/>
          <w:lang w:bidi="ar-SA"/>
        </w:rPr>
        <w:t>و الغنية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عرفت من الحلّي</w:t>
      </w:r>
      <w:r>
        <w:rPr>
          <w:rStyle w:val="FootnoteAnchor"/>
          <w:rtl w:val="true"/>
        </w:rPr>
        <w:footnoteReference w:id="119"/>
      </w:r>
      <w:r>
        <w:rPr>
          <w:rFonts w:ascii="Amiri" w:hAnsi="Amiri" w:eastAsia="Amiri" w:cs="Amiri"/>
          <w:color w:val="111111"/>
          <w:sz w:val="28"/>
          <w:sz w:val="28"/>
          <w:szCs w:val="28"/>
          <w:rtl w:val="true"/>
          <w:lang w:bidi="ar-SA"/>
        </w:rPr>
        <w:t>من إنكار الاستحباب أيضا استنادا إلى ضعف الرواية به و شذوذها فهو في غاية الضعف و الشذوذ، فإنّ في الروايات المحمولة على الاستحباب ما هو صحيح و ما هو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الشذوذ مع كثرة العامل و شهرة العمل بل الإجماع عليه كما ترى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اشتراط وجوب الزكاة بالبلوغ مع اشتراطه بحلول الحول و مضيّه أن يعتبر ابتداء الحول من حين البلوغ، فلا يكفي فيه الملفّق ممّا سبق بعضه على البلوغ و لحق بعضه الآخر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عزاه في الذخيرة إلى ظاهر المتأخّرين و إن استشكل في إثباته بحسب الدليل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المتأخّرين حيث ذكروا في شرائط وجوب الزكاة التكليف ثمّ اعتبروا حصول الشرائط و استمرارها طول الحول، أنّ البالغ يستأنف الحول من حين البلوغ و أنّه لا يجب عليه إذا تمّ الحول السابق في زمان تكليفه، لكن إثبات ذلك بحسب الدليل لا يخلو عن إشكال، إذا المستفاد من الأدلّة عدم وجوب الزكاة على الصبيّ ما لم يبلغ، و هو غير مستلزم لعدم الوجوب حين البلوغ بسبب الحول السابق بعضه عليه، إذ لا يستفاد من أدلّة اشتراط الحول كونه في زمان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في قوله عليه السّلام في حسنة أبي بصير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عليه لما مضى زكاة</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غير واضحة في الدلالة على المعنى الشامل للعلّية الناقصة، بل المتبادر منه خلافه فلا دلالة فيها على </w:t>
      </w:r>
      <w:bookmarkStart w:id="49" w:name="pg16181_154417"/>
    </w:p>
    <w:p>
      <w:pPr>
        <w:pStyle w:val="BookText"/>
        <w:rPr/>
      </w:pPr>
      <w:bookmarkEnd w:id="49"/>
      <w:r>
        <w:rPr>
          <w:rFonts w:ascii="Amiri" w:hAnsi="Amiri" w:eastAsia="Amiri" w:cs="Amiri"/>
          <w:color w:val="111111"/>
          <w:sz w:val="28"/>
          <w:sz w:val="28"/>
          <w:szCs w:val="28"/>
          <w:rtl w:val="true"/>
          <w:lang w:bidi="ar-SA"/>
        </w:rPr>
        <w:t>مدّعاهم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الخبر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عليه فيما بقى حتّى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غير واضح في معنى ينفعهم في إثبات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للتأمّل في هذا المقام مجال و كذا الكلام في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الذبّ عن الإشكال تارة بحسب القاعدة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الصبيّ ما لم يبلغ كما لا يتوجّه إليه الأمر المطلق كذلك لا يتوجّه إليه الأمر المشروط، و حينئذ فلو لم يعتبر مضيّ تمام الحول من حين البلوغ لزم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وجوب الزكاة على الصبيّ بعد بلوغه بالحول، أو تعلّق الأمر المشروط بالحول بالصبيّ قبل بلوغه، و اللازم بكلي قسميه باطل و الملازمة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بحسب الدليل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عليه فيما بقي حتّى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بلغ اليتيم فليس عليه لما مضى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إدراك الحول بعد البلوغ و مرجوحيّة احتمال إرادة إدراك الحلم الّذي هو عبارة اخرى للبلوغ حذرا عن التكرار كما لا يخفى</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2586441_1280447820"/>
      <w:bookmarkStart w:id="51" w:name="_Toc19"/>
      <w:bookmarkEnd w:id="50"/>
      <w:r>
        <w:rPr>
          <w:rtl w:val="true"/>
        </w:rPr>
        <w:t>المسألة الثانية</w:t>
      </w:r>
      <w:r>
        <w:rPr>
          <w:rtl w:val="true"/>
        </w:rPr>
        <w:t xml:space="preserve">: </w:t>
      </w:r>
      <w:r>
        <w:rPr>
          <w:rtl w:val="true"/>
        </w:rPr>
        <w:t>في غلاّت الطفل</w:t>
      </w:r>
      <w:r>
        <w:rPr>
          <w:rtl w:val="true"/>
        </w:rPr>
        <w:t>:</w:t>
      </w:r>
      <w:bookmarkEnd w:id="51"/>
    </w:p>
    <w:p>
      <w:pPr>
        <w:pStyle w:val="Heading6"/>
        <w:numPr>
          <w:ilvl w:val="5"/>
          <w:numId w:val="1"/>
        </w:numPr>
        <w:rPr/>
      </w:pPr>
      <w:bookmarkStart w:id="52" w:name="__RefHeading___Toc2586443_1280447820"/>
      <w:bookmarkStart w:id="53" w:name="_Toc20"/>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و قد اختلفوا في وجوب الزكاة فيها و عدمه،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الوجوب كما عن الحلّي</w:t>
      </w:r>
      <w:r>
        <w:rPr>
          <w:rStyle w:val="FootnoteAnchor"/>
          <w:rtl w:val="true"/>
        </w:rPr>
        <w:footnoteReference w:id="122"/>
      </w:r>
      <w:r>
        <w:rPr>
          <w:rFonts w:ascii="Amiri" w:hAnsi="Amiri" w:eastAsia="Amiri" w:cs="Amiri"/>
          <w:color w:val="111111"/>
          <w:sz w:val="28"/>
          <w:sz w:val="28"/>
          <w:szCs w:val="28"/>
          <w:rtl w:val="true"/>
          <w:lang w:bidi="ar-SA"/>
        </w:rPr>
        <w:t>و نسبه في المدارك</w:t>
      </w:r>
      <w:r>
        <w:rPr>
          <w:rStyle w:val="FootnoteAnchor"/>
          <w:rtl w:val="true"/>
        </w:rPr>
        <w:footnoteReference w:id="123"/>
      </w:r>
      <w:r>
        <w:rPr>
          <w:rFonts w:ascii="IRNazanin" w:hAnsi="IRNazanin" w:eastAsia="IRNazanin"/>
          <w:color w:val="111111"/>
          <w:sz w:val="28"/>
          <w:sz w:val="28"/>
          <w:szCs w:val="28"/>
          <w:rtl w:val="true"/>
          <w:lang w:bidi="fa-IR"/>
        </w:rPr>
        <w:t>إلى المرتضى</w:t>
      </w:r>
      <w:r>
        <w:rPr>
          <w:rStyle w:val="FootnoteAnchor"/>
          <w:rtl w:val="true"/>
        </w:rPr>
        <w:footnoteReference w:id="124"/>
      </w:r>
      <w:r>
        <w:rPr>
          <w:rFonts w:ascii="Amiri" w:hAnsi="Amiri" w:eastAsia="Amiri" w:cs="Amiri"/>
          <w:color w:val="111111"/>
          <w:sz w:val="28"/>
          <w:sz w:val="28"/>
          <w:szCs w:val="28"/>
          <w:rtl w:val="true"/>
          <w:lang w:bidi="ar-SA"/>
        </w:rPr>
        <w:t>و ابن الجنيد</w:t>
      </w:r>
      <w:r>
        <w:rPr>
          <w:rStyle w:val="FootnoteAnchor"/>
          <w:rtl w:val="true"/>
        </w:rPr>
        <w:footnoteReference w:id="125"/>
      </w:r>
      <w:r>
        <w:rPr>
          <w:rFonts w:ascii="Amiri" w:hAnsi="Amiri" w:eastAsia="Amiri" w:cs="Amiri"/>
          <w:color w:val="111111"/>
          <w:sz w:val="28"/>
          <w:sz w:val="28"/>
          <w:szCs w:val="28"/>
          <w:rtl w:val="true"/>
          <w:lang w:bidi="ar-SA"/>
        </w:rPr>
        <w:t>و ابن أبي عقيل</w:t>
      </w:r>
      <w:r>
        <w:rPr>
          <w:rStyle w:val="FootnoteAnchor"/>
          <w:rtl w:val="true"/>
        </w:rPr>
        <w:footnoteReference w:id="126"/>
      </w:r>
      <w:r>
        <w:rPr>
          <w:rFonts w:ascii="Amiri" w:hAnsi="Amiri" w:eastAsia="Amiri" w:cs="Amiri"/>
          <w:color w:val="111111"/>
          <w:sz w:val="28"/>
          <w:sz w:val="28"/>
          <w:szCs w:val="28"/>
          <w:rtl w:val="true"/>
          <w:lang w:bidi="ar-SA"/>
        </w:rPr>
        <w:t>و عامّة المتأخّرين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كما عن الشيخين</w:t>
      </w:r>
      <w:r>
        <w:rPr>
          <w:rStyle w:val="FootnoteAnchor"/>
          <w:rtl w:val="true"/>
        </w:rPr>
        <w:footnoteReference w:id="128"/>
      </w:r>
      <w:r>
        <w:rPr>
          <w:rFonts w:ascii="Amiri" w:hAnsi="Amiri" w:eastAsia="Amiri" w:cs="Amiri"/>
          <w:color w:val="111111"/>
          <w:sz w:val="28"/>
          <w:sz w:val="28"/>
          <w:szCs w:val="28"/>
          <w:rtl w:val="true"/>
          <w:lang w:bidi="ar-SA"/>
        </w:rPr>
        <w:t>و أتباعهما و فسّروا بأبي الصلاح</w:t>
      </w:r>
      <w:r>
        <w:rPr>
          <w:rStyle w:val="FootnoteAnchor"/>
          <w:rtl w:val="true"/>
        </w:rPr>
        <w:footnoteReference w:id="129"/>
      </w:r>
      <w:r>
        <w:rPr>
          <w:rFonts w:ascii="IRNazanin" w:hAnsi="IRNazanin" w:eastAsia="IRNazanin"/>
          <w:color w:val="111111"/>
          <w:sz w:val="28"/>
          <w:sz w:val="28"/>
          <w:szCs w:val="28"/>
          <w:rtl w:val="true"/>
          <w:lang w:bidi="fa-IR"/>
        </w:rPr>
        <w:t>و ابن البرّاج</w:t>
      </w:r>
      <w:r>
        <w:rPr>
          <w:rStyle w:val="FootnoteAnchor"/>
          <w:rtl w:val="true"/>
        </w:rPr>
        <w:footnoteReference w:id="130"/>
      </w:r>
      <w:r>
        <w:rPr>
          <w:rFonts w:ascii="Amiri" w:hAnsi="Amiri" w:eastAsia="Amiri" w:cs="Amiri"/>
          <w:color w:val="111111"/>
          <w:sz w:val="28"/>
          <w:sz w:val="28"/>
          <w:szCs w:val="28"/>
          <w:rtl w:val="true"/>
          <w:lang w:bidi="ar-SA"/>
        </w:rPr>
        <w:t>و ابن حمزة</w:t>
      </w:r>
      <w:r>
        <w:rPr>
          <w:rStyle w:val="FootnoteAnchor"/>
          <w:rtl w:val="true"/>
        </w:rPr>
        <w:footnoteReference w:id="131"/>
      </w:r>
      <w:r>
        <w:rPr>
          <w:rFonts w:ascii="Amiri" w:hAnsi="Amiri" w:eastAsia="Amiri" w:cs="Amiri"/>
          <w:color w:val="111111"/>
          <w:sz w:val="28"/>
          <w:sz w:val="28"/>
          <w:szCs w:val="28"/>
          <w:rtl w:val="true"/>
          <w:lang w:bidi="ar-SA"/>
        </w:rPr>
        <w:t>و ابن سعيد</w:t>
      </w:r>
      <w:r>
        <w:rPr>
          <w:rStyle w:val="FootnoteAnchor"/>
          <w:rtl w:val="true"/>
        </w:rPr>
        <w:footnoteReference w:id="132"/>
      </w:r>
      <w:r>
        <w:rPr>
          <w:rFonts w:ascii="Amiri" w:hAnsi="Amiri" w:eastAsia="Amiri" w:cs="Amiri"/>
          <w:color w:val="111111"/>
          <w:sz w:val="28"/>
          <w:sz w:val="28"/>
          <w:szCs w:val="28"/>
          <w:rtl w:val="true"/>
          <w:lang w:bidi="ar-SA"/>
        </w:rPr>
        <w:t xml:space="preserve">و عن المرتضى في المسائل الناصرية أنّه </w:t>
      </w:r>
      <w:bookmarkStart w:id="54" w:name="pg16181_154418"/>
    </w:p>
    <w:p>
      <w:pPr>
        <w:pStyle w:val="BookText"/>
        <w:rPr/>
      </w:pPr>
      <w:bookmarkEnd w:id="54"/>
      <w:r>
        <w:rPr>
          <w:rFonts w:ascii="Amiri" w:hAnsi="Amiri" w:eastAsia="Amiri" w:cs="Amiri"/>
          <w:color w:val="111111"/>
          <w:sz w:val="28"/>
          <w:sz w:val="28"/>
          <w:szCs w:val="28"/>
          <w:rtl w:val="true"/>
          <w:lang w:bidi="ar-SA"/>
        </w:rPr>
        <w:t>ذهب إليه أكثر أصحابنا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القائلون بعدم الوجوب بين قائل باستحبابها فيها و هو المشهور، و قائل بعدم الاستحباب أيضا و هو للحلّي</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 w:name="__RefHeading___Toc2586445_1280447820"/>
      <w:bookmarkStart w:id="56" w:name="_Toc21"/>
      <w:bookmarkEnd w:id="55"/>
      <w:r>
        <w:rPr>
          <w:rtl w:val="true"/>
        </w:rPr>
        <w:t>[</w:t>
      </w:r>
      <w:r>
        <w:rPr>
          <w:rtl w:val="true"/>
        </w:rPr>
        <w:t>أدلّة عدم وجوب الزكاة في غلاّت الطفل</w:t>
      </w:r>
      <w:r>
        <w:rPr>
          <w:rtl w:val="true"/>
        </w:rPr>
        <w:t>]</w:t>
      </w:r>
      <w:bookmarkEnd w:id="56"/>
    </w:p>
    <w:p>
      <w:pPr>
        <w:pStyle w:val="BookText"/>
        <w:rPr/>
      </w:pPr>
      <w:r>
        <w:rPr>
          <w:rFonts w:ascii="IRNazanin" w:hAnsi="IRNazanin" w:eastAsia="IRNazanin"/>
          <w:color w:val="111111"/>
          <w:sz w:val="28"/>
          <w:sz w:val="28"/>
          <w:szCs w:val="28"/>
          <w:rtl w:val="true"/>
          <w:lang w:bidi="fa-IR"/>
        </w:rPr>
        <w:t xml:space="preserve">و الأقوى عدم الوجوب،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تقدّم</w:t>
      </w:r>
      <w:r>
        <w:rPr>
          <w:rStyle w:val="FootnoteAnchor"/>
          <w:rtl w:val="true"/>
        </w:rPr>
        <w:footnoteReference w:id="135"/>
      </w:r>
      <w:r>
        <w:rPr>
          <w:rFonts w:ascii="Amiri" w:hAnsi="Amiri" w:eastAsia="Amiri" w:cs="Amiri"/>
          <w:color w:val="111111"/>
          <w:sz w:val="28"/>
          <w:sz w:val="28"/>
          <w:szCs w:val="28"/>
          <w:rtl w:val="true"/>
          <w:lang w:bidi="ar-SA"/>
        </w:rPr>
        <w:t xml:space="preserve">من الروايات المصرّحة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ليس في مال اليتيم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المتناولة لغلّاته أيضا على ما تقدّم، و خصوص ما رواه عليّ بن الحسن عن حمّاد عن حريز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سمعه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مال اليتيم زكاة و ليس عليه صلاة و ليس على جميع غلاّته من نخل أو زرع أو غلّة زكاة و إن بلغ</w:t>
      </w:r>
      <w:r>
        <w:rPr>
          <w:rStyle w:val="FootnoteAnchor"/>
          <w:rtl w:val="true"/>
        </w:rPr>
        <w:footnoteReference w:id="136"/>
      </w:r>
      <w:r>
        <w:rPr>
          <w:rFonts w:ascii="Amiri" w:hAnsi="Amiri" w:eastAsia="Amiri" w:cs="Amiri"/>
          <w:color w:val="111111"/>
          <w:sz w:val="28"/>
          <w:sz w:val="28"/>
          <w:szCs w:val="28"/>
          <w:rtl w:val="true"/>
          <w:lang w:bidi="ar-SA"/>
        </w:rPr>
        <w:t>فليس عليه لما مضى زكاة و لا عليه لما يستقبل حتّى يدرك و إذا أدرك كانت عليه زكاة واحدة و كان عليه مثل ما على غيره من الناس</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وصفها بعضهم بالموثّقة باعتبار عليّ بن الحسن بناء على كون أبي بصير هو الثقة، و لو كان فيها قصور أو ضعف بناء على اشتراك أبي بصير بين الثقة و الضعيف كما طعنها به في المدارك</w:t>
      </w:r>
      <w:r>
        <w:rPr>
          <w:rStyle w:val="FootnoteAnchor"/>
          <w:rtl w:val="true"/>
        </w:rPr>
        <w:footnoteReference w:id="138"/>
      </w:r>
      <w:r>
        <w:rPr>
          <w:rFonts w:ascii="Amiri" w:hAnsi="Amiri" w:eastAsia="Amiri" w:cs="Amiri"/>
          <w:color w:val="111111"/>
          <w:sz w:val="28"/>
          <w:sz w:val="28"/>
          <w:szCs w:val="28"/>
          <w:rtl w:val="true"/>
          <w:lang w:bidi="ar-SA"/>
        </w:rPr>
        <w:t>لانجبر بالشهرة و عمل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القدح في دلالتها بأنّ النفي الوارد على العامّ يفيد رفع الإيجاب الكلّي و نحن نسلّم أنّه ليس على جميع غلاّته الزكاة بل الزكاة إنّما هو على الغلاّت الأربعة دون سائر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الاصول من عدم الفرق في إفادة عموم السلب بين النفي الوارد على العامّ و عكسه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صرف النفي إلى سائر الحبوب غير الغلاّت الأربعة، يأباه التمثيل للغلاّت </w:t>
      </w:r>
    </w:p>
    <w:p>
      <w:pPr>
        <w:pStyle w:val="BookText"/>
        <w:rPr/>
      </w:pPr>
      <w:r>
        <w:rPr>
          <w:rFonts w:ascii="Amiri" w:hAnsi="Amiri" w:eastAsia="Amiri" w:cs="Amiri"/>
          <w:color w:val="111111"/>
          <w:sz w:val="28"/>
          <w:sz w:val="28"/>
          <w:szCs w:val="28"/>
          <w:rtl w:val="true"/>
          <w:lang w:bidi="ar-SA"/>
        </w:rPr>
        <w:t>المنفيّ عنها الزكاة بالنخل و الزرع و الغلّة، فإنّ هذه الأمثلة ليست إلاّ الغلاّت الأربعة و هي مورد النفي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أهل القول بالوجوب الاحتجاج بعموم ما دلّ على ثبوت الفريضة في كلّ من الأجناس المقدّرة من نحو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سقت السماء العشر و فيما سقت الأرض نصف العشر</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المناهل أنّه يعضده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اَلزَّكٰاةَ‌ </w:t>
      </w:r>
      <w:r>
        <w:rPr>
          <w:rStyle w:val="FootnoteAnchor"/>
          <w:rtl w:val="true"/>
        </w:rPr>
        <w:footnoteReference w:id="141"/>
      </w:r>
      <w:r>
        <w:rPr>
          <w:rFonts w:ascii="Amiri" w:hAnsi="Amiri" w:eastAsia="Amiri" w:cs="Amiri"/>
          <w:color w:val="111111"/>
          <w:sz w:val="28"/>
          <w:sz w:val="28"/>
          <w:szCs w:val="28"/>
          <w:rtl w:val="true"/>
          <w:lang w:bidi="ar-SA"/>
        </w:rPr>
        <w:t>فإنّه أعمّ من أن يكون زكاة نفسه أو زكاة المولّى عليه</w:t>
      </w:r>
      <w:r>
        <w:rPr>
          <w:rStyle w:val="FootnoteAnchor"/>
          <w:rtl w:val="true"/>
        </w:rPr>
        <w:footnoteReference w:id="142"/>
      </w:r>
      <w:r>
        <w:rPr>
          <w:rFonts w:ascii="Amiri" w:hAnsi="Amiri" w:eastAsia="Amiri" w:cs="Amiri"/>
          <w:color w:val="111111"/>
          <w:sz w:val="28"/>
          <w:sz w:val="28"/>
          <w:szCs w:val="28"/>
          <w:rtl w:val="true"/>
          <w:lang w:bidi="ar-SA"/>
        </w:rPr>
        <w:t>و عن الشيخ الاحتجاج بما رواه في التهذيب في الصحيح عن زرارة و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 و أبي عبد اللّه عليه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اليتيم ليس عليه في العين و الصامت شيء، فأمّا الغلاّت فإنّ عليها الصدقة واجبة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خفاء في ضعف الجميع، أمّا ما دلّ على ثبوت الفريضة الخ، فلمنع العموم المتوهّم في نحو هذه الخطابات، لكونها مجملات باعتبار ورودها مورد بيان حكم آخر و هو مقدار الزكاة الثابتة في الأجناس المذكورة، أو أصل وجوبها فيها من غير نظر إلى من تجب عليه، أو في ماله تخصيصا و تعميما، فلا إطلاق فيها بالقياس إلى غير مورد الحكم الّذي سيقت المطلقات لبيانه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الآية</w:t>
      </w:r>
      <w:r>
        <w:rPr>
          <w:rStyle w:val="FootnoteAnchor"/>
          <w:rtl w:val="true"/>
        </w:rPr>
        <w:footnoteReference w:id="144"/>
      </w:r>
      <w:r>
        <w:rPr>
          <w:rFonts w:ascii="Amiri" w:hAnsi="Amiri" w:eastAsia="Amiri" w:cs="Amiri"/>
          <w:color w:val="111111"/>
          <w:sz w:val="28"/>
          <w:sz w:val="28"/>
          <w:szCs w:val="28"/>
          <w:rtl w:val="true"/>
          <w:lang w:bidi="ar-SA"/>
        </w:rPr>
        <w:t xml:space="preserve">فلاختصاص الخطاب بالبالغين، مع ظهوره في كون المخاطب مالكا </w:t>
      </w:r>
    </w:p>
    <w:p>
      <w:pPr>
        <w:pStyle w:val="BookText"/>
        <w:rPr/>
      </w:pPr>
      <w:r>
        <w:rPr>
          <w:rFonts w:ascii="Amiri" w:hAnsi="Amiri" w:eastAsia="Amiri" w:cs="Amiri"/>
          <w:color w:val="111111"/>
          <w:sz w:val="28"/>
          <w:sz w:val="28"/>
          <w:szCs w:val="28"/>
          <w:rtl w:val="true"/>
          <w:lang w:bidi="ar-SA"/>
        </w:rPr>
        <w:t>للنصب، و عدم شائبة عموم فيه للأولياء، و لو سلّم عدم ظهوره في المالك نفسه، فلا أقلّ من منع ظهوره في العموم فيكون من هذه الجهة مجملا، باعتبار وروده أيضا لبيان أصل وجوب إخراج الزكاة على البالغين مع السكوت عن التعميم و التخصيص بالقياس إلى المالك 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w:t>
      </w:r>
      <w:r>
        <w:rPr>
          <w:rStyle w:val="FootnoteAnchor"/>
          <w:rtl w:val="true"/>
        </w:rPr>
        <w:footnoteReference w:id="145"/>
      </w:r>
      <w:r>
        <w:rPr>
          <w:rFonts w:ascii="Amiri" w:hAnsi="Amiri" w:eastAsia="Amiri" w:cs="Amiri"/>
          <w:color w:val="111111"/>
          <w:sz w:val="28"/>
          <w:sz w:val="28"/>
          <w:szCs w:val="28"/>
          <w:rtl w:val="true"/>
          <w:lang w:bidi="ar-SA"/>
        </w:rPr>
        <w:t>فهي و إن كانت صحيحة غير أنّها تتوهّن تارة جهة صدورها لموافقتها مذهب العامّة على ما حكي، فعن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المعروف من مذهب جمهورهم و عمل سلاطينهم أخذ الزكاة من غلاّت الأيتام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 عن منتهى العلاّمة نسبة القول بثبوت الزكاة في غلاّت اليتيم إلى فقهاء الجمهور</w:t>
      </w:r>
      <w:r>
        <w:rPr>
          <w:rStyle w:val="FootnoteAnchor"/>
          <w:rtl w:val="true"/>
        </w:rPr>
        <w:footnoteReference w:id="147"/>
      </w:r>
      <w:r>
        <w:rPr>
          <w:rFonts w:ascii="Amiri" w:hAnsi="Amiri" w:eastAsia="Amiri" w:cs="Amiri"/>
          <w:color w:val="111111"/>
          <w:sz w:val="28"/>
          <w:sz w:val="28"/>
          <w:szCs w:val="28"/>
          <w:rtl w:val="true"/>
          <w:lang w:bidi="ar-SA"/>
        </w:rPr>
        <w:t>و قد اشير إليه في الخبر المتقدّم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الحسن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يخالف الناس في مال اليتيم، ليس عليه زكاة</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فيقوى في الصحيحة</w:t>
      </w:r>
      <w:r>
        <w:rPr>
          <w:rStyle w:val="FootnoteAnchor"/>
          <w:rtl w:val="true"/>
        </w:rPr>
        <w:footnoteReference w:id="149"/>
      </w:r>
      <w:r>
        <w:rPr>
          <w:rFonts w:ascii="Amiri" w:hAnsi="Amiri" w:eastAsia="Amiri" w:cs="Amiri"/>
          <w:color w:val="111111"/>
          <w:sz w:val="28"/>
          <w:sz w:val="28"/>
          <w:szCs w:val="28"/>
          <w:rtl w:val="true"/>
          <w:lang w:bidi="ar-SA"/>
        </w:rPr>
        <w:t>احتمال خروجها مخرج التقيّة، و لا يقدح فيه عدم</w:t>
      </w:r>
      <w:r>
        <w:rPr>
          <w:rStyle w:val="FootnoteAnchor"/>
          <w:rtl w:val="true"/>
        </w:rPr>
        <w:footnoteReference w:id="150"/>
      </w:r>
      <w:r>
        <w:rPr>
          <w:rFonts w:ascii="Amiri" w:hAnsi="Amiri" w:eastAsia="Amiri" w:cs="Amiri"/>
          <w:color w:val="111111"/>
          <w:sz w:val="28"/>
          <w:sz w:val="28"/>
          <w:szCs w:val="28"/>
          <w:rtl w:val="true"/>
          <w:lang w:bidi="ar-SA"/>
        </w:rPr>
        <w:t>وجود القول بعدم الوجوب أيضا بينهم على ما قيل</w:t>
      </w:r>
      <w:r>
        <w:rPr>
          <w:rStyle w:val="FootnoteAnchor"/>
          <w:rtl w:val="true"/>
        </w:rPr>
        <w:footnoteReference w:id="151"/>
      </w:r>
      <w:r>
        <w:rPr>
          <w:rFonts w:ascii="Amiri" w:hAnsi="Amiri" w:eastAsia="Amiri" w:cs="Amiri"/>
          <w:color w:val="111111"/>
          <w:sz w:val="28"/>
          <w:sz w:val="28"/>
          <w:szCs w:val="28"/>
          <w:rtl w:val="true"/>
          <w:lang w:bidi="ar-SA"/>
        </w:rPr>
        <w:t>أو عن الخلاف من أنّ أبا حنيفة و أصحابه قد وافقوا على نفي وجوب الزكاة في مال اليتيم مطلقا</w:t>
      </w:r>
      <w:r>
        <w:rPr>
          <w:rStyle w:val="FootnoteAnchor"/>
          <w:rtl w:val="true"/>
        </w:rPr>
        <w:footnoteReference w:id="152"/>
      </w:r>
      <w:r>
        <w:rPr>
          <w:rFonts w:ascii="Amiri" w:hAnsi="Amiri" w:eastAsia="Amiri" w:cs="Amiri"/>
          <w:color w:val="111111"/>
          <w:sz w:val="28"/>
          <w:sz w:val="28"/>
          <w:szCs w:val="28"/>
          <w:rtl w:val="true"/>
          <w:lang w:bidi="ar-SA"/>
        </w:rPr>
        <w:t>و عن التذكرة</w:t>
      </w:r>
      <w:r>
        <w:rPr>
          <w:rStyle w:val="FootnoteAnchor"/>
          <w:rtl w:val="true"/>
        </w:rPr>
        <w:footnoteReference w:id="153"/>
      </w:r>
      <w:r>
        <w:rPr>
          <w:rFonts w:ascii="Amiri" w:hAnsi="Amiri" w:eastAsia="Amiri" w:cs="Amiri"/>
          <w:color w:val="111111"/>
          <w:sz w:val="28"/>
          <w:sz w:val="28"/>
          <w:szCs w:val="28"/>
          <w:rtl w:val="true"/>
          <w:lang w:bidi="ar-SA"/>
        </w:rPr>
        <w:t>أنّ به قال ابن شبرمة</w:t>
      </w:r>
      <w:r>
        <w:rPr>
          <w:rStyle w:val="FootnoteAnchor"/>
          <w:rtl w:val="true"/>
        </w:rPr>
        <w:footnoteReference w:id="154"/>
      </w:r>
      <w:r>
        <w:rPr>
          <w:rFonts w:ascii="Amiri" w:hAnsi="Amiri" w:eastAsia="Amiri" w:cs="Amiri"/>
          <w:color w:val="111111"/>
          <w:sz w:val="28"/>
          <w:sz w:val="28"/>
          <w:szCs w:val="28"/>
          <w:rtl w:val="true"/>
          <w:lang w:bidi="ar-SA"/>
        </w:rPr>
        <w:t>و الحسن البصري</w:t>
      </w:r>
      <w:r>
        <w:rPr>
          <w:rStyle w:val="FootnoteAnchor"/>
          <w:rtl w:val="true"/>
        </w:rPr>
        <w:footnoteReference w:id="155"/>
      </w:r>
      <w:r>
        <w:rPr>
          <w:rFonts w:ascii="Amiri" w:hAnsi="Amiri" w:eastAsia="Amiri" w:cs="Amiri"/>
          <w:color w:val="111111"/>
          <w:sz w:val="28"/>
          <w:sz w:val="28"/>
          <w:szCs w:val="28"/>
          <w:rtl w:val="true"/>
          <w:lang w:bidi="ar-SA"/>
        </w:rPr>
        <w:t>و سعيد بن المسيّب</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lang w:bidi="ar-SA"/>
        </w:rPr>
        <w:t>331:5</w:t>
      </w:r>
      <w:r>
        <w:rPr>
          <w:rFonts w:ascii="Amiri" w:hAnsi="Amiri" w:eastAsia="Amiri" w:cs="Amiri"/>
          <w:color w:val="111111"/>
          <w:sz w:val="28"/>
          <w:sz w:val="28"/>
          <w:szCs w:val="28"/>
          <w:rtl w:val="true"/>
          <w:lang w:bidi="ar-SA"/>
        </w:rPr>
        <w:t xml:space="preserve">، الميزان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فتح العزيز </w:t>
      </w:r>
      <w:r>
        <w:rPr>
          <w:rFonts w:eastAsia="Amiri" w:cs="Amiri" w:ascii="Amiri" w:hAnsi="Amiri"/>
          <w:color w:val="111111"/>
          <w:sz w:val="28"/>
          <w:szCs w:val="28"/>
          <w:lang w:bidi="ar-SA"/>
        </w:rPr>
        <w:t>517:5</w:t>
      </w:r>
      <w:r>
        <w:rPr>
          <w:rFonts w:ascii="Amiri" w:hAnsi="Amiri" w:eastAsia="Amiri" w:cs="Amiri"/>
          <w:color w:val="111111"/>
          <w:sz w:val="28"/>
          <w:sz w:val="28"/>
          <w:szCs w:val="28"/>
          <w:rtl w:val="true"/>
          <w:lang w:bidi="ar-SA"/>
        </w:rPr>
        <w:t xml:space="preserve">، حلية العلماء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المبسوط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اللباب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سعيد ابن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واثل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لجواز تحقّق موجب التقيّة للإمام المسئول أو للسائل بالقياس إلى القول بالوجوب بأن كان من أهل هذا القول حاضرا في مجلس صدور الخطاب لو كانت التقيّة قوليّة راجعة إلى المسئول، أو كان السائل ممّن يعاشر طائفة من أهل هذا المذهب لو كانت التقيّة فعليّة راجعة إلى السائل</w:t>
      </w:r>
      <w:r>
        <w:rPr>
          <w:rFonts w:eastAsia="Amiri" w:cs="Amiri" w:ascii="Amiri" w:hAnsi="Amiri"/>
          <w:color w:val="111111"/>
          <w:sz w:val="28"/>
          <w:szCs w:val="28"/>
          <w:rtl w:val="true"/>
          <w:lang w:bidi="ar-SA"/>
        </w:rPr>
        <w:t>.</w:t>
      </w:r>
      <w:bookmarkStart w:id="57" w:name="pg16181_154421"/>
    </w:p>
    <w:p>
      <w:pPr>
        <w:pStyle w:val="BookText"/>
        <w:rPr/>
      </w:pPr>
      <w:bookmarkEnd w:id="57"/>
      <w:r>
        <w:rPr>
          <w:rFonts w:ascii="Amiri" w:hAnsi="Amiri" w:eastAsia="Amiri" w:cs="Amiri"/>
          <w:color w:val="111111"/>
          <w:sz w:val="28"/>
          <w:sz w:val="28"/>
          <w:szCs w:val="28"/>
          <w:rtl w:val="true"/>
          <w:lang w:bidi="ar-SA"/>
        </w:rPr>
        <w:t xml:space="preserve">كما تتوهّن اخرى دلالتها على الوجوب، إذ ليس فيها إلاّ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 في المعنى المرادف للفرض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لعدم وضوح ثبوت هذا الظهور للراوي في عرف زمان الخطاب باعتبار عدم ثبوت كونه ثمّة حقيقة شرعيّة أو متشرّعة في المعنى المذكور، مع شيوع إطلاقه ثمّة على الثبوت أو الاستحباب أو تأكّده كما يرشد إليه استقراء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لإعراض المعظم عن الأخذ بهذا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جميع غلاّته</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الخ أظهر في نفي الوجوب عن الغلاّت الأربع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المرادف للفرض، فوجب الخروج عن هذا الظاهر تقديما للأظهر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صحّة سند الصحيحة وجوب ترجيحها على الموثّقة</w:t>
      </w:r>
      <w:r>
        <w:rPr>
          <w:rStyle w:val="FootnoteAnchor"/>
          <w:rtl w:val="true"/>
        </w:rPr>
        <w:footnoteReference w:id="158"/>
      </w:r>
      <w:r>
        <w:rPr>
          <w:rFonts w:ascii="Amiri" w:hAnsi="Amiri" w:eastAsia="Amiri" w:cs="Amiri"/>
          <w:color w:val="111111"/>
          <w:sz w:val="28"/>
          <w:sz w:val="28"/>
          <w:szCs w:val="28"/>
          <w:rtl w:val="true"/>
          <w:lang w:bidi="ar-SA"/>
        </w:rPr>
        <w:t>لأنّ ذلك</w:t>
      </w:r>
      <w:r>
        <w:rPr>
          <w:rStyle w:val="FootnoteAnchor"/>
          <w:rtl w:val="true"/>
        </w:rPr>
        <w:footnoteReference w:id="159"/>
      </w:r>
      <w:r>
        <w:rPr>
          <w:rFonts w:ascii="Amiri" w:hAnsi="Amiri" w:eastAsia="Amiri" w:cs="Amiri"/>
          <w:color w:val="111111"/>
          <w:sz w:val="28"/>
          <w:sz w:val="28"/>
          <w:szCs w:val="28"/>
          <w:rtl w:val="true"/>
          <w:lang w:bidi="ar-SA"/>
        </w:rPr>
        <w:t>إنّما يسلّم حيث لم يكن مرجّح دلالتي، و أمّا مع وجودها فلا يلتفت إلى المرجّحات السنديّة على 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البحث يظهر أنّ الأقوى في الخلاف الثاني بالنسبة إلى الاستحباب و عدمه هو القول بالاستحباب، حملا للفظ الوجوب في الصحيحة عليه، المعتضدة بالشهرة المتأخّرة و فهم الأكثر فليتدبّر</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2586447_1280447820"/>
      <w:bookmarkStart w:id="59" w:name="_Toc22"/>
      <w:bookmarkEnd w:id="58"/>
      <w:r>
        <w:rPr>
          <w:rtl w:val="true"/>
        </w:rPr>
        <w:t>المسألة الثالثة</w:t>
      </w:r>
      <w:r>
        <w:rPr>
          <w:rtl w:val="true"/>
        </w:rPr>
        <w:t xml:space="preserve">: </w:t>
      </w:r>
      <w:r>
        <w:rPr>
          <w:rtl w:val="true"/>
        </w:rPr>
        <w:t>في مواشي الصبيّ‌</w:t>
      </w:r>
      <w:r>
        <w:rPr>
          <w:rtl w:val="true"/>
        </w:rPr>
        <w:t>:</w:t>
      </w:r>
      <w:bookmarkEnd w:id="59"/>
    </w:p>
    <w:p>
      <w:pPr>
        <w:pStyle w:val="Heading6"/>
        <w:numPr>
          <w:ilvl w:val="5"/>
          <w:numId w:val="1"/>
        </w:numPr>
        <w:rPr/>
      </w:pPr>
      <w:bookmarkStart w:id="60" w:name="__RefHeading___Toc2586449_1280447820"/>
      <w:bookmarkStart w:id="61" w:name="_Toc23"/>
      <w:bookmarkEnd w:id="60"/>
      <w:r>
        <w:rPr>
          <w:rtl w:val="true"/>
        </w:rPr>
        <w:t>اشارة</w:t>
      </w:r>
      <w:bookmarkEnd w:id="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اختلفوا في وجوب الزكاة و عدمها فيها على حذو ما سبق في غلاّته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بالوجوب كما عن الشيخ</w:t>
      </w:r>
      <w:r>
        <w:rPr>
          <w:rStyle w:val="FootnoteAnchor"/>
          <w:rtl w:val="true"/>
        </w:rPr>
        <w:footnoteReference w:id="160"/>
      </w:r>
      <w:r>
        <w:rPr>
          <w:rFonts w:ascii="Amiri" w:hAnsi="Amiri" w:eastAsia="Amiri" w:cs="Amiri"/>
          <w:color w:val="111111"/>
          <w:sz w:val="28"/>
          <w:sz w:val="28"/>
          <w:szCs w:val="28"/>
          <w:rtl w:val="true"/>
          <w:lang w:bidi="ar-SA"/>
        </w:rPr>
        <w:t>و أتباعه كأبي الصلاح</w:t>
      </w:r>
      <w:r>
        <w:rPr>
          <w:rStyle w:val="FootnoteAnchor"/>
          <w:rtl w:val="true"/>
        </w:rPr>
        <w:footnoteReference w:id="161"/>
      </w:r>
      <w:r>
        <w:rPr>
          <w:rFonts w:ascii="IRNazanin" w:hAnsi="IRNazanin" w:eastAsia="IRNazanin"/>
          <w:color w:val="111111"/>
          <w:sz w:val="28"/>
          <w:sz w:val="28"/>
          <w:szCs w:val="28"/>
          <w:rtl w:val="true"/>
          <w:lang w:bidi="fa-IR"/>
        </w:rPr>
        <w:t>و ابن البرّاج</w:t>
      </w:r>
      <w:r>
        <w:rPr>
          <w:rStyle w:val="FootnoteAnchor"/>
          <w:rtl w:val="true"/>
        </w:rPr>
        <w:footnoteReference w:id="162"/>
      </w:r>
      <w:r>
        <w:rPr>
          <w:rFonts w:ascii="Amiri" w:hAnsi="Amiri" w:eastAsia="Amiri" w:cs="Amiri"/>
          <w:color w:val="111111"/>
          <w:sz w:val="28"/>
          <w:sz w:val="28"/>
          <w:szCs w:val="28"/>
          <w:rtl w:val="true"/>
          <w:lang w:bidi="ar-SA"/>
        </w:rPr>
        <w:t>و ابن حمزة</w:t>
      </w:r>
      <w:r>
        <w:rPr>
          <w:rStyle w:val="FootnoteAnchor"/>
          <w:rtl w:val="true"/>
        </w:rPr>
        <w:footnoteReference w:id="163"/>
      </w:r>
      <w:r>
        <w:rPr>
          <w:rFonts w:ascii="Amiri" w:hAnsi="Amiri" w:eastAsia="Amiri" w:cs="Amiri"/>
          <w:color w:val="111111"/>
          <w:sz w:val="28"/>
          <w:sz w:val="28"/>
          <w:szCs w:val="28"/>
          <w:rtl w:val="true"/>
          <w:lang w:bidi="ar-SA"/>
        </w:rPr>
        <w:t>و ابن زهرة</w:t>
      </w:r>
      <w:r>
        <w:rPr>
          <w:rStyle w:val="FootnoteAnchor"/>
          <w:rtl w:val="true"/>
        </w:rPr>
        <w:footnoteReference w:id="164"/>
      </w:r>
      <w:r>
        <w:rPr>
          <w:rFonts w:ascii="Amiri" w:hAnsi="Amiri" w:eastAsia="Amiri" w:cs="Amiri"/>
          <w:color w:val="111111"/>
          <w:sz w:val="28"/>
          <w:sz w:val="28"/>
          <w:szCs w:val="28"/>
          <w:rtl w:val="true"/>
          <w:lang w:bidi="ar-SA"/>
        </w:rPr>
        <w:t>و ابن سعيد</w:t>
      </w:r>
      <w:r>
        <w:rPr>
          <w:rStyle w:val="FootnoteAnchor"/>
          <w:rtl w:val="true"/>
        </w:rPr>
        <w:footnoteReference w:id="165"/>
      </w:r>
      <w:r>
        <w:rPr>
          <w:rFonts w:ascii="Amiri" w:hAnsi="Amiri" w:eastAsia="Amiri" w:cs="Amiri"/>
          <w:color w:val="111111"/>
          <w:sz w:val="28"/>
          <w:sz w:val="28"/>
          <w:szCs w:val="28"/>
          <w:rtl w:val="true"/>
          <w:lang w:bidi="ar-SA"/>
        </w:rPr>
        <w:t>و نسبه السيّد المرتضى إلى أكثر أصحابه</w:t>
      </w:r>
      <w:r>
        <w:rPr>
          <w:rStyle w:val="FootnoteAnchor"/>
          <w:rtl w:val="true"/>
        </w:rPr>
        <w:footnoteReference w:id="166"/>
      </w:r>
      <w:r>
        <w:rPr>
          <w:rFonts w:ascii="IRNazanin" w:hAnsi="IRNazanin" w:eastAsia="IRNazanin"/>
          <w:color w:val="111111"/>
          <w:sz w:val="28"/>
          <w:sz w:val="28"/>
          <w:szCs w:val="28"/>
          <w:rtl w:val="true"/>
          <w:lang w:bidi="fa-IR"/>
        </w:rPr>
        <w:t xml:space="preserve">و عن </w:t>
      </w:r>
    </w:p>
    <w:p>
      <w:pPr>
        <w:pStyle w:val="BookText"/>
        <w:rPr/>
      </w:pPr>
      <w:r>
        <w:rPr>
          <w:rFonts w:ascii="Amiri" w:hAnsi="Amiri" w:eastAsia="Amiri" w:cs="Amiri"/>
          <w:color w:val="111111"/>
          <w:sz w:val="28"/>
          <w:sz w:val="28"/>
          <w:szCs w:val="28"/>
          <w:rtl w:val="true"/>
          <w:lang w:bidi="ar-SA"/>
        </w:rPr>
        <w:t>ابن حمزة دعوى الإجماع عليه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بعدم الوجوب كما هو المشهور</w:t>
      </w:r>
      <w:r>
        <w:rPr>
          <w:rStyle w:val="FootnoteAnchor"/>
          <w:rtl w:val="true"/>
        </w:rPr>
        <w:footnoteReference w:id="168"/>
      </w:r>
      <w:r>
        <w:rPr>
          <w:rFonts w:ascii="Amiri" w:hAnsi="Amiri" w:eastAsia="Amiri" w:cs="Amiri"/>
          <w:color w:val="111111"/>
          <w:sz w:val="28"/>
          <w:sz w:val="28"/>
          <w:szCs w:val="28"/>
          <w:rtl w:val="true"/>
          <w:lang w:bidi="ar-SA"/>
        </w:rPr>
        <w:t>بين المتأخّرين بل عليه عامّتهم كما في المدارك</w:t>
      </w:r>
      <w:r>
        <w:rPr>
          <w:rStyle w:val="FootnoteAnchor"/>
          <w:rtl w:val="true"/>
        </w:rPr>
        <w:footnoteReference w:id="169"/>
      </w:r>
      <w:r>
        <w:rPr>
          <w:rFonts w:ascii="Amiri" w:hAnsi="Amiri" w:eastAsia="Amiri" w:cs="Amiri"/>
          <w:color w:val="111111"/>
          <w:sz w:val="28"/>
          <w:sz w:val="28"/>
          <w:szCs w:val="28"/>
          <w:rtl w:val="true"/>
          <w:lang w:bidi="ar-SA"/>
        </w:rPr>
        <w:t>و اختاره جماعة من القدماء كالصدوقين</w:t>
      </w:r>
      <w:r>
        <w:rPr>
          <w:rStyle w:val="FootnoteAnchor"/>
          <w:rtl w:val="true"/>
        </w:rPr>
        <w:footnoteReference w:id="170"/>
      </w:r>
      <w:r>
        <w:rPr>
          <w:rFonts w:ascii="Amiri" w:hAnsi="Amiri" w:eastAsia="Amiri" w:cs="Amiri"/>
          <w:color w:val="111111"/>
          <w:sz w:val="28"/>
          <w:sz w:val="28"/>
          <w:szCs w:val="28"/>
          <w:rtl w:val="true"/>
          <w:lang w:bidi="ar-SA"/>
        </w:rPr>
        <w:t>و السيّد و الحلّي</w:t>
      </w:r>
      <w:r>
        <w:rPr>
          <w:rStyle w:val="FootnoteAnchor"/>
          <w:rtl w:val="true"/>
        </w:rPr>
        <w:footnoteReference w:id="171"/>
      </w:r>
      <w:r>
        <w:rPr>
          <w:rFonts w:ascii="Amiri" w:hAnsi="Amiri" w:eastAsia="Amiri" w:cs="Amiri"/>
          <w:color w:val="111111"/>
          <w:sz w:val="28"/>
          <w:sz w:val="28"/>
          <w:szCs w:val="28"/>
          <w:rtl w:val="true"/>
          <w:lang w:bidi="ar-SA"/>
        </w:rPr>
        <w:t>و ابن أبي عقيل</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الأقوى عدم الوجوب لما تقدّم من الأصل</w:t>
      </w:r>
      <w:r>
        <w:rPr>
          <w:rStyle w:val="FootnoteAnchor"/>
          <w:rtl w:val="true"/>
        </w:rPr>
        <w:footnoteReference w:id="173"/>
      </w:r>
      <w:r>
        <w:rPr>
          <w:rFonts w:ascii="IRNazanin" w:hAnsi="IRNazanin" w:eastAsia="IRNazanin"/>
          <w:color w:val="111111"/>
          <w:sz w:val="28"/>
          <w:sz w:val="28"/>
          <w:szCs w:val="28"/>
          <w:rtl w:val="true"/>
          <w:lang w:bidi="fa-IR"/>
        </w:rPr>
        <w:t>و النصوص</w:t>
      </w:r>
      <w:r>
        <w:rPr>
          <w:rStyle w:val="FootnoteAnchor"/>
          <w:rtl w:val="true"/>
        </w:rPr>
        <w:footnoteReference w:id="174"/>
      </w:r>
      <w:r>
        <w:rPr>
          <w:rFonts w:ascii="Amiri" w:hAnsi="Amiri" w:eastAsia="Amiri" w:cs="Amiri"/>
          <w:color w:val="111111"/>
          <w:sz w:val="28"/>
          <w:sz w:val="28"/>
          <w:szCs w:val="28"/>
          <w:rtl w:val="true"/>
          <w:lang w:bidi="ar-SA"/>
        </w:rPr>
        <w:t>المستفيضة المصرّحة بنفي الزكاة عن مال اليتيم المتناولة بإطلاقها لمواشيه مع عدم وجود ما ينافيها في النصوص كما صرّح به جماعة</w:t>
      </w:r>
      <w:r>
        <w:rPr>
          <w:rStyle w:val="FootnoteAnchor"/>
          <w:rtl w:val="true"/>
        </w:rPr>
        <w:footnoteReference w:id="175"/>
      </w:r>
      <w:r>
        <w:rPr>
          <w:rFonts w:ascii="Amiri" w:hAnsi="Amiri" w:eastAsia="Amiri" w:cs="Amiri"/>
          <w:color w:val="111111"/>
          <w:sz w:val="28"/>
          <w:sz w:val="28"/>
          <w:szCs w:val="28"/>
          <w:rtl w:val="true"/>
          <w:lang w:bidi="ar-SA"/>
        </w:rPr>
        <w:t>من الفحول، بل ليس على القول بالوجوب وجه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430:1</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152:3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152:3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 العلم و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المبسوط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bookmarkStart w:id="62" w:name="pg16181_154423"/>
    </w:p>
    <w:p>
      <w:pPr>
        <w:pStyle w:val="BookText"/>
        <w:rPr/>
      </w:pPr>
      <w:bookmarkEnd w:id="62"/>
      <w:r>
        <w:rPr>
          <w:rFonts w:ascii="Amiri" w:hAnsi="Amiri" w:eastAsia="Amiri" w:cs="Amiri"/>
          <w:color w:val="111111"/>
          <w:sz w:val="28"/>
          <w:sz w:val="28"/>
          <w:szCs w:val="28"/>
          <w:rtl w:val="true"/>
          <w:lang w:bidi="ar-SA"/>
        </w:rPr>
        <w:t>يعتمد عليه إلاّ أمران</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2586451_1280447820"/>
      <w:bookmarkStart w:id="64" w:name="_Toc24"/>
      <w:bookmarkEnd w:id="63"/>
      <w:r>
        <w:rPr>
          <w:rtl w:val="true"/>
        </w:rPr>
        <w:t>[</w:t>
      </w:r>
      <w:r>
        <w:rPr>
          <w:rtl w:val="true"/>
        </w:rPr>
        <w:t>أدلّة الوجوب و ردّه</w:t>
      </w:r>
      <w:r>
        <w:rPr>
          <w:rtl w:val="true"/>
        </w:rPr>
        <w:t>]</w:t>
      </w:r>
      <w:bookmarkEnd w:id="64"/>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ثبوت الفريضة في المواشي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قد ظهر ممّا بيّنّاه سابقا</w:t>
      </w:r>
      <w:r>
        <w:rPr>
          <w:rStyle w:val="FootnoteAnchor"/>
          <w:rtl w:val="true"/>
        </w:rPr>
        <w:footnoteReference w:id="176"/>
      </w:r>
      <w:r>
        <w:rPr>
          <w:rFonts w:ascii="IRNazanin" w:hAnsi="IRNazanin" w:eastAsia="IRNazanin"/>
          <w:color w:val="111111"/>
          <w:sz w:val="28"/>
          <w:sz w:val="28"/>
          <w:szCs w:val="28"/>
          <w:rtl w:val="true"/>
          <w:lang w:bidi="fa-IR"/>
        </w:rPr>
        <w:t>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المركّب فيما بين الغلاّت و المواشي بتقريب أنّ كلّ من قال بالوجوب في الأوّل قال به في الثاني، و كلّ من نفاه في الثاني نفاه في الأوّل، و المفروض دلالة النصّ الصحيح على وجوبها في الأوّل فيثبت في الثاني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أصل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يستقيم على القول بالوجوب في أحد شطريه، و هو عندنا محلّ منع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الإجماع المنقول المحكيّ عن ابن حمزة</w:t>
      </w:r>
      <w:r>
        <w:rPr>
          <w:rStyle w:val="FootnoteAnchor"/>
          <w:rtl w:val="true"/>
        </w:rPr>
        <w:footnoteReference w:id="177"/>
      </w:r>
      <w:r>
        <w:rPr>
          <w:rFonts w:ascii="Amiri" w:hAnsi="Amiri" w:eastAsia="Amiri" w:cs="Amiri"/>
          <w:color w:val="111111"/>
          <w:sz w:val="28"/>
          <w:sz w:val="28"/>
          <w:szCs w:val="28"/>
          <w:rtl w:val="true"/>
          <w:lang w:bidi="ar-SA"/>
        </w:rPr>
        <w:t>حسبما عرفت، فهو موهون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المخالف كالجماعة المتقدّمة من القدماء</w:t>
      </w:r>
      <w:r>
        <w:rPr>
          <w:rStyle w:val="FootnoteAnchor"/>
          <w:rtl w:val="true"/>
        </w:rPr>
        <w:footnoteReference w:id="178"/>
      </w:r>
      <w:r>
        <w:rPr>
          <w:rFonts w:ascii="Amiri" w:hAnsi="Amiri" w:eastAsia="Amiri" w:cs="Amiri"/>
          <w:color w:val="111111"/>
          <w:sz w:val="28"/>
          <w:sz w:val="28"/>
          <w:szCs w:val="28"/>
          <w:rtl w:val="true"/>
          <w:lang w:bidi="ar-SA"/>
        </w:rPr>
        <w:t>و قد أشار إلى وجوده أيضا السيّد في كلامه المتقدّم</w:t>
      </w:r>
      <w:r>
        <w:rPr>
          <w:rStyle w:val="FootnoteAnchor"/>
          <w:rtl w:val="true"/>
        </w:rPr>
        <w:footnoteReference w:id="179"/>
      </w:r>
      <w:r>
        <w:rPr>
          <w:rFonts w:ascii="Amiri" w:hAnsi="Amiri" w:eastAsia="Amiri" w:cs="Amiri"/>
          <w:color w:val="111111"/>
          <w:sz w:val="28"/>
          <w:sz w:val="28"/>
          <w:szCs w:val="28"/>
          <w:rtl w:val="true"/>
          <w:lang w:bidi="ar-SA"/>
        </w:rPr>
        <w:t>حيث نسب القول بالوجوب إلى أكثر أصحابه مؤذنا بوجود المخالف، هذا مع مخالفة المتأخّرين له، فيخرج بهذا كلّه عن صلاحية الاستدلال لأنّه إنّما يكون حجّة حيث أوجب الظنّ الاطمئناني لا مطلقا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المختار فهل تستحبّ الزكاة أو لا؟ قولان، ثانيهما المشهور، و ذهب جماعة</w:t>
      </w:r>
      <w:r>
        <w:rPr>
          <w:rStyle w:val="FootnoteAnchor"/>
          <w:rtl w:val="true"/>
        </w:rPr>
        <w:footnoteReference w:id="180"/>
      </w:r>
      <w:r>
        <w:rPr>
          <w:rFonts w:ascii="Amiri" w:hAnsi="Amiri" w:eastAsia="Amiri" w:cs="Amiri"/>
          <w:color w:val="111111"/>
          <w:sz w:val="28"/>
          <w:sz w:val="28"/>
          <w:szCs w:val="28"/>
          <w:rtl w:val="true"/>
          <w:lang w:bidi="ar-SA"/>
        </w:rPr>
        <w:t>من منكري الوجوب إلى نفي الاستحباب أيضا تبعا للجماعة المتقدّمة</w:t>
      </w:r>
      <w:r>
        <w:rPr>
          <w:rStyle w:val="FootnoteAnchor"/>
          <w:rtl w:val="true"/>
        </w:rPr>
        <w:footnoteReference w:id="181"/>
      </w:r>
      <w:r>
        <w:rPr>
          <w:rFonts w:ascii="Amiri" w:hAnsi="Amiri" w:eastAsia="Amiri" w:cs="Amiri"/>
          <w:color w:val="111111"/>
          <w:sz w:val="28"/>
          <w:sz w:val="28"/>
          <w:szCs w:val="28"/>
          <w:rtl w:val="true"/>
          <w:lang w:bidi="ar-SA"/>
        </w:rPr>
        <w:t>من القدماء، و لم نقف في النصوص على ما يمكن التمسّك به على الاستحباب كما اعترف به جماعة</w:t>
      </w:r>
      <w:r>
        <w:rPr>
          <w:rStyle w:val="FootnoteAnchor"/>
          <w:rtl w:val="true"/>
        </w:rPr>
        <w:footnoteReference w:id="182"/>
      </w:r>
      <w:r>
        <w:rPr>
          <w:rFonts w:ascii="Amiri" w:hAnsi="Amiri" w:eastAsia="Amiri" w:cs="Amiri"/>
          <w:color w:val="111111"/>
          <w:sz w:val="28"/>
          <w:sz w:val="28"/>
          <w:szCs w:val="28"/>
          <w:rtl w:val="true"/>
          <w:lang w:bidi="ar-SA"/>
        </w:rPr>
        <w:t>أيضا، مع أنّه كالوجوب حكم شرعي يحتاج إلى دليل و لم نقف لأصل القول به على دليل سوى أمرين</w:t>
      </w:r>
      <w:r>
        <w:rPr>
          <w:rFonts w:eastAsia="Amiri" w:cs="Amiri" w:ascii="Amiri" w:hAnsi="Amiri"/>
          <w:color w:val="111111"/>
          <w:sz w:val="28"/>
          <w:szCs w:val="28"/>
          <w:rtl w:val="true"/>
          <w:lang w:bidi="ar-SA"/>
        </w:rPr>
        <w:t xml:space="preserve">: </w:t>
      </w:r>
      <w:bookmarkStart w:id="65" w:name="pg16181_154424"/>
    </w:p>
    <w:p>
      <w:pPr>
        <w:pStyle w:val="Heading6"/>
        <w:numPr>
          <w:ilvl w:val="5"/>
          <w:numId w:val="1"/>
        </w:numPr>
        <w:rPr/>
      </w:pPr>
      <w:bookmarkStart w:id="66" w:name="__RefHeading___Toc2586453_1280447820"/>
      <w:bookmarkStart w:id="67" w:name="_Toc25"/>
      <w:bookmarkEnd w:id="65"/>
      <w:bookmarkEnd w:id="66"/>
      <w:r>
        <w:rPr>
          <w:rtl w:val="true"/>
        </w:rPr>
        <w:t>[</w:t>
      </w:r>
      <w:r>
        <w:rPr>
          <w:rtl w:val="true"/>
        </w:rPr>
        <w:t>عدم استحباب الزكاة في مواشي الصبيّ‌</w:t>
      </w:r>
      <w:r>
        <w:rPr>
          <w:rtl w:val="true"/>
        </w:rPr>
        <w:t>]</w:t>
      </w:r>
      <w:bookmarkEnd w:id="67"/>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المركّب و عدم القول بالفصل بين غلاّت الطفل و مواشيه في الوجوب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التسامح</w:t>
      </w:r>
      <w:r>
        <w:rPr>
          <w:rStyle w:val="FootnoteAnchor"/>
          <w:rtl w:val="true"/>
        </w:rPr>
        <w:footnoteReference w:id="183"/>
      </w:r>
      <w:r>
        <w:rPr>
          <w:rFonts w:ascii="Amiri" w:hAnsi="Amiri" w:eastAsia="Amiri" w:cs="Amiri"/>
          <w:color w:val="111111"/>
          <w:sz w:val="28"/>
          <w:sz w:val="28"/>
          <w:szCs w:val="28"/>
          <w:rtl w:val="true"/>
          <w:lang w:bidi="ar-SA"/>
        </w:rPr>
        <w:t>في أدلّة السنن بناء على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فتوى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واحدا فضلا عن الأكثر، و منع ذلك أوضح لاشتراط انتفاء احتمال الحرمة الذاتيّة في جريان هذه القاعدة، و احتمالها من جهة عموم حرمة التصرّف في مال الغير و لا سيّما الأيتام قائم في المقام و معه لا مجرى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القول بعدم الاستحباب، للأصل، و عدم الدليل عليه، مع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تناول اليتيم في النصوص و الطفل</w:t>
      </w:r>
      <w:r>
        <w:rPr>
          <w:rStyle w:val="FootnoteAnchor"/>
          <w:rtl w:val="true"/>
        </w:rPr>
        <w:footnoteReference w:id="184"/>
      </w:r>
      <w:r>
        <w:rPr>
          <w:rFonts w:ascii="Amiri" w:hAnsi="Amiri" w:eastAsia="Amiri" w:cs="Amiri"/>
          <w:color w:val="111111"/>
          <w:sz w:val="28"/>
          <w:sz w:val="28"/>
          <w:szCs w:val="28"/>
          <w:rtl w:val="true"/>
          <w:lang w:bidi="ar-SA"/>
        </w:rPr>
        <w:t>و الصبيّ في الفتاوى للمولود المنفصل بجميع أصنافه من الرضيع و الفطيم</w:t>
      </w:r>
      <w:r>
        <w:rPr>
          <w:rStyle w:val="FootnoteAnchor"/>
          <w:rtl w:val="true"/>
        </w:rPr>
        <w:footnoteReference w:id="185"/>
      </w:r>
      <w:r>
        <w:rPr>
          <w:rFonts w:ascii="Amiri" w:hAnsi="Amiri" w:eastAsia="Amiri" w:cs="Amiri"/>
          <w:color w:val="111111"/>
          <w:sz w:val="28"/>
          <w:sz w:val="28"/>
          <w:szCs w:val="28"/>
          <w:rtl w:val="true"/>
          <w:lang w:bidi="ar-SA"/>
        </w:rPr>
        <w:t>و الصبيّ المميّز و غيره إلى أن يبلغ و هل يعمّ الحمل أو 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 وفاقا للمسالك</w:t>
      </w:r>
      <w:r>
        <w:rPr>
          <w:rStyle w:val="FootnoteAnchor"/>
          <w:rtl w:val="true"/>
        </w:rPr>
        <w:footnoteReference w:id="186"/>
      </w:r>
      <w:r>
        <w:rPr>
          <w:rFonts w:ascii="Amiri" w:hAnsi="Amiri" w:eastAsia="Amiri" w:cs="Amiri"/>
          <w:color w:val="111111"/>
          <w:sz w:val="28"/>
          <w:sz w:val="28"/>
          <w:szCs w:val="28"/>
          <w:rtl w:val="true"/>
          <w:lang w:bidi="ar-SA"/>
        </w:rPr>
        <w:t>و لعلّه للأكثر، بل عن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الأصحاب ادّعى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لعدم صدق هذه الألفاظ عليه حقيقة بل لعدم انصراف مطلقات الباب إليه، فلا تجب إخراج الزكاة عن ماله مطلقا و لا تستحبّ له أيضا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 السيّد في المناهل</w:t>
      </w:r>
      <w:r>
        <w:rPr>
          <w:rStyle w:val="FootnoteAnchor"/>
          <w:rtl w:val="true"/>
        </w:rPr>
        <w:footnoteReference w:id="187"/>
      </w:r>
      <w:r>
        <w:rPr>
          <w:rFonts w:ascii="Amiri" w:hAnsi="Amiri" w:eastAsia="Amiri" w:cs="Amiri"/>
          <w:color w:val="111111"/>
          <w:sz w:val="28"/>
          <w:sz w:val="28"/>
          <w:szCs w:val="28"/>
          <w:rtl w:val="true"/>
          <w:lang w:bidi="ar-SA"/>
        </w:rPr>
        <w:t xml:space="preserve">استقرب القول الأوّل استنادا إلى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معظم كتب الأصحاب كالشرائع</w:t>
      </w:r>
      <w:r>
        <w:rPr>
          <w:rStyle w:val="FootnoteAnchor"/>
          <w:rtl w:val="true"/>
        </w:rPr>
        <w:footnoteReference w:id="188"/>
      </w:r>
      <w:r>
        <w:rPr>
          <w:rFonts w:ascii="IRNazanin" w:hAnsi="IRNazanin" w:eastAsia="IRNazanin"/>
          <w:color w:val="111111"/>
          <w:sz w:val="28"/>
          <w:sz w:val="28"/>
          <w:szCs w:val="28"/>
          <w:rtl w:val="true"/>
          <w:lang w:bidi="fa-IR"/>
        </w:rPr>
        <w:t>و النافع</w:t>
      </w:r>
      <w:r>
        <w:rPr>
          <w:rStyle w:val="FootnoteAnchor"/>
          <w:rtl w:val="true"/>
        </w:rPr>
        <w:footnoteReference w:id="189"/>
      </w:r>
      <w:r>
        <w:rPr>
          <w:rFonts w:ascii="IRNazanin" w:hAnsi="IRNazanin" w:eastAsia="IRNazanin"/>
          <w:color w:val="111111"/>
          <w:sz w:val="28"/>
          <w:sz w:val="28"/>
          <w:szCs w:val="28"/>
          <w:rtl w:val="true"/>
          <w:lang w:bidi="fa-IR"/>
        </w:rPr>
        <w:t>و المعتبر</w:t>
      </w:r>
      <w:r>
        <w:rPr>
          <w:rStyle w:val="FootnoteAnchor"/>
          <w:rtl w:val="true"/>
        </w:rPr>
        <w:footnoteReference w:id="190"/>
      </w:r>
      <w:r>
        <w:rPr>
          <w:rFonts w:ascii="IRNazanin" w:hAnsi="IRNazanin" w:eastAsia="IRNazanin"/>
          <w:color w:val="111111"/>
          <w:sz w:val="28"/>
          <w:sz w:val="28"/>
          <w:szCs w:val="28"/>
          <w:rtl w:val="true"/>
          <w:lang w:bidi="fa-IR"/>
        </w:rPr>
        <w:t>و المنتهى</w:t>
      </w:r>
      <w:r>
        <w:rPr>
          <w:rStyle w:val="FootnoteAnchor"/>
          <w:rtl w:val="true"/>
        </w:rPr>
        <w:footnoteReference w:id="191"/>
      </w:r>
      <w:r>
        <w:rPr>
          <w:rFonts w:ascii="Amiri" w:hAnsi="Amiri" w:eastAsia="Amiri" w:cs="Amiri"/>
          <w:color w:val="111111"/>
          <w:sz w:val="28"/>
          <w:sz w:val="28"/>
          <w:szCs w:val="28"/>
          <w:rtl w:val="true"/>
          <w:lang w:bidi="ar-SA"/>
        </w:rPr>
        <w:t>و التحرير</w:t>
      </w:r>
      <w:r>
        <w:rPr>
          <w:rStyle w:val="FootnoteAnchor"/>
          <w:rtl w:val="true"/>
        </w:rPr>
        <w:footnoteReference w:id="192"/>
      </w:r>
      <w:bookmarkStart w:id="68" w:name="pg16181_154425"/>
    </w:p>
    <w:p>
      <w:pPr>
        <w:pStyle w:val="BookText"/>
        <w:rPr/>
      </w:pPr>
      <w:bookmarkEnd w:id="68"/>
      <w:r>
        <w:rPr>
          <w:rFonts w:ascii="IRNazanin" w:hAnsi="IRNazanin" w:eastAsia="IRNazanin"/>
          <w:color w:val="111111"/>
          <w:sz w:val="28"/>
          <w:sz w:val="28"/>
          <w:szCs w:val="28"/>
          <w:rtl w:val="true"/>
          <w:lang w:bidi="fa-IR"/>
        </w:rPr>
        <w:t>و المختلف</w:t>
      </w:r>
      <w:r>
        <w:rPr>
          <w:rStyle w:val="FootnoteAnchor"/>
          <w:rtl w:val="true"/>
        </w:rPr>
        <w:footnoteReference w:id="193"/>
      </w:r>
      <w:r>
        <w:rPr>
          <w:rFonts w:ascii="IRNazanin" w:hAnsi="IRNazanin" w:eastAsia="IRNazanin"/>
          <w:color w:val="111111"/>
          <w:sz w:val="28"/>
          <w:sz w:val="28"/>
          <w:szCs w:val="28"/>
          <w:rtl w:val="true"/>
          <w:lang w:bidi="fa-IR"/>
        </w:rPr>
        <w:t>و القواعد</w:t>
      </w:r>
      <w:r>
        <w:rPr>
          <w:rStyle w:val="FootnoteAnchor"/>
          <w:rtl w:val="true"/>
        </w:rPr>
        <w:footnoteReference w:id="194"/>
      </w:r>
      <w:r>
        <w:rPr>
          <w:rFonts w:ascii="IRNazanin" w:hAnsi="IRNazanin" w:eastAsia="IRNazanin"/>
          <w:color w:val="111111"/>
          <w:sz w:val="28"/>
          <w:sz w:val="28"/>
          <w:szCs w:val="28"/>
          <w:rtl w:val="true"/>
          <w:lang w:bidi="fa-IR"/>
        </w:rPr>
        <w:t>و الإرشاد</w:t>
      </w:r>
      <w:r>
        <w:rPr>
          <w:rStyle w:val="FootnoteAnchor"/>
          <w:rtl w:val="true"/>
        </w:rPr>
        <w:footnoteReference w:id="195"/>
      </w:r>
      <w:r>
        <w:rPr>
          <w:rFonts w:ascii="Amiri" w:hAnsi="Amiri" w:eastAsia="Amiri" w:cs="Amiri"/>
          <w:color w:val="111111"/>
          <w:sz w:val="28"/>
          <w:sz w:val="28"/>
          <w:szCs w:val="28"/>
          <w:rtl w:val="true"/>
          <w:lang w:bidi="ar-SA"/>
        </w:rPr>
        <w:t>و البيان</w:t>
      </w:r>
      <w:r>
        <w:rPr>
          <w:rStyle w:val="FootnoteAnchor"/>
          <w:rtl w:val="true"/>
        </w:rPr>
        <w:footnoteReference w:id="196"/>
      </w:r>
      <w:r>
        <w:rPr>
          <w:rFonts w:ascii="IRNazanin" w:hAnsi="IRNazanin" w:eastAsia="IRNazanin"/>
          <w:color w:val="111111"/>
          <w:sz w:val="28"/>
          <w:sz w:val="28"/>
          <w:szCs w:val="28"/>
          <w:rtl w:val="true"/>
          <w:lang w:bidi="fa-IR"/>
        </w:rPr>
        <w:t>و جامع المقاصد</w:t>
      </w:r>
      <w:r>
        <w:rPr>
          <w:rStyle w:val="FootnoteAnchor"/>
          <w:rtl w:val="true"/>
        </w:rPr>
        <w:footnoteReference w:id="197"/>
      </w:r>
      <w:r>
        <w:rPr>
          <w:rFonts w:ascii="Amiri" w:hAnsi="Amiri" w:eastAsia="Amiri" w:cs="Amiri"/>
          <w:color w:val="111111"/>
          <w:sz w:val="28"/>
          <w:sz w:val="28"/>
          <w:szCs w:val="28"/>
          <w:rtl w:val="true"/>
          <w:lang w:bidi="ar-SA"/>
        </w:rPr>
        <w:t>و الكفاية</w:t>
      </w:r>
      <w:r>
        <w:rPr>
          <w:rStyle w:val="FootnoteAnchor"/>
          <w:rtl w:val="true"/>
        </w:rPr>
        <w:footnoteReference w:id="198"/>
      </w:r>
      <w:r>
        <w:rPr>
          <w:rFonts w:ascii="Amiri" w:hAnsi="Amiri" w:eastAsia="Amiri" w:cs="Amiri"/>
          <w:color w:val="111111"/>
          <w:sz w:val="28"/>
          <w:sz w:val="28"/>
          <w:szCs w:val="28"/>
          <w:rtl w:val="true"/>
          <w:lang w:bidi="ar-SA"/>
        </w:rPr>
        <w:t xml:space="preserve">و غيرها مطلق يعمّ حقيقة عرفا و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 المتقدّمة</w:t>
      </w:r>
      <w:r>
        <w:rPr>
          <w:rStyle w:val="FootnoteAnchor"/>
          <w:rtl w:val="true"/>
        </w:rPr>
        <w:footnoteReference w:id="199"/>
      </w:r>
      <w:r>
        <w:rPr>
          <w:rFonts w:ascii="Amiri" w:hAnsi="Amiri" w:eastAsia="Amiri" w:cs="Amiri"/>
          <w:color w:val="111111"/>
          <w:sz w:val="28"/>
          <w:sz w:val="28"/>
          <w:szCs w:val="28"/>
          <w:rtl w:val="true"/>
          <w:lang w:bidi="ar-SA"/>
        </w:rPr>
        <w:t>و استدلّ عليه بأمارات الحقيقة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القدر المشترك، و عدم صحّة السلب، و صحّة الاستعمال في الحمل، مع وجود القدر المشترك القريب، و صحّة الاطّراد، و صحّة التقسيم، و التقييد بالقيدين و استثناء الحمل، و حسن الاستفهام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التقييد خلاف الأصل و لم يقم عليه دليل، و لا يمكن دعوى تبادر غير الحمل من اللفظين المذكورين للمنع منه باعتبار فقد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شيئا ممّا ذكره لا ينافي ما ذكرناه من منع انصراف مطلقات الأدلّة، و هذا ليس من التقييد ليطالب بدليله و ينفي احتماله بالأصل،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أنّا و إن استقصينا</w:t>
      </w:r>
      <w:r>
        <w:rPr>
          <w:rStyle w:val="FootnoteAnchor"/>
          <w:rtl w:val="true"/>
        </w:rPr>
        <w:footnoteReference w:id="200"/>
      </w:r>
      <w:r>
        <w:rPr>
          <w:rFonts w:ascii="Amiri" w:hAnsi="Amiri" w:eastAsia="Amiri" w:cs="Amiri"/>
          <w:color w:val="111111"/>
          <w:sz w:val="28"/>
          <w:sz w:val="28"/>
          <w:szCs w:val="28"/>
          <w:rtl w:val="true"/>
          <w:lang w:bidi="ar-SA"/>
        </w:rPr>
        <w:t>الكلام في زكاة أموال الأطفال وجوبا و استحبابا و عدمهما إلاّ أنّه أهملنا البحث في جهة مهمّة متعلّقة بالاتّجار بمال الطفل حيث إنّا قيّدناه في مسألة استحباب الزكاة في نقديه</w:t>
      </w:r>
      <w:r>
        <w:rPr>
          <w:rStyle w:val="FootnoteAnchor"/>
          <w:rtl w:val="true"/>
        </w:rPr>
        <w:footnoteReference w:id="201"/>
      </w:r>
      <w:r>
        <w:rPr>
          <w:rFonts w:ascii="Amiri" w:hAnsi="Amiri" w:eastAsia="Amiri" w:cs="Amiri"/>
          <w:color w:val="111111"/>
          <w:sz w:val="28"/>
          <w:sz w:val="28"/>
          <w:szCs w:val="28"/>
          <w:rtl w:val="true"/>
          <w:lang w:bidi="ar-SA"/>
        </w:rPr>
        <w:t xml:space="preserve">بكون المتّجر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النصوص المعلّقة للزكاة في ماله بالاتّجار مطلقة من هذه الجهة، و لكن كلام كثير من الأصحاب في هذا المقام مشتمل على تفصيل اخذ فيه أقسام مختلفة الأحكام يتفرّع عليها فروع مهمّة</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2586455_1280447820"/>
      <w:bookmarkStart w:id="70" w:name="_Toc26"/>
      <w:bookmarkEnd w:id="69"/>
      <w:r>
        <w:rPr>
          <w:rtl w:val="true"/>
        </w:rPr>
        <w:t>[</w:t>
      </w:r>
      <w:r>
        <w:rPr>
          <w:rtl w:val="true"/>
        </w:rPr>
        <w:t>الاتّجار بمال الطفل و بيان أقسامها الاولى و الثانية</w:t>
      </w:r>
      <w:r>
        <w:rPr>
          <w:rtl w:val="true"/>
        </w:rPr>
        <w:t>]</w:t>
      </w:r>
      <w:bookmarkEnd w:id="7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بيان هذه الأقسام على وجه تنضبط هو أنّ المتّجر في مال الطفل إمّا أن يكون هو الوليّ أو غير الوليّ‌، و على التقديرين إمّا أن يكون مليّا أو غير مليّ‌، و على التقادير إمّا أن يتّجر للطفل أو لنفسه بعد أن يضمنه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ينقله إلى نفسه بناقل شرعي كالاستقراض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لاستعلام أحكام هذه الأقسام و التوصّل إلى الفروع المتفرّعة </w:t>
      </w:r>
    </w:p>
    <w:p>
      <w:pPr>
        <w:pStyle w:val="BookText"/>
        <w:rPr/>
      </w:pPr>
      <w:r>
        <w:rPr>
          <w:rFonts w:ascii="Amiri" w:hAnsi="Amiri" w:eastAsia="Amiri" w:cs="Amiri"/>
          <w:color w:val="111111"/>
          <w:sz w:val="28"/>
          <w:sz w:val="28"/>
          <w:szCs w:val="28"/>
          <w:rtl w:val="true"/>
          <w:lang w:bidi="ar-SA"/>
        </w:rPr>
        <w:t>عليها نتكلّم في أربع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المتّجر وليّا و اتّجر للطفل لا لنفسه، فإن كان مليّا فهو القدر المتيقّن من مورد النصوص الآمرة بالزكاة في مال تجارة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هذا العنوان يتعلّق به أحكام لا مناص من التكلّم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الزكاة في هذا المال، و قد تقدّم</w:t>
      </w:r>
      <w:r>
        <w:rPr>
          <w:rStyle w:val="FootnoteAnchor"/>
          <w:rtl w:val="true"/>
        </w:rPr>
        <w:footnoteReference w:id="202"/>
      </w:r>
      <w:r>
        <w:rPr>
          <w:rFonts w:ascii="IRNazanin" w:hAnsi="IRNazanin" w:eastAsia="IRNazanin"/>
          <w:color w:val="111111"/>
          <w:sz w:val="28"/>
          <w:sz w:val="28"/>
          <w:szCs w:val="28"/>
          <w:rtl w:val="true"/>
          <w:lang w:bidi="fa-IR"/>
        </w:rPr>
        <w:t>البحث عنه مستقصى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الربح الحاصل في هذا المال المتّجر به للطفل المولّى عليه كما نصّ عليه جماعة من أساطين الطائفة</w:t>
      </w:r>
      <w:r>
        <w:rPr>
          <w:rStyle w:val="FootnoteAnchor"/>
          <w:rtl w:val="true"/>
        </w:rPr>
        <w:footnoteReference w:id="203"/>
      </w:r>
      <w:r>
        <w:rPr>
          <w:rFonts w:ascii="Amiri" w:hAnsi="Amiri" w:eastAsia="Amiri" w:cs="Amiri"/>
          <w:color w:val="111111"/>
          <w:sz w:val="28"/>
          <w:sz w:val="28"/>
          <w:szCs w:val="28"/>
          <w:rtl w:val="true"/>
          <w:lang w:bidi="ar-SA"/>
        </w:rPr>
        <w:t>بل الظاهر كونه وفاقيّا، بل ينبغي دعوى الضرورة في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عموم القاعدة</w:t>
      </w:r>
      <w:r>
        <w:rPr>
          <w:rStyle w:val="FootnoteAnchor"/>
          <w:rtl w:val="true"/>
        </w:rPr>
        <w:footnoteReference w:id="204"/>
      </w:r>
      <w:r>
        <w:rPr>
          <w:rFonts w:ascii="Amiri" w:hAnsi="Amiri" w:eastAsia="Amiri" w:cs="Amiri"/>
          <w:color w:val="111111"/>
          <w:sz w:val="28"/>
          <w:sz w:val="28"/>
          <w:szCs w:val="28"/>
          <w:rtl w:val="true"/>
          <w:lang w:bidi="ar-SA"/>
        </w:rPr>
        <w:t>المجمع عليها أيضا من حيث كون الربح زيادة حصلت في مال المولّى عليه فيتبعه في الملك، و خصوص المستفيضة المصرّحة بكونه لليتيم الّتي تقدّم</w:t>
      </w:r>
      <w:r>
        <w:rPr>
          <w:rStyle w:val="FootnoteAnchor"/>
          <w:rtl w:val="true"/>
        </w:rPr>
        <w:footnoteReference w:id="205"/>
      </w:r>
      <w:r>
        <w:rPr>
          <w:rFonts w:ascii="Amiri" w:hAnsi="Amiri" w:eastAsia="Amiri" w:cs="Amiri"/>
          <w:color w:val="111111"/>
          <w:sz w:val="28"/>
          <w:sz w:val="28"/>
          <w:szCs w:val="28"/>
          <w:rtl w:val="true"/>
          <w:lang w:bidi="ar-SA"/>
        </w:rPr>
        <w:t>ذكر أكثرها في المباحث المتقدّمة و ستسمع جملة من ذلك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حصل خسران في ذلك المال من غير تفريط و تقصير من الوليّ فهل هو على المولّى عليه كما كان الربح له، أو على الوليّ فيضمن و نحوه ما لو تلف المال جميعا؟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إلى ثانيهما جماعة من القدماء كالمقنعة</w:t>
      </w:r>
      <w:r>
        <w:rPr>
          <w:rStyle w:val="FootnoteAnchor"/>
          <w:rtl w:val="true"/>
        </w:rPr>
        <w:footnoteReference w:id="206"/>
      </w:r>
      <w:r>
        <w:rPr>
          <w:rFonts w:ascii="Amiri" w:hAnsi="Amiri" w:eastAsia="Amiri" w:cs="Amiri"/>
          <w:color w:val="111111"/>
          <w:sz w:val="28"/>
          <w:sz w:val="28"/>
          <w:szCs w:val="28"/>
          <w:rtl w:val="true"/>
          <w:lang w:bidi="ar-SA"/>
        </w:rPr>
        <w:t>و الوسيلة</w:t>
      </w:r>
      <w:r>
        <w:rPr>
          <w:rStyle w:val="FootnoteAnchor"/>
          <w:rtl w:val="true"/>
        </w:rPr>
        <w:footnoteReference w:id="207"/>
      </w:r>
      <w:r>
        <w:rPr>
          <w:rFonts w:ascii="IRNazanin" w:hAnsi="IRNazanin" w:eastAsia="IRNazanin"/>
          <w:color w:val="111111"/>
          <w:sz w:val="28"/>
          <w:sz w:val="28"/>
          <w:szCs w:val="28"/>
          <w:rtl w:val="true"/>
          <w:lang w:bidi="fa-IR"/>
        </w:rPr>
        <w:t>و المراسم</w:t>
      </w:r>
      <w:r>
        <w:rPr>
          <w:rStyle w:val="FootnoteAnchor"/>
          <w:rtl w:val="true"/>
        </w:rPr>
        <w:footnoteReference w:id="208"/>
      </w:r>
      <w:r>
        <w:rPr>
          <w:rFonts w:ascii="Amiri" w:hAnsi="Amiri" w:eastAsia="Amiri" w:cs="Amiri"/>
          <w:color w:val="111111"/>
          <w:sz w:val="28"/>
          <w:sz w:val="28"/>
          <w:szCs w:val="28"/>
          <w:rtl w:val="true"/>
          <w:lang w:bidi="ar-SA"/>
        </w:rPr>
        <w:t>على ما حكي، و إلى أوّلهما صاحب التنقيح</w:t>
      </w:r>
      <w:r>
        <w:rPr>
          <w:rStyle w:val="FootnoteAnchor"/>
          <w:rtl w:val="true"/>
        </w:rPr>
        <w:footnoteReference w:id="209"/>
      </w:r>
      <w:r>
        <w:rPr>
          <w:rFonts w:ascii="Amiri" w:hAnsi="Amiri" w:eastAsia="Amiri" w:cs="Amiri"/>
          <w:color w:val="111111"/>
          <w:sz w:val="28"/>
          <w:sz w:val="28"/>
          <w:szCs w:val="28"/>
          <w:rtl w:val="true"/>
          <w:lang w:bidi="ar-SA"/>
        </w:rPr>
        <w:t>على ما حكي أيضا، و يظهر اختياره من صاحب الذخيرة</w:t>
      </w:r>
      <w:r>
        <w:rPr>
          <w:rStyle w:val="FootnoteAnchor"/>
          <w:rtl w:val="true"/>
        </w:rPr>
        <w:footnoteReference w:id="210"/>
      </w:r>
      <w:r>
        <w:rPr>
          <w:rFonts w:ascii="Amiri" w:hAnsi="Amiri" w:eastAsia="Amiri" w:cs="Amiri"/>
          <w:color w:val="111111"/>
          <w:sz w:val="28"/>
          <w:sz w:val="28"/>
          <w:szCs w:val="28"/>
          <w:rtl w:val="true"/>
          <w:lang w:bidi="ar-SA"/>
        </w:rPr>
        <w:t>ناسبا له أيضا إلى الشيخ</w:t>
      </w:r>
      <w:r>
        <w:rPr>
          <w:rStyle w:val="FootnoteAnchor"/>
          <w:rtl w:val="true"/>
        </w:rPr>
        <w:footnoteReference w:id="211"/>
      </w:r>
      <w:r>
        <w:rPr>
          <w:rFonts w:ascii="Amiri" w:hAnsi="Amiri" w:eastAsia="Amiri" w:cs="Amiri"/>
          <w:color w:val="111111"/>
          <w:sz w:val="28"/>
          <w:sz w:val="28"/>
          <w:szCs w:val="28"/>
          <w:rtl w:val="true"/>
          <w:lang w:bidi="ar-SA"/>
        </w:rPr>
        <w:t xml:space="preserve">و غيره، و استقربه السيّد في </w:t>
      </w:r>
    </w:p>
    <w:p>
      <w:pPr>
        <w:pStyle w:val="BookText"/>
        <w:rPr/>
      </w:pPr>
      <w:r>
        <w:rPr>
          <w:rFonts w:ascii="IRNazanin" w:hAnsi="IRNazanin" w:eastAsia="IRNazanin"/>
          <w:color w:val="111111"/>
          <w:sz w:val="28"/>
          <w:sz w:val="28"/>
          <w:szCs w:val="28"/>
          <w:rtl w:val="true"/>
          <w:lang w:bidi="fa-IR"/>
        </w:rPr>
        <w:t>المناهل</w:t>
      </w:r>
      <w:r>
        <w:rPr>
          <w:rStyle w:val="FootnoteAnchor"/>
          <w:rtl w:val="true"/>
        </w:rPr>
        <w:footnoteReference w:id="212"/>
      </w:r>
      <w:r>
        <w:rPr>
          <w:rFonts w:ascii="Amiri" w:hAnsi="Amiri" w:eastAsia="Amiri" w:cs="Amiri"/>
          <w:color w:val="111111"/>
          <w:sz w:val="28"/>
          <w:sz w:val="28"/>
          <w:szCs w:val="28"/>
          <w:rtl w:val="true"/>
          <w:lang w:bidi="ar-SA"/>
        </w:rPr>
        <w:t>و لعلّه خيرة أكثر المتأخّرين</w:t>
      </w:r>
      <w:r>
        <w:rPr>
          <w:rStyle w:val="FootnoteAnchor"/>
          <w:rtl w:val="true"/>
        </w:rPr>
        <w:footnoteReference w:id="213"/>
      </w:r>
      <w:r>
        <w:rPr>
          <w:rFonts w:ascii="Amiri" w:hAnsi="Amiri" w:eastAsia="Amiri" w:cs="Amiri"/>
          <w:color w:val="111111"/>
          <w:sz w:val="28"/>
          <w:sz w:val="28"/>
          <w:szCs w:val="28"/>
          <w:rtl w:val="true"/>
          <w:lang w:bidi="ar-SA"/>
        </w:rPr>
        <w:t>بل كافّتهم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لأصالة البراءة، و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Style w:val="FootnoteAnchor"/>
          <w:rtl w:val="true"/>
        </w:rPr>
        <w:footnoteReference w:id="214"/>
      </w:r>
      <w:r>
        <w:rPr>
          <w:rFonts w:ascii="Amiri" w:hAnsi="Amiri" w:eastAsia="Amiri" w:cs="Amiri"/>
          <w:color w:val="111111"/>
          <w:sz w:val="28"/>
          <w:sz w:val="28"/>
          <w:szCs w:val="28"/>
          <w:rtl w:val="true"/>
          <w:lang w:bidi="ar-SA"/>
        </w:rPr>
        <w:t>و خصوص ما رواه الشيخ في المعتبر كالصحيح عن الحسن بن محبوب عن خالد بن جرير عن أبي الربيع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يكون في يديه مال لأخ له يتيم و هو وصيّه أ يصلح له أن يعمل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يعمل به كما يعمل بمال غيره و الربح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عليه ضمان‌؟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 ناظرا له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في وصف سند الرواية أنّ ابن محبوب ممّن أجمعت العصابة على تصحيح ما يصحّ عنه، و ابن جرير ممدوح، و ابن أبي الربيع غير موثّق و لكن له كتاب يرويه ابن مسكان</w:t>
      </w:r>
      <w:r>
        <w:rPr>
          <w:rStyle w:val="FootnoteAnchor"/>
          <w:rtl w:val="true"/>
        </w:rPr>
        <w:footnoteReference w:id="216"/>
      </w:r>
      <w:r>
        <w:rPr>
          <w:rFonts w:ascii="Amiri" w:hAnsi="Amiri" w:eastAsia="Amiri" w:cs="Amiri"/>
          <w:color w:val="111111"/>
          <w:sz w:val="28"/>
          <w:sz w:val="28"/>
          <w:szCs w:val="28"/>
          <w:rtl w:val="true"/>
          <w:lang w:bidi="ar-SA"/>
        </w:rPr>
        <w:t>و لأجل كون ابن محبوب من أصحاب الإجماع على التصحيح، كانت الرواية كالصحيح في الاعتبار و إن لم تصر بذلك صحيحة بحسب الاصطلاح المتأخّر، بناء على أن يكون المراد من الإجماع على التصحيح، الإجماع على ترتيب آثار الصحّة، و هو كاف في الحجّية و وجوب القبول و إن لم يفد الإجماع المذكور عدالة الوسائط الّذين بين ابن محبوب و الإمام عليه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بيّنّاه يندفع المناقشة فيها بما في المناهل من الاستشكال في جواز الاستناد إلى رواية أبي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لضعف سندها فإنّ إجماع العصابة على التصحيح لا يقتضي عدالة جميع الوسائط الّتي هي بعد الحسن، و كذا مجرّد مدح خالد لا يفيد توثيقه، و كذا مجرّد رواية ابن مسكان لكتاب أبي الربيع لا يفيد توثيقه</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71" w:name="pg16181_154428"/>
    </w:p>
    <w:p>
      <w:pPr>
        <w:pStyle w:val="BookText"/>
        <w:rPr/>
      </w:pPr>
      <w:bookmarkEnd w:id="71"/>
      <w:r>
        <w:rPr>
          <w:rFonts w:ascii="Amiri" w:hAnsi="Amiri" w:eastAsia="Amiri" w:cs="Amiri"/>
          <w:color w:val="111111"/>
          <w:sz w:val="28"/>
          <w:sz w:val="28"/>
          <w:szCs w:val="28"/>
          <w:rtl w:val="true"/>
          <w:lang w:bidi="ar-SA"/>
        </w:rPr>
        <w:t>هذا، و يعضدها عموم قاعدة نفي السبيل</w:t>
      </w:r>
      <w:r>
        <w:rPr>
          <w:rStyle w:val="FootnoteAnchor"/>
          <w:rtl w:val="true"/>
        </w:rPr>
        <w:footnoteReference w:id="218"/>
      </w:r>
      <w:r>
        <w:rPr>
          <w:rFonts w:ascii="Amiri" w:hAnsi="Amiri" w:eastAsia="Amiri" w:cs="Amiri"/>
          <w:color w:val="111111"/>
          <w:sz w:val="28"/>
          <w:sz w:val="28"/>
          <w:szCs w:val="28"/>
          <w:rtl w:val="true"/>
          <w:lang w:bidi="ar-SA"/>
        </w:rPr>
        <w:t>عن المحسن المستفادة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عَلَى اَلْمُحْسِنِينَ مِنْ سَبِيلٍ‌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يعارضها عدّة روايات الدالّة بعمومها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زرارة و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مال اليتيم زكاة إلاّ أن يتّجر به، فإن اتّجر به ففيه الزكاة و الربح لليتيم و على التاجر ضمان المال</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اليتيم عليه زكاة‌؟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موضوعا فليس عليه زكاة، فإذا عملت به فأنت له ضامن و الربح لليتيم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سعيد السمّان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مال اليتيم زكاة إلاّ أن يتّجر به، فإن اتّجر به فالربح لليتيم، و إن وضع فعلى الّذي يتّجر به</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و هي و إن كانت عامّة للوليّ و غير الوليّ غير أنّ رواية أبي الربيع خاصّة بالوليّ فبها تخصّص العمومات بغير الوليّ‌</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2586457_1280447820"/>
      <w:bookmarkStart w:id="73" w:name="_Toc27"/>
      <w:bookmarkEnd w:id="72"/>
      <w:r>
        <w:rPr>
          <w:rtl w:val="true"/>
        </w:rPr>
        <w:t>[</w:t>
      </w:r>
      <w:r>
        <w:rPr>
          <w:rtl w:val="true"/>
        </w:rPr>
        <w:t>اجرة عمل المتولّي لمال اليتيم</w:t>
      </w:r>
      <w:r>
        <w:rPr>
          <w:rtl w:val="true"/>
        </w:rPr>
        <w:t>]</w:t>
      </w:r>
      <w:bookmarkEnd w:id="73"/>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المتّجر بمال الطفل هل يستحقّ بإزاء عمله شيئا من الربح أو من صلب المال أو لا؟ 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متبرّعا في اتّجاره فليس له أن يأخذ منه شيئا، و إن لم يكن متبرّعا فإن قصد باتّجاره العمل فيه بطريق المضاربة فله من الربح على حسب ما شرطه لنفسه و لو نصفه، لا من صلب المال لمكان قوله عليه السّلام في رواية أبي الربيع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الربح بينهما</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مع ظهورها في العمل بطريق المضاربة حيث عبّر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 به كما يعمل بمال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يقصد به العمل بطريق المضاربة فهو محلّ الكلام</w:t>
      </w:r>
      <w:r>
        <w:rPr>
          <w:rFonts w:eastAsia="Amiri" w:cs="Amiri" w:ascii="Amiri" w:hAnsi="Amiri"/>
          <w:color w:val="111111"/>
          <w:sz w:val="28"/>
          <w:szCs w:val="28"/>
          <w:rtl w:val="true"/>
          <w:lang w:bidi="ar-SA"/>
        </w:rPr>
        <w:t xml:space="preserve">. </w:t>
      </w:r>
      <w:bookmarkStart w:id="74" w:name="pg16181_154429"/>
    </w:p>
    <w:p>
      <w:pPr>
        <w:pStyle w:val="BookText"/>
        <w:rPr/>
      </w:pPr>
      <w:bookmarkEnd w:id="74"/>
      <w:r>
        <w:rPr>
          <w:rFonts w:ascii="Amiri" w:hAnsi="Amiri" w:eastAsia="Amiri" w:cs="Amiri"/>
          <w:color w:val="111111"/>
          <w:sz w:val="28"/>
          <w:sz w:val="28"/>
          <w:szCs w:val="28"/>
          <w:rtl w:val="true"/>
          <w:lang w:bidi="ar-SA"/>
        </w:rPr>
        <w:t>و قد حكي عن بعض</w:t>
      </w:r>
      <w:r>
        <w:rPr>
          <w:rStyle w:val="FootnoteAnchor"/>
          <w:rtl w:val="true"/>
        </w:rPr>
        <w:footnoteReference w:id="224"/>
      </w:r>
      <w:r>
        <w:rPr>
          <w:rFonts w:ascii="Amiri" w:hAnsi="Amiri" w:eastAsia="Amiri" w:cs="Amiri"/>
          <w:color w:val="111111"/>
          <w:sz w:val="28"/>
          <w:sz w:val="28"/>
          <w:szCs w:val="28"/>
          <w:rtl w:val="true"/>
          <w:lang w:bidi="ar-SA"/>
        </w:rPr>
        <w:t>المحقّقين من متأخّري المتأخّرين جواز أخذ الاجرة، و حكي أيضا عن صريح مجمع الفائدة</w:t>
      </w:r>
      <w:r>
        <w:rPr>
          <w:rStyle w:val="FootnoteAnchor"/>
          <w:rtl w:val="true"/>
        </w:rPr>
        <w:footnoteReference w:id="225"/>
      </w:r>
      <w:r>
        <w:rPr>
          <w:rFonts w:ascii="Amiri" w:hAnsi="Amiri" w:eastAsia="Amiri" w:cs="Amiri"/>
          <w:color w:val="111111"/>
          <w:sz w:val="28"/>
          <w:sz w:val="28"/>
          <w:szCs w:val="28"/>
          <w:rtl w:val="true"/>
          <w:lang w:bidi="ar-SA"/>
        </w:rPr>
        <w:t>و قوّاه السيّد في المناهل</w:t>
      </w:r>
      <w:r>
        <w:rPr>
          <w:rStyle w:val="FootnoteAnchor"/>
          <w:rtl w:val="true"/>
        </w:rPr>
        <w:footnoteReference w:id="226"/>
      </w:r>
      <w:r>
        <w:rPr>
          <w:rFonts w:ascii="Amiri" w:hAnsi="Amiri" w:eastAsia="Amiri" w:cs="Amiri"/>
          <w:color w:val="111111"/>
          <w:sz w:val="28"/>
          <w:sz w:val="28"/>
          <w:szCs w:val="28"/>
          <w:rtl w:val="true"/>
          <w:lang w:bidi="ar-SA"/>
        </w:rPr>
        <w:t>و لعلّه مذهب الأكثر حيث لم نقف على قول بالمنع و لا على حكايته إلاّ ما عن ابن إدريس</w:t>
      </w:r>
      <w:r>
        <w:rPr>
          <w:rStyle w:val="FootnoteAnchor"/>
          <w:rtl w:val="true"/>
        </w:rPr>
        <w:footnoteReference w:id="227"/>
      </w:r>
      <w:r>
        <w:rPr>
          <w:rFonts w:ascii="Amiri" w:hAnsi="Amiri" w:eastAsia="Amiri" w:cs="Amiri"/>
          <w:color w:val="111111"/>
          <w:sz w:val="28"/>
          <w:sz w:val="28"/>
          <w:szCs w:val="28"/>
          <w:rtl w:val="true"/>
          <w:lang w:bidi="ar-SA"/>
        </w:rPr>
        <w:t>و الظاهر أنّ المسألة من جزئيّات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يتولّى أموال اليتيم بوصاية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المعنون في كتاب الوصيّة المختلف في حكمه من حيث ما يستحقّه الوليّ و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الإسكافي</w:t>
      </w:r>
      <w:r>
        <w:rPr>
          <w:rStyle w:val="FootnoteAnchor"/>
          <w:rtl w:val="true"/>
        </w:rPr>
        <w:footnoteReference w:id="228"/>
      </w:r>
      <w:r>
        <w:rPr>
          <w:rFonts w:ascii="Amiri" w:hAnsi="Amiri" w:eastAsia="Amiri" w:cs="Amiri"/>
          <w:color w:val="111111"/>
          <w:sz w:val="28"/>
          <w:sz w:val="28"/>
          <w:szCs w:val="28"/>
          <w:rtl w:val="true"/>
          <w:lang w:bidi="ar-SA"/>
        </w:rPr>
        <w:t>و الشيخ</w:t>
      </w:r>
      <w:r>
        <w:rPr>
          <w:rStyle w:val="FootnoteAnchor"/>
          <w:rtl w:val="true"/>
        </w:rPr>
        <w:footnoteReference w:id="229"/>
      </w:r>
      <w:r>
        <w:rPr>
          <w:rFonts w:ascii="Amiri" w:hAnsi="Amiri" w:eastAsia="Amiri" w:cs="Amiri"/>
          <w:color w:val="111111"/>
          <w:sz w:val="28"/>
          <w:sz w:val="28"/>
          <w:szCs w:val="28"/>
          <w:rtl w:val="true"/>
          <w:lang w:bidi="ar-SA"/>
        </w:rPr>
        <w:t>و جماعة من المتأخّرين</w:t>
      </w:r>
      <w:r>
        <w:rPr>
          <w:rStyle w:val="FootnoteAnchor"/>
          <w:rtl w:val="true"/>
        </w:rPr>
        <w:footnoteReference w:id="230"/>
      </w:r>
      <w:r>
        <w:rPr>
          <w:rFonts w:ascii="Amiri" w:hAnsi="Amiri" w:eastAsia="Amiri" w:cs="Amiri"/>
          <w:color w:val="111111"/>
          <w:sz w:val="28"/>
          <w:sz w:val="28"/>
          <w:szCs w:val="28"/>
          <w:rtl w:val="true"/>
          <w:lang w:bidi="ar-SA"/>
        </w:rPr>
        <w:t>أنّه يأخذ اجرة المثل، و عن الشيخ في النهاية أنّه يأخذ قدر كفايته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اتّجر متّجر بأموالهم نظرا لهم يستحبّ له أن يخرج من أموالهم الزكاة و جاز له أن يأخذ من الربح بقدر ما يحتاج إليه على قدر الكفاية</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و هو ظاهره في محكيّ التهذيب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كان قصده نظرا لليتيم جاز له أن يأخذ من الربح شيئا ما يكون له بلغة</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و عنه في الخلاف</w:t>
      </w:r>
      <w:r>
        <w:rPr>
          <w:rStyle w:val="FootnoteAnchor"/>
          <w:rtl w:val="true"/>
        </w:rPr>
        <w:footnoteReference w:id="233"/>
      </w:r>
      <w:r>
        <w:rPr>
          <w:rFonts w:ascii="Amiri" w:hAnsi="Amiri" w:eastAsia="Amiri" w:cs="Amiri"/>
          <w:color w:val="111111"/>
          <w:sz w:val="28"/>
          <w:sz w:val="28"/>
          <w:szCs w:val="28"/>
          <w:rtl w:val="true"/>
          <w:lang w:bidi="ar-SA"/>
        </w:rPr>
        <w:t>و التبيان</w:t>
      </w:r>
      <w:r>
        <w:rPr>
          <w:rStyle w:val="FootnoteAnchor"/>
          <w:rtl w:val="true"/>
        </w:rPr>
        <w:footnoteReference w:id="234"/>
      </w:r>
      <w:r>
        <w:rPr>
          <w:rFonts w:ascii="Amiri" w:hAnsi="Amiri" w:eastAsia="Amiri" w:cs="Amiri"/>
          <w:color w:val="111111"/>
          <w:sz w:val="28"/>
          <w:sz w:val="28"/>
          <w:szCs w:val="28"/>
          <w:rtl w:val="true"/>
          <w:lang w:bidi="ar-SA"/>
        </w:rPr>
        <w:t>أنّه يأخذ أقلّ الأمرين من اجرة المثل و قدر كفايته، و حكي نحوه عنه في المبسوط إلاّ أنّه قيّده فيه بالفقر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 إن كان فقيرا جاز له أن يأكل من مال اليتيم أقلّ الأمرين كفايته أو اجرة مثله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2586459_1280447820"/>
      <w:bookmarkStart w:id="76" w:name="_Toc28"/>
      <w:bookmarkEnd w:id="75"/>
      <w:r>
        <w:rPr>
          <w:rtl w:val="true"/>
        </w:rPr>
        <w:t>[</w:t>
      </w:r>
      <w:r>
        <w:rPr>
          <w:rtl w:val="true"/>
        </w:rPr>
        <w:t>اعتبار اجرة المثل لعمل المتولّي لمال اليتيم و أدلّته</w:t>
      </w:r>
      <w:r>
        <w:rPr>
          <w:rtl w:val="true"/>
        </w:rPr>
        <w:t>]</w:t>
      </w:r>
      <w:bookmarkEnd w:id="76"/>
    </w:p>
    <w:p>
      <w:pPr>
        <w:pStyle w:val="BookText"/>
        <w:rPr/>
      </w:pPr>
      <w:r>
        <w:rPr>
          <w:rFonts w:ascii="Amiri" w:hAnsi="Amiri" w:eastAsia="Amiri" w:cs="Amiri"/>
          <w:color w:val="111111"/>
          <w:sz w:val="28"/>
          <w:sz w:val="28"/>
          <w:szCs w:val="28"/>
          <w:rtl w:val="true"/>
          <w:lang w:bidi="ar-SA"/>
        </w:rPr>
        <w:t>فالأقوال بملاحظة الإطلاق و التقييد في قولي الشيخ أربعة، و لكن الأقوى بالنظر إلى القاعدة و الدليل الخاص هو اعتبار اجرة المثل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القاعدة فلأنّ اتّجار الوليّ و تولّيه لمال اليتيم عمل للمسلم و هو غير متبرّع </w:t>
      </w:r>
      <w:bookmarkStart w:id="77" w:name="pg16181_154430"/>
    </w:p>
    <w:p>
      <w:pPr>
        <w:pStyle w:val="BookText"/>
        <w:rPr/>
      </w:pPr>
      <w:bookmarkEnd w:id="77"/>
      <w:r>
        <w:rPr>
          <w:rFonts w:ascii="Amiri" w:hAnsi="Amiri" w:eastAsia="Amiri" w:cs="Amiri"/>
          <w:color w:val="111111"/>
          <w:sz w:val="28"/>
          <w:sz w:val="28"/>
          <w:szCs w:val="28"/>
          <w:rtl w:val="true"/>
          <w:lang w:bidi="ar-SA"/>
        </w:rPr>
        <w:t>فيه فيكون محترما فلا يخرج منه بلا عوض، و المعهود من العوض له عرفا إنّما هو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Style w:val="FootnoteAnchor"/>
          <w:rtl w:val="true"/>
        </w:rPr>
        <w:footnoteReference w:id="235"/>
      </w:r>
      <w:r>
        <w:rPr>
          <w:rFonts w:ascii="Amiri" w:hAnsi="Amiri" w:eastAsia="Amiri" w:cs="Amiri"/>
          <w:color w:val="111111"/>
          <w:sz w:val="28"/>
          <w:sz w:val="28"/>
          <w:szCs w:val="28"/>
          <w:rtl w:val="true"/>
          <w:lang w:bidi="ar-SA"/>
        </w:rPr>
        <w:t>فصحيح هشام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عمّن تولّى مال اليتيم أ له أن يأكل منه‌؟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غيره يقوم به من الأجر لهم، فليأكل بقدر ذلك</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بهما يخرج عن عموم الآيات الناهية عن قرب مال اليتيم و أكله من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w:t>
      </w:r>
      <w:r>
        <w:rPr>
          <w:rStyle w:val="FootnoteAnchor"/>
          <w:rtl w:val="true"/>
        </w:rPr>
        <w:footnoteReference w:id="23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أَمْوٰالَهُمْ إِلىٰ أَمْوٰالِكُمْ إِنَّهُ كٰانَ حُوباً كَبِيراً </w:t>
      </w:r>
      <w:r>
        <w:rPr>
          <w:rStyle w:val="FootnoteAnchor"/>
          <w:rtl w:val="true"/>
        </w:rPr>
        <w:footnoteReference w:id="238"/>
      </w:r>
      <w:r>
        <w:rPr>
          <w:rFonts w:ascii="Amiri" w:hAnsi="Amiri" w:eastAsia="Amiri" w:cs="Amiri"/>
          <w:color w:val="111111"/>
          <w:sz w:val="28"/>
          <w:sz w:val="28"/>
          <w:szCs w:val="28"/>
          <w:rtl w:val="true"/>
          <w:lang w:bidi="ar-SA"/>
        </w:rPr>
        <w:t xml:space="preserve">و ربما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فَقِيراً فَلْيَأْكُلْ بِالْمَعْرُوفِ‌ </w:t>
      </w:r>
      <w:r>
        <w:rPr>
          <w:rStyle w:val="FootnoteAnchor"/>
          <w:rtl w:val="true"/>
        </w:rPr>
        <w:footnoteReference w:id="239"/>
      </w:r>
      <w:r>
        <w:rPr>
          <w:rFonts w:ascii="Amiri" w:hAnsi="Amiri" w:eastAsia="Amiri" w:cs="Amiri"/>
          <w:color w:val="111111"/>
          <w:sz w:val="28"/>
          <w:sz w:val="28"/>
          <w:szCs w:val="28"/>
          <w:rtl w:val="true"/>
          <w:lang w:bidi="ar-SA"/>
        </w:rPr>
        <w:t>على اجرة المثل مرادا به قدر اجرة سعيه و كذلك ما في المستفيضة</w:t>
      </w:r>
      <w:r>
        <w:rPr>
          <w:rStyle w:val="FootnoteAnchor"/>
          <w:rtl w:val="true"/>
        </w:rPr>
        <w:footnoteReference w:id="240"/>
      </w:r>
      <w:r>
        <w:rPr>
          <w:rFonts w:ascii="Amiri" w:hAnsi="Amiri" w:eastAsia="Amiri" w:cs="Amiri"/>
          <w:color w:val="111111"/>
          <w:sz w:val="28"/>
          <w:sz w:val="28"/>
          <w:szCs w:val="28"/>
          <w:rtl w:val="true"/>
          <w:lang w:bidi="ar-SA"/>
        </w:rPr>
        <w:t>الواردة في تفسير الآية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 w:name="__RefHeading___Toc2586461_1280447820"/>
      <w:bookmarkStart w:id="79" w:name="_Toc29"/>
      <w:bookmarkEnd w:id="78"/>
      <w:r>
        <w:rPr>
          <w:rtl w:val="true"/>
        </w:rPr>
        <w:t>[</w:t>
      </w:r>
      <w:r>
        <w:rPr>
          <w:rtl w:val="true"/>
        </w:rPr>
        <w:t>المناقشة في الآيات و الروايات</w:t>
      </w:r>
      <w:r>
        <w:rPr>
          <w:rtl w:val="true"/>
        </w:rPr>
        <w:t>]</w:t>
      </w:r>
      <w:bookmarkEnd w:id="79"/>
    </w:p>
    <w:p>
      <w:pPr>
        <w:pStyle w:val="BookText"/>
        <w:rPr/>
      </w:pPr>
      <w:r>
        <w:rPr>
          <w:rFonts w:ascii="Amiri" w:hAnsi="Amiri" w:eastAsia="Amiri" w:cs="Amiri"/>
          <w:color w:val="111111"/>
          <w:sz w:val="28"/>
          <w:sz w:val="28"/>
          <w:szCs w:val="28"/>
          <w:rtl w:val="true"/>
          <w:lang w:bidi="ar-SA"/>
        </w:rPr>
        <w:t>و فيه نظر بل منع، لظهور الآية و الأخبار المفسّرة لها في قدر الحاجة و الكفاية خصوصا مع ملاحظة ما في صحيحين</w:t>
      </w:r>
      <w:r>
        <w:rPr>
          <w:rStyle w:val="FootnoteAnchor"/>
          <w:rtl w:val="true"/>
        </w:rPr>
        <w:footnoteReference w:id="242"/>
      </w:r>
      <w:r>
        <w:rPr>
          <w:rFonts w:ascii="Amiri" w:hAnsi="Amiri" w:eastAsia="Amiri" w:cs="Amiri"/>
          <w:color w:val="111111"/>
          <w:sz w:val="28"/>
          <w:sz w:val="28"/>
          <w:szCs w:val="28"/>
          <w:rtl w:val="true"/>
          <w:lang w:bidi="ar-SA"/>
        </w:rPr>
        <w:t xml:space="preserve">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بل يدلّ عليه تقييد النهي عن الأكل بالإسراف في الآية السابقة على هذه الآية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تَأْكُلُوهٰا إِسْرٰافاً وَ بِدٰاراً أَنْ يَكْبَرُوا </w:t>
      </w:r>
      <w:r>
        <w:rPr>
          <w:rStyle w:val="FootnoteAnchor"/>
          <w:rtl w:val="true"/>
        </w:rPr>
        <w:footnoteReference w:id="243"/>
      </w:r>
      <w:r>
        <w:rPr>
          <w:rFonts w:ascii="Amiri" w:hAnsi="Amiri" w:eastAsia="Amiri" w:cs="Amiri"/>
          <w:color w:val="111111"/>
          <w:sz w:val="28"/>
          <w:sz w:val="28"/>
          <w:szCs w:val="28"/>
          <w:rtl w:val="true"/>
          <w:lang w:bidi="ar-SA"/>
        </w:rPr>
        <w:t>بناء على أن يكون المراد بالإسراف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المجاوزة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أكل ما يحلّ أكله كما هو المناسب للمقام، لا أكل ما لا يحلّ أكله، و لا إنفاق المال في غير طاعة اللّه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فالآية و غيرها من الأخبار المفسّرة لها تعارض ما تقدّم في دليل اجرة </w:t>
      </w:r>
      <w:bookmarkStart w:id="80" w:name="pg16181_154431"/>
    </w:p>
    <w:p>
      <w:pPr>
        <w:pStyle w:val="BookText"/>
        <w:rPr/>
      </w:pPr>
      <w:bookmarkEnd w:id="80"/>
      <w:r>
        <w:rPr>
          <w:rFonts w:ascii="Amiri" w:hAnsi="Amiri" w:eastAsia="Amiri" w:cs="Amiri"/>
          <w:color w:val="111111"/>
          <w:sz w:val="28"/>
          <w:sz w:val="28"/>
          <w:szCs w:val="28"/>
          <w:rtl w:val="true"/>
          <w:lang w:bidi="ar-SA"/>
        </w:rPr>
        <w:t>المثل، و يمكن الجمع بإرجاع هذه إلى اجرة المثل من باب الحمل على خلاف الظاهر تقديما للأظهر على الظاهر، أو بحمل ما تقدّم على من لا يستغرق أوقاته بالاشتغال بأموال اليتيم بحيث يشغله ذلك عن السعي في تحصيل القوت له و لعياله، و حمل هذه على صورة الاستغراق، أو بحملهما على اعتبار أقلّ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بعيد في الغاية، و سابقه أظهر منه، بل هو المتعيّن دون أوّل الوجوه، لوجود شاهد عليه في الأخبار المفسّرة كخبر</w:t>
      </w:r>
      <w:r>
        <w:rPr>
          <w:rStyle w:val="FootnoteAnchor"/>
          <w:rtl w:val="true"/>
        </w:rPr>
        <w:footnoteReference w:id="244"/>
      </w:r>
      <w:r>
        <w:rPr>
          <w:rFonts w:ascii="Amiri" w:hAnsi="Amiri" w:eastAsia="Amiri" w:cs="Amiri"/>
          <w:color w:val="111111"/>
          <w:sz w:val="28"/>
          <w:sz w:val="28"/>
          <w:szCs w:val="28"/>
          <w:rtl w:val="true"/>
          <w:lang w:bidi="ar-SA"/>
        </w:rPr>
        <w:t>أبي بصير المرويّ عن تفسير العيّاشي عن الصادق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يحبس نفسه لليتيم على حرث أو ماشية و يشغل فيها نفسه فليأكل منه بالمعروف، و ليس له ذلك في الدنانير و الدراهم الّتي عنده موضوعة</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زرارة المرويّ عنه أيضا عن أبي جعفر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إذا حبس نفسه في أموالهم فلا يحترف لنفسه فليأكل بالمعروف من مالهم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بقى الكلام في مطالب اخر تتعلّق بالمقام و الموضع المناسب للتعرّض لها باب الوصيّة</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2586463_1280447820"/>
      <w:bookmarkStart w:id="82" w:name="_Toc30"/>
      <w:bookmarkEnd w:id="81"/>
      <w:r>
        <w:rPr>
          <w:rtl w:val="true"/>
        </w:rPr>
        <w:t>[</w:t>
      </w:r>
      <w:r>
        <w:rPr>
          <w:rtl w:val="true"/>
        </w:rPr>
        <w:t>استحباب الزكاة في مال الطفل يعتبر بحصول الربح أو عدم الخسران‌؟</w:t>
      </w:r>
      <w:r>
        <w:rPr>
          <w:rtl w:val="true"/>
        </w:rPr>
        <w:t>]</w:t>
      </w:r>
      <w:bookmarkEnd w:id="82"/>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الزكاة بمال الطفل و استحبابها فيه هل يعتبر فيه حصول الربح فيه بالاتّجار؟ أو يكفي عدم عروض الخسران، أو لا يعتبر ذلك أيضا؟ احتمالات، ربما يوهم الأخير</w:t>
      </w:r>
      <w:r>
        <w:rPr>
          <w:rStyle w:val="FootnoteAnchor"/>
          <w:rtl w:val="true"/>
        </w:rPr>
        <w:footnoteReference w:id="247"/>
      </w:r>
      <w:r>
        <w:rPr>
          <w:rFonts w:ascii="IRNazanin" w:hAnsi="IRNazanin" w:eastAsia="IRNazanin"/>
          <w:color w:val="111111"/>
          <w:sz w:val="28"/>
          <w:sz w:val="28"/>
          <w:szCs w:val="28"/>
          <w:rtl w:val="true"/>
          <w:lang w:bidi="fa-IR"/>
        </w:rPr>
        <w:t>إطلاق النصوص</w:t>
      </w:r>
      <w:r>
        <w:rPr>
          <w:rStyle w:val="FootnoteAnchor"/>
          <w:rtl w:val="true"/>
        </w:rPr>
        <w:footnoteReference w:id="248"/>
      </w:r>
      <w:r>
        <w:rPr>
          <w:rFonts w:ascii="IRNazanin" w:hAnsi="IRNazanin" w:eastAsia="IRNazanin"/>
          <w:color w:val="111111"/>
          <w:sz w:val="28"/>
          <w:sz w:val="28"/>
          <w:szCs w:val="28"/>
          <w:rtl w:val="true"/>
          <w:lang w:bidi="fa-IR"/>
        </w:rPr>
        <w:t>و الفتاوى</w:t>
      </w:r>
      <w:r>
        <w:rPr>
          <w:rStyle w:val="FootnoteAnchor"/>
          <w:rtl w:val="true"/>
        </w:rPr>
        <w:footnoteReference w:id="249"/>
      </w:r>
      <w:r>
        <w:rPr>
          <w:rFonts w:ascii="Amiri" w:hAnsi="Amiri" w:eastAsia="Amiri" w:cs="Amiri"/>
          <w:color w:val="111111"/>
          <w:sz w:val="28"/>
          <w:sz w:val="28"/>
          <w:szCs w:val="28"/>
          <w:rtl w:val="true"/>
          <w:lang w:bidi="ar-SA"/>
        </w:rPr>
        <w:t>المعلّقة لاستحباب الزكاة بالاتّجار من دون تقييد له بأحد الأمرين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الذبّ عنه باستظهار اعتبار الربح من تبادر حصوله من إطلاق الاتّجار </w:t>
      </w:r>
      <w:bookmarkStart w:id="83" w:name="pg16181_154432"/>
    </w:p>
    <w:p>
      <w:pPr>
        <w:pStyle w:val="BookText"/>
        <w:rPr/>
      </w:pPr>
      <w:bookmarkEnd w:id="83"/>
      <w:r>
        <w:rPr>
          <w:rFonts w:ascii="Amiri" w:hAnsi="Amiri" w:eastAsia="Amiri" w:cs="Amiri"/>
          <w:color w:val="111111"/>
          <w:sz w:val="28"/>
          <w:sz w:val="28"/>
          <w:szCs w:val="28"/>
          <w:rtl w:val="true"/>
          <w:lang w:bidi="ar-SA"/>
        </w:rPr>
        <w:t>المعلّق عليه الحكم، فإنّ المتبادر منه في العرف تبادرا إطلاقيّا ما يستتبع الربح، و يمكن استظهاره أيضا من الفرق الموجود في النصّ و الفتوى بين المال الموضوع في مكان من غير أن يتّجر به بنفي الزكاة عنه و المال المتّجر به بإثبات الزكاة فيه، و هذا الفرق لا بدّ له من فارق و الاتّجار من حيث هو و مع قطع النظر عن لازمه الغالبي لا يصلح فارقا، فوجب كون الفارق هو الربح اللازم من الاتّجار، فهو الّذي علّق عليه حكم الزكاة، و لعلّ الحكمة فيه أن يتدارك به النقص اللازم في المال من إخراج الزكاة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كفاية حصول الربح في الجملة في أثناء الحول الّذي ابتدأه من حين الشروع في الاتّجار، فليتأمّل في المسألة فإنّا لم نقف من الأصحاب على نصّ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جواز اتّجار الوليّ في مال الطفل المولّى عليه كونه مليّا أو لا؟ و الحقّ أنّ هذا البحث ممّا استغني عنه، لأنّ الملاءة إنّما تعتبر في صورة ضمان الوليّ‌،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 مال الطفل إلى نفسه بناقل شرعي من استقراض و نحوه فيعتبر كونه مليّا ليظهر فائدته عند ردّ المال المضمون و تفريغ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ضمان فيما نحن فيه، إذ المفروض اتّجار الوليّ للطفل لا لنفسه، و قد عرفت أنّه مع الخسران أو تلف المال أيضا لم يضمن إذا لم يكن مفرّطا، و حينئذ فلا فائدة في اعتبار الملاءة هاهنا، و لذا أطلق الأصحاب جواز اتّجار الوليّ و تعلّق الزكاة بالمال المتّجر به، و عليه فلا فرق في الوليّ الّذي يتّجر بمال الطفل بين المليّ و غيره</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2586465_1280447820"/>
      <w:bookmarkStart w:id="85" w:name="_Toc31"/>
      <w:bookmarkEnd w:id="84"/>
      <w:r>
        <w:rPr>
          <w:rtl w:val="true"/>
        </w:rPr>
        <w:t>[</w:t>
      </w:r>
      <w:r>
        <w:rPr>
          <w:rtl w:val="true"/>
        </w:rPr>
        <w:t>في اتجار الوليّ للطفل هل يعتبر المصلحة أو يكفي عدم المفسدة‌؟</w:t>
      </w:r>
      <w:r>
        <w:rPr>
          <w:rtl w:val="true"/>
        </w:rPr>
        <w:t>]</w:t>
      </w:r>
      <w:bookmarkEnd w:id="8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جواز اتّجار الوليّ اشتماله على مصلحة تعود إلى الطفل المولّى عليه فيجب مراعاته عند كلّ اتّجار، أو يكفي فيه عدم المفسدة، أو لا يعتبر ذلك أيضا؟ أو يفرّق في الأولياء بين الأب و الجدّ فيكفي فيهما عدم المفسدة، و بين غيرهما فيعتبر فيه المصلحة‌؟ احتمالات، لا يبعد دعوى كون الأكثر على اعتبار المصلحة مطلقا، بل هذا من جزئيّات مطلق تصرّفات الوليّ في مال المولّى عليه الّذي تكلّموا في كون جوازه منوطا بالمصلحة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أنّ الأوّل</w:t>
      </w:r>
      <w:r>
        <w:rPr>
          <w:rStyle w:val="FootnoteAnchor"/>
          <w:rtl w:val="true"/>
        </w:rPr>
        <w:footnoteReference w:id="250"/>
      </w:r>
      <w:r>
        <w:rPr>
          <w:rFonts w:ascii="Amiri" w:hAnsi="Amiri" w:eastAsia="Amiri" w:cs="Amiri"/>
          <w:color w:val="111111"/>
          <w:sz w:val="28"/>
          <w:sz w:val="28"/>
          <w:szCs w:val="28"/>
          <w:rtl w:val="true"/>
          <w:lang w:bidi="ar-SA"/>
        </w:rPr>
        <w:t>مذهب الأكثر فعن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يلي أمر الصغير و المجنون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الجدّ للأب و وصيّ الأب و الجدّ و الحاكم و من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هؤلاء الخمسة لا يصحّ تصرّفهم إلاّ على وجه الاحتياط و الحظّ للصغير لأنّهم إنّما نصبوا لذلك، فإذا تصرّف فيه على وجه لا حظّ فيه كان باطلا لأنّه خلاف ما نصب له</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و عن الحلّي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للولي التصرّف في مال الطفل إلاّ بما يكون فيه صلاح المال و يعود نفعه إلى الطفل دون المتصرّف فيه و هذا الّذي يقتضيه اصول المذهب</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التصريح به عن المحقّق</w:t>
      </w:r>
      <w:r>
        <w:rPr>
          <w:rStyle w:val="FootnoteAnchor"/>
          <w:rtl w:val="true"/>
        </w:rPr>
        <w:footnoteReference w:id="253"/>
      </w:r>
      <w:r>
        <w:rPr>
          <w:rFonts w:ascii="Amiri" w:hAnsi="Amiri" w:eastAsia="Amiri" w:cs="Amiri"/>
          <w:color w:val="111111"/>
          <w:sz w:val="28"/>
          <w:sz w:val="28"/>
          <w:szCs w:val="28"/>
          <w:rtl w:val="true"/>
          <w:lang w:bidi="ar-SA"/>
        </w:rPr>
        <w:t>و العلاّمة</w:t>
      </w:r>
      <w:r>
        <w:rPr>
          <w:rStyle w:val="FootnoteAnchor"/>
          <w:rtl w:val="true"/>
        </w:rPr>
        <w:footnoteReference w:id="254"/>
      </w:r>
      <w:r>
        <w:rPr>
          <w:rFonts w:ascii="Amiri" w:hAnsi="Amiri" w:eastAsia="Amiri" w:cs="Amiri"/>
          <w:color w:val="111111"/>
          <w:sz w:val="28"/>
          <w:sz w:val="28"/>
          <w:szCs w:val="28"/>
          <w:rtl w:val="true"/>
          <w:lang w:bidi="ar-SA"/>
        </w:rPr>
        <w:t>و الشهيدين</w:t>
      </w:r>
      <w:r>
        <w:rPr>
          <w:rStyle w:val="FootnoteAnchor"/>
          <w:rtl w:val="true"/>
        </w:rPr>
        <w:footnoteReference w:id="255"/>
      </w:r>
      <w:r>
        <w:rPr>
          <w:rFonts w:ascii="Amiri" w:hAnsi="Amiri" w:eastAsia="Amiri" w:cs="Amiri"/>
          <w:color w:val="111111"/>
          <w:sz w:val="28"/>
          <w:sz w:val="28"/>
          <w:szCs w:val="28"/>
          <w:rtl w:val="true"/>
          <w:lang w:bidi="ar-SA"/>
        </w:rPr>
        <w:t>و المحقّق الثاني</w:t>
      </w:r>
      <w:r>
        <w:rPr>
          <w:rStyle w:val="FootnoteAnchor"/>
          <w:rtl w:val="true"/>
        </w:rPr>
        <w:footnoteReference w:id="256"/>
      </w:r>
      <w:r>
        <w:rPr>
          <w:rFonts w:ascii="Amiri" w:hAnsi="Amiri" w:eastAsia="Amiri" w:cs="Amiri"/>
          <w:color w:val="111111"/>
          <w:sz w:val="28"/>
          <w:sz w:val="28"/>
          <w:szCs w:val="28"/>
          <w:rtl w:val="true"/>
          <w:lang w:bidi="ar-SA"/>
        </w:rPr>
        <w:t>و غيرهم، و عن الفاضل الهندي في شرح الروضة</w:t>
      </w:r>
      <w:r>
        <w:rPr>
          <w:rStyle w:val="FootnoteAnchor"/>
          <w:rtl w:val="true"/>
        </w:rPr>
        <w:footnoteReference w:id="257"/>
      </w:r>
      <w:r>
        <w:rPr>
          <w:rFonts w:ascii="Amiri" w:hAnsi="Amiri" w:eastAsia="Amiri" w:cs="Amiri"/>
          <w:color w:val="111111"/>
          <w:sz w:val="28"/>
          <w:sz w:val="28"/>
          <w:szCs w:val="28"/>
          <w:rtl w:val="true"/>
          <w:lang w:bidi="ar-SA"/>
        </w:rPr>
        <w:t>أنّ المتقدّمين عمّموا الحكم باعتبار المصلحة من غير استثناء، و عن مفتاح الكرامة</w:t>
      </w:r>
      <w:r>
        <w:rPr>
          <w:rStyle w:val="FootnoteAnchor"/>
          <w:rtl w:val="true"/>
        </w:rPr>
        <w:footnoteReference w:id="258"/>
      </w:r>
      <w:r>
        <w:rPr>
          <w:rFonts w:ascii="Amiri" w:hAnsi="Amiri" w:eastAsia="Amiri" w:cs="Amiri"/>
          <w:color w:val="111111"/>
          <w:sz w:val="28"/>
          <w:sz w:val="28"/>
          <w:szCs w:val="28"/>
          <w:rtl w:val="true"/>
          <w:lang w:bidi="ar-SA"/>
        </w:rPr>
        <w:t>استظهر من عبارة العلاّمة في باب الحجر من التذكرة</w:t>
      </w:r>
      <w:r>
        <w:rPr>
          <w:rStyle w:val="FootnoteAnchor"/>
          <w:rtl w:val="true"/>
        </w:rPr>
        <w:footnoteReference w:id="259"/>
      </w:r>
      <w:r>
        <w:rPr>
          <w:rFonts w:ascii="Amiri" w:hAnsi="Amiri" w:eastAsia="Amiri" w:cs="Amiri"/>
          <w:color w:val="111111"/>
          <w:sz w:val="28"/>
          <w:sz w:val="28"/>
          <w:szCs w:val="28"/>
          <w:rtl w:val="true"/>
          <w:lang w:bidi="ar-SA"/>
        </w:rPr>
        <w:t>نفي الخلاف في ذلك بين المسلمين، بل قيل إنّه تبعا لشيخه في شرح القواعد</w:t>
      </w:r>
      <w:r>
        <w:rPr>
          <w:rStyle w:val="FootnoteAnchor"/>
          <w:rtl w:val="true"/>
        </w:rPr>
        <w:footnoteReference w:id="260"/>
      </w:r>
      <w:r>
        <w:rPr>
          <w:rFonts w:ascii="Amiri" w:hAnsi="Amiri" w:eastAsia="Amiri" w:cs="Amiri"/>
          <w:color w:val="111111"/>
          <w:sz w:val="28"/>
          <w:sz w:val="28"/>
          <w:szCs w:val="28"/>
          <w:rtl w:val="true"/>
          <w:lang w:bidi="ar-SA"/>
        </w:rPr>
        <w:t>استظهر الإجماع على إناطة جواز تصرّف الوليّ بالمصلحة، و لكنّه مع ذلك نسب إلى الشيخ المشار إليه في شرح القواعد اختيار التفصيل المتقدّم، و تبعه شيخنا قدّس سرّه في الجواهر</w:t>
      </w:r>
      <w:r>
        <w:rPr>
          <w:rStyle w:val="FootnoteAnchor"/>
          <w:rtl w:val="true"/>
        </w:rPr>
        <w:footnoteReference w:id="261"/>
      </w:r>
      <w:r>
        <w:rPr>
          <w:rFonts w:ascii="Amiri" w:hAnsi="Amiri" w:eastAsia="Amiri" w:cs="Amiri"/>
          <w:color w:val="111111"/>
          <w:sz w:val="28"/>
          <w:sz w:val="28"/>
          <w:szCs w:val="28"/>
          <w:rtl w:val="true"/>
          <w:lang w:bidi="ar-SA"/>
        </w:rPr>
        <w:t>و شيخنا الآخر رفع مقامه في متاجره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تحقيق المقام يقتضي النظر أوّلا في مقتضى الاصول، ثمّ في مقتضى القواعد، ثمّ النظر في أنّه هل خرج منها شيء أو لا؟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عدم ولاية أحد على مال غيره و نفسه مطلقا، و خرج منه بأدلّة الولاية المقرّرة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 الجدّ و الوصيّ لأحدهما و الحاكم و أمينه و عدول </w:t>
      </w:r>
      <w:bookmarkStart w:id="86" w:name="pg16181_154434"/>
    </w:p>
    <w:p>
      <w:pPr>
        <w:pStyle w:val="BookText"/>
        <w:rPr/>
      </w:pPr>
      <w:bookmarkEnd w:id="86"/>
      <w:r>
        <w:rPr>
          <w:rFonts w:ascii="Amiri" w:hAnsi="Amiri" w:eastAsia="Amiri" w:cs="Amiri"/>
          <w:color w:val="111111"/>
          <w:sz w:val="28"/>
          <w:sz w:val="28"/>
          <w:szCs w:val="28"/>
          <w:rtl w:val="true"/>
          <w:lang w:bidi="ar-SA"/>
        </w:rPr>
        <w:t xml:space="preserve">المؤمنين عند تعذّر الحاكم بالقياس إلى اليتيم بل مطلق الطفل، ثمّ قضيّة الأصل المذكور بالنسبة إلى تصرّفات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المرخّص فيها بمقتضى أدلّة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الاقتصار على القدر المتيقّن من محلّ الرخصة، و ليس إلاّ ما اشتمل على المصلحة فضلا عن اعتبار خلوّه عن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يوافقه في اعتبار الخلوّ عن المفسدة صحيحة 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نحبّ أن يأخذ من مال ابنه إلاّ ما يحتاج إليه ممّا لا بدّ منه إنّ اللّه لا يحبّ الفساد</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التعليل لمورد الرواية بعدم محبّة الفساد المفيد للتحريم يقضي بعموم المنع من الفساد في مال المولّى عليه</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2586467_1280447820"/>
      <w:bookmarkStart w:id="88" w:name="_Toc32"/>
      <w:bookmarkEnd w:id="87"/>
      <w:r>
        <w:rPr>
          <w:rtl w:val="true"/>
        </w:rPr>
        <w:t>[</w:t>
      </w:r>
      <w:r>
        <w:rPr>
          <w:rtl w:val="true"/>
        </w:rPr>
        <w:t>الاستدلال على اعتبار المصلحة بالآية الشريفة</w:t>
      </w:r>
      <w:r>
        <w:rPr>
          <w:rtl w:val="true"/>
        </w:rPr>
        <w:t xml:space="preserve">: </w:t>
      </w:r>
      <w:r>
        <w:rPr>
          <w:rtl w:val="true"/>
        </w:rPr>
        <w:t xml:space="preserve">وَ لاٰ تَقْرَبُوا </w:t>
      </w:r>
      <w:r>
        <w:rPr>
          <w:rtl w:val="true"/>
        </w:rPr>
        <w:t>]</w:t>
      </w:r>
      <w:bookmarkEnd w:id="88"/>
    </w:p>
    <w:p>
      <w:pPr>
        <w:pStyle w:val="BookText"/>
        <w:rPr/>
      </w:pPr>
      <w:r>
        <w:rPr>
          <w:rFonts w:ascii="Amiri" w:hAnsi="Amiri" w:eastAsia="Amiri" w:cs="Amiri"/>
          <w:color w:val="111111"/>
          <w:sz w:val="28"/>
          <w:sz w:val="28"/>
          <w:szCs w:val="28"/>
          <w:rtl w:val="true"/>
          <w:lang w:bidi="ar-SA"/>
        </w:rPr>
        <w:t>و في اعتبار المصلحة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w:t>
      </w:r>
      <w:r>
        <w:rPr>
          <w:rStyle w:val="FootnoteAnchor"/>
          <w:rtl w:val="true"/>
        </w:rPr>
        <w:footnoteReference w:id="264"/>
      </w:r>
      <w:r>
        <w:rPr>
          <w:rFonts w:ascii="Amiri" w:hAnsi="Amiri" w:eastAsia="Amiri" w:cs="Amiri"/>
          <w:color w:val="111111"/>
          <w:sz w:val="28"/>
          <w:sz w:val="28"/>
          <w:szCs w:val="28"/>
          <w:rtl w:val="true"/>
          <w:lang w:bidi="ar-SA"/>
        </w:rPr>
        <w:t>و لكن استفادة هذا المطلب من الآية يستدعي التعرّض لبيان الاحتمالات الجارية فيها ثمّ ترجيح بعضها على بعض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يحتمل لمعان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التصرّفات الوجوديّة في مال اليتيم معامليّة موجبة للنقل و الانتقال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التصرّفات المعامليّة الموجبة لهما من بيع أو صلح أو إجارة أو استقراض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على مال اليتيم ممّن كان بعيدا منه على معنى إدخاله تحت اليد بعد أن لم يكن له عليه يد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الأمر الاختياري المتعلّق بمال اليتيم من فعل أو ترك، و معنى الآية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تختاروا في مال اليتيم أمرا اختياريّا فعلا أو تركا، و الفرق بين هذا المعنى </w:t>
      </w:r>
      <w:bookmarkStart w:id="89" w:name="pg16181_154435"/>
    </w:p>
    <w:p>
      <w:pPr>
        <w:pStyle w:val="BookText"/>
        <w:rPr/>
      </w:pPr>
      <w:bookmarkEnd w:id="89"/>
      <w:r>
        <w:rPr>
          <w:rFonts w:ascii="Amiri" w:hAnsi="Amiri" w:eastAsia="Amiri" w:cs="Amiri"/>
          <w:color w:val="111111"/>
          <w:sz w:val="28"/>
          <w:sz w:val="28"/>
          <w:szCs w:val="28"/>
          <w:rtl w:val="true"/>
          <w:lang w:bidi="ar-SA"/>
        </w:rPr>
        <w:t>و المعاني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على هذا المعنى يتناول ترك التصرّف في مال اليتيم أيضا و إبقاءه على حاله أو عند شخص، فلا يجوز شيء من ذلك إلاّ بالطريقة الّتي هي أحسن بخلاف غيره من المعاني الاخر، فلو دار الأمر على المعنى الأخير بين بيعه أو تركه أو بين نقله من مكان إلى آخر أو إبقائه على حاله كان جواز كلّ من ذلك منوطا بكونه أحسن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لأن يراد منه التفضيل كما هو حقيقة أفعل التفضيل، و لأن يراد منه معنى الحسن و هو المعنى الوصفي المعرّى عن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يراد به أفضليّة التصرّف الخاص بالإضافة إلى تركه خاصّة، أو يراد به الأفضليّة بالإضافة إلى غيره من تركه أو سائر التصرّفات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يراد به ما فيه مصلحة، أو يراد به ما لا مفسدة فيه بملاحظة أنّ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حرج في فعله، على ما ذكر في محلّه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 w:name="__RefHeading___Toc2586469_1280447820"/>
      <w:bookmarkStart w:id="91" w:name="_Toc33"/>
      <w:bookmarkEnd w:id="90"/>
      <w:r>
        <w:rPr>
          <w:rtl w:val="true"/>
        </w:rPr>
        <w:t>[</w:t>
      </w:r>
      <w:r>
        <w:rPr>
          <w:rtl w:val="true"/>
        </w:rPr>
        <w:t>أقرب المحتملات في الآية الشريفة</w:t>
      </w:r>
      <w:r>
        <w:rPr>
          <w:rtl w:val="true"/>
        </w:rPr>
        <w:t>]</w:t>
      </w:r>
      <w:bookmarkEnd w:id="91"/>
    </w:p>
    <w:p>
      <w:pPr>
        <w:pStyle w:val="BookText"/>
        <w:rPr/>
      </w:pPr>
      <w:r>
        <w:rPr>
          <w:rFonts w:ascii="Amiri" w:hAnsi="Amiri" w:eastAsia="Amiri" w:cs="Amiri"/>
          <w:color w:val="111111"/>
          <w:sz w:val="28"/>
          <w:sz w:val="28"/>
          <w:szCs w:val="28"/>
          <w:rtl w:val="true"/>
          <w:lang w:bidi="ar-SA"/>
        </w:rPr>
        <w:t xml:space="preserve">و الأظهر من محتملات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الاحتمال الأوّل لأنّه المتبادر في متفاهم العرف من نحو تركيب الآية و نظائرها، كما أنّ الظاهر من محتملات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التفضيل بالنسبة إلى كلّ ما عدى المفضّل، أعمّ من تركه و من سائر التصرّفات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ظهور أصل التفضيل فلأنّه المعنى الحقيقي فلا يصرف عنه من غير صارف إلى غيره لأصالة الحقيقة، و أمّا ظهور كونه بالقياس إلى كلّ ما عدى المفضّل فلإطلاق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و عدم تقييده بقيد عدمي و لا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سائر محتملات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فبعيدة عن اللفظ خصوصا الاحتمال الأخير و بعده الاحتمال الثالث</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فلو باع مال اليتيم بعشرة دراهم لمصلحة في أصل المبايعة ثمّ أراد تبديل الدراهم بالدينار بطريق بيع الصرف و لم يكن في هذا التبديل مصلحة أصلا على معنى </w:t>
      </w:r>
      <w:bookmarkStart w:id="92" w:name="pg16181_154436"/>
    </w:p>
    <w:p>
      <w:pPr>
        <w:pStyle w:val="BookText"/>
        <w:rPr/>
      </w:pPr>
      <w:bookmarkEnd w:id="92"/>
      <w:r>
        <w:rPr>
          <w:rFonts w:ascii="Amiri" w:hAnsi="Amiri" w:eastAsia="Amiri" w:cs="Amiri"/>
          <w:color w:val="111111"/>
          <w:sz w:val="28"/>
          <w:sz w:val="28"/>
          <w:szCs w:val="28"/>
          <w:rtl w:val="true"/>
          <w:lang w:bidi="ar-SA"/>
        </w:rPr>
        <w:t>مساواة الدراهم و الدينار بالإضافة إلى حال اليتيم و عدم اشتمال أحدهما على مصلحة، لم يكن هذا التبديل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أنّه في ابتداء البيع تردّد بين البيع بالدراهم و البيع بالدينار مع وجود المصلحة في أصل البيع و تساوي الفردين و عدم اشتمال أحدهما على مزيّة تخيّر بينهما، لأنّ القدر المشترك بين الفردين المتساويين إذا كان جائزا فهو يقتضي التخيير بينهما في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باعه بعشرة دراهم لمصلحة فيه ثمّ ظهر أنّ في تبديل الدراهم بالدينار مصلحة اخرى جاز ذلك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ظهر له من حين البيع أنّ في أصل بيعه مصلحة، و في بيعه بالدينار مصلحة اخرى زائدة على مصلحة أصل البيع، فهل لا يجوز بيعه إلاّ بالدينار تحصيلا لمصلحة الفرد الزائدة على مصلحة الجنس، أو يجوز بيعه بالدراهم أيضا اكتفاء بمصلحة الجنس‌؟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التفضيل بالقياس إلى غير المفضّل مطلقا، و من اعتباره بالنسبة إلى تركه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الأظهر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الحكم في الفرع الآخر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لليتيم دار كان بيعها و أخذ الثمن و الاسترباح منه لصرف الربح في مصارفه مصلحة له، و كان إبقاؤها على حالها ثمّ إجارتها لأن يصرف وجه الإجارة في مصارفه أيضا مصلحة له، مع كون ذلك أصلح له على معنى اشتماله على مزيّة و مصلحة زائدة على مصلحة البيع، كان ذلك متعيّنا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فلم يجز البيع</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2586471_1280447820"/>
      <w:bookmarkStart w:id="94" w:name="_Toc34"/>
      <w:bookmarkEnd w:id="93"/>
      <w:r>
        <w:rPr>
          <w:rtl w:val="true"/>
        </w:rPr>
        <w:t>[</w:t>
      </w:r>
      <w:r>
        <w:rPr>
          <w:rtl w:val="true"/>
        </w:rPr>
        <w:t>بيان القاعدة الكلّيّة المستفادة من الآية الشريفة</w:t>
      </w:r>
      <w:r>
        <w:rPr>
          <w:rtl w:val="true"/>
        </w:rPr>
        <w:t>]</w:t>
      </w:r>
      <w:bookmarkEnd w:id="94"/>
    </w:p>
    <w:p>
      <w:pPr>
        <w:pStyle w:val="BookText"/>
        <w:rPr/>
      </w:pPr>
      <w:r>
        <w:rPr>
          <w:rFonts w:ascii="Amiri" w:hAnsi="Amiri" w:eastAsia="Amiri" w:cs="Amiri"/>
          <w:color w:val="111111"/>
          <w:sz w:val="28"/>
          <w:sz w:val="28"/>
          <w:szCs w:val="28"/>
          <w:rtl w:val="true"/>
          <w:lang w:bidi="ar-SA"/>
        </w:rPr>
        <w:t>و بالجملة فاستفيد من الآية</w:t>
      </w:r>
      <w:r>
        <w:rPr>
          <w:rStyle w:val="FootnoteAnchor"/>
          <w:rtl w:val="true"/>
        </w:rPr>
        <w:footnoteReference w:id="266"/>
      </w: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كلّي و قاعدة كلّية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التصرّف في مال اليتيم كائنا ما كان منوط بالمصلحة، و بعبارة اخرى كون مناط جواز التصرّف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مناط حرمة التصرّف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نعالج التعارض المتوهّم في حسنة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bookmarkStart w:id="95" w:name="pg16181_154437"/>
    </w:p>
    <w:p>
      <w:pPr>
        <w:pStyle w:val="BookText"/>
        <w:rPr/>
      </w:pPr>
      <w:bookmarkEnd w:id="95"/>
      <w:r>
        <w:rPr>
          <w:rFonts w:ascii="Amiri" w:hAnsi="Amiri" w:eastAsia="Amiri" w:cs="Amiri"/>
          <w:color w:val="111111"/>
          <w:sz w:val="28"/>
          <w:sz w:val="28"/>
          <w:szCs w:val="28"/>
          <w:rtl w:val="true"/>
          <w:lang w:bidi="ar-SA"/>
        </w:rPr>
        <w:t>لندخل على أخ لنا في بيت أيتام و معه خادم لهم فنقعد على بساطهم و نشرب من مائهم و يخدمنا خادمهم، و ربّما طعمنا فيه الطعام من عند صاحبنا و فيه من طعامهم، فما ترى في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دخولكم عليهم منفعة لهم فلا بأس، و إن كان فيه ضرر فلا</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بين الشرطيّة الاولى لظهورها في إناطة جواز التصرّف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الشرطيّة الثانية لظهورها في إناطة حرمة التصرّف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فيتعارضان فيما ليس بنافع و لا بمضرّ، و وجه العلاج تارة منع أصل التعارض بين الشرطيّتين، و اخرى إمكان جمع صحيح بينهما</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2586473_1280447820"/>
      <w:bookmarkStart w:id="97" w:name="_Toc35"/>
      <w:bookmarkEnd w:id="96"/>
      <w:r>
        <w:rPr>
          <w:rtl w:val="true"/>
        </w:rPr>
        <w:t>[</w:t>
      </w:r>
      <w:r>
        <w:rPr>
          <w:rtl w:val="true"/>
        </w:rPr>
        <w:t>علاج التعارض في حسنة الكاهلي</w:t>
      </w:r>
      <w:r>
        <w:rPr>
          <w:rtl w:val="true"/>
        </w:rPr>
        <w:t>]</w:t>
      </w:r>
      <w:bookmarkEnd w:id="97"/>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 الشرطيّة الثانية مناقضة للاولى بل هي عين مفهوم الاولى صرّح به في الكلام و عبّر عنه بالقضيّة الملفوظة بناء على أن يكون المراد من النفع الّذي علّق عليه الجواز هو أن يصل إلى الأيتام عوض ما يستلزمه الدخول في بيتهم من التصرّفات الّتي يتعلّق بها اجرة المثل و عوض ما يشربه الداخل من الماء و ما يطعمه من الطعام و اجرة استخدام الخادم، و يكون المراد من الضرر الّذي علّق عليه عدم الجواز عدم وصول ذلك العوض إليهم، و هذا كما ترى عين مفهوم هذه الشرطيّة، فليس للشرطيّتين مدلولان متنافيان و لا مفهومان متناقضان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التعارض بين الشرطيّتين على تقدير تسليمه إنّما وقع بين مفهوميهما من باب تعارض العامّين من وجه لكون مفهوم الشرطيّة الاولى عدم جواز الدخول في بيتهم مع عدم النفع سواء كان معه ضرر أو لا؟ و مفهوم الثانية جواز الدخول مع عدم الضرر سواء تحقّق معه نفع أو لا؟ فيتعارضان في مادّة الاجتماع و هو ما لا نفع فيه و لا ضرر، و يجمع بينهما بإرجاع التخصيص إلى مفهوم الثانية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الشاهد لذلك التخصيص هو الآية</w:t>
      </w:r>
      <w:r>
        <w:rPr>
          <w:rStyle w:val="FootnoteAnchor"/>
          <w:rtl w:val="true"/>
        </w:rPr>
        <w:footnoteReference w:id="268"/>
      </w:r>
      <w:r>
        <w:rPr>
          <w:rFonts w:ascii="Amiri" w:hAnsi="Amiri" w:eastAsia="Amiri" w:cs="Amiri"/>
          <w:color w:val="111111"/>
          <w:sz w:val="28"/>
          <w:sz w:val="28"/>
          <w:szCs w:val="28"/>
          <w:rtl w:val="true"/>
          <w:lang w:bidi="ar-SA"/>
        </w:rPr>
        <w:t xml:space="preserve">الشريفة القاضية بإناطة جواز التصرّف </w:t>
      </w:r>
      <w:bookmarkStart w:id="98" w:name="pg16181_154438"/>
    </w:p>
    <w:p>
      <w:pPr>
        <w:pStyle w:val="BookText"/>
        <w:rPr/>
      </w:pPr>
      <w:bookmarkEnd w:id="98"/>
      <w:r>
        <w:rPr>
          <w:rFonts w:ascii="Amiri" w:hAnsi="Amiri" w:eastAsia="Amiri" w:cs="Amiri"/>
          <w:color w:val="111111"/>
          <w:sz w:val="28"/>
          <w:sz w:val="28"/>
          <w:szCs w:val="28"/>
          <w:rtl w:val="true"/>
          <w:lang w:bidi="ar-SA"/>
        </w:rPr>
        <w:t>بوجود النفع، و هذا يصلح أيضا شاهدا للتأويل المتقدّم</w:t>
      </w:r>
      <w:r>
        <w:rPr>
          <w:rStyle w:val="FootnoteAnchor"/>
          <w:rtl w:val="true"/>
        </w:rPr>
        <w:footnoteReference w:id="269"/>
      </w:r>
      <w:r>
        <w:rPr>
          <w:rFonts w:ascii="Amiri" w:hAnsi="Amiri" w:eastAsia="Amiri" w:cs="Amiri"/>
          <w:color w:val="111111"/>
          <w:sz w:val="28"/>
          <w:sz w:val="28"/>
          <w:szCs w:val="28"/>
          <w:rtl w:val="true"/>
          <w:lang w:bidi="ar-SA"/>
        </w:rPr>
        <w:t xml:space="preserve">الّذي عليه مبنيّ منع أصل التعارض حسبما بيّنّاه، و لكن أظهر التأويلين هو الثاني لرجوع الأوّل إلى حمل القضيّة الظاهرة في تعليق عدم الجواز على أمر وجودي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تعليقه على أمر عدمي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وصول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بعيد جدّا، و أمّا التأويل الثاني فليس بذلك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تقدّم من صحيحة</w:t>
      </w:r>
      <w:r>
        <w:rPr>
          <w:rStyle w:val="FootnoteAnchor"/>
          <w:rtl w:val="true"/>
        </w:rPr>
        <w:footnoteReference w:id="270"/>
      </w:r>
      <w:r>
        <w:rPr>
          <w:rFonts w:ascii="Amiri" w:hAnsi="Amiri" w:eastAsia="Amiri" w:cs="Amiri"/>
          <w:color w:val="111111"/>
          <w:sz w:val="28"/>
          <w:sz w:val="28"/>
          <w:szCs w:val="28"/>
          <w:rtl w:val="true"/>
          <w:lang w:bidi="ar-SA"/>
        </w:rPr>
        <w:t>أبي حمزة الثمالي القاضية بحرمة التصرّف مع الفساد فلا ينافي مدلول الآية من إناطة جواز التصرّف بوجود المصلحة، لأنّ قضيّة ذلك عدم جواز التصرّف مع عدم المصلحة سواء اشتمل على المفسدة أو لا، فمفاد الرواية مندرج في مدلول الآية و يوافقه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بقى في المقام أمران</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2586475_1280447820"/>
      <w:bookmarkStart w:id="100" w:name="_Toc36"/>
      <w:bookmarkEnd w:id="99"/>
      <w:r>
        <w:rPr>
          <w:rtl w:val="true"/>
        </w:rPr>
        <w:t>[</w:t>
      </w:r>
      <w:r>
        <w:rPr>
          <w:rtl w:val="true"/>
        </w:rPr>
        <w:t>التصرّف الواجب من الوليّ في فرض المصلحة</w:t>
      </w:r>
      <w:r>
        <w:rPr>
          <w:rtl w:val="true"/>
        </w:rPr>
        <w:t>]</w:t>
      </w:r>
      <w:bookmarkEnd w:id="100"/>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ثبت للوليّ جواز التصرّف المشتمل على المصلحة في مال المولّى عليه فهل هذا التصرّف واجب عليه فيجب عليه الاسترباح في نقديه و استنماء ملكه بزرع أو غرس أو نحو ذلك أو لا؟ لم نقف في الأصحاب على مصرّح بالوجوب، و لا في النصوص و الروايات على ما يدلّ عليه، فأصالة البراءة تنفي احتماله و احتمال العقاب المحتمل ترتّبه على تركه، فالوجه هو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الآية</w:t>
      </w:r>
      <w:r>
        <w:rPr>
          <w:rStyle w:val="FootnoteAnchor"/>
          <w:rtl w:val="true"/>
        </w:rPr>
        <w:footnoteReference w:id="271"/>
      </w:r>
      <w:r>
        <w:rPr>
          <w:rFonts w:ascii="Amiri" w:hAnsi="Amiri" w:eastAsia="Amiri" w:cs="Amiri"/>
          <w:color w:val="111111"/>
          <w:sz w:val="28"/>
          <w:sz w:val="28"/>
          <w:szCs w:val="28"/>
          <w:rtl w:val="true"/>
          <w:lang w:bidi="ar-SA"/>
        </w:rPr>
        <w:t>المتقدّمة ما ينافيه، إذ قصارى ما استفيد منه هو جواز التصرّف مع وجود المصلحة، و هو لا يلازم الوجوب بتقريب أنّ الاستثناء من التحريم لا يفيد إلاّ إثبات الجواز و هو أعمّ من الوجوب، و الأعمّ لا يستلزم الأخصّ‌</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خرج من القاعدة الكلّية المستفادة من الآية شيء من التصرّفات من مطلق الأولياء بأن يكتفي فيه بعدم المفسدة، أو بعض الأولياء في مطلق التصرّفات بأن يكتفي منه بعدم المفسدة أو لا؟ فيه خلاف، مذهب الأكثر و منهم الشيخ </w:t>
      </w:r>
    </w:p>
    <w:p>
      <w:pPr>
        <w:pStyle w:val="BookText"/>
        <w:rPr/>
      </w:pPr>
      <w:r>
        <w:rPr>
          <w:rFonts w:ascii="Amiri" w:hAnsi="Amiri" w:eastAsia="Amiri" w:cs="Amiri"/>
          <w:color w:val="111111"/>
          <w:sz w:val="28"/>
          <w:sz w:val="28"/>
          <w:szCs w:val="28"/>
          <w:rtl w:val="true"/>
          <w:lang w:bidi="ar-SA"/>
        </w:rPr>
        <w:t>و الحلّي في المبسوط</w:t>
      </w:r>
      <w:r>
        <w:rPr>
          <w:rStyle w:val="FootnoteAnchor"/>
          <w:rtl w:val="true"/>
        </w:rPr>
        <w:footnoteReference w:id="272"/>
      </w:r>
      <w:r>
        <w:rPr>
          <w:rFonts w:ascii="IRNazanin" w:hAnsi="IRNazanin" w:eastAsia="IRNazanin"/>
          <w:color w:val="111111"/>
          <w:sz w:val="28"/>
          <w:sz w:val="28"/>
          <w:szCs w:val="28"/>
          <w:rtl w:val="true"/>
          <w:lang w:bidi="fa-IR"/>
        </w:rPr>
        <w:t>و السرائر</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عرفت</w:t>
      </w:r>
      <w:r>
        <w:rPr>
          <w:rStyle w:val="FootnoteAnchor"/>
          <w:rtl w:val="true"/>
        </w:rPr>
        <w:footnoteReference w:id="274"/>
      </w:r>
      <w:r>
        <w:rPr>
          <w:rFonts w:ascii="Amiri" w:hAnsi="Amiri" w:eastAsia="Amiri" w:cs="Amiri"/>
          <w:color w:val="111111"/>
          <w:sz w:val="28"/>
          <w:sz w:val="28"/>
          <w:szCs w:val="28"/>
          <w:rtl w:val="true"/>
          <w:lang w:bidi="ar-SA"/>
        </w:rPr>
        <w:t>حيث اعتبروا في تصرفات الوليّ وجود المصلحة و أطلقوا، بل الشيخ في المبسوط</w:t>
      </w:r>
      <w:r>
        <w:rPr>
          <w:rStyle w:val="FootnoteAnchor"/>
          <w:rtl w:val="true"/>
        </w:rPr>
        <w:footnoteReference w:id="275"/>
      </w:r>
      <w:r>
        <w:rPr>
          <w:rFonts w:ascii="Amiri" w:hAnsi="Amiri" w:eastAsia="Amiri" w:cs="Amiri"/>
          <w:color w:val="111111"/>
          <w:sz w:val="28"/>
          <w:sz w:val="28"/>
          <w:szCs w:val="28"/>
          <w:rtl w:val="true"/>
          <w:lang w:bidi="ar-SA"/>
        </w:rPr>
        <w:t xml:space="preserve">صرّح بالتعميم بالنسبة إلى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العدم، و قد تقدّم</w:t>
      </w:r>
      <w:r>
        <w:rPr>
          <w:rStyle w:val="FootnoteAnchor"/>
          <w:rtl w:val="true"/>
        </w:rPr>
        <w:footnoteReference w:id="276"/>
      </w:r>
      <w:r>
        <w:rPr>
          <w:rFonts w:ascii="Amiri" w:hAnsi="Amiri" w:eastAsia="Amiri" w:cs="Amiri"/>
          <w:color w:val="111111"/>
          <w:sz w:val="28"/>
          <w:sz w:val="28"/>
          <w:szCs w:val="28"/>
          <w:rtl w:val="true"/>
          <w:lang w:bidi="ar-SA"/>
        </w:rPr>
        <w:t>استظهار الإجماع عليه تارة، و عدم الخلاف فيه بين المسلمين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مقابله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الاقتراض مع الملاءة من مطلق الأولياء فيكفي فيه عدم الإضرار و لا يعتبر معه وجود النفع، عزي اختياره إلى الشيخ جعفر النجفي في شرحه للقواعد</w:t>
      </w:r>
      <w:r>
        <w:rPr>
          <w:rStyle w:val="FootnoteAnchor"/>
          <w:rtl w:val="true"/>
        </w:rPr>
        <w:footnoteReference w:id="277"/>
      </w:r>
      <w:r>
        <w:rPr>
          <w:rFonts w:ascii="Amiri" w:hAnsi="Amiri" w:eastAsia="Amiri" w:cs="Amiri"/>
          <w:color w:val="111111"/>
          <w:sz w:val="28"/>
          <w:sz w:val="28"/>
          <w:szCs w:val="28"/>
          <w:rtl w:val="true"/>
          <w:lang w:bidi="ar-SA"/>
        </w:rPr>
        <w:t>بل يظهر الجزم به من ثاني الشهيدين في المسالك و لكن في خصوص الوصيّ حيث ذكره في شرح عبارة الشرائع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الوصيّ لا يمضي تصرّفه إلاّ بعد الوفاة</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يجوز أن يقوّم على نفسه و أن يقترض إذا كان مليّا</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الشارح في شرح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يصحّ له التقويم على نفسه مع كون البيع مصلحة للطفل إذ لا يصحّ بيع ماله بدونها مطلقا، أمّا الاقتراض فشرطه عدم الإضرار بالطفل و إن لم تكن المصلحة موجودة</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 مختاره عموم الجواز بالقياس إلى مطلق الأولياء و إنّما ذكره في أحكام الوصيّ تبعا لعبارة المتن من دون اختصاص له بالوصيّ‌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تصرّفات الأب و الجدّ مطلقا فيكفي في جوازها أيضا عدم المفسدة و لا يشترط وجود المصلحة، عزي اختياره إلى أوّل الشهيدين</w:t>
      </w:r>
      <w:r>
        <w:rPr>
          <w:rStyle w:val="FootnoteAnchor"/>
          <w:rtl w:val="true"/>
        </w:rPr>
        <w:footnoteReference w:id="281"/>
      </w:r>
      <w:r>
        <w:rPr>
          <w:rFonts w:ascii="Amiri" w:hAnsi="Amiri" w:eastAsia="Amiri" w:cs="Amiri"/>
          <w:color w:val="111111"/>
          <w:sz w:val="28"/>
          <w:sz w:val="28"/>
          <w:szCs w:val="28"/>
          <w:rtl w:val="true"/>
          <w:lang w:bidi="ar-SA"/>
        </w:rPr>
        <w:t>ثمّ إلى الشيخ المتقدّم ذكره، و تبعه غير واحد من مشايخنا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أنّ مرجع هذين القولين إلى تخصيص آخر في آية وَ لاٰ تَقْرَبُوا مٰالَ اَلْيَتِيمِ‌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بل تخصيصين آخرين زيادة على التخصيص الوارد عليها من جهة الاستثناء، بل الظاهر أنّ هذين التخصيصين يردان على المستثنى لا على المستثنى منه فلا بدّ لهما من شاهد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التخصيص الأوّل فالظاهر أنّ مبناه على إطلاق ما دلّ على جواز الاقتراض للوليّ من مال الطفل مطلقا، من النصوص 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 الكافي في الصحيح عن منصور بن حازم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عبد اللّه عليه السّلام في رجل ولّي مال يتيم أ يستقرض منه‌؟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 السّلام قد كان يستقرض من مال أيتام كانوا في حجره فلا بأس بذلك</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فإنّ إطلاق نفي البأس يقتضي جواز اقتراض الوليّ مع وجود النفع و مع عدمه، بل و مع الإضرار أيضا، غاية الأمر أنّه خرج منه صورة الإضرار بالإجماع و النصّ الّذي منه التعليل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صحيح أبي حمزة المتقدّم</w:t>
      </w:r>
      <w:r>
        <w:rPr>
          <w:rStyle w:val="FootnoteAnchor"/>
          <w:rtl w:val="true"/>
        </w:rPr>
        <w:footnoteReference w:id="285"/>
      </w:r>
      <w:r>
        <w:rPr>
          <w:rFonts w:ascii="Amiri" w:hAnsi="Amiri" w:eastAsia="Amiri" w:cs="Amiri"/>
          <w:color w:val="111111"/>
          <w:sz w:val="28"/>
          <w:sz w:val="28"/>
          <w:szCs w:val="28"/>
          <w:rtl w:val="true"/>
          <w:lang w:bidi="ar-SA"/>
        </w:rPr>
        <w:t>و بقى الباقي و منه صورة عدم النفع مع عدم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مستند هذا القول إلاّ أنّ الكلام في نهوضه لتخصيص الآية، و الظاهر أنّ طريقه أنّ الآية بالاستثناء تدلّ على اشتراط مطلق تصرّفات مطلق الوليّ في مال اليتيم بوجود النفع و المصلحة، و هذا عامّ و الرواية مجوّزة لخصوص الاقتراض فتكون أخصّ مطلقا، و من البيّن تقدّم الخاصّ على العامّ فلا بدّ من تخصيص الآية بالرواية، فالمتّجه في الاقتراض هو كفاية عدم الإضرار في جوازه و لا يعتبر معه وجود النفع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النسبة بين الرواية و الآية حينئذ عموم و خصوص من وجه، إذ الرواية خاصّ بالاقتراض عامّ في صورتي وجود النفع و عدم وجوده، و الآية خاصّ بصورة وجود النفع عامّ في الاقتراض عنه و من سائر التصرّفات و يجتمعان في الاقتراض الخالي عن النفع، و يمكن إرجاع التخصيص إلى الآية لشاهد داخلي و هو كون الرواية أقلّ أفرادا من الآية فيكون أظهر دلالة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إلاّ أنّ الأحوط مراعاة وجود النفع خروجا عن شبهة مخالفة الإجماع أو مخالفة الواقع، و إنّما المعضل هو إثبات التخصيص الثاني بالقياس إلى مطلق تصرّفات الأب و الجدّ فإنّ دليله لا يخلو عن خفاء، إذ لم نقف على دليل عليه إلاّ ما اعتمد عليه شيخنا في متاجره</w:t>
      </w:r>
      <w:r>
        <w:rPr>
          <w:rStyle w:val="FootnoteAnchor"/>
          <w:rtl w:val="true"/>
        </w:rPr>
        <w:footnoteReference w:id="286"/>
      </w:r>
      <w:r>
        <w:rPr>
          <w:rFonts w:ascii="Amiri" w:hAnsi="Amiri" w:eastAsia="Amiri" w:cs="Amiri"/>
          <w:color w:val="111111"/>
          <w:sz w:val="28"/>
          <w:sz w:val="28"/>
          <w:szCs w:val="28"/>
          <w:rtl w:val="true"/>
          <w:lang w:bidi="ar-SA"/>
        </w:rPr>
        <w:t>من مطلقات ولاية الأب الظاهرة في سلطنة الوالد على الولد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رواية سعيد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يحجّ الرجل من مال ابنه و هو صغير؟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حجّة الإسلام و ينفق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يحجّ منه و ينفق منه، إنّ مال الولد للوالد و ليس للولد أن يأخذ من مال والده إلاّ بإذنه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محمّد 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يحتاج إلى مال ابنه،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ما شاء من غير 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أنّ الولد لا يأخذ من مال والده شيئا إلاّ بإذنه، و الوالد يأخذ من مال ابنه ما شاء، و له أن يقع على جارية ابنه إذا لم يكن الابن وقع عليها، و ذكر أنّ رسول اللّه صلّى اللّه عليه و آله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أبي حمزة الثمالي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قال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يأخذ من مال ابنه إلاّ ما احتاج إليه ممّا لا بدّ منه، إنّ اللّه لا يحبّ الفساد</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الحسين بن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مال ولده‌؟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بغير سرف إذا اضطرّ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صلّى اللّه عليه و آله </w:t>
      </w:r>
      <w:bookmarkStart w:id="101" w:name="pg16181_154442"/>
    </w:p>
    <w:p>
      <w:pPr>
        <w:pStyle w:val="BookText"/>
        <w:rPr/>
      </w:pPr>
      <w:bookmarkEnd w:id="101"/>
      <w:r>
        <w:rPr>
          <w:rFonts w:ascii="Amiri" w:hAnsi="Amiri" w:eastAsia="Amiri" w:cs="Amiri"/>
          <w:color w:val="111111"/>
          <w:sz w:val="28"/>
          <w:sz w:val="28"/>
          <w:szCs w:val="28"/>
          <w:rtl w:val="true"/>
          <w:lang w:bidi="ar-SA"/>
        </w:rPr>
        <w:t>للرجل الّذي أتاه، فقدم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بأبيه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أبي و قد ظلمني ميراثي عن امّي، فأخبره الأب أنّه قد أنفقه عليه و على نفسه،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و لم يكن عند الرجل شيء أو كان رسول اللّه صلّى اللّه عليه و آله يحبس الأب للابن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الرضا عليه السّلام كتب إليه فيما كتب من جواب مسائله، و علّة تحليل مال الولد لوالده بغير إذنه و ليس ذلك للولد لأنّ الولد موهوب للوالد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لِمَنْ يَشٰاءُ إِنٰاثاً وَ يَهَبُ لِمَنْ يَشٰاءُ اَلذُّكُورَ </w:t>
      </w:r>
      <w:r>
        <w:rPr>
          <w:rStyle w:val="FootnoteAnchor"/>
          <w:rtl w:val="true"/>
        </w:rPr>
        <w:footnoteReference w:id="291"/>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 النبيّ صلّى اللّه عليه و آله أنت و مالك لأبيك، و ليس للوالدة مثل ذلك لا تأخذ من ماله شيئا إلاّ بإذنه أو بإذن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إسحاق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الوالد يحلّ له من مال ولده إذا احتاج إليه‌؟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 له جارية فأراد أن ينكحها قوّمها على نفسه و يعلن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للرجل جارية فأبوه أملك بها أن يقع عليها ما لم يمسّها الابن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 w:name="__RefHeading___Toc2586477_1280447820"/>
      <w:bookmarkStart w:id="103" w:name="_Toc37"/>
      <w:bookmarkEnd w:id="102"/>
      <w:r>
        <w:rPr>
          <w:rtl w:val="true"/>
        </w:rPr>
        <w:t>[</w:t>
      </w:r>
      <w:r>
        <w:rPr>
          <w:rtl w:val="true"/>
        </w:rPr>
        <w:t>المناقشة في الروايات</w:t>
      </w:r>
      <w:r>
        <w:rPr>
          <w:rtl w:val="true"/>
        </w:rPr>
        <w:t>]</w:t>
      </w:r>
      <w:bookmarkEnd w:id="10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في نهوض هذه المطلقات لإثبات أصل الولاية للأب نظر فضلا عن عمومها للتصرّفات الماليّة الغير المنوطة بالمصلحة، لأنّ قصارى ما يثبت بها إنّما هو حكم تكليفي خاصّ بالوالد في ماله ولده و هو تحليله له في موضع حاجته و جواز صرفه على نفسه بقدر حاجته فهي مسوقة لإعطاء هذا الحكم التكليفي كما يرشد إليه إطلاقها بالقياس إلى بلوغ الولد، بل ظهور بعضها في البالغ كالفارقة بين الوالد و الولد بالجواز </w:t>
      </w:r>
      <w:bookmarkStart w:id="104" w:name="pg16181_154443"/>
    </w:p>
    <w:p>
      <w:pPr>
        <w:pStyle w:val="BookText"/>
        <w:rPr/>
      </w:pPr>
      <w:bookmarkEnd w:id="104"/>
      <w:r>
        <w:rPr>
          <w:rFonts w:ascii="Amiri" w:hAnsi="Amiri" w:eastAsia="Amiri" w:cs="Amiri"/>
          <w:color w:val="111111"/>
          <w:sz w:val="28"/>
          <w:sz w:val="28"/>
          <w:szCs w:val="28"/>
          <w:rtl w:val="true"/>
          <w:lang w:bidi="ar-SA"/>
        </w:rPr>
        <w:t>للأوّل بدون إذن الولد و عدمه للثاني بدون إذن الوالد، و المقيّدة لنكاح جارية الابن بعدم مسّه إيّاها، و ما دلّ منها على عدم جواز ذلك للوالدة إلاّ بإذن الولد أو إذن أبيه، و كيف كان فللمناقشة في دلالة الأخبار المذكورة على مطلوبهم 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تدلّ على عموم ولاية الأب بطريق الفحوى، بتقريب أنّها تدلّ على اختيار الأب في صرف مال الابن على نفسه فاختياره في حفظ ذلك المال و التصرّف فيه بما يرجع إلى الابن فيه طريق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المذكورة و ما بمعناها بمقتضى ظاهر سياقاتها مسوقة لبيان توسعة دائرة ولاية الأب بالقياس إلى سائر الأولياء على معنى أنّ دائرة ولايته أوسع حتّى أنّه رخّص في صرف مال المولّى عليه على نفسه عند الحاجة بخلاف سائر الأولياء لعدم ثبوت ذلك الحكم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يتمسّك لإثبات عموم الولاية بما استفاض عن الرسول صلّى اللّه عليه و آله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بتقريب أنّ اللام ليست للملك و لا الاختصاص، لوضوح أنّ الولد و ماله ليسا ملكين للوالد و لا أنّ ماله مختصّ به فلا بدّ من صرفها عن الملكيّة إلى ما هو من لوازم الملكيّة و هي السلطنة التامّة على نفس الولد و ماله المقتضية لجواز عموم التصرّفات في ذلك المال بل في نفس الولد أيضا، غاية الأمر أنّه خرج منها ما لا يجوز في زمان الصغر أو فيما بعد البلوغ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التقرير أظهر من سابقيه فعليه المعوّل</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2586479_1280447820"/>
      <w:bookmarkStart w:id="106" w:name="_Toc38"/>
      <w:bookmarkEnd w:id="105"/>
      <w:r>
        <w:rPr>
          <w:rtl w:val="true"/>
        </w:rPr>
        <w:t>[</w:t>
      </w:r>
      <w:r>
        <w:rPr>
          <w:rtl w:val="true"/>
        </w:rPr>
        <w:t>الاستدلال على تعميم ولاية الأب للجدّ</w:t>
      </w:r>
      <w:r>
        <w:rPr>
          <w:rtl w:val="true"/>
        </w:rPr>
        <w:t>]</w:t>
      </w:r>
      <w:bookmarkEnd w:id="106"/>
    </w:p>
    <w:p>
      <w:pPr>
        <w:pStyle w:val="BookText"/>
        <w:rPr/>
      </w:pPr>
      <w:r>
        <w:rPr>
          <w:rFonts w:ascii="Amiri" w:hAnsi="Amiri" w:eastAsia="Amiri" w:cs="Amiri"/>
          <w:color w:val="111111"/>
          <w:sz w:val="28"/>
          <w:sz w:val="28"/>
          <w:szCs w:val="28"/>
          <w:rtl w:val="true"/>
          <w:lang w:bidi="ar-SA"/>
        </w:rPr>
        <w:t>و لكن لا يذهب عليك أنّ النصوص المذكورة مختصّة بالأب و لا تشمل الجدّ، فلا بدّ في تعميم الحكم بالنسبة إليه إمّا من انضمام عدم القول بالفصل إن ثبت عدم قائل به، غير أنّه غير واضح بل محلّ منع لما في كلام بعض المشايخ</w:t>
      </w:r>
      <w:r>
        <w:rPr>
          <w:rStyle w:val="FootnoteAnchor"/>
          <w:rtl w:val="true"/>
        </w:rPr>
        <w:footnoteReference w:id="295"/>
      </w:r>
      <w:r>
        <w:rPr>
          <w:rFonts w:ascii="Amiri" w:hAnsi="Amiri" w:eastAsia="Amiri" w:cs="Amiri"/>
          <w:color w:val="111111"/>
          <w:sz w:val="28"/>
          <w:sz w:val="28"/>
          <w:szCs w:val="28"/>
          <w:rtl w:val="true"/>
          <w:lang w:bidi="ar-SA"/>
        </w:rPr>
        <w:t>من أنّه حكى عن بعض متأخّري المتأخّرين القول بالفصل بينهما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الاستناد بما ورد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الجدّ على نكاح صغيرة ابنه مع وجود أبيها، </w:t>
      </w:r>
    </w:p>
    <w:p>
      <w:pPr>
        <w:pStyle w:val="BookText"/>
        <w:rPr/>
      </w:pPr>
      <w:r>
        <w:rPr>
          <w:rFonts w:ascii="Amiri" w:hAnsi="Amiri" w:eastAsia="Amiri" w:cs="Amiri"/>
          <w:color w:val="111111"/>
          <w:sz w:val="28"/>
          <w:sz w:val="28"/>
          <w:szCs w:val="28"/>
          <w:rtl w:val="true"/>
          <w:lang w:bidi="ar-SA"/>
        </w:rPr>
        <w:t>تعليلا بمثل ما ورد في الأب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الولد و ماله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عبيد بن زرارة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ذات يوم عند زياد بن عبيد اللّه الحارثي إذ جاء رجل يستعدي على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أنّ أبي زوّج ابنتي بغير إذني فقال زياد لجلسائه الّذين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فيما يقول هذا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يا أبا عبد اللّه فيما سألني‌؟ فأقبلت على الّذين أجابوه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فيما تروون أنتم عن رسول اللّه صلّى اللّه عليه و آله أنّ رجلا جاء يستعديه على أبيه في مثل هذا،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هو و ماله لأبيه و لا يجوز نكاحه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بقولهم و ترك قولي</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عليّ بن جعفر عن 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أتاه رجلان يخطبان ابنته، فهوى جدّها أن يزوّج أحدهما، و هوى أبوها الآخر، أيّهما أحقّ أن ينكح‌؟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هوى الجدّ أحقّ بالجارية لأنّها و أباها للجدّ</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 أنّ من مقتضى سلطنته الجدّ على الأب سلطنته على ما للأب، سلطنته عليه من مال ابنته و نكاحها و منافع بدنها، و إطلاق المطلقات المذكورة و إن كان يشمل صورة الإضرار بالولد أيضا إلاّ أنّه يخصّص بغير تلك الصورة بالنصّ و الإجماع، فيبقى إطلاقها بالقياس إلى صورة عدم وجود النفع معارضا لإطلاق الآية الناهية عن التصرّفات الغير النافعة، فيحكم ذلك الإطلاق على إطلاق الآية فتخصّص الآية بغير الأب و الجدّ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بأولويّة التقييد من التخصيص و هو يقضي بتعيّن تقييد مطلقات الولاية بصورة وجود النفع و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باشتراطه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دلالة المطلقات على عموم السلطنة، و إلى ما سمعت عن غير واحد من الفحول</w:t>
      </w:r>
      <w:r>
        <w:rPr>
          <w:rStyle w:val="FootnoteAnchor"/>
          <w:rtl w:val="true"/>
        </w:rPr>
        <w:footnoteReference w:id="298"/>
      </w:r>
      <w:r>
        <w:rPr>
          <w:rFonts w:ascii="Amiri" w:hAnsi="Amiri" w:eastAsia="Amiri" w:cs="Amiri"/>
          <w:color w:val="111111"/>
          <w:sz w:val="28"/>
          <w:sz w:val="28"/>
          <w:szCs w:val="28"/>
          <w:rtl w:val="true"/>
          <w:lang w:bidi="ar-SA"/>
        </w:rPr>
        <w:t xml:space="preserve">من استظهار الإجماع تارة و عدم الخلاف بين المسلمين اخرى، و ما عن الفاضل الهندي في </w:t>
      </w:r>
      <w:bookmarkStart w:id="107" w:name="pg16181_154445"/>
    </w:p>
    <w:p>
      <w:pPr>
        <w:pStyle w:val="BookText"/>
        <w:rPr/>
      </w:pPr>
      <w:bookmarkEnd w:id="107"/>
      <w:r>
        <w:rPr>
          <w:rFonts w:ascii="Amiri" w:hAnsi="Amiri" w:eastAsia="Amiri" w:cs="Amiri"/>
          <w:color w:val="111111"/>
          <w:sz w:val="28"/>
          <w:sz w:val="28"/>
          <w:szCs w:val="28"/>
          <w:rtl w:val="true"/>
          <w:lang w:bidi="ar-SA"/>
        </w:rPr>
        <w:t>شرح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المتقدّمين عمّموا الحكم باعتبار المصلحة من دون استثناء</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و ما في المحكيّ عن الحلّي</w:t>
      </w:r>
      <w:r>
        <w:rPr>
          <w:rStyle w:val="FootnoteAnchor"/>
          <w:rtl w:val="true"/>
        </w:rPr>
        <w:footnoteReference w:id="300"/>
      </w:r>
      <w:r>
        <w:rPr>
          <w:rFonts w:ascii="Amiri" w:hAnsi="Amiri" w:eastAsia="Amiri" w:cs="Amiri"/>
          <w:color w:val="111111"/>
          <w:sz w:val="28"/>
          <w:sz w:val="28"/>
          <w:szCs w:val="28"/>
          <w:rtl w:val="true"/>
          <w:lang w:bidi="ar-SA"/>
        </w:rPr>
        <w:t xml:space="preserve">من أنّ هذا هو الّذي يقتضيه اصول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قوّة، بل أقوى مع أنّه أحوط</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2586481_1280447820"/>
      <w:bookmarkStart w:id="109" w:name="_Toc39"/>
      <w:bookmarkEnd w:id="108"/>
      <w:r>
        <w:rPr>
          <w:rtl w:val="true"/>
        </w:rPr>
        <w:t>[</w:t>
      </w:r>
      <w:r>
        <w:rPr>
          <w:rtl w:val="true"/>
        </w:rPr>
        <w:t>الزكاة فيما لو اتّجر الوليّ من أموال المولّى عليه لنفسه</w:t>
      </w:r>
      <w:r>
        <w:rPr>
          <w:rtl w:val="true"/>
        </w:rPr>
        <w:t>]</w:t>
      </w:r>
      <w:bookmarkEnd w:id="10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وليّا و اتّجر لنفسه بعد أن يضمن المال و ينقله إلى نفسه بناقل شرعي كالاقتراض و نحوه و كان مليّا فلا إشكال في أنّ الربح للوليّ و الزكاة مستحبّة عليه، بل الظاهر أنّه إجماعي و قد نصّ غير واحد من مشايخنا</w:t>
      </w:r>
      <w:r>
        <w:rPr>
          <w:rStyle w:val="FootnoteAnchor"/>
          <w:rtl w:val="true"/>
        </w:rPr>
        <w:footnoteReference w:id="301"/>
      </w:r>
      <w:r>
        <w:rPr>
          <w:rFonts w:ascii="Amiri" w:hAnsi="Amiri" w:eastAsia="Amiri" w:cs="Amiri"/>
          <w:color w:val="111111"/>
          <w:sz w:val="28"/>
          <w:sz w:val="28"/>
          <w:szCs w:val="28"/>
          <w:rtl w:val="true"/>
          <w:lang w:bidi="ar-SA"/>
        </w:rPr>
        <w:t>بعدم الخلاف فيه كما عن السيّد في الرياض</w:t>
      </w:r>
      <w:r>
        <w:rPr>
          <w:rStyle w:val="FootnoteAnchor"/>
          <w:rtl w:val="true"/>
        </w:rPr>
        <w:footnoteReference w:id="302"/>
      </w:r>
      <w:r>
        <w:rPr>
          <w:rFonts w:ascii="Amiri" w:hAnsi="Amiri" w:eastAsia="Amiri" w:cs="Amiri"/>
          <w:color w:val="111111"/>
          <w:sz w:val="28"/>
          <w:sz w:val="28"/>
          <w:szCs w:val="28"/>
          <w:rtl w:val="true"/>
          <w:lang w:bidi="ar-SA"/>
        </w:rPr>
        <w:t>أيضا، و لكن عن منتهى</w:t>
      </w:r>
      <w:r>
        <w:rPr>
          <w:rStyle w:val="FootnoteAnchor"/>
          <w:rtl w:val="true"/>
        </w:rPr>
        <w:footnoteReference w:id="303"/>
      </w:r>
      <w:r>
        <w:rPr>
          <w:rFonts w:ascii="Amiri" w:hAnsi="Amiri" w:eastAsia="Amiri" w:cs="Amiri"/>
          <w:color w:val="111111"/>
          <w:sz w:val="28"/>
          <w:sz w:val="28"/>
          <w:szCs w:val="28"/>
          <w:rtl w:val="true"/>
          <w:lang w:bidi="ar-SA"/>
        </w:rPr>
        <w:t>العلاّمة أنّه نسب القول بالحكمين إلى الشيخ و لم يتعرّض له بتصديق و لا ردّ مشعرا بنوع تردّد، و لم يعرف وجهه و لا محلّه من الحكمين أ هو كون الربح للوليّ أو كون الزكاة عليه‌؟ و أيّا ما كان فينبغي القطع بعدم كونه في محلّه كما لا ينبغي التأمّل في ثبوت الحكمين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الربح للوليّ فلأنّه مع ظهور الإجماع عليه على القاعدة الشرعيّة المجمع عليها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الربح تابع لرأس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النماء تابع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خصوص رواية منصور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ضعفها أو قصورها بالعمل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مال اليتيم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عندك مال و ضمنته فلك الربح و أنت ضامن المال، و إن كان لا مال لك و عملت به فالربح للغلام و أنت ضامن المال</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استحباب الزكاة عليه لا على المولّى عليه فلابتنائه على استحباب الزكاة في مطلق مال التجارة على المالك لأنّه بعد الضمان من أفراده، و سيجيء الكلام فيه في محلّه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خروج هذا الفرد عن حكم مطلق مال التجارة و كون الزكاة فيه على الطفل </w:t>
      </w:r>
      <w:bookmarkStart w:id="110" w:name="pg16181_154446"/>
    </w:p>
    <w:p>
      <w:pPr>
        <w:pStyle w:val="BookText"/>
        <w:rPr/>
      </w:pPr>
      <w:bookmarkEnd w:id="110"/>
      <w:r>
        <w:rPr>
          <w:rFonts w:ascii="Amiri" w:hAnsi="Amiri" w:eastAsia="Amiri" w:cs="Amiri"/>
          <w:color w:val="111111"/>
          <w:sz w:val="28"/>
          <w:sz w:val="28"/>
          <w:szCs w:val="28"/>
          <w:rtl w:val="true"/>
          <w:lang w:bidi="ar-SA"/>
        </w:rPr>
        <w:t>من إطلاق الأخبار المتقدّمة</w:t>
      </w:r>
      <w:r>
        <w:rPr>
          <w:rStyle w:val="FootnoteAnchor"/>
          <w:rtl w:val="true"/>
        </w:rPr>
        <w:footnoteReference w:id="305"/>
      </w:r>
      <w:r>
        <w:rPr>
          <w:rFonts w:ascii="Amiri" w:hAnsi="Amiri" w:eastAsia="Amiri" w:cs="Amiri"/>
          <w:color w:val="111111"/>
          <w:sz w:val="28"/>
          <w:sz w:val="28"/>
          <w:szCs w:val="28"/>
          <w:rtl w:val="true"/>
          <w:lang w:bidi="ar-SA"/>
        </w:rPr>
        <w:t xml:space="preserve">الناصّة بالزكاة عليه في ماله المتّجر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مبنى تردّد العلاّمة في المنتهى </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يدفعه ظهور الأخبار المذكورة في كون الاتّجار للطفل أو تعيّن تقييد إطلاقها به على تقدير تسليم عدم الظهور بل الإطلاق المتوهّم، فلا ينبغي الاسترابة حينئذ في عدم تعلّق الزكاة هنا بالطفل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مبنى الحكمين على ما في كلام الأصحاب</w:t>
      </w:r>
      <w:r>
        <w:rPr>
          <w:rStyle w:val="FootnoteAnchor"/>
          <w:rtl w:val="true"/>
        </w:rPr>
        <w:footnoteReference w:id="307"/>
      </w:r>
      <w:r>
        <w:rPr>
          <w:rFonts w:ascii="Amiri" w:hAnsi="Amiri" w:eastAsia="Amiri" w:cs="Amiri"/>
          <w:color w:val="111111"/>
          <w:sz w:val="28"/>
          <w:sz w:val="28"/>
          <w:szCs w:val="28"/>
          <w:rtl w:val="true"/>
          <w:lang w:bidi="ar-SA"/>
        </w:rPr>
        <w:t>على جواز اقتراض الوليّ مال المولّى عليه تكليفا و صحّته وضعا، على معنى انتقاله بالقرض إلى الولي فلا بدّ من إثبات ذلك و نحن قد قدّمنا</w:t>
      </w:r>
      <w:r>
        <w:rPr>
          <w:rStyle w:val="FootnoteAnchor"/>
          <w:rtl w:val="true"/>
        </w:rPr>
        <w:footnoteReference w:id="308"/>
      </w:r>
      <w:r>
        <w:rPr>
          <w:rFonts w:ascii="Amiri" w:hAnsi="Amiri" w:eastAsia="Amiri" w:cs="Amiri"/>
          <w:color w:val="111111"/>
          <w:sz w:val="28"/>
          <w:sz w:val="28"/>
          <w:szCs w:val="28"/>
          <w:rtl w:val="true"/>
          <w:lang w:bidi="ar-SA"/>
        </w:rPr>
        <w:t>البحث فيه سابقا و أقمنا الدليل عليه من النصوص كصحيحة</w:t>
      </w:r>
      <w:r>
        <w:rPr>
          <w:rStyle w:val="FootnoteAnchor"/>
          <w:rtl w:val="true"/>
        </w:rPr>
        <w:footnoteReference w:id="309"/>
      </w:r>
      <w:r>
        <w:rPr>
          <w:rFonts w:ascii="Amiri" w:hAnsi="Amiri" w:eastAsia="Amiri" w:cs="Amiri"/>
          <w:color w:val="111111"/>
          <w:sz w:val="28"/>
          <w:sz w:val="28"/>
          <w:szCs w:val="28"/>
          <w:rtl w:val="true"/>
          <w:lang w:bidi="ar-SA"/>
        </w:rPr>
        <w:t>منصور بن حازم فلا ينبغي التأمّل حينئذ في الجواز و الصحّة للوليّ‌</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2586483_1280447820"/>
      <w:bookmarkStart w:id="112" w:name="_Toc40"/>
      <w:bookmarkEnd w:id="111"/>
      <w:r>
        <w:rPr>
          <w:rtl w:val="true"/>
        </w:rPr>
        <w:t>[</w:t>
      </w:r>
      <w:r>
        <w:rPr>
          <w:rtl w:val="true"/>
        </w:rPr>
        <w:t>اشتراط اقتراض الوليّ بالملاءة</w:t>
      </w:r>
      <w:r>
        <w:rPr>
          <w:rtl w:val="true"/>
        </w:rPr>
        <w:t>]</w:t>
      </w:r>
      <w:bookmarkEnd w:id="112"/>
    </w:p>
    <w:p>
      <w:pPr>
        <w:pStyle w:val="BookText"/>
        <w:rPr/>
      </w:pPr>
      <w:r>
        <w:rPr>
          <w:rFonts w:ascii="Amiri" w:hAnsi="Amiri" w:eastAsia="Amiri" w:cs="Amiri"/>
          <w:color w:val="111111"/>
          <w:sz w:val="28"/>
          <w:sz w:val="28"/>
          <w:szCs w:val="28"/>
          <w:rtl w:val="true"/>
          <w:lang w:bidi="ar-SA"/>
        </w:rPr>
        <w:t>نعم اللائق بالبحث هنا إنّما هو اشتراط اقتراض الوليّ بكونه مليّا مطلقا، أو عدم اشتراطه به كذلك، أو يفصّل بين الأب و الجدّ و غيرهما فيشترط في غيرهما، أو بين الأب فيجوز له الاقتراض من مال الولد لحجّة الإسلام دون غيره احتمالات، بل أقوال، إلاّ أنّه لم نقف على قائل بعدم الاشتراط مطلقا، و لا على حكاية 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بالاشتراط مطلقا هو المصرّح به في كلام جماعة و لعلّه للأكثر بل عن مجمع الفائدة بعد دعوى الشهرة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أن يكون إجماعا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بعدم الاشتراط في الأب و الجدّ، نسبه في المدارك و الذخيرة إلى المتأخّرين ففي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استثنى المتأخّرون من الوليّ الّذي يعتبر ملاءته الأب و الجدّ فسوّغوا </w:t>
      </w:r>
      <w:bookmarkStart w:id="113" w:name="pg16181_154447"/>
    </w:p>
    <w:p>
      <w:pPr>
        <w:pStyle w:val="BookText"/>
        <w:rPr/>
      </w:pPr>
      <w:bookmarkEnd w:id="113"/>
      <w:r>
        <w:rPr>
          <w:rFonts w:ascii="Amiri" w:hAnsi="Amiri" w:eastAsia="Amiri" w:cs="Amiri"/>
          <w:color w:val="111111"/>
          <w:sz w:val="28"/>
          <w:sz w:val="28"/>
          <w:szCs w:val="28"/>
          <w:rtl w:val="true"/>
          <w:lang w:bidi="ar-SA"/>
        </w:rPr>
        <w:t>لهما اقتراض مال الطفل مع العسر و اليسر</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و نحوه عبارة الذخيرة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 بعدم الاشتراط في الأب في خصوص حجّة الإسلام مستفاد من إطلاق المحكيّ عن الشيخ</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اختيار ما عليه الأكثر، لعموم القاعدة المستفادة من آية لاٰ تَقْرَبُوا </w:t>
      </w:r>
      <w:r>
        <w:rPr>
          <w:rStyle w:val="FootnoteAnchor"/>
          <w:rtl w:val="true"/>
        </w:rPr>
        <w:footnoteReference w:id="314"/>
      </w:r>
      <w:r>
        <w:rPr>
          <w:rFonts w:ascii="Amiri" w:hAnsi="Amiri" w:eastAsia="Amiri" w:cs="Amiri"/>
          <w:color w:val="111111"/>
          <w:sz w:val="28"/>
          <w:sz w:val="28"/>
          <w:szCs w:val="28"/>
          <w:rtl w:val="true"/>
          <w:lang w:bidi="ar-SA"/>
        </w:rPr>
        <w:t>بالقياس إلى غير الأب، غاية الأمر أنّه قام الدليل على عدم اشتراط وجود المصلحة في اقتراض الوليّ‌، و أمّا عدم المفسدة و عدم الإضرار بالطفل فهو شرط بمقتضى القاعدة فلا بدّ من اعتبار الملاءة فرارا عن الإضرار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لخصوص المستفيضة الّتي فيها الصحيح و غيره</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2586485_1280447820"/>
      <w:bookmarkStart w:id="115" w:name="_Toc41"/>
      <w:bookmarkEnd w:id="114"/>
      <w:r>
        <w:rPr>
          <w:rtl w:val="true"/>
        </w:rPr>
        <w:t>[</w:t>
      </w:r>
      <w:r>
        <w:rPr>
          <w:rtl w:val="true"/>
        </w:rPr>
        <w:t>الاستدلال بالروايات</w:t>
      </w:r>
      <w:r>
        <w:rPr>
          <w:rtl w:val="true"/>
        </w:rPr>
        <w:t>]</w:t>
      </w:r>
      <w:bookmarkEnd w:id="115"/>
    </w:p>
    <w:p>
      <w:pPr>
        <w:pStyle w:val="BookText"/>
        <w:rPr/>
      </w:pPr>
      <w:r>
        <w:rPr>
          <w:rFonts w:ascii="Amiri" w:hAnsi="Amiri" w:eastAsia="Amiri" w:cs="Amiri"/>
          <w:color w:val="111111"/>
          <w:sz w:val="28"/>
          <w:sz w:val="28"/>
          <w:szCs w:val="28"/>
          <w:rtl w:val="true"/>
          <w:lang w:bidi="ar-SA"/>
        </w:rPr>
        <w:t>ففي صحيح ربعي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قال في رجل عنده مال اليتيم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محتاجا و ليس له مال فلا يمسّ ماله، و إن هو اتّجر به فالربح لليتيم و هو ضامن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في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به ضامن و لليتيم الربح إذا لم يكن للعامل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عطب أدّاه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أسباط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أمرني أن أسألك عن مال اليتيم في حجره يتّجر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لأخيك مال يحيط بمال اليتيم إن تلف أو أصابه شيء غرمه له، و إلاّ فلا يتعرّض لمال اليتيم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هلك، فأوصى إلى أخ أكبر منّي و أدخلني معه في الوصيّة و ترك ابنا له صغيرا و له مال أ فيضرب به أخي فما كان من فضل سلّمه لليتيم و ضمّن له ماله‌؟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لأخيك مال يحيط بمال الميّت إن تلف فلا بأس به، و إن لم يكن له مال فلا يعترض لمال اليتيم</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الصيقل المتقدّم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مال اليتيم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عندك مال و ضمّنته فلك الربح و أنت ضامن للمال، و إن كان لا مال لك و عملت به فالربح للغلام و أنت ضامن للمال</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النصوص كما ترى واضح الدلالة على أصل اعتبار الملاءة في ضمان الوليّ‌، و لكن في عمومها لجميع الأولياء حتّى الأب و الجدّ نظر، بل منع فإنّ منها ما هو خاصّ بالوصيّ‌، و منها ما هو عامّ باعتبار الإطلاق للوصيّ و منصوب الحاكم، و ليس فيها من جهة اشتمالها سؤالا و جوابا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فلظهور</w:t>
      </w:r>
      <w:r>
        <w:rPr>
          <w:rStyle w:val="FootnoteAnchor"/>
          <w:rtl w:val="true"/>
        </w:rPr>
        <w:footnoteReference w:id="321"/>
      </w:r>
      <w:r>
        <w:rPr>
          <w:rFonts w:ascii="Amiri" w:hAnsi="Amiri" w:eastAsia="Amiri" w:cs="Amiri"/>
          <w:color w:val="111111"/>
          <w:sz w:val="28"/>
          <w:sz w:val="28"/>
          <w:szCs w:val="28"/>
          <w:rtl w:val="true"/>
          <w:lang w:bidi="ar-SA"/>
        </w:rPr>
        <w:t>اليتيم لغة و عرفا في من لا أب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انفهامه من إطلاقها حتّى ما ذكر</w:t>
      </w:r>
      <w:r>
        <w:rPr>
          <w:rStyle w:val="FootnoteAnchor"/>
          <w:rtl w:val="true"/>
        </w:rPr>
        <w:footnoteReference w:id="323"/>
      </w:r>
      <w:r>
        <w:rPr>
          <w:rFonts w:ascii="Amiri" w:hAnsi="Amiri" w:eastAsia="Amiri" w:cs="Amiri"/>
          <w:color w:val="111111"/>
          <w:sz w:val="28"/>
          <w:sz w:val="28"/>
          <w:szCs w:val="28"/>
          <w:rtl w:val="true"/>
          <w:lang w:bidi="ar-SA"/>
        </w:rPr>
        <w:t>فيه الرجل أو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اليتيم يعمل به</w:t>
      </w:r>
      <w:r>
        <w:rPr>
          <w:rFonts w:eastAsia="Amiri" w:cs="Amiri" w:ascii="Amiri" w:hAnsi="Amiri"/>
          <w:color w:val="111111"/>
          <w:sz w:val="28"/>
          <w:szCs w:val="28"/>
          <w:rtl w:val="true"/>
          <w:lang w:bidi="ar-SA"/>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به ضامن</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و لو سلّم دخول الجدّ في إطلاق بعض هذه فلا يدخل فيه الأب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القول بالفصل أيضا غير واضح، بل القول بالفصل في الجملة على ما سمعت عند تحرير الخلاف في المسألة موجود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 السيّد في الرياض</w:t>
      </w:r>
      <w:r>
        <w:rPr>
          <w:rStyle w:val="FootnoteAnchor"/>
          <w:rtl w:val="true"/>
        </w:rPr>
        <w:footnoteReference w:id="326"/>
      </w:r>
      <w:r>
        <w:rPr>
          <w:rFonts w:ascii="Amiri" w:hAnsi="Amiri" w:eastAsia="Amiri" w:cs="Amiri"/>
          <w:color w:val="111111"/>
          <w:sz w:val="28"/>
          <w:sz w:val="28"/>
          <w:szCs w:val="28"/>
          <w:rtl w:val="true"/>
          <w:lang w:bidi="ar-SA"/>
        </w:rPr>
        <w:t>بعد ما ذكر منها صحيح</w:t>
      </w:r>
      <w:r>
        <w:rPr>
          <w:rStyle w:val="FootnoteAnchor"/>
          <w:rtl w:val="true"/>
        </w:rPr>
        <w:footnoteReference w:id="327"/>
      </w:r>
      <w:r>
        <w:rPr>
          <w:rFonts w:ascii="Amiri" w:hAnsi="Amiri" w:eastAsia="Amiri" w:cs="Amiri"/>
          <w:color w:val="111111"/>
          <w:sz w:val="28"/>
          <w:sz w:val="28"/>
          <w:szCs w:val="28"/>
          <w:rtl w:val="true"/>
          <w:lang w:bidi="ar-SA"/>
        </w:rPr>
        <w:t>ربعي و خبر</w:t>
      </w:r>
      <w:r>
        <w:rPr>
          <w:rStyle w:val="FootnoteAnchor"/>
          <w:rtl w:val="true"/>
        </w:rPr>
        <w:footnoteReference w:id="328"/>
      </w:r>
      <w:bookmarkStart w:id="116" w:name="pg16181_154449"/>
    </w:p>
    <w:p>
      <w:pPr>
        <w:pStyle w:val="BookText"/>
        <w:rPr/>
      </w:pPr>
      <w:bookmarkEnd w:id="116"/>
      <w:r>
        <w:rPr>
          <w:rFonts w:ascii="Amiri" w:hAnsi="Amiri" w:eastAsia="Amiri" w:cs="Amiri"/>
          <w:color w:val="111111"/>
          <w:sz w:val="28"/>
          <w:sz w:val="28"/>
          <w:szCs w:val="28"/>
          <w:rtl w:val="true"/>
          <w:lang w:bidi="ar-SA"/>
        </w:rPr>
        <w:t>الصيقل و اكتفى في غيرهما بالإشارة، جعل إطلاقها مقتضيا لعدم الفرق في الوليّ بين الأب و الجدّ له و سائر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للمناقشة في عمومها للحاكم أيضا مجال واسع إلاّ أن يتمسّك لإثبات عمومه له بعدم القول بالفصل</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2586487_1280447820"/>
      <w:bookmarkStart w:id="118" w:name="_Toc42"/>
      <w:bookmarkEnd w:id="117"/>
      <w:r>
        <w:rPr>
          <w:rtl w:val="true"/>
        </w:rPr>
        <w:t>[</w:t>
      </w:r>
      <w:r>
        <w:rPr>
          <w:rtl w:val="true"/>
        </w:rPr>
        <w:t>قصور دلالة النصوص لجميع الأولياء</w:t>
      </w:r>
      <w:r>
        <w:rPr>
          <w:rtl w:val="true"/>
        </w:rPr>
        <w:t>]</w:t>
      </w:r>
      <w:bookmarkEnd w:id="118"/>
    </w:p>
    <w:p>
      <w:pPr>
        <w:pStyle w:val="BookText"/>
        <w:rPr/>
      </w:pPr>
      <w:r>
        <w:rPr>
          <w:rFonts w:ascii="Amiri" w:hAnsi="Amiri" w:eastAsia="Amiri" w:cs="Amiri"/>
          <w:color w:val="111111"/>
          <w:sz w:val="28"/>
          <w:sz w:val="28"/>
          <w:szCs w:val="28"/>
          <w:rtl w:val="true"/>
          <w:lang w:bidi="ar-SA"/>
        </w:rPr>
        <w:t>و كيف كان فقصور دلالة النصوص</w:t>
      </w:r>
      <w:r>
        <w:rPr>
          <w:rStyle w:val="FootnoteAnchor"/>
          <w:rtl w:val="true"/>
        </w:rPr>
        <w:footnoteReference w:id="329"/>
      </w:r>
      <w:r>
        <w:rPr>
          <w:rFonts w:ascii="Amiri" w:hAnsi="Amiri" w:eastAsia="Amiri" w:cs="Amiri"/>
          <w:color w:val="111111"/>
          <w:sz w:val="28"/>
          <w:sz w:val="28"/>
          <w:szCs w:val="28"/>
          <w:rtl w:val="true"/>
          <w:lang w:bidi="ar-SA"/>
        </w:rPr>
        <w:t>على عموم الحكم لجميع الأولياء واضح لا ينبغي التأمّل فيه، و لعلّه لذا ذهب المتأخّرون</w:t>
      </w:r>
      <w:r>
        <w:rPr>
          <w:rStyle w:val="FootnoteAnchor"/>
          <w:rtl w:val="true"/>
        </w:rPr>
        <w:footnoteReference w:id="330"/>
      </w:r>
      <w:r>
        <w:rPr>
          <w:rFonts w:ascii="Amiri" w:hAnsi="Amiri" w:eastAsia="Amiri" w:cs="Amiri"/>
          <w:color w:val="111111"/>
          <w:sz w:val="28"/>
          <w:sz w:val="28"/>
          <w:szCs w:val="28"/>
          <w:rtl w:val="true"/>
          <w:lang w:bidi="ar-SA"/>
        </w:rPr>
        <w:t>إلى عدم اعتبار هذا الشرط في ضمان الأب و الجدّ استنادا إلى إطلاق الأخبار</w:t>
      </w:r>
      <w:r>
        <w:rPr>
          <w:rStyle w:val="FootnoteAnchor"/>
          <w:rtl w:val="true"/>
        </w:rPr>
        <w:footnoteReference w:id="331"/>
      </w:r>
      <w:r>
        <w:rPr>
          <w:rFonts w:ascii="Amiri" w:hAnsi="Amiri" w:eastAsia="Amiri" w:cs="Amiri"/>
          <w:color w:val="111111"/>
          <w:sz w:val="28"/>
          <w:sz w:val="28"/>
          <w:szCs w:val="28"/>
          <w:rtl w:val="true"/>
          <w:lang w:bidi="ar-SA"/>
        </w:rPr>
        <w:t>الدالّة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الولد و ماله للوالد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الأب جارية ابنه على نفسه</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تخريجها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نكاحها فإنّ هذين الإطلاقين حجّة هذا القول بناء على عدم وضوح ما يوجب تقييدها في ضمان الأب و الجدّ و إقراضهما بصورة ملاءتهما من 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الملاءة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تأيّدهما بما عن مجمع الفائدة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لا خلاف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فوجه المتأخّرين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استثناء الأب و الجدّ من اعتبار الملاءة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ينهض للخروج عن الإطلاقين إلاّ صحيحة</w:t>
      </w:r>
      <w:r>
        <w:rPr>
          <w:rStyle w:val="FootnoteAnchor"/>
          <w:rtl w:val="true"/>
        </w:rPr>
        <w:footnoteReference w:id="333"/>
      </w:r>
      <w:r>
        <w:rPr>
          <w:rFonts w:ascii="Amiri" w:hAnsi="Amiri" w:eastAsia="Amiri" w:cs="Amiri"/>
          <w:color w:val="111111"/>
          <w:sz w:val="28"/>
          <w:sz w:val="28"/>
          <w:szCs w:val="28"/>
          <w:rtl w:val="true"/>
          <w:lang w:bidi="ar-SA"/>
        </w:rPr>
        <w:t>أبي حمزة المتقدّمة المعلّلة لمنع أخذ الأب ما زاد على قدر حاجته، بل على ما يدفع به ضرورته بكونه من الفساد المنهيّ عنه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التعليل عامّ يفيد عموم المنع لكلّ ما يصدق عليه الفساد فيتناول اقتراض الأب و الجدّ من غير ملاءة لكونه إضرارا بالطفل و إفسادا في ماله لأنّه تعريض للمال في معرض الزوال و التلف من دون موجب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كونه من الفساد المنهيّ عنه في نظر العرف ثمّ تسليم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الخروج من عموم التعليل بالفحوى المستفادة من استثناء أخذ قدر الحاجة </w:t>
      </w:r>
      <w:bookmarkStart w:id="119" w:name="pg16181_154450"/>
    </w:p>
    <w:p>
      <w:pPr>
        <w:pStyle w:val="BookText"/>
        <w:rPr/>
      </w:pPr>
      <w:bookmarkEnd w:id="119"/>
      <w:r>
        <w:rPr>
          <w:rFonts w:ascii="Amiri" w:hAnsi="Amiri" w:eastAsia="Amiri" w:cs="Amiri"/>
          <w:color w:val="111111"/>
          <w:sz w:val="28"/>
          <w:sz w:val="28"/>
          <w:szCs w:val="28"/>
          <w:rtl w:val="true"/>
          <w:lang w:bidi="ar-SA"/>
        </w:rPr>
        <w:t>الموجود في الصحيحة المشار إليها مع انضمام عدم القول بالفصل و الإجماع المركّب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جاز للوالد في موضع حاجته أن يأخذ من مال ولده مجّانا، فلئن يجوز له في نحو ذلك الموضع الأخذ منه قرضا، طريق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جواز اقتراض الأب بل الجدّ مع عدم الملاءة في موضع الحاجة بل الضرورة، فيحكم بجوازه لهما في غير موضع الحاجة و الضرورة بعدم القول بالفصل، إذ لا قائل في الأصحاب بالفصل بين الصورتين بل كلّ من معتبري الملاءة فيهما و غير معتبريها أطلقوا في القول بالاعتبار و القول بعدمه بالقياس إلى صورتي الحاجة و عدمها فليتدبّر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بل الاحتياط الشديد هو مراعاة الملاءة في الاقتراض مطلقا حتّى في الأب و الجدّ بترك الاقتراض مع عدم الملاءة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لنختم المسألة بإيراد أمرين</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2586489_1280447820"/>
      <w:bookmarkStart w:id="121" w:name="_Toc43"/>
      <w:bookmarkEnd w:id="120"/>
      <w:r>
        <w:rPr>
          <w:rtl w:val="true"/>
        </w:rPr>
        <w:t>[</w:t>
      </w:r>
      <w:r>
        <w:rPr>
          <w:rtl w:val="true"/>
        </w:rPr>
        <w:t>تفسير الملاءة و الأقوال فيها</w:t>
      </w:r>
      <w:r>
        <w:rPr>
          <w:rtl w:val="true"/>
        </w:rPr>
        <w:t>]</w:t>
      </w:r>
      <w:bookmarkEnd w:id="121"/>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اختلفت كلمتهم في تفسير الملاءة بما يرجع إلى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الوسيلة من تفسير المليّ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 لمثل المال المضمون</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 في معناه ما عن بعض محشّي الشرائع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يسار المتصرّف</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تخريجها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يكون بمقدار ذلك المال احتياطا، و عليه ينزل إطلاق غير واحد من الأخبار المتقدّمة كصحيح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و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و خبر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يوافقه الثاني من خبري أسباط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سالم و ليس فيه كالنصوص اعتبار الزيادة على المستثنيات في الدين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المسالك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 للمتصرّف مال بقدر مال الطفل المضمون فاضلا عن المستثنيات في الدين و عن قوت يوم و ليلة له و لعياله الواجبي </w:t>
      </w:r>
      <w:bookmarkStart w:id="122" w:name="pg16181_154451"/>
    </w:p>
    <w:p>
      <w:pPr>
        <w:pStyle w:val="BookText"/>
        <w:rPr/>
      </w:pPr>
      <w:bookmarkEnd w:id="122"/>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و لعلّه إليه يرجع إطلاق الأوّل</w:t>
      </w:r>
      <w:r>
        <w:rPr>
          <w:rStyle w:val="FootnoteAnchor"/>
          <w:rtl w:val="true"/>
        </w:rPr>
        <w:footnoteReference w:id="337"/>
      </w:r>
      <w:r>
        <w:rPr>
          <w:rFonts w:ascii="Amiri" w:hAnsi="Amiri" w:eastAsia="Amiri" w:cs="Amiri"/>
          <w:color w:val="111111"/>
          <w:sz w:val="28"/>
          <w:sz w:val="28"/>
          <w:szCs w:val="28"/>
          <w:rtl w:val="true"/>
          <w:lang w:bidi="ar-SA"/>
        </w:rPr>
        <w:t>و النصوص أيضا بناء على إحالة اعتبار الزيادة على المستثنيات إلى وضوحه في الخارج، و كيف كان فاستشكل فيه صاحب المدارك</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ذلك قد لا يحصل معه الغرض المطلوب من الملاءة</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 استجوده السيّد في المناهل موجّها له و مبيّنا وجهه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يملكه زائدا على المستثنيات قد يكون مغصوبا أو غير متمكّن من التصرّف فيه بغير ذلك</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و عن المحقّق الأردبيلي في مجمع الفائدة أيضا استشكاله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تجدّد قوت اليوم و الليلة يوما فيوما، و قد يحدث امور اخر من الضمانات إلاّ أن يشترط بقاء ذلك دائما، و مع ذلك قد يلزم مال في ذمّته دفعة واحدة بحيث يستغرق ماله فيبقى مال اليتيم بلا عوض أو يتلف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 w:name="__RefHeading___Toc2586491_1280447820"/>
      <w:bookmarkStart w:id="124" w:name="_Toc44"/>
      <w:bookmarkEnd w:id="123"/>
      <w:r>
        <w:rPr>
          <w:rtl w:val="true"/>
        </w:rPr>
        <w:t>[</w:t>
      </w:r>
      <w:r>
        <w:rPr>
          <w:rtl w:val="true"/>
        </w:rPr>
        <w:t>القول الثالث في تفسير الملاءة</w:t>
      </w:r>
      <w:r>
        <w:rPr>
          <w:rtl w:val="true"/>
        </w:rPr>
        <w:t>]</w:t>
      </w:r>
      <w:bookmarkEnd w:id="12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صاحب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المراد بالملاءة كونه بحيث يقدر على أداء المال المضمون من ماله لو تلف بحسب حاله</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 تبعه السيّد في الرياض</w:t>
      </w:r>
      <w:r>
        <w:rPr>
          <w:rStyle w:val="FootnoteAnchor"/>
          <w:rtl w:val="true"/>
        </w:rPr>
        <w:footnoteReference w:id="343"/>
      </w:r>
      <w:r>
        <w:rPr>
          <w:rFonts w:ascii="Amiri" w:hAnsi="Amiri" w:eastAsia="Amiri" w:cs="Amiri"/>
          <w:color w:val="111111"/>
          <w:sz w:val="28"/>
          <w:sz w:val="28"/>
          <w:szCs w:val="28"/>
          <w:rtl w:val="true"/>
          <w:lang w:bidi="ar-SA"/>
        </w:rPr>
        <w:t>و نسب إلى شارح المفاتيح</w:t>
      </w:r>
      <w:r>
        <w:rPr>
          <w:rStyle w:val="FootnoteAnchor"/>
          <w:rtl w:val="true"/>
        </w:rPr>
        <w:footnoteReference w:id="344"/>
      </w:r>
      <w:r>
        <w:rPr>
          <w:rFonts w:ascii="Amiri" w:hAnsi="Amiri" w:eastAsia="Amiri" w:cs="Amiri"/>
          <w:color w:val="111111"/>
          <w:sz w:val="28"/>
          <w:sz w:val="28"/>
          <w:szCs w:val="28"/>
          <w:rtl w:val="true"/>
          <w:lang w:bidi="ar-SA"/>
        </w:rPr>
        <w:t>أيضا، و إليه يرجع ما يظهر من نهاية الشيخ من تفسيره بكونه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متمكّنا في الحال من مقدار ما يضمن به مال الطفل</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بناء على كون مراده ممّا يضمن به ما يغرم به مال الطفل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قضيّة هذا التفسير أنّه لا يعتبر في الملاءة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ما يساوي مال الطفل من المال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فيه كونه بحيث يحصل له مال حين الأداء يقدر به على أداء المال المضمون، بأن يكون له حرفة أو صنعة يقدر به على اكتساب المال للأداء، أو كان بحيث يتوقّع حصول المال له من الجوائز و الصلات و الهدايا و الهبات و الصدقات و الزكوات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قضيّة ذلك أن يكفيه في حصول الملاءة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غرضه من الاقتراض أن يتّجر بالمال المقترض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يتمكّن من أداء المال المضمون من ربحه</w:t>
      </w:r>
      <w:r>
        <w:rPr>
          <w:rFonts w:eastAsia="Amiri" w:cs="Amiri" w:ascii="Amiri" w:hAnsi="Amiri"/>
          <w:color w:val="111111"/>
          <w:sz w:val="28"/>
          <w:szCs w:val="28"/>
          <w:rtl w:val="true"/>
          <w:lang w:bidi="ar-SA"/>
        </w:rPr>
        <w:t xml:space="preserve">. </w:t>
      </w:r>
      <w:bookmarkStart w:id="125" w:name="pg16181_154452"/>
    </w:p>
    <w:p>
      <w:pPr>
        <w:pStyle w:val="BookText"/>
        <w:rPr/>
      </w:pPr>
      <w:bookmarkEnd w:id="125"/>
      <w:r>
        <w:rPr>
          <w:rFonts w:ascii="Amiri" w:hAnsi="Amiri" w:eastAsia="Amiri" w:cs="Amiri"/>
          <w:color w:val="111111"/>
          <w:sz w:val="28"/>
          <w:sz w:val="28"/>
          <w:szCs w:val="28"/>
          <w:rtl w:val="true"/>
          <w:lang w:bidi="ar-SA"/>
        </w:rPr>
        <w:t>و لا ريب أنّ هذا القول و إن ساعد عليه الاعتبار إلاّ أنّه لا شاهد له من النصوص، بل ظاهر الأوّل من خبري أسباط بن سالم</w:t>
      </w:r>
      <w:r>
        <w:rPr>
          <w:rStyle w:val="FootnoteAnchor"/>
          <w:rtl w:val="true"/>
        </w:rPr>
        <w:footnoteReference w:id="346"/>
      </w:r>
      <w:r>
        <w:rPr>
          <w:rFonts w:ascii="Amiri" w:hAnsi="Amiri" w:eastAsia="Amiri" w:cs="Amiri"/>
          <w:color w:val="111111"/>
          <w:sz w:val="28"/>
          <w:sz w:val="28"/>
          <w:szCs w:val="28"/>
          <w:rtl w:val="true"/>
          <w:lang w:bidi="ar-SA"/>
        </w:rPr>
        <w:t>اعتبار الأمرين 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المال حال الاقتراض، و القدرة على أداء المال المضمون من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لأخيك مال يحيط بمال اليتيم إن تلف أو أصابه شيء غرمه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القدرة على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إرجاعه بنحو من التأويل إلى القول المذكور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بالأصالة و المطلوب بالذات من اعتبار وجود المال حال الاقتراض، التوصّل به إلى الغرامة حين الأداء و القدرة عليه في وقته، فيكون اعتبار وجوده مقصودا بالتبع و مطلوبا للغير، و محصّله أنّ المناط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القدرة على الأداء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فالقول المذكور لا يخلو عن قوّة إلاّ أنّ الأقوى اعتبار وجود الأمرين معا عملا بظاهر الخبر الّذي به يحصل العمل بسائر النصوص المطلقة في اعتبار وجود المال مع أنّه أحوط</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2586493_1280447820"/>
      <w:bookmarkStart w:id="127" w:name="_Toc45"/>
      <w:bookmarkEnd w:id="126"/>
      <w:r>
        <w:rPr>
          <w:rtl w:val="true"/>
        </w:rPr>
        <w:t>[</w:t>
      </w:r>
      <w:r>
        <w:rPr>
          <w:rtl w:val="true"/>
        </w:rPr>
        <w:t>بطلان القرض عند انتفاء الملاءة</w:t>
      </w:r>
      <w:r>
        <w:rPr>
          <w:rtl w:val="true"/>
        </w:rPr>
        <w:t>]</w:t>
      </w:r>
      <w:bookmarkEnd w:id="127"/>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 بناء على اشتراط الملاءة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في غير الأب و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مليّا و أخذ من مال الطفل قرضا كان القرض باطلا، و هو غاصبا فاعلا للمحرّم، و إذا اتّجر به و حصل ربح كان الربح للطفل، و إذا تلف المال كان ضامنا، هذه أحكام أربع كأنّه لا خلاف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بطلان القرض، أنّ المال لا ينتقل إلى الوليّ و لا يدخل في ملكه، كما هو قضيّة شرطيّة الملاءة نظرا إلى أنّ انتفاء الشرط يستلزم انتفاء المشروط، و ظاهر الأدلّة كونها شرطا للحكم الوضعي و هو الصحّة فيلزم من انتفائه البطلان، لا للحكم التكليفي فقط و هو الجواز ليلزم من انتفائه الحرمة الغير المنافية للصحّة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أخذه منه بعنوان القرض و تصرّفه فيه بالاتّجار و نحوه على هذا العنوان تصرّف غير مأذون فيه، فيكون غصبا بالمعنى الأعمّ و الغصب محرّم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الربح على ما ذكرناه مرارا يتبع رأس المال و مبناه على 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ملك المعوّض يتبع ملك العوض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 الطفل إذا كان باقيا على ملكه و كان عشرة فاشترى به الوليّ متاعا مع وجود غبطة للطفل فيه، ثمّ باع المتاع باثني عشر أو خمسة عشر مثلا فالزائد على العشرة في ذلك الثمن ربح و العشرة مع الزيادة بمجموعهما يدخل في ملك الطفل باعتبار دخول المتاع في ملكه باعتبار كون المال الأوّل المشترى به المتاع ملكا له، إذ المفروض صحّة كلّ من الاشتراء و البيع باعتبار وقوعهما من الوليّ و احتوائهما لسائر شرائط الصحّة الّتي منها وجود الغبطة لأنّ الكلام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فيها وقوع كلّ منهما بقصد كون المتاع ثمّ عوضه المشتمل على الزيادة للوليّ نفسه لا للطفل، لأنّ قصد كون كلّ من العوضين في عقود المعاوضة، ليس كقصد التلفّظ بالصيغة و قصد المعنى إفراديّا و تركيبيّا و هو الإنشاء من مقوّمات العقد و لا من شروط صحّته و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اشترى الوالد مثلا من ماله ثوبا أو عقارا بقصد أن يكون لولده أو زوجته أو خادمه أو غير ذلك لم يصر بمجرّد هذا القصد ملكا للولد و نحوه، بل يصير ملكا لنفسه لأنّ ملك المعوّض يتبع ملك العوض، فلو أراد بعد ذلك كونه للولد و غيره و انتقاله إليه يحتاج إلى عقد مستأنف من هبة أو صلح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ما لو اشترى بمال موكّله متاعا فيما و كلّ فيه فإنّه لا يعتبر في صحّته و دخول المتاع في ملك الموكّل قصد كونه له، بل لو قصد كونه لنفسه لم يقدح في الصحّة و كان القصد المذكور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القصد إلى كون المعوّض لمالك العوض و كون العوض لمالك المعوّض ليس شرطا، و القصد إلى كونه لغيره في المسألتين ليس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محصّله أنّ القصد المذكور وجوده و عدمه سواء، و لذا كان الأقوى عندنا صحّة الفضولي إذا لحقه إجازة المالك سواء قصد العاقد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بائعا كان أو مشتريا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للمالك أو لنفسه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جميع ما ذكرناه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العقود تتبع للمقصود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ما أشرنا إليه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الّذي يتبعه العقد هو ما ينحلّ إلى قصد التلفّظ بالصيغة و قصد معانيها الإفراديّة أي معاني مفرداتها و قصد معناها التركيبي و هو الإنشاء لا نحو القصد المذكور</w:t>
      </w:r>
      <w:r>
        <w:rPr>
          <w:rFonts w:eastAsia="Amiri" w:cs="Amiri" w:ascii="Amiri" w:hAnsi="Amiri"/>
          <w:color w:val="111111"/>
          <w:sz w:val="28"/>
          <w:szCs w:val="28"/>
          <w:rtl w:val="true"/>
          <w:lang w:bidi="ar-SA"/>
        </w:rPr>
        <w:t xml:space="preserve">. </w:t>
      </w:r>
      <w:bookmarkStart w:id="128" w:name="pg16181_154454"/>
    </w:p>
    <w:p>
      <w:pPr>
        <w:pStyle w:val="BookText"/>
        <w:rPr/>
      </w:pPr>
      <w:bookmarkEnd w:id="128"/>
      <w:r>
        <w:rPr>
          <w:rFonts w:ascii="Amiri" w:hAnsi="Amiri" w:eastAsia="Amiri" w:cs="Amiri"/>
          <w:color w:val="111111"/>
          <w:sz w:val="28"/>
          <w:sz w:val="28"/>
          <w:szCs w:val="28"/>
          <w:rtl w:val="true"/>
          <w:lang w:bidi="ar-SA"/>
        </w:rPr>
        <w:t>فما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لا يبعد توقّف الشراء على الإجازة في صورة شراء الوليّ أيضا، لأنّ الشراء لم يقع بقصد الطفل ابتداء و إنّما أوقعه المتصرّف لنفسه فلا ينصرف إلى الطفل بدون الإجازة، و مع ذلك كلّه فيمكن المناقشة في صحّة مثل هذا العقد و إن قلنا بصحّة العقد الواقع من الفضولي مع الإجازة، لأنّه لم يقع للطفل ابتداء من غير من إليه النظر في ماله و إنّما أوقعه المتصرّف في مال الطفل لنفسه على وجه منهيّ عنه</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2586495_1280447820"/>
      <w:bookmarkStart w:id="130" w:name="_Toc46"/>
      <w:bookmarkEnd w:id="129"/>
      <w:r>
        <w:rPr>
          <w:rtl w:val="true"/>
        </w:rPr>
        <w:t>[</w:t>
      </w:r>
      <w:r>
        <w:rPr>
          <w:rtl w:val="true"/>
        </w:rPr>
        <w:t>أقوال الفقهاء في الاشتراء بعين مال الطفل أو في الذمّة</w:t>
      </w:r>
      <w:r>
        <w:rPr>
          <w:rtl w:val="true"/>
        </w:rPr>
        <w:t>]</w:t>
      </w:r>
      <w:bookmarkEnd w:id="130"/>
    </w:p>
    <w:p>
      <w:pPr>
        <w:pStyle w:val="BookText"/>
        <w:rPr/>
      </w:pPr>
      <w:r>
        <w:rPr>
          <w:rFonts w:ascii="Amiri" w:hAnsi="Amiri" w:eastAsia="Amiri" w:cs="Amiri"/>
          <w:color w:val="111111"/>
          <w:sz w:val="28"/>
          <w:sz w:val="28"/>
          <w:szCs w:val="28"/>
          <w:rtl w:val="true"/>
          <w:lang w:bidi="ar-SA"/>
        </w:rPr>
        <w:t>ثمّ إنّ ظاهر إطلاق الفاضلين</w:t>
      </w:r>
      <w:r>
        <w:rPr>
          <w:rStyle w:val="FootnoteAnchor"/>
          <w:rtl w:val="true"/>
        </w:rPr>
        <w:footnoteReference w:id="348"/>
      </w:r>
      <w:r>
        <w:rPr>
          <w:rFonts w:ascii="Amiri" w:hAnsi="Amiri" w:eastAsia="Amiri" w:cs="Amiri"/>
          <w:color w:val="111111"/>
          <w:sz w:val="28"/>
          <w:sz w:val="28"/>
          <w:szCs w:val="28"/>
          <w:rtl w:val="true"/>
          <w:lang w:bidi="ar-SA"/>
        </w:rPr>
        <w:t>بل الأكثر</w:t>
      </w:r>
      <w:r>
        <w:rPr>
          <w:rStyle w:val="FootnoteAnchor"/>
          <w:rtl w:val="true"/>
        </w:rPr>
        <w:footnoteReference w:id="349"/>
      </w:r>
      <w:r>
        <w:rPr>
          <w:rFonts w:ascii="Amiri" w:hAnsi="Amiri" w:eastAsia="Amiri" w:cs="Amiri"/>
          <w:color w:val="111111"/>
          <w:sz w:val="28"/>
          <w:sz w:val="28"/>
          <w:szCs w:val="28"/>
          <w:rtl w:val="true"/>
          <w:lang w:bidi="ar-SA"/>
        </w:rPr>
        <w:t>كما في الرياض</w:t>
      </w:r>
      <w:r>
        <w:rPr>
          <w:rStyle w:val="FootnoteAnchor"/>
          <w:rtl w:val="true"/>
        </w:rPr>
        <w:footnoteReference w:id="350"/>
      </w:r>
      <w:r>
        <w:rPr>
          <w:rFonts w:ascii="Amiri" w:hAnsi="Amiri" w:eastAsia="Amiri" w:cs="Amiri"/>
          <w:color w:val="111111"/>
          <w:sz w:val="28"/>
          <w:sz w:val="28"/>
          <w:szCs w:val="28"/>
          <w:rtl w:val="true"/>
          <w:lang w:bidi="ar-SA"/>
        </w:rPr>
        <w:t>عدم الفرق في كون الربح للطفل، بين الشراء بعين مال الطفل أو في الذمّة مع التأدية من ماله، و لعلّه لإطلاق النصوص المصرّحة بكون الربح لليتيم في صورة عدم الملاءة المبنيّ على صدق الاتّجار أو العمل بماله عرفا مع الشراء في الذمّة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قيّده جماعة منهم ثاني الشهيدين بما لو كان الشراء بالعين، فلو كان في الذمّة وقع الربح للوليّ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يكون الربح لليتيم مع الشراء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الشراء في الذمّة وقع للمشتري و الزكاة المستحبّة عليه</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و لعلّهم أرادوا بذلك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في الذمّة من غير قصد حين الشراء إلى التأدية من مال الطفل، ثمّ بدا له حين الأداء أن يؤدّيه من ماله، و هذا هو الّذي ينبغي القطع بكون الربح فيه للوليّ لا للطفل، لعدم صدق الاتّجار و العمل بماله فلا يتناوله النصوص الحاكمة بكون الربح لليتيم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اشترى في الذمّة قاصدا للتأدية من مال الطفل و هو الغالب من شراء الوليّ للطفل فالمتّجه فيه وقوع الربح للطفل لصدق الاتّجار و العمل بماله عرفا فيتناوله إطلاق </w:t>
      </w:r>
    </w:p>
    <w:p>
      <w:pPr>
        <w:pStyle w:val="BookText"/>
        <w:rPr/>
      </w:pPr>
      <w:r>
        <w:rPr>
          <w:rFonts w:ascii="Amiri" w:hAnsi="Amiri" w:eastAsia="Amiri" w:cs="Amiri"/>
          <w:color w:val="111111"/>
          <w:sz w:val="28"/>
          <w:sz w:val="28"/>
          <w:szCs w:val="28"/>
          <w:rtl w:val="true"/>
          <w:lang w:bidi="ar-SA"/>
        </w:rPr>
        <w:t>النصوص، و لعلّه مراد الفاضلين و الأكثر من إطلاقهم بكون الربح له، و عليه فالنزاع بينهم</w:t>
      </w:r>
      <w:r>
        <w:rPr>
          <w:rStyle w:val="FootnoteAnchor"/>
          <w:rtl w:val="true"/>
        </w:rPr>
        <w:footnoteReference w:id="352"/>
      </w:r>
      <w:r>
        <w:rPr>
          <w:rFonts w:ascii="Amiri" w:hAnsi="Amiri" w:eastAsia="Amiri" w:cs="Amiri"/>
          <w:color w:val="111111"/>
          <w:sz w:val="28"/>
          <w:sz w:val="28"/>
          <w:szCs w:val="28"/>
          <w:rtl w:val="true"/>
          <w:lang w:bidi="ar-SA"/>
        </w:rPr>
        <w:t>و بين الجماعة</w:t>
      </w:r>
      <w:r>
        <w:rPr>
          <w:rStyle w:val="FootnoteAnchor"/>
          <w:rtl w:val="true"/>
        </w:rPr>
        <w:footnoteReference w:id="353"/>
      </w:r>
      <w:r>
        <w:rPr>
          <w:rFonts w:ascii="Amiri" w:hAnsi="Amiri" w:eastAsia="Amiri" w:cs="Amiri"/>
          <w:color w:val="111111"/>
          <w:sz w:val="28"/>
          <w:sz w:val="28"/>
          <w:szCs w:val="28"/>
          <w:rtl w:val="true"/>
          <w:lang w:bidi="ar-SA"/>
        </w:rPr>
        <w:t>لعلّه يعود لفظيّا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معنويّة النزاع فالتفصيل حسبما بيّنّاه أجود، و إطلاق الفريقين ليس بجيّد جمعا بين النصوص و القواعد الحاكمة بتبعيّة ملك المعوّض للعوض و لو كان كلّيا في الذمّة و حذرا من الخروج عنهما معا بلا 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الوليّ ضامنا، فالمراد بالضمان هنا غرامة المثل أو القيمة مع التلف، و بضمانه في صورة الملاءة،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المصحّحة للاقتراض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إلى ملكه بوجه شرعي على وجه يشتغل ذمّته بمثل المال من حين الاقتراض، هكذا فرّق بينهما في المسالك</w:t>
      </w:r>
      <w:r>
        <w:rPr>
          <w:rStyle w:val="FootnoteAnchor"/>
          <w:rtl w:val="true"/>
        </w:rPr>
        <w:footnoteReference w:id="354"/>
      </w:r>
      <w:r>
        <w:rPr>
          <w:rFonts w:ascii="Amiri" w:hAnsi="Amiri" w:eastAsia="Amiri" w:cs="Amiri"/>
          <w:color w:val="111111"/>
          <w:sz w:val="28"/>
          <w:sz w:val="28"/>
          <w:szCs w:val="28"/>
          <w:rtl w:val="true"/>
          <w:lang w:bidi="ar-SA"/>
        </w:rPr>
        <w:t>فلم يتّحد الضمانان في صورتي صحّة الاقتراض و بطلانه باعتبار تحقّق الملاءة و انتفائها، و وجه الضمان في صورة انتفاء الملاءة، كون الوليّ في أخذه قرضا و سائر تصرّفاته المبنيّة عليه غاصبا، و الغصب مع تلف العين المغصوبة من أسباب الضمان، أعني وجوب الغرامة للمالك بالمثل في المثلي و القيمة في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الفرق بين مسألتنا هذه و ما تقدّم</w:t>
      </w:r>
      <w:r>
        <w:rPr>
          <w:rStyle w:val="FootnoteAnchor"/>
          <w:rtl w:val="true"/>
        </w:rPr>
        <w:footnoteReference w:id="355"/>
      </w:r>
      <w:r>
        <w:rPr>
          <w:rFonts w:ascii="Amiri" w:hAnsi="Amiri" w:eastAsia="Amiri" w:cs="Amiri"/>
          <w:color w:val="111111"/>
          <w:sz w:val="28"/>
          <w:sz w:val="28"/>
          <w:szCs w:val="28"/>
          <w:rtl w:val="true"/>
          <w:lang w:bidi="ar-SA"/>
        </w:rPr>
        <w:t>في المسألة الاولى من عدم ضمان الوليّ المتّجر بمال الطفل له مع التلف سواء كان مليّا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سبب الضمان و هو الغصب ثمّة و تحقّقه هنا، فلا يتوجّه ما قد يسبق إلى الذهن من المناقشة في الضمان هنا، بتقريب أنّ قضيّة عدم صحّة القرض هنا بسبب انتفاء الملاءة مع فرض صحّة اتّجاره بواسطة كونه وليّا المقتضية لوقوع الشراء و الربح للطفل، رجوع اتّجاره هذا إلى اتّجار الوليّ الغير المليّ المأخوذ في عنوان المسألة الاولى، فما وجه الضمان هنا؟ لوضوح الفرق بين المقامين حسبما بيّنّاه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ينبغي القطع بأنّه لا زكاة هنا على الوليّ و لو استحبابا للأصل، بل الظاهر أنّه ممّا لا خلاف فيه، و ربما ايّد بل استدلّ بموثّقة سماعة بن مهران عن أبي عبد اللّه عليه السّلام قال</w:t>
      </w:r>
      <w:r>
        <w:rPr>
          <w:rFonts w:eastAsia="Amiri" w:cs="Amiri" w:ascii="Amiri" w:hAnsi="Amiri"/>
          <w:color w:val="111111"/>
          <w:sz w:val="28"/>
          <w:szCs w:val="28"/>
          <w:rtl w:val="true"/>
          <w:lang w:bidi="ar-SA"/>
        </w:rPr>
        <w:t xml:space="preserve">: </w:t>
      </w:r>
      <w:bookmarkStart w:id="131" w:name="pg16181_154456"/>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مال اليتيم فيتّجر به أ يضمنه‌؟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لا أجمع عليه خصلتين الضمان و الزكاة</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و في شموله لما نحن فيه نظر، لأنّ إطلاق الجواب بالضمان من غير استفصال بين الوليّ و غيره و لا بين كون الاتّجار لليتيم أو لنفسه مع أنّه لا ضمان على الوليّ إذا اتّجر لليتيم و لو كان غير مليّ و لا على الوليّ المليّ و إنّ اتّجر لنفسه يوجب ظهور إطلاق الرجل في إرادة غير الوليّ‌، و حينئذ يستقيم إطلاق الجواب بالنسبة إلى المليّ و غيره و كون الاتّجار لليتيم أو لنفسه من غير أن يندرج فيه الوليّ الغير المليّ إذا اتّجر لنفسه</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2586497_1280447820"/>
      <w:bookmarkStart w:id="133" w:name="_Toc47"/>
      <w:bookmarkEnd w:id="132"/>
      <w:r>
        <w:rPr>
          <w:rtl w:val="true"/>
        </w:rPr>
        <w:t>[</w:t>
      </w:r>
      <w:r>
        <w:rPr>
          <w:rtl w:val="true"/>
        </w:rPr>
        <w:t>استحباب الزكاة في مال الطفل و المناقشة فيه</w:t>
      </w:r>
      <w:r>
        <w:rPr>
          <w:rtl w:val="true"/>
        </w:rPr>
        <w:t>]</w:t>
      </w:r>
      <w:bookmarkEnd w:id="133"/>
    </w:p>
    <w:p>
      <w:pPr>
        <w:pStyle w:val="BookText"/>
        <w:rPr/>
      </w:pPr>
      <w:r>
        <w:rPr>
          <w:rFonts w:ascii="Amiri" w:hAnsi="Amiri" w:eastAsia="Amiri" w:cs="Amiri"/>
          <w:color w:val="111111"/>
          <w:sz w:val="28"/>
          <w:sz w:val="28"/>
          <w:szCs w:val="28"/>
          <w:rtl w:val="true"/>
          <w:lang w:bidi="ar-SA"/>
        </w:rPr>
        <w:t xml:space="preserve">و في استحبابها في مال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الشيخ في النهاية</w:t>
      </w:r>
      <w:r>
        <w:rPr>
          <w:rStyle w:val="FootnoteAnchor"/>
          <w:rtl w:val="true"/>
        </w:rPr>
        <w:footnoteReference w:id="357"/>
      </w:r>
      <w:r>
        <w:rPr>
          <w:rFonts w:ascii="Amiri" w:hAnsi="Amiri" w:eastAsia="Amiri" w:cs="Amiri"/>
          <w:color w:val="111111"/>
          <w:sz w:val="28"/>
          <w:sz w:val="28"/>
          <w:szCs w:val="28"/>
          <w:rtl w:val="true"/>
          <w:lang w:bidi="ar-SA"/>
        </w:rPr>
        <w:t>و عنه في المبسوط</w:t>
      </w:r>
      <w:r>
        <w:rPr>
          <w:rStyle w:val="FootnoteAnchor"/>
          <w:rtl w:val="true"/>
        </w:rPr>
        <w:footnoteReference w:id="358"/>
      </w:r>
      <w:r>
        <w:rPr>
          <w:rFonts w:ascii="IRNazanin" w:hAnsi="IRNazanin" w:eastAsia="IRNazanin"/>
          <w:color w:val="111111"/>
          <w:sz w:val="28"/>
          <w:sz w:val="28"/>
          <w:szCs w:val="28"/>
          <w:rtl w:val="true"/>
          <w:lang w:bidi="fa-IR"/>
        </w:rPr>
        <w:t>و عن الصدوق</w:t>
      </w:r>
      <w:r>
        <w:rPr>
          <w:rStyle w:val="FootnoteAnchor"/>
          <w:rtl w:val="true"/>
        </w:rPr>
        <w:footnoteReference w:id="359"/>
      </w:r>
      <w:r>
        <w:rPr>
          <w:rFonts w:ascii="Amiri" w:hAnsi="Amiri" w:eastAsia="Amiri" w:cs="Amiri"/>
          <w:color w:val="111111"/>
          <w:sz w:val="28"/>
          <w:sz w:val="28"/>
          <w:szCs w:val="28"/>
          <w:rtl w:val="true"/>
          <w:lang w:bidi="ar-SA"/>
        </w:rPr>
        <w:t>و الشهيدين</w:t>
      </w:r>
      <w:r>
        <w:rPr>
          <w:rStyle w:val="FootnoteAnchor"/>
          <w:rtl w:val="true"/>
        </w:rPr>
        <w:footnoteReference w:id="360"/>
      </w:r>
      <w:r>
        <w:rPr>
          <w:rFonts w:ascii="Amiri" w:hAnsi="Amiri" w:eastAsia="Amiri" w:cs="Amiri"/>
          <w:color w:val="111111"/>
          <w:sz w:val="28"/>
          <w:sz w:val="28"/>
          <w:szCs w:val="28"/>
          <w:rtl w:val="true"/>
          <w:lang w:bidi="ar-SA"/>
        </w:rPr>
        <w:t>و المحقّق الثاني</w:t>
      </w:r>
      <w:r>
        <w:rPr>
          <w:rStyle w:val="FootnoteAnchor"/>
          <w:rtl w:val="true"/>
        </w:rPr>
        <w:footnoteReference w:id="361"/>
      </w:r>
      <w:r>
        <w:rPr>
          <w:rFonts w:ascii="Amiri" w:hAnsi="Amiri" w:eastAsia="Amiri" w:cs="Amiri"/>
          <w:color w:val="111111"/>
          <w:sz w:val="28"/>
          <w:sz w:val="28"/>
          <w:szCs w:val="28"/>
          <w:rtl w:val="true"/>
          <w:lang w:bidi="ar-SA"/>
        </w:rPr>
        <w:t>و السيّد في المناهل</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كما عليه الفاضلان في الشرائع</w:t>
      </w:r>
      <w:r>
        <w:rPr>
          <w:rStyle w:val="FootnoteAnchor"/>
          <w:rtl w:val="true"/>
        </w:rPr>
        <w:footnoteReference w:id="363"/>
      </w:r>
      <w:r>
        <w:rPr>
          <w:rFonts w:ascii="IRNazanin" w:hAnsi="IRNazanin" w:eastAsia="IRNazanin"/>
          <w:color w:val="111111"/>
          <w:sz w:val="28"/>
          <w:sz w:val="28"/>
          <w:szCs w:val="28"/>
          <w:rtl w:val="true"/>
          <w:lang w:bidi="fa-IR"/>
        </w:rPr>
        <w:t>و النافع</w:t>
      </w:r>
      <w:r>
        <w:rPr>
          <w:rStyle w:val="FootnoteAnchor"/>
          <w:rtl w:val="true"/>
        </w:rPr>
        <w:footnoteReference w:id="364"/>
      </w:r>
      <w:r>
        <w:rPr>
          <w:rFonts w:ascii="IRNazanin" w:hAnsi="IRNazanin" w:eastAsia="IRNazanin"/>
          <w:color w:val="111111"/>
          <w:sz w:val="28"/>
          <w:sz w:val="28"/>
          <w:szCs w:val="28"/>
          <w:rtl w:val="true"/>
          <w:lang w:bidi="fa-IR"/>
        </w:rPr>
        <w:t>و القواعد</w:t>
      </w:r>
      <w:r>
        <w:rPr>
          <w:rStyle w:val="FootnoteAnchor"/>
          <w:rtl w:val="true"/>
        </w:rPr>
        <w:footnoteReference w:id="365"/>
      </w:r>
      <w:r>
        <w:rPr>
          <w:rFonts w:ascii="IRNazanin" w:hAnsi="IRNazanin" w:eastAsia="IRNazanin"/>
          <w:color w:val="111111"/>
          <w:sz w:val="28"/>
          <w:sz w:val="28"/>
          <w:szCs w:val="28"/>
          <w:rtl w:val="true"/>
          <w:lang w:bidi="fa-IR"/>
        </w:rPr>
        <w:t>و الإرشاد</w:t>
      </w:r>
      <w:r>
        <w:rPr>
          <w:rStyle w:val="FootnoteAnchor"/>
          <w:rtl w:val="true"/>
        </w:rPr>
        <w:footnoteReference w:id="366"/>
      </w:r>
      <w:r>
        <w:rPr>
          <w:rFonts w:ascii="Amiri" w:hAnsi="Amiri" w:eastAsia="Amiri" w:cs="Amiri"/>
          <w:color w:val="111111"/>
          <w:sz w:val="28"/>
          <w:sz w:val="28"/>
          <w:szCs w:val="28"/>
          <w:rtl w:val="true"/>
          <w:lang w:bidi="ar-SA"/>
        </w:rPr>
        <w:t>و السيّد في الرياض</w:t>
      </w:r>
      <w:r>
        <w:rPr>
          <w:rStyle w:val="FootnoteAnchor"/>
          <w:rtl w:val="true"/>
        </w:rPr>
        <w:footnoteReference w:id="367"/>
      </w:r>
      <w:r>
        <w:rPr>
          <w:rFonts w:ascii="Amiri" w:hAnsi="Amiri" w:eastAsia="Amiri" w:cs="Amiri"/>
          <w:color w:val="111111"/>
          <w:sz w:val="28"/>
          <w:sz w:val="28"/>
          <w:szCs w:val="28"/>
          <w:rtl w:val="true"/>
          <w:lang w:bidi="ar-SA"/>
        </w:rPr>
        <w:t>و غيرهم خلاف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أحوطهما الثاني، و أقواهما الأوّل، لقوّة دليله و هو إطلاق ما مرّ</w:t>
      </w:r>
      <w:r>
        <w:rPr>
          <w:rStyle w:val="FootnoteAnchor"/>
          <w:rtl w:val="true"/>
        </w:rPr>
        <w:footnoteReference w:id="368"/>
      </w:r>
      <w:r>
        <w:rPr>
          <w:rFonts w:ascii="Amiri" w:hAnsi="Amiri" w:eastAsia="Amiri" w:cs="Amiri"/>
          <w:color w:val="111111"/>
          <w:sz w:val="28"/>
          <w:sz w:val="28"/>
          <w:szCs w:val="28"/>
          <w:rtl w:val="true"/>
          <w:lang w:bidi="ar-SA"/>
        </w:rPr>
        <w:t>من النصوص على ثبوت الزكاة في المال المتّجر به فإنّه يعمّ ما لم يكن الاتّجار للطفل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فيه باختصاصها بحكم التبادر بصورة كون الاتّجار للطفل لا غيره كما في الرياض</w:t>
      </w:r>
      <w:r>
        <w:rPr>
          <w:rStyle w:val="FootnoteAnchor"/>
          <w:rtl w:val="true"/>
        </w:rPr>
        <w:footnoteReference w:id="369"/>
      </w:r>
      <w:r>
        <w:rPr>
          <w:rFonts w:ascii="Amiri" w:hAnsi="Amiri" w:eastAsia="Amiri" w:cs="Amiri"/>
          <w:color w:val="111111"/>
          <w:sz w:val="28"/>
          <w:sz w:val="28"/>
          <w:szCs w:val="28"/>
          <w:rtl w:val="true"/>
          <w:lang w:bidi="ar-SA"/>
        </w:rPr>
        <w:t>مدفوعة بمنع التبادر لو اريد به تبادر قصد كون الاتّجار للطفل، و عدم قدحه في المختار لو اريد به تبادر وقوع الاتّجار للطفل لأنّ هذا أيضا يقع في متن الواقع له و إن قصد به الوليّ نفسه</w:t>
      </w:r>
      <w:r>
        <w:rPr>
          <w:rFonts w:eastAsia="Amiri" w:cs="Amiri" w:ascii="Amiri" w:hAnsi="Amiri"/>
          <w:color w:val="111111"/>
          <w:sz w:val="28"/>
          <w:szCs w:val="28"/>
          <w:rtl w:val="true"/>
          <w:lang w:bidi="ar-SA"/>
        </w:rPr>
        <w:t xml:space="preserve">. </w:t>
      </w:r>
      <w:bookmarkStart w:id="134" w:name="pg16181_154457"/>
    </w:p>
    <w:p>
      <w:pPr>
        <w:pStyle w:val="BookText"/>
        <w:rPr/>
      </w:pPr>
      <w:bookmarkEnd w:id="134"/>
      <w:r>
        <w:rPr>
          <w:rFonts w:ascii="Amiri" w:hAnsi="Amiri" w:eastAsia="Amiri" w:cs="Amiri"/>
          <w:color w:val="111111"/>
          <w:sz w:val="28"/>
          <w:sz w:val="28"/>
          <w:szCs w:val="28"/>
          <w:rtl w:val="true"/>
          <w:lang w:bidi="ar-SA"/>
        </w:rPr>
        <w:t>و عن العلاّمة في النهاية</w:t>
      </w:r>
      <w:r>
        <w:rPr>
          <w:rStyle w:val="FootnoteAnchor"/>
          <w:rtl w:val="true"/>
        </w:rPr>
        <w:footnoteReference w:id="370"/>
      </w:r>
      <w:r>
        <w:rPr>
          <w:rFonts w:ascii="Amiri" w:hAnsi="Amiri" w:eastAsia="Amiri" w:cs="Amiri"/>
          <w:color w:val="111111"/>
          <w:sz w:val="28"/>
          <w:sz w:val="28"/>
          <w:szCs w:val="28"/>
          <w:rtl w:val="true"/>
          <w:lang w:bidi="ar-SA"/>
        </w:rPr>
        <w:t>الاستدلال لنفي الزكاة هنا بعد الأصل بموثّقة</w:t>
      </w:r>
      <w:r>
        <w:rPr>
          <w:rStyle w:val="FootnoteAnchor"/>
          <w:rtl w:val="true"/>
        </w:rPr>
        <w:footnoteReference w:id="371"/>
      </w:r>
      <w:r>
        <w:rPr>
          <w:rFonts w:ascii="Amiri" w:hAnsi="Amiri" w:eastAsia="Amiri" w:cs="Amiri"/>
          <w:color w:val="111111"/>
          <w:sz w:val="28"/>
          <w:sz w:val="28"/>
          <w:szCs w:val="28"/>
          <w:rtl w:val="true"/>
          <w:lang w:bidi="ar-SA"/>
        </w:rPr>
        <w:t>ابن مهران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خفاء في ضعفه، لأنّها على تقدير شمولها الوليّ الغير المليّ إذا اتّجر لنفسه ظاهرة بل صريحة في نفي الوجوب،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الوجوب يفيد نفي الوجوب، و هو لا ينافي الاستحباب، نعم كما أنّه لا ينافيه لا يدلّ عليه أيضا، هذا مع ما عرفت من منع شمول إطلاقها الوليّ‌</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2586499_1280447820"/>
      <w:bookmarkStart w:id="136" w:name="_Toc48"/>
      <w:bookmarkEnd w:id="135"/>
      <w:r>
        <w:rPr>
          <w:rtl w:val="true"/>
        </w:rPr>
        <w:t>[</w:t>
      </w:r>
      <w:r>
        <w:rPr>
          <w:rtl w:val="true"/>
        </w:rPr>
        <w:t>وجوه ما لو كان المتّجر غير وليّ و لا مأذون</w:t>
      </w:r>
      <w:r>
        <w:rPr>
          <w:rtl w:val="true"/>
        </w:rPr>
        <w:t>]</w:t>
      </w:r>
      <w:bookmarkEnd w:id="13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المتّجر غير وليّ و لا مأذونا من الوليّ و اتّجر للطفل مع غبطة له فيه، و إنّما قيّدناه بعدم الإذن من الوليّ لأنّ المأذون من الوليّ كالوليّ في مضيّ تصرّفاته المنوطة بالغبطة من غير ضمان مع التلف فهو من مرتبطات المسألة الاولى، و إنّما قيّدناه بالغبطة للطفل لأنّ ما لا غبطة فيه فاسد من أصله فلا يحكم عليه بما سيأتي من كون الربح للطفل و استحباب الزكاة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فالمتّجر المذكور إمّا أن يكون بحيث يمكنه الوصول إلى الوليّ و الاستئذان منه أو لا، و على الأوّل فإمّا أن يلحق اتّجاره إجازة الوليّ أو لا، و على الثاني فإمّا أن يكون حفظ مال الطفل متوقّفا على الاتّجار المذكور أو لا؟ فهذه صور أربع، و قد حكم جماعة منهم صاحب الذخيرة</w:t>
      </w:r>
      <w:r>
        <w:rPr>
          <w:rStyle w:val="FootnoteAnchor"/>
          <w:rtl w:val="true"/>
        </w:rPr>
        <w:footnoteReference w:id="372"/>
      </w:r>
      <w:r>
        <w:rPr>
          <w:rFonts w:ascii="Amiri" w:hAnsi="Amiri" w:eastAsia="Amiri" w:cs="Amiri"/>
          <w:color w:val="111111"/>
          <w:sz w:val="28"/>
          <w:sz w:val="28"/>
          <w:szCs w:val="28"/>
          <w:rtl w:val="true"/>
          <w:lang w:bidi="ar-SA"/>
        </w:rPr>
        <w:t>بأنّ الربح للطفل و على المتّجر ضمان المال إن تلف، و قيل في الحكم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الحكم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ممّا لا خلاف فيه</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و إطلاق الحكمين يعمّ الصور الأربع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إطلاق الأوّل بالنسبة إلى ما لو لم يجزه الوليّ فإنّ كون الربح للطفل يقتضي صحّة التجارة المذكورة اشتراء و بيعا و هي لا تجامع قاعدتهم المقرّرة في عقد الفضولي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توقّف صحّته على إجازة المالك أو من له الولاية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صغيرا أو مجنونا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هاهنا إشكال آخر بالنسبة إلى الحكم الثاني، فإنّ ضمان المتّجر للمال على تقدير التلف خروج عن قاعدة الإحسان المستفادة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Style w:val="FootnoteAnchor"/>
          <w:rtl w:val="true"/>
        </w:rPr>
        <w:footnoteReference w:id="374"/>
      </w:r>
      <w:r>
        <w:rPr>
          <w:rFonts w:ascii="Amiri" w:hAnsi="Amiri" w:eastAsia="Amiri" w:cs="Amiri"/>
          <w:color w:val="111111"/>
          <w:sz w:val="28"/>
          <w:sz w:val="28"/>
          <w:szCs w:val="28"/>
          <w:rtl w:val="true"/>
          <w:lang w:bidi="ar-SA"/>
        </w:rPr>
        <w:t>فإنّ الاتّجار المذكور مع ابتنائه على مراعاة الغبطة للطفل إحسان في حقّه و التزام ضمان المتّجر إثبات سبيل عليه، و لئن سلّمنا عدم صدق الإحسان في جميع الصور الأربع فلا ينبغي التأمّل في صدقه في الصورة الثالثة و هي عدم إمكان الوصول إلى الوليّ و توقّف حفظ المال على الاتّجار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الإشكال الأوّل بأحد الوجوه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كلامهم هنا في الحكم بكون الربح للطفل المبتني على صحّة الاشتراء بصورة إجازة الوليّ عملا بالقاعدة المشار إليها المبتنية على القول بصحّة الفضولي و لو من جانب المشتري، كما يظهر الالتزام به من الشهيد في المسالك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يكون الربح لليتيم مع الشراء بالعين و كون المشتري وليّا أو مع إجازته و حصول غبطة للطفل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وليّا أو مع إجازته و حصول غبطة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وليّا أو لم يكن له فيه غبطة بطل البيع و لا زكاة هنا على أحد</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البعد عنه في الذخيرة</w:t>
      </w:r>
      <w:r>
        <w:rPr>
          <w:rStyle w:val="FootnoteAnchor"/>
          <w:rtl w:val="true"/>
        </w:rPr>
        <w:footnoteReference w:id="376"/>
      </w:r>
      <w:r>
        <w:rPr>
          <w:rFonts w:ascii="Amiri" w:hAnsi="Amiri" w:eastAsia="Amiri" w:cs="Amiri"/>
          <w:color w:val="111111"/>
          <w:sz w:val="28"/>
          <w:sz w:val="28"/>
          <w:szCs w:val="28"/>
          <w:rtl w:val="true"/>
          <w:lang w:bidi="ar-SA"/>
        </w:rPr>
        <w:t>و نسبه في الرياض</w:t>
      </w:r>
      <w:r>
        <w:rPr>
          <w:rStyle w:val="FootnoteAnchor"/>
          <w:rtl w:val="true"/>
        </w:rPr>
        <w:footnoteReference w:id="377"/>
      </w:r>
      <w:r>
        <w:rPr>
          <w:rFonts w:ascii="Amiri" w:hAnsi="Amiri" w:eastAsia="Amiri" w:cs="Amiri"/>
          <w:color w:val="111111"/>
          <w:sz w:val="28"/>
          <w:sz w:val="28"/>
          <w:szCs w:val="28"/>
          <w:rtl w:val="true"/>
          <w:lang w:bidi="ar-SA"/>
        </w:rPr>
        <w:t>إلى جماعة و صرّح بمثله في المدارك</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القاعدة باتّجار غير الوليّ بمال الطفل من دون إذن الوليّ بدعوى عدم وقوفه على إجازة الوليّ كما يظهر الالتزام به عن بعضهم</w:t>
      </w:r>
      <w:r>
        <w:rPr>
          <w:rStyle w:val="FootnoteAnchor"/>
          <w:rtl w:val="true"/>
        </w:rPr>
        <w:footnoteReference w:id="379"/>
      </w:r>
      <w:r>
        <w:rPr>
          <w:rFonts w:ascii="Amiri" w:hAnsi="Amiri" w:eastAsia="Amiri" w:cs="Amiri"/>
          <w:color w:val="111111"/>
          <w:sz w:val="28"/>
          <w:sz w:val="28"/>
          <w:szCs w:val="28"/>
          <w:rtl w:val="true"/>
          <w:lang w:bidi="ar-SA"/>
        </w:rPr>
        <w:t>استنادا إلى ظاهر إطلاق النصوص المصرّحة بكون الربح لليتيم في المال المتّجر به له كصحيحة زرارة و بكير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اليتيم زكاة إلاّ أن يتّجر به، فإن اتّجر به ففيه الزكاة و الربح لليتيم و على التاجر ضمان المال</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اليتيم عليه 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موضوعا فليس عليه زكاة، فإذا عملت به فأنت له ضامن و الربح </w:t>
      </w:r>
    </w:p>
    <w:p>
      <w:pPr>
        <w:pStyle w:val="BookText"/>
        <w:rPr/>
      </w:pPr>
      <w:r>
        <w:rPr>
          <w:rFonts w:ascii="Amiri" w:hAnsi="Amiri" w:eastAsia="Amiri" w:cs="Amiri"/>
          <w:color w:val="111111"/>
          <w:sz w:val="28"/>
          <w:sz w:val="28"/>
          <w:szCs w:val="28"/>
          <w:rtl w:val="true"/>
          <w:lang w:bidi="ar-SA"/>
        </w:rPr>
        <w:t>لليتيم</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سعيد السمّان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مال اليتيم زكاة إلاّ أن يتّجر به، فإن اتّجر به فالربح لليتيم، و إن وضع فعلى الّذي يتّجر به</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فإنّها و إن كانت عامّة للوليّ و غير الوليّ و لكن وجب تخصيصها بغير الوليّ لما دلّ على عدم ضمان على الوليّ لو تلف المال الّذي اتّجر به، و هي بعد إخراج الوليّ عنها مطلقة في الحكم بكون الربح لليتيم بالنسبة إلى لحوق إجازة الوليّ و عدمه، فينهض ذلك لتخصيص القاعدة العامّة لكونه بالقياس إليها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مخالفة الحكم المذكور للقاعدة لحصول الإجازة من المالك الحقيقي و هو الشارع عملا بظاهر الأخبار المذكورة فإنّها في الدلالة على كون الربح لليتيم مطلقا إمضاء لاشتراء غير الوليّ و إجازة له، فلا بدّ من الصحّة بناء على أنّ المراد من الإجازة المعتبرة في صحّة الفضولي ما يعمّ إجازة المالك المجازي و المالك الحقيقي و هو الشارع، و أجود الوجوه و أصحّها بل صحيحها هو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بقرينة ما ذكروه صريحا في باب البيع من وقوف صحّة الفضولي على إجازة المالك أو الوليّ‌، و مرجعه إلى إرجاع الظاهر إلى النصّ و حمل المطلق على المقيّد، قال في الشرائع عند بيان شروط المتعاقدين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يكون البائع مالكا أو ممّن له أن يبيع عن المالك كالأب و الجدّ و الوكيل و الوصيّ و الحاكم و أمينه، فلو باع ملك غيره وقف على إجازة المالك أو وليّه على الأظهر</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إمكان منع الإطلاق في كلامهم، لقوّة احتمال كونه منزّلا على ما هو مجرى العادة من حصول إجازة الوليّ لما فيه غبطة المولّى عليه خصوصا فيما لو توقّف حفظ ماله على الاتّجار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الوجه الثاني فهو ممّا لا يتحمّله معقد القاعدة من فتاويهم المصرّحة بوقوف صحّة الفضولي في مال الصغير على إجازة الوليّ الّذي لا مصداق له إلاّ ما نحن فيه أو أنّه أحد جزئيّاته، مع أنّه لا شاهد لهذا التخصيص إلاّ النصوص المزبورة بتوهّم كونها مطلقة بالقياس إلى الإجازة و عدمها، و يزيّفه منع الإطلاق بتقريب ما في توجيه كلام الأصحاب فإنّها بحكم العادة مقيّدة بصورة إجازة الوليّ مع إمكان منع الإطلاق بوجه آخر، و هو ورودها مورد بيان حكم آخر من دون تعرّض لاعتبار إجازة الوليّ إثباتا و لا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انقدح ضعف الوجه الأخير أيضا، مع أنّه لم يظنّ على أحد من الأصحاب القول به، مع منافاته لصريح عبائرهم في باب الفضولي على ما عرفت بعضها، فما سمعت عن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إجازة الوليّ هنا في غاية الجودة كما أنّ الاستناد لدفعه إلى ظاهر النصوص المذكورة</w:t>
      </w:r>
      <w:r>
        <w:rPr>
          <w:rStyle w:val="FootnoteAnchor"/>
          <w:rtl w:val="true"/>
        </w:rPr>
        <w:footnoteReference w:id="384"/>
      </w:r>
      <w:r>
        <w:rPr>
          <w:rFonts w:ascii="Amiri" w:hAnsi="Amiri" w:eastAsia="Amiri" w:cs="Amiri"/>
          <w:color w:val="111111"/>
          <w:sz w:val="28"/>
          <w:sz w:val="28"/>
          <w:szCs w:val="28"/>
          <w:rtl w:val="true"/>
          <w:lang w:bidi="ar-SA"/>
        </w:rPr>
        <w:t>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اشتراط الصحّة بإجازة الوليّ‌، عدم صحّة الاشتراء و البيع، و عدم وقوع الربح لليتيم مع عدم الإجازة، و لا فرق في الصورتين بين كون المتصرّف مليّا و عدمه، و لا بين كون ذلك التصرّف ممّا يتوقّف عليه حفظ المال و عدمه، للإطلاق فتوى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منع صدق الإحسان على الاتّجار المذكور فيما أمكنه الوصول إلى الوليّ و الاستئذان منه و لم يفعل، لكونه تصرّفا غير مأذون فيه من المالك و وليّه و لا من الشارع فيكون غصبا و الغصب قبيح عقلا و محرّم شرعا، فلا يكون إحسانا فهو في تصرّفه غير محسن فلا يشمله قاعدة نفي السبيل المستفادة من الآية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استفادة الإذن الشرعي من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عَلَى اَلْبِرِّ وَ اَلتَّقْوىٰ‌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يدفعه منع كونه برّا مع فرض كونه غصبا، نظرا إلى عموم ما دلّ على اشتراط جواز التصرّف في مال الغير بإذن المالك أو وليّه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توهّم استفادة الإذن الشرعي من إطلاق الاستثناء في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تَقْرَبُوا مٰالَ اَلْيَتِيمِ إِلاّٰ بِالَّتِي هِيَ أَحْسَنُ‌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يدفعه منع تناول الإطلاق لغير الوليّ باعتبار كون الآية من جهة الإجماع و أدلّة الولاية مخصوصة بالأولياء، و عليه فضمان المتصرّف على تقدير التلف مع كونه منصوصا بالخصوص على القاعدة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الغاصب يؤخذ بأشقّ الأحوال</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أتلف مال الغير فهو له ضامن</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و غير ذلك من عمومات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لا يمكنه الوصول إلى الوليّ حتّى الحاكم، فإن كان المتصرّف عدلا فهو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ولاية عدول المؤمنين عند تعذّر الحاكم و 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فيكون خارجا عن عنوان المسألة و هو كون المتصرّف غير وليّ فلا ينصرف إليه إطلاق حكمهم بالضمان، بل هو داخل في عنوان المسألة الاولى لأنّ الوليّ المأخوذ فيه أعمّ‌، و على تقدير عدم دخوله في هذا العنوان فهو ملحق به حكما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عدلا فلا ولاية له، بناء على اشتراط العدالة في ولاية عدول المؤمنين، و حينئذ فإن توقّف حفظ المال على التصرّف المذكور فالظاهر كونه إحسانا لاستقلال العقل بإدراك حسنه فيكشف عن إذن الشارع بعنوان الوجوب فيندرج في عموم آية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السبيل</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فلا ضمان عليه أيضا، و إلاّ فلا يجوز له التصرّف، و لو فعل كان باطلا و يلزم من بطلانه عدم وقوع الربح لليتيم</w:t>
      </w:r>
      <w:r>
        <w:rPr>
          <w:rFonts w:eastAsia="Amiri" w:cs="Amiri" w:ascii="Amiri" w:hAnsi="Amiri"/>
          <w:color w:val="111111"/>
          <w:sz w:val="28"/>
          <w:szCs w:val="28"/>
          <w:rtl w:val="true"/>
          <w:lang w:bidi="ar-SA"/>
        </w:rPr>
        <w:t xml:space="preserve">. </w:t>
      </w:r>
      <w:bookmarkStart w:id="137" w:name="pg16181_154462"/>
    </w:p>
    <w:p>
      <w:pPr>
        <w:pStyle w:val="BookText"/>
        <w:rPr/>
      </w:pPr>
      <w:bookmarkEnd w:id="137"/>
      <w:r>
        <w:rPr>
          <w:rFonts w:ascii="Amiri" w:hAnsi="Amiri" w:eastAsia="Amiri" w:cs="Amiri"/>
          <w:color w:val="111111"/>
          <w:sz w:val="28"/>
          <w:sz w:val="28"/>
          <w:szCs w:val="28"/>
          <w:rtl w:val="true"/>
          <w:lang w:bidi="ar-SA"/>
        </w:rPr>
        <w:t xml:space="preserve">فانقدح بجميع ما قرّرناه أنّ إطلاق كلام الأصحاب في عنوان هذه المسألة لا ينصرف إلى ما عدى إمكان 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و إنّ إطلاقهم بالربح للطفل مخصوص بصورة حصول الإجازة من الوليّ‌، و بالضمان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بصورة عدم الإجازة كما يظهر وجهه بالتأمّل، فإنّها إن حصلت قبل التلف خرج المتصرّف عن موضوع الضمان لصيرورته مأذونا من الوليّ‌، و إن حصلت بعده فليست بجائزة، و على تقدير الحصول ليست بصحيحة و لا رافعة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يستحبّ الزكاة في مال الطفل‌؟ قولان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حكاهما السيّد في المناهل </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منهم الشهيدان</w:t>
      </w:r>
      <w:r>
        <w:rPr>
          <w:rStyle w:val="FootnoteAnchor"/>
          <w:rtl w:val="true"/>
        </w:rPr>
        <w:footnoteReference w:id="394"/>
      </w:r>
      <w:r>
        <w:rPr>
          <w:rFonts w:ascii="Amiri" w:hAnsi="Amiri" w:eastAsia="Amiri" w:cs="Amiri"/>
          <w:color w:val="111111"/>
          <w:sz w:val="28"/>
          <w:sz w:val="28"/>
          <w:szCs w:val="28"/>
          <w:rtl w:val="true"/>
          <w:lang w:bidi="ar-SA"/>
        </w:rPr>
        <w:t>و المحقّق الثاني</w:t>
      </w:r>
      <w:r>
        <w:rPr>
          <w:rStyle w:val="FootnoteAnchor"/>
          <w:rtl w:val="true"/>
        </w:rPr>
        <w:footnoteReference w:id="395"/>
      </w:r>
      <w:r>
        <w:rPr>
          <w:rFonts w:ascii="Amiri" w:hAnsi="Amiri" w:eastAsia="Amiri" w:cs="Amiri"/>
          <w:color w:val="111111"/>
          <w:sz w:val="28"/>
          <w:sz w:val="28"/>
          <w:szCs w:val="28"/>
          <w:rtl w:val="true"/>
          <w:lang w:bidi="ar-SA"/>
        </w:rPr>
        <w:t>و السيّد المشار إليه و غيره، و هو الأقوى لإطلاق النصوص المتقدّمة و الأحوط عدم التعرّض لإخراجها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2586501_1280447820"/>
      <w:bookmarkStart w:id="139" w:name="_Toc49"/>
      <w:bookmarkEnd w:id="138"/>
      <w:r>
        <w:rPr>
          <w:rtl w:val="true"/>
        </w:rPr>
        <w:t>المسألة الرابعة</w:t>
      </w:r>
      <w:r>
        <w:rPr>
          <w:rtl w:val="true"/>
        </w:rPr>
        <w:t xml:space="preserve">: </w:t>
      </w:r>
      <w:r>
        <w:rPr>
          <w:rtl w:val="true"/>
        </w:rPr>
        <w:t>فيما لو كان المتّجر غير الوليّ و اتّجر لنفسه</w:t>
      </w:r>
      <w:bookmarkEnd w:id="139"/>
    </w:p>
    <w:p>
      <w:pPr>
        <w:pStyle w:val="BookText"/>
        <w:rPr/>
      </w:pPr>
      <w:r>
        <w:rPr>
          <w:rFonts w:ascii="Amiri" w:hAnsi="Amiri" w:eastAsia="Amiri" w:cs="Amiri"/>
          <w:color w:val="111111"/>
          <w:sz w:val="28"/>
          <w:sz w:val="28"/>
          <w:szCs w:val="28"/>
          <w:rtl w:val="true"/>
          <w:lang w:bidi="ar-SA"/>
        </w:rPr>
        <w:t>بعد ضمان المال و نقله إلى نفسه باقتراض و نحوه، و قد اتّفقت كلمتهم هنا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الاقتراض من حيث عدم كون المقترض وليّا و لا مأذونا من الوليّ‌، و بكون الربح للطفل، و بكون المتصرّف ضامنا للمال على تقدير تلفه، و اختلفوا في استحباب الزكاة حينئذ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خلاف عندهم في الأحكام الثلاث الاولى كما استظهره غير واحد أيضا، و في الذخيرة بالنسبة إلى الحكم الأوّل ما يؤذن بدعوى الإجماع عليه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الأصحاب ذكروا أنّ التصرّف في مال الطفل بالاقتراض مشروط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المتصرّف وليّا لأنّ التصرّف في مال الغير يحتاج إلى ولاية شرعيّة، لكن لو تعذّر الوصول إلى الوليّ و توقّف المصلحة على التصرّف المذكور لا يبعد جوازه لغير الولي أيضا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انتهى</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هذه الأحكام لا ينبغي التأمّل في شيء منها و يعلم وجهها بملاحظة ما مرّ </w:t>
      </w:r>
    </w:p>
    <w:p>
      <w:pPr>
        <w:pStyle w:val="BookText"/>
        <w:rPr/>
      </w:pPr>
      <w:r>
        <w:rPr>
          <w:rFonts w:ascii="Amiri" w:hAnsi="Amiri" w:eastAsia="Amiri" w:cs="Amiri"/>
          <w:color w:val="111111"/>
          <w:sz w:val="28"/>
          <w:sz w:val="28"/>
          <w:szCs w:val="28"/>
          <w:rtl w:val="true"/>
          <w:lang w:bidi="ar-SA"/>
        </w:rPr>
        <w:t>في المسائل السابقة، فالاقتراض ليس بصحيح لانتفاء الولاية، و الربح يقع للطفل إذا لحق الاشتراء و المبايعة إجازة الوليّ و قد تقدّم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قصد المشتري نفسه لا الطفل غير قادح في الصحّة كما عرفت، و إذا تلف المال لم يزل ضمان المتصرّف بالمثل أو القيمة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خصوص النصوص على تقدير شمولها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فيما ذكره الذخيرة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تعذّر الوصول إلى الولي و توقّف المصلحة على التصرّف المذكور، لا يبعد جوازه لغير الوليّ أيضا</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و لقد حكي عن المحقّق البهبهاني في شرح المفاتيح</w:t>
      </w:r>
      <w:r>
        <w:rPr>
          <w:rStyle w:val="FootnoteAnchor"/>
          <w:rtl w:val="true"/>
        </w:rPr>
        <w:footnoteReference w:id="399"/>
      </w:r>
      <w:r>
        <w:rPr>
          <w:rFonts w:ascii="Amiri" w:hAnsi="Amiri" w:eastAsia="Amiri" w:cs="Amiri"/>
          <w:color w:val="111111"/>
          <w:sz w:val="28"/>
          <w:sz w:val="28"/>
          <w:szCs w:val="28"/>
          <w:rtl w:val="true"/>
          <w:lang w:bidi="ar-SA"/>
        </w:rPr>
        <w:t>ما يقرب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يخلو عن شيء، لأنّ المتصرّف على تقدير تعذّر الوصول إلى الوليّ بنفسه وليّ من باب ولاية عدول المؤمنين إن كان عدلا، فصحّة اقتراضه مع إحراز مصلحة للطفل فيه منوطة بكونه مليّا، و مع انتفاء الملاءة أو عدم العدالة فلا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بالمصلحة المتوقّفة عليه منفعة للطفل بحصول الربح، فلا نسلّم جوازه لمجرّد توقّف المصلحة بهذا المعنى عليه لانتفاء الولاية مع عدم لحوق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التمسّك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كون الاستثناء الموجود فيها مقيّدا بالأولياء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اريد بها حفظ المال، فينبغي الجزم بتعيّنه لا نفي بعد جوازه لا للآية، بل لاستقلال العقل بحسن مصلحة حفظ مال اليتيم فيكون مأذونا فيه من الشارع و يشمله عموم وَ تَعٰاوَنُوا عَلَى اَلْبِرِّ </w:t>
      </w:r>
      <w:r>
        <w:rPr>
          <w:rStyle w:val="FootnoteAnchor"/>
          <w:rtl w:val="true"/>
        </w:rPr>
        <w:footnoteReference w:id="400"/>
      </w:r>
      <w:r>
        <w:rPr>
          <w:rFonts w:ascii="Amiri" w:hAnsi="Amiri" w:eastAsia="Amiri" w:cs="Amiri"/>
          <w:color w:val="111111"/>
          <w:sz w:val="28"/>
          <w:sz w:val="28"/>
          <w:szCs w:val="28"/>
          <w:rtl w:val="true"/>
          <w:lang w:bidi="ar-SA"/>
        </w:rPr>
        <w:t>و لنفي الضمان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استحباب الزكاة على الطفل ففيه خلاف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من جهة إطلاق النصوص المتقدّمة الاستحباب، و أحوطهما من جهة الخروج عن شبهة الخلاف عدم تعرّض الوليّ لإخراج الزكاة فيما غايته الاستحباب</w:t>
      </w:r>
      <w:r>
        <w:rPr>
          <w:rFonts w:eastAsia="Amiri" w:cs="Amiri" w:ascii="Amiri" w:hAnsi="Amiri"/>
          <w:color w:val="111111"/>
          <w:sz w:val="28"/>
          <w:szCs w:val="28"/>
          <w:rtl w:val="true"/>
          <w:lang w:bidi="ar-SA"/>
        </w:rPr>
        <w:t xml:space="preserve">. </w:t>
      </w:r>
      <w:bookmarkStart w:id="140" w:name="pg16181_154464"/>
    </w:p>
    <w:p>
      <w:pPr>
        <w:pStyle w:val="Heading5"/>
        <w:numPr>
          <w:ilvl w:val="4"/>
          <w:numId w:val="1"/>
        </w:numPr>
        <w:rPr/>
      </w:pPr>
      <w:bookmarkStart w:id="141" w:name="__RefHeading___Toc2586503_1280447820"/>
      <w:bookmarkStart w:id="142" w:name="_Toc50"/>
      <w:bookmarkEnd w:id="140"/>
      <w:bookmarkEnd w:id="141"/>
      <w:r>
        <w:rPr>
          <w:rtl w:val="true"/>
        </w:rPr>
        <w:t>المطلب الثاني في اشتراط وجوب الزكاة بالعقل</w:t>
      </w:r>
      <w:bookmarkEnd w:id="142"/>
    </w:p>
    <w:p>
      <w:pPr>
        <w:pStyle w:val="Heading6"/>
        <w:numPr>
          <w:ilvl w:val="5"/>
          <w:numId w:val="1"/>
        </w:numPr>
        <w:rPr/>
      </w:pPr>
      <w:bookmarkStart w:id="143" w:name="__RefHeading___Toc2586505_1280447820"/>
      <w:bookmarkStart w:id="144" w:name="_Toc51"/>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فيتفرّع عليه أنّه لا زكاة في أموال المجنون من النقدين و المواشي و الغلاّت، و هذا الحكم في الجملة و إن كان ممّا لا خلاف فيه، إلاّ أنّ إثباته بطريق القاعدة المجمع عليها الثابتة بالعقل و النقل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 مطلق التكليف بالعقل</w:t>
      </w:r>
      <w:r>
        <w:rPr>
          <w:rStyle w:val="FootnoteAnchor"/>
          <w:rtl w:val="true"/>
        </w:rPr>
        <w:footnoteReference w:id="402"/>
      </w:r>
      <w:r>
        <w:rPr>
          <w:rFonts w:ascii="Amiri" w:hAnsi="Amiri" w:eastAsia="Amiri" w:cs="Amiri"/>
          <w:color w:val="111111"/>
          <w:sz w:val="28"/>
          <w:sz w:val="28"/>
          <w:szCs w:val="28"/>
          <w:rtl w:val="true"/>
          <w:lang w:bidi="ar-SA"/>
        </w:rPr>
        <w:t>و المجنون 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لأنّ الزكاة في مال المجنون لو كانت واجبة فالمخاطب بإخراجها الوليّ لا المجنون، فعدم توجّه التكليف إليه لا ينافي وجوب الزكاة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سقط جملة من الاستدلالات المذكورة هاهنا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الزكاة تكليف و المجنون ليس من أهل التكليف</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الزكاة عبادة محضة مفتقرة إلى النيّة و هي متعذّرة من المجنون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فإنّها ليست متعذّرة من الوليّ‌، و مثل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الصبيّ حتّى يبلغ و عن المجنون حتّى يفيق</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فإنّ رفع قلم التكليف عن المجنون لا ينافي وجوب الزكاة على وجه يكون المخاطب بإخراجها الوليّ‌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الزكاة شرّعت مطهّرة للذنب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تُزَكِّيهِمْ بِهٰا </w:t>
      </w:r>
      <w:r>
        <w:rPr>
          <w:rStyle w:val="FootnoteAnchor"/>
          <w:rtl w:val="true"/>
        </w:rPr>
        <w:footnoteReference w:id="406"/>
      </w:r>
      <w:r>
        <w:rPr>
          <w:rFonts w:ascii="Amiri" w:hAnsi="Amiri" w:eastAsia="Amiri" w:cs="Amiri"/>
          <w:color w:val="111111"/>
          <w:sz w:val="28"/>
          <w:sz w:val="28"/>
          <w:szCs w:val="28"/>
          <w:rtl w:val="true"/>
          <w:lang w:bidi="ar-SA"/>
        </w:rPr>
        <w:t>و المجنون لا ذنب عليه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إطلاق انتفاء الذنب عن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يدلّ عليه الآية كون مطهّرية الذنب من خواصّ الزكاة، و لا يقتضي ذلك كون العلّة الباعثة على تشريعها و وجوبها مطلقا هي التطهير للذنب، فلا ينافي وجوب الزكاة في مال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إثباته،</w:t>
      </w:r>
      <w:r>
        <w:rPr>
          <w:rStyle w:val="FootnoteAnchor"/>
          <w:rtl w:val="true"/>
        </w:rPr>
        <w:footnoteReference w:id="408"/>
      </w:r>
      <w:r>
        <w:rPr>
          <w:rFonts w:ascii="Amiri" w:hAnsi="Amiri" w:eastAsia="Amiri" w:cs="Amiri"/>
          <w:color w:val="111111"/>
          <w:sz w:val="28"/>
          <w:sz w:val="28"/>
          <w:szCs w:val="28"/>
          <w:rtl w:val="true"/>
          <w:lang w:bidi="ar-SA"/>
        </w:rPr>
        <w:t>التمسّك بالاصول العامّة العمليّة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عدم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تعرّض الشارع لجعل في مال المجنون،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براءة ذمّة الوليّ عن التكليف بإخراجها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الأدلّة الخاصّة كالإجماعات</w:t>
      </w:r>
      <w:r>
        <w:rPr>
          <w:rStyle w:val="FootnoteAnchor"/>
          <w:rtl w:val="true"/>
        </w:rPr>
        <w:footnoteReference w:id="409"/>
      </w:r>
      <w:r>
        <w:rPr>
          <w:rFonts w:ascii="IRNazanin" w:hAnsi="IRNazanin" w:eastAsia="IRNazanin"/>
          <w:color w:val="111111"/>
          <w:sz w:val="28"/>
          <w:sz w:val="28"/>
          <w:szCs w:val="28"/>
          <w:rtl w:val="true"/>
          <w:lang w:bidi="fa-IR"/>
        </w:rPr>
        <w:t>و النصوص</w:t>
      </w:r>
      <w:r>
        <w:rPr>
          <w:rStyle w:val="FootnoteAnchor"/>
          <w:rtl w:val="true"/>
        </w:rPr>
        <w:footnoteReference w:id="410"/>
      </w:r>
      <w:r>
        <w:rPr>
          <w:rFonts w:ascii="Amiri" w:hAnsi="Amiri" w:eastAsia="Amiri" w:cs="Amiri"/>
          <w:color w:val="111111"/>
          <w:sz w:val="28"/>
          <w:sz w:val="28"/>
          <w:szCs w:val="28"/>
          <w:rtl w:val="true"/>
          <w:lang w:bidi="ar-SA"/>
        </w:rPr>
        <w:t>فليس فيها ما ينهض لنفي وجوبها في مطلق أمواله، نعم الظاهر أنّ عدم وجوبها في خصوص النقدين إجماعي، و الإجماعات المنقولة عليه مستفيضة، مثل ما في المدارك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أجمع علماؤنا كافّة على أنّه يشترط في وجوب الزكاة في الذهب و الفضّة الكمال، فلا تجب زكاتهما على صبيّ و لا على مجنون</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 ما في الروضة كما عن البيان</w:t>
      </w:r>
      <w:r>
        <w:rPr>
          <w:rStyle w:val="FootnoteAnchor"/>
          <w:rtl w:val="true"/>
        </w:rPr>
        <w:footnoteReference w:id="412"/>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زكاة على المجنون في النقدين إجماعا</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و ما عن الغنية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وجوبها في الذهب و الفضّة العقل بدليل الإجماع الماضي ذكره</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و ما عن المعتبر و المنتهى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مذهب علمائنا أجمع</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و عن المقنعة أيضا ما يؤذن بدعواه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عند آل الرسول صلّى اللّه عليه و آله في صامت أموال المجانين من الدراهم و الدنانير</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تستحبّ في النقدين‌؟ الظاهر نعم بلا خلاف ظاهرا لخبر عبد الرحمن بن الحجّاج الموصوف بالصحّة في كلام جماعة</w:t>
      </w:r>
      <w:r>
        <w:rPr>
          <w:rStyle w:val="FootnoteAnchor"/>
          <w:rtl w:val="true"/>
        </w:rPr>
        <w:footnoteReference w:id="417"/>
      </w:r>
      <w:r>
        <w:rPr>
          <w:rFonts w:ascii="Amiri" w:hAnsi="Amiri" w:eastAsia="Amiri" w:cs="Amiri"/>
          <w:color w:val="111111"/>
          <w:sz w:val="28"/>
          <w:sz w:val="28"/>
          <w:szCs w:val="28"/>
          <w:rtl w:val="true"/>
          <w:lang w:bidi="ar-SA"/>
        </w:rPr>
        <w:t>و الحسن في كلام بعضهم</w:t>
      </w:r>
      <w:r>
        <w:rPr>
          <w:rStyle w:val="FootnoteAnchor"/>
          <w:rtl w:val="true"/>
        </w:rPr>
        <w:footnoteReference w:id="418"/>
      </w:r>
      <w:r>
        <w:rPr>
          <w:rFonts w:ascii="Amiri" w:hAnsi="Amiri" w:eastAsia="Amiri" w:cs="Amiri"/>
          <w:color w:val="111111"/>
          <w:sz w:val="28"/>
          <w:sz w:val="28"/>
          <w:szCs w:val="28"/>
          <w:rtl w:val="true"/>
          <w:lang w:bidi="ar-SA"/>
        </w:rPr>
        <w:t xml:space="preserve">و القوّة في </w:t>
      </w:r>
    </w:p>
    <w:p>
      <w:pPr>
        <w:pStyle w:val="BookText"/>
        <w:rPr/>
      </w:pPr>
      <w:r>
        <w:rPr>
          <w:rFonts w:ascii="Amiri" w:hAnsi="Amiri" w:eastAsia="Amiri" w:cs="Amiri"/>
          <w:color w:val="111111"/>
          <w:sz w:val="28"/>
          <w:sz w:val="28"/>
          <w:szCs w:val="28"/>
          <w:rtl w:val="true"/>
          <w:lang w:bidi="ar-SA"/>
        </w:rPr>
        <w:t>الذخيرة</w:t>
      </w:r>
      <w:r>
        <w:rPr>
          <w:rStyle w:val="FootnoteAnchor"/>
          <w:rtl w:val="true"/>
        </w:rPr>
        <w:footnoteReference w:id="4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أهلنا مختلطة أ عليها 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عمل به فعليها زكاة، و إن لم يعمل به فلا</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قصوره كذلك مجبور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خبر موسى بن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امرأة مصابة و لها مال في يد أخيها هل عليه 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أخوها يتّجر به فعليه زكاة</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و ظهورهما في الوجوب يخرج عنه بكونه متروكا عند الأصحاب إذ لا عامل بهذا الظهور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غلاّته و مواشيه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الزكاة فيهما كما عن الشيخين و أتباعهما</w:t>
      </w:r>
      <w:r>
        <w:rPr>
          <w:rStyle w:val="FootnoteAnchor"/>
          <w:rtl w:val="true"/>
        </w:rPr>
        <w:footnoteReference w:id="422"/>
      </w:r>
      <w:r>
        <w:rPr>
          <w:rFonts w:ascii="Amiri" w:hAnsi="Amiri" w:eastAsia="Amiri" w:cs="Amiri"/>
          <w:color w:val="111111"/>
          <w:sz w:val="28"/>
          <w:sz w:val="28"/>
          <w:szCs w:val="28"/>
          <w:rtl w:val="true"/>
          <w:lang w:bidi="ar-SA"/>
        </w:rPr>
        <w:t>استنادا إلى أنّ الزكاة تجب في غلاّت الأطفال و مواشيهم فكذلك في غلاّت المجانين و مواشيهم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عدم الوجوب</w:t>
      </w:r>
      <w:r>
        <w:rPr>
          <w:rStyle w:val="FootnoteAnchor"/>
          <w:rtl w:val="true"/>
        </w:rPr>
        <w:footnoteReference w:id="423"/>
      </w:r>
      <w:r>
        <w:rPr>
          <w:rFonts w:ascii="IRNazanin" w:hAnsi="IRNazanin" w:eastAsia="IRNazanin"/>
          <w:color w:val="111111"/>
          <w:sz w:val="28"/>
          <w:sz w:val="28"/>
          <w:szCs w:val="28"/>
          <w:rtl w:val="true"/>
          <w:lang w:bidi="fa-IR"/>
        </w:rPr>
        <w:t>و هو المنصور للأصل المتقدّم</w:t>
      </w:r>
      <w:r>
        <w:rPr>
          <w:rStyle w:val="FootnoteAnchor"/>
          <w:rtl w:val="true"/>
        </w:rPr>
        <w:footnoteReference w:id="424"/>
      </w:r>
      <w:r>
        <w:rPr>
          <w:rFonts w:ascii="Amiri" w:hAnsi="Amiri" w:eastAsia="Amiri" w:cs="Amiri"/>
          <w:color w:val="111111"/>
          <w:sz w:val="28"/>
          <w:sz w:val="28"/>
          <w:szCs w:val="28"/>
          <w:rtl w:val="true"/>
          <w:lang w:bidi="ar-SA"/>
        </w:rPr>
        <w:t>و عدم دليل مخرج عنه أو رافع موضوعه، و ما أشرنا إليه، فالحكم في الأصل ممنوع، و بعد تسليمه فالملازمة بينه و بين مثله في المجنون ممنوعة، لبطلان القياس إن اريد ثبوتها لجامع عدم العقل، و منع ثبوت الإجماع المركّب و عدم وجود القائل بالفصل إن اريد ثبوتها للإجماع، و منع الغلبة المعتدّ بها بحيث أوجب الظنّ و الاطمئنان إن اريد ثبوتها بالاستقراء بدعوى أنّ المجنون يشارك الطفل في غالب الأحكام فكذلك فيما نحن فيه لأنّ الظنّ يلحق الشيء بالأعمّ الأغلب</w:t>
      </w:r>
      <w:r>
        <w:rPr>
          <w:rFonts w:eastAsia="Amiri" w:cs="Amiri" w:ascii="Amiri" w:hAnsi="Amiri"/>
          <w:color w:val="111111"/>
          <w:sz w:val="28"/>
          <w:szCs w:val="28"/>
          <w:rtl w:val="true"/>
          <w:lang w:bidi="ar-SA"/>
        </w:rPr>
        <w:t xml:space="preserve">. </w:t>
      </w:r>
      <w:bookmarkStart w:id="145" w:name="pg16181_154467"/>
    </w:p>
    <w:p>
      <w:pPr>
        <w:pStyle w:val="BookText"/>
        <w:rPr/>
      </w:pPr>
      <w:bookmarkEnd w:id="145"/>
      <w:r>
        <w:rPr>
          <w:rFonts w:ascii="Amiri" w:hAnsi="Amiri" w:eastAsia="Amiri" w:cs="Amiri"/>
          <w:color w:val="111111"/>
          <w:sz w:val="28"/>
          <w:sz w:val="28"/>
          <w:szCs w:val="28"/>
          <w:rtl w:val="true"/>
          <w:lang w:bidi="ar-SA"/>
        </w:rPr>
        <w:t>و هل تستحبّ فيهما؟ الأكثر</w:t>
      </w:r>
      <w:r>
        <w:rPr>
          <w:rStyle w:val="FootnoteAnchor"/>
          <w:rtl w:val="true"/>
        </w:rPr>
        <w:footnoteReference w:id="425"/>
      </w:r>
      <w:r>
        <w:rPr>
          <w:rFonts w:ascii="Amiri" w:hAnsi="Amiri" w:eastAsia="Amiri" w:cs="Amiri"/>
          <w:color w:val="111111"/>
          <w:sz w:val="28"/>
          <w:sz w:val="28"/>
          <w:szCs w:val="28"/>
          <w:rtl w:val="true"/>
          <w:lang w:bidi="ar-SA"/>
        </w:rPr>
        <w:t>لا، للأصل مع عدم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تمسّكا بالاستقراء</w:t>
      </w:r>
      <w:r>
        <w:rPr>
          <w:rStyle w:val="FootnoteAnchor"/>
          <w:rtl w:val="true"/>
        </w:rPr>
        <w:footnoteReference w:id="426"/>
      </w:r>
      <w:r>
        <w:rPr>
          <w:rFonts w:ascii="Amiri" w:hAnsi="Amiri" w:eastAsia="Amiri" w:cs="Amiri"/>
          <w:color w:val="111111"/>
          <w:sz w:val="28"/>
          <w:sz w:val="28"/>
          <w:szCs w:val="28"/>
          <w:rtl w:val="true"/>
          <w:lang w:bidi="ar-SA"/>
        </w:rPr>
        <w:t>و هو مدخول فيه</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2586507_1280447820"/>
      <w:bookmarkStart w:id="147" w:name="_Toc52"/>
      <w:bookmarkEnd w:id="146"/>
      <w:r>
        <w:rPr>
          <w:rtl w:val="true"/>
        </w:rPr>
        <w:t>فوائد</w:t>
      </w:r>
      <w:r>
        <w:rPr>
          <w:rtl w:val="true"/>
        </w:rPr>
        <w:t>:</w:t>
      </w:r>
      <w:bookmarkEnd w:id="147"/>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إطلاق الأكثر</w:t>
      </w:r>
      <w:r>
        <w:rPr>
          <w:rStyle w:val="FootnoteAnchor"/>
          <w:rtl w:val="true"/>
        </w:rPr>
        <w:footnoteReference w:id="427"/>
      </w:r>
      <w:r>
        <w:rPr>
          <w:rFonts w:ascii="Amiri" w:hAnsi="Amiri" w:eastAsia="Amiri" w:cs="Amiri"/>
          <w:color w:val="111111"/>
          <w:sz w:val="28"/>
          <w:sz w:val="28"/>
          <w:szCs w:val="28"/>
          <w:rtl w:val="true"/>
          <w:lang w:bidi="ar-SA"/>
        </w:rPr>
        <w:t>في المجنون عدم الفرق في عدم وجوب الزكاة في أمواله بين المطبق و ذي الأدوار، لأنّهم أطلقوا الحكم بعدم الوجوب في المجنون من غير استفصال،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من المفيد إلى الفاضل</w:t>
      </w:r>
      <w:r>
        <w:rPr>
          <w:rStyle w:val="FootnoteAnchor"/>
          <w:rtl w:val="true"/>
        </w:rPr>
        <w:footnoteReference w:id="428"/>
      </w:r>
      <w:r>
        <w:rPr>
          <w:rFonts w:ascii="Amiri" w:hAnsi="Amiri" w:eastAsia="Amiri" w:cs="Amiri"/>
          <w:color w:val="111111"/>
          <w:sz w:val="28"/>
          <w:sz w:val="28"/>
          <w:szCs w:val="28"/>
          <w:rtl w:val="true"/>
          <w:lang w:bidi="ar-SA"/>
        </w:rPr>
        <w:t>حيث لم يستفصل أحد بين الإطباقي و الأدواري حتّى إنّ الفاضل في التذكرة</w:t>
      </w:r>
      <w:r>
        <w:rPr>
          <w:rStyle w:val="FootnoteAnchor"/>
          <w:rtl w:val="true"/>
        </w:rPr>
        <w:footnoteReference w:id="429"/>
      </w:r>
      <w:r>
        <w:rPr>
          <w:rFonts w:ascii="Amiri" w:hAnsi="Amiri" w:eastAsia="Amiri" w:cs="Amiri"/>
          <w:color w:val="111111"/>
          <w:sz w:val="28"/>
          <w:sz w:val="28"/>
          <w:szCs w:val="28"/>
          <w:rtl w:val="true"/>
          <w:lang w:bidi="ar-SA"/>
        </w:rPr>
        <w:t>و إن تعرّض لذكر ذي الأدوار إلاّ أنّه صرّح بعدم وجوب الزكاة عليه أيضا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الجنون يعتوره أدوارا اشترط الكمال طول الحول، و لو جنّ في أثنائه سقط و استأنف من حين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نقف ممّن تأخّر منه أو تقدّم عليه على من أوجبها على ذي الأدوار دون المطبق، أو استشكل في اشتراط الكمال طول الحول عدى صاحب المدارك حيث استشكل فيما ذكره الفاضل في التذكرة</w:t>
      </w:r>
      <w:r>
        <w:rPr>
          <w:rStyle w:val="FootnoteAnchor"/>
          <w:rtl w:val="true"/>
        </w:rPr>
        <w:footnoteReference w:id="430"/>
      </w:r>
      <w:r>
        <w:rPr>
          <w:rFonts w:ascii="Amiri" w:hAnsi="Amiri" w:eastAsia="Amiri" w:cs="Amiri"/>
          <w:color w:val="111111"/>
          <w:sz w:val="28"/>
          <w:sz w:val="28"/>
          <w:szCs w:val="28"/>
          <w:rtl w:val="true"/>
          <w:lang w:bidi="ar-SA"/>
        </w:rPr>
        <w:t>بعد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تعلّق الوجوب به في حال الإفاقة إذ لا مانع من توجّه الخطاب إليه في تلك الحال</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 الضعف ما لا يخفى، إذ ليس الكلام في أنّ طروء الجنون في أثناء الحول هل هو مانع من تعلّق الزكاة حال الإفاقة أو لا؟ حتّى يتمسّك لنفي المانعيّة بأنّه لا مانع من توجّه الخطاب إليه في تلك الحال، بل الكلام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الحول الّذي تخلّل في أثنائه الجنون في توجّه الخطاب بالزكاة أو لا؟ نظرا إلى كون الزكاة واجبا مشروطا </w:t>
      </w:r>
    </w:p>
    <w:p>
      <w:pPr>
        <w:pStyle w:val="BookText"/>
        <w:rPr/>
      </w:pPr>
      <w:r>
        <w:rPr>
          <w:rFonts w:ascii="Amiri" w:hAnsi="Amiri" w:eastAsia="Amiri" w:cs="Amiri"/>
          <w:color w:val="111111"/>
          <w:sz w:val="28"/>
          <w:sz w:val="28"/>
          <w:szCs w:val="28"/>
          <w:rtl w:val="true"/>
          <w:lang w:bidi="ar-SA"/>
        </w:rPr>
        <w:t>بحلول الحول و الشكّ إنّما هو في كفاية هذا الحول في تحقّق الشرط، و مرجعه إلى الشكّ في وجود المقتضي لوجوب الزكاة، و الاستناد إلى نفي المانعيّة مع الشكّ المذكور غير 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ظهر صحّة التمسّك بالأصل لنفي وجوبها على ذي الأدوار أيضا، لكون الشكّ المفروض ما يحرز به موضوع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فالوجه في عدم الفرق كما هو الأقرب بين ذي الإطباق و ذي الأدوار هو اتّحاد الطريق أعني الأصل حسبما قرّرناه</w:t>
      </w:r>
      <w:r>
        <w:rPr>
          <w:rStyle w:val="FootnoteAnchor"/>
          <w:rtl w:val="true"/>
        </w:rPr>
        <w:footnoteReference w:id="432"/>
      </w:r>
      <w:r>
        <w:rPr>
          <w:rFonts w:ascii="Amiri" w:hAnsi="Amiri" w:eastAsia="Amiri" w:cs="Amiri"/>
          <w:color w:val="111111"/>
          <w:sz w:val="28"/>
          <w:sz w:val="28"/>
          <w:szCs w:val="28"/>
          <w:rtl w:val="true"/>
          <w:lang w:bidi="ar-SA"/>
        </w:rPr>
        <w:t>و بعبارة اخرى أنّ الأصل الّذي هو المستند في عدم وجوب الزكاة في أموال مطلق المجنون جار بعينه في ذي الأدوار، فرجع محصّل الكلام إلى ما ذكره في التذكرة من اشتراط حصول الكمال الّذي هو شرط وجوب الزكاة طول الحول و استمرار حال الإفاقة في تمام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ربما يشكل الحال في هذا البيان بأنّه إنّما يستقيم فيما اشترط في وجوب الزكاة فيه من الأموال حلول الحول كالنقدين و المواشي و أمّا ما لا يشترط فيه كالغلاّت فلا، بل يكفي فيه حصول الشرط و هو الكمال من حين تعلّق الوجوب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اشتداد الحبّ في الحنطة و الشعير، و انعقاد الحصرم في الزبيب، و بدوّ الصلاح و هو الاحمرار أو الاصفرار في التمر إلى زمان تنجّز التكليف بالاخراج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يتّجه القول بالوجوب في الأدواري في خصوص غلاّته إذا كان إفاقته من حين تعلّق الوجوب بالمال إلى توجّه الخطاب بالإخراج، و لم نقف من الأصحاب على من فصّل بنحو هذا التفصيل، بل قضيّة إطلاق الأكثر حسبما عرفت</w:t>
      </w:r>
      <w:r>
        <w:rPr>
          <w:rStyle w:val="FootnoteAnchor"/>
          <w:rtl w:val="true"/>
        </w:rPr>
        <w:footnoteReference w:id="433"/>
      </w:r>
      <w:r>
        <w:rPr>
          <w:rFonts w:ascii="Amiri" w:hAnsi="Amiri" w:eastAsia="Amiri" w:cs="Amiri"/>
          <w:color w:val="111111"/>
          <w:sz w:val="28"/>
          <w:sz w:val="28"/>
          <w:szCs w:val="28"/>
          <w:rtl w:val="true"/>
          <w:lang w:bidi="ar-SA"/>
        </w:rPr>
        <w:t>هو إطلاق الحكم بالقياس إلى قسمي المجنون في جميع أموالهما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التمسّك للتعميم في أموال الأدواري و إلحاق غلاّته بسائر أمواله بعدم القول بالفصل و الإجماع المركّب بعد ما ثبت أحد شطريه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بعدم جريان قاعدة الإجماع المركّب فيما ثبت أحد شطريه بالأصل، لعدم ثبوت الإجماع على الملازمة بينهما في الحكم الظاهري كما ثبت عليها في الحكم الواقعي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التمسّك بالأصل أيضا هنا لكون الأدواري في جميع حالاته و أمواله حتّى </w:t>
      </w:r>
    </w:p>
    <w:p>
      <w:pPr>
        <w:pStyle w:val="BookText"/>
        <w:rPr/>
      </w:pPr>
      <w:r>
        <w:rPr>
          <w:rFonts w:ascii="Amiri" w:hAnsi="Amiri" w:eastAsia="Amiri" w:cs="Amiri"/>
          <w:color w:val="111111"/>
          <w:sz w:val="28"/>
          <w:sz w:val="28"/>
          <w:szCs w:val="28"/>
          <w:rtl w:val="true"/>
          <w:lang w:bidi="ar-SA"/>
        </w:rPr>
        <w:t>الغلاّت مشكوك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الاحتياط في إخراج الزكاة من غلاّته إذا تحقّقت إفاقته من حين تعلّق الوجوب إلى توجّه الخطاب بالإخراج، و أحوط منه رعاية إخراج الزكاة منها مطلقا، و أحوط منهما الإخراج من مطلق أمواله حتّى النقدين و المواشي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التذكرة كما حكي عنه أيضا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تجب الزكاة على الساهي و النائم و المغفل، دون المغمى عليه لأنّه تكليف و ليس من أهله</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اعترضه صاحب المدارك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الفرق نظر فإنّه إن أراد أنّ المغمى عليه ليس أهلا للتكليف في حال الإغماء فمسلّم لكن النائم كذلك، و إن أراد كون الإغماء مقتضيا لانقطاع الحول و سقوط الزكاة كما ذكره في ذي الأدوار طولب بدليله، و بالجملة فالمتّجه مساواة الإغماء للنوم في تحقّق التكليف بالزكاة بعد زوالهما كما في غيرها من التكاليف و عدم انقطاع الحول بعروض ذلك في أثنائه</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و استجوده في المناهل</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المراد بالسهو هنا النسيان، و لكن لا يدرى أنّه هل هو نسيان المال، أو نسيان بلوغه النصاب، أو نسيان أصل عنوان الزكاة، أو نسيان وجوبها حين تحقّق سائر شرائطه‌؟ و أيّا ما كان فالظاهر توجّه الخطاب بها بعد التذكّر حال اجتماع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الاحتمالات جارية في المغفل الظاهر في إرادة الغافل فبعد زوال الغفلة يتوجّه الخطاب بالزكاة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النوم فلا يدرى أنّ المراد به ما كان مستوعبا لتمام الحول، أو متحقّقا في أثنائه مطلقا، أو عند تعلّق الوجوب، أو عند توجّه الخطاب بالإخراج‌؟ و الأوّل بعيد، بل محال عادة، و أيّا ما كان فالظاهر هنا أيضا توجّه الخطاب بعد الانتباه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الإغماء فهو كما ذكره المدارك من عدم لحوقه بالجنون</w:t>
      </w:r>
      <w:r>
        <w:rPr>
          <w:rStyle w:val="FootnoteAnchor"/>
          <w:rtl w:val="true"/>
        </w:rPr>
        <w:footnoteReference w:id="437"/>
      </w:r>
      <w:r>
        <w:rPr>
          <w:rFonts w:ascii="IRNazanin" w:hAnsi="IRNazanin" w:eastAsia="IRNazanin"/>
          <w:color w:val="111111"/>
          <w:sz w:val="28"/>
          <w:sz w:val="28"/>
          <w:szCs w:val="28"/>
          <w:rtl w:val="true"/>
          <w:lang w:bidi="fa-IR"/>
        </w:rPr>
        <w:t>و هو ظاهر الأصحاب ممّن عدى الفاضل</w:t>
      </w:r>
      <w:r>
        <w:rPr>
          <w:rStyle w:val="FootnoteAnchor"/>
          <w:rtl w:val="true"/>
        </w:rPr>
        <w:footnoteReference w:id="438"/>
      </w:r>
      <w:r>
        <w:rPr>
          <w:rFonts w:ascii="Amiri" w:hAnsi="Amiri" w:eastAsia="Amiri" w:cs="Amiri"/>
          <w:color w:val="111111"/>
          <w:sz w:val="28"/>
          <w:sz w:val="28"/>
          <w:szCs w:val="28"/>
          <w:rtl w:val="true"/>
          <w:lang w:bidi="ar-SA"/>
        </w:rPr>
        <w:t>حيث لم يستثنوا إلاّ المجنون، و توهّم عموم المجنون للمغمى عليه بحسب المفهوم كما ترى</w:t>
      </w:r>
      <w:r>
        <w:rPr>
          <w:rFonts w:eastAsia="Amiri" w:cs="Amiri" w:ascii="Amiri" w:hAnsi="Amiri"/>
          <w:color w:val="111111"/>
          <w:sz w:val="28"/>
          <w:szCs w:val="28"/>
          <w:rtl w:val="true"/>
          <w:lang w:bidi="ar-SA"/>
        </w:rPr>
        <w:t xml:space="preserve">. </w:t>
      </w:r>
      <w:bookmarkStart w:id="148" w:name="pg16181_154470"/>
    </w:p>
    <w:p>
      <w:pPr>
        <w:pStyle w:val="Heading5"/>
        <w:numPr>
          <w:ilvl w:val="4"/>
          <w:numId w:val="1"/>
        </w:numPr>
        <w:rPr/>
      </w:pPr>
      <w:bookmarkStart w:id="149" w:name="__RefHeading___Toc2586509_1280447820"/>
      <w:bookmarkStart w:id="150" w:name="_Toc53"/>
      <w:bookmarkEnd w:id="148"/>
      <w:bookmarkEnd w:id="149"/>
      <w:r>
        <w:rPr>
          <w:rtl w:val="true"/>
        </w:rPr>
        <w:t>المطلب الثالث في اشتراط وجوب الزكاة بالحرّية</w:t>
      </w:r>
      <w:bookmarkEnd w:id="150"/>
    </w:p>
    <w:p>
      <w:pPr>
        <w:pStyle w:val="Heading6"/>
        <w:numPr>
          <w:ilvl w:val="5"/>
          <w:numId w:val="1"/>
        </w:numPr>
        <w:rPr/>
      </w:pPr>
      <w:bookmarkStart w:id="151" w:name="__RefHeading___Toc2586511_1280447820"/>
      <w:bookmarkStart w:id="152" w:name="_Toc54"/>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ليتفرّع عليه عدم وجوبها على المملوك، بل هو على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يملك مطلقا</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ممّا لا خلاف فيه، فلا يجب عليه على هذا القول زكاة قولا واحدا، هذا كما هو المصرّح به في كلامهم</w:t>
      </w:r>
      <w:r>
        <w:rPr>
          <w:rStyle w:val="FootnoteAnchor"/>
          <w:rtl w:val="true"/>
        </w:rPr>
        <w:footnoteReference w:id="440"/>
      </w:r>
      <w:r>
        <w:rPr>
          <w:rFonts w:ascii="Amiri" w:hAnsi="Amiri" w:eastAsia="Amiri" w:cs="Amiri"/>
          <w:color w:val="111111"/>
          <w:sz w:val="28"/>
          <w:sz w:val="28"/>
          <w:szCs w:val="28"/>
          <w:rtl w:val="true"/>
          <w:lang w:bidi="ar-SA"/>
        </w:rPr>
        <w:t>بل هذا في الحقيقة خارج عن معقد البحث، بل مع انتفاء الملك الّذي هو من شروط وجوبها على ما سيأتي</w:t>
      </w:r>
      <w:r>
        <w:rPr>
          <w:rStyle w:val="FootnoteAnchor"/>
          <w:rtl w:val="true"/>
        </w:rPr>
        <w:footnoteReference w:id="441"/>
      </w:r>
      <w:r>
        <w:rPr>
          <w:rFonts w:ascii="Amiri" w:hAnsi="Amiri" w:eastAsia="Amiri" w:cs="Amiri"/>
          <w:color w:val="111111"/>
          <w:sz w:val="28"/>
          <w:sz w:val="28"/>
          <w:szCs w:val="28"/>
          <w:rtl w:val="true"/>
          <w:lang w:bidi="ar-SA"/>
        </w:rPr>
        <w:t>لا معنى للتكلّم في اشتراط الحرّية أيضا، بل لا فائدة فيه أصلا لأنّ اشتراطه يغني عن اشتراطها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فالمقصود من عقد هذا البحث إنّما هو بيان شرطيّة الحرّية أو عدمها على القول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مطلقا</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 الضريبة</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أرش الجناية</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أو غير ذلك، فإنّ </w:t>
      </w:r>
    </w:p>
    <w:p>
      <w:pPr>
        <w:pStyle w:val="BookText"/>
        <w:rPr/>
      </w:pPr>
      <w:r>
        <w:rPr>
          <w:rFonts w:ascii="Amiri" w:hAnsi="Amiri" w:eastAsia="Amiri" w:cs="Amiri"/>
          <w:color w:val="111111"/>
          <w:sz w:val="28"/>
          <w:sz w:val="28"/>
          <w:szCs w:val="28"/>
          <w:rtl w:val="true"/>
          <w:lang w:bidi="ar-SA"/>
        </w:rPr>
        <w:t>فيه خلافا بين الأصحاب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بأنّه لا زكاة عليه و هو للفاضلين في الشرائع</w:t>
      </w:r>
      <w:r>
        <w:rPr>
          <w:rStyle w:val="FootnoteAnchor"/>
          <w:rtl w:val="true"/>
        </w:rPr>
        <w:footnoteReference w:id="445"/>
      </w:r>
      <w:r>
        <w:rPr>
          <w:rFonts w:ascii="Amiri" w:hAnsi="Amiri" w:eastAsia="Amiri" w:cs="Amiri"/>
          <w:color w:val="111111"/>
          <w:sz w:val="28"/>
          <w:sz w:val="28"/>
          <w:szCs w:val="28"/>
          <w:rtl w:val="true"/>
          <w:lang w:bidi="ar-SA"/>
        </w:rPr>
        <w:t>و التذكرة</w:t>
      </w:r>
      <w:r>
        <w:rPr>
          <w:rStyle w:val="FootnoteAnchor"/>
          <w:rtl w:val="true"/>
        </w:rPr>
        <w:footnoteReference w:id="446"/>
      </w:r>
      <w:r>
        <w:rPr>
          <w:rFonts w:ascii="Amiri" w:hAnsi="Amiri" w:eastAsia="Amiri" w:cs="Amiri"/>
          <w:color w:val="111111"/>
          <w:sz w:val="28"/>
          <w:sz w:val="28"/>
          <w:szCs w:val="28"/>
          <w:rtl w:val="true"/>
          <w:lang w:bidi="ar-SA"/>
        </w:rPr>
        <w:t>و قيل بوجوبها عليه و هو أيضا لهما في المعتبر و المنتهى</w:t>
      </w:r>
      <w:r>
        <w:rPr>
          <w:rStyle w:val="FootnoteAnchor"/>
          <w:rtl w:val="true"/>
        </w:rPr>
        <w:footnoteReference w:id="447"/>
      </w:r>
      <w:r>
        <w:rPr>
          <w:rFonts w:ascii="Amiri" w:hAnsi="Amiri" w:eastAsia="Amiri" w:cs="Amiri"/>
          <w:color w:val="111111"/>
          <w:sz w:val="28"/>
          <w:sz w:val="28"/>
          <w:szCs w:val="28"/>
          <w:rtl w:val="true"/>
          <w:lang w:bidi="ar-SA"/>
        </w:rPr>
        <w:t>و في المختلف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القول بأنّه يملك فاضل الضريبة و أرش الجناية قولان للأصحاب نقلهما الشيخ</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الأوّل للأكثر بل يتناوله إطلاق الإجماع الّذي نقله في التذكرة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شرط في الزكاة فلا يجب على العبد بإجماع العلماء</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 الخلاف مبنيّ على القول بملكه، فالأولى التكلّم في تحقيق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أنّه يملك أو لا يملك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يملك مطلقا و هو للأكثر، و في الرياض أنّه الأشهر</w:t>
      </w:r>
      <w:r>
        <w:rPr>
          <w:rStyle w:val="FootnoteAnchor"/>
          <w:rtl w:val="true"/>
        </w:rPr>
        <w:footnoteReference w:id="450"/>
      </w:r>
      <w:r>
        <w:rPr>
          <w:rFonts w:ascii="Amiri" w:hAnsi="Amiri" w:eastAsia="Amiri" w:cs="Amiri"/>
          <w:color w:val="111111"/>
          <w:sz w:val="28"/>
          <w:sz w:val="28"/>
          <w:szCs w:val="28"/>
          <w:rtl w:val="true"/>
          <w:lang w:bidi="ar-SA"/>
        </w:rPr>
        <w:t>و عن التذكرة</w:t>
      </w:r>
      <w:r>
        <w:rPr>
          <w:rStyle w:val="FootnoteAnchor"/>
          <w:rtl w:val="true"/>
        </w:rPr>
        <w:footnoteReference w:id="451"/>
      </w:r>
      <w:r>
        <w:rPr>
          <w:rFonts w:ascii="Amiri" w:hAnsi="Amiri" w:eastAsia="Amiri" w:cs="Amiri"/>
          <w:color w:val="111111"/>
          <w:sz w:val="28"/>
          <w:sz w:val="28"/>
          <w:szCs w:val="28"/>
          <w:rtl w:val="true"/>
          <w:lang w:bidi="ar-SA"/>
        </w:rPr>
        <w:t>و المصابيح</w:t>
      </w:r>
      <w:r>
        <w:rPr>
          <w:rStyle w:val="FootnoteAnchor"/>
          <w:rtl w:val="true"/>
        </w:rPr>
        <w:footnoteReference w:id="452"/>
      </w:r>
      <w:r>
        <w:rPr>
          <w:rFonts w:ascii="Amiri" w:hAnsi="Amiri" w:eastAsia="Amiri" w:cs="Amiri"/>
          <w:color w:val="111111"/>
          <w:sz w:val="28"/>
          <w:sz w:val="28"/>
          <w:szCs w:val="28"/>
          <w:rtl w:val="true"/>
          <w:lang w:bidi="ar-SA"/>
        </w:rPr>
        <w:t>دعوى الشهرة، و نسبه في التذكرة إلى أكثر علمائنا</w:t>
      </w:r>
      <w:r>
        <w:rPr>
          <w:rStyle w:val="FootnoteAnchor"/>
          <w:rtl w:val="true"/>
        </w:rPr>
        <w:footnoteReference w:id="453"/>
      </w:r>
      <w:r>
        <w:rPr>
          <w:rFonts w:ascii="Amiri" w:hAnsi="Amiri" w:eastAsia="Amiri" w:cs="Amiri"/>
          <w:color w:val="111111"/>
          <w:sz w:val="28"/>
          <w:sz w:val="28"/>
          <w:szCs w:val="28"/>
          <w:rtl w:val="true"/>
          <w:lang w:bidi="ar-SA"/>
        </w:rPr>
        <w:t>و عن زكاة الخلاف و نهج الحق الإجماع عليه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 و هو خيرة الشرائع</w:t>
      </w:r>
      <w:r>
        <w:rPr>
          <w:rStyle w:val="FootnoteAnchor"/>
          <w:rtl w:val="true"/>
        </w:rPr>
        <w:footnoteReference w:id="455"/>
      </w:r>
      <w:r>
        <w:rPr>
          <w:rFonts w:ascii="Amiri" w:hAnsi="Amiri" w:eastAsia="Amiri" w:cs="Amiri"/>
          <w:color w:val="111111"/>
          <w:sz w:val="28"/>
          <w:sz w:val="28"/>
          <w:szCs w:val="28"/>
          <w:rtl w:val="true"/>
          <w:lang w:bidi="ar-SA"/>
        </w:rPr>
        <w:t>و عزى إلى التنقيح</w:t>
      </w:r>
      <w:r>
        <w:rPr>
          <w:rStyle w:val="FootnoteAnchor"/>
          <w:rtl w:val="true"/>
        </w:rPr>
        <w:footnoteReference w:id="456"/>
      </w:r>
      <w:r>
        <w:rPr>
          <w:rFonts w:ascii="Amiri" w:hAnsi="Amiri" w:eastAsia="Amiri" w:cs="Amiri"/>
          <w:color w:val="111111"/>
          <w:sz w:val="28"/>
          <w:sz w:val="28"/>
          <w:szCs w:val="28"/>
          <w:rtl w:val="true"/>
          <w:lang w:bidi="ar-SA"/>
        </w:rPr>
        <w:t>أيضا و عن الدروس نسبته إلى ظاهر الأكثر</w:t>
      </w:r>
      <w:r>
        <w:rPr>
          <w:rStyle w:val="FootnoteAnchor"/>
          <w:rtl w:val="true"/>
        </w:rPr>
        <w:footnoteReference w:id="457"/>
      </w:r>
      <w:r>
        <w:rPr>
          <w:rFonts w:ascii="Amiri" w:hAnsi="Amiri" w:eastAsia="Amiri" w:cs="Amiri"/>
          <w:color w:val="111111"/>
          <w:sz w:val="28"/>
          <w:sz w:val="28"/>
          <w:szCs w:val="28"/>
          <w:rtl w:val="true"/>
          <w:lang w:bidi="ar-SA"/>
        </w:rPr>
        <w:t>و في المسالك و الروضة أنّ القول بالملك في الجملة للأكثر</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 فاضل الضريبة خاصّة، اختاره في النافع</w:t>
      </w:r>
      <w:r>
        <w:rPr>
          <w:rStyle w:val="FootnoteAnchor"/>
          <w:rtl w:val="true"/>
        </w:rPr>
        <w:footnoteReference w:id="459"/>
      </w:r>
      <w:r>
        <w:rPr>
          <w:rFonts w:ascii="Amiri" w:hAnsi="Amiri" w:eastAsia="Amiri" w:cs="Amiri"/>
          <w:color w:val="111111"/>
          <w:sz w:val="28"/>
          <w:sz w:val="28"/>
          <w:szCs w:val="28"/>
          <w:rtl w:val="true"/>
          <w:lang w:bidi="ar-SA"/>
        </w:rPr>
        <w:t>و الكفاية</w:t>
      </w:r>
      <w:r>
        <w:rPr>
          <w:rStyle w:val="FootnoteAnchor"/>
          <w:rtl w:val="true"/>
        </w:rPr>
        <w:footnoteReference w:id="460"/>
      </w:r>
      <w:r>
        <w:rPr>
          <w:rFonts w:ascii="Amiri" w:hAnsi="Amiri" w:eastAsia="Amiri" w:cs="Amiri"/>
          <w:color w:val="111111"/>
          <w:sz w:val="28"/>
          <w:sz w:val="28"/>
          <w:szCs w:val="28"/>
          <w:rtl w:val="true"/>
          <w:lang w:bidi="ar-SA"/>
        </w:rPr>
        <w:t>و حكاه في الشرائع</w:t>
      </w:r>
      <w:r>
        <w:rPr>
          <w:rStyle w:val="FootnoteAnchor"/>
          <w:rtl w:val="true"/>
        </w:rPr>
        <w:footnoteReference w:id="461"/>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 أرش الجناية خاصّة، حكاه في المعتبر</w:t>
      </w:r>
      <w:r>
        <w:rPr>
          <w:rStyle w:val="FootnoteAnchor"/>
          <w:rtl w:val="true"/>
        </w:rPr>
        <w:footnoteReference w:id="462"/>
      </w:r>
      <w:r>
        <w:rPr>
          <w:rFonts w:ascii="IRNazanin" w:hAnsi="IRNazanin" w:eastAsia="IRNazanin"/>
          <w:color w:val="111111"/>
          <w:sz w:val="28"/>
          <w:sz w:val="28"/>
          <w:szCs w:val="28"/>
          <w:rtl w:val="true"/>
          <w:lang w:bidi="fa-IR"/>
        </w:rPr>
        <w:t>عن بعض</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يملك فاضل الضريبة و أرش الجناية معا، حكاه في المنتهى عن </w:t>
      </w:r>
    </w:p>
    <w:p>
      <w:pPr>
        <w:pStyle w:val="BookText"/>
        <w:rPr/>
      </w:pPr>
      <w:r>
        <w:rPr>
          <w:rFonts w:ascii="IRNazanin" w:hAnsi="IRNazanin" w:eastAsia="IRNazanin"/>
          <w:color w:val="111111"/>
          <w:sz w:val="28"/>
          <w:sz w:val="28"/>
          <w:szCs w:val="28"/>
          <w:rtl w:val="true"/>
          <w:lang w:bidi="fa-IR"/>
        </w:rPr>
        <w:t>بعض الأصحاب</w:t>
      </w:r>
      <w:r>
        <w:rPr>
          <w:rStyle w:val="FootnoteAnchor"/>
          <w:rtl w:val="true"/>
        </w:rPr>
        <w:footnoteReference w:id="463"/>
      </w:r>
      <w:r>
        <w:rPr>
          <w:rFonts w:ascii="Amiri" w:hAnsi="Amiri" w:eastAsia="Amiri" w:cs="Amiri"/>
          <w:color w:val="111111"/>
          <w:sz w:val="28"/>
          <w:sz w:val="28"/>
          <w:szCs w:val="28"/>
          <w:rtl w:val="true"/>
          <w:lang w:bidi="ar-SA"/>
        </w:rPr>
        <w:t>و عن التنقيح</w:t>
      </w:r>
      <w:r>
        <w:rPr>
          <w:rStyle w:val="FootnoteAnchor"/>
          <w:rtl w:val="true"/>
        </w:rPr>
        <w:footnoteReference w:id="464"/>
      </w:r>
      <w:r>
        <w:rPr>
          <w:rFonts w:ascii="Amiri" w:hAnsi="Amiri" w:eastAsia="Amiri" w:cs="Amiri"/>
          <w:color w:val="111111"/>
          <w:sz w:val="28"/>
          <w:sz w:val="28"/>
          <w:szCs w:val="28"/>
          <w:rtl w:val="true"/>
          <w:lang w:bidi="ar-SA"/>
        </w:rPr>
        <w:t>أنّه حكاه عن النهاية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عزي إلى الشيخ في التهذيب من أنّه يملك ما ملّكه المولى و فاضل الضريبة و أرش الجناية</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نقل في المسألة أقوال اخر أشار إليها شيخنا قدّس سرّه في الجواهر</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كثيرة، مرجعها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الاعتبار و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المالكيّة و التملّك أمر حادث و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التمسّك به إنّما ينفع لو لا عمومات الملك و الأسباب المملّكة الاختياريّة أو القهريّة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الاعتبار فمن وجوه غير خالية عن مصادرات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مملوك فلا يكون مالكا لأنّ مالكيّته لغيره فرع مالكيّته لنفسه، و إنّ ما يكتسبه العبد من فوائد ملك المولى فيكون تابعا له، و إنّ نفسه و بدنه و صفاته الّتي من جملتها مالكيّته و سلطانه مملوكة و يرجع ذلك إلى أنّ جميع ما بيده من الأموال و الأملاك مملوكة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خفاء في ضعف الجميع، و على تقدير خلوصها عن المصادرة لا تنهض لتأسيس الحكم الشرعي، نعم تصلح مؤيّدة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الكتاب فقوله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لاٰ يَقْدِرُ عَلىٰ شَيْ‌ءٍ </w:t>
      </w:r>
      <w:r>
        <w:rPr>
          <w:rStyle w:val="FootnoteAnchor"/>
          <w:rtl w:val="true"/>
        </w:rPr>
        <w:footnoteReference w:id="468"/>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منفيّة فتفيد العموم، و تملّكه للمال و تصرّفه الّذي هو لازم له، شيء، و قضيّة العموم نفي القدرة عليه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المناقشة فيه بأنّه لا ينفي الملكيّة القهريّة الغير المنوطة بقدرة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كالموصى به و الوقف الخاصّ بل العامّ على القول بدخوله في ملك الموقوف عليهم و ما أشبه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تندفع بانضمام الإجماع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متى ثبت امتناع الملك الاختياري للعبد ثبت امتناع الملك القهري له أيضا، للإجماع على نفي التفصيل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المناقشة فيه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لا عموم فيه فيحتمل الفرد الخاصّ و عدم قدرة عبد من العبيد على شيء لا ينافي قدرة غيره على التملّك، تندفع بأنّ وصف المملوك عامّ و لحوقه بالعبد يقتضي إرادة جنس العبد إذ ليس في العبيد من ليس بملك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المناقشة فيه بأنّ الاستدلال إنّما ينهض لو كان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صفة موضحة مساوية لموصوفها، و هو غير معلوم، بل الظاهر خلافه، فإنّ الأصل في الصفة أن تكون مخصّصة و لذا أطلق الاصوليّون كون الصفة من المخصّصات، و عليه لا يتّجه الاستدلال بها على المدّعى، بل هي بالدلالة على خلافه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فيدفعها منع كون الصفة المذكورة مخصّصة بل هي موضحة، و التمسّك للأوّل بالأصل المذكور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الأصل حيث لا مدرك له حسبما بيّنّاه</w:t>
      </w:r>
      <w:r>
        <w:rPr>
          <w:rStyle w:val="FootnoteAnchor"/>
          <w:rtl w:val="true"/>
        </w:rPr>
        <w:footnoteReference w:id="469"/>
      </w:r>
      <w:r>
        <w:rPr>
          <w:rFonts w:ascii="Amiri" w:hAnsi="Amiri" w:eastAsia="Amiri" w:cs="Amiri"/>
          <w:color w:val="111111"/>
          <w:sz w:val="28"/>
          <w:sz w:val="28"/>
          <w:szCs w:val="28"/>
          <w:rtl w:val="true"/>
          <w:lang w:bidi="ar-SA"/>
        </w:rPr>
        <w:t xml:space="preserve">في الاصول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حجّية 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كلام الاصوليّين حيث يعدّون الصفة من المخصّصات شهادة بذلك الأصل بل غرضهم ثمّة بيان أنّ من المخصّصات المتّصلة، الصفة من دون نظر إلى أنّ الأصل فيها كونها مخصّصة أو لا؟ و لذا يذكره كلّ من يقول بذلك الأصل و كلّ من ينكره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الأصل المذكور على تقدير ثبوته ليس هنا في مجراه لأنّها إنّما تجري في صفة صالحة لأن تكون مخصّصة بأن تكون أخصّ من موصوفها في الصدق لوضوح امتناع كون المساوية له مخصّصة فلا بدّ عند التمسّك بالأصل المذكور إحراز الصلاحيّة من غير جهة الأصل بإثبات كونها أخصّ ثمّ التمسّك به لإثبات التخصيص بها و لا يمكن إحراز أصل الصلاحيّة و إثباتها بالأصل، و منشأ إشكال الموضحيّة و المخصّصيّة فيما نحن فيه إنّما هو اشتباه حال عدم القدرة على شيء من حيث إنّه مساو للعبوديّة في الصدق كما أنّ المملوكيّة مساوية له أو أخصّ منه، فما لم يحرز كونه </w:t>
      </w:r>
    </w:p>
    <w:p>
      <w:pPr>
        <w:pStyle w:val="BookText"/>
        <w:rPr/>
      </w:pPr>
      <w:r>
        <w:rPr>
          <w:rFonts w:ascii="Amiri" w:hAnsi="Amiri" w:eastAsia="Amiri" w:cs="Amiri"/>
          <w:color w:val="111111"/>
          <w:sz w:val="28"/>
          <w:sz w:val="28"/>
          <w:szCs w:val="28"/>
          <w:rtl w:val="true"/>
          <w:lang w:bidi="ar-SA"/>
        </w:rPr>
        <w:t>أخصّ لم يتّجه التمسّك، و لا يمكن إثبات كونه كذلك بنفس ذلك الأصل، فالّذي ينبغي أن يتكلّم فيه إنّما هو مساواة تلك لموصوفها لتكون في الآية موضحة أو كونها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المساواة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الآية من جهة قرينة المقام و سياق الكلام أنّ غرضه تعالى بذكر الوصفين بعد العبد إنّما هو الكشف عن معنى في الموصوف لازم له غير منفكّ منه،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لاٰ يَقْدِرُ عَلىٰ شَيْ‌ءٍ‌ و إن كانت بحسب الصورة صفة إلاّ أنّها بحسب المعنى وردت للحكم على العبد بكونه لا يقدر على شيء و الإخبار عنه بذلك بحكم التبادر و الانفهام، و لا يصحّ ذلك إذا ساوى المحكوم به للمحكوم عليه لعدم جواز الإخبار عن الأعمّ بالأخصّ صونا لكلام الحكيم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القدرة على التملّك لو لا كونه لازما مساويا لموصوفه لناسب أن يذكر الإنسان أو الرجل مثلا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إنسانا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عاريا عن الفائدة، و توضيحه أنّ عدم القدرة على التملّك إمّا من جهة انتفاء قابليّة التملّك، أو من جهة فقدان المال لأن يتملّك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الثاني صفة مشتركة بين العبد المملوك و الحرّ الغير المملوك لأنّ منه من لا يقدر على التملّك لفقدان المال، و قضيّة كون الصفة أخصّ أن يكون عدم القدرة لأجل فقدان المال لا انتفاء قابليّة التملّك، و المناسب له أن يؤخذ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موصوفا لعدم فائدة في تخصيص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و حيث إنّه خصّ بالذكر اقتضى كون عدم قدرته على التملّك من جهة انتفاء قابليّة التملّك، و هو يقضي بكون الصفة مساوية للموصوف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المقابلة بين العبد المملوك الّذي وصفه بأنّه لا يقدر على شيء و الحرّ الّذي وصفه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رَزَقْنٰاهُ مِنّٰا رِزْقاً حَسَناً فَهُوَ يُنْفِقُ مِنْهُ سِرًّا وَ جَهْراً هَلْ يَسْتَوُونَ‌ </w:t>
      </w:r>
      <w:r>
        <w:rPr>
          <w:rStyle w:val="FootnoteAnchor"/>
          <w:rtl w:val="true"/>
        </w:rPr>
        <w:footnoteReference w:id="470"/>
      </w:r>
      <w:r>
        <w:rPr>
          <w:rFonts w:ascii="Amiri" w:hAnsi="Amiri" w:eastAsia="Amiri" w:cs="Amiri"/>
          <w:color w:val="111111"/>
          <w:sz w:val="28"/>
          <w:sz w:val="28"/>
          <w:szCs w:val="28"/>
          <w:rtl w:val="true"/>
          <w:lang w:bidi="ar-SA"/>
        </w:rPr>
        <w:t>فإنّه تعالى وصف الحرّ بوصفين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رزقه رزقا حسنا، فإنّ الظاهر أنّ المراد به أنّه أعطاه مالا كثيرا </w:t>
      </w:r>
    </w:p>
    <w:p>
      <w:pPr>
        <w:pStyle w:val="BookText"/>
        <w:rPr/>
      </w:pPr>
      <w:r>
        <w:rPr>
          <w:rFonts w:ascii="Amiri" w:hAnsi="Amiri" w:eastAsia="Amiri" w:cs="Amiri"/>
          <w:color w:val="111111"/>
          <w:sz w:val="28"/>
          <w:sz w:val="28"/>
          <w:szCs w:val="28"/>
          <w:rtl w:val="true"/>
          <w:lang w:bidi="ar-SA"/>
        </w:rPr>
        <w:t>و ملّكه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يتصرّف فيه بالتصرّفات الماليّة التابعة للملك الّتي منها إنفاقه منه سرّا و جهرا، و قضيّة إطلاق نفي المساواة بينهما انتفاء كلّ من هذين الوصفين عن العبد، كنّى عن انتفاء الوصف الأوّل بوصف المملوكيّة و النكتة فيه تنافي المملوكيّة للمالكيّة بحيث لا يجتمعان في محلّ واحد، و عن انتفاء الوصف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شَيْ‌ءٍ‌ أي على شيء من التصرّفات الماليّة التابعة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ظهر أنّ الآية أدلّ شيء في المقام على نفي صلاحية المملوك للملك على وجه السلب الكلّي، بل ربما يظهر من تفريع الإنفاق سرّا و جهرا في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أعطاه اللّه المال و ملّكه إيّاه على ما هو مفاد كلمة الفاء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يُنْفِقُ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الوصف الأوّل توطئة لإيراد الوصف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يقال في العبد بقرينة المقابلة فذكر المملوكيّة الّتي هي كناية عن عدم المالكيّة توطئة لذكر عدم قدرته على التصرّفات الماليّة التابعة للملكيّة، و هذا بظاهره يعطي أنّ انتفاء القدرة فيه على التصرّفات الماليّة إنّما هو باعتبار انتفاء مالكيّته على معنى كونه من الآثار المترتّبة عليه و الأحكام المتفرّعة عليه، كما أنّ قدرة الحرّ و سلطنته على تلك التصرّفات من الآثار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يندفع ما اورد كما عن مجمع الفائدة</w:t>
      </w:r>
      <w:r>
        <w:rPr>
          <w:rStyle w:val="FootnoteAnchor"/>
          <w:rtl w:val="true"/>
        </w:rPr>
        <w:footnoteReference w:id="471"/>
      </w:r>
      <w:r>
        <w:rPr>
          <w:rFonts w:ascii="Amiri" w:hAnsi="Amiri" w:eastAsia="Amiri" w:cs="Amiri"/>
          <w:color w:val="111111"/>
          <w:sz w:val="28"/>
          <w:sz w:val="28"/>
          <w:szCs w:val="28"/>
          <w:rtl w:val="true"/>
          <w:lang w:bidi="ar-SA"/>
        </w:rPr>
        <w:t>من أنّه على تقدير تسليم كون القيد للبيان و شاملا للتصرّف و الأقوال فعدم القدرة عليها لا يلازم انتفاء الملك لجواز كونه من جهة الحجر باعتبار المملوك محجور عليه حتّى على القول بأنّه يملك فإنّ ظاهر الآية كون انتفاء القدرة متفرّعا على المملوكيّة الملازمة لانتفاء المالكيّة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يندفع به أيضا ما قيل أيضا من أنّ لاٰ يَقْدِرُ عَلىٰ شَيْ‌ءٍ‌ و إن كان نكرة منفيّة إلاّ أنّ إرادة العموم منها ممنوعة لاقتضائه تخصيص العامّ إلى أقلّ من النصف، لقدرة العبد على أشياء كثيرة مع إذن المولى، فينبغي حملها على إرادة شيء معيّن و هو غير معلوم لنا، فتصير الآية مجملة، فإنّ تفريع عدم القدرة على انتفاء الملكيّة يقضي بأنّ </w:t>
      </w:r>
    </w:p>
    <w:p>
      <w:pPr>
        <w:pStyle w:val="BookText"/>
        <w:rPr/>
      </w:pPr>
      <w:r>
        <w:rPr>
          <w:rFonts w:ascii="Amiri" w:hAnsi="Amiri" w:eastAsia="Amiri" w:cs="Amiri"/>
          <w:color w:val="111111"/>
          <w:sz w:val="28"/>
          <w:sz w:val="28"/>
          <w:szCs w:val="28"/>
          <w:rtl w:val="true"/>
          <w:lang w:bidi="ar-SA"/>
        </w:rPr>
        <w:t>المراد به نفي السلطنة المالكيّة، فهو بهذا الاعتبار لا يقدر على شيء من دون استثناء شيء فلا تخصيص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أيضا من الكتاب بقوله عزّ من قائل في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فَأَنْتُمْ فِيهِ سَوٰاءٌ </w:t>
      </w:r>
      <w:r>
        <w:rPr>
          <w:rStyle w:val="FootnoteAnchor"/>
          <w:rtl w:val="true"/>
        </w:rPr>
        <w:footnoteReference w:id="472"/>
      </w:r>
      <w:r>
        <w:rPr>
          <w:rFonts w:ascii="Amiri" w:hAnsi="Amiri" w:eastAsia="Amiri" w:cs="Amiri"/>
          <w:color w:val="111111"/>
          <w:sz w:val="28"/>
          <w:sz w:val="28"/>
          <w:szCs w:val="28"/>
          <w:rtl w:val="true"/>
          <w:lang w:bidi="ar-SA"/>
        </w:rPr>
        <w:t>فإنّ الاستفهام فيه إنكاري يقتضي امتناع الشركة بين الأحرار و المماليك بوجه، و لو صحّ ملك العبد لأمكن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المصابيح بعد الاستدلال بهذه الآية بالوجه الّذي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من الموصول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رَزَقْنٰاكُمْ‌ جنس الأموال الّتي رزق اللّه عباده لا خصوص الأعيان الّتي رزقها الأحرار، إذ لا دلالة في ذلك حينئذ على رفعة شأن الموالي و ضعة المماليك و نقصهم، لأنّ التساوي بهذا الوجه منفيّ في حقّ الأحرار أيضا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الاستدلال كما عن مجمع الفائدة بما محصّله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غاية ما يدلّ عليه الآية إنّما هو نفي شركة المملوك في مال مولاه، و هو لا ينافي تملّكه بالاستقلال فيما ملّكه المولى أو بالكسب و نحوه من دون شركة</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 فطوائف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الروايات على أنّ العبد إذا بيع كان ما في يده قبل البيع لسيّده، إلاّ أن يدخله في البيع أو يشترط كونه للمشتري فيكون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محمّد بن مسلم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باع مملوكا فوجد له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للبائع إنّما باع نفسه إلاّ أن يكون شرط عليه أنّ ما كان له من مال أو متاع فهو له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يحيى بن أبي العلاء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عبد اللّه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عبدا و كان للعبد مال فالمال للبائع إلاّ أن يشترط المبتاع، أمر رسول اللّه صلّى اللّه عليه و آله بذلك</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المملوك و ماله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مال المملوك أكثر ممّا اشتراه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المملوك و له مال لمن ماله‌؟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البائع إنّ له مالا فهو للمشتري، و إن لم يكن علم فهو للبائع</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أيضا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جعفر و أبي عبد اللّه عليهما السّلام في رجل باع مملوكا و له مال،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مولاه الّذي باعه أنّ له مالا فالمال للمشتري، و إن لم يعلم به البائع فالمال للبائع</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بها أنّ المملوك لو كان مالكا لما في يده لاستمرّ ملكه له بعد البيع و لم يكن شيء من ذلك للبائع و لا للمشتري، بل و لم يكن للبائع بيعه معه، و لا اشتراطه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بيان وجه الاستدلال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سياق هذه الروايات سؤالا و جوابا أنّ السائل فيها كمحمّد بن مسلم و زرارة و غيرهما كان معتقدا بأنّ المملوك ليس مالكا لما في يده من المال و أنّه كان ملكا لمولاه و إلاّ لم يحتج إلى السؤال خصوصا بنحو ما في صحيحة زرارة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مردّدا و شاكّا في أنّه هل لمولاه الأوّل و هو البائع‌؟ أو لمولاه الثاني و هو المشتري‌؟ بتوهّم دخوله في المبيع تبعا و انتقالا مع المملوك من مالكه الأوّل إلى مالكه الثاني فقرّره الإمام عليه السّلام على معتقده من عدم مالكيّة المملوك و كون الملك للمملوك و أجاب عمّا هو مردّد و شاكّ فيه بطريق قصر التعيين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للمشتري إلاّ أن يشترط في ضمن العقد كونه للمشتري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باع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في معنى التعليل للنفي </w:t>
      </w:r>
    </w:p>
    <w:p>
      <w:pPr>
        <w:pStyle w:val="BookText"/>
        <w:rPr/>
      </w:pPr>
      <w:r>
        <w:rPr>
          <w:rFonts w:ascii="Amiri" w:hAnsi="Amiri" w:eastAsia="Amiri" w:cs="Amiri"/>
          <w:color w:val="111111"/>
          <w:sz w:val="28"/>
          <w:sz w:val="28"/>
          <w:szCs w:val="28"/>
          <w:rtl w:val="true"/>
          <w:lang w:bidi="ar-SA"/>
        </w:rPr>
        <w:t>المستفاد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للحصر من باب قصر التعيين، و حاصله أنّ المالك إنّما باع المملوك فلا موجب لكون ماله للمشتري ما لم يشترط كونه له، و قضيّة هذا البيان كون اللام حيثما اضيف إلى المملوك في جميع هذه الأخبار للاختصاص المطلق، و حيثما اضيف إلى البائع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يندفع جملة من المناقشات الواردة على الاستدلال بتلك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قيل من أنّ كون اللام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ليس بأولى من كونه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بل الأوّل لا ينافي الثاني، فيحكم بكون العبد مالكا و لكن ينتقل المال منه إلى البائع فيكون له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أنّ المجاز في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 من مال أو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تقييد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شرط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بصورة رضا العبد بما شرط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عساه يناقش من أنّ ما في يد المملوك من المال قد يكون أصله من مولاه، و قد أخذه خيانة و سرقة و ادّخره لنفسه كما هو المعمول بين الخدمة و العبيد، و حينئذ فالحكم بكونه للبائع إنّما هو باعتبار كونه من أصله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يقتضي اختصاصه به، و هذا لا يصدق على التقدير المفروض، لوضوح أنّه لا يقال على المال المسروق الّذي بيد السارق و لا على المال المغصوب الّذي في يد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عساه أيضا يناقش به من أنّ كون المال المختصّ بالمملوك ملكا للبائع في مورد الأخبار المذكورة لا ينافي قابليّة المملوك لأن يكون مالكا بأحد من الأسباب المملّكة، لجواز كون المال المفروض إنّما حصل له بعطيّة من مولاه من دون تمليك لمجرّد الإباحة في التصرّف و الانتفاع به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ترك الاستفصال المفيد للعموم في كلام الإمام عليه السّلام بعد إطلاق السائل، و لكن يشكل ذلك بالنسبة إلى فاضل الضريبة و أرش الجناية لأنّ الروايات لا تنفي صلاحية العبد لتملّك هذين المالين، و ترك الاستفصال غير مجد في عموم الحكم لهما، لأنّه إنّما يفيد العموم فيما لو كان المطلق متواطئا بأن لا يتفاوت أفراده في الشيوع و الندرة، و إلاّ فإطلاق الجواب كإطلاق السؤال ينصرف إلى الأفراد الشائعة، و لا ريب </w:t>
      </w:r>
    </w:p>
    <w:p>
      <w:pPr>
        <w:pStyle w:val="BookText"/>
        <w:rPr/>
      </w:pPr>
      <w:r>
        <w:rPr>
          <w:rFonts w:ascii="Amiri" w:hAnsi="Amiri" w:eastAsia="Amiri" w:cs="Amiri"/>
          <w:color w:val="111111"/>
          <w:sz w:val="28"/>
          <w:sz w:val="28"/>
          <w:szCs w:val="28"/>
          <w:rtl w:val="true"/>
          <w:lang w:bidi="ar-SA"/>
        </w:rPr>
        <w:t>في ندرة وقوع فاضل الضريبة و أرش الجناية فلا يعمّه إطلاق السؤال و الجواب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أنّ العبد إذا اعتق و كان في يده مال فهو لمولاه المعتق كصحيحة زرارة المرويّة بطرق عديدة عن أبي جعفر عليه السّلام و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أعتق عبدا له و للعبد مال، لمن المال‌؟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إنّ له مالا تبعه ماله، و إلاّ فهو للمعتق</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و موثّقة عبد الرحمن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أعتق عبدا له و للعبد مال و هو يعلم أنّ له مالا، فتوفّي الّذي أعتق العبد لمن يكون المال‌؟ يكون للّذي أعتق العبد أو للعبد؟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أعتقه و هو يعلم أنّ له مالا فماله له، و إن لم يعلم فماله لولد سيّده</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 على ما ينساق من عبارة المصابيح</w:t>
      </w:r>
      <w:r>
        <w:rPr>
          <w:rStyle w:val="FootnoteAnchor"/>
          <w:rtl w:val="true"/>
        </w:rPr>
        <w:footnoteReference w:id="482"/>
      </w:r>
      <w:r>
        <w:rPr>
          <w:rFonts w:ascii="Amiri" w:hAnsi="Amiri" w:eastAsia="Amiri" w:cs="Amiri"/>
          <w:color w:val="111111"/>
          <w:sz w:val="28"/>
          <w:sz w:val="28"/>
          <w:szCs w:val="28"/>
          <w:rtl w:val="true"/>
          <w:lang w:bidi="ar-SA"/>
        </w:rPr>
        <w:t>أنّه لو كان مالكا لما في يده لم يخرج إلى المولى لمجرّد عدم علمه به عند العتق، لأصالة بقاء ما كان على ما كان، و لامتناع كون الأمر العدمي علّة للوجودي، و كذلك لم يكن له بمجرّد استثنائه عند العتق على ما ورد في بعض الأخبار أيضا كموثّقة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إذا كاتب الرجل مملوكه أو أعتقه و هو يعلم أنّ له مالا و لم يكن السيّد استثنى المال حين أعتقه فهو للعبد</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عورض بأنّه لو لم يكن مالكا لما في يده بل كان ملكا لمولاه لم يخرج إليه بمجرّد علم المولى و عدم استثنائه إيّاه، لأصالة بقاء ما كان على ما كان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لدفعه جواز كون علم المولى به مع عدم تعرّضه له بالاستثناء حين العتق أمارة على إبقائه على إباحته الّتي كانت قبل العتق، حيث أباح له المال ليتصرّف فيه كيف شاء و ينتفع به حيثما أراد بحيث اختصّ به لذلك، أو أمارة على أنّه أعرض عنه فيكون من </w:t>
      </w:r>
    </w:p>
    <w:p>
      <w:pPr>
        <w:pStyle w:val="BookText"/>
        <w:rPr/>
      </w:pPr>
      <w:r>
        <w:rPr>
          <w:rFonts w:ascii="Amiri" w:hAnsi="Amiri" w:eastAsia="Amiri" w:cs="Amiri"/>
          <w:color w:val="111111"/>
          <w:sz w:val="28"/>
          <w:sz w:val="28"/>
          <w:szCs w:val="28"/>
          <w:rtl w:val="true"/>
          <w:lang w:bidi="ar-SA"/>
        </w:rPr>
        <w:t>المال المعرض عنه فيملكه العبد بعد العتق بقصد التملّك، أو أمارة على وهبه إيّاه و بذله له بناء على أنّ المعاطاة تجري في نحو الهبة و البذل، و أنّه يكفي فيهما مطلق الفعل المقصود به التمليك و لو نحو ترك التعرّض له بالاستثناء و الاسترداد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يومئ إلى هذا الوجه أو سابقه التعبير فى غير واحد من الأخبار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عود الضمير المنصوب إلى العتق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تبعه المال الّذي بيده من السيّد في الخروج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يكون مال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سؤال عن تعيين المالك المردّد في نظره بين المولى و العبد، و هذا يدلّ على اشتباه حال ذلك المال في نظره، و من المعلوم أنّه لا بدّ له من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فيه وجوه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موجبه الشبهة في صلاحية المملوك لأن يملك، و عليه فاللام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للعبد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أنّ له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لمطلق الاختصاص الدائر بين الاختصاص الملكي و الاختصاص الغير الملكي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الوجه ضعيف فيبعد تنزيل الروايات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الموجب للسؤال و اشتباه الحال شبهة صلاحية المالكيّة لتلغو ذكر العتق و فرض الواقعة في صورة العتق، إذ لا مدخليّة لخصوصيّة العتق في هذه الشبهة و استعلام حالها، إذ المناسب حينئذ السؤال عن مال العبد في نفسه أعتق أو لم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التفصيل المذكور في الجواب لا يلائم شبهة الصلاحية، لعدم مدخليّة علم المولى بالمال و عدمه في الصلاحية و عدمها حتّى أنّ علمه به يعطيه الصلاحية فإنّه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السائل معتقدا لصلاحية المملوك للمالكيّة و لكنّه لمّا وجد في الخارج أنّ المال الّذي يحصل في يد المماليك على قسمين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للمولى،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ملكه، و اشتبه عليه شخص المال الّذي في يده عند العتق هل هو من القسم الأوّل، أو من القسم الثاني‌؟ فتفصيله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w:t>
      </w:r>
    </w:p>
    <w:p>
      <w:pPr>
        <w:pStyle w:val="BookText"/>
        <w:rPr/>
      </w:pPr>
      <w:r>
        <w:rPr>
          <w:rFonts w:ascii="Amiri" w:hAnsi="Amiri" w:eastAsia="Amiri" w:cs="Amiri"/>
          <w:color w:val="111111"/>
          <w:sz w:val="28"/>
          <w:sz w:val="28"/>
          <w:szCs w:val="28"/>
          <w:rtl w:val="true"/>
          <w:lang w:bidi="ar-SA"/>
        </w:rPr>
        <w:t>المولى إذا كان عالما بالمال فعلمه مع عدم تعرّضه له بالاستثناء كاشف عن كون ذلك المال من القسم الثاني، و إلاّ لقضت العادة باستثنائه، و إذا لم يكن عالما به حكم بكونه للمولى للأصل بمعنى الظاهر الّذي مدركه الغلبة إذ الغالب في الاموال الّتي بأيدي العبيد و المماليك كونها للموالي، و عليه فاللام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للعبد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لمطلق الاختصاص الدائر بين الملكي و الغير الملكي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كسابقه في الضعف، لأنّ قضيّة الفرض كون شبهة السائل موضوعيّة، و هذا خلاف ما ينساق من الروايات سؤالا و جوابا من كونه تعرّض للسؤال لشبهة حكميّة، مع أنّ الشبهة الموضوعيّة في مفروض المقام لا يرجع فيها إلى الإمام عليه السّلام بل ينبغي الرجوع إلى المولى لاستعلام حال المال أو إلى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معتقدا لكون المال المفروض للعبد و لكن كان شبهته ناشئة عن احتمال انتقال المال حين العتق إلى المولى، و قضيّة ذلك كون اللامات بأجمعها في السؤال و الجواب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ضعيف من جهة مخالفة انتقال المال في صورة عدم علم المولى به إليه للاصول و القواعد الشرعيّة و إن كان أوفق بقواعد اللفظ بالنظر إلى اللامات، أمّا مخالفته الاصول فلأصالة بقاء ملك العبد في ذلك المال، و أصالة عدم خروجه عن ملكه، و أصالة عدم دخوله في ملك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مخالفته القواعد فلأنّ انتقال المال إلى السيّد إمّا أن يكون بنفسه و لا عن سبب، و هو مع امتناعه خلاف القاعدة المستفادة من الشرع من أنّ انتقال مال شخص إلى آخر لا بدّ له من ناقل شرعي أو يكون عن سبب، و السبب إمّا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العتق، أو عدم علم المولى بالمال، و الأوّل باطل لأنّ صيغة العتق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ثمرته فكّ الرقّ و لم يجعلها الشارع سببا لنقل الملك من شخص إلى آخر، و كذلك الثاني لامتناع تأثير العدمي في الوجودي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معتقدا بكونه للمولى و لكنّه احتمل بقاء اختصاصه بالعبد بعد العتق أو انتقاله إليه بإعراض أو بذل أو نحوه حسبما أشرنا إليه عند بيان وجه </w:t>
      </w:r>
    </w:p>
    <w:p>
      <w:pPr>
        <w:pStyle w:val="BookText"/>
        <w:rPr/>
      </w:pPr>
      <w:r>
        <w:rPr>
          <w:rFonts w:ascii="Amiri" w:hAnsi="Amiri" w:eastAsia="Amiri" w:cs="Amiri"/>
          <w:color w:val="111111"/>
          <w:sz w:val="28"/>
          <w:sz w:val="28"/>
          <w:szCs w:val="28"/>
          <w:rtl w:val="true"/>
          <w:lang w:bidi="ar-SA"/>
        </w:rPr>
        <w:t>الاستدلال فسئل عن حقيقة الحال، و قضيّة هذا الوجه و إن كان كون اللام في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للعبد مال</w:t>
      </w:r>
      <w:r>
        <w:rPr>
          <w:rFonts w:eastAsia="IRNazanin" w:cs="IRNazanin"/>
          <w:color w:val="111111"/>
          <w:sz w:val="28"/>
          <w:szCs w:val="28"/>
          <w:rtl w:val="true"/>
          <w:lang w:bidi="fa-IR"/>
        </w:rPr>
        <w:t>»</w:t>
      </w:r>
      <w:r>
        <w:rPr>
          <w:rStyle w:val="FootnoteAnchor"/>
          <w:rtl w:val="true"/>
        </w:rPr>
        <w:footnoteReference w:id="484"/>
      </w:r>
      <w:r>
        <w:rPr>
          <w:rFonts w:ascii="Amiri" w:hAnsi="Amiri" w:eastAsia="Amiri" w:cs="Amiri"/>
          <w:color w:val="111111"/>
          <w:sz w:val="28"/>
          <w:sz w:val="28"/>
          <w:szCs w:val="28"/>
          <w:rtl w:val="true"/>
          <w:lang w:bidi="ar-SA"/>
        </w:rPr>
        <w:t>للاختصاص الغير الملكي، و لكنّه في نفسه أوفق بقواعد الشرع و ضوابط الدين، فالأولى تنزيل الروايات</w:t>
      </w:r>
      <w:r>
        <w:rPr>
          <w:rStyle w:val="FootnoteAnchor"/>
          <w:rtl w:val="true"/>
        </w:rPr>
        <w:footnoteReference w:id="485"/>
      </w:r>
      <w:r>
        <w:rPr>
          <w:rFonts w:ascii="Amiri" w:hAnsi="Amiri" w:eastAsia="Amiri" w:cs="Amiri"/>
          <w:color w:val="111111"/>
          <w:sz w:val="28"/>
          <w:sz w:val="28"/>
          <w:szCs w:val="28"/>
          <w:rtl w:val="true"/>
          <w:lang w:bidi="ar-SA"/>
        </w:rPr>
        <w:t>عليه كما أنّ عليه مبنى الاستدلال بالبيان المتقدّم</w:t>
      </w:r>
      <w:r>
        <w:rPr>
          <w:rStyle w:val="FootnoteAnchor"/>
          <w:rtl w:val="true"/>
        </w:rPr>
        <w:footnoteReference w:id="486"/>
      </w:r>
      <w:r>
        <w:rPr>
          <w:rFonts w:ascii="Amiri" w:hAnsi="Amiri" w:eastAsia="Amiri" w:cs="Amiri"/>
          <w:color w:val="111111"/>
          <w:sz w:val="28"/>
          <w:sz w:val="28"/>
          <w:szCs w:val="28"/>
          <w:rtl w:val="true"/>
          <w:lang w:bidi="ar-SA"/>
        </w:rPr>
        <w:t>فالاستدلال في الجملة متّجه لو لا ما سنبيّنه في القدح في الاستدلال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فهذا كسابقه قاصر عن إثبات تمام المدّعى إذ لا ينفي ملك العبد لفاضل الضريبة و أرش الجناية، فهو في مقابل أهل القول بالملك فيهما أو في أحدهما غير ناهض، و ندرة وجود هذين القسمين من المال في أيدي العبيد تمنع من التمسّك بترك الاستفصال المفيد للعموم في صورة إطلاق السؤال 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استدلّ به أهل القول بنفي المالكيّة مطلقا ما عن المصابيح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إذا مات و ترك مالا كان في يده فإنّه لمالكه بالإجماع و النصوص المستفيضة، فلو صحّ ملك ملك</w:t>
      </w:r>
      <w:r>
        <w:rPr>
          <w:rStyle w:val="FootnoteAnchor"/>
          <w:rtl w:val="true"/>
        </w:rPr>
        <w:footnoteReference w:id="487"/>
      </w:r>
      <w:r>
        <w:rPr>
          <w:rFonts w:ascii="Amiri" w:hAnsi="Amiri" w:eastAsia="Amiri" w:cs="Amiri"/>
          <w:color w:val="111111"/>
          <w:sz w:val="28"/>
          <w:sz w:val="28"/>
          <w:szCs w:val="28"/>
          <w:rtl w:val="true"/>
          <w:lang w:bidi="ar-SA"/>
        </w:rPr>
        <w:t>العبد لزم أن يكون ميراثا لأنّه مال انتقل إليه من مالكه بالموت و لا نعني من الميراث إلاّ هذا، و اللازم باطل بالإجماع على أنّ الحرّ لا يرث عبدا، و للصحيح المرويّ عن أبي جعفر عليه السّلام و أبي عبد اللّه عليه السّلام بطرق 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يتوارث الحرّ و العبد</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فالملزوم و هو ملك العبد لما في يده أيضا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ذلك على القول بانتفاء الملك لأنّ ما في يد العبد ملك للمولى قبل موته فلا يكون منتقلا إليه بعده حتّى يكون ميراثا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بمنع الملازمة، لمنع كون كلّ مال ينتقل من إنسان إلى غيره بعد موته ميراثا، فإنّ الوقف ينتقل من أربابه إلى الطبقة الثانية و لا يكون ميراثا و المال الموصى به ينتقل إلى الموصى له بعد موت الموصي و ليس ميراثا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خفاء في ضعفه، إذ الميراث هو المال المنتقل إلى إنسان بموت مالكه من حيث </w:t>
      </w:r>
    </w:p>
    <w:p>
      <w:pPr>
        <w:pStyle w:val="BookText"/>
        <w:rPr/>
      </w:pPr>
      <w:r>
        <w:rPr>
          <w:rFonts w:ascii="Amiri" w:hAnsi="Amiri" w:eastAsia="Amiri" w:cs="Amiri"/>
          <w:color w:val="111111"/>
          <w:sz w:val="28"/>
          <w:sz w:val="28"/>
          <w:szCs w:val="28"/>
          <w:rtl w:val="true"/>
          <w:lang w:bidi="ar-SA"/>
        </w:rPr>
        <w:t>موته على أنّ السبب التامّ للانتقال هو الموت، و عليه فسند المنع ممّا لا وقع له إذ النظيران ليسا ممّا انتقل بالموت على الوجه المذكور، أمّا الوقف فلأنّه على القول بكونه ملكا للموقوف عليهم ينتقل إليهم بعقد الوقف بشرائطه الّتي منها القبض فاستقراء الملك في الطبقة الثانية مشروط بوجودها و انقراض الطبقة الاولى، و أمّا أصل الملك فهو من آثار العقد، و أمّا المال الموصى به فلأنّه ينتقل بنفس الوصيّة إلى الموصى له و شرطه موت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أحد الإجماعين، إمّا الإجماع على الملزوم و هو انتقال المال بموت العبد إلى المولى، أو الإجماع على بطلان اللازم،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 الحرّ لا يرث العبد على تقدير تسليم الملازمة، و كيف يمكن تسليم الإجماعين معا و القائلون بمالكيّة العبد جماعة</w:t>
      </w:r>
      <w:r>
        <w:rPr>
          <w:rStyle w:val="FootnoteAnchor"/>
          <w:rtl w:val="true"/>
        </w:rPr>
        <w:footnoteReference w:id="490"/>
      </w:r>
      <w:r>
        <w:rPr>
          <w:rFonts w:ascii="Amiri" w:hAnsi="Amiri" w:eastAsia="Amiri" w:cs="Amiri"/>
          <w:color w:val="111111"/>
          <w:sz w:val="28"/>
          <w:sz w:val="28"/>
          <w:szCs w:val="28"/>
          <w:rtl w:val="true"/>
          <w:lang w:bidi="ar-SA"/>
        </w:rPr>
        <w:t>كثيرة من المحقّقين، فلا بدّ من كون إحدى المسألتين خلافيّة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لمنع الإجماعين، فإنّهم نقلوه في المسألتين حتّى على القول بملك العبد، بل الإجماع الثاني مبنيّ عليه و إلاّ فلا مال له حتّى يورّث، بل الحقّ رجوع الإجماعين إلى واحد لكون المسألة الاولى عبارة اخرى للمسألة الثانية، فإنّ كون مال العبد بعد موته لمولاه لا معنى له إلاّ أنّه لا يورّث حتّى لو كان له قريب حرّ من ولد أو نحوه كان ماله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ذلك أن لا يكون المولى وارثا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ترى أنّ السيّد في الرياض عند شرح عبارة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الرقّ فيمنع من الإرث في الوارث و الموروث</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قال مفسّرا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أنّ الرقّ لا يورّث بل ماله لمولاه بحقّ الملك لا بالإرث و إن كان له وارث حرّ، و لا خلاف في شيء من ذلك حتّى على القول بأنّ العبد يملك، بل عليه الإجماع في عبائر جمع</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في الجواب هو منع الملازمة، بتقريب أنّ الميراث على ما عرفت هو الّذي انتقل بالموت، و انتقال مال العبد إلى مولاه ليس بالموت من حيث إنّه موت لأنّ ملك العبد على القول به ليس كسائر الأملاك، و لا كملك سائر الملاّك، بل ملك خاصّ مغاير لغيره من جهات عديدة، و لذا كان محجورا عليه و جاز للسيّد انتزاعه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الجائز أن يكون من جهات فرقه أنّه ملك متزلزل مراعى بقاؤه على بقاء رقّية العبد لمولاه فيزول ببيع أو عتق أو موت أو نحو ذلك، و إذا زال ملكه عنه ينتقل إلى المولى بجعل إلهي فتأمّل، فإنّ هذا الاعتبار لا يخرجه عن صدق انتقال المال إليه بالموت عرفا مع ما فيه من التكلّف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فالأوجه بناء كون ماله لمولاه لا لوارثه على عدم ملكه، فالدليل لا يخلو عن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استدلّ به على أنّه لا يملك من جهة الأخبار ما رواه محمّد بن مسلم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ينكح أمته من رجل أ يفرّق بينهما إذا شاء،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مملوكه فليفرّق بينهما إذا شاء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شَيْ‌ءٍ‌ </w:t>
      </w:r>
      <w:r>
        <w:rPr>
          <w:rStyle w:val="FootnoteAnchor"/>
          <w:rtl w:val="true"/>
        </w:rPr>
        <w:footnoteReference w:id="493"/>
      </w:r>
      <w:r>
        <w:rPr>
          <w:rFonts w:ascii="Amiri" w:hAnsi="Amiri" w:eastAsia="Amiri" w:cs="Amiri"/>
          <w:color w:val="111111"/>
          <w:sz w:val="28"/>
          <w:sz w:val="28"/>
          <w:szCs w:val="28"/>
          <w:rtl w:val="true"/>
          <w:lang w:bidi="ar-SA"/>
        </w:rPr>
        <w:t>فليس للعبد شيء من الأمر</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للعبد شيء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بعمومه يشمل التصرّف و الملك، فيدلّ على عدم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بإمكان دعوى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المعهود المفروض في الرواية و هو النكاح، فيدلّ على أنّ العبد لا اختيار له في نكاحه لا عقدا و لا حلاّ بل زمام الأمر بيد السيّد، فيعقد النكاح له حيث شاء و بحلّه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أنّ العبرة بعموم اللفظ لا بخصوص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الاعتذار له بأنّ القدر المتيقّن من ذلك هو الألفاظ الموضوعة لا المطلقات الّتي من جملتها لفظ الأمر، ممّا لا أتحقّق معناه، بل لا نجد فرقا في فهم العرف العامّ بين الألفاظ الخاصّة كلفظ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و إنسان، 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الألفاظ المطلقة الّتي لا اختصاص له بعنوان خاصّ كلفظي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و الأمر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ورد في محلّه يطلق على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الحقيقة، 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أن يكون المراد منه هنا الأوّل ليكون معنى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للعبد شيء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تعبير ركيك و تكرار غير فصيح، فتعيّن حمله على الثاني، فيدلّ الرواية على عدم اختياره في الأفعال </w:t>
      </w:r>
    </w:p>
    <w:p>
      <w:pPr>
        <w:pStyle w:val="BookText"/>
        <w:rPr/>
      </w:pPr>
      <w:r>
        <w:rPr>
          <w:rFonts w:ascii="Amiri" w:hAnsi="Amiri" w:eastAsia="Amiri" w:cs="Amiri"/>
          <w:color w:val="111111"/>
          <w:sz w:val="28"/>
          <w:sz w:val="28"/>
          <w:szCs w:val="28"/>
          <w:rtl w:val="true"/>
          <w:lang w:bidi="ar-SA"/>
        </w:rPr>
        <w:t>المقدورة لغيره من الأحرار بدون إذن مولاه، و هذا لا ينفي مالكيّته الّتي هي من قبيل الصفات خصوصا إذا حصلت قهرا بسبب غير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هذه الرواية ليس فيها دلالة واضحة على نفي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استدلّ أيضا من طريق السنّة صحيحة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في يده مال عليه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سيّده‌؟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لم يصل إليه و ليس هو للمملوك</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 أنّه نفى وجوب الزكاة على المملوك و على سيّده معا معلّلا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بعدم تمكّنه من التصرّف فيما كان في يد المملوك باعتبار كونه غافلا عن أنّ في يده مالا لعدم وصول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قضيّة أنّ في يده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مالكيّته فإنّ كلاّ من الملك و التمكّن من التصرّف شرط لوجوب الزكاة، و هذا مع نفيه بالمطابقة مالكيّة المملوك عمّا في يده يدلّ بالالتزام على ملك المولى لما في يد مملوكه، لأنّه لولاه لناسب تعليل عدم وجوب الزكاة عليه أيضا بعدم الملك الّذي هو علّة مشتركة بينه و بين مملوكه، و الجواب بانضمام ترك الاستفصال يعمّ كلّ مال في يد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هذه الرواية على عدم مالكيّة المملوك في غاية الوضوح، و لكن شمول الحكم لفاضل الضريبة و أرش الجناية موضع نظر لما تقدّم</w:t>
      </w:r>
      <w:r>
        <w:rPr>
          <w:rStyle w:val="FootnoteAnchor"/>
          <w:rtl w:val="true"/>
        </w:rPr>
        <w:footnoteReference w:id="496"/>
      </w:r>
      <w:r>
        <w:rPr>
          <w:rFonts w:ascii="Amiri" w:hAnsi="Amiri" w:eastAsia="Amiri" w:cs="Amiri"/>
          <w:color w:val="111111"/>
          <w:sz w:val="28"/>
          <w:sz w:val="28"/>
          <w:szCs w:val="28"/>
          <w:rtl w:val="true"/>
          <w:lang w:bidi="ar-SA"/>
        </w:rPr>
        <w:t>من ندرة وجود هذين النوعين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استدلّ عليه أيضا خبر محمّد بن قيس الموصوف في المصابيح</w:t>
      </w:r>
      <w:r>
        <w:rPr>
          <w:rStyle w:val="FootnoteAnchor"/>
          <w:rtl w:val="true"/>
        </w:rPr>
        <w:footnoteReference w:id="497"/>
      </w:r>
      <w:r>
        <w:rPr>
          <w:rFonts w:ascii="Amiri" w:hAnsi="Amiri" w:eastAsia="Amiri" w:cs="Amiri"/>
          <w:color w:val="111111"/>
          <w:sz w:val="28"/>
          <w:sz w:val="28"/>
          <w:szCs w:val="28"/>
          <w:rtl w:val="true"/>
          <w:lang w:bidi="ar-SA"/>
        </w:rPr>
        <w:t>بالصحّة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المملوك ما دام عبدا فإنّه و ماله لأهله لا يجوز له تحرير، و لا كثير عطاء و لا وصيّة إلاّ أن يشاء سيّده</w:t>
      </w:r>
      <w:r>
        <w:rPr>
          <w:rFonts w:eastAsia="Amiri" w:cs="Amiri" w:ascii="Amiri" w:hAnsi="Amiri"/>
          <w:color w:val="111111"/>
          <w:sz w:val="28"/>
          <w:szCs w:val="28"/>
          <w:rtl w:val="true"/>
          <w:lang w:bidi="ar-SA"/>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و ماله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نفي ملك العبد لماله و كون ماله ملكا لمولاه كما أنّه ملك لمولاه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فيه بأنّ كون الإضافة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لأدنى ملابسة ليس بأولى من كون </w:t>
      </w:r>
    </w:p>
    <w:p>
      <w:pPr>
        <w:pStyle w:val="BookText"/>
        <w:rPr/>
      </w:pPr>
      <w:r>
        <w:rPr>
          <w:rFonts w:ascii="Amiri" w:hAnsi="Amiri" w:eastAsia="Amiri" w:cs="Amiri"/>
          <w:color w:val="111111"/>
          <w:sz w:val="28"/>
          <w:sz w:val="28"/>
          <w:szCs w:val="28"/>
          <w:rtl w:val="true"/>
          <w:lang w:bidi="ar-SA"/>
        </w:rPr>
        <w:t>اللام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لأدنى ملابسة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الإضافة المذكورة تفيد الاختصاص و لا يعتبر فيه الملكيّة لأنّه الأصل فيها، و الأصل في اللام الملك فلا صارف عن هذين الأصلين، و عليهما مبنى الاستدلال فلا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 المال على العبد في الحكم بكونه للمولى ينفي احتمال إرادة مجرّد الاختصاص من اللام بالنسبة إليه، لأنّه بالنسبة إلى العبد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بالنسبة إليه للملك و إلى المال للاختصاص يوجب الاستعمال في المعنيين الحقيقي و المجازي، و هو غير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للقدر الجامع بينهما و هو مطلق الاختصاص مجاز لا يصار إليه إلاّ لقرينة منتفية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بوجوه اخر غير تامّة لا ينبغي الإطناب بذكرها و قد استوفاها السيّد في المناهل</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التعرّض لبيان أدلّة القول</w:t>
      </w:r>
      <w:r>
        <w:rPr>
          <w:rStyle w:val="FootnoteAnchor"/>
          <w:rtl w:val="true"/>
        </w:rPr>
        <w:footnoteReference w:id="500"/>
      </w:r>
      <w:r>
        <w:rPr>
          <w:rFonts w:ascii="Amiri" w:hAnsi="Amiri" w:eastAsia="Amiri" w:cs="Amiri"/>
          <w:color w:val="111111"/>
          <w:sz w:val="28"/>
          <w:sz w:val="28"/>
          <w:szCs w:val="28"/>
          <w:rtl w:val="true"/>
          <w:lang w:bidi="ar-SA"/>
        </w:rPr>
        <w:t>بالملك و هي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الأحاديث المتكاثرة المتضمّنة لإضافة المال إلى العبد كما تقدّم</w:t>
      </w:r>
      <w:r>
        <w:rPr>
          <w:rStyle w:val="FootnoteAnchor"/>
          <w:rtl w:val="true"/>
        </w:rPr>
        <w:footnoteReference w:id="501"/>
      </w:r>
      <w:r>
        <w:rPr>
          <w:rFonts w:ascii="Amiri" w:hAnsi="Amiri" w:eastAsia="Amiri" w:cs="Amiri"/>
          <w:color w:val="111111"/>
          <w:sz w:val="28"/>
          <w:sz w:val="28"/>
          <w:szCs w:val="28"/>
          <w:rtl w:val="true"/>
          <w:lang w:bidi="ar-SA"/>
        </w:rPr>
        <w:t>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الإضافة إن لم تكن بتوسيط اللام فهي ليست إلاّ للاختصاص، و إن كانت بتوسيط اللام فهي محمولة على مطلق الاختصاص لقرينة تقدّم</w:t>
      </w:r>
      <w:r>
        <w:rPr>
          <w:rStyle w:val="FootnoteAnchor"/>
          <w:rtl w:val="true"/>
        </w:rPr>
        <w:footnoteReference w:id="502"/>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حصول الملك بالأسباب الشرعيّة أجناسا و أنواعا فإنّه يعمّ الأحرار و العبيد، و المناقشة فيه بالانصراف إلى الأحرار غير مسموعة بالقياس إلى ما كان عمومه بالوضع لا بالإطلاق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عند شروطهم</w:t>
      </w:r>
      <w:r>
        <w:rPr>
          <w:rFonts w:eastAsia="IRNazanin" w:cs="IRNazanin"/>
          <w:color w:val="111111"/>
          <w:sz w:val="28"/>
          <w:szCs w:val="28"/>
          <w:rtl w:val="true"/>
          <w:lang w:bidi="fa-IR"/>
        </w:rPr>
        <w:t>»</w:t>
      </w:r>
      <w:r>
        <w:rPr>
          <w:rStyle w:val="FootnoteAnchor"/>
          <w:rtl w:val="true"/>
        </w:rPr>
        <w:footnoteReference w:id="504"/>
      </w:r>
      <w:r>
        <w:rPr>
          <w:rFonts w:ascii="Amiri" w:hAnsi="Amiri" w:eastAsia="Amiri" w:cs="Amiri"/>
          <w:color w:val="111111"/>
          <w:sz w:val="28"/>
          <w:sz w:val="28"/>
          <w:szCs w:val="28"/>
          <w:rtl w:val="true"/>
          <w:lang w:bidi="ar-SA"/>
        </w:rPr>
        <w:t>و ما أشبه ذلك ممّا لا يجري فيه دعوى الانصراف</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يخدشه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قابل للتخصيص كما أنّ المطلق قابل للتقييد، و ما تقدّم</w:t>
      </w:r>
      <w:r>
        <w:rPr>
          <w:rStyle w:val="FootnoteAnchor"/>
          <w:rtl w:val="true"/>
        </w:rPr>
        <w:footnoteReference w:id="505"/>
      </w:r>
      <w:r>
        <w:rPr>
          <w:rFonts w:ascii="Amiri" w:hAnsi="Amiri" w:eastAsia="Amiri" w:cs="Amiri"/>
          <w:color w:val="111111"/>
          <w:sz w:val="28"/>
          <w:sz w:val="28"/>
          <w:szCs w:val="28"/>
          <w:rtl w:val="true"/>
          <w:lang w:bidi="ar-SA"/>
        </w:rPr>
        <w:t xml:space="preserve">في أدلّة نفي الملك ناهض لتخصيص تلك العمومات و إن كان فيه ما هو من قبيل خبر </w:t>
      </w:r>
    </w:p>
    <w:p>
      <w:pPr>
        <w:pStyle w:val="BookText"/>
        <w:rPr/>
      </w:pPr>
      <w:r>
        <w:rPr>
          <w:rFonts w:ascii="Amiri" w:hAnsi="Amiri" w:eastAsia="Amiri" w:cs="Amiri"/>
          <w:color w:val="111111"/>
          <w:sz w:val="28"/>
          <w:sz w:val="28"/>
          <w:szCs w:val="28"/>
          <w:rtl w:val="true"/>
          <w:lang w:bidi="ar-SA"/>
        </w:rPr>
        <w:t>الواحد و فيها ما هو من الكتاب بناء على ما حقّق في محلّه من جواز تخصيص الكتاب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Style w:val="FootnoteAnchor"/>
          <w:rtl w:val="true"/>
        </w:rPr>
        <w:footnoteReference w:id="506"/>
      </w:r>
      <w:r>
        <w:rPr>
          <w:rFonts w:ascii="Amiri" w:hAnsi="Amiri" w:eastAsia="Amiri" w:cs="Amiri"/>
          <w:color w:val="111111"/>
          <w:sz w:val="28"/>
          <w:sz w:val="28"/>
          <w:szCs w:val="28"/>
          <w:rtl w:val="true"/>
          <w:lang w:bidi="ar-SA"/>
        </w:rPr>
        <w:t>وجه الاستدلال أنّ الضمير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يَكُونُوا 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يُغْنِهِمُ اَللّٰهُ‌ يعود إلى جميع المذكورين سابقا و منهم العبيد و الإماء، فالجزاء يدلّ على توقّع الغناء و إمكانه في حقّهم، و فيه دلالة على الملك إذ لا غناء بمال غير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اختصاص الضمير بالأحرار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القرينة عليه اختصاص الشرط و الجزاء بهم، باعتبار أنّ العبد إذا كان نكاحه بإذن مولاه فالمهر و النفقة على المولى، فلا يتفاوت الحال فيه بين فقره و غناه، ففقره لا يحجزه من النكاح و لا غناه يجديه في الرغبة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أولى ممّا أجاب به في المفاتيح</w:t>
      </w:r>
      <w:r>
        <w:rPr>
          <w:rStyle w:val="FootnoteAnchor"/>
          <w:rtl w:val="true"/>
        </w:rPr>
        <w:footnoteReference w:id="507"/>
      </w:r>
      <w:r>
        <w:rPr>
          <w:rFonts w:ascii="Amiri" w:hAnsi="Amiri" w:eastAsia="Amiri" w:cs="Amiri"/>
          <w:color w:val="111111"/>
          <w:sz w:val="28"/>
          <w:sz w:val="28"/>
          <w:szCs w:val="28"/>
          <w:rtl w:val="true"/>
          <w:lang w:bidi="ar-SA"/>
        </w:rPr>
        <w:t>على ما حكي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الغناء في الآية ما يتحقّق معه رغد العيش و سعته و إن لم يكن لأجل حصول الملك، بل الإباحة، و الغناء بهذا المعنى ثابت للعبيد و الإماء فإنّ حالهم في ذلك تابع لحال الموالي و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اريد بالغناء ما يستند إلى الملك لم يكن عدمه في حقّ المماليك مانعا من التزويج لثبوت المهر و النفقة إذا كان النكاح بإذنه، و لا وجوده مرغّبا لهم فيه، لتحقّق الحجر المانع من التصرّف و إن حصل الملك، و هو خلاف ما يقتضيه سياق الآية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يهب لعبده ألف درهم أو أقلّ أو أكثر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حلّلني من ضربي إيّاك و من كلّ ما كان منّي إليك و ممّا أخفتك و أرهبتك، فيحلّله و يجعله في حلّ رغبة فيما أعطاه، ثمّ إنّ المولى بعد أصاب الدراهم الّتي أعطاه في موضع قد وضعها فيه فأخذها المولى، أ حلال هي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لأنّه افتدى بها نفسه من العبد مخافة العقوبة </w:t>
      </w:r>
    </w:p>
    <w:p>
      <w:pPr>
        <w:pStyle w:val="BookText"/>
        <w:rPr/>
      </w:pPr>
      <w:r>
        <w:rPr>
          <w:rFonts w:ascii="Amiri" w:hAnsi="Amiri" w:eastAsia="Amiri" w:cs="Amiri"/>
          <w:color w:val="111111"/>
          <w:sz w:val="28"/>
          <w:sz w:val="28"/>
          <w:szCs w:val="28"/>
          <w:rtl w:val="true"/>
          <w:lang w:bidi="ar-SA"/>
        </w:rPr>
        <w:t>و القصاص يوم القيامة،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العبد أن يزكّيها إذا حال عليه الحول‌؟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إلاّ أن يعمل له فيها، و لا يعطى العبد من الزكاة شيئا</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ذلك منع الدلالة، لأنّ موضع الدلالة إن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فيه، الدلالة على أنّ المولى يهب لعبده الدراهم، و لا يدلّ على أنّ العبد ملكها، و لا ملازمة بين هبة المولى و ملك العبد، و لو سلّم أنّ لفظ الهبة في الوضع الشرعي أو العرف المتشرّعي يدلّ على التمليك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وقع في كلام الراوي لا كلام الإمام عليه السّلام الّذي هو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ذلك، و أكثر ما تقدّم</w:t>
      </w:r>
      <w:r>
        <w:rPr>
          <w:rStyle w:val="FootnoteAnchor"/>
          <w:rtl w:val="true"/>
        </w:rPr>
        <w:footnoteReference w:id="509"/>
      </w:r>
      <w:r>
        <w:rPr>
          <w:rFonts w:ascii="Amiri" w:hAnsi="Amiri" w:eastAsia="Amiri" w:cs="Amiri"/>
          <w:color w:val="111111"/>
          <w:sz w:val="28"/>
          <w:sz w:val="28"/>
          <w:szCs w:val="28"/>
          <w:rtl w:val="true"/>
          <w:lang w:bidi="ar-SA"/>
        </w:rPr>
        <w:t>في أدلّة عدم الملك أظهر في نفي مالكيّته، فيتعيّن الأخذ بذلك و إرجاع التأويل إلى الظاهر بحمله على إرادة الإعطاء المطلق الغير الملازم للملك، لشيوع إطلاقه عليه في الكتاب و السنّة و المحاورات و منه 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لِمَنْ يَشٰاءُ إِنٰاثاً وَ يَهَبُ لِمَنْ يَشٰاءُ اَلذُّكُورَ </w:t>
      </w:r>
      <w:r>
        <w:rPr>
          <w:rStyle w:val="FootnoteAnchor"/>
          <w:rtl w:val="true"/>
        </w:rPr>
        <w:footnoteReference w:id="510"/>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وَهَبَ لِي عَلَى اَلْكِبَرِ إِسْمٰاعِيلَ وَ إِسْحٰاقَ‌ </w:t>
      </w:r>
      <w:r>
        <w:rPr>
          <w:rStyle w:val="FootnoteAnchor"/>
          <w:rtl w:val="true"/>
        </w:rPr>
        <w:footnoteReference w:id="511"/>
      </w:r>
      <w:r>
        <w:rPr>
          <w:rFonts w:ascii="Amiri" w:hAnsi="Amiri" w:eastAsia="Amiri" w:cs="Amiri"/>
          <w:color w:val="111111"/>
          <w:sz w:val="28"/>
          <w:sz w:val="28"/>
          <w:szCs w:val="28"/>
          <w:rtl w:val="true"/>
          <w:lang w:bidi="ar-SA"/>
        </w:rPr>
        <w:t>و لعلّه يرشد إليه التعبير بالإعطاء في قوله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رغبة فيما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المنع و التحريم إنّما هو من جهة عدم جواز الرجوع في الهبة المعوّضة كما يقتضي التعليل كون إعطاء الدراهم منها، فلو لا أنّه يملك ما ملّكه المولى لم يكن لذلك المنع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أخصّ من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ربّما يفيد ضربا من الكراهة في الرجوع إلى ما أعطاه الإنسان فدية لخلاص نفسه من عقوبة الآخرة و قصاص مظلومه عليه في تلك الدار و هو لا يلازم الملك و لو في خصوص المورد باعتبار كون المعطى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الدلالة على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المنع الملازم له، و ما تقدّم في أدلّة نفي الملك أظهر في النفي و قضيّة تقديم الأظهر إرجاع التأويل إلى الظاهر بحمله على إرادة الكراهة، بل مع قطع النظر عن هذه القاعدة يتعيّن حمله عليه إخراجا </w:t>
      </w:r>
    </w:p>
    <w:p>
      <w:pPr>
        <w:pStyle w:val="BookText"/>
        <w:rPr/>
      </w:pPr>
      <w:r>
        <w:rPr>
          <w:rFonts w:ascii="Amiri" w:hAnsi="Amiri" w:eastAsia="Amiri" w:cs="Amiri"/>
          <w:color w:val="111111"/>
          <w:sz w:val="28"/>
          <w:sz w:val="28"/>
          <w:szCs w:val="28"/>
          <w:rtl w:val="true"/>
          <w:lang w:bidi="ar-SA"/>
        </w:rPr>
        <w:t>له عن مخالفة الإجماع على جواز الانتزاع للمولى حتّى على القول بالمالكيّة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الكراهة المصروف إليها لأحد الوجهين لا تلازم الملك، لأنّ الدلالة عليه كانت مبنيّة على استفادة المنع 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يعمل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ثبوت الزكاة فرع على الملك لأنّه من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الاستثناء يفيد وجوب الزكاة في مال التجارة و هذا أيضا يخالف الإجماع، و حمله على الاستحباب و إن كان يخرجه عن مخالفة الإجماع إلاّ أنّ الدلالة على الملك حينئذ على وجه الظهور، فلا بدّ من إرجاع التأويل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يحتمل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 بإذن المولى كما ربما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يعطى العبد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زكاة مال الإنسان لا يعطى الإنسان نفسه و لا حاجة له إلى البيان، و إنّما اللائق بالبيان المنع من إعطاء زكاة مال المولى له لعدم استحقاقه من جهة وجوب نفقته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احتمل فيه التقيّة لموافقة الحكم مذهب العامّة كما صرّح به في الرياض</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جرير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قال لمملوك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ولي مالك،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يبدأ بالحرّية قبل المال،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مالك و أنت حرّ، برضاء المملوك</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 سند الرواية، بل عدم اتّضاح حاله من جهة الاختلاف الشديد الواقع في حال الراوي، بل عن الرياض</w:t>
      </w:r>
      <w:r>
        <w:rPr>
          <w:rStyle w:val="FootnoteAnchor"/>
          <w:rtl w:val="true"/>
        </w:rPr>
        <w:footnoteReference w:id="514"/>
      </w:r>
      <w:r>
        <w:rPr>
          <w:rFonts w:ascii="Amiri" w:hAnsi="Amiri" w:eastAsia="Amiri" w:cs="Amiri"/>
          <w:color w:val="111111"/>
          <w:sz w:val="28"/>
          <w:sz w:val="28"/>
          <w:szCs w:val="28"/>
          <w:rtl w:val="true"/>
          <w:lang w:bidi="ar-SA"/>
        </w:rPr>
        <w:t>و المصابيح</w:t>
      </w:r>
      <w:r>
        <w:rPr>
          <w:rStyle w:val="FootnoteAnchor"/>
          <w:rtl w:val="true"/>
        </w:rPr>
        <w:footnoteReference w:id="515"/>
      </w:r>
      <w:r>
        <w:rPr>
          <w:rFonts w:ascii="Amiri" w:hAnsi="Amiri" w:eastAsia="Amiri" w:cs="Amiri"/>
          <w:color w:val="111111"/>
          <w:sz w:val="28"/>
          <w:sz w:val="28"/>
          <w:szCs w:val="28"/>
          <w:rtl w:val="true"/>
          <w:lang w:bidi="ar-SA"/>
        </w:rPr>
        <w:t xml:space="preserve">التصريح بضعفه لاشتراك الراوي بين زكريّا بن عبد الصمد القمّي الثقة، و زكريّا بن إدريس بن عبد اللّه بن سعد الأشعري الّذي لم يذكر الشيخ في الرجال، و لا نصّ عليه النجاشي في ترجمته بتوثيق و لا 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الدلالة، إذ ليس فيه إلاّ إضافة المال إلى العبد و هي لا تفيد الملك، بل </w:t>
      </w:r>
    </w:p>
    <w:p>
      <w:pPr>
        <w:pStyle w:val="BookText"/>
        <w:rPr/>
      </w:pPr>
      <w:r>
        <w:rPr>
          <w:rFonts w:ascii="Amiri" w:hAnsi="Amiri" w:eastAsia="Amiri" w:cs="Amiri"/>
          <w:color w:val="111111"/>
          <w:sz w:val="28"/>
          <w:sz w:val="28"/>
          <w:szCs w:val="28"/>
          <w:rtl w:val="true"/>
          <w:lang w:bidi="ar-SA"/>
        </w:rPr>
        <w:t>أقصاها الاختصاص، و هو أعمّ من الملك فيجامع كون المال من أصله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استثناء المال عند العتق ربما يدلّ على كونه ملكا للمولى كما أنّ كونه له مع جهله به يدلّ عليه، و لا ينافيه اعتبار تقديم الاستثناء و لا اعتبار رضاء المملوك لاحتمال الأوّل كونه تعبّدا أو ضربا من الاستحباب، و الثاني لرعاية جانب الإنصاف و المروءة و لئلاّ ينكسر قلب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تسليم الدلالة فهو ظاهر و ما تقدّم أظهر فيتطرّق التأويل إلى الظاهر بنحو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عليه السّلام عن أبيه عليه السّلام أنّ عليا عليه السّلام أعتق عبدا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ملكك لي و لك و قد تركته لك</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منع الدلالة،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الرقبة لا ملك المال و تشريك العبد مع نفسه الشريفة، لأنّ له علاقة في نفسه و بدنه مع ملك المولى، و لذا كان مختارا في أفعاله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تركته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إزالة قيد الرقّية عنه على وجه كان مالكا لنفسه بالاستقلال من دون مشاركة الغير له، مع أنّه لو كان المراد ملك المال لزم شركة العبد مع المولى و هو ممّا لا قائل به و ينفيه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لَكُمْ مَثَلاً مِنْ أَنْفُسِكُمْ هَلْ لَكُمْ مِنْ مٰا مَلَكَتْ أَيْمٰانُكُمْ مِنْ شُرَكٰاءَ‌ </w:t>
      </w:r>
      <w:r>
        <w:rPr>
          <w:rStyle w:val="FootnoteAnchor"/>
          <w:rtl w:val="true"/>
        </w:rPr>
        <w:footnoteReference w:id="517"/>
      </w:r>
      <w:r>
        <w:rPr>
          <w:rFonts w:ascii="Amiri" w:hAnsi="Amiri" w:eastAsia="Amiri" w:cs="Amiri"/>
          <w:color w:val="111111"/>
          <w:sz w:val="28"/>
          <w:sz w:val="28"/>
          <w:szCs w:val="28"/>
          <w:rtl w:val="true"/>
          <w:lang w:bidi="ar-SA"/>
        </w:rPr>
        <w:t>و مع الغضّ عن ذلك فالظاهر أنه أراد بالملك المال، و كونه لهما لا ينافي كونه ملكا للعبد بأن يراد من كونه لهما اختصاصه بهما فبالنسبة إلى المولى على وجه المالكيّة و بالنسبة إلى العبد على وجه الإباحة من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الغضّ عن ذلك أيضا فهو مع قيام الاحتمالات المذكورة ظاهر و ما تقدّم أظهر فليحمل ذلك على بعض ما ذكر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خبر الفضيل بن يسار الموصوف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مسلم عارف أعتقه رجل عارف فدخل به على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من هذا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عارف و أعتقه فلان،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إنّي كنت أعتقته، فقال السندي </w:t>
      </w:r>
      <w:bookmarkStart w:id="153" w:name="pg16181_154491"/>
    </w:p>
    <w:p>
      <w:pPr>
        <w:pStyle w:val="BookText"/>
        <w:rPr/>
      </w:pPr>
      <w:bookmarkEnd w:id="153"/>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لمولاي بعني بسبعمائة درهم و أنا اعطيك ثلاثمائة درهم،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يوم اشترطت لك مال فعليك أن تعطيه، و إن لم يكن يومئذ لك مال فليس عليك شيء</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الحكاية كون الراوي للواقعة هو العبد المعتق، و حاله غير معلوم و غايته كونه عارفا و هو لا يلازم الوثاقة، فلا يقاوم لمعارضة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متنه من التعقيد و الركاكة المخرجة له عن حدّ الفصاحة في غير موضع منه ممّا لا يخفى على المتأمّل، مع ما فيه من أمارة السقط لعدم معلوميّة فاعل دخل به لا مظهر و لا مضمرا لعدم سبق ما يصلح مرجعا للضمير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فيه ما يستفاد منه الملك إلاّ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لك مال و إن لم يكن لك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صريح بل و لا ظاهر في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الظهور فهو ظاهر و ما تقدّم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الحلبي الموصوفة بالصحّة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عبد اللّه عليه السّلام في رجل يبيع المملوك و يشترط عليه أن يجعل له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جهالة الشرط المفسدة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بعد البيع يدخل في حجر المشتري فلا يملك التصرّف لو كان له مال، و تقييده بإذن المشتري يجامع ملك المشتري لماله أيضا، فلا دلالة فيه على الملك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على هذا القول بوجوه اعتباريّة لا ينبغي الإصغاء إليها و لا يجدي الإطناب بذكرها، و العمدة من أدلّته هي الروايات و قد عرفت حالها</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2586513_1280447820"/>
      <w:bookmarkStart w:id="155" w:name="_Toc55"/>
      <w:bookmarkEnd w:id="154"/>
      <w:r>
        <w:rPr>
          <w:rtl w:val="true"/>
        </w:rPr>
        <w:t>في تزييف أدلّة مالكيّة العبد</w:t>
      </w:r>
      <w:bookmarkEnd w:id="15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إن بنينا على كون روايات النفي أظهر دلالة من روايات </w:t>
      </w:r>
    </w:p>
    <w:p>
      <w:pPr>
        <w:pStyle w:val="BookText"/>
        <w:rPr/>
      </w:pPr>
      <w:r>
        <w:rPr>
          <w:rFonts w:ascii="Amiri" w:hAnsi="Amiri" w:eastAsia="Amiri" w:cs="Amiri"/>
          <w:color w:val="111111"/>
          <w:sz w:val="28"/>
          <w:sz w:val="28"/>
          <w:szCs w:val="28"/>
          <w:rtl w:val="true"/>
          <w:lang w:bidi="ar-SA"/>
        </w:rPr>
        <w:t xml:space="preserve">الإثبات كما هو الأقوى على ما يرشد إليه التأمّل الصادق خصوصا فيما في صحيح عبد اللّه بن سنان من تعليل عدم وجوب الزكاة فيما في يد المملوك على المولى و المملوك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تمكّن المولى من التصرّف و عدم مالكيّة العبد</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و ما في صحيح محمّد بن قيس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 ماله لأهله لا يجوز له تحرير و لا كثير عطاء و لا وصيّة إلاّ أن يشاء سيّده</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فلا بدّ من الجمع بينهما بالأخذ بالأظهر و إرجاع التأويل إلى الظاهر كما حقّق في محلّه من تعيّن تقديم الأظهر عند وقوع التعارض بينه و بين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 الأظهريّة مكابرة لا ينبغي الالتفات إليه، و أضعف منه دعوى أظهريّة أخبار الإثبات، إذ ليس إلاّ الاعتساف و الخروج عن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بنينا على تساويهما في الظهور فلا بدّ من الترجيح و الرجوع إلى المرجّحات، لكون تعارضهما على وجه التباين الّذي يتعيّن فيه ما ذكر على ما حقّق في محلّه، و لا ريب إنّ المرجّح في جانب أخبار النفي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السند، فإنّ أخبار المنع كلّها صحاح و أخبار الإثبات كلّها أو أكثرها موثّقات و بعضها أيضا غير نقيّ‌، و لا ريب إنّ الصحيح أقوى في مقام المعارضة من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أكثريّة العدد، فإنّها توجب كون الأكثر عددا أقرب إلى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الكتاب الّتي ترجّح المضمون، لكشفه عن وقوع خلل في المخالف إمّا في صدوره أو دلالته أو جهة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الشهرة الاستناديّة، فإنّها أيضا تكشف عمّا في الأخبار المخالفة لها من خلل في إحدى جهاتها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بالتأمّل في جميع ما أسلفناه إلى هذا المقام بعين الإنصاف تعرف أنّه لا وقع لما قد يناقش في أدلّة القول بعدم الملكيّة من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الأخبار الّتي استدلّ بها على عدم الملكيّة لا تنهض لإثباته فضلا عن صلاحيتها لمعارضتها للأخبار الدالّة على الملكيّة، و قد تقدّم</w:t>
      </w:r>
      <w:r>
        <w:rPr>
          <w:rStyle w:val="FootnoteAnchor"/>
          <w:rtl w:val="true"/>
        </w:rPr>
        <w:footnoteReference w:id="522"/>
      </w:r>
      <w:r>
        <w:rPr>
          <w:rFonts w:ascii="Amiri" w:hAnsi="Amiri" w:eastAsia="Amiri" w:cs="Amiri"/>
          <w:color w:val="111111"/>
          <w:sz w:val="28"/>
          <w:sz w:val="28"/>
          <w:szCs w:val="28"/>
          <w:rtl w:val="true"/>
          <w:lang w:bidi="ar-SA"/>
        </w:rPr>
        <w:t xml:space="preserve">الإشارة إلى وجوه </w:t>
      </w:r>
    </w:p>
    <w:p>
      <w:pPr>
        <w:pStyle w:val="BookText"/>
        <w:rPr/>
      </w:pPr>
      <w:r>
        <w:rPr>
          <w:rFonts w:ascii="Amiri" w:hAnsi="Amiri" w:eastAsia="Amiri" w:cs="Amiri"/>
          <w:color w:val="111111"/>
          <w:sz w:val="28"/>
          <w:sz w:val="28"/>
          <w:szCs w:val="28"/>
          <w:rtl w:val="true"/>
          <w:lang w:bidi="ar-SA"/>
        </w:rPr>
        <w:t>المناقشة في دلالتها على عدم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ظهورها فيها و كثرتها و وضوح سند أكثرها، و لكنّ الأخبار</w:t>
      </w:r>
      <w:r>
        <w:rPr>
          <w:rStyle w:val="FootnoteAnchor"/>
          <w:rtl w:val="true"/>
        </w:rPr>
        <w:footnoteReference w:id="523"/>
      </w:r>
      <w:r>
        <w:rPr>
          <w:rFonts w:ascii="Amiri" w:hAnsi="Amiri" w:eastAsia="Amiri" w:cs="Amiri"/>
          <w:color w:val="111111"/>
          <w:sz w:val="28"/>
          <w:sz w:val="28"/>
          <w:szCs w:val="28"/>
          <w:rtl w:val="true"/>
          <w:lang w:bidi="ar-SA"/>
        </w:rPr>
        <w:t>الدالّة على الملكيّة أظهر دلالة مع كثرتها و وضوح سند أكثرها، على أنّ الأظهر دلالة أولى بالترجيح بعد بلوغه درجة الحجّية سندا و إن قلّ و كان سنده أدنى من المعارض له و إن كثر و صحّ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التكافؤ دلالة و سندا و عددا، و لكن ترجيح الأخبار</w:t>
      </w:r>
      <w:r>
        <w:rPr>
          <w:rStyle w:val="FootnoteAnchor"/>
          <w:rtl w:val="true"/>
        </w:rPr>
        <w:footnoteReference w:id="524"/>
      </w:r>
      <w:r>
        <w:rPr>
          <w:rFonts w:ascii="Amiri" w:hAnsi="Amiri" w:eastAsia="Amiri" w:cs="Amiri"/>
          <w:color w:val="111111"/>
          <w:sz w:val="28"/>
          <w:sz w:val="28"/>
          <w:szCs w:val="28"/>
          <w:rtl w:val="true"/>
          <w:lang w:bidi="ar-SA"/>
        </w:rPr>
        <w:t>النافية للملك باعتبار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اعتضادها بالكتاب، و الشهرة المحكيّة في التذكرة</w:t>
      </w:r>
      <w:r>
        <w:rPr>
          <w:rStyle w:val="FootnoteAnchor"/>
          <w:rtl w:val="true"/>
        </w:rPr>
        <w:footnoteReference w:id="525"/>
      </w:r>
      <w:r>
        <w:rPr>
          <w:rFonts w:ascii="Amiri" w:hAnsi="Amiri" w:eastAsia="Amiri" w:cs="Amiri"/>
          <w:color w:val="111111"/>
          <w:sz w:val="28"/>
          <w:sz w:val="28"/>
          <w:szCs w:val="28"/>
          <w:rtl w:val="true"/>
          <w:lang w:bidi="ar-SA"/>
        </w:rPr>
        <w:t>و المخالفة لمذهب الجماعة من العامّة</w:t>
      </w:r>
      <w:r>
        <w:rPr>
          <w:rStyle w:val="FootnoteAnchor"/>
          <w:rtl w:val="true"/>
        </w:rPr>
        <w:footnoteReference w:id="526"/>
      </w:r>
      <w:r>
        <w:rPr>
          <w:rFonts w:ascii="Amiri" w:hAnsi="Amiri" w:eastAsia="Amiri" w:cs="Amiri"/>
          <w:color w:val="111111"/>
          <w:sz w:val="28"/>
          <w:sz w:val="28"/>
          <w:szCs w:val="28"/>
          <w:rtl w:val="true"/>
          <w:lang w:bidi="ar-SA"/>
        </w:rPr>
        <w:t>و الاستقراء، و موافقة الاصول،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لمنع دلالة الكتاب على عدم الملكيّة كما تقدّم</w:t>
      </w:r>
      <w:r>
        <w:rPr>
          <w:rStyle w:val="FootnoteAnchor"/>
          <w:rtl w:val="true"/>
        </w:rPr>
        <w:footnoteReference w:id="527"/>
      </w:r>
      <w:r>
        <w:rPr>
          <w:rFonts w:ascii="Amiri" w:hAnsi="Amiri" w:eastAsia="Amiri" w:cs="Amiri"/>
          <w:color w:val="111111"/>
          <w:sz w:val="28"/>
          <w:sz w:val="28"/>
          <w:szCs w:val="28"/>
          <w:rtl w:val="true"/>
          <w:lang w:bidi="ar-SA"/>
        </w:rPr>
        <w:t>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لمعارضة الشهرة المحكيّة في التذكرة</w:t>
      </w:r>
      <w:r>
        <w:rPr>
          <w:rStyle w:val="FootnoteAnchor"/>
          <w:rtl w:val="true"/>
        </w:rPr>
        <w:footnoteReference w:id="528"/>
      </w:r>
      <w:r>
        <w:rPr>
          <w:rFonts w:ascii="Amiri" w:hAnsi="Amiri" w:eastAsia="Amiri" w:cs="Amiri"/>
          <w:color w:val="111111"/>
          <w:sz w:val="28"/>
          <w:sz w:val="28"/>
          <w:szCs w:val="28"/>
          <w:rtl w:val="true"/>
          <w:lang w:bidi="ar-SA"/>
        </w:rPr>
        <w:t>بالشهرة المحكيّة على الملكيّة في الجملة في جملة من الكتب</w:t>
      </w:r>
      <w:r>
        <w:rPr>
          <w:rStyle w:val="FootnoteAnchor"/>
          <w:rtl w:val="true"/>
        </w:rPr>
        <w:footnoteReference w:id="529"/>
      </w:r>
      <w:r>
        <w:rPr>
          <w:rFonts w:ascii="Amiri" w:hAnsi="Amiri" w:eastAsia="Amiri" w:cs="Amiri"/>
          <w:color w:val="111111"/>
          <w:sz w:val="28"/>
          <w:sz w:val="28"/>
          <w:szCs w:val="28"/>
          <w:rtl w:val="true"/>
          <w:lang w:bidi="ar-SA"/>
        </w:rPr>
        <w:t>و قد تقدّم إليها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لمنع أنّ مصير جماعة من العامّة إلى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معلوميّة مذهب الباقين أو معلوميّة مصيرهم إلى عدم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الترجيح خصوصا مع عدم كون الذاهبين إلى الملكيّة منهم من الحنفيّة</w:t>
      </w:r>
      <w:r>
        <w:rPr>
          <w:rStyle w:val="FootnoteAnchor"/>
          <w:rtl w:val="true"/>
        </w:rPr>
        <w:footnoteReference w:id="530"/>
      </w:r>
      <w:r>
        <w:rPr>
          <w:rFonts w:ascii="Amiri" w:hAnsi="Amiri" w:eastAsia="Amiri" w:cs="Amiri"/>
          <w:color w:val="111111"/>
          <w:sz w:val="28"/>
          <w:sz w:val="28"/>
          <w:szCs w:val="28"/>
          <w:rtl w:val="true"/>
          <w:lang w:bidi="ar-SA"/>
        </w:rPr>
        <w:t>و النقل عن الشافعي</w:t>
      </w:r>
      <w:r>
        <w:rPr>
          <w:rStyle w:val="FootnoteAnchor"/>
          <w:rtl w:val="true"/>
        </w:rPr>
        <w:footnoteReference w:id="531"/>
      </w:r>
      <w:r>
        <w:rPr>
          <w:rFonts w:ascii="IRNazanin" w:hAnsi="IRNazanin" w:eastAsia="IRNazanin"/>
          <w:color w:val="111111"/>
          <w:sz w:val="28"/>
          <w:sz w:val="28"/>
          <w:szCs w:val="28"/>
          <w:rtl w:val="true"/>
          <w:lang w:bidi="fa-IR"/>
        </w:rPr>
        <w:t>و أحمد</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لمعارضة الاستقراء المذكور لغلبة اشتراك المماليك مع الأحرار في أكثر أحكام العبادات و المعاملات، و لعلّ هذا أولى بالترجيح لأنّه أقوى فتأمّل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لمعارضة الأخبار الموافقة للشهرة بموافقة الأخبار الدالّة على الملكيّة بالوجوه </w:t>
      </w:r>
      <w:bookmarkStart w:id="156" w:name="pg16181_154494"/>
    </w:p>
    <w:p>
      <w:pPr>
        <w:pStyle w:val="BookText"/>
        <w:rPr/>
      </w:pPr>
      <w:bookmarkEnd w:id="156"/>
      <w:r>
        <w:rPr>
          <w:rFonts w:ascii="Amiri" w:hAnsi="Amiri" w:eastAsia="Amiri" w:cs="Amiri"/>
          <w:color w:val="111111"/>
          <w:sz w:val="28"/>
          <w:sz w:val="28"/>
          <w:szCs w:val="28"/>
          <w:rtl w:val="true"/>
          <w:lang w:bidi="ar-SA"/>
        </w:rPr>
        <w:t>المتقدّم إليها، و لعلّها أقوى من الوجوه المذكورة في المصابيح</w:t>
      </w:r>
      <w:r>
        <w:rPr>
          <w:rStyle w:val="FootnoteAnchor"/>
          <w:rtl w:val="true"/>
        </w:rPr>
        <w:footnoteReference w:id="533"/>
      </w:r>
      <w:r>
        <w:rPr>
          <w:rFonts w:ascii="Amiri" w:hAnsi="Amiri" w:eastAsia="Amiri" w:cs="Amiri"/>
          <w:color w:val="111111"/>
          <w:sz w:val="28"/>
          <w:sz w:val="28"/>
          <w:szCs w:val="28"/>
          <w:rtl w:val="true"/>
          <w:lang w:bidi="ar-SA"/>
        </w:rPr>
        <w:t>لترجيح الأخبار الدالّة على عدم الملكيّة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فقرات هذا الكلام ما لا يخفى من التحكّمات و المصادرات و الدعاوي الباطلة</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2586515_1280447820"/>
      <w:bookmarkStart w:id="158" w:name="_Toc56"/>
      <w:bookmarkEnd w:id="157"/>
      <w:r>
        <w:rPr>
          <w:rtl w:val="true"/>
        </w:rPr>
        <w:t>حجّة القول الثالث</w:t>
      </w:r>
      <w:r>
        <w:rPr>
          <w:rtl w:val="true"/>
        </w:rPr>
        <w:t>:</w:t>
      </w:r>
      <w:bookmarkEnd w:id="158"/>
    </w:p>
    <w:p>
      <w:pPr>
        <w:pStyle w:val="BookText"/>
        <w:rPr/>
      </w:pPr>
      <w:r>
        <w:rPr>
          <w:rFonts w:ascii="Amiri" w:hAnsi="Amiri" w:eastAsia="Amiri" w:cs="Amiri"/>
          <w:color w:val="111111"/>
          <w:sz w:val="28"/>
          <w:sz w:val="28"/>
          <w:szCs w:val="28"/>
          <w:rtl w:val="true"/>
          <w:lang w:bidi="ar-SA"/>
        </w:rPr>
        <w:t>صحيحة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أراد أن يعتق مملوكا له و قد كان مولاه يأخذ منه ضريبة فرضها عليه في كلّ سنة و رضي بذلك المولى، فأصاب المملوك في تجارته مالا سوى ما كان يعطي مولاه من الضريبة،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أدّى إلى سيّده ما كان فرض عليه فما اكتسب بعد الفريضة فهو للمملوك،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فرض اللّه على العباد فرائض فإذا أدّاها إليه لم يسألهم عمّا سواها،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فللملوك أن يتصدّق ممّا اكتسب و يعتق بعد الفريضة الّتي كان يؤدّيها إلى سيّده‌؟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أجر ذلك له</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منع، إذ لو اريد استفادتها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ظهور اللام في الملك و لو لخصوص قرينة المقام المستفادة من تنظير المقام بطريقته تعالى في فرائضه الّتي فرضها على العباد و اقتصر عليها و أدّاها العباد، في أنّه يدلّ على كونهم فيما سواها من أفعالهم و تروكهم مطلق العنان مرخّصين فيها من قبله تعالى، و هذا هو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يسألهم عمّا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المولى أيضا إذا فرض ضريبة على عبده في كسبه و اقتصر عليه و لم يتعرّض للزائد عليها كان ذلك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العبد مختارا في الزائد على التقدير</w:t>
      </w:r>
      <w:r>
        <w:rPr>
          <w:rStyle w:val="FootnoteAnchor"/>
          <w:rtl w:val="true"/>
        </w:rPr>
        <w:footnoteReference w:id="535"/>
      </w:r>
      <w:r>
        <w:rPr>
          <w:rFonts w:ascii="Amiri" w:hAnsi="Amiri" w:eastAsia="Amiri" w:cs="Amiri"/>
          <w:color w:val="111111"/>
          <w:sz w:val="28"/>
          <w:sz w:val="28"/>
          <w:szCs w:val="28"/>
          <w:rtl w:val="true"/>
          <w:lang w:bidi="ar-SA"/>
        </w:rPr>
        <w:t xml:space="preserve">مأذونا في التصرّفات فيه و جميع الانتفاعات به، و قضيّة ذلك أن </w:t>
      </w:r>
      <w:bookmarkStart w:id="159" w:name="pg16181_154495"/>
    </w:p>
    <w:p>
      <w:pPr>
        <w:pStyle w:val="BookText"/>
        <w:rPr/>
      </w:pPr>
      <w:bookmarkEnd w:id="159"/>
      <w:r>
        <w:rPr>
          <w:rFonts w:ascii="Amiri" w:hAnsi="Amiri" w:eastAsia="Amiri" w:cs="Amiri"/>
          <w:color w:val="111111"/>
          <w:sz w:val="28"/>
          <w:sz w:val="28"/>
          <w:szCs w:val="28"/>
          <w:rtl w:val="true"/>
          <w:lang w:bidi="ar-SA"/>
        </w:rPr>
        <w:t>لا يفيد اللام أزيد من الاختصاص الغير الملازم للملكيّة، مع أنّه قد يدّعى ظهورها وضعا في الاختصاص المطلق، و لا يبعد دعوى تبادره في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اريد استفادتها من تجويز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 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الزائد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كونه ملكا للعبد لم يكن شيء من ذلك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جواز هذه التصرّفات مشترك اللزوم بين كون الزائد ملكا للمولى أو ملكا للعبد، لأنّه على تقدير الملكيّة له لم يجز شيء من ذلك لمكان الحجر المجمع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قيّدت الجواز حينئذ بإذن المولى و رضاه و لو كان مستفادا من شاهد الحال فيعارضه جريان مثله على تقدير عدم الملكيّة،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لا محالة بإذن المولى و رضاه على كلي تقديري الملكيّة و انتفائها و سقط بذلك دلالته على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استفادة الملكيّة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أجر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احتمال عود الضمير إلى السيّد، و على تقدير عوده إلى العبد فلعلّ كون الأجر له من جهة أنّه إذا كان العبد مأذونا من السيّد في جميع تصرّفاته و انتفاعاته في ما سوى الضريبة كان جميع منافعه و فوائده له من قبل السيّد و من جملتها الأجر و الثواب المترتّب على نحو هذه التصرّفات الحسبيّة، أو أنّ الأجر إنّما يترتّب على الفعل الاختياري المأذون فيه من السيّد بالعموم الصادر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سقط دلالة الرواية على الملكيّة هنا فيرجع فيه إلى الأصل المقتضي لعدم الملكيّة و لا وارد</w:t>
      </w:r>
      <w:r>
        <w:rPr>
          <w:rStyle w:val="FootnoteAnchor"/>
          <w:rtl w:val="true"/>
        </w:rPr>
        <w:footnoteReference w:id="536"/>
      </w:r>
      <w:r>
        <w:rPr>
          <w:rFonts w:ascii="Amiri" w:hAnsi="Amiri" w:eastAsia="Amiri" w:cs="Amiri"/>
          <w:color w:val="111111"/>
          <w:sz w:val="28"/>
          <w:sz w:val="28"/>
          <w:szCs w:val="28"/>
          <w:rtl w:val="true"/>
          <w:lang w:bidi="ar-SA"/>
        </w:rPr>
        <w:t>عليه من إطلاق الأدلّة و عمومها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بنينا على عموم ترك الاستفصال المستفاد من الأخبار النافية للملك حتّى بالنسبة إلى نحو فاضل الضريبة أو أرش الجناية، كان عدم الملكيّة حينئذ مستفادا من الدليل أيضا</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2586517_1280447820"/>
      <w:bookmarkStart w:id="161" w:name="_Toc57"/>
      <w:bookmarkEnd w:id="160"/>
      <w:r>
        <w:rPr>
          <w:rtl w:val="true"/>
        </w:rPr>
        <w:t>و أمّا القول الرابع</w:t>
      </w:r>
      <w:r>
        <w:rPr>
          <w:rtl w:val="true"/>
        </w:rPr>
        <w:t>:</w:t>
      </w:r>
      <w:bookmarkEnd w:id="16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نقف على حجّة له سوى ما نقل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إنّما يملك خدمته و الانتفاع به، و أمّا النفس فنفسه، و أمّا البدن فبدنه، و أرشهما له و لم تتعلّق التكاليف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المصادرة ما لا يخفى،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إنّما يملك خدمة مملوكه و الانتفاع به باعتبار كونه مالكا لرقبته، و هذا يقتضي كون نفسه و بدنه أيضا ملكا له و إلاّ استحال وقوع النفع عليه لكون مورده الأعيان الّتي يتبعها المنافع،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يأخذه العبد بعنوان الأرش فهو أيضا من منافعه و فوائده فيكون ملكا للسيّد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فهذا أضعف شيء ذكر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عليه أيضا بما تقدّم</w:t>
      </w:r>
      <w:r>
        <w:rPr>
          <w:rStyle w:val="FootnoteAnchor"/>
          <w:rtl w:val="true"/>
        </w:rPr>
        <w:footnoteReference w:id="537"/>
      </w:r>
      <w:r>
        <w:rPr>
          <w:rFonts w:ascii="Amiri" w:hAnsi="Amiri" w:eastAsia="Amiri" w:cs="Amiri"/>
          <w:color w:val="111111"/>
          <w:sz w:val="28"/>
          <w:sz w:val="28"/>
          <w:szCs w:val="28"/>
          <w:rtl w:val="true"/>
          <w:lang w:bidi="ar-SA"/>
        </w:rPr>
        <w:t>في أدلّة القول الثاني من 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يهب لعبده ألف درهم أو أقلّ أو أكثر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هذا أيضا لخروج المقام عن مورد هذا الخبر، و لعلّ نظر المستدلّ فيه إلى الفحوى، فإنّه إذا ملك المال الّذي أعطاه السيّد فداء لمجرّد ضربه إيّاه من دون جناية، فلأن يملك ما أعطاه أرشا على جناية طريق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يزيّفه أنّه بعد تسليم دلالة الرواية منطوقا على مالكيّته في الفدية ثمّ تسليم الأولويّة، فهذا دليل على الملك فيما ملّكه المولى و أرش الجناية معا، فلا وجه للاقتصار في مالكيّته على أرش الجناية كما هو صريح القول الرابع، مع أنّه قد عرفت المنع من المنطوق فكيف بالمفهوم الّذي عبّر عنه بالفحوى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القولان الآخران</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نقف عليهما على دليل أصلا، و يمكن استنباطه من أدلّة الأقوال الاخر بالضمّ و التركيب بأن يستدلّ للقول الخامس بصحيحة عمر بن يزيد المتقدّمة في فاضل الضريبة</w:t>
      </w:r>
      <w:r>
        <w:rPr>
          <w:rStyle w:val="FootnoteAnchor"/>
          <w:rtl w:val="true"/>
        </w:rPr>
        <w:footnoteReference w:id="539"/>
      </w:r>
      <w:r>
        <w:rPr>
          <w:rFonts w:ascii="Amiri" w:hAnsi="Amiri" w:eastAsia="Amiri" w:cs="Amiri"/>
          <w:color w:val="111111"/>
          <w:sz w:val="28"/>
          <w:sz w:val="28"/>
          <w:szCs w:val="28"/>
          <w:rtl w:val="true"/>
          <w:lang w:bidi="ar-SA"/>
        </w:rPr>
        <w:t>و الوجه الاعتباري المتقدّم في أرش الجناية، و للقول السادس بهما، مضافا إلى موثّقة إسحاق بن عمّار المذكورة فيما ملّكه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الجواب عن الجميع، و ظهر ضعف الكلّ 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انقدح من تضاعيف البحث أنّ الأقوى من أقوال المسألة هو القول الأوّل الّذي هو المشهور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تمهّد هذا فلنرجع إلى أصل المطلب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وجوب الزكاة على المملوك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وجوبها عليه على القول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لا يملك مطلقا حتّى فاضل الضريبة و أرش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على ما نبّهنا عليه خارج عن معقد البحث في هذا المطلب، لأنّ عدم الوجوب حينئذ من متفرّعات اشتراط وجوبها بالملك، و لذا ذكر في الغنية على ما 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خرج العبد باشتراط الملك لأنّ العبد لا يملك شيئا و إن ملكه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المقصود بالبحث هو النظر في وجوبها و عدم وجوبها عليه على القول بالملك مطلقا أو في الجملة، و لذا بنى المتعرّضون للمسألة كصاحبي المدارك</w:t>
      </w:r>
      <w:r>
        <w:rPr>
          <w:rStyle w:val="FootnoteAnchor"/>
          <w:rtl w:val="true"/>
        </w:rPr>
        <w:footnoteReference w:id="541"/>
      </w:r>
      <w:r>
        <w:rPr>
          <w:rFonts w:ascii="Amiri" w:hAnsi="Amiri" w:eastAsia="Amiri" w:cs="Amiri"/>
          <w:color w:val="111111"/>
          <w:sz w:val="28"/>
          <w:sz w:val="28"/>
          <w:szCs w:val="28"/>
          <w:rtl w:val="true"/>
          <w:lang w:bidi="ar-SA"/>
        </w:rPr>
        <w:t>و الذخيرة</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غيرهما تبعا للعلاّمة في المختلف</w:t>
      </w:r>
      <w:r>
        <w:rPr>
          <w:rStyle w:val="FootnoteAnchor"/>
          <w:rtl w:val="true"/>
        </w:rPr>
        <w:footnoteReference w:id="543"/>
      </w:r>
      <w:r>
        <w:rPr>
          <w:rFonts w:ascii="Amiri" w:hAnsi="Amiri" w:eastAsia="Amiri" w:cs="Amiri"/>
          <w:color w:val="111111"/>
          <w:sz w:val="28"/>
          <w:sz w:val="28"/>
          <w:szCs w:val="28"/>
          <w:rtl w:val="true"/>
          <w:lang w:bidi="ar-SA"/>
        </w:rPr>
        <w:t>الخلاف فيها على القول بالملك، و عن المختلف أنّه ذكر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القول بأنّه يملك فاضل الضريبة و أرش الجناية قولان للأصحاب نقلهما الشيخ</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فعلى هذا القول اختلفوا في وجوبها و العدم على قولين، حكاهما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و مرجعه إلى اشتراط وجوبها بالحرّيّة، و هو صريح الفاضلين في الشرائع</w:t>
      </w:r>
      <w:r>
        <w:rPr>
          <w:rStyle w:val="FootnoteAnchor"/>
          <w:rtl w:val="true"/>
        </w:rPr>
        <w:footnoteReference w:id="545"/>
      </w:r>
      <w:r>
        <w:rPr>
          <w:rFonts w:ascii="Amiri" w:hAnsi="Amiri" w:eastAsia="Amiri" w:cs="Amiri"/>
          <w:color w:val="111111"/>
          <w:sz w:val="28"/>
          <w:sz w:val="28"/>
          <w:szCs w:val="28"/>
          <w:rtl w:val="true"/>
          <w:lang w:bidi="ar-SA"/>
        </w:rPr>
        <w:t>و التحرير</w:t>
      </w:r>
      <w:r>
        <w:rPr>
          <w:rStyle w:val="FootnoteAnchor"/>
          <w:rtl w:val="true"/>
        </w:rPr>
        <w:footnoteReference w:id="546"/>
      </w:r>
      <w:r>
        <w:rPr>
          <w:rFonts w:ascii="IRNazanin" w:hAnsi="IRNazanin" w:eastAsia="IRNazanin"/>
          <w:color w:val="111111"/>
          <w:sz w:val="28"/>
          <w:sz w:val="28"/>
          <w:szCs w:val="28"/>
          <w:rtl w:val="true"/>
          <w:lang w:bidi="fa-IR"/>
        </w:rPr>
        <w:t>و القواعد</w:t>
      </w:r>
      <w:r>
        <w:rPr>
          <w:rStyle w:val="FootnoteAnchor"/>
          <w:rtl w:val="true"/>
        </w:rPr>
        <w:footnoteReference w:id="547"/>
      </w:r>
      <w:r>
        <w:rPr>
          <w:rFonts w:ascii="Amiri" w:hAnsi="Amiri" w:eastAsia="Amiri" w:cs="Amiri"/>
          <w:color w:val="111111"/>
          <w:sz w:val="28"/>
          <w:sz w:val="28"/>
          <w:szCs w:val="28"/>
          <w:rtl w:val="true"/>
          <w:lang w:bidi="ar-SA"/>
        </w:rPr>
        <w:t>و حكي اختياره عن الشهيد في البيان</w:t>
      </w:r>
      <w:r>
        <w:rPr>
          <w:rStyle w:val="FootnoteAnchor"/>
          <w:rtl w:val="true"/>
        </w:rPr>
        <w:footnoteReference w:id="548"/>
      </w:r>
      <w:r>
        <w:rPr>
          <w:rFonts w:ascii="IRNazanin" w:hAnsi="IRNazanin" w:eastAsia="IRNazanin"/>
          <w:color w:val="111111"/>
          <w:sz w:val="28"/>
          <w:sz w:val="28"/>
          <w:szCs w:val="28"/>
          <w:rtl w:val="true"/>
          <w:lang w:bidi="fa-IR"/>
        </w:rPr>
        <w:t>و الدروس</w:t>
      </w:r>
      <w:r>
        <w:rPr>
          <w:rStyle w:val="FootnoteAnchor"/>
          <w:rtl w:val="true"/>
        </w:rPr>
        <w:footnoteReference w:id="549"/>
      </w:r>
      <w:r>
        <w:rPr>
          <w:rFonts w:ascii="Amiri" w:hAnsi="Amiri" w:eastAsia="Amiri" w:cs="Amiri"/>
          <w:color w:val="111111"/>
          <w:sz w:val="28"/>
          <w:sz w:val="28"/>
          <w:szCs w:val="28"/>
          <w:rtl w:val="true"/>
          <w:lang w:bidi="ar-SA"/>
        </w:rPr>
        <w:t>و المحقّق الثاني في حاشية الشرائع</w:t>
      </w:r>
      <w:r>
        <w:rPr>
          <w:rStyle w:val="FootnoteAnchor"/>
          <w:rtl w:val="true"/>
        </w:rPr>
        <w:footnoteReference w:id="550"/>
      </w:r>
      <w:r>
        <w:rPr>
          <w:rFonts w:ascii="Amiri" w:hAnsi="Amiri" w:eastAsia="Amiri" w:cs="Amiri"/>
          <w:color w:val="111111"/>
          <w:sz w:val="28"/>
          <w:sz w:val="28"/>
          <w:szCs w:val="28"/>
          <w:rtl w:val="true"/>
          <w:lang w:bidi="ar-SA"/>
        </w:rPr>
        <w:t>و اختاره في المدارك</w:t>
      </w:r>
      <w:r>
        <w:rPr>
          <w:rStyle w:val="FootnoteAnchor"/>
          <w:rtl w:val="true"/>
        </w:rPr>
        <w:footnoteReference w:id="551"/>
      </w:r>
      <w:r>
        <w:rPr>
          <w:rFonts w:ascii="Amiri" w:hAnsi="Amiri" w:eastAsia="Amiri" w:cs="Amiri"/>
          <w:color w:val="111111"/>
          <w:sz w:val="28"/>
          <w:sz w:val="28"/>
          <w:szCs w:val="28"/>
          <w:rtl w:val="true"/>
          <w:lang w:bidi="ar-SA"/>
        </w:rPr>
        <w:t>و الكفاية</w:t>
      </w:r>
      <w:r>
        <w:rPr>
          <w:rStyle w:val="FootnoteAnchor"/>
          <w:rtl w:val="true"/>
        </w:rPr>
        <w:footnoteReference w:id="552"/>
      </w:r>
      <w:r>
        <w:rPr>
          <w:rFonts w:ascii="Amiri" w:hAnsi="Amiri" w:eastAsia="Amiri" w:cs="Amiri"/>
          <w:color w:val="111111"/>
          <w:sz w:val="28"/>
          <w:sz w:val="28"/>
          <w:szCs w:val="28"/>
          <w:rtl w:val="true"/>
          <w:lang w:bidi="ar-SA"/>
        </w:rPr>
        <w:t>و الذخيرة</w:t>
      </w:r>
      <w:r>
        <w:rPr>
          <w:rStyle w:val="FootnoteAnchor"/>
          <w:rtl w:val="true"/>
        </w:rPr>
        <w:footnoteReference w:id="553"/>
      </w:r>
      <w:r>
        <w:rPr>
          <w:rFonts w:ascii="Amiri" w:hAnsi="Amiri" w:eastAsia="Amiri" w:cs="Amiri"/>
          <w:color w:val="111111"/>
          <w:sz w:val="28"/>
          <w:sz w:val="28"/>
          <w:szCs w:val="28"/>
          <w:rtl w:val="true"/>
          <w:lang w:bidi="ar-SA"/>
        </w:rPr>
        <w:t>و لعلّه للأكثر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عليه الزكاة، و اختاره من متأخّري أصحابنا الفاضلان في المعتبر</w:t>
      </w:r>
      <w:r>
        <w:rPr>
          <w:rStyle w:val="FootnoteAnchor"/>
          <w:rtl w:val="true"/>
        </w:rPr>
        <w:footnoteReference w:id="554"/>
      </w:r>
      <w:r>
        <w:rPr>
          <w:rFonts w:ascii="IRNazanin" w:hAnsi="IRNazanin" w:eastAsia="IRNazanin"/>
          <w:color w:val="111111"/>
          <w:sz w:val="28"/>
          <w:sz w:val="28"/>
          <w:szCs w:val="28"/>
          <w:rtl w:val="true"/>
          <w:lang w:bidi="fa-IR"/>
        </w:rPr>
        <w:t>و النافع</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الأقوى هو القول الأوّل، و العمدة من دليله النصوص المعتبرة، كصحيح</w:t>
      </w:r>
      <w:r>
        <w:rPr>
          <w:rStyle w:val="FootnoteAnchor"/>
          <w:rtl w:val="true"/>
        </w:rPr>
        <w:footnoteReference w:id="556"/>
      </w:r>
      <w:r>
        <w:rPr>
          <w:rFonts w:ascii="Amiri" w:hAnsi="Amiri" w:eastAsia="Amiri" w:cs="Amiri"/>
          <w:color w:val="111111"/>
          <w:sz w:val="28"/>
          <w:sz w:val="28"/>
          <w:szCs w:val="28"/>
          <w:rtl w:val="true"/>
          <w:lang w:bidi="ar-SA"/>
        </w:rPr>
        <w:t>عبد اللّه ابن سنان المتقدّم، المصرّح بعدم وجوبها على المملوك و لا على سيّده معلّلا بأنّه لم يصل إلى السيّد و ليس هو للمملوك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صحيحين آخرين له أيضا عن أبي عبد اللّه عليه السّلام ففي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و أنا حاضر عن مال المملوك أ عليه 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كان ألف ألف درهم، و لو احتاج لم يكن له من الزكاة شيء</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المملوك شيء و لو كان له ألف ألف درهم، و لو احتاج لم يعط من الزكاة شيء</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منهما التلازم بين عدم وجوب الزكاة على تقدير وجود المال و تملّك النصاب و عدم الاستحقاق لها على تقدير فقدهما،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لا يجب عليه الزكاة على تقدير وجود المال و بلوغه النصاب لا يستحقّ أخذ الزكاة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ينعكس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عليه الزكاة على تقدير وجود المال فهو ممّن يستحقّ الزكاة على تقدير فقد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عدم الوجوب أيضا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و إن كان مالكا إلاّ أنّه غير متمكّن من التصرّف لكونه محجورا عليه، و التمكّن من التصرّف شرط في 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العبد ناقص غير تامّ لجواز انتزاعه منه للمولى فلا يجب عليه الزكاة لاشتراط وجوبها بتماميّة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من الضعف ما لا يخفى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الأوّل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يقتضي كون عدم وجوبها عليه من متفرّعات اشتراط وجوبها بالتمكّن من التصرّف، و هو شرط آخر، و الكلام إنّما هو في اشتراط وجوبها و العدم بالحرّيّة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يفرض الكلام في صورة ما لو تمكّن العبد من التصرّفات برفع المولى الحجر عنه فإنّه و إن كان محجورا عليه إلاّ أنّ حجره مراعى بعدم إذن المولى له في عامّة التصرّفات فإذا أذنه صار متمكّنا من جميع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شرطيّة تماميّة الملك بنفسها محلّ كلام، و في معناها كلام آخر لمكان الإجمال فيها فلعلّ القائل بالوجوب قوله مبنيّ لى عدم اعتبار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تقدير تسليم الشرطيّة فليفسّر الشرط بما لا ينافي جواز انتزاع المال الثابت للمولى، و مرجعه إلى أنّ الكلام في وجوب الزكاة على العبد و عدمه مفروض مع تحقّق تماميّة الملك في حقّه كما أنّه مفروض مع تحقّق أصل الملك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نقف عليه على دليل يعتمد عليه و لم نعثر على نصّ فيه، نعم نقل السيّد في المناهل</w:t>
      </w:r>
      <w:r>
        <w:rPr>
          <w:rStyle w:val="FootnoteAnchor"/>
          <w:rtl w:val="true"/>
        </w:rPr>
        <w:footnoteReference w:id="559"/>
      </w:r>
      <w:r>
        <w:rPr>
          <w:rFonts w:ascii="Amiri" w:hAnsi="Amiri" w:eastAsia="Amiri" w:cs="Amiri"/>
          <w:color w:val="111111"/>
          <w:sz w:val="28"/>
          <w:sz w:val="28"/>
          <w:szCs w:val="28"/>
          <w:rtl w:val="true"/>
          <w:lang w:bidi="ar-SA"/>
        </w:rPr>
        <w:t>الاحتجاج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مالك و له جميع أنواع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المعتبر</w:t>
      </w:r>
      <w:r>
        <w:rPr>
          <w:rStyle w:val="FootnoteAnchor"/>
          <w:rtl w:val="true"/>
        </w:rPr>
        <w:footnoteReference w:id="560"/>
      </w:r>
      <w:r>
        <w:rPr>
          <w:rFonts w:ascii="IRNazanin" w:hAnsi="IRNazanin" w:eastAsia="IRNazanin"/>
          <w:color w:val="111111"/>
          <w:sz w:val="28"/>
          <w:sz w:val="28"/>
          <w:szCs w:val="28"/>
          <w:rtl w:val="true"/>
          <w:lang w:bidi="fa-IR"/>
        </w:rPr>
        <w:t>و المنتهى</w:t>
      </w:r>
      <w:r>
        <w:rPr>
          <w:rStyle w:val="FootnoteAnchor"/>
          <w:rtl w:val="true"/>
        </w:rPr>
        <w:footnoteReference w:id="561"/>
      </w:r>
      <w:r>
        <w:rPr>
          <w:rFonts w:ascii="Amiri" w:hAnsi="Amiri" w:eastAsia="Amiri" w:cs="Amiri"/>
          <w:color w:val="111111"/>
          <w:sz w:val="28"/>
          <w:sz w:val="28"/>
          <w:szCs w:val="28"/>
          <w:rtl w:val="true"/>
          <w:lang w:bidi="ar-SA"/>
        </w:rPr>
        <w:t>من اتّفاق القائلين بمالكيّة العبد، على وجوبها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تمكّن العبد عن التصرّفات، لمكان الحجر الّذي لعلّه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بين جواز التصرّفات و وجوب الزكاة، لانتفاء اللزوم عقلا و شرعا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في مقابلة النصّ فلا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الاتّفاق أوّلا، فإنّ المحقّق في الشرائع</w:t>
      </w:r>
      <w:r>
        <w:rPr>
          <w:rStyle w:val="FootnoteAnchor"/>
          <w:rtl w:val="true"/>
        </w:rPr>
        <w:footnoteReference w:id="562"/>
      </w:r>
      <w:r>
        <w:rPr>
          <w:rFonts w:ascii="Amiri" w:hAnsi="Amiri" w:eastAsia="Amiri" w:cs="Amiri"/>
          <w:color w:val="111111"/>
          <w:sz w:val="28"/>
          <w:sz w:val="28"/>
          <w:szCs w:val="28"/>
          <w:rtl w:val="true"/>
          <w:lang w:bidi="ar-SA"/>
        </w:rPr>
        <w:t>قائل بالملك، و هو ناف للوجوب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منع جدواه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به الاتّفاق الكاشف عن قول المعصوم عليهم السّلام إذ القائلون بملك العبد شر ذمة قليلون فلا ينعقد به الإجماع الكاشف، و إن اريد به ما دون ذلك </w:t>
      </w:r>
    </w:p>
    <w:p>
      <w:pPr>
        <w:pStyle w:val="BookText"/>
        <w:rPr/>
      </w:pPr>
      <w:r>
        <w:rPr>
          <w:rFonts w:ascii="Amiri" w:hAnsi="Amiri" w:eastAsia="Amiri" w:cs="Amiri"/>
          <w:color w:val="111111"/>
          <w:sz w:val="28"/>
          <w:sz w:val="28"/>
          <w:szCs w:val="28"/>
          <w:rtl w:val="true"/>
          <w:lang w:bidi="ar-SA"/>
        </w:rPr>
        <w:t>فلا حجّة فيه، و لا يجوز التعويل عليه في إثبات الحكم المخالف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إطلاق الفتاوى و النصوص بعدم وجوب الزكاة على المملوك بين القنّ و المدبّر و امّ الولد و المكاتب المشروط و المطلق الّذي لم يتحرّر منه شيء بعدم أداء شيء من مال الكتابة، على ما صرّح به الفاضلان</w:t>
      </w:r>
      <w:r>
        <w:rPr>
          <w:rStyle w:val="FootnoteAnchor"/>
          <w:rtl w:val="true"/>
        </w:rPr>
        <w:footnoteReference w:id="563"/>
      </w:r>
      <w:r>
        <w:rPr>
          <w:rFonts w:ascii="Amiri" w:hAnsi="Amiri" w:eastAsia="Amiri" w:cs="Amiri"/>
          <w:color w:val="111111"/>
          <w:sz w:val="28"/>
          <w:sz w:val="28"/>
          <w:szCs w:val="28"/>
          <w:rtl w:val="true"/>
          <w:lang w:bidi="ar-SA"/>
        </w:rPr>
        <w:t>و الشهيدان</w:t>
      </w:r>
      <w:r>
        <w:rPr>
          <w:rStyle w:val="FootnoteAnchor"/>
          <w:rtl w:val="true"/>
        </w:rPr>
        <w:footnoteReference w:id="564"/>
      </w:r>
      <w:r>
        <w:rPr>
          <w:rFonts w:ascii="Amiri" w:hAnsi="Amiri" w:eastAsia="Amiri" w:cs="Amiri"/>
          <w:color w:val="111111"/>
          <w:sz w:val="28"/>
          <w:sz w:val="28"/>
          <w:szCs w:val="28"/>
          <w:rtl w:val="true"/>
          <w:lang w:bidi="ar-SA"/>
        </w:rPr>
        <w:t xml:space="preserve">و غيرهما، و في المناهل فيما عدا المكاتب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أنّه مما لا خلاف فيه</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و في المدارك و الذخيرة في المكاتب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المعروف من مذهب الأصحاب</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و عن التذكرة نسبته إلى علمائنا</w:t>
      </w:r>
      <w:r>
        <w:rPr>
          <w:rStyle w:val="FootnoteAnchor"/>
          <w:rtl w:val="true"/>
        </w:rPr>
        <w:footnoteReference w:id="567"/>
      </w:r>
      <w:r>
        <w:rPr>
          <w:rFonts w:ascii="Amiri" w:hAnsi="Amiri" w:eastAsia="Amiri" w:cs="Amiri"/>
          <w:color w:val="111111"/>
          <w:sz w:val="28"/>
          <w:sz w:val="28"/>
          <w:szCs w:val="28"/>
          <w:rtl w:val="true"/>
          <w:lang w:bidi="ar-SA"/>
        </w:rPr>
        <w:t xml:space="preserve">و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قول العلماء إلاّ أبا حنيفة</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لصدق المملوك على كلّ من هذه الأنواع فيشملهم النصوص المعلّقة لعدم وجوب الزكاة على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ايّد بالنبويّ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مال المكاتب</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و رواية البختري و هو وهب بن وهب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مال المكاتب زكاة</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استضعافا لسنديهما، و لولاه لكان كلّ دليلا مستقلاّ، و لو ثبت عمل الأصحاب بهما على وجه الاستناد و الاعتماد انتهض كلّ دليلا لانجبار ضعفهما بالعمل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المكاتب المطلق الّذي تحرّر بعضه بأداء بعض مال كتابته و بلغ نصيب حرّيته النصاب فالمصرّح به في كلام جمع كثير من الأساطين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الزكاة عليه في نصيب حرّيّته</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و عن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محلّ اتّفاق</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واحدا</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استنادا إلى عموم الأخبار</w:t>
      </w:r>
      <w:r>
        <w:rPr>
          <w:rStyle w:val="FootnoteAnchor"/>
          <w:rtl w:val="true"/>
        </w:rPr>
        <w:footnoteReference w:id="575"/>
      </w:r>
      <w:r>
        <w:rPr>
          <w:rFonts w:ascii="Amiri" w:hAnsi="Amiri" w:eastAsia="Amiri" w:cs="Amiri"/>
          <w:color w:val="111111"/>
          <w:sz w:val="28"/>
          <w:sz w:val="28"/>
          <w:szCs w:val="28"/>
          <w:rtl w:val="true"/>
          <w:lang w:bidi="ar-SA"/>
        </w:rPr>
        <w:t>الدالّة على وجوب الزكاة على من ملك النصاب، و قصوره من جهة توهّم الانصراف إلى الأحرار ينجبر بفهم الأصحاب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من جهة إطلاق النصوص و الفتاوى في عدم وجوب الزكاة على المملوك، عدم الفرق فيه بين ما لو أذنه المولى في التصرّف، كما صرّح به السيّد في الرياض و استقر به ولده في المناهل</w:t>
      </w:r>
      <w:r>
        <w:rPr>
          <w:rStyle w:val="FootnoteAnchor"/>
          <w:rtl w:val="true"/>
        </w:rPr>
        <w:footnoteReference w:id="576"/>
      </w:r>
      <w:r>
        <w:rPr>
          <w:rFonts w:ascii="Amiri" w:hAnsi="Amiri" w:eastAsia="Amiri" w:cs="Amiri"/>
          <w:color w:val="111111"/>
          <w:sz w:val="28"/>
          <w:sz w:val="28"/>
          <w:szCs w:val="28"/>
          <w:rtl w:val="true"/>
          <w:lang w:bidi="ar-SA"/>
        </w:rPr>
        <w:t>و لا ينافيه المرويّ عن قرب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المملوك زكاة إلاّ بإذن مواليه</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لأنّ ضعف سنده يأبى عن التعويل عليه، و ربّما اوّل بإرادة الإذن في الإخراج بعد تعلّقه بمال المولى</w:t>
      </w:r>
      <w:r>
        <w:rPr>
          <w:rFonts w:eastAsia="Amiri" w:cs="Amiri" w:ascii="Amiri" w:hAnsi="Amiri"/>
          <w:color w:val="111111"/>
          <w:sz w:val="28"/>
          <w:szCs w:val="28"/>
          <w:rtl w:val="true"/>
          <w:lang w:bidi="ar-SA"/>
        </w:rPr>
        <w:t xml:space="preserve">. </w:t>
      </w:r>
      <w:bookmarkStart w:id="162" w:name="pg16181_154502"/>
    </w:p>
    <w:p>
      <w:pPr>
        <w:pStyle w:val="Heading5"/>
        <w:numPr>
          <w:ilvl w:val="4"/>
          <w:numId w:val="1"/>
        </w:numPr>
        <w:rPr/>
      </w:pPr>
      <w:bookmarkStart w:id="163" w:name="__RefHeading___Toc2586519_1280447820"/>
      <w:bookmarkStart w:id="164" w:name="_Toc58"/>
      <w:bookmarkEnd w:id="162"/>
      <w:bookmarkEnd w:id="163"/>
      <w:r>
        <w:rPr>
          <w:rtl w:val="true"/>
        </w:rPr>
        <w:t>المطلب الرابع في اشتراط وجوب الزكاة في جميع الأجناس الزكويّة بالملك</w:t>
      </w:r>
      <w:bookmarkEnd w:id="164"/>
    </w:p>
    <w:p>
      <w:pPr>
        <w:pStyle w:val="Heading6"/>
        <w:numPr>
          <w:ilvl w:val="5"/>
          <w:numId w:val="1"/>
        </w:numPr>
        <w:rPr/>
      </w:pPr>
      <w:bookmarkStart w:id="165" w:name="__RefHeading___Toc2586521_1280447820"/>
      <w:bookmarkStart w:id="166" w:name="_Toc59"/>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فلا زكاة عليه فيما ليس بمملوك له كالمباح الّذي ابيح له في التصرّفات، كما نصّ عليه جمع كثير من أساطين</w:t>
      </w:r>
      <w:r>
        <w:rPr>
          <w:rStyle w:val="FootnoteAnchor"/>
          <w:rtl w:val="true"/>
        </w:rPr>
        <w:footnoteReference w:id="578"/>
      </w:r>
      <w:r>
        <w:rPr>
          <w:rFonts w:ascii="Amiri" w:hAnsi="Amiri" w:eastAsia="Amiri" w:cs="Amiri"/>
          <w:color w:val="111111"/>
          <w:sz w:val="28"/>
          <w:sz w:val="28"/>
          <w:szCs w:val="28"/>
          <w:rtl w:val="true"/>
          <w:lang w:bidi="ar-SA"/>
        </w:rPr>
        <w:t>الطائفة من القدماء و المتأخّرين، و في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أنّه ممّا لا خلاف فيه</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 عن الغنية في 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خلاف فيه</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و في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الإماميّة عليه</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و عن المعتبر</w:t>
      </w:r>
      <w:r>
        <w:rPr>
          <w:rStyle w:val="FootnoteAnchor"/>
          <w:rtl w:val="true"/>
        </w:rPr>
        <w:footnoteReference w:id="582"/>
      </w:r>
      <w:r>
        <w:rPr>
          <w:rFonts w:ascii="Amiri" w:hAnsi="Amiri" w:eastAsia="Amiri" w:cs="Amiri"/>
          <w:color w:val="111111"/>
          <w:sz w:val="28"/>
          <w:sz w:val="28"/>
          <w:szCs w:val="28"/>
          <w:rtl w:val="true"/>
          <w:lang w:bidi="ar-SA"/>
        </w:rPr>
        <w:t>كما عن نهاية الأحكام دعوى اتّفاق العلماء عليه</w:t>
      </w:r>
      <w:r>
        <w:rPr>
          <w:rStyle w:val="FootnoteAnchor"/>
          <w:rtl w:val="true"/>
        </w:rPr>
        <w:footnoteReference w:id="583"/>
      </w:r>
      <w:r>
        <w:rPr>
          <w:rFonts w:ascii="Amiri" w:hAnsi="Amiri" w:eastAsia="Amiri" w:cs="Amiri"/>
          <w:color w:val="111111"/>
          <w:sz w:val="28"/>
          <w:sz w:val="28"/>
          <w:szCs w:val="28"/>
          <w:rtl w:val="true"/>
          <w:lang w:bidi="ar-SA"/>
        </w:rPr>
        <w:t>و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قول العلماء كافّة</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فالمسألة إجماعيّة، و ربّما ادّعي الضرورة عليه مذهبا و دينا، و يمكن استظهاره من الأخبار</w:t>
      </w:r>
      <w:r>
        <w:rPr>
          <w:rStyle w:val="FootnoteAnchor"/>
          <w:rtl w:val="true"/>
        </w:rPr>
        <w:footnoteReference w:id="585"/>
      </w:r>
      <w:r>
        <w:rPr>
          <w:rFonts w:ascii="Amiri" w:hAnsi="Amiri" w:eastAsia="Amiri" w:cs="Amiri"/>
          <w:color w:val="111111"/>
          <w:sz w:val="28"/>
          <w:sz w:val="28"/>
          <w:szCs w:val="28"/>
          <w:rtl w:val="true"/>
          <w:lang w:bidi="ar-SA"/>
        </w:rPr>
        <w:t>الدالّة على وجوبها على من عنده النصاب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فأصل هذا الحكم ممّا لا كلام فيه، و إنّما الكلام فيما ذكره المحقّق بعد ذكر هذا الشرط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يكون الملك تامّا</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و نسب ذكره إلى العلاّمة في المنتهى</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التحرير</w:t>
      </w:r>
      <w:r>
        <w:rPr>
          <w:rStyle w:val="FootnoteAnchor"/>
          <w:rtl w:val="true"/>
        </w:rPr>
        <w:footnoteReference w:id="588"/>
      </w:r>
      <w:r>
        <w:rPr>
          <w:rFonts w:ascii="IRNazanin" w:hAnsi="IRNazanin" w:eastAsia="IRNazanin"/>
          <w:color w:val="111111"/>
          <w:sz w:val="28"/>
          <w:sz w:val="28"/>
          <w:szCs w:val="28"/>
          <w:rtl w:val="true"/>
          <w:lang w:bidi="fa-IR"/>
        </w:rPr>
        <w:t>و الإرشاد</w:t>
      </w:r>
      <w:r>
        <w:rPr>
          <w:rStyle w:val="FootnoteAnchor"/>
          <w:rtl w:val="true"/>
        </w:rPr>
        <w:footnoteReference w:id="589"/>
      </w:r>
      <w:r>
        <w:rPr>
          <w:rFonts w:ascii="Amiri" w:hAnsi="Amiri" w:eastAsia="Amiri" w:cs="Amiri"/>
          <w:color w:val="111111"/>
          <w:sz w:val="28"/>
          <w:sz w:val="28"/>
          <w:szCs w:val="28"/>
          <w:rtl w:val="true"/>
          <w:lang w:bidi="ar-SA"/>
        </w:rPr>
        <w:t>و نسبه في المدارك إلى المصنّف و جمع من الأصحاب و ناقش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لا يخلو من إجمال، فإنّهم إن أرادوا به عدم تزلزل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بعض المحقّقين</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يتفرّع عليه جريان البيع المشتمل على خيار في الحول من حين العقد و لا جريان الموهوب فيه بعد القبض فإنّ الهبة قد يلحقها مقتضيات كثيرة توجب فسخها بعد القبض من الواهب، و إن أرادوا به كون المالك متمكّنا من التصرّفات في النصاب كما اومئ إليه في المعتبر</w:t>
      </w:r>
      <w:r>
        <w:rPr>
          <w:rStyle w:val="FootnoteAnchor"/>
          <w:rtl w:val="true"/>
        </w:rPr>
        <w:footnoteReference w:id="591"/>
      </w:r>
      <w:r>
        <w:rPr>
          <w:rFonts w:ascii="Amiri" w:hAnsi="Amiri" w:eastAsia="Amiri" w:cs="Amiri"/>
          <w:color w:val="111111"/>
          <w:sz w:val="28"/>
          <w:sz w:val="28"/>
          <w:szCs w:val="28"/>
          <w:rtl w:val="true"/>
          <w:lang w:bidi="ar-SA"/>
        </w:rPr>
        <w:t xml:space="preserve">لم يستقم أيضا لعدم صلاحيته للتفريع و لتصريح المصنّف بعد ذلك باشتراط التمكّن من التصرّف، و إن أرادوا به حصول تمام السبب المقتضي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 زيادة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فالمعتبر تحقّق الملك خاصّة، و أمّا التمكّن من التصرّف فهو شرط آخر، و سيجيء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تماميّة الملك يراد بها ما يقابل النقص، و هي لا تنافي تزلزل الملك، و لا عدم التمكّن من التصرّف، فإنّ كلاّ منهما يجامع الملك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فكالتزلزل الناشئ من الخيار اللازم من الشرط في ضمن العقد أو من نفس العقد كما في المعاطاة و الهبة الغير المعوّضة لغير ذي رحم، أو من خلل واقع في المبيع أو الثمن من عيب أو غبن أو تخلّف وصف، أو من غير ذلك من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تأخير الثمن و مخالفة الشرط و تبعّض الصفقة أو نحو ذلك، و لا ريب أنّ الملك في جميع هذه الموارد تامّ‌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فكالّذي يستند إلى وجود مانع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كالعين المرهونة، و العين المنذورة، و المحجور عليه لسفه أو جنون أو نحو ذلك، فإنّ تعلّق حقّ للمرتهن بها في الأوّل و تعلّق حقّ للمنذور له في الثاني و قصور نظر السفيه و نحوه عن إصلاح المال مانع شرعي</w:t>
      </w:r>
      <w:r>
        <w:rPr>
          <w:rFonts w:eastAsia="Amiri" w:cs="Amiri" w:ascii="Amiri" w:hAnsi="Amiri"/>
          <w:color w:val="111111"/>
          <w:sz w:val="28"/>
          <w:szCs w:val="28"/>
          <w:rtl w:val="true"/>
          <w:lang w:bidi="ar-SA"/>
        </w:rPr>
        <w:t xml:space="preserve">. </w:t>
      </w:r>
      <w:bookmarkStart w:id="167" w:name="pg16181_154504"/>
    </w:p>
    <w:p>
      <w:pPr>
        <w:pStyle w:val="BookText"/>
        <w:rPr/>
      </w:pPr>
      <w:bookmarkEnd w:id="167"/>
      <w:r>
        <w:rPr>
          <w:rFonts w:ascii="Amiri" w:hAnsi="Amiri" w:eastAsia="Amiri" w:cs="Amiri"/>
          <w:color w:val="111111"/>
          <w:sz w:val="28"/>
          <w:sz w:val="28"/>
          <w:szCs w:val="28"/>
          <w:rtl w:val="true"/>
          <w:lang w:bidi="ar-SA"/>
        </w:rPr>
        <w:t>أو إلى مانع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كالمال المغصوب، لكون اليد الغاصبة فيه مانعا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انتفاء شرط من الشروط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كالحضور في المال الغائب إلى غير ذلك، فإنّ الملك في جميع هذه الموارد تامّ مع عدم تمكّن المالك من التمكّن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نقصان الملك أيضا يوجب تزلزلا فيه كما يوجب عدم التمكّن من التصرّف أيضا، و لعلّ مراد الجماعة في اعتبار الملك التامّ‌، الاحتراز عن ملك العبد لكونه ناقصا، فلذا يجوز للمولى انتزاعه، و هذا آية تزلزله، و هو محجور عليه من التصرّفات، و هو آية عدم تمكّنه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في معناه إرادة عدم نقصان الملك، كما يجوز إرادة عدم التزلزل بالمعنى اللازم من نقص الملك لا من الخيار و نحوه فصحّ تفريع ما تقدّم من جريان المبيع المشتمل على الخيار في الحول من حين العقد و جريان الموهوب فيه بعد القبض، و إرادة التمكّن من التصرّف بالمعنى اللازم من تماميّة الملك، و لا يغني عنه التمكّن من التصرّف الّذي ذكره المحقّق</w:t>
      </w:r>
      <w:r>
        <w:rPr>
          <w:rStyle w:val="FootnoteAnchor"/>
          <w:rtl w:val="true"/>
        </w:rPr>
        <w:footnoteReference w:id="593"/>
      </w:r>
      <w:r>
        <w:rPr>
          <w:rFonts w:ascii="Amiri" w:hAnsi="Amiri" w:eastAsia="Amiri" w:cs="Amiri"/>
          <w:color w:val="111111"/>
          <w:sz w:val="28"/>
          <w:sz w:val="28"/>
          <w:szCs w:val="28"/>
          <w:rtl w:val="true"/>
          <w:lang w:bidi="ar-SA"/>
        </w:rPr>
        <w:t>فيما بعد ذلك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فروعا تتفرّع على اشتراط الملك و تذكر في طيّ مسائل</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2586523_1280447820"/>
      <w:bookmarkStart w:id="169" w:name="_Toc60"/>
      <w:bookmarkEnd w:id="168"/>
      <w:r>
        <w:rPr>
          <w:rtl w:val="true"/>
        </w:rPr>
        <w:t>[</w:t>
      </w:r>
      <w:r>
        <w:rPr>
          <w:rtl w:val="true"/>
        </w:rPr>
        <w:t>مسائل</w:t>
      </w:r>
      <w:r>
        <w:rPr>
          <w:rtl w:val="true"/>
        </w:rPr>
        <w:t>]</w:t>
      </w:r>
      <w:bookmarkEnd w:id="169"/>
    </w:p>
    <w:p>
      <w:pPr>
        <w:pStyle w:val="Heading6"/>
        <w:numPr>
          <w:ilvl w:val="5"/>
          <w:numId w:val="1"/>
        </w:numPr>
        <w:rPr/>
      </w:pPr>
      <w:bookmarkStart w:id="170" w:name="__RefHeading___Toc2586525_1280447820"/>
      <w:bookmarkStart w:id="171" w:name="_Toc61"/>
      <w:bookmarkEnd w:id="170"/>
      <w:r>
        <w:rPr>
          <w:rtl w:val="true"/>
        </w:rPr>
        <w:t>المسألة الاولى</w:t>
      </w:r>
      <w:r>
        <w:rPr>
          <w:rtl w:val="true"/>
        </w:rPr>
        <w:t xml:space="preserve">: </w:t>
      </w:r>
      <w:r>
        <w:rPr>
          <w:rtl w:val="true"/>
        </w:rPr>
        <w:t>لو وهب له نصاب لم يجر في الحول إلاّ بعد القبض،</w:t>
      </w:r>
      <w:bookmarkEnd w:id="17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 يتوقّف جريانه في الحول على القبض، و بعبارة ثالثة يعتبر الحول بعد القبض، فقبله لا يجب عليه زكاة و لو بعد سنة بل سنين، لانتفاء الملك الّذي هو من شرط الوجوب قبل القبض، و إذا حصل القبض انتقل الموهوب إلى الموهوب له فجرى في الحول، فإذا حال عليه الحول وجبت الزكاة بلا خلاف في الحكمين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طريق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كون مبنى هذا الفرع على القول بكون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القبض شرطا للصحّة و حصول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شرطا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في الحول من حين قبول الهبة و لا يعتبر فيه القبض إلاّ حيث يتوقّف عليه التمكّن من التصرّف في الموهوب، و حينئذ لا بدّ من القبض في جريانه في الحول تحصيلا للتمكّن من التصرّف الّذي هو شرط آخر على </w:t>
      </w:r>
    </w:p>
    <w:p>
      <w:pPr>
        <w:pStyle w:val="BookText"/>
        <w:rPr/>
      </w:pPr>
      <w:r>
        <w:rPr>
          <w:rFonts w:ascii="Amiri" w:hAnsi="Amiri" w:eastAsia="Amiri" w:cs="Amiri"/>
          <w:color w:val="111111"/>
          <w:sz w:val="28"/>
          <w:sz w:val="28"/>
          <w:szCs w:val="28"/>
          <w:rtl w:val="true"/>
          <w:lang w:bidi="ar-SA"/>
        </w:rPr>
        <w:t>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عند شرح عبارة الشرائع</w:t>
      </w:r>
      <w:r>
        <w:rPr>
          <w:rStyle w:val="FootnoteAnchor"/>
          <w:rtl w:val="true"/>
        </w:rPr>
        <w:footnoteReference w:id="5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وهب له نصاب لم يجر في الحول إلاّ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جعلنا القبض ناقلا للملك أم كاشفا عن سبقه بالعقد، لمنعه من التصرّف فيه قبل القبض على التقديرين</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أورد عليه في المدارك حيث فهم من هذه العبارة أنّه إشارة إلى خلاف آخر في القبض على القول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الخلاف المعروف 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للصحّة أو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غير جيّد، لأنّ هذا الخلاف غير واقع في الهبة، و إنّما وقع الخلاف فيها في كون القبض شرطا في الصحّة أو اللزوم</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و تبعه في فهم هذا المعنى في مفتاح الكرامة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تتبّعت فوجدت الأمر كما ذكره في المدارك لكن لم اسبغ التتبّع</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ذكر في المسالك إشارة إلى الخلاف المعروف لا إلى خلاف آخر، غاية ما هنالك أنّه عبّر عن القول بكون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القبض شرطا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كاشفا عن سبق الملك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دعاه إلى ذلك ملاحظة أنّ القول بكونه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شرطا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 غير صحيح، إذ الهبة في الوضع الشرعي عقد جائز و إن حصل القبض و لا تصير لازمة إلاّ في مواضع مخصوصة، فجعل القبض شرطا للّزوم لا يجامع كونها جائزة حتّى بعد القبض إلاّ إذا اوّل بما لا ينافي الجواز،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لزوم عقد الهبة قبالا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اللازم بمعنى ما لا ينفكّ عن العقد فإنّه ما لم يحصل القبض لم يكن معلوما لقيام احتمال رجوع الواهب عن الهبة في نيّته، فإذا حصل القبض علم لزومه أي عدم انفكاكه عن العقد، فمعنى كونه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شرطا للعلم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بحيث يتوقّف عليه العلم باللزوم، و من المعلوم أنّ ما يتوقّف عليه العلم باللزوم كاشف عن سبق الملك بالعقد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تعليله لتعميم اعتبار القبض بالنسبة إلى القولين بمنع المتّهب من التصرّف في </w:t>
      </w:r>
      <w:bookmarkStart w:id="172" w:name="pg16181_154506"/>
    </w:p>
    <w:p>
      <w:pPr>
        <w:pStyle w:val="BookText"/>
        <w:rPr/>
      </w:pPr>
      <w:bookmarkEnd w:id="172"/>
      <w:r>
        <w:rPr>
          <w:rFonts w:ascii="Amiri" w:hAnsi="Amiri" w:eastAsia="Amiri" w:cs="Amiri"/>
          <w:color w:val="111111"/>
          <w:sz w:val="28"/>
          <w:sz w:val="28"/>
          <w:szCs w:val="28"/>
          <w:rtl w:val="true"/>
          <w:lang w:bidi="ar-SA"/>
        </w:rPr>
        <w:t>الموهوب قبل القبض على التقديرين فلأنّ جواز التصرّف فيه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حصول الملك في الواقع، و على العلم بحصوله، فعلى القول بكون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القبض شرطا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التصرّف فيه شرعا قبل القبض لانتفاء الملك في الواقع، و على القول بكونه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شرطا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التصرّف أيضا قبله لعدم العلم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عدم اعتبار الحول إلاّ بعد القبض بين الهبة اللازمة ككونها لذي رحم، و الهبة الجائزة ككونها لأجنبيّ لانتفاء الملك قبل القبض فيهما معا كما صرّح به في 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 الواهب في الموهوب قبل الحول سقط الزكاة عن المتّهب كما حكي التصريح به عن 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عليه الاتّفاق، و لو رجع بعد الوجوب و قبل الأداء بأن كان الرجوع بعد الحول في موضع جاز الرجوع لم يسقط الوجوب، فيقدّم حقّ الفقراء لتعلّقه بالعين و لا يضمنه المتّهب بعد إخراجه إلى المستحقّ‌، لأنّ هذا الاستحقاق يجري مجرى الإتلاف كما صرّح به في المدارك</w:t>
      </w:r>
      <w:r>
        <w:rPr>
          <w:rStyle w:val="FootnoteAnchor"/>
          <w:rtl w:val="true"/>
        </w:rPr>
        <w:footnoteReference w:id="598"/>
      </w:r>
      <w:r>
        <w:rPr>
          <w:rFonts w:ascii="Amiri" w:hAnsi="Amiri" w:eastAsia="Amiri" w:cs="Amiri"/>
          <w:color w:val="111111"/>
          <w:sz w:val="28"/>
          <w:sz w:val="28"/>
          <w:szCs w:val="28"/>
          <w:rtl w:val="true"/>
          <w:lang w:bidi="ar-SA"/>
        </w:rPr>
        <w:t>و غيره، و أشار إليه في 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يعتبر فيه الحول، و أمّا ما لا يعتبر فيه كالغلاّت فالمصرّح به في كلام جماعة</w:t>
      </w:r>
      <w:r>
        <w:rPr>
          <w:rStyle w:val="FootnoteAnchor"/>
          <w:rtl w:val="true"/>
        </w:rPr>
        <w:footnoteReference w:id="599"/>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زكاته على المتّهب حصول القبض قبل زمان تعلّق الوجوب بالنصاب كانعقاد الحبّة مثلا في الحنطة و الشعير، فلو حصل القبض بعده كان زكاته على الواهب</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2586527_1280447820"/>
      <w:bookmarkStart w:id="174" w:name="_Toc62"/>
      <w:bookmarkEnd w:id="173"/>
      <w:r>
        <w:rPr>
          <w:rtl w:val="true"/>
        </w:rPr>
        <w:t>المسألة الثانية</w:t>
      </w:r>
      <w:r>
        <w:rPr>
          <w:rtl w:val="true"/>
        </w:rPr>
        <w:t xml:space="preserve">: </w:t>
      </w:r>
      <w:r>
        <w:rPr>
          <w:rtl w:val="true"/>
        </w:rPr>
        <w:t>لو اوصي له بنصاب يعتبر الحول بعد القبول بعد الوفاة</w:t>
      </w:r>
      <w:bookmarkEnd w:id="17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اوصي له بنصاب فالمصرّح به في كلام الفاضلين</w:t>
      </w:r>
      <w:r>
        <w:rPr>
          <w:rStyle w:val="FootnoteAnchor"/>
          <w:rtl w:val="true"/>
        </w:rPr>
        <w:footnoteReference w:id="600"/>
      </w:r>
      <w:r>
        <w:rPr>
          <w:rFonts w:ascii="Amiri" w:hAnsi="Amiri" w:eastAsia="Amiri" w:cs="Amiri"/>
          <w:color w:val="111111"/>
          <w:sz w:val="28"/>
          <w:sz w:val="28"/>
          <w:szCs w:val="28"/>
          <w:rtl w:val="true"/>
          <w:lang w:bidi="ar-SA"/>
        </w:rPr>
        <w:t>و الشهيدين</w:t>
      </w:r>
      <w:r>
        <w:rPr>
          <w:rStyle w:val="FootnoteAnchor"/>
          <w:rtl w:val="true"/>
        </w:rPr>
        <w:footnoteReference w:id="601"/>
      </w:r>
      <w:r>
        <w:rPr>
          <w:rFonts w:ascii="Amiri" w:hAnsi="Amiri" w:eastAsia="Amiri" w:cs="Amiri"/>
          <w:color w:val="111111"/>
          <w:sz w:val="28"/>
          <w:sz w:val="28"/>
          <w:szCs w:val="28"/>
          <w:rtl w:val="true"/>
          <w:lang w:bidi="ar-SA"/>
        </w:rPr>
        <w:t>و غيرهما أنّه يعتبر الحول بعد القبول بعد الوفاة، و في المدارك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أكثر الأصحاب، لأنّه وقت انتقال الموصى به إلى ملك الموصى له</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و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وقت انتقال </w:t>
      </w:r>
      <w:bookmarkStart w:id="175" w:name="pg16181_154507"/>
    </w:p>
    <w:p>
      <w:pPr>
        <w:pStyle w:val="BookText"/>
        <w:rPr/>
      </w:pPr>
      <w:bookmarkEnd w:id="175"/>
      <w:r>
        <w:rPr>
          <w:rFonts w:ascii="Amiri" w:hAnsi="Amiri" w:eastAsia="Amiri" w:cs="Amiri"/>
          <w:color w:val="111111"/>
          <w:sz w:val="28"/>
          <w:sz w:val="28"/>
          <w:szCs w:val="28"/>
          <w:rtl w:val="true"/>
          <w:lang w:bidi="ar-SA"/>
        </w:rPr>
        <w:t>الموصى به عند أكثر الأصحاب، و عند بعضهم</w:t>
      </w:r>
      <w:r>
        <w:rPr>
          <w:rStyle w:val="FootnoteAnchor"/>
          <w:rtl w:val="true"/>
        </w:rPr>
        <w:footnoteReference w:id="603"/>
      </w:r>
      <w:r>
        <w:rPr>
          <w:rFonts w:ascii="Amiri" w:hAnsi="Amiri" w:eastAsia="Amiri" w:cs="Amiri"/>
          <w:color w:val="111111"/>
          <w:sz w:val="28"/>
          <w:sz w:val="28"/>
          <w:szCs w:val="28"/>
          <w:rtl w:val="true"/>
          <w:lang w:bidi="ar-SA"/>
        </w:rPr>
        <w:t>القبول كاشف عن انتقال الملك من حين الوفاة</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 جماعة</w:t>
      </w:r>
      <w:r>
        <w:rPr>
          <w:rStyle w:val="FootnoteAnchor"/>
          <w:rtl w:val="true"/>
        </w:rPr>
        <w:footnoteReference w:id="605"/>
      </w:r>
      <w:r>
        <w:rPr>
          <w:rFonts w:ascii="Amiri" w:hAnsi="Amiri" w:eastAsia="Amiri" w:cs="Amiri"/>
          <w:color w:val="111111"/>
          <w:sz w:val="28"/>
          <w:sz w:val="28"/>
          <w:szCs w:val="28"/>
          <w:rtl w:val="true"/>
          <w:lang w:bidi="ar-SA"/>
        </w:rPr>
        <w:t>التصريح باعتبار القبول في جريان الموصى به في الحول على هذا القول أيضا لعدم التمكّن من التصرّف فيه باعتبار عدم العلم بانتقاله إليه، و من ذلك ما عن حاشية الشرائع و الإرشاد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ثابت مطلقا سواء قلنا إنّ القبول ناقل للملك إلى الموصى له، أو قلنا بأنّه كاشف عن دخوله في ملك الموصى له من حين الموت، أمّا على الأوّل فظاهر لانتفاء الملك قبل القبول، و أمّا على الثاني فلانتفاء تماميّة الملك لانتفاء العلم به حينئذ و انتفاء كونه بيده على جهة الملك أو بيد وكيله</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اعتبار القبض بعد القبول أو التمكّن منه إحرازا للتمكّن من التصرّف، بل يعتبر القبض أو التمكّن منه في الوارث في جريان نصيبه من الميراث في الحول إن كان نصابا لإحراز التمكّن من التصرّف و إن كان انتقل إليه بالموت</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2586529_1280447820"/>
      <w:bookmarkStart w:id="177" w:name="_Toc63"/>
      <w:bookmarkEnd w:id="176"/>
      <w:r>
        <w:rPr>
          <w:rtl w:val="true"/>
        </w:rPr>
        <w:t>المسألة الثالثة</w:t>
      </w:r>
      <w:r>
        <w:rPr>
          <w:rtl w:val="true"/>
        </w:rPr>
        <w:t>: [</w:t>
      </w:r>
      <w:r>
        <w:rPr>
          <w:rtl w:val="true"/>
        </w:rPr>
        <w:t>لو اشترى نصابا من الحيوان هل يجري في الحول من حين العقد و لا يعتبر فيه تقضّي زمان الخيار أو لا يجري</w:t>
      </w:r>
      <w:r>
        <w:rPr>
          <w:rtl w:val="true"/>
        </w:rPr>
        <w:t>]</w:t>
      </w:r>
      <w:bookmarkEnd w:id="17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اشترى نصابا من الحيوان مثلا أو غيره ممّا اشتمل على خيار فاختلف الأصحاب في أنّه هل يجري في الحول من حين العقد و لا يعتبر فيه تقضّي زمان الخيار أو لا يجري إلاّ بعد تقضّي زمان الخيار، و بعبارة اخرى هل يعتبر الحول من حين العقد، أو يعتبر بعد انقضاء مدّة الخيار كثلاثة أيّام في الحيوان و غيرها فيه أو في غيره إذا شرطه في العقد؟ على قولين، أوّلهما للمعظم</w:t>
      </w:r>
      <w:r>
        <w:rPr>
          <w:rStyle w:val="FootnoteAnchor"/>
          <w:rtl w:val="true"/>
        </w:rPr>
        <w:footnoteReference w:id="607"/>
      </w:r>
      <w:r>
        <w:rPr>
          <w:rFonts w:ascii="Amiri" w:hAnsi="Amiri" w:eastAsia="Amiri" w:cs="Amiri"/>
          <w:color w:val="111111"/>
          <w:sz w:val="28"/>
          <w:sz w:val="28"/>
          <w:szCs w:val="28"/>
          <w:rtl w:val="true"/>
          <w:lang w:bidi="ar-SA"/>
        </w:rPr>
        <w:t>و ثانيهما للشيخ</w:t>
      </w:r>
      <w:r>
        <w:rPr>
          <w:rStyle w:val="FootnoteAnchor"/>
          <w:rtl w:val="true"/>
        </w:rPr>
        <w:footnoteReference w:id="608"/>
      </w:r>
      <w:r>
        <w:rPr>
          <w:rFonts w:ascii="Amiri" w:hAnsi="Amiri" w:eastAsia="Amiri" w:cs="Amiri"/>
          <w:color w:val="111111"/>
          <w:sz w:val="28"/>
          <w:sz w:val="28"/>
          <w:szCs w:val="28"/>
          <w:rtl w:val="true"/>
          <w:lang w:bidi="ar-SA"/>
        </w:rPr>
        <w:t>على ما في كلام جماعة من نسبته إليه، و مبنى القولين على الخلاف في زمن انتقال المبيع إلى المشتري هل هو بالعقد كما عليه المشهور، أو بعد انقضاء الخيار كما عن الشيخ</w:t>
      </w:r>
      <w:r>
        <w:rPr>
          <w:rStyle w:val="FootnoteAnchor"/>
          <w:rtl w:val="true"/>
        </w:rPr>
        <w:footnoteReference w:id="609"/>
      </w:r>
      <w:r>
        <w:rPr>
          <w:rFonts w:ascii="IRNazanin" w:hAnsi="IRNazanin" w:eastAsia="IRNazanin"/>
          <w:color w:val="111111"/>
          <w:sz w:val="28"/>
          <w:sz w:val="28"/>
          <w:szCs w:val="28"/>
          <w:rtl w:val="true"/>
          <w:lang w:bidi="fa-IR"/>
        </w:rPr>
        <w:t xml:space="preserve">؟ و الأقوى هو </w:t>
      </w:r>
    </w:p>
    <w:p>
      <w:pPr>
        <w:pStyle w:val="BookText"/>
        <w:rPr/>
      </w:pPr>
      <w:r>
        <w:rPr>
          <w:rFonts w:ascii="Amiri" w:hAnsi="Amiri" w:eastAsia="Amiri" w:cs="Amiri"/>
          <w:color w:val="111111"/>
          <w:sz w:val="28"/>
          <w:sz w:val="28"/>
          <w:szCs w:val="28"/>
          <w:rtl w:val="true"/>
          <w:lang w:bidi="ar-SA"/>
        </w:rPr>
        <w:t>الأوّل، لأنّ المقتضي لانتقاله إليه و هو العقد ثابت فيترتّب عليه الحكم و الخيار لا يصلح مانعا لأنّه لا ينافي ملك ذي الخيار و غيره، بل ينافي لزوم العقد، فإذا كان التقدير تقدير ملك المشتري للنصاب من حين العقد جرى في الحول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فيه قبضه أو تمكّنه من القبض شرعا و حسّا إحرازا للتمكّن من التصرّف الّذي هو شرط آخر لوجوب الزكاة كما صرّح به في المسالك و حاشية القواعد</w:t>
      </w:r>
      <w:r>
        <w:rPr>
          <w:rStyle w:val="FootnoteAnchor"/>
          <w:rtl w:val="true"/>
        </w:rPr>
        <w:footnoteReference w:id="610"/>
      </w:r>
      <w:r>
        <w:rPr>
          <w:rFonts w:ascii="Amiri" w:hAnsi="Amiri" w:eastAsia="Amiri" w:cs="Amiri"/>
          <w:color w:val="111111"/>
          <w:sz w:val="28"/>
          <w:sz w:val="28"/>
          <w:szCs w:val="28"/>
          <w:rtl w:val="true"/>
          <w:lang w:bidi="ar-SA"/>
        </w:rPr>
        <w:t>و زاد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يتفرّع عليه ما لو لم يتقابضا فإنّ لكلّ منهما حبس ما عنده حتّى يتقابضا، فلو توقّف ذلك على مضيّ زمان لم يجر في الحول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المصرّح به في كلماتهم عدم الفرق في محلّ الخلاف بين الخيار الثابت بأصل الشرع كخيار الحيوان، و ما هو ثابت بالشرط في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قول الشيخ</w:t>
      </w:r>
      <w:r>
        <w:rPr>
          <w:rStyle w:val="FootnoteAnchor"/>
          <w:rtl w:val="true"/>
        </w:rPr>
        <w:footnoteReference w:id="612"/>
      </w:r>
      <w:r>
        <w:rPr>
          <w:rFonts w:ascii="Amiri" w:hAnsi="Amiri" w:eastAsia="Amiri" w:cs="Amiri"/>
          <w:color w:val="111111"/>
          <w:sz w:val="28"/>
          <w:sz w:val="28"/>
          <w:szCs w:val="28"/>
          <w:rtl w:val="true"/>
          <w:lang w:bidi="ar-SA"/>
        </w:rPr>
        <w:t xml:space="preserve">يتوقّف انتقاله إلى المشتري على انقضاء زمان الخيار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بين ما لو اختصّ الخيار الثابت بالشرط بالبائع أو بالمشتري، أو كان مشتركا بينهما كما حكي التصريح به عنه في الخلاف</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عنه في المبسوط نوع فرق بين خيار المشتري و خيار البائع في كيفيّة توقّف الانتقال على انقضاء مدّة الخيار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الخيار إذا اختصّ بالمشتري ينتقل المبيع من ملك البائع بالعقد و لا يدخل في ملك المشتري إلاّ بانقضاء الخيار</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يتفرّع عليه أنّه إذا حال عليه الحول من حين العقد قبل انقضاء الخيار لم يجب زكاته لا على البائع و لا على المشتري لانتفاء ملكهما معا، بخلاف ما لو كان الخيار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يختصّ به و حال الحول قبل انقضاء الخيار فيجب زكاته على البائع على قول الشيخ</w:t>
      </w:r>
      <w:r>
        <w:rPr>
          <w:rStyle w:val="FootnoteAnchor"/>
          <w:rtl w:val="true"/>
        </w:rPr>
        <w:footnoteReference w:id="615"/>
      </w:r>
      <w:r>
        <w:rPr>
          <w:rFonts w:ascii="Amiri" w:hAnsi="Amiri" w:eastAsia="Amiri" w:cs="Amiri"/>
          <w:color w:val="111111"/>
          <w:sz w:val="28"/>
          <w:sz w:val="28"/>
          <w:szCs w:val="28"/>
          <w:rtl w:val="true"/>
          <w:lang w:bidi="ar-SA"/>
        </w:rPr>
        <w:t>و على المشتري على المشهور، و وجهه كونه على الأوّل ملكا للبائع في تمام الحول و على الثاني ملكا للمشتري كذلك</w:t>
      </w:r>
      <w:r>
        <w:rPr>
          <w:rFonts w:eastAsia="Amiri" w:cs="Amiri" w:ascii="Amiri" w:hAnsi="Amiri"/>
          <w:color w:val="111111"/>
          <w:sz w:val="28"/>
          <w:szCs w:val="28"/>
          <w:rtl w:val="true"/>
          <w:lang w:bidi="ar-SA"/>
        </w:rPr>
        <w:t xml:space="preserve">. </w:t>
      </w:r>
      <w:bookmarkStart w:id="178" w:name="pg16181_154509"/>
    </w:p>
    <w:p>
      <w:pPr>
        <w:pStyle w:val="BookText"/>
        <w:rPr/>
      </w:pPr>
      <w:bookmarkEnd w:id="178"/>
      <w:r>
        <w:rPr>
          <w:rFonts w:ascii="Amiri" w:hAnsi="Amiri" w:eastAsia="Amiri" w:cs="Amiri"/>
          <w:color w:val="111111"/>
          <w:sz w:val="28"/>
          <w:sz w:val="28"/>
          <w:szCs w:val="28"/>
          <w:rtl w:val="true"/>
          <w:lang w:bidi="ar-SA"/>
        </w:rPr>
        <w:t>ثمّ إنّ هاهنا فرعين يتفرّع أحدهما على المشهور، و ثانيهما على 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لو حال عليه الحول في زمان خيار البائع ممّا بعد العقد وجبت زكاته على المشتري كما عرفت، و حينئذ فلو أخرج الزكاة من غير العين فلا كلام، كما أنّه لو أخرجها منها و لم يرجع البائع عند تقضّي الخيار حتّى لزم البيع لا كلام، و أمّا لو رجع عند انقضاء الخيار ليس له منع المشتري من إخراجها من العين لتعلّق الحقّ بها، نعم له أن يسقط من الثمن ما قابل للقدر المخرج، و الأصل فيه أنّه إذا فسخ ذو الخيار و كانت العين باقية رجع إليها و إن كانت تالفة كلاّ أم بعضا رجع إلى بدلها مثلا أو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حال الحول في زمن الخيار و لم يفسخ حتّى انقضى المدّة وجب الزكاة على البائع على قول الشيخ، فإن أخرج الزكاة حينئذ من غير العين فلا كلام، و إن أخرج منها بطل البيع من المخرج، و ثبت للمشتري خيار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اشتراه البائع بعد تقضّي المدّة أو رجع في مدّة الخيار قبل الحول استأنف حولا لتجدّد الملك له و لا عبرة بما مضى قبل البيع</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2586531_1280447820"/>
      <w:bookmarkStart w:id="180" w:name="_Toc64"/>
      <w:bookmarkEnd w:id="179"/>
      <w:r>
        <w:rPr>
          <w:rtl w:val="true"/>
        </w:rPr>
        <w:t>المسألة الرابعة</w:t>
      </w:r>
      <w:r>
        <w:rPr>
          <w:rtl w:val="true"/>
        </w:rPr>
        <w:t xml:space="preserve">: </w:t>
      </w:r>
      <w:r>
        <w:rPr>
          <w:rtl w:val="true"/>
        </w:rPr>
        <w:t>في الغنيمة هل يجري في الحول بالحيازة أو لا يجري فيه إلاّ بعد القسمة‌؟</w:t>
      </w:r>
      <w:bookmarkEnd w:id="180"/>
    </w:p>
    <w:p>
      <w:pPr>
        <w:pStyle w:val="BookText"/>
        <w:rPr/>
      </w:pPr>
      <w:r>
        <w:rPr>
          <w:rFonts w:ascii="Amiri" w:hAnsi="Amiri" w:eastAsia="Amiri" w:cs="Amiri"/>
          <w:color w:val="111111"/>
          <w:sz w:val="28"/>
          <w:sz w:val="28"/>
          <w:szCs w:val="28"/>
          <w:rtl w:val="true"/>
          <w:lang w:bidi="ar-SA"/>
        </w:rPr>
        <w:t>و بعبارة اخرى هل يعتبر فيه الحول بعد الحيازة أو بعد القسمة فلا يجب زكاة قبلها؟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للفاضلين</w:t>
      </w:r>
      <w:r>
        <w:rPr>
          <w:rStyle w:val="FootnoteAnchor"/>
          <w:rtl w:val="true"/>
        </w:rPr>
        <w:footnoteReference w:id="616"/>
      </w:r>
      <w:r>
        <w:rPr>
          <w:rFonts w:ascii="Amiri" w:hAnsi="Amiri" w:eastAsia="Amiri" w:cs="Amiri"/>
          <w:color w:val="111111"/>
          <w:sz w:val="28"/>
          <w:sz w:val="28"/>
          <w:szCs w:val="28"/>
          <w:rtl w:val="true"/>
          <w:lang w:bidi="ar-SA"/>
        </w:rPr>
        <w:t>و الشهيدين</w:t>
      </w:r>
      <w:r>
        <w:rPr>
          <w:rStyle w:val="FootnoteAnchor"/>
          <w:rtl w:val="true"/>
        </w:rPr>
        <w:footnoteReference w:id="617"/>
      </w:r>
      <w:r>
        <w:rPr>
          <w:rFonts w:ascii="Amiri" w:hAnsi="Amiri" w:eastAsia="Amiri" w:cs="Amiri"/>
          <w:color w:val="111111"/>
          <w:sz w:val="28"/>
          <w:sz w:val="28"/>
          <w:szCs w:val="28"/>
          <w:rtl w:val="true"/>
          <w:lang w:bidi="ar-SA"/>
        </w:rPr>
        <w:t>و غيرهما،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قول أكثر الأصحاب</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و عن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المشهور بين الأصحاب</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المحقّق في المعتبر كظاهر المحكيّ عن الشيخ في الخلاف اختيار الأوّل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الغنيمة تملك بالحيازة و يجب الزكاة إذا بلغت حصّة الواحد نصابا و حال عليها الحول، و لا يجب الإخراج إلاّ عند قبضه لأنّ الزكاة تجب في عينه سواء كانت الغنيمة جنسا أو أجناسا</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و في محكيّ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تجري في الحول من حين 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قلنا لا تجب الزكاة عليه لأنّه غير متمكّن من التصرّف فيه </w:t>
      </w:r>
    </w:p>
    <w:p>
      <w:pPr>
        <w:pStyle w:val="BookText"/>
        <w:rPr/>
      </w:pPr>
      <w:r>
        <w:rPr>
          <w:rFonts w:ascii="Amiri" w:hAnsi="Amiri" w:eastAsia="Amiri" w:cs="Amiri"/>
          <w:color w:val="111111"/>
          <w:sz w:val="28"/>
          <w:sz w:val="28"/>
          <w:szCs w:val="28"/>
          <w:rtl w:val="true"/>
          <w:lang w:bidi="ar-SA"/>
        </w:rPr>
        <w:t>قبل القسمة لكان قويّا</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مبنى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كلام جماعة</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الغنيمة لا تملك بالحيازة، بل بالقسمة فلا يدخل ما قبل القسمة في الحول لانتفاء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 هذا القول من استند في ذلك إلى عدم تماميّة الملك و عدم استقراره في شيء معيّن قبل القسمة كالعلاّمة في التذكرة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تجري الغنيمة في الحول إلاّ بعد القسمة و لا يكفي عزل الإمام بغير قبض الغانم، فلو تأخّر قسمة الغنيمة حولا فلا زكاة لعدم استقرار الملك فإنّ للإمام أن يقسّم بينهم قسمة تحكّم فيعطي كلّ واحد من أيّ الأصناف ما شاء فلم يتمّ ملكه على شيء معيّن بخلاف ما لو ورثوا ما تجب فيه الزكاة، هذا إذا كانت من أجناس مختلفة، و لو كانت من جنس واحد فالوجه ذلك أيضا لأنّ ملكهم في غاية الضعف و لهذا يسقط بالإعراض</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مرجع ما ذكره إلى كون مبنى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القسمة في اعتبار الحول على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تماميّة ملك النصاب و 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وجوب الزكاة و هي متوقّفة على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فيهم من استند فيه إلى أنّ التمكّن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شرط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القسمة و إن كان الملك حاصلا بالحيازة كالعلاّمة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الغانمون يملكون أربعة أخماس الغنيمة بالحيازة، فإذا بلغ حصّة الواحد منهم نصابا و حال عليها الحول وجبت الزكاة، و هل يتوقّف الحول على القسمة‌؟ الوجه ذلك، لأنّه قبل القسمة غير متمكّن فلا يكون الشرط موجودا سواء كانت الغنيمة من جنس واحد أو أجناس مختلفة</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الشافعي</w:t>
      </w:r>
      <w:r>
        <w:rPr>
          <w:rStyle w:val="FootnoteAnchor"/>
          <w:rtl w:val="true"/>
        </w:rPr>
        <w:footnoteReference w:id="625"/>
      </w:r>
      <w:r>
        <w:rPr>
          <w:rFonts w:ascii="Amiri" w:hAnsi="Amiri" w:eastAsia="Amiri" w:cs="Amiri"/>
          <w:color w:val="111111"/>
          <w:sz w:val="28"/>
          <w:sz w:val="28"/>
          <w:szCs w:val="28"/>
          <w:rtl w:val="true"/>
          <w:lang w:bidi="ar-SA"/>
        </w:rPr>
        <w:t>تفصيلا بين الجنس الواحد و الأجناس المختلفة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ظاهره اختيار الأوّل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الاستناد إلى الوجه المذكور عن ثاني الشهيدين في فوائد القواعد</w:t>
      </w:r>
      <w:r>
        <w:rPr>
          <w:rStyle w:val="FootnoteAnchor"/>
          <w:rtl w:val="true"/>
        </w:rPr>
        <w:footnoteReference w:id="626"/>
      </w:r>
      <w:r>
        <w:rPr>
          <w:rFonts w:ascii="Amiri" w:hAnsi="Amiri" w:eastAsia="Amiri" w:cs="Amiri"/>
          <w:color w:val="111111"/>
          <w:sz w:val="28"/>
          <w:sz w:val="28"/>
          <w:szCs w:val="28"/>
          <w:rtl w:val="true"/>
          <w:lang w:bidi="ar-SA"/>
        </w:rPr>
        <w:t>حكاه صاحب المدارك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جزم جدّي قدّس سرّه في فوائد القواعد بتوقّفه على القسمة و إن </w:t>
      </w:r>
    </w:p>
    <w:p>
      <w:pPr>
        <w:pStyle w:val="BookText"/>
        <w:rPr/>
      </w:pPr>
      <w:r>
        <w:rPr>
          <w:rFonts w:ascii="Amiri" w:hAnsi="Amiri" w:eastAsia="Amiri" w:cs="Amiri"/>
          <w:color w:val="111111"/>
          <w:sz w:val="28"/>
          <w:sz w:val="28"/>
          <w:szCs w:val="28"/>
          <w:rtl w:val="true"/>
          <w:lang w:bidi="ar-SA"/>
        </w:rPr>
        <w:t>كانت الغنيمة تملك بالحيازة، لأنّ الغانم قبل القسمة ممنوع من التصرّف في الغنيمة، و التمكّن من التصرّف أحد الشرائط كالملك</w:t>
      </w:r>
      <w:r>
        <w:rPr>
          <w:rFonts w:eastAsia="Amiri" w:cs="Amiri" w:ascii="Amiri" w:hAnsi="Amiri"/>
          <w:color w:val="111111"/>
          <w:sz w:val="28"/>
          <w:szCs w:val="28"/>
          <w:rtl w:val="true"/>
          <w:lang w:bidi="ar-SA"/>
        </w:rPr>
        <w:t>»</w:t>
      </w:r>
      <w:r>
        <w:rPr>
          <w:rStyle w:val="FootnoteAnchor"/>
          <w:rtl w:val="true"/>
        </w:rPr>
        <w:footnoteReference w:id="6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القول الّذي اختاره العلاّمة في الكتابين هو مختاره أيضا في التحرير</w:t>
      </w:r>
      <w:r>
        <w:rPr>
          <w:rStyle w:val="FootnoteAnchor"/>
          <w:rtl w:val="true"/>
        </w:rPr>
        <w:footnoteReference w:id="628"/>
      </w:r>
      <w:r>
        <w:rPr>
          <w:rFonts w:ascii="Amiri" w:hAnsi="Amiri" w:eastAsia="Amiri" w:cs="Amiri"/>
          <w:color w:val="111111"/>
          <w:sz w:val="28"/>
          <w:sz w:val="28"/>
          <w:szCs w:val="28"/>
          <w:rtl w:val="true"/>
          <w:lang w:bidi="ar-SA"/>
        </w:rPr>
        <w:t>و نسب إليه أيضا في نهاية الأحكام</w:t>
      </w:r>
      <w:r>
        <w:rPr>
          <w:rStyle w:val="FootnoteAnchor"/>
          <w:rtl w:val="true"/>
        </w:rPr>
        <w:footnoteReference w:id="629"/>
      </w:r>
      <w:r>
        <w:rPr>
          <w:rFonts w:ascii="Amiri" w:hAnsi="Amiri" w:eastAsia="Amiri" w:cs="Amiri"/>
          <w:color w:val="111111"/>
          <w:sz w:val="28"/>
          <w:sz w:val="28"/>
          <w:szCs w:val="28"/>
          <w:rtl w:val="true"/>
          <w:lang w:bidi="ar-SA"/>
        </w:rPr>
        <w:t>و مستنده يحتمل الوجه الأخير كما يحتمل الوجه السابق عليه، فهو في الكتب الأربعة مع الشهيد في فوائد القواعد من أهل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بحصول ملك الغنيمة بالحيازة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في الخلاف</w:t>
      </w:r>
      <w:r>
        <w:rPr>
          <w:rStyle w:val="FootnoteAnchor"/>
          <w:rtl w:val="true"/>
        </w:rPr>
        <w:footnoteReference w:id="630"/>
      </w:r>
      <w:r>
        <w:rPr>
          <w:rFonts w:ascii="Amiri" w:hAnsi="Amiri" w:eastAsia="Amiri" w:cs="Amiri"/>
          <w:color w:val="111111"/>
          <w:sz w:val="28"/>
          <w:sz w:val="28"/>
          <w:szCs w:val="28"/>
          <w:rtl w:val="true"/>
          <w:lang w:bidi="ar-SA"/>
        </w:rPr>
        <w:t>و المحقّق في المعتبر</w:t>
      </w:r>
      <w:r>
        <w:rPr>
          <w:rStyle w:val="FootnoteAnchor"/>
          <w:rtl w:val="true"/>
        </w:rPr>
        <w:footnoteReference w:id="631"/>
      </w:r>
      <w:r>
        <w:rPr>
          <w:rFonts w:ascii="Amiri" w:hAnsi="Amiri" w:eastAsia="Amiri" w:cs="Amiri"/>
          <w:color w:val="111111"/>
          <w:sz w:val="28"/>
          <w:sz w:val="28"/>
          <w:szCs w:val="28"/>
          <w:rtl w:val="true"/>
          <w:lang w:bidi="ar-SA"/>
        </w:rPr>
        <w:t>إلاّ أنّهم اعتبروا القسمة في الحول لتوقّف تماميّة الملك أو التمكّن من التصرّف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الشيخ و المحقّق فمبنى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توقّف الحول على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الملك بالحيازة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استند إليه لهما في المسالك</w:t>
      </w:r>
      <w:r>
        <w:rPr>
          <w:rStyle w:val="FootnoteAnchor"/>
          <w:rtl w:val="true"/>
        </w:rPr>
        <w:footnoteReference w:id="632"/>
      </w:r>
      <w:r>
        <w:rPr>
          <w:rFonts w:ascii="Amiri" w:hAnsi="Amiri" w:eastAsia="Amiri" w:cs="Amiri"/>
          <w:color w:val="111111"/>
          <w:sz w:val="28"/>
          <w:sz w:val="28"/>
          <w:szCs w:val="28"/>
          <w:rtl w:val="true"/>
          <w:lang w:bidi="ar-SA"/>
        </w:rPr>
        <w:t>و المدارك</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يشكل من جهة عدم تماميّة ملك الغنيمة قبل القسمة، فعلى تقدير كون شرط وجوب الزكاة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اعتبار القسمة في جريانها في الحول، إحرازا لتماميّة الملك المتوقّفة عليها فكيف يكتفيان بمجرّد 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الخطب في دفعه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 صراحة كلامهما في عدم اعتبار القسمة، بل قد عرفت عن الشيخ فيما حكي عن خلافه</w:t>
      </w:r>
      <w:r>
        <w:rPr>
          <w:rStyle w:val="FootnoteAnchor"/>
          <w:rtl w:val="true"/>
        </w:rPr>
        <w:footnoteReference w:id="634"/>
      </w:r>
      <w:r>
        <w:rPr>
          <w:rFonts w:ascii="Amiri" w:hAnsi="Amiri" w:eastAsia="Amiri" w:cs="Amiri"/>
          <w:color w:val="111111"/>
          <w:sz w:val="28"/>
          <w:sz w:val="28"/>
          <w:szCs w:val="28"/>
          <w:rtl w:val="true"/>
          <w:lang w:bidi="ar-SA"/>
        </w:rPr>
        <w:t>ما يدلّ على ميله إلى اعتبار القسمة بل اعترافه بقوّة القول باعتبارها في 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لعدم كون تماميّة الملك معتبرة عندهما في وجوب الزكاة، بل المعتبر أصل الملك بناء على أنّ هذا الشرط إنّما اعتبره جماعة</w:t>
      </w:r>
      <w:r>
        <w:rPr>
          <w:rStyle w:val="FootnoteAnchor"/>
          <w:rtl w:val="true"/>
        </w:rPr>
        <w:footnoteReference w:id="635"/>
      </w:r>
      <w:r>
        <w:rPr>
          <w:rFonts w:ascii="Amiri" w:hAnsi="Amiri" w:eastAsia="Amiri" w:cs="Amiri"/>
          <w:color w:val="111111"/>
          <w:sz w:val="28"/>
          <w:sz w:val="28"/>
          <w:szCs w:val="28"/>
          <w:rtl w:val="true"/>
          <w:lang w:bidi="ar-SA"/>
        </w:rPr>
        <w:t>من الأصحاب لا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تماميّة الملك لا معنى لها إلاّ عدم المنع من التصرّف فهي ليست شرطا آخر وراء التمكّن من التصرّف على ما زعمه غير واحد عند اختلافهم في معنى تماميّة الملك فجعلوه بمعنى عدم المنع من التصرّف</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لمنع انتفاء تماميّة الملك في الغنيمة قبل القسمة و إن فسّرنا تماميّته باستقراره في شيء معيّن، بدعوى أنّ كلاّ من الغانمين يملك بمجرّد الحيازة حصّته المعيّنة في </w:t>
      </w:r>
    </w:p>
    <w:p>
      <w:pPr>
        <w:pStyle w:val="BookText"/>
        <w:rPr/>
      </w:pPr>
      <w:r>
        <w:rPr>
          <w:rFonts w:ascii="Amiri" w:hAnsi="Amiri" w:eastAsia="Amiri" w:cs="Amiri"/>
          <w:color w:val="111111"/>
          <w:sz w:val="28"/>
          <w:sz w:val="28"/>
          <w:szCs w:val="28"/>
          <w:rtl w:val="true"/>
          <w:lang w:bidi="ar-SA"/>
        </w:rPr>
        <w:t>الواقع ملكا مستقرّا، على معنى إنّه يتمّ ملكه على شيء معيّن في الواقعي، غاية الأمر أنّه غير ممتاز في نظر الحسّ عن حصّة غيره الّتي هي أيضا معيّنة في الواقع، فقسمة الإمام عليه السّلام إنّما تعتبر لتمييز معيّن واقعي عن معيّن واقعي لا لتعيين محلّ ملك مردّد غير مستقرّ في شيء معيّن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عبارة المعتبر كون بناء كلامه على هذا الوجه حيث إنّه عقيب العبارة المتقدّمة عنه في تعميم وجوب زكاة الغنيمة بالنسبة إلى الجنس و الأجناس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الشافعي</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لو كانت أجناسا لأنّ للإمام الخيرة في تعيين حصّة الغانم، و نحن نمنع ذلك</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انتهى بناء على رجوع منعه إلى ما تضمّنه كلام الشافعي في نفي وجوب الزكاة في الأجناس من عدم كون حصّة الغانم معيّنة بدون تعيين الإمام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نمنع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عدم تعيين الحصّة في الواقع و افتقاره إلى تعيين الإمام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المعضل دفع إشكال آخر يتوجّه إليهما حيث لم يعتبرا القسمة في التمكّن من التصرّف في الغنيمة، مع أنّ الظاهر أنّه لا كلام عندهم في كونه شرطا لوجوب الزكاة على ما سيأتي بيانه، كما أنّه لا كلام عندهم ظاهرا في منع الغانمين من التصرّف قبل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يذبّ عن ذلك أيضا بعدم صراحة كلامهما في عدم اعتبار القسمة مطلقا، غاية ما فيه ظهوره في عدم اعتبارها في حصول الملك أو في حصوله مع تماميّته، بل قد عرفت عن خلاف</w:t>
      </w:r>
      <w:r>
        <w:rPr>
          <w:rStyle w:val="FootnoteAnchor"/>
          <w:rtl w:val="true"/>
        </w:rPr>
        <w:footnoteReference w:id="638"/>
      </w:r>
      <w:r>
        <w:rPr>
          <w:rFonts w:ascii="Amiri" w:hAnsi="Amiri" w:eastAsia="Amiri" w:cs="Amiri"/>
          <w:color w:val="111111"/>
          <w:sz w:val="28"/>
          <w:sz w:val="28"/>
          <w:szCs w:val="28"/>
          <w:rtl w:val="true"/>
          <w:lang w:bidi="ar-SA"/>
        </w:rPr>
        <w:t>الشيخ ما يقضي باعترافه بتوقّف التمكّن على القسمة و قوّة القول باعتبار القسمة لإحراز هذا الشرط، ثمّ بعد جميع اللتيا و الّتي فهما أعرف بحقيقة ما قالاه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الشرائع و المنتهى و التحرير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عزل الإمام لبعض المقاتلة قسطا و حال عليه الحول وجبت الزكاة إن كان حاضرا لتمكّنه من التصرّف، و إن كان غائبا لم تجب لعدم التمكّن من التصرّف و يجري عليه الحول عند </w:t>
      </w:r>
      <w:bookmarkStart w:id="181" w:name="pg16181_154513"/>
    </w:p>
    <w:p>
      <w:pPr>
        <w:pStyle w:val="BookText"/>
        <w:rPr/>
      </w:pPr>
      <w:bookmarkEnd w:id="181"/>
      <w:r>
        <w:rPr>
          <w:rFonts w:ascii="Amiri" w:hAnsi="Amiri" w:eastAsia="Amiri" w:cs="Amiri"/>
          <w:color w:val="111111"/>
          <w:sz w:val="28"/>
          <w:sz w:val="28"/>
          <w:szCs w:val="28"/>
          <w:rtl w:val="true"/>
          <w:lang w:bidi="ar-SA"/>
        </w:rPr>
        <w:t>وصوله إليه أو إلى وكيله</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و الظاهر أنّ المراد بوصوله إليه أو إلى وكيله حضور أحدهما عنده لأنّه يكفي في التمكّن الّذي هو المناط في وجوب الزكاة كما اكتفى به في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اريد به قبض أحدهما يتوجّه إليه 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الفرق حينئذ بين الحاضر و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كان التمكّن متوقّفا على الوصول بهذا المعنى لتوقّف عليه فيهما معا، و إلاّ فلا فيهما معا، فالفرق بينهما تحكّم، و لعلّه لذا اعتبر الشهيدان</w:t>
      </w:r>
      <w:r>
        <w:rPr>
          <w:rStyle w:val="FootnoteAnchor"/>
          <w:rtl w:val="true"/>
        </w:rPr>
        <w:footnoteReference w:id="640"/>
      </w:r>
      <w:r>
        <w:rPr>
          <w:rFonts w:ascii="Amiri" w:hAnsi="Amiri" w:eastAsia="Amiri" w:cs="Amiri"/>
          <w:color w:val="111111"/>
          <w:sz w:val="28"/>
          <w:sz w:val="28"/>
          <w:szCs w:val="28"/>
          <w:rtl w:val="true"/>
          <w:lang w:bidi="ar-SA"/>
        </w:rPr>
        <w:t>قبض المغانم أو وكيله أو قبض الإمام عنه مع الحضور و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القواعد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يكفي عزل الإمام بغير قبض الغانم</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و إطلاقه يعمّ الحاضر و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التكلّم في عدم مدخليّة القبض في التمكّن فهو شيء آخر و لعلّ الأظهر عدم التوقّف، و لذا ذكر في الدروس على ما 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عزل الإمام كاف على قول</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و فرضنا أنّ الفارق بين الحاضر و الغائب في مدخليّة القبض في التمكّن و عدمها منتف</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2586533_1280447820"/>
      <w:bookmarkStart w:id="183" w:name="_Toc65"/>
      <w:bookmarkEnd w:id="182"/>
      <w:r>
        <w:rPr>
          <w:rtl w:val="true"/>
        </w:rPr>
        <w:t>المسألة الخامسة</w:t>
      </w:r>
      <w:r>
        <w:rPr>
          <w:rtl w:val="true"/>
        </w:rPr>
        <w:t xml:space="preserve">: </w:t>
      </w:r>
      <w:r>
        <w:rPr>
          <w:rtl w:val="true"/>
        </w:rPr>
        <w:t>إذا نذر أن يتصدّق بعين النصاب</w:t>
      </w:r>
      <w:bookmarkEnd w:id="183"/>
    </w:p>
    <w:p>
      <w:pPr>
        <w:pStyle w:val="Heading6"/>
        <w:numPr>
          <w:ilvl w:val="5"/>
          <w:numId w:val="1"/>
        </w:numPr>
        <w:rPr/>
      </w:pPr>
      <w:bookmarkStart w:id="184" w:name="__RefHeading___Toc2586535_1280447820"/>
      <w:bookmarkStart w:id="185" w:name="_Toc66"/>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فلا يخلو إمّا أن يكون بعد الحول، أو في أثنائه، فإن كان الأوّل ففي كلام جماعة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إخراج الزكاة منه و التصدّق بالباقي</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و في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أنّه ممّا لا خلاف فيه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 w:name="__RefHeading___Toc2586537_1280447820"/>
      <w:bookmarkStart w:id="187" w:name="_Toc67"/>
      <w:bookmarkEnd w:id="186"/>
      <w:r>
        <w:rPr>
          <w:rtl w:val="true"/>
        </w:rPr>
        <w:t>و وجه أوّل الحكمين</w:t>
      </w:r>
      <w:r>
        <w:rPr>
          <w:rtl w:val="true"/>
        </w:rPr>
        <w:t>:</w:t>
      </w:r>
      <w:bookmarkEnd w:id="18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لسبق تعلّق وجوب الزكاة بالعين و الأصل بقاؤه و عدم زواله بالنذر لرجوع الشكّ إلى قدح العارض</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وجوب الزكاة عند حلول الحول مثل قول الباقر و الصادق عليهما السّلام المرويّ بطرق كثيرة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لم يحل عليه الحول عند ربّه </w:t>
      </w:r>
    </w:p>
    <w:p>
      <w:pPr>
        <w:pStyle w:val="BookText"/>
        <w:rPr/>
      </w:pPr>
      <w:r>
        <w:rPr>
          <w:rFonts w:ascii="Amiri" w:hAnsi="Amiri" w:eastAsia="Amiri" w:cs="Amiri"/>
          <w:color w:val="111111"/>
          <w:sz w:val="28"/>
          <w:sz w:val="28"/>
          <w:szCs w:val="28"/>
          <w:rtl w:val="true"/>
          <w:lang w:bidi="ar-SA"/>
        </w:rPr>
        <w:t>فلا شيء عليه فيه، فإذا حال عليه الحول وجب عليه</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ثاني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فوجهه عمومات وجوب الوفاء بالنذر مثل قوله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لْيُوفُوا نُذُورَهُمْ‌ </w:t>
      </w:r>
      <w:r>
        <w:rPr>
          <w:rStyle w:val="FootnoteAnchor"/>
          <w:rtl w:val="true"/>
        </w:rPr>
        <w:footnoteReference w:id="646"/>
      </w:r>
      <w:r>
        <w:rPr>
          <w:rFonts w:ascii="Amiri" w:hAnsi="Amiri" w:eastAsia="Amiri" w:cs="Amiri"/>
          <w:color w:val="111111"/>
          <w:sz w:val="28"/>
          <w:sz w:val="28"/>
          <w:szCs w:val="28"/>
          <w:rtl w:val="true"/>
          <w:lang w:bidi="ar-SA"/>
        </w:rPr>
        <w:t>و هذا على تقدير تعلّق النذر بالنصاب بطريق العموم الأفرادي و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أتصدّق بكلّ من هذه الأغنام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تعلّق بمجموع النصاب من حيث المجموع ففي دليل وجوب التصدّق بالباقي خفاء، لعدم جريان العمومات باعتبار تعذّر المجموع بسبب تعذّر البعض، فمورد النذر و هو مجموع الكلّ متعذّر و مجموع الباقي ليس موردا له، و انصرافه إليه قهرا مع أنّه غير مقصود للناذر لا بدّ له من شاهد مفقود في المقام، و استدلّ في المناهل بعموم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العمومات لا تجري إلاّ في مركّب امر به و تعذّر بعض أجزائه، فلا بدّ من إحراز الأمر من غير جهة هذه العمومات فلا تجري فيما لم يثبت الأمر 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إطلاق الجماعة</w:t>
      </w:r>
      <w:r>
        <w:rPr>
          <w:rStyle w:val="FootnoteAnchor"/>
          <w:rtl w:val="true"/>
        </w:rPr>
        <w:footnoteReference w:id="651"/>
      </w:r>
      <w:r>
        <w:rPr>
          <w:rFonts w:ascii="Amiri" w:hAnsi="Amiri" w:eastAsia="Amiri" w:cs="Amiri"/>
          <w:color w:val="111111"/>
          <w:sz w:val="28"/>
          <w:sz w:val="28"/>
          <w:szCs w:val="28"/>
          <w:rtl w:val="true"/>
          <w:lang w:bidi="ar-SA"/>
        </w:rPr>
        <w:t>في الحكم بوجوب التصدّق بالباقي يقضي بعدم الفرق، فإن بلغ إجماعا، و إلاّ فللتأمّل في الحكم المذكور مع تعلّق النذر بالمجموع مجال، فالمسألة محلّ إشكال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الثاني انقطع الحول بالنذر لتعيّن العين للتصدّق فيمتنع صرفها فى غير الصدقة بالمنع الشرعي و الزكاة تتعلّق بالعين، و في القواعد</w:t>
      </w:r>
      <w:r>
        <w:rPr>
          <w:rStyle w:val="FootnoteAnchor"/>
          <w:rtl w:val="true"/>
        </w:rPr>
        <w:footnoteReference w:id="652"/>
      </w:r>
      <w:r>
        <w:rPr>
          <w:rFonts w:ascii="Amiri" w:hAnsi="Amiri" w:eastAsia="Amiri" w:cs="Amiri"/>
          <w:color w:val="111111"/>
          <w:sz w:val="28"/>
          <w:sz w:val="28"/>
          <w:szCs w:val="28"/>
          <w:rtl w:val="true"/>
          <w:lang w:bidi="ar-SA"/>
        </w:rPr>
        <w:t>و المسالك</w:t>
      </w:r>
      <w:r>
        <w:rPr>
          <w:rStyle w:val="FootnoteAnchor"/>
          <w:rtl w:val="true"/>
        </w:rPr>
        <w:footnoteReference w:id="653"/>
      </w:r>
      <w:r>
        <w:rPr>
          <w:rFonts w:ascii="Amiri" w:hAnsi="Amiri" w:eastAsia="Amiri" w:cs="Amiri"/>
          <w:color w:val="111111"/>
          <w:sz w:val="28"/>
          <w:sz w:val="28"/>
          <w:szCs w:val="28"/>
          <w:rtl w:val="true"/>
          <w:lang w:bidi="ar-SA"/>
        </w:rPr>
        <w:t>و المدارك</w:t>
      </w:r>
      <w:r>
        <w:rPr>
          <w:rStyle w:val="FootnoteAnchor"/>
          <w:rtl w:val="true"/>
        </w:rPr>
        <w:footnoteReference w:id="654"/>
      </w:r>
      <w:r>
        <w:rPr>
          <w:rFonts w:ascii="Amiri" w:hAnsi="Amiri" w:eastAsia="Amiri" w:cs="Amiri"/>
          <w:color w:val="111111"/>
          <w:sz w:val="28"/>
          <w:sz w:val="28"/>
          <w:szCs w:val="28"/>
          <w:rtl w:val="true"/>
          <w:lang w:bidi="ar-SA"/>
        </w:rPr>
        <w:t>أنّه يلحق بما ذكر بطريق أولى ما لو جعل النصاب صدقة بالنذر، و علّله في الأخيرين بخروجه عن ملكه بالنذر، و في الأخير دعوى كونه ممّا قطع به الأصحاب ثمّ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للنظر فيه مجال</w:t>
      </w:r>
      <w:r>
        <w:rPr>
          <w:rFonts w:eastAsia="Amiri" w:cs="Amiri" w:ascii="Amiri" w:hAnsi="Amiri"/>
          <w:color w:val="111111"/>
          <w:sz w:val="28"/>
          <w:szCs w:val="28"/>
          <w:rtl w:val="true"/>
          <w:lang w:bidi="ar-SA"/>
        </w:rPr>
        <w:t xml:space="preserve">». </w:t>
      </w:r>
      <w:bookmarkStart w:id="188" w:name="pg16181_154515"/>
    </w:p>
    <w:p>
      <w:pPr>
        <w:pStyle w:val="BookText"/>
        <w:rPr/>
      </w:pPr>
      <w:bookmarkEnd w:id="18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لتحقيق القول في صحّة نذر الثمرة و انعقاده و هو 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هذا الشيء صدقة أو ملكا لفلان أو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حتّى لا يفتقر إلى استعمال علاج أو إجراء عقد أو إيجاد سبب و عدمه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كان نذر التصدّق بعين النصاب مطلقا أو مشروطا بشرط قد حصل بعد النذر، و أمّا ما لم يحصل شرطه إلى حلول الحول من حين النذر ففي انقطاع الحول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النذر المطلق فلا يجب فيه زكاة لتعلّق النذر به فيكون مانعا من التصرّف فيه بما يخرجه من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فيجب الزكاة فيه عند حلول الحول لعدم تحقّق الشرط الموجب لصرفه في النذر فلا يكون مخاطبا بالوفاء به حينئذ و إلاّ لتقدّم المشروط على شرطه احتمالان، ذكرهما العلاّمة في القواعد</w:t>
      </w:r>
      <w:r>
        <w:rPr>
          <w:rStyle w:val="FootnoteAnchor"/>
          <w:rtl w:val="true"/>
        </w:rPr>
        <w:footnoteReference w:id="655"/>
      </w:r>
      <w:r>
        <w:rPr>
          <w:rFonts w:ascii="Amiri" w:hAnsi="Amiri" w:eastAsia="Amiri" w:cs="Amiri"/>
          <w:color w:val="111111"/>
          <w:sz w:val="28"/>
          <w:sz w:val="28"/>
          <w:szCs w:val="28"/>
          <w:rtl w:val="true"/>
          <w:lang w:bidi="ar-SA"/>
        </w:rPr>
        <w:t>و لم يرجّح شيئا، و كذا في المسالك</w:t>
      </w:r>
      <w:r>
        <w:rPr>
          <w:rStyle w:val="FootnoteAnchor"/>
          <w:rtl w:val="true"/>
        </w:rPr>
        <w:footnoteReference w:id="656"/>
      </w:r>
      <w:r>
        <w:rPr>
          <w:rFonts w:ascii="Amiri" w:hAnsi="Amiri" w:eastAsia="Amiri" w:cs="Amiri"/>
          <w:color w:val="111111"/>
          <w:sz w:val="28"/>
          <w:sz w:val="28"/>
          <w:szCs w:val="28"/>
          <w:rtl w:val="true"/>
          <w:lang w:bidi="ar-SA"/>
        </w:rPr>
        <w:t>و ظاهرهما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 في النهاية</w:t>
      </w:r>
      <w:r>
        <w:rPr>
          <w:rStyle w:val="FootnoteAnchor"/>
          <w:rtl w:val="true"/>
        </w:rPr>
        <w:footnoteReference w:id="657"/>
      </w:r>
      <w:r>
        <w:rPr>
          <w:rFonts w:ascii="Amiri" w:hAnsi="Amiri" w:eastAsia="Amiri" w:cs="Amiri"/>
          <w:color w:val="111111"/>
          <w:sz w:val="28"/>
          <w:sz w:val="28"/>
          <w:szCs w:val="28"/>
          <w:rtl w:val="true"/>
          <w:lang w:bidi="ar-SA"/>
        </w:rPr>
        <w:t>و ولده فخر المحقّقين</w:t>
      </w:r>
      <w:r>
        <w:rPr>
          <w:rStyle w:val="FootnoteAnchor"/>
          <w:rtl w:val="true"/>
        </w:rPr>
        <w:footnoteReference w:id="658"/>
      </w:r>
      <w:r>
        <w:rPr>
          <w:rFonts w:ascii="Amiri" w:hAnsi="Amiri" w:eastAsia="Amiri" w:cs="Amiri"/>
          <w:color w:val="111111"/>
          <w:sz w:val="28"/>
          <w:sz w:val="28"/>
          <w:szCs w:val="28"/>
          <w:rtl w:val="true"/>
          <w:lang w:bidi="ar-SA"/>
        </w:rPr>
        <w:t>المصير إلى أوّلهما، و عزي اختياره إلى جامع المقاصد</w:t>
      </w:r>
      <w:r>
        <w:rPr>
          <w:rStyle w:val="FootnoteAnchor"/>
          <w:rtl w:val="true"/>
        </w:rPr>
        <w:footnoteReference w:id="659"/>
      </w:r>
      <w:r>
        <w:rPr>
          <w:rFonts w:ascii="Amiri" w:hAnsi="Amiri" w:eastAsia="Amiri" w:cs="Amiri"/>
          <w:color w:val="111111"/>
          <w:sz w:val="28"/>
          <w:sz w:val="28"/>
          <w:szCs w:val="28"/>
          <w:rtl w:val="true"/>
          <w:lang w:bidi="ar-SA"/>
        </w:rPr>
        <w:t>أيضا،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المتّجه منع المالك من التصرّفات المنافية للنذر كما في المطلق، فإن ثبت أنّ ذلك مانع من وجوب الزكاة كما ذكره الأصحاب انقطع الحول بمجرّد النذر، و إلاّ وجبت الزكاة مع تمامه و كان القدر المخرج من النصاب كالتالف من المنذور و تجب الصدقة بالباقي مع حصول الشرط</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و عن ظاهر الروضة مصير بعض إلى الاحتمال الثاني</w:t>
      </w:r>
      <w:r>
        <w:rPr>
          <w:rStyle w:val="FootnoteAnchor"/>
          <w:rtl w:val="true"/>
        </w:rPr>
        <w:footnoteReference w:id="661"/>
      </w:r>
      <w:r>
        <w:rPr>
          <w:rFonts w:ascii="Amiri" w:hAnsi="Amiri" w:eastAsia="Amiri" w:cs="Amiri"/>
          <w:color w:val="111111"/>
          <w:sz w:val="28"/>
          <w:sz w:val="28"/>
          <w:szCs w:val="28"/>
          <w:rtl w:val="true"/>
          <w:lang w:bidi="ar-SA"/>
        </w:rPr>
        <w:t>و المسألة قويّة الإشكال، لتعارض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عن المنع من التصرّف، و أصالة البراءة عن الخطاب بالزكاة عند تمام الحول مع عدم حصول الشرط</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2586539_1280447820"/>
      <w:bookmarkStart w:id="190" w:name="_Toc68"/>
      <w:bookmarkEnd w:id="189"/>
      <w:r>
        <w:rPr>
          <w:rtl w:val="true"/>
        </w:rPr>
        <w:t>فروع</w:t>
      </w:r>
      <w:r>
        <w:rPr>
          <w:rtl w:val="true"/>
        </w:rPr>
        <w:t>:</w:t>
      </w:r>
      <w:bookmarkEnd w:id="19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الصدقة بمال في الذمّة مثل النصاب قدرا و وصفا لم يمنع من وجوب الزكاة في النصاب و إن كان بصفات المنذور، كما صرّح به في المسالك</w:t>
      </w:r>
      <w:r>
        <w:rPr>
          <w:rStyle w:val="FootnoteAnchor"/>
          <w:rtl w:val="true"/>
        </w:rPr>
        <w:footnoteReference w:id="662"/>
      </w:r>
      <w:r>
        <w:rPr>
          <w:rFonts w:ascii="Amiri" w:hAnsi="Amiri" w:eastAsia="Amiri" w:cs="Amiri"/>
          <w:color w:val="111111"/>
          <w:sz w:val="28"/>
          <w:sz w:val="28"/>
          <w:szCs w:val="28"/>
          <w:rtl w:val="true"/>
          <w:lang w:bidi="ar-SA"/>
        </w:rPr>
        <w:t xml:space="preserve">و حكي التنبيه </w:t>
      </w:r>
    </w:p>
    <w:p>
      <w:pPr>
        <w:pStyle w:val="BookText"/>
        <w:rPr/>
      </w:pPr>
      <w:r>
        <w:rPr>
          <w:rFonts w:ascii="Amiri" w:hAnsi="Amiri" w:eastAsia="Amiri" w:cs="Amiri"/>
          <w:color w:val="111111"/>
          <w:sz w:val="28"/>
          <w:sz w:val="28"/>
          <w:szCs w:val="28"/>
          <w:rtl w:val="true"/>
          <w:lang w:bidi="ar-SA"/>
        </w:rPr>
        <w:t>عليه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بأنّ الدين لم يمنع من الزكاة</w:t>
      </w:r>
      <w:r>
        <w:rPr>
          <w:rStyle w:val="FootnoteAnchor"/>
          <w:rtl w:val="true"/>
        </w:rPr>
        <w:footnoteReference w:id="663"/>
      </w:r>
      <w:r>
        <w:rPr>
          <w:rFonts w:ascii="Amiri" w:hAnsi="Amiri" w:eastAsia="Amiri" w:cs="Amiri"/>
          <w:color w:val="111111"/>
          <w:sz w:val="28"/>
          <w:sz w:val="28"/>
          <w:szCs w:val="28"/>
          <w:rtl w:val="true"/>
          <w:lang w:bidi="ar-SA"/>
        </w:rPr>
        <w:t>و استجوده في المناهل</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مطلقا ثمّ عيّن له مالا مخصوصا فالأقرب عدم سقوط الزكاة عنه لعدم تعيّنه للنذر بسبب التعيين، و استقر به في المناهل</w:t>
      </w:r>
      <w:r>
        <w:rPr>
          <w:rStyle w:val="FootnoteAnchor"/>
          <w:rtl w:val="true"/>
        </w:rPr>
        <w:footnoteReference w:id="665"/>
      </w:r>
      <w:r>
        <w:rPr>
          <w:rFonts w:ascii="Amiri" w:hAnsi="Amiri" w:eastAsia="Amiri" w:cs="Amiri"/>
          <w:color w:val="111111"/>
          <w:sz w:val="28"/>
          <w:sz w:val="28"/>
          <w:szCs w:val="28"/>
          <w:rtl w:val="true"/>
          <w:lang w:bidi="ar-SA"/>
        </w:rPr>
        <w:t>أيضا لعموم الأدلّة</w:t>
      </w:r>
      <w:r>
        <w:rPr>
          <w:rStyle w:val="FootnoteAnchor"/>
          <w:rtl w:val="true"/>
        </w:rPr>
        <w:footnoteReference w:id="666"/>
      </w:r>
      <w:r>
        <w:rPr>
          <w:rFonts w:ascii="Amiri" w:hAnsi="Amiri" w:eastAsia="Amiri" w:cs="Amiri"/>
          <w:color w:val="111111"/>
          <w:sz w:val="28"/>
          <w:sz w:val="28"/>
          <w:szCs w:val="28"/>
          <w:rtl w:val="true"/>
          <w:lang w:bidi="ar-SA"/>
        </w:rPr>
        <w:t>و حكي عن الشهيد قول بسقوطها عنه</w:t>
      </w:r>
      <w:r>
        <w:rPr>
          <w:rStyle w:val="FootnoteAnchor"/>
          <w:rtl w:val="true"/>
        </w:rPr>
        <w:footnoteReference w:id="667"/>
      </w:r>
      <w:r>
        <w:rPr>
          <w:rFonts w:ascii="Amiri" w:hAnsi="Amiri" w:eastAsia="Amiri" w:cs="Amiri"/>
          <w:color w:val="111111"/>
          <w:sz w:val="28"/>
          <w:sz w:val="28"/>
          <w:szCs w:val="28"/>
          <w:rtl w:val="true"/>
          <w:lang w:bidi="ar-SA"/>
        </w:rPr>
        <w:t>و وجهه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الصدقة ببعض النصاب فكما لو نذرها بتمامه في جميع الأحكام المذكورة، كما نبّه عليه في المناهل</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بالنذر في جميع الأحكام العهد و اليمين حيثما تحقّقا بشرائطهما كما نصّ عليه في المناهل</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191" w:name="pg16181_154517"/>
    </w:p>
    <w:p>
      <w:pPr>
        <w:pStyle w:val="Heading5"/>
        <w:numPr>
          <w:ilvl w:val="4"/>
          <w:numId w:val="1"/>
        </w:numPr>
        <w:rPr/>
      </w:pPr>
      <w:bookmarkStart w:id="192" w:name="__RefHeading___Toc2586541_1280447820"/>
      <w:bookmarkStart w:id="193" w:name="_Toc69"/>
      <w:bookmarkEnd w:id="191"/>
      <w:bookmarkEnd w:id="192"/>
      <w:r>
        <w:rPr>
          <w:rtl w:val="true"/>
        </w:rPr>
        <w:t>المطلب الخامس في اشتراط وجوب الزكاة بالتمكّن من التصرّف في النصاب</w:t>
      </w:r>
      <w:bookmarkEnd w:id="193"/>
    </w:p>
    <w:p>
      <w:pPr>
        <w:pStyle w:val="Heading6"/>
        <w:numPr>
          <w:ilvl w:val="5"/>
          <w:numId w:val="1"/>
        </w:numPr>
        <w:rPr/>
      </w:pPr>
      <w:bookmarkStart w:id="194" w:name="__RefHeading___Toc2586543_1280447820"/>
      <w:bookmarkStart w:id="195" w:name="_Toc70"/>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التمكّن من التصرّف معتبر في الأجناس كلّها</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ممّا لا خلاف فيه فيما أعلم</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الشرط مقطوع به في كلام الأصحاب</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فتوى علمائنا</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و عن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علمائنا أجمع</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و عن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على اعتبار الملك و التصرّف فيه</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و عن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على أنّها لا تجب في المغصوب و المجحود و المسروق و الغريق و المدفون في موضع نسيته</w:t>
      </w:r>
      <w:r>
        <w:rPr>
          <w:rFonts w:eastAsia="Amiri" w:cs="Amiri" w:ascii="Amiri" w:hAnsi="Amiri"/>
          <w:color w:val="111111"/>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ثمّ نفى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و إن لم يكن إجماعا على القاعدة إلاّ أنّه قال في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ذكره لتلك الأفراد للتمثيل لا للحصر</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نسب إلى ظاهر الوسيلة</w:t>
      </w:r>
      <w:r>
        <w:rPr>
          <w:rStyle w:val="FootnoteAnchor"/>
          <w:rtl w:val="true"/>
        </w:rPr>
        <w:footnoteReference w:id="678"/>
      </w:r>
      <w:r>
        <w:rPr>
          <w:rFonts w:ascii="IRNazanin" w:hAnsi="IRNazanin" w:eastAsia="IRNazanin"/>
          <w:color w:val="111111"/>
          <w:sz w:val="28"/>
          <w:sz w:val="28"/>
          <w:szCs w:val="28"/>
          <w:rtl w:val="true"/>
          <w:lang w:bidi="fa-IR"/>
        </w:rPr>
        <w:t>و الجمل</w:t>
      </w:r>
      <w:r>
        <w:rPr>
          <w:rStyle w:val="FootnoteAnchor"/>
          <w:rtl w:val="true"/>
        </w:rPr>
        <w:footnoteReference w:id="679"/>
      </w:r>
      <w:r>
        <w:rPr>
          <w:rFonts w:ascii="IRNazanin" w:hAnsi="IRNazanin" w:eastAsia="IRNazanin"/>
          <w:color w:val="111111"/>
          <w:sz w:val="28"/>
          <w:sz w:val="28"/>
          <w:szCs w:val="28"/>
          <w:rtl w:val="true"/>
          <w:lang w:bidi="fa-IR"/>
        </w:rPr>
        <w:t>و المراسم</w:t>
      </w:r>
      <w:r>
        <w:rPr>
          <w:rStyle w:val="FootnoteAnchor"/>
          <w:rtl w:val="true"/>
        </w:rPr>
        <w:footnoteReference w:id="680"/>
      </w:r>
      <w:r>
        <w:rPr>
          <w:rFonts w:ascii="IRNazanin" w:hAnsi="IRNazanin" w:eastAsia="IRNazanin"/>
          <w:color w:val="111111"/>
          <w:sz w:val="28"/>
          <w:sz w:val="28"/>
          <w:szCs w:val="28"/>
          <w:rtl w:val="true"/>
          <w:lang w:bidi="fa-IR"/>
        </w:rPr>
        <w:t>و الجمل</w:t>
      </w:r>
      <w:r>
        <w:rPr>
          <w:rStyle w:val="FootnoteAnchor"/>
          <w:rtl w:val="true"/>
        </w:rPr>
        <w:footnoteReference w:id="681"/>
      </w:r>
      <w:r>
        <w:rPr>
          <w:rFonts w:ascii="IRNazanin" w:hAnsi="IRNazanin" w:eastAsia="IRNazanin"/>
          <w:color w:val="111111"/>
          <w:sz w:val="28"/>
          <w:sz w:val="28"/>
          <w:szCs w:val="28"/>
          <w:rtl w:val="true"/>
          <w:lang w:bidi="fa-IR"/>
        </w:rPr>
        <w:t>و العقود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شرطيّة ما ذكر مطلقا، و إلى ظاهر الغنية</w:t>
      </w:r>
      <w:r>
        <w:rPr>
          <w:rStyle w:val="FootnoteAnchor"/>
          <w:rtl w:val="true"/>
        </w:rPr>
        <w:footnoteReference w:id="682"/>
      </w:r>
      <w:r>
        <w:rPr>
          <w:rFonts w:ascii="Amiri" w:hAnsi="Amiri" w:eastAsia="Amiri" w:cs="Amiri"/>
          <w:color w:val="111111"/>
          <w:sz w:val="28"/>
          <w:sz w:val="28"/>
          <w:szCs w:val="28"/>
          <w:rtl w:val="true"/>
          <w:lang w:bidi="ar-SA"/>
        </w:rPr>
        <w:t>عدم شرطيّته في زكاة الغلاّت و المواشي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الدليل على الشرطيّة مضافا إلى الإجماعات، الروايات الّتي ذكر ثلاثة منها في المدارك</w:t>
      </w:r>
      <w:r>
        <w:rPr>
          <w:rStyle w:val="FootnoteAnchor"/>
          <w:rtl w:val="true"/>
        </w:rPr>
        <w:footnoteReference w:id="683"/>
      </w:r>
      <w:r>
        <w:rPr>
          <w:rFonts w:ascii="Amiri" w:hAnsi="Amiri" w:eastAsia="Amiri" w:cs="Amiri"/>
          <w:color w:val="111111"/>
          <w:sz w:val="28"/>
          <w:sz w:val="28"/>
          <w:szCs w:val="28"/>
          <w:rtl w:val="true"/>
          <w:lang w:bidi="ar-SA"/>
        </w:rPr>
        <w:t>كصحيحة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على الدين و لا على المال الغائب عنك حتّى يقع في يديك</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إبراهيم 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الوديعة و الدين فلا يصل إليهما ثمّ يأخذها متى يجب عليه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أخذها ثمّ يحول عليه الحول يزكّي</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رجل ماله عنه غائب فلا يقدر على أخذه،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عليه حتّى يخرج، فإذا خرج زكّاه لعام واحد، و إن كان يدعه متعمّدا و هو يقدر على أخذه فعليه الزكاة لكلّ ما مرّ به من السنين</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فالعمدة من دليل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الإجماعات، و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 شيء</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أمّا ما في الإجماعات فإجمال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معقدها، إذ لا يدرى أنّ الشرط هو التمكّن من التصرّف في الجملة، أو من جميع أنحاء التصرّفات‌؟ حتّى التصرّفات المخرجة عن الملك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الروايات فقصورها دلالة، فإنّ قصارى ما يستفاد منها إنّما هو سقوط الزكاة في المال الغائب الّذي لا يقدر صاحبه على أخذه، و أمّا إذا أخذه أو قدر على أخذه فليس فيها دلالة على كون التمكّن من التصرّف شرطا كما تنبّه عليه صاحب المدارك و العجب أنّه مع تفطّنه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يمكن الاستدلال عليه بأنّه لو وجب الزكاة في النصاب مع عدم التمكّن من التصرّف فيه عقلا أو شرعا للزم وجوب الإخراج </w:t>
      </w:r>
    </w:p>
    <w:p>
      <w:pPr>
        <w:pStyle w:val="BookText"/>
        <w:rPr/>
      </w:pPr>
      <w:r>
        <w:rPr>
          <w:rFonts w:ascii="Amiri" w:hAnsi="Amiri" w:eastAsia="Amiri" w:cs="Amiri"/>
          <w:color w:val="111111"/>
          <w:sz w:val="28"/>
          <w:sz w:val="28"/>
          <w:szCs w:val="28"/>
          <w:rtl w:val="true"/>
          <w:lang w:bidi="ar-SA"/>
        </w:rPr>
        <w:t>من غيره، و هو معلوم البطلان فإنّ الزكاة إنّما تجب في العين</w:t>
      </w:r>
      <w:r>
        <w:rPr>
          <w:rFonts w:eastAsia="Amiri" w:cs="Amiri" w:ascii="Amiri" w:hAnsi="Amiri"/>
          <w:color w:val="111111"/>
          <w:sz w:val="28"/>
          <w:szCs w:val="28"/>
          <w:rtl w:val="true"/>
          <w:lang w:bidi="ar-SA"/>
        </w:rPr>
        <w:t>»</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أيضا قاصر عن إفادة تمام المطلوب لأنّ أقصى ما يثبت به إنّما هو اعتبار تحقّق التمكّن من التصرّف في زمان الإخراج، مع أنّ المقصود شرطيّته في تمام الحول على معنى توقّف جريانه في الحول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يرد عليها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دلالتها على شرطيّة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إجمالها من حيث إفادة شرطيّة التصرّف في الجملة، أو شرطيّة جميع أنحاء التصرّفات حتّى المخرجة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إليها و إلى الإجماعات أيضا قصورها في الدلالة على شرطيّة التمكّن من التصرّف في جميع الأجناس حتّى ما لا يعتبر فيه الحول كالغلاّت، فإنّ الروايات لا تشمل ما عدى ما يعتبر فيه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الإجماعات أيضا ليس في معاقدها التعرّض لتعميم الشرطيّة، نعم ظاهر عبارة الشرائع</w:t>
      </w:r>
      <w:r>
        <w:rPr>
          <w:rStyle w:val="FootnoteAnchor"/>
          <w:rtl w:val="true"/>
        </w:rPr>
        <w:footnoteReference w:id="689"/>
      </w:r>
      <w:r>
        <w:rPr>
          <w:rFonts w:ascii="Amiri" w:hAnsi="Amiri" w:eastAsia="Amiri" w:cs="Amiri"/>
          <w:color w:val="111111"/>
          <w:sz w:val="28"/>
          <w:sz w:val="28"/>
          <w:szCs w:val="28"/>
          <w:rtl w:val="true"/>
          <w:lang w:bidi="ar-SA"/>
        </w:rPr>
        <w:t>التعميم كما مرّ، و عن المسالك التصريح 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الغصب إذا استوعب مدّة شرط الوجوب و هو نموّه في الملك بأن لم يرجع إلى مالكه حتّى بدا الصلاح لم يجب</w:t>
      </w:r>
      <w:r>
        <w:rPr>
          <w:rFonts w:eastAsia="Amiri" w:cs="Amiri" w:ascii="Amiri" w:hAnsi="Amiri"/>
          <w:color w:val="111111"/>
          <w:sz w:val="28"/>
          <w:szCs w:val="28"/>
          <w:rtl w:val="true"/>
          <w:lang w:bidi="ar-SA"/>
        </w:rPr>
        <w:t>»</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استشكل فيه صاحب المدارك تعليلا بما ذكرناه من قصور الروايات في غير ما يعتبر فيه الحول،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بوجوب الزكاة في الغلاّت متى تمكّن المالك من التصرّف في النصاب لم يكن بعيدا</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فكلماتهم بالنسبة إلى ذلك مضطربة، و هذا يوجب اضطراب معاقد الإجماعات أيضا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رفع الإجمال عن معاقد الإجماعات بمراجعة سائر كلمات المجمعين أو الناقلين للإجماع مثل حكمهم بسقوط الزكاة في المبيع المشتمل على خيار للبائع بناء على أنّه يمنع المشتري عن إخراجه من ملكه بل عن مطلق التصرّفات المنافية لخيار البائع،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يمكن دفع قصور الروايات بفهم الأصحاب إذ كما أنّ عملهم يجبر قصور سند الرواية الضعيفة فكذلك فهمهم يجبر قصور دلالة الرواية، حيث كشف عن قرينة بيان عثروا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إثبات تعميم شرطيّة التمكّن من التصرّف بالقياس إلى الغلاّت أيضا بإطلاق معاقد الإجماعات المنقولة، فتأمّل في جميع المقامات المذكورة فإنّ في النفس في الجميع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كلام جماعة أنّ التمكّن من أداء الواجب ليس شرطا لوجوب الزكاة بل هو شرط في الضمان، أمّا كونه شرطا في الضمان فقد صرّح به في الشرائع</w:t>
      </w:r>
      <w:r>
        <w:rPr>
          <w:rStyle w:val="FootnoteAnchor"/>
          <w:rtl w:val="true"/>
        </w:rPr>
        <w:footnoteReference w:id="692"/>
      </w:r>
      <w:r>
        <w:rPr>
          <w:rFonts w:ascii="Amiri" w:hAnsi="Amiri" w:eastAsia="Amiri" w:cs="Amiri"/>
          <w:color w:val="111111"/>
          <w:sz w:val="28"/>
          <w:sz w:val="28"/>
          <w:szCs w:val="28"/>
          <w:rtl w:val="true"/>
          <w:lang w:bidi="ar-SA"/>
        </w:rPr>
        <w:t>و المسالك</w:t>
      </w:r>
      <w:r>
        <w:rPr>
          <w:rStyle w:val="FootnoteAnchor"/>
          <w:rtl w:val="true"/>
        </w:rPr>
        <w:footnoteReference w:id="693"/>
      </w:r>
      <w:r>
        <w:rPr>
          <w:rFonts w:ascii="Amiri" w:hAnsi="Amiri" w:eastAsia="Amiri" w:cs="Amiri"/>
          <w:color w:val="111111"/>
          <w:sz w:val="28"/>
          <w:sz w:val="28"/>
          <w:szCs w:val="28"/>
          <w:rtl w:val="true"/>
          <w:lang w:bidi="ar-SA"/>
        </w:rPr>
        <w:t>و المدارك</w:t>
      </w:r>
      <w:r>
        <w:rPr>
          <w:rStyle w:val="FootnoteAnchor"/>
          <w:rtl w:val="true"/>
        </w:rPr>
        <w:footnoteReference w:id="694"/>
      </w:r>
      <w:r>
        <w:rPr>
          <w:rFonts w:ascii="Amiri" w:hAnsi="Amiri" w:eastAsia="Amiri" w:cs="Amiri"/>
          <w:color w:val="111111"/>
          <w:sz w:val="28"/>
          <w:sz w:val="28"/>
          <w:szCs w:val="28"/>
          <w:rtl w:val="true"/>
          <w:lang w:bidi="ar-SA"/>
        </w:rPr>
        <w:t>و عن التلخيص</w:t>
      </w:r>
      <w:r>
        <w:rPr>
          <w:rStyle w:val="FootnoteAnchor"/>
          <w:rtl w:val="true"/>
        </w:rPr>
        <w:footnoteReference w:id="695"/>
      </w:r>
      <w:r>
        <w:rPr>
          <w:rFonts w:ascii="IRNazanin" w:hAnsi="IRNazanin" w:eastAsia="IRNazanin"/>
          <w:color w:val="111111"/>
          <w:sz w:val="28"/>
          <w:sz w:val="28"/>
          <w:szCs w:val="28"/>
          <w:rtl w:val="true"/>
          <w:lang w:bidi="fa-IR"/>
        </w:rPr>
        <w:t>و القواعد</w:t>
      </w:r>
      <w:r>
        <w:rPr>
          <w:rStyle w:val="FootnoteAnchor"/>
          <w:rtl w:val="true"/>
        </w:rPr>
        <w:footnoteReference w:id="696"/>
      </w:r>
      <w:r>
        <w:rPr>
          <w:rFonts w:ascii="Amiri" w:hAnsi="Amiri" w:eastAsia="Amiri" w:cs="Amiri"/>
          <w:color w:val="111111"/>
          <w:sz w:val="28"/>
          <w:sz w:val="28"/>
          <w:szCs w:val="28"/>
          <w:rtl w:val="true"/>
          <w:lang w:bidi="ar-SA"/>
        </w:rPr>
        <w:t>و التحرير</w:t>
      </w:r>
      <w:r>
        <w:rPr>
          <w:rStyle w:val="FootnoteAnchor"/>
          <w:rtl w:val="true"/>
        </w:rPr>
        <w:footnoteReference w:id="697"/>
      </w:r>
      <w:r>
        <w:rPr>
          <w:rFonts w:ascii="IRNazanin" w:hAnsi="IRNazanin" w:eastAsia="IRNazanin"/>
          <w:color w:val="111111"/>
          <w:sz w:val="28"/>
          <w:sz w:val="28"/>
          <w:szCs w:val="28"/>
          <w:rtl w:val="true"/>
          <w:lang w:bidi="fa-IR"/>
        </w:rPr>
        <w:t>و الإرشاد</w:t>
      </w:r>
      <w:r>
        <w:rPr>
          <w:rStyle w:val="FootnoteAnchor"/>
          <w:rtl w:val="true"/>
        </w:rPr>
        <w:footnoteReference w:id="698"/>
      </w:r>
      <w:r>
        <w:rPr>
          <w:rFonts w:ascii="IRNazanin" w:hAnsi="IRNazanin" w:eastAsia="IRNazanin"/>
          <w:color w:val="111111"/>
          <w:sz w:val="28"/>
          <w:sz w:val="28"/>
          <w:szCs w:val="28"/>
          <w:rtl w:val="true"/>
          <w:lang w:bidi="fa-IR"/>
        </w:rPr>
        <w:t>و الدروس</w:t>
      </w:r>
      <w:r>
        <w:rPr>
          <w:rStyle w:val="FootnoteAnchor"/>
          <w:rtl w:val="true"/>
        </w:rPr>
        <w:footnoteReference w:id="699"/>
      </w:r>
      <w:r>
        <w:rPr>
          <w:rFonts w:ascii="IRNazanin" w:hAnsi="IRNazanin" w:eastAsia="IRNazanin"/>
          <w:color w:val="111111"/>
          <w:sz w:val="28"/>
          <w:sz w:val="28"/>
          <w:szCs w:val="28"/>
          <w:rtl w:val="true"/>
          <w:lang w:bidi="fa-IR"/>
        </w:rPr>
        <w:t>و الجامع</w:t>
      </w:r>
      <w:r>
        <w:rPr>
          <w:rStyle w:val="FootnoteAnchor"/>
          <w:rtl w:val="true"/>
        </w:rPr>
        <w:footnoteReference w:id="700"/>
      </w:r>
      <w:r>
        <w:rPr>
          <w:rFonts w:ascii="Amiri" w:hAnsi="Amiri" w:eastAsia="Amiri" w:cs="Amiri"/>
          <w:color w:val="111111"/>
          <w:sz w:val="28"/>
          <w:sz w:val="28"/>
          <w:szCs w:val="28"/>
          <w:rtl w:val="true"/>
          <w:lang w:bidi="ar-SA"/>
        </w:rPr>
        <w:t>و مجمع الفائدة</w:t>
      </w:r>
      <w:r>
        <w:rPr>
          <w:rStyle w:val="FootnoteAnchor"/>
          <w:rtl w:val="true"/>
        </w:rPr>
        <w:footnoteReference w:id="701"/>
      </w:r>
      <w:r>
        <w:rPr>
          <w:rFonts w:ascii="Amiri" w:hAnsi="Amiri" w:eastAsia="Amiri" w:cs="Amiri"/>
          <w:color w:val="111111"/>
          <w:sz w:val="28"/>
          <w:sz w:val="28"/>
          <w:szCs w:val="28"/>
          <w:rtl w:val="true"/>
          <w:lang w:bidi="ar-SA"/>
        </w:rPr>
        <w:t>و الكفاية</w:t>
      </w:r>
      <w:r>
        <w:rPr>
          <w:rStyle w:val="FootnoteAnchor"/>
          <w:rtl w:val="true"/>
        </w:rPr>
        <w:footnoteReference w:id="702"/>
      </w:r>
      <w:r>
        <w:rPr>
          <w:rFonts w:ascii="Amiri" w:hAnsi="Amiri" w:eastAsia="Amiri" w:cs="Amiri"/>
          <w:color w:val="111111"/>
          <w:sz w:val="28"/>
          <w:sz w:val="28"/>
          <w:szCs w:val="28"/>
          <w:rtl w:val="true"/>
          <w:lang w:bidi="ar-SA"/>
        </w:rPr>
        <w:t>و الذخيرة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عدم كونه شرطا في الوجوب فقد صرّح به في الشرائع</w:t>
      </w:r>
      <w:r>
        <w:rPr>
          <w:rStyle w:val="FootnoteAnchor"/>
          <w:rtl w:val="true"/>
        </w:rPr>
        <w:footnoteReference w:id="704"/>
      </w:r>
      <w:r>
        <w:rPr>
          <w:rFonts w:ascii="Amiri" w:hAnsi="Amiri" w:eastAsia="Amiri" w:cs="Amiri"/>
          <w:color w:val="111111"/>
          <w:sz w:val="28"/>
          <w:sz w:val="28"/>
          <w:szCs w:val="28"/>
          <w:rtl w:val="true"/>
          <w:lang w:bidi="ar-SA"/>
        </w:rPr>
        <w:t>و المسالك</w:t>
      </w:r>
      <w:r>
        <w:rPr>
          <w:rStyle w:val="FootnoteAnchor"/>
          <w:rtl w:val="true"/>
        </w:rPr>
        <w:footnoteReference w:id="705"/>
      </w:r>
      <w:r>
        <w:rPr>
          <w:rFonts w:ascii="Amiri" w:hAnsi="Amiri" w:eastAsia="Amiri" w:cs="Amiri"/>
          <w:color w:val="111111"/>
          <w:sz w:val="28"/>
          <w:sz w:val="28"/>
          <w:szCs w:val="28"/>
          <w:rtl w:val="true"/>
          <w:lang w:bidi="ar-SA"/>
        </w:rPr>
        <w:t>و المدارك</w:t>
      </w:r>
      <w:r>
        <w:rPr>
          <w:rStyle w:val="FootnoteAnchor"/>
          <w:rtl w:val="true"/>
        </w:rPr>
        <w:footnoteReference w:id="706"/>
      </w:r>
      <w:r>
        <w:rPr>
          <w:rFonts w:ascii="IRNazanin" w:hAnsi="IRNazanin" w:eastAsia="IRNazanin"/>
          <w:color w:val="111111"/>
          <w:sz w:val="28"/>
          <w:sz w:val="28"/>
          <w:szCs w:val="28"/>
          <w:rtl w:val="true"/>
          <w:lang w:bidi="fa-IR"/>
        </w:rPr>
        <w:t>و عن المعتبر</w:t>
      </w:r>
      <w:r>
        <w:rPr>
          <w:rStyle w:val="FootnoteAnchor"/>
          <w:rtl w:val="true"/>
        </w:rPr>
        <w:footnoteReference w:id="707"/>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ما عداهما من الكتب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كلامهم في هذا المقام أيضا لا يخلو عن إجمال، لأنّ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التمكّن من أداء الواجب شرطا في الضمان لا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يتوقّف عليه الضمان لا الوجوب، و يلزم من انتفائه انتفاء الضمان لا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يدرى أنّ المراد من التمكّن من الأداء، التمكّن منه في أيّ وقت و على أيّ وجه‌؟ فيحتمل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الأداء في الحول من أوّله إلى آخره، فهو بحيث يلزم من انتفائه انتفاء الضمان و لا يلزم منه انتفاء الوجوب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منه من حين حلول الحول و لو آنا ما، فهو الّذي يلزم من انتفائه </w:t>
      </w:r>
    </w:p>
    <w:p>
      <w:pPr>
        <w:pStyle w:val="BookText"/>
        <w:rPr/>
      </w:pPr>
      <w:r>
        <w:rPr>
          <w:rFonts w:ascii="IRNazanin" w:hAnsi="IRNazanin" w:eastAsia="IRNazanin"/>
          <w:color w:val="111111"/>
          <w:sz w:val="28"/>
          <w:sz w:val="28"/>
          <w:szCs w:val="28"/>
          <w:rtl w:val="true"/>
          <w:lang w:bidi="fa-IR"/>
        </w:rPr>
        <w:t>انتفاء الضمان لا انتفاء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الأداء في الجملة في الحول أو ما بعده، فهو الّذي يلزم من انتفائه رأسا انتفاء الضمان و لا يلزم انتفاء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القطع ببطلان هذا الوجه الأخير، لأنّ وجوب الأداء مع عدم التمكّن منه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بما لا يطاق، فيلزم من انتفاء التمكّن من الأداء على هذا الوجه انتفاء الوجوب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القطع ببطلان أوّل الوجوه، إذ لا زكاة في أثناء الحول لانتفاء شرط الحول، فلا يظهر لعدم كون التمكّن من الأداء في تمام الحول شرطا للوجوب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أوسط الوجوه فهو و إن كان قد يترجّح في بادئ النظر صحّته، غير أنّه عند التحقيق أيضا لا وجه له، إذ مع وجود النهي من الأداء فيما بعد حلول الحول كما يثبت الضمان على تقدير التلف عند التأخير فكذلك يثبت الوجوب، و مع انتفائه كما ينتفي الضمان فكذلك ينتفي الوجوب أيضا لئلاّ يلزم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هاهنا وجه رابع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 التمكّن من أداء الواجب بعد الحول في بلد النصاب و موضعه لعدم وجود مستحقّ فيه، فهو الّذي يلزم من انتفائه انتفاء الضمان، و لا ينتفي معه الوجوب إذا أمكن إيصاله إلى المستحقّ في بلد آخر بالبعث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ثمرات عدم شرطيّته بهذا المعنى للوجوب و شرطيّته للضمان، أنّه لا يجوز حمله إلى بلد آخر على تقدير وجود المستحقّ في البلد فلو حمل و الحال هذه ثمّ تلف في أثناء الطريق أو ضلّ أو أخذه قاطع الطريق ضمن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عرفت هذا فاعلم أنّ عدم كون ما ذكر شرطا للوجوب ما صرّح به في الشرائع</w:t>
      </w:r>
      <w:r>
        <w:rPr>
          <w:rStyle w:val="FootnoteAnchor"/>
          <w:rtl w:val="true"/>
        </w:rPr>
        <w:footnoteReference w:id="708"/>
      </w:r>
      <w:r>
        <w:rPr>
          <w:rFonts w:ascii="Amiri" w:hAnsi="Amiri" w:eastAsia="Amiri" w:cs="Amiri"/>
          <w:color w:val="111111"/>
          <w:sz w:val="28"/>
          <w:sz w:val="28"/>
          <w:szCs w:val="28"/>
          <w:rtl w:val="true"/>
          <w:lang w:bidi="ar-SA"/>
        </w:rPr>
        <w:t>و المسالك</w:t>
      </w:r>
      <w:r>
        <w:rPr>
          <w:rStyle w:val="FootnoteAnchor"/>
          <w:rtl w:val="true"/>
        </w:rPr>
        <w:footnoteReference w:id="709"/>
      </w:r>
      <w:r>
        <w:rPr>
          <w:rFonts w:ascii="Amiri" w:hAnsi="Amiri" w:eastAsia="Amiri" w:cs="Amiri"/>
          <w:color w:val="111111"/>
          <w:sz w:val="28"/>
          <w:sz w:val="28"/>
          <w:szCs w:val="28"/>
          <w:rtl w:val="true"/>
          <w:lang w:bidi="ar-SA"/>
        </w:rPr>
        <w:t>و المدارك</w:t>
      </w:r>
      <w:r>
        <w:rPr>
          <w:rStyle w:val="FootnoteAnchor"/>
          <w:rtl w:val="true"/>
        </w:rPr>
        <w:footnoteReference w:id="710"/>
      </w:r>
      <w:r>
        <w:rPr>
          <w:rFonts w:ascii="IRNazanin" w:hAnsi="IRNazanin" w:eastAsia="IRNazanin"/>
          <w:color w:val="111111"/>
          <w:sz w:val="28"/>
          <w:sz w:val="28"/>
          <w:szCs w:val="28"/>
          <w:rtl w:val="true"/>
          <w:lang w:bidi="fa-IR"/>
        </w:rPr>
        <w:t>و عن المعتبر</w:t>
      </w:r>
      <w:r>
        <w:rPr>
          <w:rStyle w:val="FootnoteAnchor"/>
          <w:rtl w:val="true"/>
        </w:rPr>
        <w:footnoteReference w:id="711"/>
      </w:r>
      <w:r>
        <w:rPr>
          <w:rFonts w:ascii="Amiri" w:hAnsi="Amiri" w:eastAsia="Amiri" w:cs="Amiri"/>
          <w:color w:val="111111"/>
          <w:sz w:val="28"/>
          <w:sz w:val="28"/>
          <w:szCs w:val="28"/>
          <w:rtl w:val="true"/>
          <w:lang w:bidi="ar-SA"/>
        </w:rPr>
        <w:t>و نسب إلى ظاهر غيرها من الكتب الآتية، بل عن منتهى العلاّمة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علمائنا أجمع</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و يدلّ إطلاق الأوامر المعلّقة لوجوب الزكاة بحلول الحول، و إليه أشار ما عن المعتبر</w:t>
      </w:r>
      <w:r>
        <w:rPr>
          <w:rStyle w:val="FootnoteAnchor"/>
          <w:rtl w:val="true"/>
        </w:rPr>
        <w:footnoteReference w:id="713"/>
      </w:r>
      <w:r>
        <w:rPr>
          <w:rFonts w:ascii="Amiri" w:hAnsi="Amiri" w:eastAsia="Amiri" w:cs="Amiri"/>
          <w:color w:val="111111"/>
          <w:sz w:val="28"/>
          <w:sz w:val="28"/>
          <w:szCs w:val="28"/>
          <w:rtl w:val="true"/>
          <w:lang w:bidi="ar-SA"/>
        </w:rPr>
        <w:t>من التمسّك بقوله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في مال حتّى يحول الحول</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و ما بعد الغاية مخالف لما قبلها، و ملخّصه أنّه باعتبار مفهوم الغاية يدلّ على وجوب الزكاة بعد حلول الحول و إطلاقه يعمّ ما لو لم يتمكّن من أداء الواجب في محلّ النصاب و بلده، و عن المعتبر التمسّك أيضا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حال على النصاب أحوال و لم يتمكّن من الأداء وجبت زكاة الأحوال و هو دليل الوجوب</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كونه شرطا للضمان فقد صرّح به في الشرائع</w:t>
      </w:r>
      <w:r>
        <w:rPr>
          <w:rStyle w:val="FootnoteAnchor"/>
          <w:rtl w:val="true"/>
        </w:rPr>
        <w:footnoteReference w:id="716"/>
      </w:r>
      <w:r>
        <w:rPr>
          <w:rFonts w:ascii="Amiri" w:hAnsi="Amiri" w:eastAsia="Amiri" w:cs="Amiri"/>
          <w:color w:val="111111"/>
          <w:sz w:val="28"/>
          <w:sz w:val="28"/>
          <w:szCs w:val="28"/>
          <w:rtl w:val="true"/>
          <w:lang w:bidi="ar-SA"/>
        </w:rPr>
        <w:t>و المسالك</w:t>
      </w:r>
      <w:r>
        <w:rPr>
          <w:rStyle w:val="FootnoteAnchor"/>
          <w:rtl w:val="true"/>
        </w:rPr>
        <w:footnoteReference w:id="717"/>
      </w:r>
      <w:r>
        <w:rPr>
          <w:rFonts w:ascii="Amiri" w:hAnsi="Amiri" w:eastAsia="Amiri" w:cs="Amiri"/>
          <w:color w:val="111111"/>
          <w:sz w:val="28"/>
          <w:sz w:val="28"/>
          <w:szCs w:val="28"/>
          <w:rtl w:val="true"/>
          <w:lang w:bidi="ar-SA"/>
        </w:rPr>
        <w:t>و المدارك</w:t>
      </w:r>
      <w:r>
        <w:rPr>
          <w:rStyle w:val="FootnoteAnchor"/>
          <w:rtl w:val="true"/>
        </w:rPr>
        <w:footnoteReference w:id="718"/>
      </w:r>
      <w:r>
        <w:rPr>
          <w:rFonts w:ascii="Amiri" w:hAnsi="Amiri" w:eastAsia="Amiri" w:cs="Amiri"/>
          <w:color w:val="111111"/>
          <w:sz w:val="28"/>
          <w:sz w:val="28"/>
          <w:szCs w:val="28"/>
          <w:rtl w:val="true"/>
          <w:lang w:bidi="ar-SA"/>
        </w:rPr>
        <w:t>و عن التلخيص</w:t>
      </w:r>
      <w:r>
        <w:rPr>
          <w:rStyle w:val="FootnoteAnchor"/>
          <w:rtl w:val="true"/>
        </w:rPr>
        <w:footnoteReference w:id="719"/>
      </w:r>
      <w:r>
        <w:rPr>
          <w:rFonts w:ascii="IRNazanin" w:hAnsi="IRNazanin" w:eastAsia="IRNazanin"/>
          <w:color w:val="111111"/>
          <w:sz w:val="28"/>
          <w:sz w:val="28"/>
          <w:szCs w:val="28"/>
          <w:rtl w:val="true"/>
          <w:lang w:bidi="fa-IR"/>
        </w:rPr>
        <w:t>و القواعد</w:t>
      </w:r>
      <w:r>
        <w:rPr>
          <w:rStyle w:val="FootnoteAnchor"/>
          <w:rtl w:val="true"/>
        </w:rPr>
        <w:footnoteReference w:id="720"/>
      </w:r>
      <w:r>
        <w:rPr>
          <w:rFonts w:ascii="Amiri" w:hAnsi="Amiri" w:eastAsia="Amiri" w:cs="Amiri"/>
          <w:color w:val="111111"/>
          <w:sz w:val="28"/>
          <w:sz w:val="28"/>
          <w:szCs w:val="28"/>
          <w:rtl w:val="true"/>
          <w:lang w:bidi="ar-SA"/>
        </w:rPr>
        <w:t>و التحرير</w:t>
      </w:r>
      <w:r>
        <w:rPr>
          <w:rStyle w:val="FootnoteAnchor"/>
          <w:rtl w:val="true"/>
        </w:rPr>
        <w:footnoteReference w:id="721"/>
      </w:r>
      <w:r>
        <w:rPr>
          <w:rFonts w:ascii="IRNazanin" w:hAnsi="IRNazanin" w:eastAsia="IRNazanin"/>
          <w:color w:val="111111"/>
          <w:sz w:val="28"/>
          <w:sz w:val="28"/>
          <w:szCs w:val="28"/>
          <w:rtl w:val="true"/>
          <w:lang w:bidi="fa-IR"/>
        </w:rPr>
        <w:t>و الإرشاد</w:t>
      </w:r>
      <w:r>
        <w:rPr>
          <w:rStyle w:val="FootnoteAnchor"/>
          <w:rtl w:val="true"/>
        </w:rPr>
        <w:footnoteReference w:id="722"/>
      </w:r>
      <w:r>
        <w:rPr>
          <w:rFonts w:ascii="IRNazanin" w:hAnsi="IRNazanin" w:eastAsia="IRNazanin"/>
          <w:color w:val="111111"/>
          <w:sz w:val="28"/>
          <w:sz w:val="28"/>
          <w:szCs w:val="28"/>
          <w:rtl w:val="true"/>
          <w:lang w:bidi="fa-IR"/>
        </w:rPr>
        <w:t>و الدروس</w:t>
      </w:r>
      <w:r>
        <w:rPr>
          <w:rStyle w:val="FootnoteAnchor"/>
          <w:rtl w:val="true"/>
        </w:rPr>
        <w:footnoteReference w:id="723"/>
      </w:r>
      <w:r>
        <w:rPr>
          <w:rFonts w:ascii="IRNazanin" w:hAnsi="IRNazanin" w:eastAsia="IRNazanin"/>
          <w:color w:val="111111"/>
          <w:sz w:val="28"/>
          <w:sz w:val="28"/>
          <w:szCs w:val="28"/>
          <w:rtl w:val="true"/>
          <w:lang w:bidi="fa-IR"/>
        </w:rPr>
        <w:t>و الجامع</w:t>
      </w:r>
      <w:r>
        <w:rPr>
          <w:rStyle w:val="FootnoteAnchor"/>
          <w:rtl w:val="true"/>
        </w:rPr>
        <w:footnoteReference w:id="724"/>
      </w:r>
      <w:r>
        <w:rPr>
          <w:rFonts w:ascii="Amiri" w:hAnsi="Amiri" w:eastAsia="Amiri" w:cs="Amiri"/>
          <w:color w:val="111111"/>
          <w:sz w:val="28"/>
          <w:sz w:val="28"/>
          <w:szCs w:val="28"/>
          <w:rtl w:val="true"/>
          <w:lang w:bidi="ar-SA"/>
        </w:rPr>
        <w:t>و مجمع الفائدة</w:t>
      </w:r>
      <w:r>
        <w:rPr>
          <w:rStyle w:val="FootnoteAnchor"/>
          <w:rtl w:val="true"/>
        </w:rPr>
        <w:footnoteReference w:id="725"/>
      </w:r>
      <w:r>
        <w:rPr>
          <w:rFonts w:ascii="Amiri" w:hAnsi="Amiri" w:eastAsia="Amiri" w:cs="Amiri"/>
          <w:color w:val="111111"/>
          <w:sz w:val="28"/>
          <w:sz w:val="28"/>
          <w:szCs w:val="28"/>
          <w:rtl w:val="true"/>
          <w:lang w:bidi="ar-SA"/>
        </w:rPr>
        <w:t>و الكفاية</w:t>
      </w:r>
      <w:r>
        <w:rPr>
          <w:rStyle w:val="FootnoteAnchor"/>
          <w:rtl w:val="true"/>
        </w:rPr>
        <w:footnoteReference w:id="726"/>
      </w:r>
      <w:r>
        <w:rPr>
          <w:rFonts w:ascii="Amiri" w:hAnsi="Amiri" w:eastAsia="Amiri" w:cs="Amiri"/>
          <w:color w:val="111111"/>
          <w:sz w:val="28"/>
          <w:sz w:val="28"/>
          <w:szCs w:val="28"/>
          <w:rtl w:val="true"/>
          <w:lang w:bidi="ar-SA"/>
        </w:rPr>
        <w:t>و الذخيرة</w:t>
      </w:r>
      <w:r>
        <w:rPr>
          <w:rStyle w:val="FootnoteAnchor"/>
          <w:rtl w:val="true"/>
        </w:rPr>
        <w:footnoteReference w:id="727"/>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مجمع عليه بين الأصحاب</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و عن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متّفق عليه بين الأصحاب</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عليه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الزكاة تجب في العين لا في الذمّة فيكون النصاب في يده كالأمانة لا يضمن إلاّ بالتعدّي أو التفريط</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 أن يستدلّ عليه بما رواه محمّد بن مسلم في الصحيح على الصحيح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لتقسّم فضاعت هل عليه ضمانها حتّى تقسّم‌؟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لها موضعا فلم يدفعها إليه فهو لها ضامن حتّى يدفعها، و إن لم يجد من يدفعها إليه فبعث بها إلى أهلها فليس عليه ضمان لأنّها قد خرجت من يده، و كذلك الوصيّ الّذي يوصى إليه يكون ضامنا لما دفع إليه إذا وجد به</w:t>
      </w:r>
      <w:r>
        <w:rPr>
          <w:rStyle w:val="FootnoteAnchor"/>
          <w:rtl w:val="true"/>
        </w:rPr>
        <w:footnoteReference w:id="731"/>
      </w:r>
      <w:r>
        <w:rPr>
          <w:rFonts w:ascii="Amiri" w:hAnsi="Amiri" w:eastAsia="Amiri" w:cs="Amiri"/>
          <w:color w:val="111111"/>
          <w:sz w:val="28"/>
          <w:sz w:val="28"/>
          <w:szCs w:val="28"/>
          <w:rtl w:val="true"/>
          <w:lang w:bidi="ar-SA"/>
        </w:rPr>
        <w:t xml:space="preserve">الّذي أمر بدفعه </w:t>
      </w:r>
      <w:bookmarkStart w:id="196" w:name="pg16181_154523"/>
    </w:p>
    <w:p>
      <w:pPr>
        <w:pStyle w:val="BookText"/>
        <w:rPr/>
      </w:pPr>
      <w:bookmarkEnd w:id="196"/>
      <w:r>
        <w:rPr>
          <w:rFonts w:ascii="Amiri" w:hAnsi="Amiri" w:eastAsia="Amiri" w:cs="Amiri"/>
          <w:color w:val="111111"/>
          <w:sz w:val="28"/>
          <w:sz w:val="28"/>
          <w:szCs w:val="28"/>
          <w:rtl w:val="true"/>
          <w:lang w:bidi="ar-SA"/>
        </w:rPr>
        <w:t>إليه، فإن لم يجد فليس عليه ضمان</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زرارة في الصحيح على الصحيح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بعث إليه أخ له زكاته ليقسّمها فضاعت،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الرسول و لا على المؤدّي ضمان،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لها أهلا ففسدت و تغيّرت أ يضمنها؟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إن عرف لها أهلا فعطّلت</w:t>
      </w:r>
      <w:r>
        <w:rPr>
          <w:rStyle w:val="FootnoteAnchor"/>
          <w:rtl w:val="true"/>
        </w:rPr>
        <w:footnoteReference w:id="733"/>
      </w:r>
      <w:r>
        <w:rPr>
          <w:rFonts w:ascii="Amiri" w:hAnsi="Amiri" w:eastAsia="Amiri" w:cs="Amiri"/>
          <w:color w:val="111111"/>
          <w:sz w:val="28"/>
          <w:sz w:val="28"/>
          <w:szCs w:val="28"/>
          <w:rtl w:val="true"/>
          <w:lang w:bidi="ar-SA"/>
        </w:rPr>
        <w:t>أو فسدت فهو لها ضامن حتّى يخرجها</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مقابلهما أخبار معتبرة اخر دالّة بإطلاقها على نفي الضمان فى من بعث بزكاته إلى خارج بلده و قد ذكرها في المناهل</w:t>
      </w:r>
      <w:r>
        <w:rPr>
          <w:rStyle w:val="FootnoteAnchor"/>
          <w:rtl w:val="true"/>
        </w:rPr>
        <w:footnoteReference w:id="735"/>
      </w:r>
      <w:r>
        <w:rPr>
          <w:rFonts w:ascii="Amiri" w:hAnsi="Amiri" w:eastAsia="Amiri" w:cs="Amiri"/>
          <w:color w:val="111111"/>
          <w:sz w:val="28"/>
          <w:sz w:val="28"/>
          <w:szCs w:val="28"/>
          <w:rtl w:val="true"/>
          <w:lang w:bidi="ar-SA"/>
        </w:rPr>
        <w:t>نقلا عن الذخيرة و لا بدّ من تنزيلها على التفصيل المستفاد من الصحيحين</w:t>
      </w:r>
      <w:r>
        <w:rPr>
          <w:rStyle w:val="FootnoteAnchor"/>
          <w:rtl w:val="true"/>
        </w:rPr>
        <w:footnoteReference w:id="736"/>
      </w:r>
      <w:r>
        <w:rPr>
          <w:rFonts w:ascii="Amiri" w:hAnsi="Amiri" w:eastAsia="Amiri" w:cs="Amiri"/>
          <w:color w:val="111111"/>
          <w:sz w:val="28"/>
          <w:sz w:val="28"/>
          <w:szCs w:val="28"/>
          <w:rtl w:val="true"/>
          <w:lang w:bidi="ar-SA"/>
        </w:rPr>
        <w:t>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القاعدة أنّه لو تلف النصاب قبل التمكّن من الأداء سقطت الزكاة و لا ضمان، و لو تلف بعد الوجوب و إمكان الأداء فأخّر الأداء تساهلا، أو حمل إلى خارج بلده تشهّيا ضمن عملا في كلّ ذلك بما تقدّم من الصحيحين، و إنّما يتحقّق تلف الزكاة مع العزل أو تلف جميع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تلف بعضه وزّع على حصّة المالك و نصيب الفقراء بالنسبة و ضمن المالك نصيبهم في موضع الضمان كما ذكره في الذخيرة على ما حكي و استجوده في الذخيرة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يتفرّع على اشتراط وجوب الزكاة بالتمكّن من التصرّف في النصاب عدم وجوب الزكاة في امور ذكرها الأصحاب من باب التفريع، و نحن أيضا نذكرها في طيّ مسائل</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2586545_1280447820"/>
      <w:bookmarkStart w:id="198" w:name="_Toc71"/>
      <w:bookmarkEnd w:id="197"/>
      <w:r>
        <w:rPr>
          <w:rtl w:val="true"/>
        </w:rPr>
        <w:t>المسألة الاولى</w:t>
      </w:r>
      <w:r>
        <w:rPr>
          <w:rtl w:val="true"/>
        </w:rPr>
        <w:t xml:space="preserve">: </w:t>
      </w:r>
      <w:r>
        <w:rPr>
          <w:rtl w:val="true"/>
        </w:rPr>
        <w:t>في المال المغصوب،</w:t>
      </w:r>
      <w:bookmarkEnd w:id="19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غصب غاصب مالا من الأموال الزكوية فهو ما دام مغصوبا لا يجب فيه زكاة و إن حال عليه أحوال فيما يعتبر فيه الحول، كما نصّ عليه كثير من </w:t>
      </w:r>
      <w:bookmarkStart w:id="199" w:name="pg16181_154524"/>
    </w:p>
    <w:p>
      <w:pPr>
        <w:pStyle w:val="BookText"/>
        <w:rPr/>
      </w:pPr>
      <w:bookmarkEnd w:id="199"/>
      <w:r>
        <w:rPr>
          <w:rFonts w:ascii="Amiri" w:hAnsi="Amiri" w:eastAsia="Amiri" w:cs="Amiri"/>
          <w:color w:val="111111"/>
          <w:sz w:val="28"/>
          <w:sz w:val="28"/>
          <w:szCs w:val="28"/>
          <w:rtl w:val="true"/>
          <w:lang w:bidi="ar-SA"/>
        </w:rPr>
        <w:t>الأساطين</w:t>
      </w:r>
      <w:r>
        <w:rPr>
          <w:rStyle w:val="FootnoteAnchor"/>
          <w:rtl w:val="true"/>
        </w:rPr>
        <w:footnoteReference w:id="738"/>
      </w:r>
      <w:r>
        <w:rPr>
          <w:rFonts w:ascii="Amiri" w:hAnsi="Amiri" w:eastAsia="Amiri" w:cs="Amiri"/>
          <w:color w:val="111111"/>
          <w:sz w:val="28"/>
          <w:sz w:val="28"/>
          <w:szCs w:val="28"/>
          <w:rtl w:val="true"/>
          <w:lang w:bidi="ar-SA"/>
        </w:rPr>
        <w:t>و لعلّه محلّ وفاق، 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فتوى علمائنا</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 في دليله كون التمكّن من التصرّف شرطا و هو منتف، و يدلّ عليه من الروايات عموما صحيحة الفضلاء الخمسة عن الصادقين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لم يحل عليه الحول عند ربّه فلا شيء عليه فيه، فإذا حال عليه الحول وجب</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عليّ بن يقطين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كلّما لم يحل عندك حول فليس عليك فيه زكاة</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عبد اللّه بن سنان المتقدّمة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على الدين و لا على المال الغائب عنك حتّى يقع في يديك</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عبد اللّه بن بكير المتقدّمة عمّن رواه عن أبي عبد اللّه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رجل ماله عنه غائب لا يقدر على أخذه،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عليه حتّى يخرج، فإذا خرج زكّاه لعام واحد، و إن كان يدعه متعمّدا و هو يقدر على أخذه فعليه الزكاة لكلّ ما مرّ به من السنين</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و قضيّة الرواية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على تخليصه وجب فيه، و هو كذلك لأنّه بالقدرة على التخليص متمكّن عن التصرّف فيه، و لو قدر على تخليص بعضه و لو بالاستعانة بعالم أو ظالم وجبت الزكاة فيما زاد على الفداء إن بلغ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لا يجب زكاة مال المغصوب على المغصوب منه، كذلك لا يجب على الغاصب، غير أنّه في الأوّل لانتفاء شرط التمكّن و في الثاني لانتفاء المالكيّة</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2586547_1280447820"/>
      <w:bookmarkStart w:id="201" w:name="_Toc72"/>
      <w:bookmarkEnd w:id="200"/>
      <w:r>
        <w:rPr>
          <w:rtl w:val="true"/>
        </w:rPr>
        <w:t>المسألة الثانية</w:t>
      </w:r>
      <w:r>
        <w:rPr>
          <w:rtl w:val="true"/>
        </w:rPr>
        <w:t xml:space="preserve">: </w:t>
      </w:r>
      <w:r>
        <w:rPr>
          <w:rtl w:val="true"/>
        </w:rPr>
        <w:t>في المال الغائب عن المالك و وكيله</w:t>
      </w:r>
      <w:bookmarkEnd w:id="20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أيضا ممّا لا يجب فيه زكاة ما دام غائبا </w:t>
      </w:r>
    </w:p>
    <w:p>
      <w:pPr>
        <w:pStyle w:val="BookText"/>
        <w:rPr/>
      </w:pPr>
      <w:r>
        <w:rPr>
          <w:rFonts w:ascii="Amiri" w:hAnsi="Amiri" w:eastAsia="Amiri" w:cs="Amiri"/>
          <w:color w:val="111111"/>
          <w:sz w:val="28"/>
          <w:sz w:val="28"/>
          <w:szCs w:val="28"/>
          <w:rtl w:val="true"/>
          <w:lang w:bidi="ar-SA"/>
        </w:rPr>
        <w:t>على ما صرّح به جمع من أساطين الطائفة</w:t>
      </w:r>
      <w:r>
        <w:rPr>
          <w:rStyle w:val="FootnoteAnchor"/>
          <w:rtl w:val="true"/>
        </w:rPr>
        <w:footnoteReference w:id="744"/>
      </w:r>
      <w:r>
        <w:rPr>
          <w:rFonts w:ascii="Amiri" w:hAnsi="Amiri" w:eastAsia="Amiri" w:cs="Amiri"/>
          <w:color w:val="111111"/>
          <w:sz w:val="28"/>
          <w:sz w:val="28"/>
          <w:szCs w:val="28"/>
          <w:rtl w:val="true"/>
          <w:lang w:bidi="ar-SA"/>
        </w:rPr>
        <w:t>بل لم نقف على مخالف في المسألة و عن منتهى العلاّمة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فتوى علمائنا</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دليله من النصوص ما تقدّم من صحيحة الفضلاء و رواية عليّ بن يقطين و صحيحة عبد اللّه بن سنان و موثّقة ابن بكير</w:t>
      </w:r>
      <w:r>
        <w:rPr>
          <w:rStyle w:val="FootnoteAnchor"/>
          <w:rtl w:val="true"/>
        </w:rPr>
        <w:footnoteReference w:id="746"/>
      </w:r>
      <w:r>
        <w:rPr>
          <w:rFonts w:ascii="Amiri" w:hAnsi="Amiri" w:eastAsia="Amiri" w:cs="Amiri"/>
          <w:color w:val="111111"/>
          <w:sz w:val="28"/>
          <w:sz w:val="28"/>
          <w:szCs w:val="28"/>
          <w:rtl w:val="true"/>
          <w:lang w:bidi="ar-SA"/>
        </w:rPr>
        <w:t>مضافا إلى روايات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 إسحاق بن عمّار عن أبي إبراهيم عليه السّلام ففي إحداهما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ورث مالا و الرجل غائب هل عليه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يزكّيه حين يقدم‌؟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الرجل يكون له الولد فيغيب بعض ولده فلا يدري أين هو؟ و مات الرجل كيف يصنع بميراث الغائب عن أبيه‌؟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حتّى يجيء،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ماله 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جاء أ يزكّيه‌؟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معناهما روايات غير معتبرة اخر أوردها السيّد الجليل في مناهله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قضيّة تفريع الحكم المذكور في المال الغائب في كتب الأصحاب على ما تقدّم من اشتراط وجوب الزكاة بالتمكّن من التصرّف في النصاب، أن يكون مرادهم في الفتاوى من عبارة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المال الغائب عن المالك 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الزكاة في المال الغائب لعدم قدرة المالك و وكيله على أخذه و الوصول إليه، لا لعدم كونه في يدهما و إن قدر أحدهما على أخذه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فمناط وجوب الزكاة فيه بعد مراعاة حلول الحول عليه إنّما هو القدرة على الأخذ لا الأخذ الفعلي، و لذا نسب إلى صريح كلام العلاّمة في النهاية</w:t>
      </w:r>
      <w:r>
        <w:rPr>
          <w:rStyle w:val="FootnoteAnchor"/>
          <w:rtl w:val="true"/>
        </w:rPr>
        <w:footnoteReference w:id="750"/>
      </w:r>
      <w:r>
        <w:rPr>
          <w:rFonts w:ascii="Amiri" w:hAnsi="Amiri" w:eastAsia="Amiri" w:cs="Amiri"/>
          <w:color w:val="111111"/>
          <w:sz w:val="28"/>
          <w:sz w:val="28"/>
          <w:szCs w:val="28"/>
          <w:rtl w:val="true"/>
          <w:lang w:bidi="ar-SA"/>
        </w:rPr>
        <w:t>و التحرير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الزكاة عند التمكّن من التصرّف و إن غاب عنه و عن وكيله</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و في معناه كلام المحقّق في النافع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يجب في المال الغائب إذا لم يكن صاحبه متمكّنا منه</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و أصرح منهما عبارة الشيخ المحكيّة عن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زكاة على مال غائب إلاّ إذا كان صاحبه متمكّنا منه أيّ وقت شاء، فإن كان متمكّنا منه لزمته الزكاة</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و عزي إليه نحوه في الخلاف</w:t>
      </w:r>
      <w:r>
        <w:rPr>
          <w:rStyle w:val="FootnoteAnchor"/>
          <w:rtl w:val="true"/>
        </w:rPr>
        <w:footnoteReference w:id="754"/>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في موضع من الخلاف أنّه لا خلاف فيه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كأنّ مبنى التعبير عن عنوان المسألة في فتاوى الجماعة بمثل العبارة المذكورة، على التلازم الغالبي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التمكّن من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لجهل به، أو نسيانه، أو عدم استطاعة الوصول إليه بنفسه أو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ظهور للعبارة المذكورة في اعتبار كون المال في يد الوكيل، في وجوب الزكاة فيه كما زعمه صاحب الذخيرة</w:t>
      </w:r>
      <w:r>
        <w:rPr>
          <w:rStyle w:val="FootnoteAnchor"/>
          <w:rtl w:val="true"/>
        </w:rPr>
        <w:footnoteReference w:id="756"/>
      </w:r>
      <w:r>
        <w:rPr>
          <w:rFonts w:ascii="Amiri" w:hAnsi="Amiri" w:eastAsia="Amiri" w:cs="Amiri"/>
          <w:color w:val="111111"/>
          <w:sz w:val="28"/>
          <w:sz w:val="28"/>
          <w:szCs w:val="28"/>
          <w:rtl w:val="true"/>
          <w:lang w:bidi="ar-SA"/>
        </w:rPr>
        <w:t>حتّى أنّه نسبه مع عبارة الإرشاد</w:t>
      </w:r>
      <w:r>
        <w:rPr>
          <w:rStyle w:val="FootnoteAnchor"/>
          <w:rtl w:val="true"/>
        </w:rPr>
        <w:footnoteReference w:id="757"/>
      </w:r>
      <w:r>
        <w:rPr>
          <w:rFonts w:ascii="Amiri" w:hAnsi="Amiri" w:eastAsia="Amiri" w:cs="Amiri"/>
          <w:color w:val="111111"/>
          <w:sz w:val="28"/>
          <w:sz w:val="28"/>
          <w:szCs w:val="28"/>
          <w:rtl w:val="true"/>
          <w:lang w:bidi="ar-SA"/>
        </w:rPr>
        <w:t>إلى ظاهر كثير من عباراتهم، مع اعترافه بأنّ ظاهر التفريع على اشتراط التمكّن من التصرّف في عباراتهم يقتضي وجوب الزكاة عند التمكّن من التصرّف و إن غاب عنه و عن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عجيب، فيرد عليه منع ظهور العبارة في خلاف ما يقتضيه التفريع، و لو سلّم فيصرفها عن الظهور في الخلاف نفس التفريع، لكونه بمنزلة النصّ الموجب لإرجاع التأويل إلى الظاهر بحمله على صورة عدم التمكّن من الأخذ و التصرّف، فلا اضطراب في كلام الأصحاب كما زعمه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للشهيد في البيان عبارة تدلّ على أنّه فهم من عبارتهم اعتبار كونه في يد الوكيل في وجوب الزكاة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المانع الثاني القهر فلا يجب في المغصوب و المسروق و المبيع في يد من يمنعه ظلما، و المجحود مع عدم إمكان الاستنقاذ و لو أمكن وجب، و لو صانعه ببعضه وجب في المقبوض، و في إجراء</w:t>
      </w:r>
      <w:r>
        <w:rPr>
          <w:rStyle w:val="FootnoteAnchor"/>
          <w:rtl w:val="true"/>
        </w:rPr>
        <w:footnoteReference w:id="758"/>
      </w:r>
      <w:r>
        <w:rPr>
          <w:rFonts w:ascii="Amiri" w:hAnsi="Amiri" w:eastAsia="Amiri" w:cs="Amiri"/>
          <w:color w:val="111111"/>
          <w:sz w:val="28"/>
          <w:sz w:val="28"/>
          <w:szCs w:val="28"/>
          <w:rtl w:val="true"/>
          <w:lang w:bidi="ar-SA"/>
        </w:rPr>
        <w:t xml:space="preserve">إمكان المصانعة مجرى التمكّن نظر، و كذا الاستعانة بظالم، أمّا الاستعانة بالعادل، فتمكّن، و لو حبس عن ماله من غير إثبات اليد عليه وجبت الزكاة لنفوذ تصرّفه فيه، نعم لو كانت سائمة </w:t>
      </w:r>
    </w:p>
    <w:p>
      <w:pPr>
        <w:pStyle w:val="BookText"/>
        <w:rPr/>
      </w:pPr>
      <w:r>
        <w:rPr>
          <w:rFonts w:ascii="Amiri" w:hAnsi="Amiri" w:eastAsia="Amiri" w:cs="Amiri"/>
          <w:color w:val="111111"/>
          <w:sz w:val="28"/>
          <w:sz w:val="28"/>
          <w:szCs w:val="28"/>
          <w:rtl w:val="true"/>
          <w:lang w:bidi="ar-SA"/>
        </w:rPr>
        <w:t>لا داعي</w:t>
      </w:r>
      <w:r>
        <w:rPr>
          <w:rStyle w:val="FootnoteAnchor"/>
          <w:rtl w:val="true"/>
        </w:rPr>
        <w:footnoteReference w:id="759"/>
      </w:r>
      <w:r>
        <w:rPr>
          <w:rFonts w:ascii="Amiri" w:hAnsi="Amiri" w:eastAsia="Amiri" w:cs="Amiri"/>
          <w:color w:val="111111"/>
          <w:sz w:val="28"/>
          <w:sz w:val="28"/>
          <w:szCs w:val="28"/>
          <w:rtl w:val="true"/>
          <w:lang w:bidi="ar-SA"/>
        </w:rPr>
        <w:t>لها و لا حافظ احتمل السقوط لاشتراطهم في الغائب كونه في يد الوكيل</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الذخيرة بعد ما فهم تعارضا بين أخبار المسألة باعتبار كونها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 في نفي الزكاة عن المال الغائب كما عدى موثّقة</w:t>
      </w:r>
      <w:r>
        <w:rPr>
          <w:rStyle w:val="FootnoteAnchor"/>
          <w:rtl w:val="true"/>
        </w:rPr>
        <w:footnoteReference w:id="761"/>
      </w:r>
      <w:r>
        <w:rPr>
          <w:rFonts w:ascii="Amiri" w:hAnsi="Amiri" w:eastAsia="Amiri" w:cs="Amiri"/>
          <w:color w:val="111111"/>
          <w:sz w:val="28"/>
          <w:sz w:val="28"/>
          <w:szCs w:val="28"/>
          <w:rtl w:val="true"/>
          <w:lang w:bidi="ar-SA"/>
        </w:rPr>
        <w:t>ابن بكير، و مقيّد له بعدم قدرة المالك على أخذه حيث أمر بالزكاة فيه مع القدرة على أخذه كالموثّقة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الجمع بين الأخبار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المطلق على المقيّد، و حينئذ يحمل روايتا</w:t>
      </w:r>
      <w:r>
        <w:rPr>
          <w:rStyle w:val="FootnoteAnchor"/>
          <w:rtl w:val="true"/>
        </w:rPr>
        <w:footnoteReference w:id="762"/>
      </w:r>
      <w:r>
        <w:rPr>
          <w:rFonts w:ascii="Amiri" w:hAnsi="Amiri" w:eastAsia="Amiri" w:cs="Amiri"/>
          <w:color w:val="111111"/>
          <w:sz w:val="28"/>
          <w:sz w:val="28"/>
          <w:szCs w:val="28"/>
          <w:rtl w:val="true"/>
          <w:lang w:bidi="ar-SA"/>
        </w:rPr>
        <w:t>إسحاق بن عمّار على أنّ الغائب لا يعلم بانتقال المال إليه إذ الظاهر أنّ ذلك يلحق بعدم القدرة على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موثّقة عبد اللّه بن بكير على الاستحباب و الأخبار الاخر على نفي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رجّح الوجه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عدم وضوح 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الموثّقة المذكورة على الوجوب تقتضي رجحان القول بعدم وجوب الزكاة في المال الغائب مطلقا، فلو قيل به لم يكن بعيدا</w:t>
      </w:r>
      <w:r>
        <w:rPr>
          <w:rFonts w:eastAsia="Amiri" w:cs="Amiri" w:ascii="Amiri" w:hAnsi="Amiri"/>
          <w:color w:val="111111"/>
          <w:sz w:val="28"/>
          <w:szCs w:val="28"/>
          <w:rtl w:val="true"/>
          <w:lang w:bidi="ar-SA"/>
        </w:rPr>
        <w:t>»</w:t>
      </w:r>
      <w:r>
        <w:rPr>
          <w:rStyle w:val="FootnoteAnchor"/>
          <w:rtl w:val="true"/>
        </w:rPr>
        <w:footnoteReference w:id="7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ظهور المطلقات في الإطلاق بعد ملاحظة التلازم الغالبي بين غيبة المال عن المالك و وكيله و تعذّر أخذه، و عدم التمكّن من التصرّف فيه، فيقوى في النظر ورودها مورد الغالب كما في فتاوى الأصحاب حسبما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الاطلاق فالمتعيّن على ما حقّق في الاصول حملها على المقيّد لرجحان التقييد على المجاز عند دوران الأمر بينهما، و مرجعه إلى تقديم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 و هو المطلق في الإطلاق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وضوح دلالته على الوجوب، مدافعة، لما علم بضرورة من العرف و نصّ أهل اللغة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نظائر المقام من التراكيب ظاهرا كالنصّ في الإلزام، و لذا يقع التعارض بين الموثّقة</w:t>
      </w:r>
      <w:r>
        <w:rPr>
          <w:rStyle w:val="FootnoteAnchor"/>
          <w:rtl w:val="true"/>
        </w:rPr>
        <w:footnoteReference w:id="764"/>
      </w:r>
      <w:r>
        <w:rPr>
          <w:rFonts w:ascii="IRNazanin" w:hAnsi="IRNazanin" w:eastAsia="IRNazanin"/>
          <w:color w:val="111111"/>
          <w:sz w:val="28"/>
          <w:sz w:val="28"/>
          <w:szCs w:val="28"/>
          <w:rtl w:val="true"/>
          <w:lang w:bidi="fa-IR"/>
        </w:rPr>
        <w:t>و المطلقات</w:t>
      </w:r>
      <w:r>
        <w:rPr>
          <w:rStyle w:val="FootnoteAnchor"/>
          <w:rtl w:val="true"/>
        </w:rPr>
        <w:footnoteReference w:id="765"/>
      </w:r>
      <w:r>
        <w:rPr>
          <w:rFonts w:ascii="Amiri" w:hAnsi="Amiri" w:eastAsia="Amiri" w:cs="Amiri"/>
          <w:color w:val="111111"/>
          <w:sz w:val="28"/>
          <w:sz w:val="28"/>
          <w:szCs w:val="28"/>
          <w:rtl w:val="true"/>
          <w:lang w:bidi="ar-SA"/>
        </w:rPr>
        <w:t xml:space="preserve">لورود النفي فيها على 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للإلزام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على المال الغائب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فيه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لصاحب الذخيرة</w:t>
      </w:r>
      <w:r>
        <w:rPr>
          <w:rStyle w:val="FootnoteAnchor"/>
          <w:rtl w:val="true"/>
        </w:rPr>
        <w:footnoteReference w:id="766"/>
      </w:r>
      <w:r>
        <w:rPr>
          <w:rFonts w:ascii="Amiri" w:hAnsi="Amiri" w:eastAsia="Amiri" w:cs="Amiri"/>
          <w:color w:val="111111"/>
          <w:sz w:val="28"/>
          <w:sz w:val="28"/>
          <w:szCs w:val="28"/>
          <w:rtl w:val="true"/>
          <w:lang w:bidi="ar-SA"/>
        </w:rPr>
        <w:t>كلام آخر على أخبار المسألة في الجرح و التعديل بينهما و لوضوح وهنه لا ينبغي الالتفات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غاب المالك عن ماله بعد ما كان حاضرا عنده بحيث زال تمكّنه من التصرّف فيه كما لو اسر إلى بلاد الكفر فالّذي صرّح به في المنتهى</w:t>
      </w:r>
      <w:r>
        <w:rPr>
          <w:rStyle w:val="FootnoteAnchor"/>
          <w:rtl w:val="true"/>
        </w:rPr>
        <w:footnoteReference w:id="767"/>
      </w:r>
      <w:r>
        <w:rPr>
          <w:rFonts w:ascii="Amiri" w:hAnsi="Amiri" w:eastAsia="Amiri" w:cs="Amiri"/>
          <w:color w:val="111111"/>
          <w:sz w:val="28"/>
          <w:sz w:val="28"/>
          <w:szCs w:val="28"/>
          <w:rtl w:val="true"/>
          <w:lang w:bidi="ar-SA"/>
        </w:rPr>
        <w:t>و حكي الإشارة إليه عن ابن البرّاج في جواهر الفقه</w:t>
      </w:r>
      <w:r>
        <w:rPr>
          <w:rStyle w:val="FootnoteAnchor"/>
          <w:rtl w:val="true"/>
        </w:rPr>
        <w:footnoteReference w:id="768"/>
      </w:r>
      <w:r>
        <w:rPr>
          <w:rFonts w:ascii="Amiri" w:hAnsi="Amiri" w:eastAsia="Amiri" w:cs="Amiri"/>
          <w:color w:val="111111"/>
          <w:sz w:val="28"/>
          <w:sz w:val="28"/>
          <w:szCs w:val="28"/>
          <w:rtl w:val="true"/>
          <w:lang w:bidi="ar-SA"/>
        </w:rPr>
        <w:t>و استجوده السيّد في المناهل</w:t>
      </w:r>
      <w:r>
        <w:rPr>
          <w:rStyle w:val="FootnoteAnchor"/>
          <w:rtl w:val="true"/>
        </w:rPr>
        <w:footnoteReference w:id="769"/>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سقوط الزكاة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بأنّ الغيبوبة تتحقّق من الطرفين، و هو كذلك، لإطلاق النصّ و الفتوى، بل خصوص روايتي</w:t>
      </w:r>
      <w:r>
        <w:rPr>
          <w:rStyle w:val="FootnoteAnchor"/>
          <w:rtl w:val="true"/>
        </w:rPr>
        <w:footnoteReference w:id="770"/>
      </w:r>
      <w:r>
        <w:rPr>
          <w:rFonts w:ascii="Amiri" w:hAnsi="Amiri" w:eastAsia="Amiri" w:cs="Amiri"/>
          <w:color w:val="111111"/>
          <w:sz w:val="28"/>
          <w:sz w:val="28"/>
          <w:szCs w:val="28"/>
          <w:rtl w:val="true"/>
          <w:lang w:bidi="ar-SA"/>
        </w:rPr>
        <w:t>ابن عمّار المخصوصتين بغيبوبة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الغائب عن المالك في يد الحاكم أو أمينه ففي تنزيله منزلة المال الّذي في يد المالك و 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 لإطلاق النصّ و الفتوى، و صدق عدم تمكّن المالك من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يد الحاكم و أمينه بمنزلة يد المالك فكأنّ المال في تصرّفه، يحتاج إلى دليل 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الغائب عن مالكه في يد وكيله المتمكّن من التصرّف فيه ففي وجوب الزكاة فيه كما لو كان في يد المالك و عدمه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 هو ظاهر الشرائع</w:t>
      </w:r>
      <w:r>
        <w:rPr>
          <w:rStyle w:val="FootnoteAnchor"/>
          <w:rtl w:val="true"/>
        </w:rPr>
        <w:footnoteReference w:id="771"/>
      </w:r>
      <w:r>
        <w:rPr>
          <w:rFonts w:ascii="Amiri" w:hAnsi="Amiri" w:eastAsia="Amiri" w:cs="Amiri"/>
          <w:color w:val="111111"/>
          <w:sz w:val="28"/>
          <w:sz w:val="28"/>
          <w:szCs w:val="28"/>
          <w:rtl w:val="true"/>
          <w:lang w:bidi="ar-SA"/>
        </w:rPr>
        <w:t>و جملة من كتب العلاّمة</w:t>
      </w:r>
      <w:r>
        <w:rPr>
          <w:rStyle w:val="FootnoteAnchor"/>
          <w:rtl w:val="true"/>
        </w:rPr>
        <w:footnoteReference w:id="772"/>
      </w:r>
      <w:r>
        <w:rPr>
          <w:rFonts w:ascii="Amiri" w:hAnsi="Amiri" w:eastAsia="Amiri" w:cs="Amiri"/>
          <w:color w:val="111111"/>
          <w:sz w:val="28"/>
          <w:sz w:val="28"/>
          <w:szCs w:val="28"/>
          <w:rtl w:val="true"/>
          <w:lang w:bidi="ar-SA"/>
        </w:rPr>
        <w:t>و غيرهما ممّن عبّر عن عنوان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بالمال الغائب عن المالك 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بظاهره يقتضي وجوب الزكاة فيه لو كان في يد الوكيل كما يقتضي وجوبه لو كان في يد المالك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و نسب إلى ظاهر المقنعة</w:t>
      </w:r>
      <w:r>
        <w:rPr>
          <w:rStyle w:val="FootnoteAnchor"/>
          <w:rtl w:val="true"/>
        </w:rPr>
        <w:footnoteReference w:id="773"/>
      </w:r>
      <w:r>
        <w:rPr>
          <w:rFonts w:ascii="Amiri" w:hAnsi="Amiri" w:eastAsia="Amiri" w:cs="Amiri"/>
          <w:color w:val="111111"/>
          <w:sz w:val="28"/>
          <w:sz w:val="28"/>
          <w:szCs w:val="28"/>
          <w:rtl w:val="true"/>
          <w:lang w:bidi="ar-SA"/>
        </w:rPr>
        <w:t>و النهاية</w:t>
      </w:r>
      <w:r>
        <w:rPr>
          <w:rStyle w:val="FootnoteAnchor"/>
          <w:rtl w:val="true"/>
        </w:rPr>
        <w:footnoteReference w:id="774"/>
      </w:r>
      <w:r>
        <w:rPr>
          <w:rFonts w:ascii="Amiri" w:hAnsi="Amiri" w:eastAsia="Amiri" w:cs="Amiri"/>
          <w:color w:val="111111"/>
          <w:sz w:val="28"/>
          <w:sz w:val="28"/>
          <w:szCs w:val="28"/>
          <w:rtl w:val="true"/>
          <w:lang w:bidi="ar-SA"/>
        </w:rPr>
        <w:t>و الغنية</w:t>
      </w:r>
      <w:r>
        <w:rPr>
          <w:rStyle w:val="FootnoteAnchor"/>
          <w:rtl w:val="true"/>
        </w:rPr>
        <w:footnoteReference w:id="775"/>
      </w:r>
      <w:r>
        <w:rPr>
          <w:rFonts w:ascii="IRNazanin" w:hAnsi="IRNazanin" w:eastAsia="IRNazanin"/>
          <w:color w:val="111111"/>
          <w:sz w:val="28"/>
          <w:sz w:val="28"/>
          <w:szCs w:val="28"/>
          <w:rtl w:val="true"/>
          <w:lang w:bidi="fa-IR"/>
        </w:rPr>
        <w:t>و النافع</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 المعتبر</w:t>
      </w:r>
      <w:r>
        <w:rPr>
          <w:rStyle w:val="FootnoteAnchor"/>
          <w:rtl w:val="true"/>
        </w:rPr>
        <w:footnoteReference w:id="777"/>
      </w:r>
      <w:r>
        <w:rPr>
          <w:rFonts w:ascii="IRNazanin" w:hAnsi="IRNazanin" w:eastAsia="IRNazanin"/>
          <w:color w:val="111111"/>
          <w:sz w:val="28"/>
          <w:sz w:val="28"/>
          <w:szCs w:val="28"/>
          <w:rtl w:val="true"/>
          <w:lang w:bidi="fa-IR"/>
        </w:rPr>
        <w:t>و المنتهى</w:t>
      </w:r>
      <w:r>
        <w:rPr>
          <w:rStyle w:val="FootnoteAnchor"/>
          <w:rtl w:val="true"/>
        </w:rPr>
        <w:footnoteReference w:id="778"/>
      </w:r>
      <w:r>
        <w:rPr>
          <w:rFonts w:ascii="IRNazanin" w:hAnsi="IRNazanin" w:eastAsia="IRNazanin"/>
          <w:color w:val="111111"/>
          <w:sz w:val="28"/>
          <w:sz w:val="28"/>
          <w:szCs w:val="28"/>
          <w:rtl w:val="true"/>
          <w:lang w:bidi="fa-IR"/>
        </w:rPr>
        <w:t>و الجامع</w:t>
      </w:r>
      <w:r>
        <w:rPr>
          <w:rStyle w:val="FootnoteAnchor"/>
          <w:rtl w:val="true"/>
        </w:rPr>
        <w:footnoteReference w:id="779"/>
      </w:r>
      <w:r>
        <w:rPr>
          <w:rFonts w:ascii="IRNazanin" w:hAnsi="IRNazanin" w:eastAsia="IRNazanin"/>
          <w:color w:val="111111"/>
          <w:sz w:val="28"/>
          <w:sz w:val="28"/>
          <w:szCs w:val="28"/>
          <w:rtl w:val="true"/>
          <w:lang w:bidi="fa-IR"/>
        </w:rPr>
        <w:t>و الخلاف</w:t>
      </w:r>
      <w:r>
        <w:rPr>
          <w:rStyle w:val="FootnoteAnchor"/>
          <w:rtl w:val="true"/>
        </w:rPr>
        <w:footnoteReference w:id="780"/>
      </w:r>
      <w:r>
        <w:rPr>
          <w:rFonts w:ascii="Amiri" w:hAnsi="Amiri" w:eastAsia="Amiri" w:cs="Amiri"/>
          <w:color w:val="111111"/>
          <w:sz w:val="28"/>
          <w:sz w:val="28"/>
          <w:szCs w:val="28"/>
          <w:rtl w:val="true"/>
          <w:lang w:bidi="ar-SA"/>
        </w:rPr>
        <w:t>و غيرها</w:t>
      </w:r>
      <w:r>
        <w:rPr>
          <w:rStyle w:val="FootnoteAnchor"/>
          <w:rtl w:val="true"/>
        </w:rPr>
        <w:footnoteReference w:id="781"/>
      </w:r>
      <w:r>
        <w:rPr>
          <w:rFonts w:ascii="Amiri" w:hAnsi="Amiri" w:eastAsia="Amiri" w:cs="Amiri"/>
          <w:color w:val="111111"/>
          <w:sz w:val="28"/>
          <w:sz w:val="28"/>
          <w:szCs w:val="28"/>
          <w:rtl w:val="true"/>
          <w:lang w:bidi="ar-SA"/>
        </w:rPr>
        <w:t>ممّن أناط وجوب الزكاة في المال الغائب بتمكّن المالك من التصرّف فيه لا بكونه في يده أو يد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للأوّلين عمومات الزكاة كتابا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آتُوا اَلزَّكٰاةَ‌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سنّة كصحيحة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على المال الصامت الّذي يحول عليه الحول و لم يحرّكه</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و صحيحة زرارة و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كان له مال و حال عليه الحول فإنّه يزكّيه</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تخريجها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الآخرين عموم 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الفضلاء و 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و 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 و موثّقة ابن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روايتي إسحاق بن عمّار</w:t>
      </w:r>
      <w:r>
        <w:rPr>
          <w:rStyle w:val="FootnoteAnchor"/>
          <w:rtl w:val="true"/>
        </w:rPr>
        <w:footnoteReference w:id="785"/>
      </w:r>
      <w:r>
        <w:rPr>
          <w:rFonts w:ascii="Amiri" w:hAnsi="Amiri" w:eastAsia="Amiri" w:cs="Amiri"/>
          <w:color w:val="111111"/>
          <w:sz w:val="28"/>
          <w:sz w:val="28"/>
          <w:szCs w:val="28"/>
          <w:rtl w:val="true"/>
          <w:lang w:bidi="ar-SA"/>
        </w:rPr>
        <w:t>فإنّها في نفي وجوب الزكاة عن المال الغائب عن المالك عامّة لكون المال في يد وكيله و عدمه، و هي لكونها أخصّ من العمومات المتقدّمة</w:t>
      </w:r>
      <w:r>
        <w:rPr>
          <w:rStyle w:val="FootnoteAnchor"/>
          <w:rtl w:val="true"/>
        </w:rPr>
        <w:footnoteReference w:id="786"/>
      </w:r>
      <w:r>
        <w:rPr>
          <w:rFonts w:ascii="Amiri" w:hAnsi="Amiri" w:eastAsia="Amiri" w:cs="Amiri"/>
          <w:color w:val="111111"/>
          <w:sz w:val="28"/>
          <w:sz w:val="28"/>
          <w:szCs w:val="28"/>
          <w:rtl w:val="true"/>
          <w:lang w:bidi="ar-SA"/>
        </w:rPr>
        <w:t>تنهض مخصّصة لها حتّى إنّه لو قيّدنا مطلقاتها بمقيّدها بحملها على صورة عدم قدرة المالك على أخذه و التصرّف فيه كانت مخصّصة للعمومات الأوّلية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و مجانبة الاعتساف يقتضي المصير إلى القول الأوّل، لأنّ يد الوكيل يد الموكّل و تصرّفه تصرّفه، فكأنّ المال في تصرّف المالك و تحت يده،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توكيله للغير في التصرّف فيه عموما أو خصوصا و تسليطه إيّاه على المال نوع تصرّف منه فيه، و تمكّنه من التوكيل تمكّن من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حينئذ بين ما لو كان الوكيل مأذونا في جميع التصرّفات أو في تصرّف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على المال الغائب سنون ثمّ عاد إلى مالكه لا يجب الزكاة فيه لسنة واحدة من السنين المتقدّمة بل يستحبّ‌، و كذلك في الضالّ و المفقود، وفاقا لجمع من الأساطين كالمحقّق في كتبه الثلاث</w:t>
      </w:r>
      <w:r>
        <w:rPr>
          <w:rStyle w:val="FootnoteAnchor"/>
          <w:rtl w:val="true"/>
        </w:rPr>
        <w:footnoteReference w:id="787"/>
      </w:r>
      <w:r>
        <w:rPr>
          <w:rFonts w:ascii="Amiri" w:hAnsi="Amiri" w:eastAsia="Amiri" w:cs="Amiri"/>
          <w:color w:val="111111"/>
          <w:sz w:val="28"/>
          <w:sz w:val="28"/>
          <w:szCs w:val="28"/>
          <w:rtl w:val="true"/>
          <w:lang w:bidi="ar-SA"/>
        </w:rPr>
        <w:t>و العلاّمة في جملة من كتبه</w:t>
      </w:r>
      <w:r>
        <w:rPr>
          <w:rStyle w:val="FootnoteAnchor"/>
          <w:rtl w:val="true"/>
        </w:rPr>
        <w:footnoteReference w:id="788"/>
      </w:r>
      <w:r>
        <w:rPr>
          <w:rFonts w:ascii="Amiri" w:hAnsi="Amiri" w:eastAsia="Amiri" w:cs="Amiri"/>
          <w:color w:val="111111"/>
          <w:sz w:val="28"/>
          <w:sz w:val="28"/>
          <w:szCs w:val="28"/>
          <w:rtl w:val="true"/>
          <w:lang w:bidi="ar-SA"/>
        </w:rPr>
        <w:t>و الشهيدين في الدروس</w:t>
      </w:r>
      <w:r>
        <w:rPr>
          <w:rStyle w:val="FootnoteAnchor"/>
          <w:rtl w:val="true"/>
        </w:rPr>
        <w:footnoteReference w:id="789"/>
      </w:r>
      <w:r>
        <w:rPr>
          <w:rFonts w:ascii="Amiri" w:hAnsi="Amiri" w:eastAsia="Amiri" w:cs="Amiri"/>
          <w:color w:val="111111"/>
          <w:sz w:val="28"/>
          <w:sz w:val="28"/>
          <w:szCs w:val="28"/>
          <w:rtl w:val="true"/>
          <w:lang w:bidi="ar-SA"/>
        </w:rPr>
        <w:t>و المسالك</w:t>
      </w:r>
      <w:r>
        <w:rPr>
          <w:rStyle w:val="FootnoteAnchor"/>
          <w:rtl w:val="true"/>
        </w:rPr>
        <w:footnoteReference w:id="790"/>
      </w:r>
      <w:r>
        <w:rPr>
          <w:rFonts w:ascii="Amiri" w:hAnsi="Amiri" w:eastAsia="Amiri" w:cs="Amiri"/>
          <w:color w:val="111111"/>
          <w:sz w:val="28"/>
          <w:sz w:val="28"/>
          <w:szCs w:val="28"/>
          <w:rtl w:val="true"/>
          <w:lang w:bidi="ar-SA"/>
        </w:rPr>
        <w:t>و المحقّقين الكركي و الأردبيلي في الجامع</w:t>
      </w:r>
      <w:r>
        <w:rPr>
          <w:rStyle w:val="FootnoteAnchor"/>
          <w:rtl w:val="true"/>
        </w:rPr>
        <w:footnoteReference w:id="791"/>
      </w:r>
      <w:r>
        <w:rPr>
          <w:rFonts w:ascii="Amiri" w:hAnsi="Amiri" w:eastAsia="Amiri" w:cs="Amiri"/>
          <w:color w:val="111111"/>
          <w:sz w:val="28"/>
          <w:sz w:val="28"/>
          <w:szCs w:val="28"/>
          <w:rtl w:val="true"/>
          <w:lang w:bidi="ar-SA"/>
        </w:rPr>
        <w:t>و مجمع الفائدة</w:t>
      </w:r>
      <w:r>
        <w:rPr>
          <w:rStyle w:val="FootnoteAnchor"/>
          <w:rtl w:val="true"/>
        </w:rPr>
        <w:footnoteReference w:id="792"/>
      </w:r>
      <w:r>
        <w:rPr>
          <w:rFonts w:ascii="Amiri" w:hAnsi="Amiri" w:eastAsia="Amiri" w:cs="Amiri"/>
          <w:color w:val="111111"/>
          <w:sz w:val="28"/>
          <w:sz w:val="28"/>
          <w:szCs w:val="28"/>
          <w:rtl w:val="true"/>
          <w:lang w:bidi="ar-SA"/>
        </w:rPr>
        <w:t>و صاحبي المدارك</w:t>
      </w:r>
      <w:r>
        <w:rPr>
          <w:rStyle w:val="FootnoteAnchor"/>
          <w:rtl w:val="true"/>
        </w:rPr>
        <w:footnoteReference w:id="793"/>
      </w:r>
      <w:r>
        <w:rPr>
          <w:rFonts w:ascii="Amiri" w:hAnsi="Amiri" w:eastAsia="Amiri" w:cs="Amiri"/>
          <w:color w:val="111111"/>
          <w:sz w:val="28"/>
          <w:sz w:val="28"/>
          <w:szCs w:val="28"/>
          <w:rtl w:val="true"/>
          <w:lang w:bidi="ar-SA"/>
        </w:rPr>
        <w:t>و الذخيرة</w:t>
      </w:r>
      <w:r>
        <w:rPr>
          <w:rStyle w:val="FootnoteAnchor"/>
          <w:rtl w:val="true"/>
        </w:rPr>
        <w:footnoteReference w:id="794"/>
      </w:r>
      <w:r>
        <w:rPr>
          <w:rFonts w:ascii="Amiri" w:hAnsi="Amiri" w:eastAsia="Amiri" w:cs="Amiri"/>
          <w:color w:val="111111"/>
          <w:sz w:val="28"/>
          <w:sz w:val="28"/>
          <w:szCs w:val="28"/>
          <w:rtl w:val="true"/>
          <w:lang w:bidi="ar-SA"/>
        </w:rPr>
        <w:t xml:space="preserve">و عن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الاستحباب أشهر بل لا خلاف فيه إلاّ من بعض من ندر ممّن تأخّر</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علماؤنا مؤذنا بدعوى الإجماع</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و نحوه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قائلا هذا مذهب الأصحاب لا أعلم فيه مخالفا</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عزي إلى ظاهر عبارة النهاية وجوب ذلك لتضمّنها الأمر بإخراج الزكاة لسنة واحدة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متمكّنا و غاب عنه سنين ثمّ حصل عنده يخرج عنه زكاة سنة واحدة</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سمعت عن الرياض أنّه حكاه عن نادر ممّن تأخّر و لعلّه الّذي حكي عن الحدائق نسبته إلى ظاهر بعض فضلاء متأخّري المتأخّرين</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لنا على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المعتضد بما عرفت من الشهرة و حكاية الإجماع بل ظهوره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وجوب الزكاة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التمكّن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 في جميع السنين فلا يجب في شيء، كما أشاره إلى هذه الحجّة في المعتبر فيما حكي عنه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أنّ الموجب لسقوط ما قبل السنة موجود في السنة فيجب الوجوب فيها كغيرها</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خصوص صحيحة إبراهيم 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الوديعة و الدين فلا يصل إليهما ثمّ يأخذهما متى يجب عليه </w:t>
      </w:r>
    </w:p>
    <w:p>
      <w:pPr>
        <w:pStyle w:val="BookText"/>
        <w:rPr/>
      </w:pPr>
      <w:r>
        <w:rPr>
          <w:rFonts w:ascii="Amiri" w:hAnsi="Amiri" w:eastAsia="Amiri" w:cs="Amiri"/>
          <w:color w:val="111111"/>
          <w:sz w:val="28"/>
          <w:sz w:val="28"/>
          <w:szCs w:val="28"/>
          <w:rtl w:val="true"/>
          <w:lang w:bidi="ar-SA"/>
        </w:rPr>
        <w:t>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أخذها ثمّ يحول عليه الحول يزكّي</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روايتي ابن عمّار في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يزكّيه حين يقدم‌؟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و هو عنده</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اخراهما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جاء يزكّيه‌؟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في يده</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لقضائها بكون وجوب الزكاة في المال الغائب بعد عوده إلى مالكه مقصورا على حلول الحول عليه بعد العود عند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على استحبابها لسنة واحدة ورود الأمر به في موثّقة ابن بكير المتقدّمة، لمكان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خرج زكّاه لعام واحد</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حسنة سدير الصيرفي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كان له مال فانطلق به فدفنه في موضع فلمّا حال عليه الحول ذهب ليخرجه من موضعه فاحتفر الموضع الّذي ظنّ أنّ المال فيه مدفون فلم يصبه فمكث بعد ذلك ثلاث سنين، ثمّ إنّه احتفر الموضع من جوانبه فوقع على المال بعينه كيف يزكّيه‌؟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لسنة واحدة، لأنّه كان غائبا عنه و إن كان احتبسه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يغيب عنه ماله خمس سنين ثمّ يأتيه فلا يرد</w:t>
      </w:r>
      <w:r>
        <w:rPr>
          <w:rStyle w:val="FootnoteAnchor"/>
          <w:rtl w:val="true"/>
        </w:rPr>
        <w:footnoteReference w:id="806"/>
      </w:r>
      <w:r>
        <w:rPr>
          <w:rFonts w:ascii="Amiri" w:hAnsi="Amiri" w:eastAsia="Amiri" w:cs="Amiri"/>
          <w:color w:val="111111"/>
          <w:sz w:val="28"/>
          <w:sz w:val="28"/>
          <w:szCs w:val="28"/>
          <w:rtl w:val="true"/>
          <w:lang w:bidi="ar-SA"/>
        </w:rPr>
        <w:t>رأس المال كم يزكّيه‌؟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يحمل الأمر فيهما على الاستحباب مع ظهوره في الوجوب جمعا بينهما و بين ما تقدّم، مع أنّ فهم الأصحاب لخلاف الوجوب و خروجهم عن ظاهر الأمر يوجب كون ظهوره موهونا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السرّ في العدول عن قاعدة ترجيح التقييد على المجاز فإنّ رجحان الأوّل إنّما هو حيث لوحظ كلّ من التقييد و المجاز بما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bookmarkStart w:id="202" w:name="pg16181_154532"/>
    </w:p>
    <w:p>
      <w:pPr>
        <w:pStyle w:val="BookText"/>
        <w:rPr/>
      </w:pPr>
      <w:bookmarkEnd w:id="202"/>
      <w:r>
        <w:rPr>
          <w:rFonts w:ascii="Amiri" w:hAnsi="Amiri" w:eastAsia="Amiri" w:cs="Amiri"/>
          <w:color w:val="111111"/>
          <w:sz w:val="28"/>
          <w:sz w:val="28"/>
          <w:szCs w:val="28"/>
          <w:rtl w:val="true"/>
          <w:lang w:bidi="ar-SA"/>
        </w:rPr>
        <w:t xml:space="preserve">إذا طرأهما ما يوجب و هنا في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قوّة في ظهور المطلق، فيرجّح فيه المجاز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تقدّم من صحيحة ابن أبي محمود</w:t>
      </w:r>
      <w:r>
        <w:rPr>
          <w:rStyle w:val="FootnoteAnchor"/>
          <w:rtl w:val="true"/>
        </w:rPr>
        <w:footnoteReference w:id="808"/>
      </w:r>
      <w:r>
        <w:rPr>
          <w:rFonts w:ascii="Amiri" w:hAnsi="Amiri" w:eastAsia="Amiri" w:cs="Amiri"/>
          <w:color w:val="111111"/>
          <w:sz w:val="28"/>
          <w:sz w:val="28"/>
          <w:szCs w:val="28"/>
          <w:rtl w:val="true"/>
          <w:lang w:bidi="ar-SA"/>
        </w:rPr>
        <w:t>و روايتي ابن عمّار</w:t>
      </w:r>
      <w:r>
        <w:rPr>
          <w:rStyle w:val="FootnoteAnchor"/>
          <w:rtl w:val="true"/>
        </w:rPr>
        <w:footnoteReference w:id="809"/>
      </w:r>
      <w:r>
        <w:rPr>
          <w:rFonts w:ascii="Amiri" w:hAnsi="Amiri" w:eastAsia="Amiri" w:cs="Amiri"/>
          <w:color w:val="111111"/>
          <w:sz w:val="28"/>
          <w:sz w:val="28"/>
          <w:szCs w:val="28"/>
          <w:rtl w:val="true"/>
          <w:lang w:bidi="ar-SA"/>
        </w:rPr>
        <w:t>لا يتحمّل الحمل على المقيّد بإرادة نفي الوجوب فيما سوى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يستقيم ذلك في مطلقات النصوص مثل صحيحة الفضلاء</w:t>
      </w:r>
      <w:r>
        <w:rPr>
          <w:rStyle w:val="FootnoteAnchor"/>
          <w:rtl w:val="true"/>
        </w:rPr>
        <w:footnoteReference w:id="810"/>
      </w:r>
      <w:r>
        <w:rPr>
          <w:rFonts w:ascii="Amiri" w:hAnsi="Amiri" w:eastAsia="Amiri" w:cs="Amiri"/>
          <w:color w:val="111111"/>
          <w:sz w:val="28"/>
          <w:sz w:val="28"/>
          <w:szCs w:val="28"/>
          <w:rtl w:val="true"/>
          <w:lang w:bidi="ar-SA"/>
        </w:rPr>
        <w:t>و رواية عليّ بن يقطين</w:t>
      </w:r>
      <w:r>
        <w:rPr>
          <w:rStyle w:val="FootnoteAnchor"/>
          <w:rtl w:val="true"/>
        </w:rPr>
        <w:footnoteReference w:id="811"/>
      </w:r>
      <w:r>
        <w:rPr>
          <w:rFonts w:ascii="Amiri" w:hAnsi="Amiri" w:eastAsia="Amiri" w:cs="Amiri"/>
          <w:color w:val="111111"/>
          <w:sz w:val="28"/>
          <w:sz w:val="28"/>
          <w:szCs w:val="28"/>
          <w:rtl w:val="true"/>
          <w:lang w:bidi="ar-SA"/>
        </w:rPr>
        <w:t>و ما بمعناهما، فإنّها قابلة لحمل إطلاقها على ما زاد على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يختصّ الاستحباب بما لو كانت مدّة الغيبة ثلاث سنين فما زاد، أو يعمّها و السنتين فما زاد، أو يعمّ السنة الواحدة أيضا؟ كلماتهم فيه مختلفة، بل ربّما يظهر منهم الخلاف في ذلك أيضا في الجملة فظاهر الشرائع و النافع حيث عبّر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مضى عليه سنون و عاد</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و في معناه عبارة الإرشاد</w:t>
      </w:r>
      <w:r>
        <w:rPr>
          <w:rStyle w:val="FootnoteAnchor"/>
          <w:rtl w:val="true"/>
        </w:rPr>
        <w:footnoteReference w:id="813"/>
      </w:r>
      <w:r>
        <w:rPr>
          <w:rFonts w:ascii="Amiri" w:hAnsi="Amiri" w:eastAsia="Amiri" w:cs="Amiri"/>
          <w:color w:val="111111"/>
          <w:sz w:val="28"/>
          <w:sz w:val="28"/>
          <w:szCs w:val="28"/>
          <w:rtl w:val="true"/>
          <w:lang w:bidi="ar-SA"/>
        </w:rPr>
        <w:t>كما عن القواعد</w:t>
      </w:r>
      <w:r>
        <w:rPr>
          <w:rStyle w:val="FootnoteAnchor"/>
          <w:rtl w:val="true"/>
        </w:rPr>
        <w:footnoteReference w:id="814"/>
      </w:r>
      <w:r>
        <w:rPr>
          <w:rFonts w:ascii="Amiri" w:hAnsi="Amiri" w:eastAsia="Amiri" w:cs="Amiri"/>
          <w:color w:val="111111"/>
          <w:sz w:val="28"/>
          <w:sz w:val="28"/>
          <w:szCs w:val="28"/>
          <w:rtl w:val="true"/>
          <w:lang w:bidi="ar-SA"/>
        </w:rPr>
        <w:t>و النهاية</w:t>
      </w:r>
      <w:r>
        <w:rPr>
          <w:rStyle w:val="FootnoteAnchor"/>
          <w:rtl w:val="true"/>
        </w:rPr>
        <w:footnoteReference w:id="815"/>
      </w:r>
      <w:r>
        <w:rPr>
          <w:rFonts w:ascii="Amiri" w:hAnsi="Amiri" w:eastAsia="Amiri" w:cs="Amiri"/>
          <w:color w:val="111111"/>
          <w:sz w:val="28"/>
          <w:sz w:val="28"/>
          <w:szCs w:val="28"/>
          <w:rtl w:val="true"/>
          <w:lang w:bidi="ar-SA"/>
        </w:rPr>
        <w:t>و الوسيلة</w:t>
      </w:r>
      <w:r>
        <w:rPr>
          <w:rStyle w:val="FootnoteAnchor"/>
          <w:rtl w:val="true"/>
        </w:rPr>
        <w:footnoteReference w:id="816"/>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المحقّق الثاني أنّه حمل عبارة القواعد و غيرها على إرادة السنتين فما زاد</w:t>
      </w:r>
      <w:r>
        <w:rPr>
          <w:rStyle w:val="FootnoteAnchor"/>
          <w:rtl w:val="true"/>
        </w:rPr>
        <w:footnoteReference w:id="817"/>
      </w:r>
      <w:r>
        <w:rPr>
          <w:rFonts w:ascii="Amiri" w:hAnsi="Amiri" w:eastAsia="Amiri" w:cs="Amiri"/>
          <w:color w:val="111111"/>
          <w:sz w:val="28"/>
          <w:sz w:val="28"/>
          <w:szCs w:val="28"/>
          <w:rtl w:val="true"/>
          <w:lang w:bidi="ar-SA"/>
        </w:rPr>
        <w:t>فظاهره اختيار الثاني، و عنه نسبة التنبيه عليه إلى الشهيد</w:t>
      </w:r>
      <w:r>
        <w:rPr>
          <w:rStyle w:val="FootnoteAnchor"/>
          <w:rtl w:val="true"/>
        </w:rPr>
        <w:footnoteReference w:id="818"/>
      </w:r>
      <w:r>
        <w:rPr>
          <w:rFonts w:ascii="Amiri" w:hAnsi="Amiri" w:eastAsia="Amiri" w:cs="Amiri"/>
          <w:color w:val="111111"/>
          <w:sz w:val="28"/>
          <w:sz w:val="28"/>
          <w:szCs w:val="28"/>
          <w:rtl w:val="true"/>
          <w:lang w:bidi="ar-SA"/>
        </w:rPr>
        <w:t>و غيره، و وجهه غير واضح، و في المدارك عن المنتهى</w:t>
      </w:r>
      <w:r>
        <w:rPr>
          <w:rStyle w:val="FootnoteAnchor"/>
          <w:rtl w:val="true"/>
        </w:rPr>
        <w:footnoteReference w:id="8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أطلق استحباب تزكية المغصوب و الضالّ مع العود لسنة واحدة</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و استظهره في المناهل</w:t>
      </w:r>
      <w:r>
        <w:rPr>
          <w:rStyle w:val="FootnoteAnchor"/>
          <w:rtl w:val="true"/>
        </w:rPr>
        <w:footnoteReference w:id="821"/>
      </w:r>
      <w:r>
        <w:rPr>
          <w:rFonts w:ascii="IRNazanin" w:hAnsi="IRNazanin" w:eastAsia="IRNazanin"/>
          <w:color w:val="111111"/>
          <w:sz w:val="28"/>
          <w:sz w:val="28"/>
          <w:szCs w:val="28"/>
          <w:rtl w:val="true"/>
          <w:lang w:bidi="fa-IR"/>
        </w:rPr>
        <w:t>من الجواهر</w:t>
      </w:r>
      <w:r>
        <w:rPr>
          <w:rStyle w:val="FootnoteAnchor"/>
          <w:rtl w:val="true"/>
        </w:rPr>
        <w:footnoteReference w:id="822"/>
      </w:r>
      <w:r>
        <w:rPr>
          <w:rFonts w:ascii="IRNazanin" w:hAnsi="IRNazanin" w:eastAsia="IRNazanin"/>
          <w:color w:val="111111"/>
          <w:sz w:val="28"/>
          <w:sz w:val="28"/>
          <w:szCs w:val="28"/>
          <w:rtl w:val="true"/>
          <w:lang w:bidi="fa-IR"/>
        </w:rPr>
        <w:t>و المعتبر</w:t>
      </w:r>
      <w:r>
        <w:rPr>
          <w:rStyle w:val="FootnoteAnchor"/>
          <w:rtl w:val="true"/>
        </w:rPr>
        <w:footnoteReference w:id="823"/>
      </w:r>
      <w:r>
        <w:rPr>
          <w:rFonts w:ascii="IRNazanin" w:hAnsi="IRNazanin" w:eastAsia="IRNazanin"/>
          <w:color w:val="111111"/>
          <w:sz w:val="28"/>
          <w:sz w:val="28"/>
          <w:szCs w:val="28"/>
          <w:rtl w:val="true"/>
          <w:lang w:bidi="fa-IR"/>
        </w:rPr>
        <w:t>و المنتهى</w:t>
      </w:r>
      <w:r>
        <w:rPr>
          <w:rStyle w:val="FootnoteAnchor"/>
          <w:rtl w:val="true"/>
        </w:rPr>
        <w:footnoteReference w:id="824"/>
      </w:r>
      <w:r>
        <w:rPr>
          <w:rFonts w:ascii="Amiri" w:hAnsi="Amiri" w:eastAsia="Amiri" w:cs="Amiri"/>
          <w:color w:val="111111"/>
          <w:sz w:val="28"/>
          <w:sz w:val="28"/>
          <w:szCs w:val="28"/>
          <w:rtl w:val="true"/>
          <w:lang w:bidi="ar-SA"/>
        </w:rPr>
        <w:t>و التحرير</w:t>
      </w:r>
      <w:r>
        <w:rPr>
          <w:rStyle w:val="FootnoteAnchor"/>
          <w:rtl w:val="true"/>
        </w:rPr>
        <w:footnoteReference w:id="825"/>
      </w:r>
      <w:r>
        <w:rPr>
          <w:rFonts w:ascii="Amiri" w:hAnsi="Amiri" w:eastAsia="Amiri" w:cs="Amiri"/>
          <w:color w:val="111111"/>
          <w:sz w:val="28"/>
          <w:sz w:val="28"/>
          <w:szCs w:val="28"/>
          <w:rtl w:val="true"/>
          <w:lang w:bidi="ar-SA"/>
        </w:rPr>
        <w:t>و مجمع الفائدة</w:t>
      </w:r>
      <w:r>
        <w:rPr>
          <w:rStyle w:val="FootnoteAnchor"/>
          <w:rtl w:val="true"/>
        </w:rPr>
        <w:footnoteReference w:id="826"/>
      </w:r>
      <w:r>
        <w:rPr>
          <w:rFonts w:ascii="Amiri" w:hAnsi="Amiri" w:eastAsia="Amiri" w:cs="Amiri"/>
          <w:color w:val="111111"/>
          <w:sz w:val="28"/>
          <w:sz w:val="28"/>
          <w:szCs w:val="28"/>
          <w:rtl w:val="true"/>
          <w:lang w:bidi="ar-SA"/>
        </w:rPr>
        <w:t>لتصريحهم بأنّه إذا عاد الضالّ إلى ربّه استحبّ له أن يزكّي لسنة واحدة، و إطلاق الموثّقة</w:t>
      </w:r>
      <w:r>
        <w:rPr>
          <w:rStyle w:val="FootnoteAnchor"/>
          <w:rtl w:val="true"/>
        </w:rPr>
        <w:footnoteReference w:id="827"/>
      </w:r>
      <w:r>
        <w:rPr>
          <w:rFonts w:ascii="Amiri" w:hAnsi="Amiri" w:eastAsia="Amiri" w:cs="Amiri"/>
          <w:color w:val="111111"/>
          <w:sz w:val="28"/>
          <w:sz w:val="28"/>
          <w:szCs w:val="28"/>
          <w:rtl w:val="true"/>
          <w:lang w:bidi="ar-SA"/>
        </w:rPr>
        <w:t>ربّما يساعد عليه، و ليس ببعيد</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2586549_1280447820"/>
      <w:bookmarkStart w:id="204" w:name="_Toc73"/>
      <w:bookmarkEnd w:id="203"/>
      <w:r>
        <w:rPr>
          <w:rtl w:val="true"/>
        </w:rPr>
        <w:t>المسألة الثالثة</w:t>
      </w:r>
      <w:r>
        <w:rPr>
          <w:rtl w:val="true"/>
        </w:rPr>
        <w:t xml:space="preserve">: </w:t>
      </w:r>
      <w:r>
        <w:rPr>
          <w:rtl w:val="true"/>
        </w:rPr>
        <w:t>الرهن لا يجب فيه الزكاة</w:t>
      </w:r>
      <w:bookmarkEnd w:id="20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دام رهنا مطلقا على الأصحّ الأقوى وفاقا لظاهر </w:t>
      </w:r>
    </w:p>
    <w:p>
      <w:pPr>
        <w:pStyle w:val="BookText"/>
        <w:rPr/>
      </w:pPr>
      <w:r>
        <w:rPr>
          <w:rFonts w:ascii="IRNazanin" w:hAnsi="IRNazanin" w:eastAsia="IRNazanin"/>
          <w:color w:val="111111"/>
          <w:sz w:val="28"/>
          <w:sz w:val="28"/>
          <w:szCs w:val="28"/>
          <w:rtl w:val="true"/>
          <w:lang w:bidi="fa-IR"/>
        </w:rPr>
        <w:t>إطلاق الشرائع</w:t>
      </w:r>
      <w:r>
        <w:rPr>
          <w:rStyle w:val="FootnoteAnchor"/>
          <w:rtl w:val="true"/>
        </w:rPr>
        <w:footnoteReference w:id="828"/>
      </w:r>
      <w:r>
        <w:rPr>
          <w:rFonts w:ascii="IRNazanin" w:hAnsi="IRNazanin" w:eastAsia="IRNazanin"/>
          <w:color w:val="111111"/>
          <w:sz w:val="28"/>
          <w:sz w:val="28"/>
          <w:szCs w:val="28"/>
          <w:rtl w:val="true"/>
          <w:lang w:bidi="fa-IR"/>
        </w:rPr>
        <w:t>و القواعد</w:t>
      </w:r>
      <w:r>
        <w:rPr>
          <w:rStyle w:val="FootnoteAnchor"/>
          <w:rtl w:val="true"/>
        </w:rPr>
        <w:footnoteReference w:id="829"/>
      </w:r>
      <w:r>
        <w:rPr>
          <w:rFonts w:ascii="Amiri" w:hAnsi="Amiri" w:eastAsia="Amiri" w:cs="Amiri"/>
          <w:color w:val="111111"/>
          <w:sz w:val="28"/>
          <w:sz w:val="28"/>
          <w:szCs w:val="28"/>
          <w:rtl w:val="true"/>
          <w:lang w:bidi="ar-SA"/>
        </w:rPr>
        <w:t>و التحرير</w:t>
      </w:r>
      <w:r>
        <w:rPr>
          <w:rStyle w:val="FootnoteAnchor"/>
          <w:rtl w:val="true"/>
        </w:rPr>
        <w:footnoteReference w:id="830"/>
      </w:r>
      <w:r>
        <w:rPr>
          <w:rFonts w:ascii="IRNazanin" w:hAnsi="IRNazanin" w:eastAsia="IRNazanin"/>
          <w:color w:val="111111"/>
          <w:sz w:val="28"/>
          <w:sz w:val="28"/>
          <w:szCs w:val="28"/>
          <w:rtl w:val="true"/>
          <w:lang w:bidi="fa-IR"/>
        </w:rPr>
        <w:t>و موضع من المبسوط</w:t>
      </w:r>
      <w:r>
        <w:rPr>
          <w:rStyle w:val="FootnoteAnchor"/>
          <w:rtl w:val="true"/>
        </w:rPr>
        <w:footnoteReference w:id="831"/>
      </w:r>
      <w:r>
        <w:rPr>
          <w:rFonts w:ascii="Amiri" w:hAnsi="Amiri" w:eastAsia="Amiri" w:cs="Amiri"/>
          <w:color w:val="111111"/>
          <w:sz w:val="28"/>
          <w:sz w:val="28"/>
          <w:szCs w:val="28"/>
          <w:rtl w:val="true"/>
          <w:lang w:bidi="ar-SA"/>
        </w:rPr>
        <w:t>على ما حكاه غير واحد، لعدم تمكّن الراهن من التصرّف فيه حال كونه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بوجوبها فيه مطلقا كما عن الشيخ في موضع آخر من المبسوط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رهن النصاب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حال الحول و هو رهن وجبت الزكاة فيه، فإن كان موسرا كلّف إخراج الزكاة، و إن كان معسرا تعلّق بالمال حقّ الفقراء فيؤخذ منه لأنّ حقّ المرتهن في الذمّة</w:t>
      </w:r>
      <w:r>
        <w:rPr>
          <w:rFonts w:eastAsia="Amiri" w:cs="Amiri" w:ascii="Amiri" w:hAnsi="Amiri"/>
          <w:color w:val="111111"/>
          <w:sz w:val="28"/>
          <w:szCs w:val="28"/>
          <w:rtl w:val="true"/>
          <w:lang w:bidi="ar-SA"/>
        </w:rPr>
        <w:t>»</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على موافق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فإن قدر الراهن على فكّه وجبت الزكاة فيه لأنّه متمكّن من التصرّف فيه، و إلاّ فلا تجب و هو لظاهر المحكيّ عن الدروس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في الرهن مع عدم تمكّنه من فكّه</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و يظهر أيضا من عبارة العلاّمة المحكيّة عن النهاية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قادرا على الانفكاك وجبت الزكاة لتمكّنه من التصرّف، و لا يخرجها من النصاب لتعلّق حقّ المرتهن فيه تعلّقا مانعا من تصرّف الراهن</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تقوية هذا التفصيل عن محكيّ الشيخ في الخلاف بعد ما اختار فيه عدم الوجوب مطلقا استنادا إلى عدم التمكّن من التصرّف</w:t>
      </w:r>
      <w:r>
        <w:rPr>
          <w:rStyle w:val="FootnoteAnchor"/>
          <w:rtl w:val="true"/>
        </w:rPr>
        <w:footnoteReference w:id="835"/>
      </w:r>
      <w:r>
        <w:rPr>
          <w:rFonts w:ascii="Amiri" w:hAnsi="Amiri" w:eastAsia="Amiri" w:cs="Amiri"/>
          <w:color w:val="111111"/>
          <w:sz w:val="28"/>
          <w:sz w:val="28"/>
          <w:szCs w:val="28"/>
          <w:rtl w:val="true"/>
          <w:lang w:bidi="ar-SA"/>
        </w:rPr>
        <w:t>و استحسنه صاحب المدارك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ثبت أنّ عدم تمكّن الراهن من التصرّف في الرهن مسقط للوجوب</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و في الذخيرة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في المسألة إشكال</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و المستفاد من كلام غير واحد أنّ عدم القدرة على الفكّ قد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لتأجيل، و قد يكون لحجر الراهن عن التصرّفات في سائر أمواله، و قد يكون لإعساره و قضيّة ذلك تأتّي القدرة على الفكّ بكون الدين حالا </w:t>
      </w:r>
    </w:p>
    <w:p>
      <w:pPr>
        <w:pStyle w:val="BookText"/>
        <w:rPr/>
      </w:pPr>
      <w:r>
        <w:rPr>
          <w:rFonts w:ascii="Amiri" w:hAnsi="Amiri" w:eastAsia="Amiri" w:cs="Amiri"/>
          <w:color w:val="111111"/>
          <w:sz w:val="28"/>
          <w:sz w:val="28"/>
          <w:szCs w:val="28"/>
          <w:rtl w:val="true"/>
          <w:lang w:bidi="ar-SA"/>
        </w:rPr>
        <w:t>و الراهن موسرا و لم يكن محجورا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أضعف الأقوال هو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بالوجوب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لشذوذه، مع مخالفته الأصل، و عدم وضوح دليل عليه مخرج من الأصل عدى العمومات الأوّليّة كتابا</w:t>
      </w:r>
      <w:r>
        <w:rPr>
          <w:rStyle w:val="FootnoteAnchor"/>
          <w:rtl w:val="true"/>
        </w:rPr>
        <w:footnoteReference w:id="838"/>
      </w:r>
      <w:r>
        <w:rPr>
          <w:rFonts w:ascii="Amiri" w:hAnsi="Amiri" w:eastAsia="Amiri" w:cs="Amiri"/>
          <w:color w:val="111111"/>
          <w:sz w:val="28"/>
          <w:sz w:val="28"/>
          <w:szCs w:val="28"/>
          <w:rtl w:val="true"/>
          <w:lang w:bidi="ar-SA"/>
        </w:rPr>
        <w:t>ك‍ آتُوا اَلزَّكٰاةَ‌ ، و سنّة كصحيحتي محمّد بن مسلم و زرارة ففي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على المال الصامت الّذي يحول عليه الحول و لم يحرّكه</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كان له مال و حال عليه الحول فإنّه يزكّيه</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بعد تخصيصها بما دلّ على اشتراط التمكّن من التصرّف في النصاب في وجوب الزكاة غير باقية على حالها، و لا خلاف بينهم على ما يظهر من تتبّع كلماتهم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حقّ المرتهن المتعلّق بالرهن مانع شرعي من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خفاء في انتفاء التمكّن من التصرّف مع قيام هذا المانع مع عدم القدرة على رفعه، فبطل إطلاق القول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الإشكال إنّما هو في صورة القدرة على رفعه المعبّر عنه في كلام الجماعة</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بالقدرة على فكّ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كاف في التمكّن من التصرّف في الرهن، بمعنى أنّ القادر على فكّ الرهن متمكّن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مبنى قول الجماعة</w:t>
      </w:r>
      <w:r>
        <w:rPr>
          <w:rStyle w:val="FootnoteAnchor"/>
          <w:rtl w:val="true"/>
        </w:rPr>
        <w:footnoteReference w:id="842"/>
      </w:r>
      <w:r>
        <w:rPr>
          <w:rFonts w:ascii="IRNazanin" w:hAnsi="IRNazanin" w:eastAsia="IRNazanin"/>
          <w:color w:val="111111"/>
          <w:sz w:val="28"/>
          <w:sz w:val="28"/>
          <w:szCs w:val="28"/>
          <w:rtl w:val="true"/>
          <w:lang w:bidi="fa-IR"/>
        </w:rPr>
        <w:t xml:space="preserve">بالفرق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p>
    <w:p>
      <w:pPr>
        <w:pStyle w:val="BookText"/>
        <w:rPr/>
      </w:pPr>
      <w:r>
        <w:rPr>
          <w:rFonts w:ascii="Amiri" w:hAnsi="Amiri" w:eastAsia="Amiri" w:cs="Amiri"/>
          <w:color w:val="111111"/>
          <w:sz w:val="28"/>
          <w:sz w:val="28"/>
          <w:szCs w:val="28"/>
          <w:rtl w:val="true"/>
          <w:lang w:bidi="ar-SA"/>
        </w:rPr>
        <w:t>فإنّ لمانع أن يمنع ذلك بتقريب أنّ القدرة على فكّ الرهن ليس بعينه هو التمكّن من التصرّف فيه بل هو قدرة على رفع المانع، و مرجعه إلى القدرة على تحصيل التمكّن من التصرّف، و لا ريب أنّ القدرة على تحصيل التمكّن من التصرّف غير التمكّن من التصرّف، و شرط الوجوب إنّما هو نفس التمكّن لا القدرة على تحصيله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بالنظر إلى 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القدرة الّتي هي من شروط </w:t>
      </w:r>
      <w:bookmarkStart w:id="205" w:name="pg16181_154535"/>
    </w:p>
    <w:p>
      <w:pPr>
        <w:pStyle w:val="BookText"/>
        <w:rPr/>
      </w:pPr>
      <w:bookmarkEnd w:id="205"/>
      <w:r>
        <w:rPr>
          <w:rFonts w:ascii="Amiri" w:hAnsi="Amiri" w:eastAsia="Amiri" w:cs="Amiri"/>
          <w:color w:val="111111"/>
          <w:sz w:val="28"/>
          <w:sz w:val="28"/>
          <w:szCs w:val="28"/>
          <w:rtl w:val="true"/>
          <w:lang w:bidi="ar-SA"/>
        </w:rPr>
        <w:t xml:space="preserve">التكليف أعمّ من القدرة بالواسطة لأنّ المقدور بالواسطة مقدور في نظر العقل و العرف فيصحّ تعلّق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على فكّ الرهن تمكّن من التصرّف فيه بالواسطة، فرجع القول بوجوب الزكاة معه إلى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التمكّن من التصرّف الّذي هو شرط وجوب الزكاة أعمّ منه بالواسطة و بلا واسطة، و الأصل فيه أنّ المعيار في تشخيص حصول التمكّن و عدمه هو العرف، و هو عند العرف أعمّ منه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يزيّفه منع التمكّن من التصرّف و لو بالواسطة بمجرّد القدرة على فكّ الرهن،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القادر على فكّه متمكّنا من التصرّف فيه، إن اريد به كونه كذلك بعد الفكّ بالنسبة إلى ما بعده، فهو و إن كان مسلّما غير أنّه لا يجدي في وجوب الزكاة في الرهن بالنسبة إلى حال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كونه كذلك بالقياس إلى ما قبل الفكّ بمعنى كونه متمكّنا من التصرّف فيه حال كونه مرهونا بمجرّد قدرته على 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إلاّ لزم خروج ما جعله الشارع مانعا عن كونه مانعا، و ذلك إنّ المانع على ما عرفت إنّما هو تعلّق حقّ المرتهن بالعين المرهونة، و معنى مانعيّته شرعا إنّه أثّر في المنع الشرعي من التصرّف فيه، و معنى كونه متمكّنا من التصرّف فيه حال كونه رهنا، إنّه غير ممنوع من التصرّف فيه شرعا لكونه قادرا على فكّه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ترى إنكار للمنع الشرعي فيلزم ما ذكرناه من خروج ما جعله الشارع مانعا عن كونه مانعا و هو باطل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فالأصحّ هو ما ذكرناه من عدم الوجوب مطلقا لانتفاء التمكّن مطلقا، و لذا قال في جامع المقاصد على ما حكي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في المرهون و إن تمكّن من فكّه على الأصح</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6" w:name="__RefHeading___Toc2586551_1280447820"/>
      <w:bookmarkStart w:id="207" w:name="_Toc74"/>
      <w:bookmarkEnd w:id="206"/>
      <w:r>
        <w:rPr>
          <w:rtl w:val="true"/>
        </w:rPr>
        <w:t>المسألة الرابعة</w:t>
      </w:r>
      <w:r>
        <w:rPr>
          <w:rtl w:val="true"/>
        </w:rPr>
        <w:t xml:space="preserve">: </w:t>
      </w:r>
      <w:r>
        <w:rPr>
          <w:rtl w:val="true"/>
        </w:rPr>
        <w:t>لا يجب الزكاة في الوقف</w:t>
      </w:r>
      <w:bookmarkEnd w:id="20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الأنعام الثلاثة بل و غيرها كالنقدين على القول بصحّة وقفهما وفاقا للفاضلين في الشرائع</w:t>
      </w:r>
      <w:r>
        <w:rPr>
          <w:rStyle w:val="FootnoteAnchor"/>
          <w:rtl w:val="true"/>
        </w:rPr>
        <w:footnoteReference w:id="844"/>
      </w:r>
      <w:r>
        <w:rPr>
          <w:rFonts w:ascii="IRNazanin" w:hAnsi="IRNazanin" w:eastAsia="IRNazanin"/>
          <w:color w:val="111111"/>
          <w:sz w:val="28"/>
          <w:sz w:val="28"/>
          <w:szCs w:val="28"/>
          <w:rtl w:val="true"/>
          <w:lang w:bidi="fa-IR"/>
        </w:rPr>
        <w:t>و المعتبر</w:t>
      </w:r>
      <w:r>
        <w:rPr>
          <w:rStyle w:val="FootnoteAnchor"/>
          <w:rtl w:val="true"/>
        </w:rPr>
        <w:footnoteReference w:id="845"/>
      </w:r>
      <w:r>
        <w:rPr>
          <w:rFonts w:ascii="IRNazanin" w:hAnsi="IRNazanin" w:eastAsia="IRNazanin"/>
          <w:color w:val="111111"/>
          <w:sz w:val="28"/>
          <w:sz w:val="28"/>
          <w:szCs w:val="28"/>
          <w:rtl w:val="true"/>
          <w:lang w:bidi="fa-IR"/>
        </w:rPr>
        <w:t>و الإرشاد</w:t>
      </w:r>
      <w:r>
        <w:rPr>
          <w:rStyle w:val="FootnoteAnchor"/>
          <w:rtl w:val="true"/>
        </w:rPr>
        <w:footnoteReference w:id="846"/>
      </w:r>
      <w:r>
        <w:rPr>
          <w:rFonts w:ascii="IRNazanin" w:hAnsi="IRNazanin" w:eastAsia="IRNazanin"/>
          <w:color w:val="111111"/>
          <w:sz w:val="28"/>
          <w:sz w:val="28"/>
          <w:szCs w:val="28"/>
          <w:rtl w:val="true"/>
          <w:lang w:bidi="fa-IR"/>
        </w:rPr>
        <w:t>و القواعد</w:t>
      </w:r>
      <w:r>
        <w:rPr>
          <w:rStyle w:val="FootnoteAnchor"/>
          <w:rtl w:val="true"/>
        </w:rPr>
        <w:footnoteReference w:id="847"/>
      </w:r>
      <w:r>
        <w:rPr>
          <w:rFonts w:ascii="Amiri" w:hAnsi="Amiri" w:eastAsia="Amiri" w:cs="Amiri"/>
          <w:color w:val="111111"/>
          <w:sz w:val="28"/>
          <w:sz w:val="28"/>
          <w:szCs w:val="28"/>
          <w:rtl w:val="true"/>
          <w:lang w:bidi="ar-SA"/>
        </w:rPr>
        <w:t>و التحرير</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 المنتهى</w:t>
      </w:r>
      <w:r>
        <w:rPr>
          <w:rStyle w:val="FootnoteAnchor"/>
          <w:rtl w:val="true"/>
        </w:rPr>
        <w:footnoteReference w:id="849"/>
      </w:r>
      <w:r>
        <w:rPr>
          <w:rFonts w:ascii="Amiri" w:hAnsi="Amiri" w:eastAsia="Amiri" w:cs="Amiri"/>
          <w:color w:val="111111"/>
          <w:sz w:val="28"/>
          <w:sz w:val="28"/>
          <w:szCs w:val="28"/>
          <w:rtl w:val="true"/>
          <w:lang w:bidi="ar-SA"/>
        </w:rPr>
        <w:t>و الشهيدين في الدروس</w:t>
      </w:r>
      <w:r>
        <w:rPr>
          <w:rStyle w:val="FootnoteAnchor"/>
          <w:rtl w:val="true"/>
        </w:rPr>
        <w:footnoteReference w:id="850"/>
      </w:r>
      <w:r>
        <w:rPr>
          <w:rFonts w:ascii="Amiri" w:hAnsi="Amiri" w:eastAsia="Amiri" w:cs="Amiri"/>
          <w:color w:val="111111"/>
          <w:sz w:val="28"/>
          <w:sz w:val="28"/>
          <w:szCs w:val="28"/>
          <w:rtl w:val="true"/>
          <w:lang w:bidi="ar-SA"/>
        </w:rPr>
        <w:t>و الروضة</w:t>
      </w:r>
      <w:r>
        <w:rPr>
          <w:rStyle w:val="FootnoteAnchor"/>
          <w:rtl w:val="true"/>
        </w:rPr>
        <w:footnoteReference w:id="851"/>
      </w:r>
      <w:r>
        <w:rPr>
          <w:rFonts w:ascii="Amiri" w:hAnsi="Amiri" w:eastAsia="Amiri" w:cs="Amiri"/>
          <w:color w:val="111111"/>
          <w:sz w:val="28"/>
          <w:sz w:val="28"/>
          <w:szCs w:val="28"/>
          <w:rtl w:val="true"/>
          <w:lang w:bidi="ar-SA"/>
        </w:rPr>
        <w:t>و المحقّقين الكركي و الأردبيلي في الجامع</w:t>
      </w:r>
      <w:r>
        <w:rPr>
          <w:rStyle w:val="FootnoteAnchor"/>
          <w:rtl w:val="true"/>
        </w:rPr>
        <w:footnoteReference w:id="852"/>
      </w:r>
      <w:r>
        <w:rPr>
          <w:rFonts w:ascii="IRNazanin" w:hAnsi="IRNazanin" w:eastAsia="IRNazanin"/>
          <w:color w:val="111111"/>
          <w:sz w:val="28"/>
          <w:sz w:val="28"/>
          <w:szCs w:val="28"/>
          <w:rtl w:val="true"/>
          <w:lang w:bidi="fa-IR"/>
        </w:rPr>
        <w:t>و المجمع</w:t>
      </w:r>
      <w:r>
        <w:rPr>
          <w:rStyle w:val="FootnoteAnchor"/>
          <w:rtl w:val="true"/>
        </w:rPr>
        <w:footnoteReference w:id="853"/>
      </w:r>
      <w:r>
        <w:rPr>
          <w:rFonts w:ascii="Amiri" w:hAnsi="Amiri" w:eastAsia="Amiri" w:cs="Amiri"/>
          <w:color w:val="111111"/>
          <w:sz w:val="28"/>
          <w:sz w:val="28"/>
          <w:szCs w:val="28"/>
          <w:rtl w:val="true"/>
          <w:lang w:bidi="ar-SA"/>
        </w:rPr>
        <w:t>و صاحبي المدارك</w:t>
      </w:r>
      <w:r>
        <w:rPr>
          <w:rStyle w:val="FootnoteAnchor"/>
          <w:rtl w:val="true"/>
        </w:rPr>
        <w:footnoteReference w:id="854"/>
      </w:r>
      <w:r>
        <w:rPr>
          <w:rFonts w:ascii="Amiri" w:hAnsi="Amiri" w:eastAsia="Amiri" w:cs="Amiri"/>
          <w:color w:val="111111"/>
          <w:sz w:val="28"/>
          <w:sz w:val="28"/>
          <w:szCs w:val="28"/>
          <w:rtl w:val="true"/>
          <w:lang w:bidi="ar-SA"/>
        </w:rPr>
        <w:t>و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على مخالف فيه، و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إنّه ممّا لا خلاف فيه</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و عن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الوقف بلا خلاف</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و في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الاتّفاق عليه</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وجهه بعد الأصل و عدم دليل على الوجوب على القول بعدم كون الوقف ملكا لأحد أو كونه ملكا للّه سبحانه واضح، لانتفاء الملك الّذي هو من شروط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بكونه ملكا للموقوف عليه فلعدم تماميّة الملك لعدم الاختصاص و مشاركة غيره من البطون اللاحقة، أو للمنع من التصرّف فيه بغير الاستنماء، أو لمنافاة الزكاة للوقفيّة لأنّها تتعلّق بالعين و إخراجها يوجب بطلان الوقفيّة فيها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أشار في المدارك تبعا للمعتبر</w:t>
      </w:r>
      <w:r>
        <w:rPr>
          <w:rStyle w:val="FootnoteAnchor"/>
          <w:rtl w:val="true"/>
        </w:rPr>
        <w:footnoteReference w:id="858"/>
      </w:r>
      <w:r>
        <w:rPr>
          <w:rFonts w:ascii="Amiri" w:hAnsi="Amiri" w:eastAsia="Amiri" w:cs="Amiri"/>
          <w:color w:val="111111"/>
          <w:sz w:val="28"/>
          <w:sz w:val="28"/>
          <w:szCs w:val="28"/>
          <w:rtl w:val="true"/>
          <w:lang w:bidi="ar-SA"/>
        </w:rPr>
        <w:t>و هي حيث استدلّ على عدم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لو وجبت لوجبت في العين، فيخرج به عن الوقف، و هو باطل</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كما هو المصرّح به في جملة من العبائر عدم الفرق في الحكم بين الوقف العامّ‌، و الوقف الخاصّ‌، و الوقف على الجهة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حصل من الغنم الموقوفة نتاج و بلغ نصابا و حال عليه الحول فعن الشيخ في المبسوط</w:t>
      </w:r>
      <w:r>
        <w:rPr>
          <w:rStyle w:val="FootnoteAnchor"/>
          <w:rtl w:val="true"/>
        </w:rPr>
        <w:footnoteReference w:id="86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الزكاة في النتاج إلاّ أن يكون الواقف شرط أن يكون الغنم و ما يتوالد منها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استجوده في المدارك على تقدير صحّة الشرط و تنظّر في صحّته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فصّل في الذخيرة على تقدير عدم الشرط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وقفا على معيّن وجبت الزكاة في النتاج إن استجمعت شرائط الوجوب، و إن كان وقفا على جماعة معيّنة </w:t>
      </w:r>
      <w:bookmarkStart w:id="208" w:name="pg16181_154537"/>
    </w:p>
    <w:p>
      <w:pPr>
        <w:pStyle w:val="BookText"/>
        <w:rPr/>
      </w:pPr>
      <w:bookmarkEnd w:id="208"/>
      <w:r>
        <w:rPr>
          <w:rFonts w:ascii="Amiri" w:hAnsi="Amiri" w:eastAsia="Amiri" w:cs="Amiri"/>
          <w:color w:val="111111"/>
          <w:sz w:val="28"/>
          <w:sz w:val="28"/>
          <w:szCs w:val="28"/>
          <w:rtl w:val="true"/>
          <w:lang w:bidi="ar-SA"/>
        </w:rPr>
        <w:t>محصورة اعتبرت الشرائط في سهم كلّ واحد، و إن كان وقفا على جميع المسلمين فالظاهر أنّه لا يجب فيه الزكاة لعدم تحقّق الشرائط فيه و يكون من قبيل بيت المال الّذي صرّحوا بعدم وجوب الزكاة فيه، و إن كانت وقفا على جماعة معيّنة و كانت القسمة مفوّضة إلى رأي الناظر اعتبرت الشرائط في سهم كلّ واحد بعد القسمة</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و استجوده في المناهل</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بلغ غلّة النخيل و الكروم الموقوفة على معيّن نصابا أو على جماعة معيّنة و بلغت حصّة كلّ واحد نصابا وجبت الزكاة عليه و عليهم، كما صرّح به جماعة</w:t>
      </w:r>
      <w:r>
        <w:rPr>
          <w:rStyle w:val="FootnoteAnchor"/>
          <w:rtl w:val="true"/>
        </w:rPr>
        <w:footnoteReference w:id="864"/>
      </w:r>
      <w:r>
        <w:rPr>
          <w:rFonts w:ascii="Amiri" w:hAnsi="Amiri" w:eastAsia="Amiri" w:cs="Amiri"/>
          <w:color w:val="111111"/>
          <w:sz w:val="28"/>
          <w:sz w:val="28"/>
          <w:szCs w:val="28"/>
          <w:rtl w:val="true"/>
          <w:lang w:bidi="ar-SA"/>
        </w:rPr>
        <w:t>و إذا كانت وقفا على جميع المسلمين أو على الجهة العامّة لم تجب الزكاة لعدم التعيين أو لعدم الملك أو لعدم الاختصاص</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2586553_1280447820"/>
      <w:bookmarkStart w:id="210" w:name="_Toc75"/>
      <w:bookmarkEnd w:id="209"/>
      <w:r>
        <w:rPr>
          <w:rtl w:val="true"/>
        </w:rPr>
        <w:t>المسألة الخامسة</w:t>
      </w:r>
      <w:r>
        <w:rPr>
          <w:rtl w:val="true"/>
        </w:rPr>
        <w:t xml:space="preserve">: </w:t>
      </w:r>
      <w:r>
        <w:rPr>
          <w:rtl w:val="true"/>
        </w:rPr>
        <w:t>لا تجب الزكاة في الضالّ و المفقود و المجحود و المسروق و ما سقط في البحر</w:t>
      </w:r>
      <w:bookmarkEnd w:id="210"/>
    </w:p>
    <w:p>
      <w:pPr>
        <w:pStyle w:val="BookText"/>
        <w:rPr/>
      </w:pPr>
      <w:r>
        <w:rPr>
          <w:rFonts w:ascii="Amiri" w:hAnsi="Amiri" w:eastAsia="Amiri" w:cs="Amiri"/>
          <w:color w:val="111111"/>
          <w:sz w:val="28"/>
          <w:sz w:val="28"/>
          <w:szCs w:val="28"/>
          <w:rtl w:val="true"/>
          <w:lang w:bidi="ar-SA"/>
        </w:rPr>
        <w:t>من الدراهم و الدنانير على ما هو المصرّح به في كلام جماعة</w:t>
      </w:r>
      <w:r>
        <w:rPr>
          <w:rStyle w:val="FootnoteAnchor"/>
          <w:rtl w:val="true"/>
        </w:rPr>
        <w:footnoteReference w:id="865"/>
      </w:r>
      <w:r>
        <w:rPr>
          <w:rFonts w:ascii="Amiri" w:hAnsi="Amiri" w:eastAsia="Amiri" w:cs="Amiri"/>
          <w:color w:val="111111"/>
          <w:sz w:val="28"/>
          <w:sz w:val="28"/>
          <w:szCs w:val="28"/>
          <w:rtl w:val="true"/>
          <w:lang w:bidi="ar-SA"/>
        </w:rPr>
        <w:t>و في المناهل ظهور الاتّفاق عليه</w:t>
      </w:r>
      <w:r>
        <w:rPr>
          <w:rStyle w:val="FootnoteAnchor"/>
          <w:rtl w:val="true"/>
        </w:rPr>
        <w:footnoteReference w:id="866"/>
      </w:r>
      <w:r>
        <w:rPr>
          <w:rFonts w:ascii="Amiri" w:hAnsi="Amiri" w:eastAsia="Amiri" w:cs="Amiri"/>
          <w:color w:val="111111"/>
          <w:sz w:val="28"/>
          <w:sz w:val="28"/>
          <w:szCs w:val="28"/>
          <w:rtl w:val="true"/>
          <w:lang w:bidi="ar-SA"/>
        </w:rPr>
        <w:t>و عن المنتهى فيما عدى المفقود إنّ عدم الوجوب فيه حتّى يعود إلى مالكه و يستقبل به العود مذهب علمائنا، و محلّ الكلام ما لو عاد و لم يحل عليه الحول بعد عوده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يعلم وجه عدم الوجوب ممّا مرّ في المغصوب و المال الغائب، لاندراج المجحود و المسروق في المغصوب، و الضالّ و المفقود و الساقط في البحر في المال الغائب في وجه، و لكن إفرادها بعنوان آخر في كلام الجماعة</w:t>
      </w:r>
      <w:r>
        <w:rPr>
          <w:rStyle w:val="FootnoteAnchor"/>
          <w:rtl w:val="true"/>
        </w:rPr>
        <w:footnoteReference w:id="868"/>
      </w:r>
      <w:r>
        <w:rPr>
          <w:rFonts w:ascii="Amiri" w:hAnsi="Amiri" w:eastAsia="Amiri" w:cs="Amiri"/>
          <w:color w:val="111111"/>
          <w:sz w:val="28"/>
          <w:sz w:val="28"/>
          <w:szCs w:val="28"/>
          <w:rtl w:val="true"/>
          <w:lang w:bidi="ar-SA"/>
        </w:rPr>
        <w:t>مبنيّ على وجه آخر يقضي بخروجها عنهما،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بالمغصوب ما أخذه الغاصب في العلانية قهرا و عدوانا، و بالغائب ما غاب عن المالك لجهل أو نسيان و نحوه، أو غاب عنه المالك بأسر أو </w:t>
      </w:r>
    </w:p>
    <w:p>
      <w:pPr>
        <w:pStyle w:val="BookText"/>
        <w:rPr/>
      </w:pPr>
      <w:r>
        <w:rPr>
          <w:rFonts w:ascii="Amiri" w:hAnsi="Amiri" w:eastAsia="Amiri" w:cs="Amiri"/>
          <w:color w:val="111111"/>
          <w:sz w:val="28"/>
          <w:sz w:val="28"/>
          <w:szCs w:val="28"/>
          <w:rtl w:val="true"/>
          <w:lang w:bidi="ar-SA"/>
        </w:rPr>
        <w:t>مسافرة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إن يراد بهما معنى خاصّ لا يعمّ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فيكفي في دليل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شرط الوجوب و هو التمكّن من التصرّف، مضافا إلى عموم الروايات المتقدّمة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صحيحتي الفضلاء و عبد اللّه بن سنان و روايتي عليّ بن يقطين</w:t>
      </w:r>
      <w:r>
        <w:rPr>
          <w:rStyle w:val="FootnoteAnchor"/>
          <w:rtl w:val="true"/>
        </w:rPr>
        <w:footnoteReference w:id="869"/>
      </w:r>
      <w:r>
        <w:rPr>
          <w:rFonts w:ascii="Amiri" w:hAnsi="Amiri" w:eastAsia="Amiri" w:cs="Amiri"/>
          <w:color w:val="111111"/>
          <w:sz w:val="28"/>
          <w:sz w:val="28"/>
          <w:szCs w:val="28"/>
          <w:rtl w:val="true"/>
          <w:lang w:bidi="ar-SA"/>
        </w:rPr>
        <w:t>و عبد اللّه بن بكير</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المراد بالضالّ على ما في كلام جماعة</w:t>
      </w:r>
      <w:r>
        <w:rPr>
          <w:rStyle w:val="FootnoteAnchor"/>
          <w:rtl w:val="true"/>
        </w:rPr>
        <w:footnoteReference w:id="871"/>
      </w:r>
      <w:r>
        <w:rPr>
          <w:rFonts w:ascii="Amiri" w:hAnsi="Amiri" w:eastAsia="Amiri" w:cs="Amiri"/>
          <w:color w:val="111111"/>
          <w:sz w:val="28"/>
          <w:sz w:val="28"/>
          <w:szCs w:val="28"/>
          <w:rtl w:val="true"/>
          <w:lang w:bidi="ar-SA"/>
        </w:rPr>
        <w:t>الحيوان الضائع، و بالمفقود غيره من الأموال الضائعة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مدّة الضلال و الفقد إطلاق الاسم، فلو ضلّ لحظة أو يوما في الحول لم ينقطع</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و هذا غير واضح، لأنّ سقوط الزكاة في الضالّ و المفقود ليس لخصوص عنوان الضلال و الفقد حتّى يناط باعتبار المدّة قلّة و كثرة بصدق اسمهما، بل باعتبار ما لزمهما من انتفاء التمكّن من التصرّف مدّة الضلال و الفقد، و كأنّ المراد 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صدق التمكّن و عدم التمكّن مع الضلال و الفقد الحاصل في أثناء الحول، فما حصل فيه الوصفان لحظة أو يوما من الحول لم يصدق فيه عرفا أنّ المالك لم يتمكّن من التصرّف فيه،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متمكّنا من التصرّف فيه طول الحول، و لعلّه إلحاق للنادر بالمعدوم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ما بيّنّاه أشار صاحب المدارك حيث إنّه بعد نقل عبارة المسالك</w:t>
      </w:r>
      <w:r>
        <w:rPr>
          <w:rStyle w:val="FootnoteAnchor"/>
          <w:rtl w:val="true"/>
        </w:rPr>
        <w:footnoteReference w:id="8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جيّد بل ينبغي إناطة السقوط بحصول الغيبة الّتي لا يتحقّق معه التمكّن من التصرّف</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و حيث إنّ المدار في سقوط الزكاة و وجوبها في المال على صدق التمكّن من التصرّف فيه و عدمه، فالمتّجه فيما لو تمكّن في المجحود بل المسروق أيضا من إثبات الحقّ بإقامة البيّنة و أخذ المال بحكم الحاكم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الزكاة وفاقا للقواعد</w:t>
      </w:r>
      <w:r>
        <w:rPr>
          <w:rStyle w:val="FootnoteAnchor"/>
          <w:rtl w:val="true"/>
        </w:rPr>
        <w:footnoteReference w:id="875"/>
      </w:r>
      <w:r>
        <w:rPr>
          <w:rFonts w:ascii="IRNazanin" w:hAnsi="IRNazanin" w:eastAsia="IRNazanin"/>
          <w:color w:val="111111"/>
          <w:sz w:val="28"/>
          <w:sz w:val="28"/>
          <w:szCs w:val="28"/>
          <w:rtl w:val="true"/>
          <w:lang w:bidi="fa-IR"/>
        </w:rPr>
        <w:t>و الدروس</w:t>
      </w:r>
      <w:r>
        <w:rPr>
          <w:rStyle w:val="FootnoteAnchor"/>
          <w:rtl w:val="true"/>
        </w:rPr>
        <w:footnoteReference w:id="876"/>
      </w:r>
      <w:r>
        <w:rPr>
          <w:rFonts w:ascii="Amiri" w:hAnsi="Amiri" w:eastAsia="Amiri" w:cs="Amiri"/>
          <w:color w:val="111111"/>
          <w:sz w:val="28"/>
          <w:sz w:val="28"/>
          <w:szCs w:val="28"/>
          <w:rtl w:val="true"/>
          <w:lang w:bidi="ar-SA"/>
        </w:rPr>
        <w:t>و البيان</w:t>
      </w:r>
      <w:r>
        <w:rPr>
          <w:rStyle w:val="FootnoteAnchor"/>
          <w:rtl w:val="true"/>
        </w:rPr>
        <w:footnoteReference w:id="877"/>
      </w:r>
      <w:r>
        <w:rPr>
          <w:rFonts w:ascii="Amiri" w:hAnsi="Amiri" w:eastAsia="Amiri" w:cs="Amiri"/>
          <w:color w:val="111111"/>
          <w:sz w:val="28"/>
          <w:sz w:val="28"/>
          <w:szCs w:val="28"/>
          <w:rtl w:val="true"/>
          <w:lang w:bidi="ar-SA"/>
        </w:rPr>
        <w:t>لصدق التمكّن من التصرّف عرفا في نحو الصورة المفروضة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مبناه على أنّ التمكّن من التصرّف في نظر العرف و العقل أعمّ منه مع الواسطة، </w:t>
      </w:r>
      <w:bookmarkStart w:id="211" w:name="pg16181_154539"/>
    </w:p>
    <w:p>
      <w:pPr>
        <w:pStyle w:val="BookText"/>
        <w:rPr/>
      </w:pPr>
      <w:bookmarkEnd w:id="211"/>
      <w:r>
        <w:rPr>
          <w:rFonts w:ascii="Amiri" w:hAnsi="Amiri" w:eastAsia="Amiri" w:cs="Amiri"/>
          <w:color w:val="111111"/>
          <w:sz w:val="28"/>
          <w:sz w:val="28"/>
          <w:szCs w:val="28"/>
          <w:rtl w:val="true"/>
          <w:lang w:bidi="ar-SA"/>
        </w:rPr>
        <w:t>و لذا كان المقدور بالواسطة في مورد التكليف مقدورا عند العقل 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ما ذكرناه أيضا عموم قوله عليه السّلام في موثّقة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يدعه متعمّدا و هو يقدر على أخذه فعليه فيه الزكاة</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لقضائه بإطلاقه بأنّ المناط في وجوب الزكاة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القدرة على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أنّه في الصورة المفروضة يصدق أنّه يقدر على أخذ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أنّ المتّجه هو الوجوب أيضا فيما لو تمكّن من أخذ ماله بالاستعانة بعادل وفاقا للبيان</w:t>
      </w:r>
      <w:r>
        <w:rPr>
          <w:rStyle w:val="FootnoteAnchor"/>
          <w:rtl w:val="true"/>
        </w:rPr>
        <w:footnoteReference w:id="879"/>
      </w:r>
      <w:r>
        <w:rPr>
          <w:rFonts w:ascii="Amiri" w:hAnsi="Amiri" w:eastAsia="Amiri" w:cs="Amiri"/>
          <w:color w:val="111111"/>
          <w:sz w:val="28"/>
          <w:sz w:val="28"/>
          <w:szCs w:val="28"/>
          <w:rtl w:val="true"/>
          <w:lang w:bidi="ar-SA"/>
        </w:rPr>
        <w:t>و في الاستعانة بظالم وجه، لكنّ الأولى قصر الوجوب هنا على ما لو لم يستلزم الاستعانة به محرّما، و إلاّ حرم الاستعانة و سقط معه الزكاة، لانتفاء التمكّن من الأخذ و التصرّف، لأنّ المانع الشرعي كالمانع العقلي</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2586555_1280447820"/>
      <w:bookmarkStart w:id="213" w:name="_Toc76"/>
      <w:bookmarkEnd w:id="212"/>
      <w:r>
        <w:rPr>
          <w:rtl w:val="true"/>
        </w:rPr>
        <w:t>المسألة السادسة</w:t>
      </w:r>
      <w:r>
        <w:rPr>
          <w:rtl w:val="true"/>
        </w:rPr>
        <w:t xml:space="preserve">: </w:t>
      </w:r>
      <w:r>
        <w:rPr>
          <w:rtl w:val="true"/>
        </w:rPr>
        <w:t>لا يجب الزكاة في الدين</w:t>
      </w:r>
      <w:bookmarkEnd w:id="213"/>
    </w:p>
    <w:p>
      <w:pPr>
        <w:pStyle w:val="BookText"/>
        <w:rPr/>
      </w:pPr>
      <w:r>
        <w:rPr>
          <w:rFonts w:ascii="Amiri" w:hAnsi="Amiri" w:eastAsia="Amiri" w:cs="Amiri"/>
          <w:color w:val="111111"/>
          <w:sz w:val="28"/>
          <w:sz w:val="28"/>
          <w:szCs w:val="28"/>
          <w:rtl w:val="true"/>
          <w:lang w:bidi="ar-SA"/>
        </w:rPr>
        <w:t xml:space="preserve">الّذي لا يقدر صاحبه على أخذه و استيفائه من المديون لأجل أو إعسار أو مماطلة أو جحد أو غير ذلك بلا خلاف أجده بل قولا واحدا، و لذا ذكر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اتّفاقا فتوى و نصّا</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بعد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الأخبار الآتية بل هو القدر المتيقّن المتّفق على العمل به من موردها، مضافا إلى خصوص الروايات الآتية المفصّلة الناصّة بعدم الوجوب في الصورة المفروضة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الدين المقدور على أخذه بكونه حالا و المديون موسرا باذلا و لكن صاحبه يؤخّره و لا يأخذه ففي وجوب الزكاة فيه كما عن الشيخين</w:t>
      </w:r>
      <w:r>
        <w:rPr>
          <w:rStyle w:val="FootnoteAnchor"/>
          <w:rtl w:val="true"/>
        </w:rPr>
        <w:footnoteReference w:id="881"/>
      </w:r>
      <w:r>
        <w:rPr>
          <w:rFonts w:ascii="IRNazanin" w:hAnsi="IRNazanin" w:eastAsia="IRNazanin"/>
          <w:color w:val="111111"/>
          <w:sz w:val="28"/>
          <w:sz w:val="28"/>
          <w:szCs w:val="28"/>
          <w:rtl w:val="true"/>
          <w:lang w:bidi="fa-IR"/>
        </w:rPr>
        <w:t>و المرتضى</w:t>
      </w:r>
      <w:r>
        <w:rPr>
          <w:rStyle w:val="FootnoteAnchor"/>
          <w:rtl w:val="true"/>
        </w:rPr>
        <w:footnoteReference w:id="882"/>
      </w:r>
      <w:r>
        <w:rPr>
          <w:rFonts w:ascii="Amiri" w:hAnsi="Amiri" w:eastAsia="Amiri" w:cs="Amiri"/>
          <w:color w:val="111111"/>
          <w:sz w:val="28"/>
          <w:sz w:val="28"/>
          <w:szCs w:val="28"/>
          <w:rtl w:val="true"/>
          <w:lang w:bidi="ar-SA"/>
        </w:rPr>
        <w:t>و عدمه كما هو المشهور شهرة عظيمة كادت تبلغ الإجماع خصوصا عند المتأخّرين</w:t>
      </w:r>
      <w:r>
        <w:rPr>
          <w:rStyle w:val="FootnoteAnchor"/>
          <w:rtl w:val="true"/>
        </w:rPr>
        <w:footnoteReference w:id="883"/>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منهم</w:t>
      </w:r>
      <w:r>
        <w:rPr>
          <w:rStyle w:val="FootnoteAnchor"/>
          <w:rtl w:val="true"/>
        </w:rPr>
        <w:footnoteReference w:id="884"/>
      </w:r>
      <w:r>
        <w:rPr>
          <w:rFonts w:ascii="Amiri" w:hAnsi="Amiri" w:eastAsia="Amiri" w:cs="Amiri"/>
          <w:color w:val="111111"/>
          <w:sz w:val="28"/>
          <w:sz w:val="28"/>
          <w:szCs w:val="28"/>
          <w:rtl w:val="true"/>
          <w:lang w:bidi="ar-SA"/>
        </w:rPr>
        <w:t xml:space="preserve">و هو المعتمد، للأصل، و عدم كون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إليه عمومات </w:t>
      </w:r>
    </w:p>
    <w:p>
      <w:pPr>
        <w:pStyle w:val="BookText"/>
        <w:rPr/>
      </w:pPr>
      <w:r>
        <w:rPr>
          <w:rFonts w:ascii="Amiri" w:hAnsi="Amiri" w:eastAsia="Amiri" w:cs="Amiri"/>
          <w:color w:val="111111"/>
          <w:sz w:val="28"/>
          <w:sz w:val="28"/>
          <w:szCs w:val="28"/>
          <w:rtl w:val="true"/>
          <w:lang w:bidi="ar-SA"/>
        </w:rPr>
        <w:t>الزكاة بل هو كلّي في ذمّة الغير،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بحكم انصراف الأدلّة تتعلّق بالعين و لا عين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عموم النصوص النافية للزكاة عن الدين بإطلاقه كصحيحة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على الدين و لا على المال الغائب عنك حتّى يقع في يديك</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نصف ماله عينا و نصفه دينا فتحلّ عليه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 العين و يدع الدين،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اقتضاه بعد ستّة أشهر،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حين اقتضاه</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عليه زكاة‌؟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حتّى يقبضه،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قبضه أ يزكّيه‌؟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في يده</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محمّد بن عليّ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الدين 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الدين على الناس تجب فيه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فيه زكاة حتّى يقبضه فإذا قبضه فعليه الزكاة، و إن هو طال حبسه على الناس حتّى يمرّ لذلك سنون فليس عليه زكاة حتّى يخرج، فإذا هو خرج زكّاه لعامه ذلك</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عليّ بن جعفر عن أخيه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الدين زكاة إلاّ أن يشاء ربّ الدين أن يزكّيه</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خبره الآخر عن 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الدين يكون على القوم المياسير إذا شاء </w:t>
      </w:r>
    </w:p>
    <w:p>
      <w:pPr>
        <w:pStyle w:val="BookText"/>
        <w:rPr/>
      </w:pPr>
      <w:r>
        <w:rPr>
          <w:rFonts w:ascii="Amiri" w:hAnsi="Amiri" w:eastAsia="Amiri" w:cs="Amiri"/>
          <w:color w:val="111111"/>
          <w:sz w:val="28"/>
          <w:sz w:val="28"/>
          <w:szCs w:val="28"/>
          <w:rtl w:val="true"/>
          <w:lang w:bidi="ar-SA"/>
        </w:rPr>
        <w:t>قبضه صاحبه هل عليه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يقبضه و يحول عليه الحول</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للقول الآخر إلاّ روايتا درست بن أبي منصور و عبد العزيز عن أبي عبد اللّه عليه السّلام ففي اولاهما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الدين زكاة إلاّ أن يكون صاحب الدين هو الّذي يؤخّره، فإذا كان لا يقدر على أخذه فليس عليه زكاة حتّى يقبضه</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يكون له الدين أ يزكّيه‌؟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دين يدعه هو إذا أراد أخذه فعليه زكاته، و ما كان لا يقدر على أخذه فليس عليه زكاة</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دلالة روايات المشهور و إن كانت بالعموم و لو من جهة ترك الاستفصال و دلالة الروايتين من جهة اشتمالهما على التفصيل بالخصوص و ضابطة تقدّم الخاصّ على العامّ و المقيّد على المطلق تقضي ببناء الروايات العامّة على الروايتين و إرجاعها إلى التفصيل المستفاد منهما، إلاّ أنّ قصور سنديهما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باشتمالهما على عدّة من المجاهيل، بل ضعف سند الاولى و إعراض المعظم عن العمل بهما إلى العمل بالعموم، و موافقتهما لمذهب جمهور أهل الخلاف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تعيّن العمل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قطع النظر عن قصور السند و ضعفه يتقوّى الأخبار العامّة، و يتوهّن الروايتين بإعراض المعظم عن العمل بهما، لأنّه يكشف عن وقوع خلل في إحدى جهاتهما إمّا في صدورهما و في دلالتهما، أو في جهة صدورهما فلا بدّ من طرحهما أو حملهما على الاستحباب أو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هو الباعث على عدم إجراء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المطلق على المقيّد و بناء العامّ على الخاصّ هنا بعد الغضّ عمّا في السند لا ما ذكره العلاّمة في المختلف على ما حكاه في المدارك حيث إنّه بعد حمل الخبرين على الاستحباب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لا يجوز أن يكون وجه الجمع ما فصّل في هذين الخبرين‌؟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الحلبي عن الدين و أطلق عليه السّلام القول بانتفاء الوجوب، وجب انتفاؤه مطلقا، إذ لو كان في </w:t>
      </w:r>
    </w:p>
    <w:p>
      <w:pPr>
        <w:pStyle w:val="BookText"/>
        <w:rPr/>
      </w:pPr>
      <w:r>
        <w:rPr>
          <w:rFonts w:ascii="Amiri" w:hAnsi="Amiri" w:eastAsia="Amiri" w:cs="Amiri"/>
          <w:color w:val="111111"/>
          <w:sz w:val="28"/>
          <w:sz w:val="28"/>
          <w:szCs w:val="28"/>
          <w:rtl w:val="true"/>
          <w:lang w:bidi="ar-SA"/>
        </w:rPr>
        <w:t>صورة ما لزم تأخير البيان عن وقت الحاجة و هذا باطل</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استجوده في المدارك</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فيه لأنّه لو صحّ لانسدّ باب حمل المطلق على المقيّد و بناء العامّ على الخاصّ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على المختار في عدم وجوب الزكاة في الدين بين ما لو كان الدين من النقدين أو من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 في التذكرة التصريح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نعما فلا زكاة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أوجبه في الدين توقّف هنا لأنّ السوم شرط و ما في الذمّة لا يوصف بكونه سائما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ذكروا في السلم في اللحم التعرّض لكونه لحم راعية أو معلوفة، و إذا جاز أن يثبت في الذمّة لحم راعية جاز أن يثبت راعية</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استجوده في المدارك ناقلا عن جدّه أنّه أورد عليه في فوائد القواعد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يتّجه إذا جعلنا مفهوم السوم عدميّا و هو عدم العلف كما هو الظاهر من كلامهم، أمّا إنّ جعلناه أمرا وجوديّا و هو أن يأكل من مال اللّه المباح لم يعقل كون ما في الذمّة سائما</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و تنظّر فيه في المدارك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الفرق نظر، فإنّه إذا جاز ثبوت الحيوان في الذمّة جاز ثبوت هذا النوع المخصوص منه و هو ما يأكل من المباح</w:t>
      </w:r>
      <w:r>
        <w:rPr>
          <w:rFonts w:eastAsia="Amiri" w:cs="Amiri" w:ascii="Amiri" w:hAnsi="Amiri"/>
          <w:color w:val="111111"/>
          <w:sz w:val="28"/>
          <w:szCs w:val="28"/>
          <w:rtl w:val="true"/>
          <w:lang w:bidi="ar-SA"/>
        </w:rPr>
        <w:t>»</w:t>
      </w:r>
      <w:r>
        <w:rPr>
          <w:rStyle w:val="FootnoteAnchor"/>
          <w:rtl w:val="true"/>
        </w:rPr>
        <w:footnoteReference w:id="8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بل الوجه عدم وجوبها في النعم مطلقا، و السرّ فيه أنّ موضوع وجوب الزكاة في النعم إنّما هو السائم و المشتقّ حقيقة في حال التلبّس، و المبدأ هنا وصف خارجي يلحق الشخص الخارجي، و ما في الذمّة كلّي غايته اعتبار تقييده بمفهوم السوم و هو أيضا كالموصوف به أمر ذهنيّ لا يكفي اعتباره في توجّه الخطاب بالزكاة، لأنّ شرط الوجوب إنّما هو الوصف الخارجي لا المفهوم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في ذلك بين ما لو اعتبر الوصف أمرا عدميّا أو وجوديّا، غاية الأمر أنّه على الأوّل يعتبر اتّصاف الذات به في ظرف الخارج و إن كان الوصف باعتبار كونه عدما ممّا لا خارج له إلاّ من حيث العدميّة، فليتدبّر</w:t>
      </w:r>
      <w:r>
        <w:rPr>
          <w:rFonts w:eastAsia="Amiri" w:cs="Amiri" w:ascii="Amiri" w:hAnsi="Amiri"/>
          <w:color w:val="111111"/>
          <w:sz w:val="28"/>
          <w:szCs w:val="28"/>
          <w:rtl w:val="true"/>
          <w:lang w:bidi="ar-SA"/>
        </w:rPr>
        <w:t xml:space="preserve">. </w:t>
      </w:r>
      <w:bookmarkStart w:id="214" w:name="pg16181_154543"/>
    </w:p>
    <w:p>
      <w:pPr>
        <w:pStyle w:val="Heading6"/>
        <w:numPr>
          <w:ilvl w:val="5"/>
          <w:numId w:val="1"/>
        </w:numPr>
        <w:rPr/>
      </w:pPr>
      <w:bookmarkStart w:id="215" w:name="__RefHeading___Toc2586557_1280447820"/>
      <w:bookmarkStart w:id="216" w:name="_Toc77"/>
      <w:bookmarkEnd w:id="214"/>
      <w:bookmarkEnd w:id="215"/>
      <w:r>
        <w:rPr>
          <w:rtl w:val="true"/>
        </w:rPr>
        <w:t>المسألة السابعة</w:t>
      </w:r>
      <w:r>
        <w:rPr>
          <w:rtl w:val="true"/>
        </w:rPr>
        <w:t xml:space="preserve">: </w:t>
      </w:r>
      <w:r>
        <w:rPr>
          <w:rtl w:val="true"/>
        </w:rPr>
        <w:t>فيما يجب فيه الزكاة من القرض،</w:t>
      </w:r>
      <w:bookmarkEnd w:id="216"/>
    </w:p>
    <w:p>
      <w:pPr>
        <w:pStyle w:val="Heading6"/>
        <w:numPr>
          <w:ilvl w:val="5"/>
          <w:numId w:val="1"/>
        </w:numPr>
        <w:rPr/>
      </w:pPr>
      <w:bookmarkStart w:id="217" w:name="__RefHeading___Toc2586559_1280447820"/>
      <w:bookmarkStart w:id="218" w:name="_Toc78"/>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فليعلم أنّه إذا استقرض شيئا من الأموال الزكويّة كالدراهم و الدنانير مثلا و كان نصابا، و تركه المستقرض بعد القبض بحاله حتّى حال عليه الحول فيجب عليه زكاته و لا شيء على المقرض، كما هو المصرّح به في كلام جمع كثير من أساطين الطائفة</w:t>
      </w:r>
      <w:r>
        <w:rPr>
          <w:rStyle w:val="FootnoteAnchor"/>
          <w:rtl w:val="true"/>
        </w:rPr>
        <w:footnoteReference w:id="899"/>
      </w:r>
      <w:r>
        <w:rPr>
          <w:rFonts w:ascii="Amiri" w:hAnsi="Amiri" w:eastAsia="Amiri" w:cs="Amiri"/>
          <w:color w:val="111111"/>
          <w:sz w:val="28"/>
          <w:sz w:val="28"/>
          <w:szCs w:val="28"/>
          <w:rtl w:val="true"/>
          <w:lang w:bidi="ar-SA"/>
        </w:rPr>
        <w:t>و عن الشيخ في الخلاف</w:t>
      </w:r>
      <w:r>
        <w:rPr>
          <w:rStyle w:val="FootnoteAnchor"/>
          <w:rtl w:val="true"/>
        </w:rPr>
        <w:footnoteReference w:id="900"/>
      </w:r>
      <w:r>
        <w:rPr>
          <w:rFonts w:ascii="Amiri" w:hAnsi="Amiri" w:eastAsia="Amiri" w:cs="Amiri"/>
          <w:color w:val="111111"/>
          <w:sz w:val="28"/>
          <w:sz w:val="28"/>
          <w:szCs w:val="28"/>
          <w:rtl w:val="true"/>
          <w:lang w:bidi="ar-SA"/>
        </w:rPr>
        <w:t>نفي الخلاف بين الطائفة عن الحكمين، و حكي نفي الخلاف عن السرائر</w:t>
      </w:r>
      <w:r>
        <w:rPr>
          <w:rStyle w:val="FootnoteAnchor"/>
          <w:rtl w:val="true"/>
        </w:rPr>
        <w:footnoteReference w:id="901"/>
      </w:r>
      <w:r>
        <w:rPr>
          <w:rFonts w:ascii="Amiri" w:hAnsi="Amiri" w:eastAsia="Amiri" w:cs="Amiri"/>
          <w:color w:val="111111"/>
          <w:sz w:val="28"/>
          <w:sz w:val="28"/>
          <w:szCs w:val="28"/>
          <w:rtl w:val="true"/>
          <w:lang w:bidi="ar-SA"/>
        </w:rPr>
        <w:t>أيضا، و عن صاحب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مذهب الأصحاب أنّ زكاة القرض على المقترض</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و 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 بعد الأصل بالنسبة إلى القارض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المال بسبب عقد القرض و قبض المقترض خرج عن ملك القارض و دخل في ملك المقترض، فلا يجب زكاته على الأوّل لانتفاء شرط الوجوب و هو الملكيّة، و تجب على الثاني لاجتماع شرائطه بالنسبة إليه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الأخبار، مثل ما في صحيحة الفضلاء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لم يحل عليه الحول عند ربّه فلا شيء عليه فيه، فإذا حال عليه الحول وجب</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خبر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لم يحل حول عندك فليس عليك فيه زكاة</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فإنّه بالمفهوم يدلّ على وجوبها إذا حال عليه الحول عنده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محمّد بن مسلم و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في المال الصامت الّذي حال عليه الحول و لم يحرّكه</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كان له مال و حال عليه الحول فإنّه يزكّيه</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فإنّ هذه الأخبار و غيرها ممّا يقف عليه المتتبّع تعمّ ما نحن فيه و تدلّ بالعموم على وجوب الزكاة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الخاصّة المستفيضة المشتملة على الصحاح و غيرها المصرّحة بكل من الحكمين كصحيحة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إلى رجل مالا قرضا، على من زكاته، على المقرض أو على المقترض‌؟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زكاتها إن كانت موضوعة عنده حولا على المقترض،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المقرض زكاتها؟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يزكّي المال من وجهين في عام واحد، و ليس على الدافع شيء لأنّه ليس في يده شيء إنّما المال في يد الآخر، فمن كان المال في يده زكّاه،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فيزكّي مال غيره من ماله‌؟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ماله ما دام في يده و ليس ذلك لأحد غيره،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زرارة أ رأيت وضيعة ذلك المال و ربحه لمن هو؟ و على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للمقترض،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الفضل و عليه النقصان، و له أن ينكح و يلبس منه و يأكل منه و لا ينبغي له أن يزكّيه بل يزكّيه فإنّه عليه</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 يقرض المال للرجل السنة و السنتين و الثلاث أو ما شاء اللّه، على من الزكاة‌؟ على المقرض أو على المقترض‌؟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المستقرض نسخه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المستقرض لأنّ له نفعه و عليه زكاته</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الحسن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لهشام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تسأل لي أبا الحسن عليه السّلام أنّ لقومي عندي قروضا ليس يطلبونها منّي، أ فعليّ فيها 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تقضي و لا تزكّ‌</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صحيحة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استقرض مالا فحال عليه الحول و هو عنده،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أقرضه يؤدّي زكاته فلا زكاة عليه، و إن كان لا يؤدّي أدّى المستقرض</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عبد الرحمن بن أبي عبد اللّه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عليه دين و في يده مال لغيره هل عليه 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قرضا فحال عليه الحول فزكّه</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أبان بن عثمان عمّن أخبره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أحدهما عليهما السّلام عن رجل عليه دين و في يده مال و فى بدينه، و المال لغيره، هل عليه 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استقرض فحال عليه الحول فزكاته عليه إذا كان فيه فضل</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الرجل يكون عنده المال قرضا فيحول عليه الحول، عليه 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هذا كلّه فيما إذا لم يشترط المقترض على المقرض أداء الزكاة من ماله، و أمّا إذا شرطه عليه فهل يجب عليه أن يؤدّيها و يعمل بالشرط أو لا؟ فيه خلاف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جمع كثير من أساطين الطائفة</w:t>
      </w:r>
      <w:r>
        <w:rPr>
          <w:rStyle w:val="FootnoteAnchor"/>
          <w:rtl w:val="true"/>
        </w:rPr>
        <w:footnoteReference w:id="914"/>
      </w:r>
      <w:r>
        <w:rPr>
          <w:rFonts w:ascii="Amiri" w:hAnsi="Amiri" w:eastAsia="Amiri" w:cs="Amiri"/>
          <w:color w:val="111111"/>
          <w:sz w:val="28"/>
          <w:sz w:val="28"/>
          <w:szCs w:val="28"/>
          <w:rtl w:val="true"/>
          <w:lang w:bidi="ar-SA"/>
        </w:rPr>
        <w:t>الّذي قال في المسالك أنّه المشهور بين الأصحاب</w:t>
      </w:r>
      <w:r>
        <w:rPr>
          <w:rStyle w:val="FootnoteAnchor"/>
          <w:rtl w:val="true"/>
        </w:rPr>
        <w:footnoteReference w:id="915"/>
      </w:r>
      <w:r>
        <w:rPr>
          <w:rFonts w:ascii="Amiri" w:hAnsi="Amiri" w:eastAsia="Amiri" w:cs="Amiri"/>
          <w:color w:val="111111"/>
          <w:sz w:val="28"/>
          <w:sz w:val="28"/>
          <w:szCs w:val="28"/>
          <w:rtl w:val="true"/>
          <w:lang w:bidi="ar-SA"/>
        </w:rPr>
        <w:t>و في المدارك أنّه مذهب الأكثر</w:t>
      </w:r>
      <w:r>
        <w:rPr>
          <w:rStyle w:val="FootnoteAnchor"/>
          <w:rtl w:val="true"/>
        </w:rPr>
        <w:footnoteReference w:id="916"/>
      </w:r>
      <w:r>
        <w:rPr>
          <w:rFonts w:ascii="Amiri" w:hAnsi="Amiri" w:eastAsia="Amiri" w:cs="Amiri"/>
          <w:color w:val="111111"/>
          <w:sz w:val="28"/>
          <w:sz w:val="28"/>
          <w:szCs w:val="28"/>
          <w:rtl w:val="true"/>
          <w:lang w:bidi="ar-SA"/>
        </w:rPr>
        <w:t>من أنّه لا يصحّ الشرط و لا يجب العمل 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العمل بهذا الشرط فيجب الزكاة على القارض و تسقط عن المقترض كما عن الشيخ في قرض النهاية قائلا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استقرض الإنسان شيئا كان عليه زكاته إن تركه، و إن أداره في تجارة كان عليه مثل ما لو كان المال له ملكا، </w:t>
      </w:r>
    </w:p>
    <w:p>
      <w:pPr>
        <w:pStyle w:val="BookText"/>
        <w:rPr/>
      </w:pPr>
      <w:r>
        <w:rPr>
          <w:rFonts w:ascii="Amiri" w:hAnsi="Amiri" w:eastAsia="Amiri" w:cs="Amiri"/>
          <w:color w:val="111111"/>
          <w:sz w:val="28"/>
          <w:sz w:val="28"/>
          <w:szCs w:val="28"/>
          <w:rtl w:val="true"/>
          <w:lang w:bidi="ar-SA"/>
        </w:rPr>
        <w:t>و يسقط زكاته عن القارض إلاّ أن يشرط المستقرض عليه أن يزكّيه عنه فحينئذ تجب الزكاة على القارض دون المستقرض</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استقر به العلاّمة في المختلف على ما حكي عنه ناقلا له عن الشيخ و القاضي ابن البرّاج و ابن حمزة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شرط المستقرض الزكاة على المقرض صحّ و سقطت الزكاة عنه و وجبت الزكاة على القارض، قاله الشيخ رحمه اللّه و تبعه ابن البرّاج و ابن حمزة</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على المستقرض على كلّ حال، و لا يصحّ هذا الشرط</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و الأقرب الأوّل، و نسب اختياره إلى الحدائق</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فصّله في المسالك</w:t>
      </w:r>
      <w:r>
        <w:rPr>
          <w:rStyle w:val="FootnoteAnchor"/>
          <w:rtl w:val="true"/>
        </w:rPr>
        <w:footnoteReference w:id="921"/>
      </w:r>
      <w:r>
        <w:rPr>
          <w:rFonts w:ascii="Amiri" w:hAnsi="Amiri" w:eastAsia="Amiri" w:cs="Amiri"/>
          <w:color w:val="111111"/>
          <w:sz w:val="28"/>
          <w:sz w:val="28"/>
          <w:szCs w:val="28"/>
          <w:rtl w:val="true"/>
          <w:lang w:bidi="ar-SA"/>
        </w:rPr>
        <w:t>و استحسنه في المدارك</w:t>
      </w:r>
      <w:r>
        <w:rPr>
          <w:rStyle w:val="FootnoteAnchor"/>
          <w:rtl w:val="true"/>
        </w:rPr>
        <w:footnoteReference w:id="922"/>
      </w:r>
      <w:r>
        <w:rPr>
          <w:rFonts w:ascii="Amiri" w:hAnsi="Amiri" w:eastAsia="Amiri" w:cs="Amiri"/>
          <w:color w:val="111111"/>
          <w:sz w:val="28"/>
          <w:sz w:val="28"/>
          <w:szCs w:val="28"/>
          <w:rtl w:val="true"/>
          <w:lang w:bidi="ar-SA"/>
        </w:rPr>
        <w:t xml:space="preserve">و اختاره في الرياض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المشروط إن كان ثبوت الزكاة على المقرض ابتداء مع براءة ذمّة المقترض بأن يكون المقرض هو المخاطب بها دون المقترض حتّى إنّه لو لم يؤدّها من ماله لم يكن على المقترض شيء، فلا يصحّ الشرط و لا يجب على المقرض شيء و إن كان تحمّل أداء ما وجب على المقترض، فإن أدّاها عن المقترض من ماله برأ ذمّة المقترض و إلاّ وجب على المقترض أداؤها و تفريغ ذمّته عنها</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قضيّة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المقرض عمّا يحتمل وجوبه عليه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القاعدة و هي القاعدة المتقدّم إليها الإشارة القاضية بعدم وجوب الزكاة إلاّ على مالك النصاب، و عموم جملة من النصوص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على المال الصامت الّذي حال عليه الحول و لم يحرّكه، و أيّما رجل كان له مال و حال عليه الحول فإنّه يزكّيه</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يساعد على القول الأوّل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يستدلّ عليه أيضا بإطلاق المستفيضة المتقدّمة المصرّحة بنفي الزكاة عن </w:t>
      </w:r>
    </w:p>
    <w:p>
      <w:pPr>
        <w:pStyle w:val="BookText"/>
        <w:rPr/>
      </w:pPr>
      <w:r>
        <w:rPr>
          <w:rFonts w:ascii="Amiri" w:hAnsi="Amiri" w:eastAsia="Amiri" w:cs="Amiri"/>
          <w:color w:val="111111"/>
          <w:sz w:val="28"/>
          <w:sz w:val="28"/>
          <w:szCs w:val="28"/>
          <w:rtl w:val="true"/>
          <w:lang w:bidi="ar-SA"/>
        </w:rPr>
        <w:t>القارض و إثباتها على المقترض فإنّه يعمّ صورة الشرط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الضعف ما لا يخفى، لمنع الإطلاق المذكورة فإنّه في الأخبار المشار إليها واردة مورد بيان حكم آخر و مسوقة لبيان من يجب عليه الزكاة من القارض و المقترض بحسب أصل الشرع، و وجوبها على القارض على القول بصحّة الشرط ليس ممّا هو بحسب أصل الشرع بل هو وجوب لحقه لعارض بسبب من قبله و هو الشرط في ضمن العقد، فلا ينفيه النصوص المشار إليها لعدم كونها متعرّضة لنحو هذا الوجوب بنفي و لا بإثبات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المشهور منحصر فيما ذكرناه من الأصل و القاعدة 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النظر في أنّه هل هنا مخرج عنها يدلّ على صحّة الشرط مطلقا أو في الجملة المستلزمة لوجوب الزكاة أو تحمّل أدائها على القارض أو لا؟</w:t>
      </w:r>
    </w:p>
    <w:p>
      <w:pPr>
        <w:pStyle w:val="BookText"/>
        <w:rPr/>
      </w:pPr>
      <w:r>
        <w:rPr>
          <w:rFonts w:ascii="Amiri" w:hAnsi="Amiri" w:eastAsia="Amiri" w:cs="Amiri"/>
          <w:color w:val="111111"/>
          <w:sz w:val="28"/>
          <w:sz w:val="28"/>
          <w:szCs w:val="28"/>
          <w:rtl w:val="true"/>
          <w:lang w:bidi="ar-SA"/>
        </w:rPr>
        <w:t>فقد يستدلّ عليها بما تقدّم في صحيحة منصور بن حازم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استقرض مالا و حال عليه الحول و هو عنده،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أقرضه يؤدّي زكاته فلا زكاة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على صورة الشرط صراحة و لا ظهورا و لا إشعارا بل غايته ما فيه الدلالة على أنّ تأدية زكاة المال الواجبة على المالك قابلة للنيابة فمن أدّاها نيابة عن المالك من ماله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الدلالة من جهة الإطلاق بالنظر إلى صورتي الشرط و عدمه،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بحسب المورد و إن كان يعمّ الصورتين إلاّ أنّه ساكت عن الدلالة على صحّة الشرط و تأثيره في وجوب الزكاة ابتداء أو وجوب تحمّل تأديته عن المقترض على المقرض، و هو المطلوب المتنازع فيه لا غير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أيضا بصحيحتي عبد اللّه بن سنان و الحلبي عن الصادق عليه السّلام ففي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أبي عليه السّلام من هشام بن عبد الملك أرضا بكذا و كذا ألف دينار و اشترط عليه زكاة ذلك المال عشر سنين، و إنّما فعل ذلك لأنّ هشاما كان هو الوالي</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باع أبي عليه السّلام أرضا من سليمان بن عبد الملك بمال و اشترط عليه </w:t>
      </w:r>
    </w:p>
    <w:p>
      <w:pPr>
        <w:pStyle w:val="BookText"/>
        <w:rPr/>
      </w:pPr>
      <w:r>
        <w:rPr>
          <w:rFonts w:ascii="Amiri" w:hAnsi="Amiri" w:eastAsia="Amiri" w:cs="Amiri"/>
          <w:color w:val="111111"/>
          <w:sz w:val="28"/>
          <w:sz w:val="28"/>
          <w:szCs w:val="28"/>
          <w:rtl w:val="true"/>
          <w:lang w:bidi="ar-SA"/>
        </w:rPr>
        <w:t>في بيعه أن يزكّي هذا المال من عنده لستّ سنين</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تدلاّن على صحّة الشرط في 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اختصاصهما بالبيع لأنّه إذا صحّ شرط زكاة المال على البائع في ضمن عقد البيع صحّ شرطها على القارض في ضمن عقد القرض إذ لا فرق في ذلك بين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بهما في الحدائق</w:t>
      </w:r>
      <w:r>
        <w:rPr>
          <w:rStyle w:val="FootnoteAnchor"/>
          <w:rtl w:val="true"/>
        </w:rPr>
        <w:footnoteReference w:id="928"/>
      </w:r>
      <w:r>
        <w:rPr>
          <w:rFonts w:ascii="Amiri" w:hAnsi="Amiri" w:eastAsia="Amiri" w:cs="Amiri"/>
          <w:color w:val="111111"/>
          <w:sz w:val="28"/>
          <w:sz w:val="28"/>
          <w:szCs w:val="28"/>
          <w:rtl w:val="true"/>
          <w:lang w:bidi="ar-SA"/>
        </w:rPr>
        <w:t>و ايّد الحكم بهما في الرياض</w:t>
      </w:r>
      <w:r>
        <w:rPr>
          <w:rStyle w:val="FootnoteAnchor"/>
          <w:rtl w:val="true"/>
        </w:rPr>
        <w:footnoteReference w:id="929"/>
      </w:r>
      <w:r>
        <w:rPr>
          <w:rFonts w:ascii="IRNazanin" w:hAnsi="IRNazanin" w:eastAsia="IRNazanin"/>
          <w:color w:val="111111"/>
          <w:sz w:val="28"/>
          <w:sz w:val="28"/>
          <w:szCs w:val="28"/>
          <w:rtl w:val="true"/>
          <w:lang w:bidi="fa-IR"/>
        </w:rPr>
        <w:t>و المناهل</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شائبة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دلالتها على ما نحن فيه، لقوّة احتمال أن يكون المشروط على البائع في مورديهما إخراج الزكاة المتعلّقة بذلك المال عنده فيما مرّ به من السنين، لعلمه عليه السّلام بأنّه في هذه السنين لم يخرج زكاته فشرط عليه إخراج الزكاة الّتي خوطب بإخراجها في هذه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ذلك أنّه لو كان المشروط إخراج زكاته في السنين المستقبلة فوجب أن يكون المراد إخراج الزكاة لكلّ سنة عند حلول الحول، و هو موقوف على بقاء ذلك المال عند الإمام عليه السّلام إلى عشر سنين أو ستّ سنين، و هذا بعيد عادة، و ربّما أمكن دعوى العلم العادي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فما ذكرناه لو لم يكن ظاهر الخبرين فلا أقلّ من كونه محتملا بالاحتمال المساوي، فسقط به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فانحصر طريق إثبات صحّة الشرط بل لزومه و عدمه في القواعد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المشروط ثبوت الزكاة على المشروط عليه ابتداء بأن يكون هو المخاطب بها دون المقترض أصلا فلا ينبغي التأمّل في عدم صحّته فضلا عن وجوب الوفاء به لمخالفته الكتاب و السنّة، فإنّ المستفاد من الكتاب و السنّة و سائر الأدلّة وجوب زكاة المال على المالك دون غيره، فجعلها على غيره بالشرط في ضمن العقد مخالف له فيكون باطلا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المشروط تحمّل أدائها عن المقترض مع فرض كونه المخاطب بإخراجها ابتداء بحيث لو لم يؤدّها القارض وجب إخراجها عليه تحصيلا لبراءة ذمّته، فأصل </w:t>
      </w:r>
    </w:p>
    <w:p>
      <w:pPr>
        <w:pStyle w:val="BookText"/>
        <w:rPr/>
      </w:pPr>
      <w:r>
        <w:rPr>
          <w:rFonts w:ascii="Amiri" w:hAnsi="Amiri" w:eastAsia="Amiri" w:cs="Amiri"/>
          <w:color w:val="111111"/>
          <w:sz w:val="28"/>
          <w:sz w:val="28"/>
          <w:szCs w:val="28"/>
          <w:rtl w:val="true"/>
          <w:lang w:bidi="ar-SA"/>
        </w:rPr>
        <w:t>الشرط صحيح، لدلالة الرواية المتقدّمة</w:t>
      </w:r>
      <w:r>
        <w:rPr>
          <w:rStyle w:val="FootnoteAnchor"/>
          <w:rtl w:val="true"/>
        </w:rPr>
        <w:footnoteReference w:id="931"/>
      </w:r>
      <w:r>
        <w:rPr>
          <w:rFonts w:ascii="Amiri" w:hAnsi="Amiri" w:eastAsia="Amiri" w:cs="Amiri"/>
          <w:color w:val="111111"/>
          <w:sz w:val="28"/>
          <w:sz w:val="28"/>
          <w:szCs w:val="28"/>
          <w:rtl w:val="true"/>
          <w:lang w:bidi="ar-SA"/>
        </w:rPr>
        <w:t xml:space="preserve">على قبولها النيابة و التبرّع، فيتمسّك لصحّته بل وجوب الوفاء به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كما أشار إليه السيّد في الرياض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دلالة الرواية على جواز مباشرة الغير لإخراجها عمّن لزمته و لو تبرّعا، و حيث جازت صحّ اشتراطها و لزم، لعموم ما دلّ على لزوم الوفاء بالشروط السائغة، و هذا منها</w:t>
      </w:r>
      <w:r>
        <w:rPr>
          <w:rFonts w:eastAsia="Amiri" w:cs="Amiri" w:ascii="Amiri" w:hAnsi="Amiri"/>
          <w:color w:val="111111"/>
          <w:sz w:val="28"/>
          <w:szCs w:val="28"/>
          <w:rtl w:val="true"/>
          <w:lang w:bidi="ar-SA"/>
        </w:rPr>
        <w:t>»</w:t>
      </w:r>
      <w:r>
        <w:rPr>
          <w:rStyle w:val="FootnoteAnchor"/>
          <w:rtl w:val="true"/>
        </w:rPr>
        <w:footnoteReference w:id="9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العامّ المذكور لما كان مخصوصا بالشروط المأخوذة في العقود اللازمة حتّى إنّه لو اخذ شرط في ضمن عقد جائز لم يلزم الوفاء به، فصحّة الشرط المذكور من جهة العموم مبنيّة على كون عقد القرض من العقود اللازمة، و هذا و إن كان خلافيّا إلاّ أنّ الأشهر هو اللزوم،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بين المتأخّرين، و لذا لا يجوز للقارض الرجوع إلى عين المال و أخذه قهرا و إن لم يرض به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العقد ليس على هذه العقود اللازمة لمكان جواز مطالبة القارض في أيّ وقت شاء و لا على حدّ العقود الجائزة لعدم جواز الرجوع إلى عين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الأقوى هو اللزوم و لا ينافيه جواز مطالبة القارض، بل هو عند التحقيق من لوازم اللزوم لا الجواز، و لذا يجب الأداء على المقترض بمجرّد المطالبة مع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القرض من عقود المعاوضة و مرجعه إلى معاوضة مال بكلّي مثله في الذمّة، و قضيّة كون عوض المال هو الكلّي في الذمّة أن يجوز للقارض مطالبة عوض ماله من حين الفراغ عن العقد و يجب على المقترض ردّه بعد المطالبة كما في سائر عقود المعاوضة، كما لا ينافيه توسعة وقت الأداء بالقياس إلى المقترض لكون مبنى مشروعيّة القرض على الإرفاق و الإمهال و التأجيل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 عقدا لازما إلاّ أنّ الدليل دلّ على عدم الالتزام ببعض لوازمه و لذا جاز المطالبة مطلقا، ففيه ما لا يخفى فإنّ قضيّة عقد المعاوضة جواز مطالبة العوض فهذا لا ينافي اللزوم حتّى يعتذر له بمثل ما ذكر</w:t>
      </w:r>
      <w:r>
        <w:rPr>
          <w:rFonts w:eastAsia="Amiri" w:cs="Amiri" w:ascii="Amiri" w:hAnsi="Amiri"/>
          <w:color w:val="111111"/>
          <w:sz w:val="28"/>
          <w:szCs w:val="28"/>
          <w:rtl w:val="true"/>
          <w:lang w:bidi="ar-SA"/>
        </w:rPr>
        <w:t xml:space="preserve">. </w:t>
      </w:r>
      <w:bookmarkStart w:id="219" w:name="pg16181_154550"/>
    </w:p>
    <w:p>
      <w:pPr>
        <w:pStyle w:val="Heading6"/>
        <w:numPr>
          <w:ilvl w:val="5"/>
          <w:numId w:val="1"/>
        </w:numPr>
        <w:rPr/>
      </w:pPr>
      <w:bookmarkStart w:id="220" w:name="__RefHeading___Toc2586561_1280447820"/>
      <w:bookmarkStart w:id="221" w:name="_Toc79"/>
      <w:bookmarkEnd w:id="219"/>
      <w:bookmarkEnd w:id="220"/>
      <w:r>
        <w:rPr>
          <w:rtl w:val="true"/>
        </w:rPr>
        <w:t>خاتمة</w:t>
      </w:r>
      <w:r>
        <w:rPr>
          <w:rtl w:val="true"/>
        </w:rPr>
        <w:t xml:space="preserve">: </w:t>
      </w:r>
      <w:r>
        <w:rPr>
          <w:rtl w:val="true"/>
        </w:rPr>
        <w:t>الإسلام ليس شرطا لوجوب الزكاة بل هو شرط لصحّتها،</w:t>
      </w:r>
      <w:bookmarkEnd w:id="221"/>
    </w:p>
    <w:p>
      <w:pPr>
        <w:pStyle w:val="BookText"/>
        <w:rPr/>
      </w:pPr>
      <w:r>
        <w:rPr>
          <w:rFonts w:ascii="Amiri" w:hAnsi="Amiri" w:eastAsia="Amiri" w:cs="Amiri"/>
          <w:color w:val="111111"/>
          <w:sz w:val="28"/>
          <w:sz w:val="28"/>
          <w:szCs w:val="28"/>
          <w:rtl w:val="true"/>
          <w:lang w:bidi="ar-SA"/>
        </w:rPr>
        <w:t>فالكافر يجب عليه زكاة ماله إذا كان من الأجناس الزكويّة، و لكن إذا أدّاه حال الكفر لم يقع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 الظاهر أنّه ممّا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المحقّق في نكت النهاية</w:t>
      </w:r>
      <w:r>
        <w:rPr>
          <w:rStyle w:val="FootnoteAnchor"/>
          <w:rtl w:val="true"/>
        </w:rPr>
        <w:footnoteReference w:id="934"/>
      </w:r>
      <w:r>
        <w:rPr>
          <w:rFonts w:ascii="Amiri" w:hAnsi="Amiri" w:eastAsia="Amiri" w:cs="Amiri"/>
          <w:color w:val="111111"/>
          <w:sz w:val="28"/>
          <w:sz w:val="28"/>
          <w:szCs w:val="28"/>
          <w:rtl w:val="true"/>
          <w:lang w:bidi="ar-SA"/>
        </w:rPr>
        <w:t>و المحقّق الأردبيلي في شرح القواعد</w:t>
      </w:r>
      <w:r>
        <w:rPr>
          <w:rStyle w:val="FootnoteAnchor"/>
          <w:rtl w:val="true"/>
        </w:rPr>
        <w:footnoteReference w:id="935"/>
      </w:r>
      <w:r>
        <w:rPr>
          <w:rFonts w:ascii="Amiri" w:hAnsi="Amiri" w:eastAsia="Amiri" w:cs="Amiri"/>
          <w:color w:val="111111"/>
          <w:sz w:val="28"/>
          <w:sz w:val="28"/>
          <w:szCs w:val="28"/>
          <w:rtl w:val="true"/>
          <w:lang w:bidi="ar-SA"/>
        </w:rPr>
        <w:t>ما يؤذن بدعوى الإجماع فعن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تجب على الكافر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صاحب المال كافرا وجبت عليه على ما هو رأي الأصحاب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قد حقّق في الاصول و الفروع أنّ الكفّار مكلّفون بفروع الشريعة كما أنّهم مكلّفون باصولها، و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يُؤْتُونَ اَلزَّكٰاةَ‌ </w:t>
      </w:r>
      <w:r>
        <w:rPr>
          <w:rStyle w:val="FootnoteAnchor"/>
          <w:rtl w:val="true"/>
        </w:rPr>
        <w:footnoteReference w:id="936"/>
      </w:r>
      <w:r>
        <w:rPr>
          <w:rFonts w:ascii="Amiri" w:hAnsi="Amiri" w:eastAsia="Amiri" w:cs="Amiri"/>
          <w:color w:val="111111"/>
          <w:sz w:val="28"/>
          <w:sz w:val="28"/>
          <w:szCs w:val="28"/>
          <w:rtl w:val="true"/>
          <w:lang w:bidi="ar-SA"/>
        </w:rPr>
        <w:t>و منهم من أخذه دليلا، و لعلّه مدخول فيه، لقوّة احتمال إرادة مانع الزكاة من المشركين، إمّا على الحقيقة إذا كان منعه الزكاة عن إنكار، أو المجاز لضرب من الاستعارة و التشبيه إذ المانع كان اعتماده في منع الزكاة لخوف النقص في المال على ماله لا على ربّه فكأنّه أشرك لربّه شركا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إرادة ذلك أنّ الإيعاد بترك إيتاء الزكاة يقضي بأنّه الموجب للاستحقاق و إلاّ كان نفس الشرك أولى بالإيعاد،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تقرّر أيضا من كون الإيمان شرطا لصحّة العبادات، و عليه مبنيّ ما استفاض من الروايات ببطلان أعمال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المعتبر الاستدلال على ذلك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الأداء مشروطة بنيّة القربة و لا يصحّ من الكافر</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و لا خفاء في ضعفه، إذ الكافر قد يكون مقرّا بالوحدانيّة بل برسالة سائر الأنبياء فيتأتّى منه نيّة القربة و يتأتّى أيضا من وكيله المسلم إذا وكّله في إخراج زكاة ماله، فالأوجه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أدّاها تقع باطلة و إن تحقّق منه أو من وكيله نيّة القربة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أسلم الكافر ففي سقوط زكاة السنين الماضية عنه كما يسقط قضاء فوائته قول معروف ذهب إليه الفاضلان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المعتبر</w:t>
      </w:r>
      <w:r>
        <w:rPr>
          <w:rStyle w:val="FootnoteAnchor"/>
          <w:rtl w:val="true"/>
        </w:rPr>
        <w:footnoteReference w:id="938"/>
      </w:r>
      <w:r>
        <w:rPr>
          <w:rFonts w:ascii="Amiri" w:hAnsi="Amiri" w:eastAsia="Amiri" w:cs="Amiri"/>
          <w:color w:val="111111"/>
          <w:sz w:val="28"/>
          <w:sz w:val="28"/>
          <w:szCs w:val="28"/>
          <w:rtl w:val="true"/>
          <w:lang w:bidi="ar-SA"/>
        </w:rPr>
        <w:t>و العلاّمة</w:t>
      </w:r>
      <w:r>
        <w:rPr>
          <w:rStyle w:val="FootnoteAnchor"/>
          <w:rtl w:val="true"/>
        </w:rPr>
        <w:footnoteReference w:id="939"/>
      </w:r>
      <w:r>
        <w:rPr>
          <w:rFonts w:ascii="Amiri" w:hAnsi="Amiri" w:eastAsia="Amiri" w:cs="Amiri"/>
          <w:color w:val="111111"/>
          <w:sz w:val="28"/>
          <w:sz w:val="28"/>
          <w:szCs w:val="28"/>
          <w:rtl w:val="true"/>
          <w:lang w:bidi="ar-SA"/>
        </w:rPr>
        <w:t xml:space="preserve">في جملة من كتبه </w:t>
      </w:r>
    </w:p>
    <w:p>
      <w:pPr>
        <w:pStyle w:val="BookText"/>
        <w:rPr/>
      </w:pPr>
      <w:r>
        <w:rPr>
          <w:rFonts w:ascii="Amiri" w:hAnsi="Amiri" w:eastAsia="Amiri" w:cs="Amiri"/>
          <w:color w:val="111111"/>
          <w:sz w:val="28"/>
          <w:sz w:val="28"/>
          <w:szCs w:val="28"/>
          <w:rtl w:val="true"/>
          <w:lang w:bidi="ar-SA"/>
        </w:rPr>
        <w:t>استنادا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و توقّف فيه في المدارك</w:t>
      </w:r>
      <w:r>
        <w:rPr>
          <w:rStyle w:val="FootnoteAnchor"/>
          <w:rtl w:val="true"/>
        </w:rPr>
        <w:footnoteReference w:id="941"/>
      </w:r>
      <w:r>
        <w:rPr>
          <w:rFonts w:ascii="Amiri" w:hAnsi="Amiri" w:eastAsia="Amiri" w:cs="Amiri"/>
          <w:color w:val="111111"/>
          <w:sz w:val="28"/>
          <w:sz w:val="28"/>
          <w:szCs w:val="28"/>
          <w:rtl w:val="true"/>
          <w:lang w:bidi="ar-SA"/>
        </w:rPr>
        <w:t>و عزاه في الذخيرة</w:t>
      </w:r>
      <w:r>
        <w:rPr>
          <w:rStyle w:val="FootnoteAnchor"/>
          <w:rtl w:val="true"/>
        </w:rPr>
        <w:footnoteReference w:id="942"/>
      </w:r>
      <w:r>
        <w:rPr>
          <w:rFonts w:ascii="Amiri" w:hAnsi="Amiri" w:eastAsia="Amiri" w:cs="Amiri"/>
          <w:color w:val="111111"/>
          <w:sz w:val="28"/>
          <w:sz w:val="28"/>
          <w:szCs w:val="28"/>
          <w:rtl w:val="true"/>
          <w:lang w:bidi="ar-SA"/>
        </w:rPr>
        <w:t>إلى غير واحد استضعافا للرواية سندا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في غير محلّه، لأنّ الرواية بعمل الأصحاب و فهمهم مجبورة إن ثبت العمل بها هنا و لو من الأكثر أو جماعة ممّن يعتبر، و عن الأردبيلي في مجمع الفائدة احتمال الإجماع على أصل الحكم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للإجماع</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أمكن الإشكال في الحكم على تقدير العمل بالرواية من جهة اخرى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غاية ما يرتفع بالإسلام و يسقط إنّما هو حقّ اللّه، و أمّا حقّ الناس الّذي يشهد بثبوته في مورد الزكاة تعلّقها بالعين فلا؛ يجب عليه بعد الإسلام إخراجها وجوبا تعبّديّا يعتبر في امتثاله نيّة القربة، و هذا لا ينافي بقاء الوجوب التوصّلي و هو إيصال الحقّ إلى مستحقّه كيفما اتّفق و إن لم ينو به التقرّب، و يقوى ذلك لو ثبت أنّه جاز للإمام أو الساعي أن يأخذ منه الزكاة حال الكفر قهرا عليه و إن لم ينويا بأدائها إلى المستحقّ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جهة له إلاّ مراعاة إيصال الحقّ إلى مستحقّه، فتأمّل في ذلك فإنّا لم نجد منهم في هذا المقام تصريحا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للسقوط أيضا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إِنْ يَنْتَهُوا يُغْفَرْ لَهُمْ مٰا قَدْ سَلَفَ‌ </w:t>
      </w:r>
      <w:r>
        <w:rPr>
          <w:rStyle w:val="FootnoteAnchor"/>
          <w:rtl w:val="true"/>
        </w:rPr>
        <w:footnoteReference w:id="944"/>
      </w:r>
      <w:r>
        <w:rPr>
          <w:rFonts w:ascii="Amiri" w:hAnsi="Amiri" w:eastAsia="Amiri" w:cs="Amiri"/>
          <w:color w:val="111111"/>
          <w:sz w:val="28"/>
          <w:sz w:val="28"/>
          <w:szCs w:val="28"/>
          <w:rtl w:val="true"/>
          <w:lang w:bidi="ar-SA"/>
        </w:rPr>
        <w:t>و ضعفه دلالة واضح، لظهور المغفرة في التجاوز عن إثم الكفر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الشرائع</w:t>
      </w:r>
      <w:r>
        <w:rPr>
          <w:rStyle w:val="FootnoteAnchor"/>
          <w:rtl w:val="true"/>
        </w:rPr>
        <w:footnoteReference w:id="945"/>
      </w:r>
      <w:r>
        <w:rPr>
          <w:rFonts w:ascii="Amiri" w:hAnsi="Amiri" w:eastAsia="Amiri" w:cs="Amiri"/>
          <w:color w:val="111111"/>
          <w:sz w:val="28"/>
          <w:sz w:val="28"/>
          <w:szCs w:val="28"/>
          <w:rtl w:val="true"/>
          <w:lang w:bidi="ar-SA"/>
        </w:rPr>
        <w:t>كما عن النهاية</w:t>
      </w:r>
      <w:r>
        <w:rPr>
          <w:rStyle w:val="FootnoteAnchor"/>
          <w:rtl w:val="true"/>
        </w:rPr>
        <w:footnoteReference w:id="946"/>
      </w:r>
      <w:r>
        <w:rPr>
          <w:rFonts w:ascii="IRNazanin" w:hAnsi="IRNazanin" w:eastAsia="IRNazanin"/>
          <w:color w:val="111111"/>
          <w:sz w:val="28"/>
          <w:sz w:val="28"/>
          <w:szCs w:val="28"/>
          <w:rtl w:val="true"/>
          <w:lang w:bidi="fa-IR"/>
        </w:rPr>
        <w:t>و القواعد</w:t>
      </w:r>
      <w:r>
        <w:rPr>
          <w:rStyle w:val="FootnoteAnchor"/>
          <w:rtl w:val="true"/>
        </w:rPr>
        <w:footnoteReference w:id="947"/>
      </w:r>
      <w:r>
        <w:rPr>
          <w:rFonts w:ascii="Amiri" w:hAnsi="Amiri" w:eastAsia="Amiri" w:cs="Amiri"/>
          <w:color w:val="111111"/>
          <w:sz w:val="28"/>
          <w:sz w:val="28"/>
          <w:szCs w:val="28"/>
          <w:rtl w:val="true"/>
          <w:lang w:bidi="ar-SA"/>
        </w:rPr>
        <w:t>و التلخيص</w:t>
      </w:r>
      <w:r>
        <w:rPr>
          <w:rStyle w:val="FootnoteAnchor"/>
          <w:rtl w:val="true"/>
        </w:rPr>
        <w:footnoteReference w:id="948"/>
      </w:r>
      <w:r>
        <w:rPr>
          <w:rFonts w:ascii="IRNazanin" w:hAnsi="IRNazanin" w:eastAsia="IRNazanin"/>
          <w:color w:val="111111"/>
          <w:sz w:val="28"/>
          <w:sz w:val="28"/>
          <w:szCs w:val="28"/>
          <w:rtl w:val="true"/>
          <w:lang w:bidi="fa-IR"/>
        </w:rPr>
        <w:t>و الجامع</w:t>
      </w:r>
      <w:r>
        <w:rPr>
          <w:rStyle w:val="FootnoteAnchor"/>
          <w:rtl w:val="true"/>
        </w:rPr>
        <w:footnoteReference w:id="949"/>
      </w:r>
      <w:r>
        <w:rPr>
          <w:rFonts w:ascii="Amiri" w:hAnsi="Amiri" w:eastAsia="Amiri" w:cs="Amiri"/>
          <w:color w:val="111111"/>
          <w:sz w:val="28"/>
          <w:sz w:val="28"/>
          <w:szCs w:val="28"/>
          <w:rtl w:val="true"/>
          <w:lang w:bidi="ar-SA"/>
        </w:rPr>
        <w:t>و مجمع الفائدة</w:t>
      </w:r>
      <w:r>
        <w:rPr>
          <w:rStyle w:val="FootnoteAnchor"/>
          <w:rtl w:val="true"/>
        </w:rPr>
        <w:footnoteReference w:id="950"/>
      </w:r>
      <w:r>
        <w:rPr>
          <w:rFonts w:ascii="Amiri" w:hAnsi="Amiri" w:eastAsia="Amiri" w:cs="Amiri"/>
          <w:color w:val="111111"/>
          <w:sz w:val="28"/>
          <w:sz w:val="28"/>
          <w:szCs w:val="28"/>
          <w:rtl w:val="true"/>
          <w:lang w:bidi="ar-SA"/>
        </w:rPr>
        <w:t>أنّه إذا تلفت الزكاة في يد الكافر لم يضمن و إن أهمل أو فرّط في الحفظ، و نسبه في الذخيرة إلى كثير</w:t>
      </w:r>
      <w:r>
        <w:rPr>
          <w:rStyle w:val="FootnoteAnchor"/>
          <w:rtl w:val="true"/>
        </w:rPr>
        <w:footnoteReference w:id="951"/>
      </w:r>
      <w:r>
        <w:rPr>
          <w:rFonts w:ascii="Amiri" w:hAnsi="Amiri" w:eastAsia="Amiri" w:cs="Amiri"/>
          <w:color w:val="111111"/>
          <w:sz w:val="28"/>
          <w:sz w:val="28"/>
          <w:szCs w:val="28"/>
          <w:rtl w:val="true"/>
          <w:lang w:bidi="ar-SA"/>
        </w:rPr>
        <w:t>و لعلّ مبناه على أنّ الضمان بعد تلف العين حكم مخالف للأصل فلا يلتزم به إلاّ عن دليل و لا دليل عليه هنا بالخصوص، و ما تقدّم من النصوص في ضمان المسلم لا يتناول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ينزّل عدم الضمان على ما بعد الإسلام فإنّ الزكاة إذا سقطت بالإسلام فلا فائدة في ضمانها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كلامهم يقتضي نفي الضمان مطلقا حتّى حال الكفر، و لذا ذكر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بعدم الضمان مع التلف لا تظهر فائدته مع إسلامه لما عرفت من أنّها تسقط عنه و إن بقى المال بل إنّما تظهر فائدة التلف فيما لو أراد الإمام أو الساعي أخذ الزكاة منه قهرا فإنّه يشترط فيه بقاء النصاب، فلو وجده قد أتلفه لم يضمنه الزكاة و إن كان بتفريطه و لم أقف على دليل يدلّ على اعتبار هذا الشرط</w:t>
      </w:r>
      <w:r>
        <w:rPr>
          <w:rFonts w:eastAsia="Amiri" w:cs="Amiri" w:ascii="Amiri" w:hAnsi="Amiri"/>
          <w:color w:val="111111"/>
          <w:sz w:val="28"/>
          <w:szCs w:val="28"/>
          <w:rtl w:val="true"/>
          <w:lang w:bidi="ar-SA"/>
        </w:rPr>
        <w:t>»</w:t>
      </w:r>
      <w:r>
        <w:rPr>
          <w:rStyle w:val="FootnoteAnchor"/>
          <w:rtl w:val="true"/>
        </w:rPr>
        <w:footnoteReference w:id="95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كلامه رحمه اللّه أنّ سقوط الضمان حتّى حال الكفر مخالف للأصل حيث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دليل يدلّ على اعتبار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شرط بقاء النصاب، و لذا استشكل فيه في المدارك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مشكل لعدم وضوح مأخذه</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يعني مأخذ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لا تخلو عن إشكال و للتوقّف فيه مجال و إن كان ما وجّهناه لا يخلو عن قرب</w:t>
      </w:r>
      <w:r>
        <w:rPr>
          <w:rFonts w:eastAsia="Amiri" w:cs="Amiri" w:ascii="Amiri" w:hAnsi="Amiri"/>
          <w:color w:val="111111"/>
          <w:sz w:val="28"/>
          <w:szCs w:val="28"/>
          <w:rtl w:val="true"/>
          <w:lang w:bidi="ar-SA"/>
        </w:rPr>
        <w:t xml:space="preserve">. </w:t>
      </w:r>
      <w:bookmarkStart w:id="222" w:name="pg16181_154553"/>
    </w:p>
    <w:p>
      <w:pPr>
        <w:pStyle w:val="Heading4"/>
        <w:numPr>
          <w:ilvl w:val="3"/>
          <w:numId w:val="1"/>
        </w:numPr>
        <w:rPr/>
      </w:pPr>
      <w:bookmarkStart w:id="223" w:name="__RefHeading___Toc2586563_1280447820"/>
      <w:bookmarkStart w:id="224" w:name="_Toc80"/>
      <w:bookmarkEnd w:id="222"/>
      <w:bookmarkEnd w:id="223"/>
      <w:r>
        <w:rPr>
          <w:rtl w:val="true"/>
        </w:rPr>
        <w:t>المبحث الثاني فيما يجب فيه الزكاة من الأموالو سائر ما يتعلّق به من الشروط و الأحكام</w:t>
      </w:r>
      <w:bookmarkEnd w:id="224"/>
    </w:p>
    <w:p>
      <w:pPr>
        <w:pStyle w:val="Heading5"/>
        <w:numPr>
          <w:ilvl w:val="4"/>
          <w:numId w:val="1"/>
        </w:numPr>
        <w:rPr/>
      </w:pPr>
      <w:bookmarkStart w:id="225" w:name="__RefHeading___Toc2586565_1280447820"/>
      <w:bookmarkStart w:id="226" w:name="_Toc81"/>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المبحث الثاني فيما يجب فيه الزكاة من الأموال</w:t>
      </w:r>
      <w:r>
        <w:rPr>
          <w:rStyle w:val="FootnoteAnchor"/>
          <w:rtl w:val="true"/>
        </w:rPr>
        <w:footnoteReference w:id="954"/>
      </w:r>
      <w:r>
        <w:rPr>
          <w:rFonts w:ascii="Amiri" w:hAnsi="Amiri" w:eastAsia="Amiri" w:cs="Amiri"/>
          <w:color w:val="111111"/>
          <w:sz w:val="28"/>
          <w:sz w:val="28"/>
          <w:szCs w:val="28"/>
          <w:rtl w:val="true"/>
          <w:lang w:bidi="ar-SA"/>
        </w:rPr>
        <w:t>و سائر ما يتعلّق به من الشروط و الأحكام</w:t>
      </w:r>
    </w:p>
    <w:p>
      <w:pPr>
        <w:pStyle w:val="BookText"/>
        <w:rPr/>
      </w:pPr>
      <w:r>
        <w:rPr>
          <w:rFonts w:ascii="Amiri" w:hAnsi="Amiri" w:eastAsia="Amiri" w:cs="Amiri"/>
          <w:color w:val="111111"/>
          <w:sz w:val="28"/>
          <w:sz w:val="28"/>
          <w:szCs w:val="28"/>
          <w:rtl w:val="true"/>
          <w:lang w:bidi="ar-SA"/>
        </w:rPr>
        <w:t>و اعلم أنّه يجب الزكاة في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الثلاث الإبل و البقر و الغنم، و الذهب و الفضّة، و الغلاّت الأربع الحنطة و الشعير و التمر و الزبيب، و لا تجب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الوجوب في هذه الأشياء فبإجماع علماء الإسلام، و عن التذكرة و المنتهى أنّه مجمع عليه بين المسلمين</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فبالشهرة العظيمة الّتي كادت تبلغ الإجماع بل هو إجماع في الحقيقة لشذوذ المخالف و معلوميّة نسبه، و لذا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مذهب الأصحاب عدى ابن الجنيد</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فإنّ المنقول عن ابن الجنيد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تؤخذ الزكاة في أرض العشر من كلّ ما دخل القفيز من حنطة و شعير و سمسم و أرز و دخن و ذرّة و عدس و سلت و سائر الحبوب</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كلامه لإرادة الاستحباب بالقياس إلى ما عدى الحنطة و الشعير </w:t>
      </w:r>
    </w:p>
    <w:p>
      <w:pPr>
        <w:pStyle w:val="BookText"/>
        <w:rPr/>
      </w:pPr>
      <w:r>
        <w:rPr>
          <w:rFonts w:ascii="Amiri" w:hAnsi="Amiri" w:eastAsia="Amiri" w:cs="Amiri"/>
          <w:color w:val="111111"/>
          <w:sz w:val="28"/>
          <w:sz w:val="28"/>
          <w:szCs w:val="28"/>
          <w:rtl w:val="true"/>
          <w:lang w:bidi="ar-SA"/>
        </w:rPr>
        <w:t>لما تعرفه من كونه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النصوص بالحكمين</w:t>
      </w:r>
      <w:r>
        <w:rPr>
          <w:rStyle w:val="FootnoteAnchor"/>
          <w:rtl w:val="true"/>
        </w:rPr>
        <w:footnoteReference w:id="958"/>
      </w:r>
      <w:r>
        <w:rPr>
          <w:rFonts w:ascii="Amiri" w:hAnsi="Amiri" w:eastAsia="Amiri" w:cs="Amiri"/>
          <w:color w:val="111111"/>
          <w:sz w:val="28"/>
          <w:sz w:val="28"/>
          <w:szCs w:val="28"/>
          <w:rtl w:val="true"/>
          <w:lang w:bidi="ar-SA"/>
        </w:rPr>
        <w:t xml:space="preserve">معا مستفيضة بل متواترة، ففي صحيح الفضلاء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 محمّد بن مسلم و أبي بصير و بريد بن معاوية العجلي و 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و أبي عبد اللّه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الزكاة مع الصلاة في الأموال و سنّها رسول اللّه صلّى اللّه عليه و آله في تسعة أشياء و عفا عمّا سواهنّ‌، في الذهب و الفضّة و الإبل و البقر و الغنم و الحنطة و الشعير و التمر و الزبيب، و عفا رسول اللّه عمّا سوى ذلك</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انزلت آية الزكاة خُذْ مِنْ أَمْوٰالِهِمْ صَدَقَةً تُطَهِّرُهُمْ وَ تُزَكِّيهِمْ بِهٰا </w:t>
      </w:r>
      <w:r>
        <w:rPr>
          <w:rStyle w:val="FootnoteAnchor"/>
          <w:rtl w:val="true"/>
        </w:rPr>
        <w:footnoteReference w:id="960"/>
      </w:r>
      <w:r>
        <w:rPr>
          <w:rFonts w:ascii="Amiri" w:hAnsi="Amiri" w:eastAsia="Amiri" w:cs="Amiri"/>
          <w:color w:val="111111"/>
          <w:sz w:val="28"/>
          <w:sz w:val="28"/>
          <w:szCs w:val="28"/>
          <w:rtl w:val="true"/>
          <w:lang w:bidi="ar-SA"/>
        </w:rPr>
        <w:t>في شهر رمضان فأمر رسول اللّه صلّى اللّه عليه و آله 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فرض عليكم الزكاة كما فرض عليكم الصلاة فرض اللّه عليكم من الذهب و الفضّة و الإبل و البقر و الغنم و من الحنطة و الشعير و التمر و الزبيب، و نادى فيهم بذلك في شهر رمضان و عفا لهم عمّا سوى ذلك</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أنبتت الأرض من الحنطة و الشعير و التمر و الزبيب ما بلغ خمسة أوساق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الوسق ستّون صاعا فذلك ثلاثمائة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فيما دون الثلاثمائة صاع شيء، و ليس فيما أنبتت الأرض شيء إلاّ في هذه الأربعة أشياء</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 عبيد اللّه بن عليّ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على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الذهب و الفضّة و الحنطة و الشعير و التمر و الزبيب و الإبل و البقر و الغنم، و عفا رسول اللّه صلّى اللّه عليه و آله عمّا سوى ذلك</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موثّق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صدقات الأموال،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 أشياء ليس في غيرها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و الفضّة و الحنطة و الشعير و التمر و الزبيب و الإبل و البقر و الغنم السائمة و هي الراعية، و ليس في شيء من الحيوان غير هذه الثلاثة الأصناف شيء، و كلّ شيء كان من هذه الثلاثة الأصناف فليس فيه شيء حتّى يحول عليه الحول منذ يوم ينتج</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أبي بصير و الحسن بن شهاب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رسول اللّه صلّى اللّه عليه و آله الزكاة على تسعة أشياء و عفا عمّا سوى ذلك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و الحنطة و الشعير و التمر و الزبيب و الإبل و البقر و الغنم</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أبي بكر الحضرمي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رسول اللّه صلّى اللّه عليه و آله الزكاة على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التمر و الزبيب و الذهب و الفضّة و الإبل و البقر و الغنم، و عفا عمّا سوى ذلك</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زرارة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في تسعة أشياء، على الذهب و الفضّة و الحنطة و الشعير و التمر و الزبيب و الإبل و البقر و الغنم، و عفا رسول اللّه عمّا سوى ذلك</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محمّد بن طيّار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الزكاة إنّما يجب جميعها في تسعة أشياء خصّها رسول اللّه صلّى اللّه عليه و آله بفريضتها فيها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و الحنطة و الشعير و التمر و الزبيب و الإبل و البقر و الغنم، و عفا رسول اللّه عمّا سوى ذلك</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عليّ بن جعفر في كتابه عن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الصدقة فيما هي‌؟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 الحنطة و الشعير و التمر و الزبيب و الذهب و الفضّة و الإبل و البقر و الغنم، و عفا عمّا سوى ذلك</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خبر محمّد بن جعفر الطيّار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عمّا تجب فيه الزكاة،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 أشياء، الذهب و الفضّة و الحنطة و الشعير و التمر و الزبيب و الإبل و البقر و الغنم، و عفا رسول اللّه عمّا سوى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فإنّ عندنا حبّا كثيرا، قال،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أكثره،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فيه الزكاة‌؟ فزبرني،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عفا عمّا سوى ذلك،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حبّا كثيرا أ فيه الزكاة‌؟</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 خبر جميل بن درّاج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صلّى اللّه عليه و آله الزكاة على تسعة أشياء و عفا عمّا سوى ذلك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و الذهب و الحنطة و الشعير و التمر و الزبيب و الإبل و البقر و الغنم، فقال له الطيّار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حبّا كثيرا يقال له الأرز،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حبّ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اعلمنّك أنّ رسول اللّه صلّى اللّه عليه و آله عفا عمّا سوى ذلك</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الجنيد</w:t>
      </w:r>
      <w:r>
        <w:rPr>
          <w:rStyle w:val="FootnoteAnchor"/>
          <w:rtl w:val="true"/>
        </w:rPr>
        <w:footnoteReference w:id="972"/>
      </w:r>
      <w:r>
        <w:rPr>
          <w:rFonts w:ascii="Amiri" w:hAnsi="Amiri" w:eastAsia="Amiri" w:cs="Amiri"/>
          <w:color w:val="111111"/>
          <w:sz w:val="28"/>
          <w:sz w:val="28"/>
          <w:szCs w:val="28"/>
          <w:rtl w:val="true"/>
          <w:lang w:bidi="ar-SA"/>
        </w:rPr>
        <w:t>الاحتجاج بالعمومات الكتابيّة و الأخبار الخاصّة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اَلزَّكٰاةَ‌ </w:t>
      </w:r>
      <w:r>
        <w:rPr>
          <w:rStyle w:val="FootnoteAnchor"/>
          <w:rtl w:val="true"/>
        </w:rPr>
        <w:footnoteReference w:id="973"/>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يَوْمَ حَصٰادِهِ </w:t>
      </w:r>
      <w:r>
        <w:rPr>
          <w:rStyle w:val="FootnoteAnchor"/>
          <w:rtl w:val="true"/>
        </w:rPr>
        <w:footnoteReference w:id="974"/>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مِنْ طَيِّبٰاتِ مٰا كَسَبْتُمْ وَ مِمّٰا أَخْرَجْنٰا لَكُمْ مِنَ اَلْأَرْضِ‌ </w:t>
      </w:r>
      <w:r>
        <w:rPr>
          <w:rStyle w:val="FootnoteAnchor"/>
          <w:rtl w:val="true"/>
        </w:rPr>
        <w:footnoteReference w:id="975"/>
      </w:r>
      <w:r>
        <w:rPr>
          <w:rFonts w:ascii="Amiri" w:hAnsi="Amiri" w:eastAsia="Amiri" w:cs="Amiri"/>
          <w:color w:val="111111"/>
          <w:sz w:val="28"/>
          <w:sz w:val="28"/>
          <w:szCs w:val="28"/>
          <w:rtl w:val="true"/>
          <w:lang w:bidi="ar-SA"/>
        </w:rPr>
        <w:t>بتقريب أنّ المراد بالإنفاق إعطاء الصدقة بدلالة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يَكْنِزُونَ اَلذَّهَبَ وَ اَلْفِضَّةَ </w:t>
      </w:r>
    </w:p>
    <w:p>
      <w:pPr>
        <w:pStyle w:val="BookText"/>
        <w:rPr/>
      </w:pPr>
      <w:r>
        <w:rPr>
          <w:rFonts w:ascii="Amiri" w:hAnsi="Amiri" w:eastAsia="Amiri" w:cs="Amiri"/>
          <w:color w:val="111111"/>
          <w:sz w:val="28"/>
          <w:sz w:val="28"/>
          <w:szCs w:val="28"/>
          <w:rtl w:val="true"/>
          <w:lang w:bidi="ar-SA"/>
        </w:rPr>
        <w:t xml:space="preserve">وَ لاٰ يُنْفِقُونَهٰا فِي سَبِيلِ اَللّٰهِ‌ </w:t>
      </w:r>
      <w:r>
        <w:rPr>
          <w:rStyle w:val="FootnoteAnchor"/>
          <w:rtl w:val="true"/>
        </w:rPr>
        <w:footnoteReference w:id="976"/>
      </w:r>
      <w:r>
        <w:rPr>
          <w:rFonts w:ascii="Amiri" w:hAnsi="Amiri" w:eastAsia="Amiri" w:cs="Amiri"/>
          <w:color w:val="111111"/>
          <w:sz w:val="28"/>
          <w:sz w:val="28"/>
          <w:szCs w:val="28"/>
          <w:rtl w:val="true"/>
          <w:lang w:bidi="ar-SA"/>
        </w:rPr>
        <w:t>يعني لا يخرجون الزكاة و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تُزَكِّيهِمْ بِهٰا </w:t>
      </w:r>
      <w:r>
        <w:rPr>
          <w:rStyle w:val="FootnoteAnchor"/>
          <w:rtl w:val="true"/>
        </w:rPr>
        <w:footnoteReference w:id="977"/>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أَمْوٰالِهِمْ حَقٌّ لِلسّٰائِلِ وَ اَلْمَحْرُومِ‌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باعتبار ما يجب فيه الزكاة مجملة فلا بدّ من وصول بيانه من أهل البيت عليهم السّلام و قد بيّنوه في أخبارهم المتواترة فخصّوها بالتسعة المتقدّمة، و لو سلّم البيان بضابطة عموم حذف المتعلّق، وجب تخصيصها بالتسعة المذكورة بواسطة الأخبار المتقدّمة</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بإيتائها الزكاة الواجبة، بل المراد به على ما تقدّم تحقيقه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يعطى الفقير و السائل و المجتاز ضغثا بعد ضغث و حفنة بعد حفنة، و الأمر به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 الزكاة بل أعمّ منه و من إنفاق الزوجة و الأبوين و غيرهما ممّا هو واجب، و من الإنفاق في سبيل اللّه و غيره ممّا هو مستحبّ‌، و من إنفاق الصديق و الحميم من غير طلب للقربة و غير ذلك ممّا هو مباح، و لعلّ المراد به في الآية ضرب من الواجب غير الزكاة أو المندوب أو المباح، و كونه خصوص الزكاة يحتاج إلى دلالة منتفية في المقام مع إمكان دعوى ظهوره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بمقتضى صحيحة عبد اللّه بن سنان المتقدّمة</w:t>
      </w:r>
      <w:r>
        <w:rPr>
          <w:rStyle w:val="FootnoteAnchor"/>
          <w:rtl w:val="true"/>
        </w:rPr>
        <w:footnoteReference w:id="980"/>
      </w:r>
      <w:r>
        <w:rPr>
          <w:rFonts w:ascii="Amiri" w:hAnsi="Amiri" w:eastAsia="Amiri" w:cs="Amiri"/>
          <w:color w:val="111111"/>
          <w:sz w:val="28"/>
          <w:sz w:val="28"/>
          <w:szCs w:val="28"/>
          <w:rtl w:val="true"/>
          <w:lang w:bidi="ar-SA"/>
        </w:rPr>
        <w:t>و غيرها مخصوصة بالتسعة أشياء 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إرادة الزكاة الواجبة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الصدقة المستحبّة الّتي تعطى الفقير و السائل بقرينة ورود ذكره في قرن المستحبّات و سياق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العموم وجب تخصيصها بالتسعة أشياء، لما تواتر من الأخبار المصرّحة بالعفو عمّا سواها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الحبوب، نسخة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يزكّى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 الشعير و الذرّة و الدخن و الأرز و السلت </w:t>
      </w:r>
    </w:p>
    <w:p>
      <w:pPr>
        <w:pStyle w:val="BookText"/>
        <w:rPr/>
      </w:pPr>
      <w:r>
        <w:rPr>
          <w:rFonts w:ascii="Amiri" w:hAnsi="Amiri" w:eastAsia="Amiri" w:cs="Amiri"/>
          <w:color w:val="111111"/>
          <w:sz w:val="28"/>
          <w:sz w:val="28"/>
          <w:szCs w:val="28"/>
          <w:rtl w:val="true"/>
          <w:lang w:bidi="ar-SA"/>
        </w:rPr>
        <w:t>و العدس و السمسم كلّ هذا يزكّى و أشباهه</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حريز عن زرارة عن أبي عبد اللّه عليه السّلام مثله، 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كيل بالصاع فبلغ الأوساق فعليه الزكاة،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رسول اللّه صلّى اللّه عليه و آله الصدقة في كلّ شيء أنبتت الأرض إلاّ ما كان في الخضر و البقول و كلّ شيء يفسد من يومه</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الكليني بإسناد صحيح عن عليّ بن مهزيار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الحسن عليه السّلام كتب إلى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على كلّ ما كيل بالصاع،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عبد اللّه و روى غير هذا الرجل عن أبي عبد اللّه عليه 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الحبوب،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السمسم و الأرز و الدخن و كلّ هذا غلّة كالحنطة و الشعير،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الحبوب كلّها زكاة</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القفيز فهو يجري مجرى الحنطة و الشعير و التمر و الزبيب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جعلت فداك هل على هذا الأرز و ما أشبهه من الحبوب الحمص و العدس زكاة‌؟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الزكاة في كلّ شيء كيل</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أبي مريم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الحرث ما يزكّى منه‌؟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الشعير و الذرّة و الأرز و السلت و العدس كلّ هذا ممّا يزكّى، 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كيل بالصاع فبلغ الأوساق فعليه الزكاة</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الأرز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لم يكن يومئذ أرض أرز فيقال فيه، و لكنّه قد حصل فيه و كيف لا يكون فيه‌؟ و عامّة خراج العراق منه</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227" w:name="pg16181_154559"/>
    </w:p>
    <w:p>
      <w:pPr>
        <w:pStyle w:val="BookText"/>
        <w:rPr/>
      </w:pPr>
      <w:bookmarkEnd w:id="227"/>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الذرة شيء؟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 و العدس و السلت و الحبوب فيها مثل ما في الحنطة و الشعير، و كلّ ما كيل بالصاع فبلغ الأوساق الّتي يجب فيها الزكاة فعليه الزكاة</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محمّد 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رطبة و أرزا فما الّذي علينا فيها؟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الرطبة فليس عليك فيها شيء، و أمّا الأرز فما سقت السماء العشر و ما سقى بالدلو فنصف العشر من كلّ ما كلت بالصاع أو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بالمكيال</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2586567_1280447820"/>
      <w:bookmarkStart w:id="229" w:name="_Toc82"/>
      <w:bookmarkEnd w:id="228"/>
      <w:r>
        <w:rPr>
          <w:rtl w:val="true"/>
        </w:rPr>
        <w:t>[</w:t>
      </w:r>
      <w:r>
        <w:rPr>
          <w:rtl w:val="true"/>
        </w:rPr>
        <w:t>ردّ المؤلّف على أدلّة ابن الجنيد</w:t>
      </w:r>
      <w:r>
        <w:rPr>
          <w:rtl w:val="true"/>
        </w:rPr>
        <w:t>]</w:t>
      </w:r>
      <w:bookmarkEnd w:id="229"/>
    </w:p>
    <w:p>
      <w:pPr>
        <w:pStyle w:val="BookText"/>
        <w:rPr/>
      </w:pPr>
      <w:r>
        <w:rPr>
          <w:rFonts w:ascii="Amiri" w:hAnsi="Amiri" w:eastAsia="Amiri" w:cs="Amiri"/>
          <w:color w:val="111111"/>
          <w:sz w:val="28"/>
          <w:sz w:val="28"/>
          <w:szCs w:val="28"/>
          <w:rtl w:val="true"/>
          <w:lang w:bidi="ar-SA"/>
        </w:rPr>
        <w:t>و الجواب عنها مع احتمال خروجها مخرج التقيّة لموافقة ظواهرها لمذهب جمهور العامّة على ما حكي، فعن المنتهى</w:t>
      </w:r>
      <w:r>
        <w:rPr>
          <w:rStyle w:val="FootnoteAnchor"/>
          <w:rtl w:val="true"/>
        </w:rPr>
        <w:footnoteReference w:id="989"/>
      </w:r>
      <w:r>
        <w:rPr>
          <w:rFonts w:ascii="Amiri" w:hAnsi="Amiri" w:eastAsia="Amiri" w:cs="Amiri"/>
          <w:color w:val="111111"/>
          <w:sz w:val="28"/>
          <w:sz w:val="28"/>
          <w:szCs w:val="28"/>
          <w:rtl w:val="true"/>
          <w:lang w:bidi="ar-SA"/>
        </w:rPr>
        <w:t>أنّ القول بوجوب الزكاة في هذه الأشياء مذهب الشافعي</w:t>
      </w:r>
      <w:r>
        <w:rPr>
          <w:rStyle w:val="FootnoteAnchor"/>
          <w:rtl w:val="true"/>
        </w:rPr>
        <w:footnoteReference w:id="9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أبي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أبي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يشهد رواية أبي سعيد القمّاط المرويّة عن معاني الأخبار عمّن ذكره عن أبي عبد اللّه عليه 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صلّى اللّه عليه و آله الزكاة على تسعة و عفا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التمر و الزبيب و الذهب و الفضّة و البقر و الغنم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الذرّة، فغضب عليه السّلام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على عهد رسول اللّه السماسم و الذرّة و الدخن و جميع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ذلك على عهد رسول اللّه صلّى اللّه عليه و آله و إنّما وضع على تسعة لما لم يكن بحضرته غير ذلك، فغضب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فهل يكون العفو إلاّ عن شيء قد كان‌؟ و لا و اللّه ما أعرف شيئا عليه الزكاة غير هذا فمن شاء فليؤمن و من شاء فليكفر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6181_154560"/>
    </w:p>
    <w:p>
      <w:pPr>
        <w:pStyle w:val="BookText"/>
        <w:rPr/>
      </w:pPr>
      <w:bookmarkEnd w:id="230"/>
      <w:r>
        <w:rPr>
          <w:rFonts w:ascii="Amiri" w:hAnsi="Amiri" w:eastAsia="Amiri" w:cs="Amiri"/>
          <w:color w:val="111111"/>
          <w:sz w:val="28"/>
          <w:sz w:val="28"/>
          <w:szCs w:val="28"/>
          <w:rtl w:val="true"/>
          <w:lang w:bidi="ar-SA"/>
        </w:rPr>
        <w:t>إنّ هذه الأخبار في فهم الأصحاب محمولة على الاستحباب، لعدم مقاومتها لمعارضة ما مرّ</w:t>
      </w:r>
      <w:r>
        <w:rPr>
          <w:rStyle w:val="FootnoteAnchor"/>
          <w:rtl w:val="true"/>
        </w:rPr>
        <w:footnoteReference w:id="991"/>
      </w:r>
      <w:r>
        <w:rPr>
          <w:rFonts w:ascii="Amiri" w:hAnsi="Amiri" w:eastAsia="Amiri" w:cs="Amiri"/>
          <w:color w:val="111111"/>
          <w:sz w:val="28"/>
          <w:sz w:val="28"/>
          <w:szCs w:val="28"/>
          <w:rtl w:val="true"/>
          <w:lang w:bidi="ar-SA"/>
        </w:rPr>
        <w:t>من الأخبار المتواترة سندا الحاصرة لما يجب فيه الزكاة في التسعة بطريق النصوصيّة، بخلافها لظنّية سندها و ظهور دلالتها فلا بدّ من إرجاع التأويل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عدم قطعيّة سند ما تقدّم باعتبار عدم التواتر، لكفى نصوصيّة دلالتها في إرجاع التأويل إليها، تقديما للنصّ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ما تقدّم في الدلالة على نفي وجوب الزكاة صراحة فيما بين الحبوب عمّا عدى الغلاّت الأربع، صحيحة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أنبتت الأرض من الحنطة و الشعير و التمر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فيما أنبتت الأرض شيء إلاّ في هذه الأربعة أشياء</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زرارة و بكير بن أعين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شيء أنبتت الأرض من الأرز و الذرة و الدخن و الحمّص و العدس و سائر الحبوب و الفواكه غير هذه الأربعة الأصناف و إن كثر ثمنه زكاة، إلاّ أن يصير ما لا يباع بذهب أو فضّة تكنز، ثمّ يحول عليه الحول و قد صار ذهبا أو فضّة فيؤدّى عنه من كلّ مائتي درهم خمسة دراهم، و من كلّ عشرين دينارا نصف دينار</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2586569_1280447820"/>
      <w:bookmarkStart w:id="232" w:name="_Toc83"/>
      <w:bookmarkEnd w:id="231"/>
      <w:r>
        <w:rPr>
          <w:rtl w:val="true"/>
        </w:rPr>
        <w:t>[</w:t>
      </w:r>
      <w:r>
        <w:rPr>
          <w:rtl w:val="true"/>
        </w:rPr>
        <w:t>ما يستحبّ فيه الزكاة إجمالا</w:t>
      </w:r>
      <w:r>
        <w:rPr>
          <w:rtl w:val="true"/>
        </w:rPr>
        <w:t>]</w:t>
      </w:r>
      <w:bookmarkEnd w:id="232"/>
    </w:p>
    <w:p>
      <w:pPr>
        <w:pStyle w:val="BookText"/>
        <w:rPr/>
      </w:pPr>
      <w:r>
        <w:rPr>
          <w:rFonts w:ascii="Amiri" w:hAnsi="Amiri" w:eastAsia="Amiri" w:cs="Amiri"/>
          <w:color w:val="111111"/>
          <w:sz w:val="28"/>
          <w:sz w:val="28"/>
          <w:szCs w:val="28"/>
          <w:rtl w:val="true"/>
          <w:lang w:bidi="ar-SA"/>
        </w:rPr>
        <w:t>ثمّ إنّه يستحبّ الزكاة ممّا عدى الامور التسع المذكورة في أربعة أشياء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أنبته الأرض ممّا يكال أو يوزن ممّا عدى الغلاّت الأربع من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كالأرز و الذرّة و الدخن و العدس و الحمّص و السمسم و ما أشبه ذلك، و من الحبوب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كونهما من الحنطة و الشعير ليجب فيهما الزكاة، أو من سائر </w:t>
      </w:r>
    </w:p>
    <w:p>
      <w:pPr>
        <w:pStyle w:val="BookText"/>
        <w:rPr/>
      </w:pPr>
      <w:r>
        <w:rPr>
          <w:rFonts w:ascii="Amiri" w:hAnsi="Amiri" w:eastAsia="Amiri" w:cs="Amiri"/>
          <w:color w:val="111111"/>
          <w:sz w:val="28"/>
          <w:sz w:val="28"/>
          <w:szCs w:val="28"/>
          <w:rtl w:val="true"/>
          <w:lang w:bidi="ar-SA"/>
        </w:rPr>
        <w:t xml:space="preserve">الحبوب الّتي يستحبّ فيها الزكاة‌؟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ثمّ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بالأوّل و قيل</w:t>
      </w:r>
      <w:r>
        <w:rPr>
          <w:rStyle w:val="FootnoteAnchor"/>
          <w:rtl w:val="true"/>
        </w:rPr>
        <w:footnoteReference w:id="995"/>
      </w:r>
      <w:r>
        <w:rPr>
          <w:rFonts w:ascii="Amiri" w:hAnsi="Amiri" w:eastAsia="Amiri" w:cs="Amiri"/>
          <w:color w:val="111111"/>
          <w:sz w:val="28"/>
          <w:sz w:val="28"/>
          <w:szCs w:val="28"/>
          <w:rtl w:val="true"/>
          <w:lang w:bidi="ar-SA"/>
        </w:rPr>
        <w:t>بالثاني، و توقّف جماعة منهم المحقّق في المعتبر على ما حكي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العلس كالحنطة و السلت كالشعير، و قد قال بعض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العلس نوع من الحنطة و السلت نوع من الشعير، و عندي في ذلك توقّف</w:t>
      </w:r>
      <w:r>
        <w:rPr>
          <w:rFonts w:eastAsia="Amiri" w:cs="Amiri" w:ascii="Amiri" w:hAnsi="Amiri"/>
          <w:color w:val="111111"/>
          <w:sz w:val="28"/>
          <w:szCs w:val="28"/>
          <w:rtl w:val="true"/>
          <w:lang w:bidi="ar-SA"/>
        </w:rPr>
        <w:t>»</w:t>
      </w:r>
      <w:r>
        <w:rPr>
          <w:rStyle w:val="FootnoteAnchor"/>
          <w:rtl w:val="true"/>
        </w:rPr>
        <w:footnoteReference w:id="9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الإناث السائمة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 الّتي اشتراها للاستنماء و إن كانت نحو الحانوت و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تفاصيل هذه الأشياء و فروعها و سائر ما يتعلّق بها له محلّ آخر يأتي في أواخر المبحث إن شاء اللّه تعالى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التكلّم في تفاصيل الأنواع التسعة المتقدّمة الّتي يجب فيها الزكاة، و يقع ذلك في مقامات ثلاث</w:t>
      </w:r>
      <w:r>
        <w:rPr>
          <w:rFonts w:eastAsia="Amiri" w:cs="Amiri" w:ascii="Amiri" w:hAnsi="Amiri"/>
          <w:color w:val="111111"/>
          <w:sz w:val="28"/>
          <w:szCs w:val="28"/>
          <w:rtl w:val="true"/>
          <w:lang w:bidi="ar-SA"/>
        </w:rPr>
        <w:t xml:space="preserve">: </w:t>
      </w:r>
      <w:bookmarkStart w:id="233" w:name="pg16181_154562"/>
    </w:p>
    <w:p>
      <w:pPr>
        <w:pStyle w:val="Heading5"/>
        <w:numPr>
          <w:ilvl w:val="4"/>
          <w:numId w:val="1"/>
        </w:numPr>
        <w:rPr/>
      </w:pPr>
      <w:bookmarkStart w:id="234" w:name="__RefHeading___Toc2586571_1280447820"/>
      <w:bookmarkStart w:id="235" w:name="_Toc84"/>
      <w:bookmarkEnd w:id="233"/>
      <w:bookmarkEnd w:id="234"/>
      <w:r>
        <w:rPr>
          <w:rtl w:val="true"/>
        </w:rPr>
        <w:t>المقام الأوّل فيما يتعلّق بالأنعام الثلاثة من الأحكام و الشروط و اللواحق فنقول</w:t>
      </w:r>
      <w:r>
        <w:rPr>
          <w:rtl w:val="true"/>
        </w:rPr>
        <w:t xml:space="preserve">: </w:t>
      </w:r>
      <w:r>
        <w:rPr>
          <w:rtl w:val="true"/>
        </w:rPr>
        <w:t>يشترط في وجوب الزكاة فيها امور</w:t>
      </w:r>
      <w:r>
        <w:rPr>
          <w:rtl w:val="true"/>
        </w:rPr>
        <w:t>:</w:t>
      </w:r>
      <w:bookmarkEnd w:id="235"/>
    </w:p>
    <w:p>
      <w:pPr>
        <w:pStyle w:val="Heading6"/>
        <w:numPr>
          <w:ilvl w:val="5"/>
          <w:numId w:val="1"/>
        </w:numPr>
        <w:rPr/>
      </w:pPr>
      <w:bookmarkStart w:id="236" w:name="__RefHeading___Toc2586573_1280447820"/>
      <w:bookmarkStart w:id="237" w:name="_Toc85"/>
      <w:bookmarkEnd w:id="236"/>
      <w:r>
        <w:rPr>
          <w:rtl w:val="true"/>
        </w:rPr>
        <w:t>الأوّل</w:t>
      </w:r>
      <w:r>
        <w:rPr>
          <w:rtl w:val="true"/>
        </w:rPr>
        <w:t xml:space="preserve">: </w:t>
      </w:r>
      <w:r>
        <w:rPr>
          <w:rtl w:val="true"/>
        </w:rPr>
        <w:t>النصاب</w:t>
      </w:r>
      <w:bookmarkEnd w:id="237"/>
    </w:p>
    <w:p>
      <w:pPr>
        <w:pStyle w:val="Heading6"/>
        <w:numPr>
          <w:ilvl w:val="5"/>
          <w:numId w:val="1"/>
        </w:numPr>
        <w:rPr/>
      </w:pPr>
      <w:bookmarkStart w:id="238" w:name="__RefHeading___Toc2586575_1280447820"/>
      <w:bookmarkStart w:id="239" w:name="_Toc86"/>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و كونه شرطا مجمع عليه بين المسلمين،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في المذهب إن لم يكن كذلك في الدين</w:t>
      </w:r>
      <w:r>
        <w:rPr>
          <w:rStyle w:val="FootnoteAnchor"/>
          <w:rtl w:val="true"/>
        </w:rPr>
        <w:footnoteReference w:id="997"/>
      </w:r>
      <w:r>
        <w:rPr>
          <w:rFonts w:ascii="Amiri" w:hAnsi="Amiri" w:eastAsia="Amiri" w:cs="Amiri"/>
          <w:color w:val="111111"/>
          <w:sz w:val="28"/>
          <w:sz w:val="28"/>
          <w:szCs w:val="28"/>
          <w:rtl w:val="true"/>
          <w:lang w:bidi="ar-SA"/>
        </w:rPr>
        <w:t>و الإجماعات المنقولة عليه مستفيضة، و النصوص الدالّة عليه متواترة، و هو مختلف بحسب اختلاف الأنواع الثلاث، فيذكر في مراحل ثلاث</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2586577_1280447820"/>
      <w:bookmarkStart w:id="241" w:name="_Toc87"/>
      <w:bookmarkEnd w:id="240"/>
      <w:r>
        <w:rPr>
          <w:rtl w:val="true"/>
        </w:rPr>
        <w:t>المرحلة الاولى</w:t>
      </w:r>
      <w:r>
        <w:rPr>
          <w:rtl w:val="true"/>
        </w:rPr>
        <w:t xml:space="preserve">: </w:t>
      </w:r>
      <w:r>
        <w:rPr>
          <w:rtl w:val="true"/>
        </w:rPr>
        <w:t>في نصاب الإبل،</w:t>
      </w:r>
      <w:bookmarkEnd w:id="241"/>
    </w:p>
    <w:p>
      <w:pPr>
        <w:pStyle w:val="Heading6"/>
        <w:numPr>
          <w:ilvl w:val="5"/>
          <w:numId w:val="1"/>
        </w:numPr>
        <w:rPr/>
      </w:pPr>
      <w:bookmarkStart w:id="242" w:name="__RefHeading___Toc2586579_1280447820"/>
      <w:bookmarkStart w:id="243" w:name="_Toc88"/>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ففيها اثنى عشر نصابا على المشهور في الجميع و الإجماع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بلوغها خمسا، و فيها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بلوغها عشرا، و فيها شاتان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بلوغها خمسة عشر، و فيها ثلاث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بلوغها عشرين، و فيها أربع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بلوغها خمسا و عشرين، و فيها خمس شياه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بلوغها ستّا و عشرين، و فيها بنت مخاض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بلوغها ستّا و ثلاثين، و فيها بنت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بلوغها ستّا و أربعين، و فيها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بلوغها إحدى و ستّين، و فيها 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بلوغها ستّا و سبعين، و فيها بنتا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بلوغها إحدى و تسعين، و فيها حقّتان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بلوغها مائة و إحدى و عشرين، و فيها و ما بعدها بالغة ما بلغت في كلّ خمسين حقّة، و في كلّ أربعين بنت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هذه النصب لا خلاف فيها إلاّ في بعضها، و عن جماعة الإجماع عليها،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النصب مجمع عليها بين علماء الإسلام كما نقله جماعة منهم المصنّف في المعتبر</w:t>
      </w:r>
      <w:r>
        <w:rPr>
          <w:rStyle w:val="FootnoteAnchor"/>
          <w:rtl w:val="true"/>
        </w:rPr>
        <w:footnoteReference w:id="998"/>
      </w:r>
      <w:r>
        <w:rPr>
          <w:rFonts w:ascii="Amiri" w:hAnsi="Amiri" w:eastAsia="Amiri" w:cs="Amiri"/>
          <w:color w:val="111111"/>
          <w:sz w:val="28"/>
          <w:sz w:val="28"/>
          <w:szCs w:val="28"/>
          <w:rtl w:val="true"/>
          <w:lang w:bidi="ar-SA"/>
        </w:rPr>
        <w:t>سوى النصاب السادس فإنّ ابن أبي عقيل</w:t>
      </w:r>
      <w:r>
        <w:rPr>
          <w:rStyle w:val="FootnoteAnchor"/>
          <w:rtl w:val="true"/>
        </w:rPr>
        <w:footnoteReference w:id="999"/>
      </w:r>
      <w:r>
        <w:rPr>
          <w:rFonts w:ascii="Amiri" w:hAnsi="Amiri" w:eastAsia="Amiri" w:cs="Amiri"/>
          <w:color w:val="111111"/>
          <w:sz w:val="28"/>
          <w:sz w:val="28"/>
          <w:szCs w:val="28"/>
          <w:rtl w:val="true"/>
          <w:lang w:bidi="ar-SA"/>
        </w:rPr>
        <w:t>و ابن الجنيد</w:t>
      </w:r>
      <w:r>
        <w:rPr>
          <w:rStyle w:val="FootnoteAnchor"/>
          <w:rtl w:val="true"/>
        </w:rPr>
        <w:footnoteReference w:id="1000"/>
      </w:r>
      <w:r>
        <w:rPr>
          <w:rFonts w:ascii="Amiri" w:hAnsi="Amiri" w:eastAsia="Amiri" w:cs="Amiri"/>
          <w:color w:val="111111"/>
          <w:sz w:val="28"/>
          <w:sz w:val="28"/>
          <w:szCs w:val="28"/>
          <w:rtl w:val="true"/>
          <w:lang w:bidi="ar-SA"/>
        </w:rPr>
        <w:t>أسقطاه و أوجبا بنت المخاض في خمس و عشرين إلى ستّ و ثلاثين و هو قول الجمهور</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كلامه موافقة ابن الجنيد للعمّاني في كلّ من إسقاط النصاب السادس و إيجاب بنت المخاض مطلقا في خمس و عشرين إلى ستّ و ثلاثين، و ربما نسب إليه المخالفة في الحكم الثاني فأوجب بنت المخاض، و إن لم تكن فابن لبون، و إن لم يكن فخمس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النقلان يخالفان المحكيّ من عبارة ابن الجنيد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ليس في زيادتها شيء حتّى تبلغ خمسا و عشرين فإذا بلغتها ففيها ابنة مخاض انثى، فإن لم يكن في الإبل فابن لبون ذكر فإن لم يكن فخمس شياه، فإن زاد على الخمس و العشرين واحد ففيها ابنة مخاض، فإن لم توجد فابن لبون ذكر إلى خمس و ثلاثين، فإن زادت واحدة على خمس و ثلاثين ففيها ابنة لبون</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كما ترى صريح في أنّه يعتبر النصاب السادس، نعم له مخالفة في كلّ من حكمي النصاب الخامس و السادس في الجملة كما يظهر بأدنى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كون النصاب العاشر ستّا و سبعين إنّما هو على المشهور شهرة عظيمة، خلافا للصدوقين فبدّلاه بإحدى و ثمانين،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ثنى إلى تسعين</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و هذا أيضا في الضعف و الشذوذ كسابقه بل 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كون النصاب الثاني عشر مائة و إحدى و عشرين إنّما هو على المشهور بالشهرة العظيمة، خلافا للسيّد المرتضى في الانتصار</w:t>
      </w:r>
      <w:r>
        <w:rPr>
          <w:rStyle w:val="FootnoteAnchor"/>
          <w:rtl w:val="true"/>
        </w:rPr>
        <w:footnoteReference w:id="1004"/>
      </w:r>
      <w:r>
        <w:rPr>
          <w:rFonts w:ascii="Amiri" w:hAnsi="Amiri" w:eastAsia="Amiri" w:cs="Amiri"/>
          <w:color w:val="111111"/>
          <w:sz w:val="28"/>
          <w:sz w:val="28"/>
          <w:szCs w:val="28"/>
          <w:rtl w:val="true"/>
          <w:lang w:bidi="ar-SA"/>
        </w:rPr>
        <w:t>فبدّلها بالمائة و ثلاثين و جعل فيها حقّة واحدة و بنتا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ممّا انفردت به الإماميّة مع أنّه ادّعى الاجماع في الناصريّة</w:t>
      </w:r>
      <w:r>
        <w:rPr>
          <w:rStyle w:val="FootnoteAnchor"/>
          <w:rtl w:val="true"/>
        </w:rPr>
        <w:footnoteReference w:id="1005"/>
      </w:r>
      <w:r>
        <w:rPr>
          <w:rFonts w:ascii="Amiri" w:hAnsi="Amiri" w:eastAsia="Amiri" w:cs="Amiri"/>
          <w:color w:val="111111"/>
          <w:sz w:val="28"/>
          <w:sz w:val="28"/>
          <w:szCs w:val="28"/>
          <w:rtl w:val="true"/>
          <w:lang w:bidi="ar-SA"/>
        </w:rPr>
        <w:t>على خلافه، و هذا كاف في ضعفه مع مخالفته للإجماع المحكيّ عن الخلاف</w:t>
      </w:r>
      <w:r>
        <w:rPr>
          <w:rStyle w:val="FootnoteAnchor"/>
          <w:rtl w:val="true"/>
        </w:rPr>
        <w:footnoteReference w:id="1006"/>
      </w:r>
      <w:r>
        <w:rPr>
          <w:rFonts w:ascii="IRNazanin" w:hAnsi="IRNazanin" w:eastAsia="IRNazanin"/>
          <w:color w:val="111111"/>
          <w:sz w:val="28"/>
          <w:sz w:val="28"/>
          <w:szCs w:val="28"/>
          <w:rtl w:val="true"/>
          <w:lang w:bidi="fa-IR"/>
        </w:rPr>
        <w:t>و السرائر</w:t>
      </w:r>
      <w:r>
        <w:rPr>
          <w:rStyle w:val="FootnoteAnchor"/>
          <w:rtl w:val="true"/>
        </w:rPr>
        <w:footnoteReference w:id="1007"/>
      </w:r>
      <w:r>
        <w:rPr>
          <w:rFonts w:ascii="Amiri" w:hAnsi="Amiri" w:eastAsia="Amiri" w:cs="Amiri"/>
          <w:color w:val="111111"/>
          <w:sz w:val="28"/>
          <w:sz w:val="28"/>
          <w:szCs w:val="28"/>
          <w:rtl w:val="true"/>
          <w:lang w:bidi="ar-SA"/>
        </w:rPr>
        <w:t>و غيرهما كالتذكرة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إذا زادت على المائة و العشرين واحدة وجب في كلّ خمسين حقّة، و في كلّ أربعين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الحساب بالغا ما بلغ عند علمائنا</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و كذا عن المنتهى</w:t>
      </w:r>
      <w:r>
        <w:rPr>
          <w:rStyle w:val="FootnoteAnchor"/>
          <w:rtl w:val="true"/>
        </w:rPr>
        <w:footnoteReference w:id="1009"/>
      </w:r>
      <w:r>
        <w:rPr>
          <w:rFonts w:ascii="Amiri" w:hAnsi="Amiri" w:eastAsia="Amiri" w:cs="Amiri"/>
          <w:color w:val="111111"/>
          <w:sz w:val="28"/>
          <w:sz w:val="28"/>
          <w:szCs w:val="28"/>
          <w:rtl w:val="true"/>
          <w:lang w:bidi="ar-SA"/>
        </w:rPr>
        <w:t>و عن كشف الحقّ نسبته إلى الإماميّة</w:t>
      </w:r>
      <w:r>
        <w:rPr>
          <w:rStyle w:val="FootnoteAnchor"/>
          <w:rtl w:val="true"/>
        </w:rPr>
        <w:footnoteReference w:id="1010"/>
      </w:r>
      <w:r>
        <w:rPr>
          <w:rFonts w:ascii="Amiri" w:hAnsi="Amiri" w:eastAsia="Amiri" w:cs="Amiri"/>
          <w:color w:val="111111"/>
          <w:sz w:val="28"/>
          <w:sz w:val="28"/>
          <w:szCs w:val="28"/>
          <w:rtl w:val="true"/>
          <w:lang w:bidi="ar-SA"/>
        </w:rPr>
        <w:t>و عن المفاتيح إلى علمائنا كافّة</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المعتمد هو ما عرفت من النصب عددا أو معدودا، و 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في تسعة منها، و الشهرة العظيمة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المعتبرة المستفيضة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فيما دون الخمس من الإبل شيء، فإذا كانت خمسا ففيها شاة إلى عشر، فإذا كانت عشرا ففيها شاتان، فإن بلغت خمسة عشر ففيها ثلاث من الغنم، فإذا بلغت عشرين ففيها أربع من الغنم، فإذا بلغت خمسا و عشرين ففيها خمس من الغنم، فإذا زادت واحدة ففيها ابنة مخاض إلى خمس و ثلاثين فإن لم يكن عنده ابنة مخاض فابن لبون ذكر، فإن زادت على خمس و ثلاثين بواحدة ففيها بنت لبون إلى خمس و أربعين، فإن زادت واحدة ففيها 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سمّيت حقّة لأنّها استحقّت أن يركب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ستّين، فإن زادت واحدة ففيها جذعة إلى خمس و سبعين، فإن زادت واحدة ففيها ابنتا لبون إلى تسعين، فإن زادت واحدة فحقّتان </w:t>
      </w:r>
    </w:p>
    <w:p>
      <w:pPr>
        <w:pStyle w:val="BookText"/>
        <w:rPr/>
      </w:pPr>
      <w:r>
        <w:rPr>
          <w:rFonts w:ascii="Amiri" w:hAnsi="Amiri" w:eastAsia="Amiri" w:cs="Amiri"/>
          <w:color w:val="111111"/>
          <w:sz w:val="28"/>
          <w:sz w:val="28"/>
          <w:szCs w:val="28"/>
          <w:rtl w:val="true"/>
          <w:lang w:bidi="ar-SA"/>
        </w:rPr>
        <w:t>إلى عشرين و مائة، فإن زادت على العشرين و المائة واحدة ففي كلّ خمسين حقّة و في كلّ أربعين ابنة لبون</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دون الخمس من الإبل شيء، فإذا كانت خمسا ففيها شاة إلى عشر، فإذا كانت عشرا ففيها شاتان إلى خمس عشرة، فإذا كانت خمس عشرة ففيها ثلاث من الغنم إلى عشرين، فإذا كانت عشرين ففيها أربع من الغنم إلى خمس و عشرين، فإذا كانت خمسا و عشرين، ففيها خمس من الغنم، فإذا زادت واحدة ففيها ابنة مخاض إلى خمس و ثلاثين فإن لم يكن ابنة مخاض فابن لبون ذكر، فإذا زادت واحدة على خمس و ثلاثين ففيها ابنة لبون انثى إلى خمس و أربعين، و إذا زادت واحدة ففيها حقّة إلى ستّين، فإذا زادت واحدة ففيها جذعة إلى خمس و سبعين، فإذا زادت واحدة ففيها بنتا لبون إلى تسعين، فإذا زادت واحدة ففيها حقّتان إلى عشرين و مائة، فإذا كثرت الإبل ففي كلّ خمسين حقّة، و لا تؤخذ هرمة و لا ذات عوار إلاّ أن يشاء المصدّق يعدّ صغيرها و كبيرها</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عبد الرحمن بن الحجّاج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قلائص</w:t>
      </w:r>
      <w:r>
        <w:rPr>
          <w:rStyle w:val="FootnoteAnchor"/>
          <w:rtl w:val="true"/>
        </w:rPr>
        <w:footnoteReference w:id="1014"/>
      </w:r>
      <w:r>
        <w:rPr>
          <w:rFonts w:ascii="Amiri" w:hAnsi="Amiri" w:eastAsia="Amiri" w:cs="Amiri"/>
          <w:color w:val="111111"/>
          <w:sz w:val="28"/>
          <w:sz w:val="28"/>
          <w:szCs w:val="28"/>
          <w:rtl w:val="true"/>
          <w:lang w:bidi="ar-SA"/>
        </w:rPr>
        <w:t xml:space="preserve">شاة، و ليس فيما دون الخمس شيء، و في عشر شاتان، و في خمس عشرة ثلاث، و في عشرين أربع، و في خمس و عشرين خمس، و في ستّ و عشرين بنت مخاض إلى خمس و ثلاثين، فإن زادت واحدة ففيها بنت لبون إلى خمس و أربعين، فإن زادت واحدة ففيها حقّة إلى ستّين، فإن زادت واحدة ففيها جذعة إلى خمس و سبعين، فإن زادت واحدة ففيها بنتا لبون إلى تسعين، فإن زادت واحدة ففيها حقّتان إلى عشرين </w:t>
      </w:r>
    </w:p>
    <w:p>
      <w:pPr>
        <w:pStyle w:val="BookText"/>
        <w:rPr/>
      </w:pPr>
      <w:r>
        <w:rPr>
          <w:rFonts w:ascii="Amiri" w:hAnsi="Amiri" w:eastAsia="Amiri" w:cs="Amiri"/>
          <w:color w:val="111111"/>
          <w:sz w:val="28"/>
          <w:sz w:val="28"/>
          <w:szCs w:val="28"/>
          <w:rtl w:val="true"/>
          <w:lang w:bidi="ar-SA"/>
        </w:rPr>
        <w:t>و مائة، فإذا كثرت الإبل ففي كلّ خمسين حقّة</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على ما رواه الشيخ، و نحوه ما رواه الكليني بإسنادين صحيحين عن ابن أبي عمير عن عبد الرحمن بن الحجّاج و فيه 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ستّ و عشرين بنت مخاض إلى خمس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فرق بيننا و بين الناس، فإذا زادت واحدة ففيها بنت لبون إلى خمس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قويّة زرارة عن أبي جعفر عليه السّلام و أبي عبد اللّه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الإبل شيء حتّى تبلغ خمسا، فإذا بلغت خمسا ففيها شاة، ثمّ في كلّ خمس شاة حتّى تبلغ خمسا و عشرين، فإذا زادت واحدة ففيها ابنة مخاض فإذا لم يكن فيها ابنة مخاض فابن لبون ذكر إلى خمس و ثلاثين، فإذا زادت على خمس و ثلاثين فابنة لبون إلى خمس و أربعين، فإن زادت فحقّة إلى ستّين، فإن زادت فجذعة إلى خمس و سبعين، فإن زادت فابنتا لبون إلى تسعين، فإن زادت فحقّتان إلى عشرين و مائة، فإن زادت ففي كلّ خمسين حقّة و في كلّ أربعين ابنة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القديمين بل العماني وحده على ما عرفت</w:t>
      </w:r>
      <w:r>
        <w:rPr>
          <w:rStyle w:val="FootnoteAnchor"/>
          <w:rtl w:val="true"/>
        </w:rPr>
        <w:footnoteReference w:id="1017"/>
      </w:r>
      <w:r>
        <w:rPr>
          <w:rFonts w:ascii="Amiri" w:hAnsi="Amiri" w:eastAsia="Amiri" w:cs="Amiri"/>
          <w:color w:val="111111"/>
          <w:sz w:val="28"/>
          <w:sz w:val="28"/>
          <w:szCs w:val="28"/>
          <w:rtl w:val="true"/>
          <w:lang w:bidi="ar-SA"/>
        </w:rPr>
        <w:t>فمع ضعفه و شذوذه فليس في الروايات ما يشهد له سوى ما رواه الكليني و الشيخ عنه في الكافي و التهذيب في الحسن بإبراهيم بن هاشم بل الصحيح على الصحيح عن الفضلاء الخمسة عن أبي جعفر و أبي عبد اللّه عليهما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صدقة الإبل في كلّ خمس شاة إلى أن تبلغ خمسا و عشرين، فإذا بلغت ذلك ففيها ابنة مخاض، و ليس فيها شيء حتّى تبلغ خمسا و ثلاثين، فإذا بلغت خمسا و ثلاثين ففيها ابنة لبون، ثمّ ليس فيها شيء حتّى تبلغ خمسا و أربعين، فإذا بلغت خمسا و أربعين ففيها حقّة طروقة الفحل، ثمّ ليس فيها شيء حتّى تبلغ ستّين، فإذا بلغت ستّين </w:t>
      </w:r>
    </w:p>
    <w:p>
      <w:pPr>
        <w:pStyle w:val="BookText"/>
        <w:rPr/>
      </w:pPr>
      <w:r>
        <w:rPr>
          <w:rFonts w:ascii="Amiri" w:hAnsi="Amiri" w:eastAsia="Amiri" w:cs="Amiri"/>
          <w:color w:val="111111"/>
          <w:sz w:val="28"/>
          <w:sz w:val="28"/>
          <w:szCs w:val="28"/>
          <w:rtl w:val="true"/>
          <w:lang w:bidi="ar-SA"/>
        </w:rPr>
        <w:t>ففيها جذعة، ثمّ ليس فيها شيء حتّى تبلغ خمسا و سبعين، فإذا بلغت خمسا و سبعين ففيها ابنتا لبون، ثمّ ليس فيها شيء حتّى تبلغ تسعين، فإذا بلغت تسعين ففيها حقّتان طروقتا الفحل، ثمّ ليس فيها شيء حتّى تبلغ عشرين و مائة، فإذا بلغت عشرين و مائة ففيها حقّتان طروقتا الفحل، فإذا زادت واحدة على عشرين و مائة ففي كلّ خمسين حقّة و في كلّ أربعين ابنة لبون، ثمّ ترجع الإبل على أسنانها، و ليس على النيّف</w:t>
      </w:r>
      <w:r>
        <w:rPr>
          <w:rStyle w:val="FootnoteAnchor"/>
          <w:rtl w:val="true"/>
        </w:rPr>
        <w:footnoteReference w:id="1018"/>
      </w:r>
      <w:r>
        <w:rPr>
          <w:rFonts w:ascii="Amiri" w:hAnsi="Amiri" w:eastAsia="Amiri" w:cs="Amiri"/>
          <w:color w:val="111111"/>
          <w:sz w:val="28"/>
          <w:sz w:val="28"/>
          <w:szCs w:val="28"/>
          <w:rtl w:val="true"/>
          <w:lang w:bidi="ar-SA"/>
        </w:rPr>
        <w:t>شيء، و لا على الكسور شيء</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أنّ هذه الرواية مع عدم مقاومتها لمعارضة ما مرّ</w:t>
      </w:r>
      <w:r>
        <w:rPr>
          <w:rStyle w:val="FootnoteAnchor"/>
          <w:rtl w:val="true"/>
        </w:rPr>
        <w:footnoteReference w:id="1020"/>
      </w:r>
      <w:r>
        <w:rPr>
          <w:rFonts w:ascii="Amiri" w:hAnsi="Amiri" w:eastAsia="Amiri" w:cs="Amiri"/>
          <w:color w:val="111111"/>
          <w:sz w:val="28"/>
          <w:sz w:val="28"/>
          <w:szCs w:val="28"/>
          <w:rtl w:val="true"/>
          <w:lang w:bidi="ar-SA"/>
        </w:rPr>
        <w:t xml:space="preserve">من وجوه شتّى و احتمالها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بعد لموافقتها العامّة كما أشار إليه عبد الرحمن في الرواية المتقدّمة</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سائر فقراتها مشتملة على ما لا يقول به أحد،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بنت لبون لخمس و ثلاثين، و حقّة لخمس و أربعين، و جذعة لستّين،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أضمر مع كلّ واحد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الإضمار محتملا في محلّ البحث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اشتمالها أيضا على ما لا قائل به أيضا،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المائة و العشرين نصابا و بزيادة الواحد أيضا نصابا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فهذا الخبر إمّا مطروح أو مأوّل أو محمول على التقية، و ليس للصدوقين في الرسالة</w:t>
      </w:r>
      <w:r>
        <w:rPr>
          <w:rStyle w:val="FootnoteAnchor"/>
          <w:rtl w:val="true"/>
        </w:rPr>
        <w:footnoteReference w:id="1022"/>
      </w:r>
      <w:r>
        <w:rPr>
          <w:rFonts w:ascii="Amiri" w:hAnsi="Amiri" w:eastAsia="Amiri" w:cs="Amiri"/>
          <w:color w:val="111111"/>
          <w:sz w:val="28"/>
          <w:sz w:val="28"/>
          <w:szCs w:val="28"/>
          <w:rtl w:val="true"/>
          <w:lang w:bidi="ar-SA"/>
        </w:rPr>
        <w:t>و الهداية</w:t>
      </w:r>
      <w:r>
        <w:rPr>
          <w:rStyle w:val="FootnoteAnchor"/>
          <w:rtl w:val="true"/>
        </w:rPr>
        <w:footnoteReference w:id="1023"/>
      </w:r>
      <w:r>
        <w:rPr>
          <w:rFonts w:ascii="Amiri" w:hAnsi="Amiri" w:eastAsia="Amiri" w:cs="Amiri"/>
          <w:color w:val="111111"/>
          <w:sz w:val="28"/>
          <w:sz w:val="28"/>
          <w:szCs w:val="28"/>
          <w:rtl w:val="true"/>
          <w:lang w:bidi="ar-SA"/>
        </w:rPr>
        <w:t>إلاّ موافقة العبارة المحكيّة عن كتاب فقه الرضا</w:t>
      </w:r>
      <w:r>
        <w:rPr>
          <w:rStyle w:val="FootnoteAnchor"/>
          <w:rtl w:val="true"/>
        </w:rPr>
        <w:footnoteReference w:id="1024"/>
      </w:r>
      <w:r>
        <w:rPr>
          <w:rFonts w:ascii="Amiri" w:hAnsi="Amiri" w:eastAsia="Amiri" w:cs="Amiri"/>
          <w:color w:val="111111"/>
          <w:sz w:val="28"/>
          <w:sz w:val="28"/>
          <w:szCs w:val="28"/>
          <w:rtl w:val="true"/>
          <w:lang w:bidi="ar-SA"/>
        </w:rPr>
        <w:t>و يكفي في ضعفه أنّ ما لم يثبت كونه من المعصوم لا يقاوم لمعارضة النصوص المعتبرة المستفيضة، و على تقدير المقاومة فالترجيح لها من جهات عديدة منها الاعتضاد بعمل المعظم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السيّد</w:t>
      </w:r>
      <w:r>
        <w:rPr>
          <w:rStyle w:val="FootnoteAnchor"/>
          <w:rtl w:val="true"/>
        </w:rPr>
        <w:footnoteReference w:id="1025"/>
      </w:r>
      <w:r>
        <w:rPr>
          <w:rFonts w:ascii="Amiri" w:hAnsi="Amiri" w:eastAsia="Amiri" w:cs="Amiri"/>
          <w:color w:val="111111"/>
          <w:sz w:val="28"/>
          <w:sz w:val="28"/>
          <w:szCs w:val="28"/>
          <w:rtl w:val="true"/>
          <w:lang w:bidi="ar-SA"/>
        </w:rPr>
        <w:t xml:space="preserve">فمستنده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ذهب إليه من نفي وجوب الزكاة في المائة و العشرين و ما زاد عليها ممّا بين العشرين و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حيث قال فيما حكي عن الانتصار بعد اختيار المذهب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يدلّ على صحّة مذهبنا بعد الإجماع المتردّد أنّ الأصل </w:t>
      </w:r>
      <w:bookmarkStart w:id="244" w:name="pg16181_154568"/>
    </w:p>
    <w:p>
      <w:pPr>
        <w:pStyle w:val="BookText"/>
        <w:rPr/>
      </w:pPr>
      <w:bookmarkEnd w:id="244"/>
      <w:r>
        <w:rPr>
          <w:rFonts w:ascii="Amiri" w:hAnsi="Amiri" w:eastAsia="Amiri" w:cs="Amiri"/>
          <w:color w:val="111111"/>
          <w:sz w:val="28"/>
          <w:sz w:val="28"/>
          <w:szCs w:val="28"/>
          <w:rtl w:val="true"/>
          <w:lang w:bidi="ar-SA"/>
        </w:rPr>
        <w:t>هو براءة الذمّة، و قد اتّفقنا على ما يخرج من الإبل إذا كانت مائة و عشرين، و اختلفت الامّة فيما زاد على العشرين فيما بينها و بين الثلاثين، و لم يقم دليل قاطع على وجوب شيء ما بين هذه العشرين إلى أن يبلغ الزيادة ثلاثين فيجب فيها حقّة و بنتا لبون عندنا، و عند الشافعي</w:t>
      </w:r>
      <w:r>
        <w:rPr>
          <w:rStyle w:val="FootnoteAnchor"/>
          <w:rtl w:val="true"/>
        </w:rPr>
        <w:footnoteReference w:id="1026"/>
      </w:r>
      <w:r>
        <w:rPr>
          <w:rFonts w:ascii="Amiri" w:hAnsi="Amiri" w:eastAsia="Amiri" w:cs="Amiri"/>
          <w:color w:val="111111"/>
          <w:sz w:val="28"/>
          <w:sz w:val="28"/>
          <w:szCs w:val="28"/>
          <w:rtl w:val="true"/>
          <w:lang w:bidi="ar-SA"/>
        </w:rPr>
        <w:t>و مالك</w:t>
      </w:r>
      <w:r>
        <w:rPr>
          <w:rStyle w:val="FootnoteAnchor"/>
          <w:rtl w:val="true"/>
        </w:rPr>
        <w:footnoteReference w:id="1027"/>
      </w:r>
      <w:r>
        <w:rPr>
          <w:rFonts w:ascii="Amiri" w:hAnsi="Amiri" w:eastAsia="Amiri" w:cs="Amiri"/>
          <w:color w:val="111111"/>
          <w:sz w:val="28"/>
          <w:sz w:val="28"/>
          <w:szCs w:val="28"/>
          <w:rtl w:val="true"/>
          <w:lang w:bidi="ar-SA"/>
        </w:rPr>
        <w:t>و عند أبي حنيفة</w:t>
      </w:r>
      <w:r>
        <w:rPr>
          <w:rStyle w:val="FootnoteAnchor"/>
          <w:rtl w:val="true"/>
        </w:rPr>
        <w:footnoteReference w:id="1028"/>
      </w:r>
      <w:r>
        <w:rPr>
          <w:rFonts w:ascii="Amiri" w:hAnsi="Amiri" w:eastAsia="Amiri" w:cs="Amiri"/>
          <w:color w:val="111111"/>
          <w:sz w:val="28"/>
          <w:sz w:val="28"/>
          <w:szCs w:val="28"/>
          <w:rtl w:val="true"/>
          <w:lang w:bidi="ar-SA"/>
        </w:rPr>
        <w:t xml:space="preserve">يجب حقّتان و شاتان، فقد أجمعنا على وجوب الزكاة في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نجتمع على وجوب شيء من الزيادة فيما بين العشرين و الثلاثين، و لم يقم دليل شرعي قطعي فيجب أن يكون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جوابه منع جريان الأصل مع وجود النصوص المعتبرة من طرق أصحابنا المجمع على العمل بها و عدم إفادتها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تسليمه غير قادح بعد فرض حجّية الأخبار الغير العلميّة حيث حصل الوثوق و الاطمئنان بصدورها كما فيما نحن فيه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امورا مهمّة ينبغي التعرّض لها</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2586581_1280447820"/>
      <w:bookmarkStart w:id="246" w:name="_Toc89"/>
      <w:bookmarkEnd w:id="245"/>
      <w:r>
        <w:rPr>
          <w:rtl w:val="true"/>
        </w:rPr>
        <w:t>[</w:t>
      </w:r>
      <w:r>
        <w:rPr>
          <w:rtl w:val="true"/>
        </w:rPr>
        <w:t>احدها</w:t>
      </w:r>
      <w:r>
        <w:rPr>
          <w:rtl w:val="true"/>
        </w:rPr>
        <w:t>] [</w:t>
      </w:r>
      <w:r>
        <w:rPr>
          <w:rtl w:val="true"/>
        </w:rPr>
        <w:t>كيفيّة التقدير بالأربعين و الخمسين</w:t>
      </w:r>
      <w:r>
        <w:rPr>
          <w:rtl w:val="true"/>
        </w:rPr>
        <w:t>]</w:t>
      </w:r>
      <w:bookmarkEnd w:id="246"/>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الأخبار المنسوب إلى ظاهر الأكثر أنّ التقدير بالأربعين و الخمسين لتعيين المقدّر المخرج الّذي هو في كلّ أربعين بنت لبون و في كلّ خمسين حقّة في الأخبار و الفتاوى على وجه التخيير مطلقا، و اختاره صريحا المحقّق الأردبيلي رحمه اللّه في مجمع الفائدة</w:t>
      </w:r>
      <w:r>
        <w:rPr>
          <w:rStyle w:val="FootnoteAnchor"/>
          <w:rtl w:val="true"/>
        </w:rPr>
        <w:footnoteReference w:id="1030"/>
      </w:r>
      <w:r>
        <w:rPr>
          <w:rFonts w:ascii="Amiri" w:hAnsi="Amiri" w:eastAsia="Amiri" w:cs="Amiri"/>
          <w:color w:val="111111"/>
          <w:sz w:val="28"/>
          <w:sz w:val="28"/>
          <w:szCs w:val="28"/>
          <w:rtl w:val="true"/>
          <w:lang w:bidi="ar-SA"/>
        </w:rPr>
        <w:t>و صاحب المدارك</w:t>
      </w:r>
      <w:r>
        <w:rPr>
          <w:rStyle w:val="FootnoteAnchor"/>
          <w:rtl w:val="true"/>
        </w:rPr>
        <w:footnoteReference w:id="1031"/>
      </w:r>
      <w:r>
        <w:rPr>
          <w:rFonts w:ascii="Amiri" w:hAnsi="Amiri" w:eastAsia="Amiri" w:cs="Amiri"/>
          <w:color w:val="111111"/>
          <w:sz w:val="28"/>
          <w:sz w:val="28"/>
          <w:szCs w:val="28"/>
          <w:rtl w:val="true"/>
          <w:lang w:bidi="ar-SA"/>
        </w:rPr>
        <w:t>ناقلا له عن ثاني الشهيدين في فوائد القواعد</w:t>
      </w:r>
      <w:r>
        <w:rPr>
          <w:rStyle w:val="FootnoteAnchor"/>
          <w:rtl w:val="true"/>
        </w:rPr>
        <w:footnoteReference w:id="1032"/>
      </w:r>
      <w:r>
        <w:rPr>
          <w:rFonts w:ascii="IRNazanin" w:hAnsi="IRNazanin" w:eastAsia="IRNazanin"/>
          <w:color w:val="111111"/>
          <w:sz w:val="28"/>
          <w:sz w:val="28"/>
          <w:szCs w:val="28"/>
          <w:rtl w:val="true"/>
          <w:lang w:bidi="fa-IR"/>
        </w:rPr>
        <w:t>مع نسبته له إلى ظاهر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المختار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لجماعة كالشيخ في الخلاف</w:t>
      </w:r>
      <w:r>
        <w:rPr>
          <w:rStyle w:val="FootnoteAnchor"/>
          <w:rtl w:val="true"/>
        </w:rPr>
        <w:footnoteReference w:id="1033"/>
      </w:r>
      <w:r>
        <w:rPr>
          <w:rFonts w:ascii="IRNazanin" w:hAnsi="IRNazanin" w:eastAsia="IRNazanin"/>
          <w:color w:val="111111"/>
          <w:sz w:val="28"/>
          <w:sz w:val="28"/>
          <w:szCs w:val="28"/>
          <w:rtl w:val="true"/>
          <w:lang w:bidi="fa-IR"/>
        </w:rPr>
        <w:t>و المبسوط</w:t>
      </w:r>
      <w:r>
        <w:rPr>
          <w:rStyle w:val="FootnoteAnchor"/>
          <w:rtl w:val="true"/>
        </w:rPr>
        <w:footnoteReference w:id="1034"/>
      </w:r>
      <w:r>
        <w:rPr>
          <w:rFonts w:ascii="Amiri" w:hAnsi="Amiri" w:eastAsia="Amiri" w:cs="Amiri"/>
          <w:color w:val="111111"/>
          <w:sz w:val="28"/>
          <w:sz w:val="28"/>
          <w:szCs w:val="28"/>
          <w:rtl w:val="true"/>
          <w:lang w:bidi="ar-SA"/>
        </w:rPr>
        <w:t>و ابن حمزة في الوسيلة</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 العلاّمة في النهاية</w:t>
      </w:r>
      <w:r>
        <w:rPr>
          <w:rStyle w:val="FootnoteAnchor"/>
          <w:rtl w:val="true"/>
        </w:rPr>
        <w:footnoteReference w:id="1036"/>
      </w:r>
      <w:r>
        <w:rPr>
          <w:rFonts w:ascii="Amiri" w:hAnsi="Amiri" w:eastAsia="Amiri" w:cs="Amiri"/>
          <w:color w:val="111111"/>
          <w:sz w:val="28"/>
          <w:sz w:val="28"/>
          <w:szCs w:val="28"/>
          <w:rtl w:val="true"/>
          <w:lang w:bidi="ar-SA"/>
        </w:rPr>
        <w:t>و التذكرة</w:t>
      </w:r>
      <w:r>
        <w:rPr>
          <w:rStyle w:val="FootnoteAnchor"/>
          <w:rtl w:val="true"/>
        </w:rPr>
        <w:footnoteReference w:id="1037"/>
      </w:r>
      <w:r>
        <w:rPr>
          <w:rFonts w:ascii="IRNazanin" w:hAnsi="IRNazanin" w:eastAsia="IRNazanin"/>
          <w:color w:val="111111"/>
          <w:sz w:val="28"/>
          <w:sz w:val="28"/>
          <w:szCs w:val="28"/>
          <w:rtl w:val="true"/>
          <w:lang w:bidi="fa-IR"/>
        </w:rPr>
        <w:t>و المنتهى</w:t>
      </w:r>
      <w:r>
        <w:rPr>
          <w:rStyle w:val="FootnoteAnchor"/>
          <w:rtl w:val="true"/>
        </w:rPr>
        <w:footnoteReference w:id="1038"/>
      </w:r>
      <w:r>
        <w:rPr>
          <w:rFonts w:ascii="Amiri" w:hAnsi="Amiri" w:eastAsia="Amiri" w:cs="Amiri"/>
          <w:color w:val="111111"/>
          <w:sz w:val="28"/>
          <w:sz w:val="28"/>
          <w:szCs w:val="28"/>
          <w:rtl w:val="true"/>
          <w:lang w:bidi="ar-SA"/>
        </w:rPr>
        <w:t>و المحقّق الكركي في حاشية الشرائع</w:t>
      </w:r>
      <w:r>
        <w:rPr>
          <w:rStyle w:val="FootnoteAnchor"/>
          <w:rtl w:val="true"/>
        </w:rPr>
        <w:footnoteReference w:id="1039"/>
      </w:r>
      <w:r>
        <w:rPr>
          <w:rFonts w:ascii="Amiri" w:hAnsi="Amiri" w:eastAsia="Amiri" w:cs="Amiri"/>
          <w:color w:val="111111"/>
          <w:sz w:val="28"/>
          <w:sz w:val="28"/>
          <w:szCs w:val="28"/>
          <w:rtl w:val="true"/>
          <w:lang w:bidi="ar-SA"/>
        </w:rPr>
        <w:t>و ثاني الشهيدين في المسالك</w:t>
      </w:r>
      <w:r>
        <w:rPr>
          <w:rStyle w:val="FootnoteAnchor"/>
          <w:rtl w:val="true"/>
        </w:rPr>
        <w:footnoteReference w:id="1040"/>
      </w:r>
      <w:r>
        <w:rPr>
          <w:rFonts w:ascii="Amiri" w:hAnsi="Amiri" w:eastAsia="Amiri" w:cs="Amiri"/>
          <w:color w:val="111111"/>
          <w:sz w:val="28"/>
          <w:sz w:val="28"/>
          <w:szCs w:val="28"/>
          <w:rtl w:val="true"/>
          <w:lang w:bidi="ar-SA"/>
        </w:rPr>
        <w:t>فخصّوه بصورة إمكان الاستيعاب بكلّ منهما، و إلاّ فقد يتعيّن التقدير بأربعين، و قد يتعيّن بخمسين، و قد يجب الجمع بينهما، و قد يخيّر بين الجمع و كلّ من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محكيّ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التقدير بالأربعين أو الخمسين ليس على وجه التخيير مطلقا، بل يجب التقدير بما يحصل به الاستيعاب، فإن أمكن بهما تخيّر، و إن لم يمكن بهما وجب اعتبار أكثرهما استيعابا مراعاة لحقّ الفقراء، و إن لم يمكن إلاّ بهما وجب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يجب تقدير أوّل هذا النصاب و هو المائة و إحدى و عشرون بالأربعين، و المائة و الخمسون بالخمسين، و المائة و السبعون بهما و يتخيّر بينهما، و في الأربعمائة بين الاعتبار بهما و بكلّ واحدة منهما</w:t>
      </w:r>
      <w:r>
        <w:rPr>
          <w:rFonts w:eastAsia="Amiri" w:cs="Amiri" w:ascii="Amiri" w:hAnsi="Amiri"/>
          <w:color w:val="111111"/>
          <w:sz w:val="28"/>
          <w:szCs w:val="28"/>
          <w:rtl w:val="true"/>
          <w:lang w:bidi="ar-SA"/>
        </w:rPr>
        <w:t>»</w:t>
      </w:r>
      <w:r>
        <w:rPr>
          <w:rStyle w:val="FootnoteAnchor"/>
          <w:rtl w:val="true"/>
        </w:rPr>
        <w:footnoteReference w:id="10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المذكور خروج عن مقتضى قوله عليه السّلام في صحيحة زرارة و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زادت على المائة و العشرين واحدة ففي كلّ خمسين حقّة، و في كلّ أربعين ابنة لبون</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فإنّه لو كان العدّ بالأربعين مع هذا العدد متعيّنا لكان ذكر الخمسين معه لغوا بل إضلالا، مع أنّ قوله عليه السّلام في صحيحتي ابن الحجّاج و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كثرت الإبل ففي كلّ خمسين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 و العشرين</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مطلق يشمل صورة زيادة الواحدة أيضا على هذا العدد، فلو تعيّن الأربعون لهذا العدد مع زيادة واحدة و غيرها ممّا لم يبلغ إلى ثلاثين لم يكن لهذا الإطلاق وجه بل كان من الإغراء بالجهل حيث لا شاهد بالتقييد بصورة زيادة ثلاثين على العدد المذكور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تقييد التخيير المستفاد ممّا في خبري زرارة بصورة الاستيعاب بكلّ منهما كالمائتين بأن يكون الزيادة على المائة و عشرين بثمانين، ممّا لا شاهد له حيث إنّ القول بالتفصيل المذكور ممّا لا دليل عليه</w:t>
      </w:r>
      <w:r>
        <w:rPr>
          <w:rFonts w:eastAsia="Amiri" w:cs="Amiri" w:ascii="Amiri" w:hAnsi="Amiri"/>
          <w:color w:val="111111"/>
          <w:sz w:val="28"/>
          <w:szCs w:val="28"/>
          <w:rtl w:val="true"/>
          <w:lang w:bidi="ar-SA"/>
        </w:rPr>
        <w:t xml:space="preserve">. </w:t>
      </w:r>
      <w:bookmarkStart w:id="247" w:name="pg16181_154570"/>
    </w:p>
    <w:p>
      <w:pPr>
        <w:pStyle w:val="BookText"/>
        <w:rPr/>
      </w:pPr>
      <w:bookmarkEnd w:id="247"/>
      <w:r>
        <w:rPr>
          <w:rFonts w:ascii="Amiri" w:hAnsi="Amiri" w:eastAsia="Amiri" w:cs="Amiri"/>
          <w:color w:val="111111"/>
          <w:sz w:val="28"/>
          <w:sz w:val="28"/>
          <w:szCs w:val="28"/>
          <w:rtl w:val="true"/>
          <w:lang w:bidi="ar-SA"/>
        </w:rPr>
        <w:t>و الاحتجاج له بأنّ مراعاة الأكثر استيعابا أحوط، ضعيف لمنع وجوب الاحتياط مع إمكان أصل الاحتياط لكونه معارضا بمثله في جانب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الاحتجاج بمراعاة حقّ الفقراء، لعدم دليل على لزوم مراعاة حقّ الفقراء فيكون معارضا بحقّ المالك، مع أنّه قد يقال كما عن المحقّق الأردبيلي</w:t>
      </w:r>
      <w:r>
        <w:rPr>
          <w:rStyle w:val="FootnoteAnchor"/>
          <w:rtl w:val="true"/>
        </w:rPr>
        <w:footnoteReference w:id="1044"/>
      </w:r>
      <w:r>
        <w:rPr>
          <w:rFonts w:ascii="Amiri" w:hAnsi="Amiri" w:eastAsia="Amiri" w:cs="Amiri"/>
          <w:color w:val="111111"/>
          <w:sz w:val="28"/>
          <w:sz w:val="28"/>
          <w:szCs w:val="28"/>
          <w:rtl w:val="true"/>
          <w:lang w:bidi="ar-SA"/>
        </w:rPr>
        <w:t>أيضا بأنّ ظاهر الأخبار تقديم حقّ المالك و ترجيح جانبه،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جبر التفاوت الحاصل بإسقاط البعض كإحدى و عشرين في صورة العدّ بالخمسين بزيادة السنّ في الحقّة الموجبة لزيادة القيمة، فربّما كان تعادل حقّتان بحسب القيمة لثلاث بنات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المتوهّم من كلام العلاّمة في التذكرة</w:t>
      </w:r>
      <w:r>
        <w:rPr>
          <w:rStyle w:val="FootnoteAnchor"/>
          <w:rtl w:val="true"/>
        </w:rPr>
        <w:footnoteReference w:id="1045"/>
      </w:r>
      <w:r>
        <w:rPr>
          <w:rFonts w:ascii="Amiri" w:hAnsi="Amiri" w:eastAsia="Amiri" w:cs="Amiri"/>
          <w:color w:val="111111"/>
          <w:sz w:val="28"/>
          <w:sz w:val="28"/>
          <w:szCs w:val="28"/>
          <w:rtl w:val="true"/>
          <w:lang w:bidi="ar-SA"/>
        </w:rPr>
        <w:t>و عبارته في المنتهى حيث نسبه فيه إلى علمائنا</w:t>
      </w:r>
      <w:r>
        <w:rPr>
          <w:rStyle w:val="FootnoteAnchor"/>
          <w:rtl w:val="true"/>
        </w:rPr>
        <w:footnoteReference w:id="1046"/>
      </w:r>
      <w:r>
        <w:rPr>
          <w:rFonts w:ascii="Amiri" w:hAnsi="Amiri" w:eastAsia="Amiri" w:cs="Amiri"/>
          <w:color w:val="111111"/>
          <w:sz w:val="28"/>
          <w:sz w:val="28"/>
          <w:szCs w:val="28"/>
          <w:rtl w:val="true"/>
          <w:lang w:bidi="ar-SA"/>
        </w:rPr>
        <w:t>موهون بشهرة خلافه، و معارض بالإجماع على التخيير مطلقا المستفاد من ظاهر عبارة الغنية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الشهرة المحكيّة فيه عن الكفاية</w:t>
      </w:r>
      <w:r>
        <w:rPr>
          <w:rStyle w:val="FootnoteAnchor"/>
          <w:rtl w:val="true"/>
        </w:rPr>
        <w:footnoteReference w:id="1048"/>
      </w:r>
      <w:r>
        <w:rPr>
          <w:rFonts w:ascii="Amiri" w:hAnsi="Amiri" w:eastAsia="Amiri" w:cs="Amiri"/>
          <w:color w:val="111111"/>
          <w:sz w:val="28"/>
          <w:sz w:val="28"/>
          <w:szCs w:val="28"/>
          <w:rtl w:val="true"/>
          <w:lang w:bidi="ar-SA"/>
        </w:rPr>
        <w:t>موهونة بظهور كلام الأكثر في 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الاحتجاج له أيضا بأنّ اعتبار الخمسين في المائة و إحدى و عشرين يوجب حقّتين مع أنّهما واجبتان فيما دونها إلى إحدى و تسعين فلا فائدة في جعلها نصابا آخر،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النصابين بالتعيين و التخيير المسوّغ للعدول عن حقّتين إلى ثلاث بنات لبون من الفوائد بل أعظمها</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2586583_1280447820"/>
      <w:bookmarkStart w:id="249" w:name="_Toc90"/>
      <w:bookmarkEnd w:id="248"/>
      <w:r>
        <w:rPr>
          <w:rtl w:val="true"/>
        </w:rPr>
        <w:t>[</w:t>
      </w:r>
      <w:r>
        <w:rPr>
          <w:rtl w:val="true"/>
        </w:rPr>
        <w:t>ثانيها</w:t>
      </w:r>
      <w:r>
        <w:rPr>
          <w:rtl w:val="true"/>
        </w:rPr>
        <w:t xml:space="preserve">: </w:t>
      </w:r>
      <w:r>
        <w:rPr>
          <w:rtl w:val="true"/>
        </w:rPr>
        <w:t>زيادة واحدة على المائة و العشرين يوجب تغيير الفرض</w:t>
      </w:r>
      <w:r>
        <w:rPr>
          <w:rtl w:val="true"/>
        </w:rPr>
        <w:t>]</w:t>
      </w:r>
      <w:bookmarkEnd w:id="249"/>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لا كلام لأحد في أنّ الفريضة فيما دون المائة و إحدى و عشرين حقّتان حتّى في المائة و العشرين، كما أنّه لا كلام في أنّه إذا زاد واحدة على المائة و العشرين يوجب تغيير الفرض، و أمّا زيادة جزء من البعير فظاهر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المعلّقة لتغيير الفرض بزيادة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توجب تغييرا كما في صورة عدم زيادة ذلك الجزء، و هو المصرّح به في كلام جماعة</w:t>
      </w:r>
      <w:r>
        <w:rPr>
          <w:rStyle w:val="FootnoteAnchor"/>
          <w:rtl w:val="true"/>
        </w:rPr>
        <w:footnoteReference w:id="1049"/>
      </w:r>
      <w:r>
        <w:rPr>
          <w:rFonts w:ascii="Amiri" w:hAnsi="Amiri" w:eastAsia="Amiri" w:cs="Amiri"/>
          <w:color w:val="111111"/>
          <w:sz w:val="28"/>
          <w:sz w:val="28"/>
          <w:szCs w:val="28"/>
          <w:rtl w:val="true"/>
          <w:lang w:bidi="ar-SA"/>
        </w:rPr>
        <w:t>بل عن تذكرة العلاّمة دعوى الإجماع عليه حيث قال</w:t>
      </w:r>
      <w:r>
        <w:rPr>
          <w:rFonts w:eastAsia="Amiri" w:cs="Amiri" w:ascii="Amiri" w:hAnsi="Amiri"/>
          <w:color w:val="111111"/>
          <w:sz w:val="28"/>
          <w:szCs w:val="28"/>
          <w:rtl w:val="true"/>
          <w:lang w:bidi="ar-SA"/>
        </w:rPr>
        <w:t xml:space="preserve">: </w:t>
      </w:r>
      <w:bookmarkStart w:id="250" w:name="pg16181_154571"/>
    </w:p>
    <w:p>
      <w:pPr>
        <w:pStyle w:val="BookText"/>
        <w:rPr/>
      </w:pPr>
      <w:bookmarkEnd w:id="2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الزيادة بجزء من بعير لم يتغيّر به الفرض إجماعا</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و نقل عن بعض العامّة</w:t>
      </w:r>
      <w:r>
        <w:rPr>
          <w:rStyle w:val="FootnoteAnchor"/>
          <w:rtl w:val="true"/>
        </w:rPr>
        <w:footnoteReference w:id="1051"/>
      </w:r>
      <w:r>
        <w:rPr>
          <w:rFonts w:ascii="Amiri" w:hAnsi="Amiri" w:eastAsia="Amiri" w:cs="Amiri"/>
          <w:color w:val="111111"/>
          <w:sz w:val="28"/>
          <w:sz w:val="28"/>
          <w:szCs w:val="28"/>
          <w:rtl w:val="true"/>
          <w:lang w:bidi="ar-SA"/>
        </w:rPr>
        <w:t>قولا بتغيّر الفرض بزيادة الجزء، و هو ضعيف، و قصر الخلاف عليه يقضي بأن لا مخالف من أصحابنا</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2586585_1280447820"/>
      <w:bookmarkStart w:id="252" w:name="_Toc91"/>
      <w:bookmarkEnd w:id="251"/>
      <w:r>
        <w:rPr>
          <w:rtl w:val="true"/>
        </w:rPr>
        <w:t>و ثالثها</w:t>
      </w:r>
      <w:r>
        <w:rPr>
          <w:rtl w:val="true"/>
        </w:rPr>
        <w:t xml:space="preserve">: </w:t>
      </w:r>
      <w:r>
        <w:rPr>
          <w:rtl w:val="true"/>
        </w:rPr>
        <w:t>اختلفوا في أنّ الواحدة الزائدة على المائة و العشرين هل هو جزء من النصاب</w:t>
      </w:r>
      <w:bookmarkEnd w:id="2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عن العلاّمة في نهاية الإحكام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استنادا إلى اعتبارها في النصّ في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شرط في وجوب الفريضة‌؟ كما عن غير واحد من المتأخّرين و لعلّهم حاشية الشرائع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الروضة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المدارك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الرياض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استنادا إلى خروجها عن النصاب بالاعتبارين، و يظهر من الذخيرة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التوقّف حيث نقل القولين و لم يرجّح شيئا، و كذلك الشهيد في البيان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ما حكي معلّلا للجزئيّة باعتبارها في العدد نصّا و فتوى، و للشرطيّة بأنّ إيجاب بنت اللبون في كلّ أربعين يخرجها عن الجزئيّة فيكون شرطا لا جزءا، و يظهر فائدة الشرطيّة في أنّه لا يسقط من الزكاة شيء بتلف الواحدة الزائدة بعد الحول من غير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من جهة النصوص هو الأوّل، لورود اعتبار زيادة الواحدة من النصاب السادس إلى الثاني عشر في خبري</w:t>
      </w:r>
      <w:r>
        <w:rPr>
          <w:rStyle w:val="FootnoteAnchor"/>
          <w:rtl w:val="true"/>
        </w:rPr>
        <w:footnoteReference w:id="1052"/>
      </w:r>
      <w:r>
        <w:rPr>
          <w:rFonts w:ascii="Amiri" w:hAnsi="Amiri" w:eastAsia="Amiri" w:cs="Amiri"/>
          <w:color w:val="111111"/>
          <w:sz w:val="28"/>
          <w:sz w:val="28"/>
          <w:szCs w:val="28"/>
          <w:rtl w:val="true"/>
          <w:lang w:bidi="ar-SA"/>
        </w:rPr>
        <w:t>زرارة بل و غيرهما في سياق واحد و بعبارة واحدة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زادت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فكما أنّها فيما عدى الأخير أفادت جزئيّة الواحدة فكذلك فيه بشهادة وحدة السياق و وحدة العبارة، مع ملاحظة عدم قائل بالشرطيّة فيما عداه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يندفع ما اورد على وجه القول بالجزئيّة من اعتبارها في العدد نصّا من أنّه أعمّ من الجزئيّة و الشرطيّة، فإنّ إرادة الجزئيّة من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زادت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w:t>
      </w:r>
      <w:bookmarkStart w:id="253" w:name="pg16181_154572"/>
    </w:p>
    <w:p>
      <w:pPr>
        <w:pStyle w:val="BookText"/>
        <w:rPr/>
      </w:pPr>
      <w:bookmarkEnd w:id="253"/>
      <w:r>
        <w:rPr>
          <w:rFonts w:ascii="Amiri" w:hAnsi="Amiri" w:eastAsia="Amiri" w:cs="Amiri"/>
          <w:color w:val="111111"/>
          <w:sz w:val="28"/>
          <w:sz w:val="28"/>
          <w:szCs w:val="28"/>
          <w:rtl w:val="true"/>
          <w:lang w:bidi="ar-SA"/>
        </w:rPr>
        <w:t>النصب مع وحدة السياق قرينة على إرادة مثلها من مثل هذه العبارة في النصاب الأخير، و التفكيك بينهما بعيد عن فهم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للشرطيّة بخروجها عن النصاب بالاعتبارين،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كون 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أربعين و كلّ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 بل النصاب بمقتضى ظاهر النصوص إنّما هو المائة و إحدى و عشرين و العدّ بالأربعين أو الخمسين إنّما هو لتعيين القدر المخرج لا لتعيين النصاب، مع أنّ خروج الواحدة على تقدير العدّ بكلّ من الخمسين و الأربعين معارض بخروج العشرين مع الواحدة على تقدير العدّ بالخمسين أيضا و لا قائل بكونه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الاعتذار له بأنّ خروج العشرين حينئذ من باب العفو عن الزكاة فيه، جار في خروج الواحدة على هذا التقدير و على تقدير العدّ بالخمسين أيضا، و الفرق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 فلو تلفت الواحدة الزائدة بعد الحول و قبل التمكّن من الإخراج وزّعت على المائة و إحدى و عشرين فيسقط من الزكاة و هي كلّ من الحقّتين أو ثلاث بنات لبون جزء من مائة و إحدى و عشرين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بعدم اعتبار النقص بها ممّا لا ينبغي تركه، خروجا عن شبهة الخلاف</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2586587_1280447820"/>
      <w:bookmarkStart w:id="255" w:name="_Toc92"/>
      <w:bookmarkEnd w:id="254"/>
      <w:r>
        <w:rPr>
          <w:rtl w:val="true"/>
        </w:rPr>
        <w:t>و رابعها</w:t>
      </w:r>
      <w:r>
        <w:rPr>
          <w:rtl w:val="true"/>
        </w:rPr>
        <w:t xml:space="preserve">: </w:t>
      </w:r>
      <w:r>
        <w:rPr>
          <w:rtl w:val="true"/>
        </w:rPr>
        <w:t>أنّ في كون التخيير فيما اجتمع في مال ما يمكن إخراج الفريضين</w:t>
      </w:r>
      <w:bookmarkEnd w:id="255"/>
    </w:p>
    <w:p>
      <w:pPr>
        <w:pStyle w:val="BookText"/>
        <w:rPr/>
      </w:pPr>
      <w:r>
        <w:rPr>
          <w:rFonts w:ascii="Amiri" w:hAnsi="Amiri" w:eastAsia="Amiri" w:cs="Amiri"/>
          <w:color w:val="111111"/>
          <w:sz w:val="28"/>
          <w:sz w:val="28"/>
          <w:szCs w:val="28"/>
          <w:rtl w:val="true"/>
          <w:lang w:bidi="ar-SA"/>
        </w:rPr>
        <w:t>من الحقّة و بنت اللبون كالمائتين أو أربعمائة مثلا للمالك أو للساعي،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 ثانيهما إلى الشيخ في الخلاف</w:t>
      </w:r>
      <w:r>
        <w:rPr>
          <w:rStyle w:val="FootnoteAnchor"/>
          <w:rtl w:val="true"/>
        </w:rPr>
        <w:footnoteReference w:id="1053"/>
      </w:r>
      <w:r>
        <w:rPr>
          <w:rFonts w:ascii="IRNazanin" w:hAnsi="IRNazanin" w:eastAsia="IRNazanin"/>
          <w:color w:val="111111"/>
          <w:sz w:val="28"/>
          <w:sz w:val="28"/>
          <w:szCs w:val="28"/>
          <w:rtl w:val="true"/>
          <w:lang w:bidi="fa-IR"/>
        </w:rPr>
        <w:t>و المشهور</w:t>
      </w:r>
      <w:r>
        <w:rPr>
          <w:rStyle w:val="FootnoteAnchor"/>
          <w:rtl w:val="true"/>
        </w:rPr>
        <w:footnoteReference w:id="1054"/>
      </w:r>
      <w:r>
        <w:rPr>
          <w:rFonts w:ascii="Amiri" w:hAnsi="Amiri" w:eastAsia="Amiri" w:cs="Amiri"/>
          <w:color w:val="111111"/>
          <w:sz w:val="28"/>
          <w:sz w:val="28"/>
          <w:szCs w:val="28"/>
          <w:rtl w:val="true"/>
          <w:lang w:bidi="ar-SA"/>
        </w:rPr>
        <w:t>الأوّل، بل العلاّمة في محكيّ المنتهى نسب الذهاب إليه إلى علمائنا</w:t>
      </w:r>
      <w:r>
        <w:rPr>
          <w:rStyle w:val="FootnoteAnchor"/>
          <w:rtl w:val="true"/>
        </w:rPr>
        <w:footnoteReference w:id="1055"/>
      </w:r>
      <w:r>
        <w:rPr>
          <w:rFonts w:ascii="Amiri" w:hAnsi="Amiri" w:eastAsia="Amiri" w:cs="Amiri"/>
          <w:color w:val="111111"/>
          <w:sz w:val="28"/>
          <w:sz w:val="28"/>
          <w:szCs w:val="28"/>
          <w:rtl w:val="true"/>
          <w:lang w:bidi="ar-SA"/>
        </w:rPr>
        <w:t>مؤذنا بدعوى الإجماع عليه، و هو ظاهر المحقّق</w:t>
      </w:r>
      <w:r>
        <w:rPr>
          <w:rStyle w:val="FootnoteAnchor"/>
          <w:rtl w:val="true"/>
        </w:rPr>
        <w:footnoteReference w:id="1056"/>
      </w:r>
      <w:r>
        <w:rPr>
          <w:rFonts w:ascii="Amiri" w:hAnsi="Amiri" w:eastAsia="Amiri" w:cs="Amiri"/>
          <w:color w:val="111111"/>
          <w:sz w:val="28"/>
          <w:sz w:val="28"/>
          <w:szCs w:val="28"/>
          <w:rtl w:val="true"/>
          <w:lang w:bidi="ar-SA"/>
        </w:rPr>
        <w:t>حيث اختار الأوّل و نسب الثاني إلى الشافعي</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المعتمد، عملا بظاهر الأخبار، مضافا إلى أنّ وجوب إخراج الزكاة تكليف </w:t>
      </w:r>
    </w:p>
    <w:p>
      <w:pPr>
        <w:pStyle w:val="BookText"/>
        <w:rPr/>
      </w:pPr>
      <w:r>
        <w:rPr>
          <w:rFonts w:ascii="Amiri" w:hAnsi="Amiri" w:eastAsia="Amiri" w:cs="Amiri"/>
          <w:color w:val="111111"/>
          <w:sz w:val="28"/>
          <w:sz w:val="28"/>
          <w:szCs w:val="28"/>
          <w:rtl w:val="true"/>
          <w:lang w:bidi="ar-SA"/>
        </w:rPr>
        <w:t>المالك فليكن التخيير حالة في تكليفه، مع أنّ المستفاد من طريقة الشارع في باب الزكاة كون بنائه في حقّه على الرفق، فالمناسب له كون التخيير حكما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الجميع بما عرفت من الشهرة و ظهور نقل الإجماع من الفاضلين</w:t>
      </w:r>
      <w:r>
        <w:rPr>
          <w:rStyle w:val="FootnoteAnchor"/>
          <w:rtl w:val="true"/>
        </w:rPr>
        <w:footnoteReference w:id="1058"/>
      </w:r>
      <w:r>
        <w:rPr>
          <w:rFonts w:ascii="Amiri" w:hAnsi="Amiri" w:eastAsia="Amiri" w:cs="Amiri"/>
          <w:color w:val="111111"/>
          <w:sz w:val="28"/>
          <w:sz w:val="28"/>
          <w:szCs w:val="28"/>
          <w:rtl w:val="true"/>
          <w:lang w:bidi="ar-SA"/>
        </w:rPr>
        <w:t>و إن كان كلام أحدهما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أنّ الخيار في ذلك إلى المالك أيّهما شاء دفع، لنا أنّه عليه السّلام أمر العامل بتخيير المالك</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أراد بأمره عليه السّلام العامل بتخيير المالك ما في صحيحة يزيد بن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أمير المؤمنين مصدّقا من الكوفة إلى باديتها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انطلق و عليك بتقوى اللّه وحده لا شريك له، و لا تؤثرنّ دنياك على آخرتك، و كن حافظا لما ائتمنتك عليه راعيا لحقّ اللّه فيه حتّى تأتي بادي بني فلان، فإذا قدمت فانزل بمائهم من غير أن تخالط أبياتهم، ثمّ امض إليهم بسكينة و وقار حتّى تقوم فتسلّم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أرسلني إليكم وليّ اللّه لآخذ منكم حقّ اللّه في أموالكم، فهل للّه في أموالكم حقّ فتؤدّونه إلى وليّه‌؟ فإن 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فإن أنعم لك منعم منهم فانطلق معه من غير أن تحيفه أو تعدّه إلاّ خيرا، فإذا أتيت ماله فلا تدخله إلاّ بإذنه فإنّ أكثره له،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 تأذن في دخول مالك‌؟ فإن أذن لك فلا تدخله دخول متسلّط عليه فيه و لا عنف به، فاصدع المال صدعين ثمّ خيّره أيّ الصدعين شاء، فأيّهما اختار فلا تعرّض له، ثمّ اصدع الثاني صدعين فأيّهما اختار فلا تعرّض له، ثمّ لا يزال كذلك حتّى يبقى ما فيه وفاء لحقّ اللّه عزّ و جلّ في ماله فإذا بقى ذلك فاقتض ذلك منه، فإن استقالك فأقله ثمّ اخلطهما و اصنع الّذي صنعت أوّلا حتّى تأخذ حقّ اللّه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التخيير المأمور به فيه و إن لم يكن ممّا نحن فيه إلاّ أنّه يمكن أن يستشهد به لما </w:t>
      </w:r>
      <w:bookmarkStart w:id="256" w:name="pg16181_154574"/>
    </w:p>
    <w:p>
      <w:pPr>
        <w:pStyle w:val="BookText"/>
        <w:rPr/>
      </w:pPr>
      <w:bookmarkEnd w:id="256"/>
      <w:r>
        <w:rPr>
          <w:rFonts w:ascii="Amiri" w:hAnsi="Amiri" w:eastAsia="Amiri" w:cs="Amiri"/>
          <w:color w:val="111111"/>
          <w:sz w:val="28"/>
          <w:sz w:val="28"/>
          <w:szCs w:val="28"/>
          <w:rtl w:val="true"/>
          <w:lang w:bidi="ar-SA"/>
        </w:rPr>
        <w:t>نحن فيه، كما أنّه يمكن الاستدلال بهذا الحديث على ما بيّنّاه من كون بناء الشارع في باب الزكاة مع المالك على الرفق و المداراة</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2586589_1280447820"/>
      <w:bookmarkStart w:id="258" w:name="_Toc93"/>
      <w:bookmarkEnd w:id="257"/>
      <w:r>
        <w:rPr>
          <w:rtl w:val="true"/>
        </w:rPr>
        <w:t>و خامسها</w:t>
      </w:r>
      <w:r>
        <w:rPr>
          <w:rtl w:val="true"/>
        </w:rPr>
        <w:t xml:space="preserve">: </w:t>
      </w:r>
      <w:r>
        <w:rPr>
          <w:rtl w:val="true"/>
        </w:rPr>
        <w:t xml:space="preserve">من فقد </w:t>
      </w:r>
      <w:r>
        <w:rPr>
          <w:rtl w:val="true"/>
        </w:rPr>
        <w:t>«</w:t>
      </w:r>
      <w:r>
        <w:rPr>
          <w:rtl w:val="true"/>
        </w:rPr>
        <w:t>ابنة المخاض</w:t>
      </w:r>
      <w:r>
        <w:rPr>
          <w:rtl w:val="true"/>
        </w:rPr>
        <w:t xml:space="preserve">» </w:t>
      </w:r>
      <w:r>
        <w:rPr>
          <w:rtl w:val="true"/>
        </w:rPr>
        <w:t xml:space="preserve">فيما فريضته هذه و عنده </w:t>
      </w:r>
      <w:r>
        <w:rPr>
          <w:rtl w:val="true"/>
        </w:rPr>
        <w:t>«</w:t>
      </w:r>
      <w:r>
        <w:rPr>
          <w:rtl w:val="true"/>
        </w:rPr>
        <w:t>ابن لبون ذكر</w:t>
      </w:r>
      <w:r>
        <w:rPr>
          <w:rtl w:val="true"/>
        </w:rPr>
        <w:t xml:space="preserve">» </w:t>
      </w:r>
      <w:r>
        <w:rPr>
          <w:rtl w:val="true"/>
        </w:rPr>
        <w:t>يجزئه ذلك</w:t>
      </w:r>
      <w:bookmarkEnd w:id="258"/>
    </w:p>
    <w:p>
      <w:pPr>
        <w:pStyle w:val="BookText"/>
        <w:rPr/>
      </w:pPr>
      <w:r>
        <w:rPr>
          <w:rFonts w:ascii="Amiri" w:hAnsi="Amiri" w:eastAsia="Amiri" w:cs="Amiri"/>
          <w:color w:val="111111"/>
          <w:sz w:val="28"/>
          <w:sz w:val="28"/>
          <w:szCs w:val="28"/>
          <w:rtl w:val="true"/>
          <w:lang w:bidi="ar-SA"/>
        </w:rPr>
        <w:t>فتوى و نصّا، أمّا الفتوى فقيل</w:t>
      </w:r>
      <w:r>
        <w:rPr>
          <w:rStyle w:val="FootnoteAnchor"/>
          <w:rtl w:val="true"/>
        </w:rPr>
        <w:footnoteReference w:id="1061"/>
      </w:r>
      <w:r>
        <w:rPr>
          <w:rFonts w:ascii="Amiri" w:hAnsi="Amiri" w:eastAsia="Amiri" w:cs="Amiri"/>
          <w:color w:val="111111"/>
          <w:sz w:val="28"/>
          <w:sz w:val="28"/>
          <w:szCs w:val="28"/>
          <w:rtl w:val="true"/>
          <w:lang w:bidi="ar-SA"/>
        </w:rPr>
        <w:t>قولا واحدا، و عن تذكرة العلاّمة الإجماع عليه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النصّ فروايات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زرارة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خمسا و عشرين ففيها خمس من الغنم، فإذا زادت واحدة ففيها ابنة مخاض إلى خمس و ثلاثين، فإن لم يكن عنده ابنة مخاض فابن لبون ذكر</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كانت خمسا و عشرين ففيها خمس من الغنم، فإذا زادت واحدة ففيها ابنة مخاض إلى خمس و ثلاثين، فإن لم يكن ابنة مخاض فابن لبون ذكر</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قويّة القسم بن عروة عن الباقر 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في كلّ خمس شاة حتّى تبلغ خمسا و عشرين، فإذا زادت واحدة ففيها ابنة مخاض، فإن لم يكن ابنة مخاض فابن لبون</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المعتبر</w:t>
      </w:r>
      <w:r>
        <w:rPr>
          <w:rStyle w:val="FootnoteAnchor"/>
          <w:rtl w:val="true"/>
        </w:rPr>
        <w:footnoteReference w:id="1066"/>
      </w:r>
      <w:r>
        <w:rPr>
          <w:rFonts w:ascii="IRNazanin" w:hAnsi="IRNazanin" w:eastAsia="IRNazanin"/>
          <w:color w:val="111111"/>
          <w:sz w:val="28"/>
          <w:sz w:val="28"/>
          <w:szCs w:val="28"/>
          <w:rtl w:val="true"/>
          <w:lang w:bidi="fa-IR"/>
        </w:rPr>
        <w:t>و المنتهى</w:t>
      </w:r>
      <w:r>
        <w:rPr>
          <w:rStyle w:val="FootnoteAnchor"/>
          <w:rtl w:val="true"/>
        </w:rPr>
        <w:footnoteReference w:id="1067"/>
      </w:r>
      <w:r>
        <w:rPr>
          <w:rFonts w:ascii="Amiri" w:hAnsi="Amiri" w:eastAsia="Amiri" w:cs="Amiri"/>
          <w:color w:val="111111"/>
          <w:sz w:val="28"/>
          <w:sz w:val="28"/>
          <w:szCs w:val="28"/>
          <w:rtl w:val="true"/>
          <w:lang w:bidi="ar-SA"/>
        </w:rPr>
        <w:t>الاستدلال بالخبر العامّي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عنده ابنة مخاض فابن لبون ذكر</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المرويّ من طريق أصحابنا في حديث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يكن عنده ابنة مخاض </w:t>
      </w:r>
    </w:p>
    <w:p>
      <w:pPr>
        <w:pStyle w:val="BookText"/>
        <w:rPr/>
      </w:pPr>
      <w:r>
        <w:rPr>
          <w:rFonts w:ascii="Amiri" w:hAnsi="Amiri" w:eastAsia="Amiri" w:cs="Amiri"/>
          <w:color w:val="111111"/>
          <w:sz w:val="28"/>
          <w:sz w:val="28"/>
          <w:szCs w:val="28"/>
          <w:rtl w:val="true"/>
          <w:lang w:bidi="ar-SA"/>
        </w:rPr>
        <w:t>على وجهها و ابن لبون ذكر فإنّه يقبل منه ابن لبون و ليس معه شيء</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الفتوى و هذه النصوص مضافا إلى إطلاق الأخبار المتقدّمة</w:t>
      </w:r>
      <w:r>
        <w:rPr>
          <w:rStyle w:val="FootnoteAnchor"/>
          <w:rtl w:val="true"/>
        </w:rPr>
        <w:footnoteReference w:id="1070"/>
      </w:r>
      <w:r>
        <w:rPr>
          <w:rFonts w:ascii="Amiri" w:hAnsi="Amiri" w:eastAsia="Amiri" w:cs="Amiri"/>
          <w:color w:val="111111"/>
          <w:sz w:val="28"/>
          <w:sz w:val="28"/>
          <w:szCs w:val="28"/>
          <w:rtl w:val="true"/>
          <w:lang w:bidi="ar-SA"/>
        </w:rPr>
        <w:t>عدم إجزاء ابن لبون مع وجود ابنة مخاض عنده، و مع فقدها لا يتفاوت الحال في إجزاء ابن لبون بين تساوي قيمتهما أو تفاوتها مع زيادة قيمة ابن لبون أو نقصانها، عملا بالإطلاق فتوى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تمكّن من تحصيل ابنة المخاض بشراء و نحوه مع وجود ابن لبون عنده لم يجب تحصيله اجتزاء بابن اللبون من جهة الإطلاق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فقد ابن اللبون أيضا فإن تمكّن من تحصيلهما معا بشراء و نحوه فالمصرّح به في كلام جماعة</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ادّعي</w:t>
      </w:r>
      <w:r>
        <w:rPr>
          <w:rStyle w:val="FootnoteAnchor"/>
          <w:rtl w:val="true"/>
        </w:rPr>
        <w:footnoteReference w:id="1072"/>
      </w:r>
      <w:r>
        <w:rPr>
          <w:rFonts w:ascii="Amiri" w:hAnsi="Amiri" w:eastAsia="Amiri" w:cs="Amiri"/>
          <w:color w:val="111111"/>
          <w:sz w:val="28"/>
          <w:sz w:val="28"/>
          <w:szCs w:val="28"/>
          <w:rtl w:val="true"/>
          <w:lang w:bidi="ar-SA"/>
        </w:rPr>
        <w:t>فيه الشهرة العظيمة، و عن ظاهر المعتبر</w:t>
      </w:r>
      <w:r>
        <w:rPr>
          <w:rStyle w:val="FootnoteAnchor"/>
          <w:rtl w:val="true"/>
        </w:rPr>
        <w:footnoteReference w:id="1073"/>
      </w:r>
      <w:r>
        <w:rPr>
          <w:rFonts w:ascii="Amiri" w:hAnsi="Amiri" w:eastAsia="Amiri" w:cs="Amiri"/>
          <w:color w:val="111111"/>
          <w:sz w:val="28"/>
          <w:sz w:val="28"/>
          <w:szCs w:val="28"/>
          <w:rtl w:val="true"/>
          <w:lang w:bidi="ar-SA"/>
        </w:rPr>
        <w:t xml:space="preserve">كونه محلّ 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يتعيّن عليه تحصيل بنت المخاض، بل يجوز تحصيل ابن اللبون، لأنّه بشرائه يكون واجدا له و فاقدا لبنت المخاض فيجزئه للروايات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اشتراهما معا تعيّن ابنة المخاض، لصدق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عنده ابن لبون و ابنة مخاض مريضة أو معيبة بحيث لا تجزئ عن الصدقة يجزئه ابن اللبون، لأنّ الموجود من ابنة المخاض بمنزلة العدم فهو كمن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المرويّ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يكن عنده ابنة مخاض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الأحوط شراء ابنة مخاض مجزئة، و وجوبه ممّا لا دليل عليه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وجد عنده بنت مخاض أعلى من صفة الواجب لم يجزئه ابن لبون وفاقا </w:t>
      </w:r>
      <w:bookmarkStart w:id="259" w:name="pg16181_154576"/>
    </w:p>
    <w:p>
      <w:pPr>
        <w:pStyle w:val="BookText"/>
        <w:rPr/>
      </w:pPr>
      <w:bookmarkEnd w:id="259"/>
      <w:r>
        <w:rPr>
          <w:rFonts w:ascii="IRNazanin" w:hAnsi="IRNazanin" w:eastAsia="IRNazanin"/>
          <w:color w:val="111111"/>
          <w:sz w:val="28"/>
          <w:sz w:val="28"/>
          <w:szCs w:val="28"/>
          <w:rtl w:val="true"/>
          <w:lang w:bidi="fa-IR"/>
        </w:rPr>
        <w:t>للمعتبر</w:t>
      </w:r>
      <w:r>
        <w:rPr>
          <w:rStyle w:val="FootnoteAnchor"/>
          <w:rtl w:val="true"/>
        </w:rPr>
        <w:footnoteReference w:id="1075"/>
      </w:r>
      <w:r>
        <w:rPr>
          <w:rFonts w:ascii="IRNazanin" w:hAnsi="IRNazanin" w:eastAsia="IRNazanin"/>
          <w:color w:val="111111"/>
          <w:sz w:val="28"/>
          <w:sz w:val="28"/>
          <w:szCs w:val="28"/>
          <w:rtl w:val="true"/>
          <w:lang w:bidi="fa-IR"/>
        </w:rPr>
        <w:t>و المنتهى</w:t>
      </w:r>
      <w:r>
        <w:rPr>
          <w:rStyle w:val="FootnoteAnchor"/>
          <w:rtl w:val="true"/>
        </w:rPr>
        <w:footnoteReference w:id="1076"/>
      </w:r>
      <w:r>
        <w:rPr>
          <w:rFonts w:ascii="Amiri" w:hAnsi="Amiri" w:eastAsia="Amiri" w:cs="Amiri"/>
          <w:color w:val="111111"/>
          <w:sz w:val="28"/>
          <w:sz w:val="28"/>
          <w:szCs w:val="28"/>
          <w:rtl w:val="true"/>
          <w:lang w:bidi="ar-SA"/>
        </w:rPr>
        <w:t>لأنّه واجد لابنة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اشترى ابنة مخاض مجزئة ممّا هو أدون ممّا هو موجود عنده إجزاؤه فهو مخيّر حينئذ بين دفع الموجود و شراء المجزئة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امور اخر يأتي التعرّض لها في أواخر الباب</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2586591_1280447820"/>
      <w:bookmarkStart w:id="261" w:name="_Toc94"/>
      <w:bookmarkEnd w:id="260"/>
      <w:r>
        <w:rPr>
          <w:rtl w:val="true"/>
        </w:rPr>
        <w:t>المرحلة الثانية في نصاب البقر</w:t>
      </w:r>
      <w:r>
        <w:rPr>
          <w:rtl w:val="true"/>
        </w:rPr>
        <w:t>:</w:t>
      </w:r>
      <w:bookmarkEnd w:id="261"/>
    </w:p>
    <w:p>
      <w:pPr>
        <w:pStyle w:val="Heading6"/>
        <w:numPr>
          <w:ilvl w:val="5"/>
          <w:numId w:val="1"/>
        </w:numPr>
        <w:rPr/>
      </w:pPr>
      <w:bookmarkStart w:id="262" w:name="__RefHeading___Toc2586593_1280447820"/>
      <w:bookmarkStart w:id="263" w:name="_Toc95"/>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و اعلم أنّ فيه نصابين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ثلاثون 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الشرائع</w:t>
      </w:r>
      <w:r>
        <w:rPr>
          <w:rStyle w:val="FootnoteAnchor"/>
          <w:rtl w:val="true"/>
        </w:rPr>
        <w:footnoteReference w:id="1077"/>
      </w:r>
      <w:r>
        <w:rPr>
          <w:rFonts w:ascii="Amiri" w:hAnsi="Amiri" w:eastAsia="Amiri" w:cs="Amiri"/>
          <w:color w:val="111111"/>
          <w:sz w:val="28"/>
          <w:sz w:val="28"/>
          <w:szCs w:val="28"/>
          <w:rtl w:val="true"/>
          <w:lang w:bidi="ar-SA"/>
        </w:rPr>
        <w:t>كما عن النهاية</w:t>
      </w:r>
      <w:r>
        <w:rPr>
          <w:rStyle w:val="FootnoteAnchor"/>
          <w:rtl w:val="true"/>
        </w:rPr>
        <w:footnoteReference w:id="1078"/>
      </w:r>
      <w:r>
        <w:rPr>
          <w:rFonts w:ascii="Amiri" w:hAnsi="Amiri" w:eastAsia="Amiri" w:cs="Amiri"/>
          <w:color w:val="111111"/>
          <w:sz w:val="28"/>
          <w:sz w:val="28"/>
          <w:szCs w:val="28"/>
          <w:rtl w:val="true"/>
          <w:lang w:bidi="ar-SA"/>
        </w:rPr>
        <w:t>و الوسيلة</w:t>
      </w:r>
      <w:r>
        <w:rPr>
          <w:rStyle w:val="FootnoteAnchor"/>
          <w:rtl w:val="true"/>
        </w:rPr>
        <w:footnoteReference w:id="1079"/>
      </w:r>
      <w:r>
        <w:rPr>
          <w:rFonts w:ascii="Amiri" w:hAnsi="Amiri" w:eastAsia="Amiri" w:cs="Amiri"/>
          <w:color w:val="111111"/>
          <w:sz w:val="28"/>
          <w:sz w:val="28"/>
          <w:szCs w:val="28"/>
          <w:rtl w:val="true"/>
          <w:lang w:bidi="ar-SA"/>
        </w:rPr>
        <w:t>و الغنية</w:t>
      </w:r>
      <w:r>
        <w:rPr>
          <w:rStyle w:val="FootnoteAnchor"/>
          <w:rtl w:val="true"/>
        </w:rPr>
        <w:footnoteReference w:id="1080"/>
      </w:r>
      <w:r>
        <w:rPr>
          <w:rFonts w:ascii="IRNazanin" w:hAnsi="IRNazanin" w:eastAsia="IRNazanin"/>
          <w:color w:val="111111"/>
          <w:sz w:val="28"/>
          <w:sz w:val="28"/>
          <w:szCs w:val="28"/>
          <w:rtl w:val="true"/>
          <w:lang w:bidi="fa-IR"/>
        </w:rPr>
        <w:t>و النافع</w:t>
      </w:r>
      <w:r>
        <w:rPr>
          <w:rStyle w:val="FootnoteAnchor"/>
          <w:rtl w:val="true"/>
        </w:rPr>
        <w:footnoteReference w:id="1081"/>
      </w:r>
      <w:r>
        <w:rPr>
          <w:rFonts w:ascii="Amiri" w:hAnsi="Amiri" w:eastAsia="Amiri" w:cs="Amiri"/>
          <w:color w:val="111111"/>
          <w:sz w:val="28"/>
          <w:sz w:val="28"/>
          <w:szCs w:val="28"/>
          <w:rtl w:val="true"/>
          <w:lang w:bidi="ar-SA"/>
        </w:rPr>
        <w:t>و التبصرة</w:t>
      </w:r>
      <w:r>
        <w:rPr>
          <w:rStyle w:val="FootnoteAnchor"/>
          <w:rtl w:val="true"/>
        </w:rPr>
        <w:footnoteReference w:id="1082"/>
      </w:r>
      <w:r>
        <w:rPr>
          <w:rFonts w:ascii="IRNazanin" w:hAnsi="IRNazanin" w:eastAsia="IRNazanin"/>
          <w:color w:val="111111"/>
          <w:sz w:val="28"/>
          <w:sz w:val="28"/>
          <w:szCs w:val="28"/>
          <w:rtl w:val="true"/>
          <w:lang w:bidi="fa-IR"/>
        </w:rPr>
        <w:t>و الإرشاد</w:t>
      </w:r>
      <w:r>
        <w:rPr>
          <w:rStyle w:val="FootnoteAnchor"/>
          <w:rtl w:val="true"/>
        </w:rPr>
        <w:footnoteReference w:id="1083"/>
      </w:r>
      <w:r>
        <w:rPr>
          <w:rFonts w:ascii="IRNazanin" w:hAnsi="IRNazanin" w:eastAsia="IRNazanin"/>
          <w:color w:val="111111"/>
          <w:sz w:val="28"/>
          <w:sz w:val="28"/>
          <w:szCs w:val="28"/>
          <w:rtl w:val="true"/>
          <w:lang w:bidi="fa-IR"/>
        </w:rPr>
        <w:t>و القواعد</w:t>
      </w:r>
      <w:r>
        <w:rPr>
          <w:rStyle w:val="FootnoteAnchor"/>
          <w:rtl w:val="true"/>
        </w:rPr>
        <w:footnoteReference w:id="1084"/>
      </w:r>
      <w:r>
        <w:rPr>
          <w:rFonts w:ascii="Amiri" w:hAnsi="Amiri" w:eastAsia="Amiri" w:cs="Amiri"/>
          <w:color w:val="111111"/>
          <w:sz w:val="28"/>
          <w:sz w:val="28"/>
          <w:szCs w:val="28"/>
          <w:rtl w:val="true"/>
          <w:lang w:bidi="ar-SA"/>
        </w:rPr>
        <w:t>و التحرير</w:t>
      </w:r>
      <w:r>
        <w:rPr>
          <w:rStyle w:val="FootnoteAnchor"/>
          <w:rtl w:val="true"/>
        </w:rPr>
        <w:footnoteReference w:id="1085"/>
      </w:r>
      <w:r>
        <w:rPr>
          <w:rFonts w:ascii="IRNazanin" w:hAnsi="IRNazanin" w:eastAsia="IRNazanin"/>
          <w:color w:val="111111"/>
          <w:sz w:val="28"/>
          <w:sz w:val="28"/>
          <w:szCs w:val="28"/>
          <w:rtl w:val="true"/>
          <w:lang w:bidi="fa-IR"/>
        </w:rPr>
        <w:t>و الجامع</w:t>
      </w:r>
      <w:r>
        <w:rPr>
          <w:rStyle w:val="FootnoteAnchor"/>
          <w:rtl w:val="true"/>
        </w:rPr>
        <w:footnoteReference w:id="1086"/>
      </w:r>
      <w:r>
        <w:rPr>
          <w:rFonts w:ascii="IRNazanin" w:hAnsi="IRNazanin" w:eastAsia="IRNazanin"/>
          <w:color w:val="111111"/>
          <w:sz w:val="28"/>
          <w:sz w:val="28"/>
          <w:szCs w:val="28"/>
          <w:rtl w:val="true"/>
          <w:lang w:bidi="fa-IR"/>
        </w:rPr>
        <w:t>و الدروس</w:t>
      </w:r>
      <w:r>
        <w:rPr>
          <w:rStyle w:val="FootnoteAnchor"/>
          <w:rtl w:val="true"/>
        </w:rPr>
        <w:footnoteReference w:id="1087"/>
      </w:r>
      <w:r>
        <w:rPr>
          <w:rFonts w:ascii="Amiri" w:hAnsi="Amiri" w:eastAsia="Amiri" w:cs="Amiri"/>
          <w:color w:val="111111"/>
          <w:sz w:val="28"/>
          <w:sz w:val="28"/>
          <w:szCs w:val="28"/>
          <w:rtl w:val="true"/>
          <w:lang w:bidi="ar-SA"/>
        </w:rPr>
        <w:t>و البيان</w:t>
      </w:r>
      <w:r>
        <w:rPr>
          <w:rStyle w:val="FootnoteAnchor"/>
          <w:rtl w:val="true"/>
        </w:rPr>
        <w:footnoteReference w:id="1088"/>
      </w:r>
      <w:r>
        <w:rPr>
          <w:rFonts w:ascii="Amiri" w:hAnsi="Amiri" w:eastAsia="Amiri" w:cs="Amiri"/>
          <w:color w:val="111111"/>
          <w:sz w:val="28"/>
          <w:sz w:val="28"/>
          <w:szCs w:val="28"/>
          <w:rtl w:val="true"/>
          <w:lang w:bidi="ar-SA"/>
        </w:rPr>
        <w:t>و اللمعة</w:t>
      </w:r>
      <w:r>
        <w:rPr>
          <w:rStyle w:val="FootnoteAnchor"/>
          <w:rtl w:val="true"/>
        </w:rPr>
        <w:footnoteReference w:id="1089"/>
      </w:r>
      <w:r>
        <w:rPr>
          <w:rFonts w:ascii="Amiri" w:hAnsi="Amiri" w:eastAsia="Amiri" w:cs="Amiri"/>
          <w:color w:val="111111"/>
          <w:sz w:val="28"/>
          <w:sz w:val="28"/>
          <w:szCs w:val="28"/>
          <w:rtl w:val="true"/>
          <w:lang w:bidi="ar-SA"/>
        </w:rPr>
        <w:t>و الروضة</w:t>
      </w:r>
      <w:r>
        <w:rPr>
          <w:rStyle w:val="FootnoteAnchor"/>
          <w:rtl w:val="true"/>
        </w:rPr>
        <w:footnoteReference w:id="1090"/>
      </w:r>
      <w:r>
        <w:rPr>
          <w:rFonts w:ascii="Amiri" w:hAnsi="Amiri" w:eastAsia="Amiri" w:cs="Amiri"/>
          <w:color w:val="111111"/>
          <w:sz w:val="28"/>
          <w:sz w:val="28"/>
          <w:szCs w:val="28"/>
          <w:rtl w:val="true"/>
          <w:lang w:bidi="ar-SA"/>
        </w:rPr>
        <w:t>و الرياض</w:t>
      </w:r>
      <w:r>
        <w:rPr>
          <w:rStyle w:val="FootnoteAnchor"/>
          <w:rtl w:val="true"/>
        </w:rPr>
        <w:footnoteReference w:id="1091"/>
      </w:r>
      <w:r>
        <w:rPr>
          <w:rFonts w:ascii="Amiri" w:hAnsi="Amiri" w:eastAsia="Amiri" w:cs="Amiri"/>
          <w:color w:val="111111"/>
          <w:sz w:val="28"/>
          <w:sz w:val="28"/>
          <w:szCs w:val="28"/>
          <w:rtl w:val="true"/>
          <w:lang w:bidi="ar-SA"/>
        </w:rPr>
        <w:t>و عن المسالك هو المشهور في كلامهم</w:t>
      </w:r>
      <w:r>
        <w:rPr>
          <w:rStyle w:val="FootnoteAnchor"/>
          <w:rtl w:val="true"/>
        </w:rPr>
        <w:footnoteReference w:id="1092"/>
      </w:r>
      <w:r>
        <w:rPr>
          <w:rFonts w:ascii="Amiri" w:hAnsi="Amiri" w:eastAsia="Amiri" w:cs="Amiri"/>
          <w:color w:val="111111"/>
          <w:sz w:val="28"/>
          <w:sz w:val="28"/>
          <w:szCs w:val="28"/>
          <w:rtl w:val="true"/>
          <w:lang w:bidi="ar-SA"/>
        </w:rPr>
        <w:t>و في الذخيرة هذا هو المشهور بين الأصحاب بل المسلمين</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ينبغي أن يعلم أنّه ليس مرادهم بهما الثلاثون الشخصي و الأربعون الشخصي بل الثلاثون و الأربعون الكلّيان المنحلّان إلى كلّ ثلاثين و كلّ أربعين فيندرج فيهما الثلاثون الأوّل و الأربعون الأوّل و الستّون و السبعون لاشتماله عليهما و الثمانون و التسعون و مائة و عشرون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معنى الدوام في عبارة الشرائع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البقر نصابان ثلاثون و أربعون دائما</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كما فهم في المدارك تبعا لجدّه في المسالك</w:t>
      </w:r>
      <w:r>
        <w:rPr>
          <w:rStyle w:val="FootnoteAnchor"/>
          <w:rtl w:val="true"/>
        </w:rPr>
        <w:footnoteReference w:id="1095"/>
      </w:r>
      <w:r>
        <w:rPr>
          <w:rFonts w:ascii="Amiri" w:hAnsi="Amiri" w:eastAsia="Amiri" w:cs="Amiri"/>
          <w:color w:val="111111"/>
          <w:sz w:val="28"/>
          <w:sz w:val="28"/>
          <w:szCs w:val="28"/>
          <w:rtl w:val="true"/>
          <w:lang w:bidi="ar-SA"/>
        </w:rPr>
        <w:t>قائلا في شرح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بذلك أنّ الثلاثين لا ينحصر في الأوّل و لا الأربعين في الثاني بل </w:t>
      </w:r>
      <w:bookmarkStart w:id="264" w:name="pg16181_154577"/>
    </w:p>
    <w:p>
      <w:pPr>
        <w:pStyle w:val="BookText"/>
        <w:rPr/>
      </w:pPr>
      <w:bookmarkEnd w:id="264"/>
      <w:r>
        <w:rPr>
          <w:rFonts w:ascii="Amiri" w:hAnsi="Amiri" w:eastAsia="Amiri" w:cs="Amiri"/>
          <w:color w:val="111111"/>
          <w:sz w:val="28"/>
          <w:sz w:val="28"/>
          <w:szCs w:val="28"/>
          <w:rtl w:val="true"/>
          <w:lang w:bidi="ar-SA"/>
        </w:rPr>
        <w:t>يتعلّق الحكم بكلّ ثلاثين و كلّ أربعين فالنصاب في الحقيقة واحد كلّي و هو أحد العددين</w:t>
      </w:r>
      <w:r>
        <w:rPr>
          <w:rFonts w:eastAsia="Amiri" w:cs="Amiri" w:ascii="Amiri" w:hAnsi="Amiri"/>
          <w:color w:val="111111"/>
          <w:sz w:val="28"/>
          <w:szCs w:val="28"/>
          <w:rtl w:val="true"/>
          <w:lang w:bidi="ar-SA"/>
        </w:rPr>
        <w:t>»</w:t>
      </w:r>
      <w:r>
        <w:rPr>
          <w:rStyle w:val="FootnoteAnchor"/>
          <w:rtl w:val="true"/>
        </w:rPr>
        <w:footnoteReference w:id="10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ظنّي أنّهما لو عبّرا 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الثلاثين لا ينحصر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النصاب الأوّل لا ينحصر في الثلاثين الأوّل و لا النصاب الثاني في الأربعين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أوضح في شرح العبارة و إفادة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فبما وجّهناه ظهر أنّه لا حاجة إلى تكلّف جعل نصب البقر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ثلاثون، و الثاني أربعون، و الثالث ستّون، و الرابع ما زاد، يؤخذ من كلّ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صنعه في المنتهى</w:t>
      </w:r>
      <w:r>
        <w:rPr>
          <w:rStyle w:val="FootnoteAnchor"/>
          <w:rtl w:val="true"/>
        </w:rPr>
        <w:footnoteReference w:id="1098"/>
      </w:r>
      <w:r>
        <w:rPr>
          <w:rFonts w:ascii="Amiri" w:hAnsi="Amiri" w:eastAsia="Amiri" w:cs="Amiri"/>
          <w:color w:val="111111"/>
          <w:sz w:val="28"/>
          <w:sz w:val="28"/>
          <w:szCs w:val="28"/>
          <w:rtl w:val="true"/>
          <w:lang w:bidi="ar-SA"/>
        </w:rPr>
        <w:t>و عزي إلى الجمل و العقود</w:t>
      </w:r>
      <w:r>
        <w:rPr>
          <w:rStyle w:val="FootnoteAnchor"/>
          <w:rtl w:val="true"/>
        </w:rPr>
        <w:footnoteReference w:id="1099"/>
      </w:r>
      <w:r>
        <w:rPr>
          <w:rFonts w:ascii="Amiri" w:hAnsi="Amiri" w:eastAsia="Amiri" w:cs="Amiri"/>
          <w:color w:val="111111"/>
          <w:sz w:val="28"/>
          <w:sz w:val="28"/>
          <w:szCs w:val="28"/>
          <w:rtl w:val="true"/>
          <w:lang w:bidi="ar-SA"/>
        </w:rPr>
        <w:t>و لا إلى تكلّف جعلها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w:t>
      </w:r>
      <w:r>
        <w:rPr>
          <w:rStyle w:val="FootnoteAnchor"/>
          <w:rtl w:val="true"/>
        </w:rPr>
        <w:footnoteReference w:id="1100"/>
      </w:r>
      <w:r>
        <w:rPr>
          <w:rFonts w:ascii="Amiri" w:hAnsi="Amiri" w:eastAsia="Amiri" w:cs="Amiri"/>
          <w:color w:val="111111"/>
          <w:sz w:val="28"/>
          <w:sz w:val="28"/>
          <w:szCs w:val="28"/>
          <w:rtl w:val="true"/>
          <w:lang w:bidi="ar-SA"/>
        </w:rPr>
        <w:t>الاول المذكورة، ثمّ سبعون، ثمّ الكلّي</w:t>
      </w:r>
    </w:p>
    <w:p>
      <w:pPr>
        <w:pStyle w:val="Heading6"/>
        <w:numPr>
          <w:ilvl w:val="5"/>
          <w:numId w:val="1"/>
        </w:numPr>
        <w:rPr/>
      </w:pPr>
      <w:bookmarkStart w:id="265" w:name="__RefHeading___Toc2586595_1280447820"/>
      <w:bookmarkStart w:id="266" w:name="_Toc96"/>
      <w:bookmarkEnd w:id="265"/>
      <w:r>
        <w:rPr>
          <w:rtl w:val="true"/>
        </w:rPr>
        <w:t>[</w:t>
      </w:r>
      <w:r>
        <w:rPr>
          <w:rtl w:val="true"/>
        </w:rPr>
        <w:t>أداء الفريضة في البقر على وجه التخيير أو التعيين‌؟</w:t>
      </w:r>
      <w:r>
        <w:rPr>
          <w:rtl w:val="true"/>
        </w:rPr>
        <w:t>]</w:t>
      </w:r>
      <w:bookmarkEnd w:id="26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الفريضة في البقر تبيع أو تبيعة على التخيير في كلّ ثلاثين، و المسنّة</w:t>
      </w:r>
      <w:r>
        <w:rPr>
          <w:rStyle w:val="FootnoteAnchor"/>
          <w:rtl w:val="true"/>
        </w:rPr>
        <w:footnoteReference w:id="1101"/>
      </w:r>
      <w:r>
        <w:rPr>
          <w:rFonts w:ascii="Amiri" w:hAnsi="Amiri" w:eastAsia="Amiri" w:cs="Amiri"/>
          <w:color w:val="111111"/>
          <w:sz w:val="28"/>
          <w:sz w:val="28"/>
          <w:szCs w:val="28"/>
          <w:rtl w:val="true"/>
          <w:lang w:bidi="ar-SA"/>
        </w:rPr>
        <w:t>في كلّ أربعين، بالإجماع في الثاني، و الشهرة العظيمة الّتي كادت تبلغ الإجماع في الأوّل، بل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المسلمون على وجوب التبيع و التبيعة في الثلاثين، و وجوب المسنّة في الأربعين و أجمعوا على أنّ هذين السنين هي المفروضة في زكاة البقر</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و نسبه في التذكرة إلى علمائنا أجمع</w:t>
      </w:r>
      <w:r>
        <w:rPr>
          <w:rStyle w:val="FootnoteAnchor"/>
          <w:rtl w:val="true"/>
        </w:rPr>
        <w:footnoteReference w:id="1103"/>
      </w:r>
      <w:r>
        <w:rPr>
          <w:rFonts w:ascii="Amiri" w:hAnsi="Amiri" w:eastAsia="Amiri" w:cs="Amiri"/>
          <w:color w:val="111111"/>
          <w:sz w:val="28"/>
          <w:sz w:val="28"/>
          <w:szCs w:val="28"/>
          <w:rtl w:val="true"/>
          <w:lang w:bidi="ar-SA"/>
        </w:rPr>
        <w:t xml:space="preserve">و في المعتبر بعد التمسّك برواية الفضلاء </w:t>
      </w:r>
    </w:p>
    <w:p>
      <w:pPr>
        <w:pStyle w:val="BookText"/>
        <w:rPr/>
      </w:pPr>
      <w:r>
        <w:rPr>
          <w:rFonts w:ascii="IRNazanin" w:hAnsi="IRNazanin" w:eastAsia="IRNazanin"/>
          <w:color w:val="111111"/>
          <w:sz w:val="28"/>
          <w:sz w:val="28"/>
          <w:szCs w:val="28"/>
          <w:rtl w:val="true"/>
          <w:lang w:bidi="fa-IR"/>
        </w:rPr>
        <w:t>على الوجه الموافق للمشهور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قول العلماء</w:t>
      </w:r>
      <w:r>
        <w:rPr>
          <w:rFonts w:eastAsia="IRNazanin" w:cs="IRNazanin"/>
          <w:color w:val="111111"/>
          <w:sz w:val="28"/>
          <w:szCs w:val="28"/>
          <w:rtl w:val="true"/>
          <w:lang w:bidi="fa-IR"/>
        </w:rPr>
        <w:t>»</w:t>
      </w:r>
      <w:r>
        <w:rPr>
          <w:rStyle w:val="FootnoteAnchor"/>
          <w:rtl w:val="true"/>
        </w:rPr>
        <w:footnoteReference w:id="1104"/>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العلماء كافّة</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مبنى هذه الإجماعات على عدم قدح خلاف المخالف، لشذوذه و معلوميّة نسبه في الإجماع، أو عدم دلالة كلامه على المخالفة و إلاّ فالمعروف في كتب الاستدلال عن العماني و والد الصدوق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في ثلاثين تبيعا حوليّا</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من دون ذكر التبيعة، و وجه 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احتمال كون الاقتصار عليه على أنّه أحد فردي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فالأصل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العظيمة و الإجماعات المنقولة اللتين كلّ منهما حجّة مستقلّة، مضافا إلى صحيحة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في المعتبر</w:t>
      </w:r>
      <w:r>
        <w:rPr>
          <w:rStyle w:val="FootnoteAnchor"/>
          <w:rtl w:val="true"/>
        </w:rPr>
        <w:footnoteReference w:id="1107"/>
      </w:r>
      <w:r>
        <w:rPr>
          <w:rFonts w:ascii="Amiri" w:hAnsi="Amiri" w:eastAsia="Amiri" w:cs="Amiri"/>
          <w:color w:val="111111"/>
          <w:sz w:val="28"/>
          <w:sz w:val="28"/>
          <w:szCs w:val="28"/>
          <w:rtl w:val="true"/>
          <w:lang w:bidi="ar-SA"/>
        </w:rPr>
        <w:t xml:space="preserve">مرسلا و اعتمد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و أبي عبد اللّه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البقر في كلّ ثلاثين تبيع حوليّ أو تبيعة، و ليس في أقلّ من ذلك شيء، ثمّ ليس فيها شيء حتّى يبلغ أربعين ففيها مسنّة، ثمّ ليس فيها شيء حتّى تبلغ ستّين ففيها تبيعان أو تبيعتان، ثمّ في سبعين تبيع أو تبيعة و مسنّة، و في ثمانين مسنّتان، و في تسعين ثلاث تبايع</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انطباق الرواية على قول المعظم واضح غير أنّ المحقّق متفرّد في نقلها بهذا المتن، و نقلها جماعة منهم العلاّمة في المنتهى</w:t>
      </w:r>
      <w:r>
        <w:rPr>
          <w:rStyle w:val="FootnoteAnchor"/>
          <w:rtl w:val="true"/>
        </w:rPr>
        <w:footnoteReference w:id="1109"/>
      </w:r>
      <w:r>
        <w:rPr>
          <w:rFonts w:ascii="Amiri" w:hAnsi="Amiri" w:eastAsia="Amiri" w:cs="Amiri"/>
          <w:color w:val="111111"/>
          <w:sz w:val="28"/>
          <w:sz w:val="28"/>
          <w:szCs w:val="28"/>
          <w:rtl w:val="true"/>
          <w:lang w:bidi="ar-SA"/>
        </w:rPr>
        <w:t>و صاحب المدارك</w:t>
      </w:r>
      <w:r>
        <w:rPr>
          <w:rStyle w:val="FootnoteAnchor"/>
          <w:rtl w:val="true"/>
        </w:rPr>
        <w:footnoteReference w:id="1110"/>
      </w:r>
      <w:r>
        <w:rPr>
          <w:rFonts w:ascii="Amiri" w:hAnsi="Amiri" w:eastAsia="Amiri" w:cs="Amiri"/>
          <w:color w:val="111111"/>
          <w:sz w:val="28"/>
          <w:sz w:val="28"/>
          <w:szCs w:val="28"/>
          <w:rtl w:val="true"/>
          <w:lang w:bidi="ar-SA"/>
        </w:rPr>
        <w:t>و غيرهما مع اختلاف في المتن من حيث اشتمال صدرها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ثلاثين بقرة تبيع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 اشتمالها في عنوان الستّين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الستّين ففيها تبيعتان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تسعين ففيها ثلاث حوليّات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وجه الاستدلال بها حينئذ تعيّن حمل إيجاب التبيعين في الستّين على أنّهما أحد فردي الواجب التخييري للإجماع على أنّهما لا تجبان على التعيين، و لزم من ذلك </w:t>
      </w:r>
    </w:p>
    <w:p>
      <w:pPr>
        <w:pStyle w:val="BookText"/>
        <w:rPr/>
      </w:pPr>
      <w:r>
        <w:rPr>
          <w:rFonts w:ascii="Amiri" w:hAnsi="Amiri" w:eastAsia="Amiri" w:cs="Amiri"/>
          <w:color w:val="111111"/>
          <w:sz w:val="28"/>
          <w:sz w:val="28"/>
          <w:szCs w:val="28"/>
          <w:rtl w:val="true"/>
          <w:lang w:bidi="ar-SA"/>
        </w:rPr>
        <w:t>كون ذكر التبيع في الفقرة الاولى أيضا على أنّه أحد فردي الواجب التخييري للإجماع على اتّحاد حكم الفقرة الاولى مع الفقرة الثالثة في التعيين و التخيير، كما نبّه عليه السيّد في المناهل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تصريح الرواية بوجوب التبيعة في الستّين يقتضي التخيير بينها و بين التبيع في الثلاثين، لأنّ وجوبها في الستّين تخييري لظهور الاتّفاق على نفي وجوبها عينا فيها، فيلزم التخيير في الثلاثين لظهور عدم القائل بالفرق بين المقامين</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مجمع الفائدة الإشارة إليه حيث إنّه بعد الإشارة إلى ما تمسّك به في المختلف</w:t>
      </w:r>
      <w:r>
        <w:rPr>
          <w:rStyle w:val="FootnoteAnchor"/>
          <w:rtl w:val="true"/>
        </w:rPr>
        <w:footnoteReference w:id="1112"/>
      </w:r>
      <w:r>
        <w:rPr>
          <w:rFonts w:ascii="Amiri" w:hAnsi="Amiri" w:eastAsia="Amiri" w:cs="Amiri"/>
          <w:color w:val="111111"/>
          <w:sz w:val="28"/>
          <w:sz w:val="28"/>
          <w:szCs w:val="28"/>
          <w:rtl w:val="true"/>
          <w:lang w:bidi="ar-SA"/>
        </w:rPr>
        <w:t>على القول بالتخيير حسبما تعرفه أيّده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يؤيّده إيجاب التبيعتين في ستّين</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و رواها في الفقيه</w:t>
      </w:r>
      <w:r>
        <w:rPr>
          <w:rStyle w:val="FootnoteAnchor"/>
          <w:rtl w:val="true"/>
        </w:rPr>
        <w:footnoteReference w:id="1114"/>
      </w:r>
      <w:r>
        <w:rPr>
          <w:rFonts w:ascii="IRNazanin" w:hAnsi="IRNazanin" w:eastAsia="IRNazanin"/>
          <w:color w:val="111111"/>
          <w:sz w:val="28"/>
          <w:sz w:val="28"/>
          <w:szCs w:val="28"/>
          <w:rtl w:val="true"/>
          <w:lang w:bidi="fa-IR"/>
        </w:rPr>
        <w:t>و الوسائل</w:t>
      </w:r>
      <w:r>
        <w:rPr>
          <w:rStyle w:val="FootnoteAnchor"/>
          <w:rtl w:val="true"/>
        </w:rPr>
        <w:footnoteReference w:id="1115"/>
      </w:r>
      <w:r>
        <w:rPr>
          <w:rFonts w:ascii="Amiri" w:hAnsi="Amiri" w:eastAsia="Amiri" w:cs="Amiri"/>
          <w:color w:val="111111"/>
          <w:sz w:val="28"/>
          <w:sz w:val="28"/>
          <w:szCs w:val="28"/>
          <w:rtl w:val="true"/>
          <w:lang w:bidi="ar-SA"/>
        </w:rPr>
        <w:t>نقلا عن الكافي</w:t>
      </w:r>
      <w:r>
        <w:rPr>
          <w:rStyle w:val="FootnoteAnchor"/>
          <w:rtl w:val="true"/>
        </w:rPr>
        <w:footnoteReference w:id="1116"/>
      </w:r>
      <w:r>
        <w:rPr>
          <w:rFonts w:ascii="Amiri" w:hAnsi="Amiri" w:eastAsia="Amiri" w:cs="Amiri"/>
          <w:color w:val="111111"/>
          <w:sz w:val="28"/>
          <w:sz w:val="28"/>
          <w:szCs w:val="28"/>
          <w:rtl w:val="true"/>
          <w:lang w:bidi="ar-SA"/>
        </w:rPr>
        <w:t>خالية عن ذكر التبيعة في جميع فقراتها، و هي بهذا المتن حجّة قول ابن أبي عقيل و ابن بابويه</w:t>
      </w:r>
      <w:r>
        <w:rPr>
          <w:rStyle w:val="FootnoteAnchor"/>
          <w:rtl w:val="true"/>
        </w:rPr>
        <w:footnoteReference w:id="1117"/>
      </w:r>
      <w:r>
        <w:rPr>
          <w:rFonts w:ascii="IRNazanin" w:hAnsi="IRNazanin" w:eastAsia="IRNazanin"/>
          <w:color w:val="111111"/>
          <w:sz w:val="28"/>
          <w:sz w:val="28"/>
          <w:szCs w:val="28"/>
          <w:rtl w:val="true"/>
          <w:lang w:bidi="fa-IR"/>
        </w:rPr>
        <w:t>و تبعهما صاحب الحدائق</w:t>
      </w:r>
      <w:r>
        <w:rPr>
          <w:rStyle w:val="FootnoteAnchor"/>
          <w:rtl w:val="true"/>
        </w:rPr>
        <w:footnoteReference w:id="1118"/>
      </w:r>
      <w:r>
        <w:rPr>
          <w:rFonts w:ascii="Amiri" w:hAnsi="Amiri" w:eastAsia="Amiri" w:cs="Amiri"/>
          <w:color w:val="111111"/>
          <w:sz w:val="28"/>
          <w:sz w:val="28"/>
          <w:szCs w:val="28"/>
          <w:rtl w:val="true"/>
          <w:lang w:bidi="ar-SA"/>
        </w:rPr>
        <w:t>عملا بهذا المتن لوروده في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السقط أيضا يساعد على هذا المتن، كما أنّ أصالة عدم التحريف و التصحيف يساعد على ما في المنتهى و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فيما نقله في المعتبر موافقا للمشهور بأنّ لعلّه عثر عليه فيما عنده من الاصول كذلك، كما هو مظنّة ذلك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اختلاف متن الرواية ربّما يوجب اضطرابا في النفس من جهة النصّ و إن كان يمكن إثبات التخيير من جهة الأصل، لأنّ الاختلاف المذكور يوجب اندراج المقام في مسألة دوران الأمر بين التعيين و التخيير، و الأصل في نوع هذه المسألة و إن كان عندنا هو التعيين من جهة قاعدة الاشتغال و هي واردة على أصل البراءة الّذي اعتمد عليه القائل بأصالة التخيير، إلاّ أنّها غير جارية في خصوص المقام بناء على قيام الإجماع على كون التبيعة مبرئة للذمّة في الثلاثين كالتبيع، كما أشار إليه العلاّمة في المنتهى </w:t>
      </w:r>
      <w:bookmarkStart w:id="267" w:name="pg16181_154580"/>
    </w:p>
    <w:p>
      <w:pPr>
        <w:pStyle w:val="BookText"/>
        <w:rPr/>
      </w:pPr>
      <w:bookmarkEnd w:id="267"/>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خلاف في إجزاء التبيعة عن الثلاثين للأحاديث</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و حينئذ فلا يجري قاعدة الاشتغال و يلزم منه جريان أصالة البراءة المقتضية للتخيير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في المنتهى على التخيير أيضا من جهة القاعدة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التبيعة أفضل من التبيع</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فإيجابها يستلزم إيجاب التبيع دون العكس فهو أحوط فيتعيّن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 في موضع آخر من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الوجه في أفضليّة التبيعة كونها أنفع بالدرّ و النسل</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يزيّفه منع ذلك بل التبيع أفضل بالحرث و الحمل، و غاية ما يسلّم اختلاف الأمكنة و الأصقاع في ذلك فلم يطّرد أفضليّة التبيعة، و لو سلّم فيتطرّق المنع إلى دعوى الملازمة بين إيجاب الأفضل و إيجاب غير الأفضل، و لو سلّم فيتوجّه المنع إلى إيجاب الأفضل حيث لم يدلّ عليه النصّ بالخصوص في الثلاثين، و المفروض إنّه لم يذكر مستندا له إلاّ كونه أحوط، فيتوجّه المنع إلى قضاء الأحوطيّة بالوجوب مع تطرّق المنع إلى أصل الأحوطيّة بعد صراحة النصّ بإيجاب غير الأفضل، غاية الأمر اشتباه حاله بين كونه على وجه التعيين أو على أنّه أحد فردي الواجب التخييري، و من ذلك ربّما أمكن ادّعاء الاستلزام في العكس على تقدير تسليم الأفضليّة أو من جهة الإجماع على إجزاء التبيعة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فالحجّة المذكورة فاسد الوضع من جهات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فالمعتمد هو المشهور عملا بالإجماعات المنقولة المعتضدة بالشهرة العظيمة المتأيّدة بالأصل المتقدّم، و هذا كلّه ربّما يكشف عن كون النصّ الخارج من المعصوم هو ما يوافق المشهور</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2586597_1280447820"/>
      <w:bookmarkStart w:id="269" w:name="_Toc97"/>
      <w:bookmarkEnd w:id="268"/>
      <w:r>
        <w:rPr>
          <w:rtl w:val="true"/>
        </w:rPr>
        <w:t>المرحلة الثالثة في نصاب الغنم</w:t>
      </w:r>
      <w:r>
        <w:rPr>
          <w:rtl w:val="true"/>
        </w:rPr>
        <w:t>:</w:t>
      </w:r>
      <w:bookmarkEnd w:id="269"/>
    </w:p>
    <w:p>
      <w:pPr>
        <w:pStyle w:val="Heading6"/>
        <w:numPr>
          <w:ilvl w:val="5"/>
          <w:numId w:val="1"/>
        </w:numPr>
        <w:rPr/>
      </w:pPr>
      <w:bookmarkStart w:id="270" w:name="__RefHeading___Toc2586599_1280447820"/>
      <w:bookmarkStart w:id="271" w:name="_Toc98"/>
      <w:bookmarkEnd w:id="270"/>
      <w:r>
        <w:rPr>
          <w:rtl w:val="true"/>
        </w:rPr>
        <w:t>اشارة</w:t>
      </w:r>
      <w:bookmarkEnd w:id="27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فيه خمسة نصب على المشهور في بعضها و إن كان البعض الآخر إجماعيّا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و فيها شاة، ثمّ مائة و إحدى و عشرون و فيها شاتان، ثمّ مائتان و واحدة </w:t>
      </w:r>
    </w:p>
    <w:p>
      <w:pPr>
        <w:pStyle w:val="BookText"/>
        <w:rPr/>
      </w:pPr>
      <w:r>
        <w:rPr>
          <w:rFonts w:ascii="Amiri" w:hAnsi="Amiri" w:eastAsia="Amiri" w:cs="Amiri"/>
          <w:color w:val="111111"/>
          <w:sz w:val="28"/>
          <w:sz w:val="28"/>
          <w:szCs w:val="28"/>
          <w:rtl w:val="true"/>
          <w:lang w:bidi="ar-SA"/>
        </w:rPr>
        <w:t>و فيها ثلاث شياه، ثمّ ثلاثمائة و واحدة و فيها أربع شياه، ثمّ أربعمائة ففي كلّ مائة شاة بالغة ما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 في الثلاث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النصب الثلاثة مجمع عليها بين الأصحاب</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و نحوه ما في المعتبر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الأربعين من الغنم زكاة، و إذا بلغت أربعين ففيها شاة، ثمّ ليس في الزائد شيء حتّى يبلغ مائة و إحدى و عشرين ففيها شاتان، ثمّ ليس في الزائد شيء حتّى يبلغ مائتين و واحدة ففيها ثلاث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بغير خلاف إلاّ ما حكى الشعبي 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مائتين و أربعين ثلاث شياه، و في ثلاثمائة و أربعين أربع شياه، و الحكاية ضعيفة، لأنّها مخالفة للإجماع، و قال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الشعبي معاذا، فهي إذن ساقطة</w:t>
      </w:r>
      <w:r>
        <w:rPr>
          <w:rFonts w:eastAsia="Amiri" w:cs="Amiri" w:ascii="Amiri" w:hAnsi="Amiri"/>
          <w:color w:val="111111"/>
          <w:sz w:val="28"/>
          <w:szCs w:val="28"/>
          <w:rtl w:val="true"/>
          <w:lang w:bidi="ar-SA"/>
        </w:rPr>
        <w:t>»</w:t>
      </w:r>
      <w:r>
        <w:rPr>
          <w:rStyle w:val="FootnoteAnchor"/>
          <w:rtl w:val="true"/>
        </w:rPr>
        <w:footnoteReference w:id="11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أجمع كلّ من يحفظ عنه العلم أنّ أوّل نصب الغنم أربعون فلا يجب في سائمة الغنم إلاّ إذا بلغتها ففيها شاة، ثمّ لا يجب فيها شيء حتّى تبلغ مائة و إحدى و عشرين ففيها شاتان، ثمّ مائتان و واحدة ففيها ثلاث شياه، و هذا كلّه وفاقا إلاّ ما حكاه الشعبي 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مائتين و أربعين ثلاث شياه و في ثلاثمائة و أربعين أربع شياه، و هي شاذّة مخالفة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هذه الإجماعات المنقولة بالقياس إلى النصاب الأوّل لعدم العثور على المخالف أو لشذوذه أو معلوميّة نسبه، و إلاّ فالصدوق في الفقيه جعله أربعين و واحدة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الغنم شيء حتّى تبلغ أربعين شاة، فإذا بلغت أربعين شاة و زادت واحدة ففيها شاة إلى عشرين و مائة، فإن زادت واحدة ففيها شاتان إلى مائتين، فإن زادت واحدة ففيها ثلاث شياه إلى ثلاثمائة، فإذا كثر الغنم اسقط هذا كلّه و اخرج من كلّ مائة شاة</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فاتّفقت كلمة من تأخّر عنه على ضعفه و شذوذه، لخلوّه عن المستند و مخالفته النصوص المعتبرة</w:t>
      </w:r>
      <w:r>
        <w:rPr>
          <w:rFonts w:eastAsia="Amiri" w:cs="Amiri" w:ascii="Amiri" w:hAnsi="Amiri"/>
          <w:color w:val="111111"/>
          <w:sz w:val="28"/>
          <w:szCs w:val="28"/>
          <w:rtl w:val="true"/>
          <w:lang w:bidi="ar-SA"/>
        </w:rPr>
        <w:t xml:space="preserve">. </w:t>
      </w:r>
      <w:bookmarkStart w:id="272" w:name="pg16181_154582"/>
    </w:p>
    <w:p>
      <w:pPr>
        <w:pStyle w:val="Heading6"/>
        <w:numPr>
          <w:ilvl w:val="5"/>
          <w:numId w:val="1"/>
        </w:numPr>
        <w:rPr/>
      </w:pPr>
      <w:bookmarkStart w:id="273" w:name="__RefHeading___Toc2586601_1280447820"/>
      <w:bookmarkStart w:id="274" w:name="_Toc99"/>
      <w:bookmarkEnd w:id="272"/>
      <w:bookmarkEnd w:id="273"/>
      <w:r>
        <w:rPr>
          <w:rtl w:val="true"/>
        </w:rPr>
        <w:t>[</w:t>
      </w:r>
      <w:r>
        <w:rPr>
          <w:rtl w:val="true"/>
        </w:rPr>
        <w:t>الخلاف في عدد نصب الغنم</w:t>
      </w:r>
      <w:r>
        <w:rPr>
          <w:rtl w:val="true"/>
        </w:rPr>
        <w:t>]</w:t>
      </w:r>
      <w:bookmarkEnd w:id="274"/>
    </w:p>
    <w:p>
      <w:pPr>
        <w:pStyle w:val="BookText"/>
        <w:rPr/>
      </w:pPr>
      <w:r>
        <w:rPr>
          <w:rFonts w:ascii="Amiri" w:hAnsi="Amiri" w:eastAsia="Amiri" w:cs="Amiri"/>
          <w:color w:val="111111"/>
          <w:sz w:val="28"/>
          <w:sz w:val="28"/>
          <w:szCs w:val="28"/>
          <w:rtl w:val="true"/>
          <w:lang w:bidi="ar-SA"/>
        </w:rPr>
        <w:t>ثمّ إنّ في كون النصب خمسة و خامسها الأربعمائة فيؤخذ فيها من كلّ مائة شاة حسبما ذكرنا كما عليه الأكثر، أو أربعة و رابعها الثلاثمائة و واحدة فيؤخذ فيها من كل مائة شاة كما عليه جماعة</w:t>
      </w:r>
      <w:r>
        <w:rPr>
          <w:rStyle w:val="FootnoteAnchor"/>
          <w:rtl w:val="true"/>
        </w:rPr>
        <w:footnoteReference w:id="1126"/>
      </w:r>
      <w:r>
        <w:rPr>
          <w:rFonts w:ascii="Amiri" w:hAnsi="Amiri" w:eastAsia="Amiri" w:cs="Amiri"/>
          <w:color w:val="111111"/>
          <w:sz w:val="28"/>
          <w:sz w:val="28"/>
          <w:szCs w:val="28"/>
          <w:rtl w:val="true"/>
          <w:lang w:bidi="ar-SA"/>
        </w:rPr>
        <w:t>كثيرة‌؟ قولان، حكاهما المحقّق في الشرائع حيث إنّه عند بيان النصب بعد ما وصل إلى النصاب الرابع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ثلاثمائة و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بلغت ذلك قيل يؤخذ من كلّ مائة شاة، و قيل بل يجب أربع شياه حتّى تبلغ أربعمائة فيؤخذ من كلّ مائة، شاة بالغا ما بلغ و هو الأشهر و تظهر الفائدة في الوجوب 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2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 نقل هذا الاختلاف على وجه يوهم الاختلاف بينه و بين الشرائع في نقل القول الأوّل، حيث قال في شرح عبارة الشرائع المتكفّلة لحكاية القولين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هذه المسألة فذهب المفيد</w:t>
      </w:r>
      <w:r>
        <w:rPr>
          <w:rStyle w:val="FootnoteAnchor"/>
          <w:rtl w:val="true"/>
        </w:rPr>
        <w:footnoteReference w:id="1128"/>
      </w:r>
      <w:r>
        <w:rPr>
          <w:rFonts w:ascii="IRNazanin" w:hAnsi="IRNazanin" w:eastAsia="IRNazanin"/>
          <w:color w:val="111111"/>
          <w:sz w:val="28"/>
          <w:sz w:val="28"/>
          <w:szCs w:val="28"/>
          <w:rtl w:val="true"/>
          <w:lang w:bidi="fa-IR"/>
        </w:rPr>
        <w:t>و المرتضى</w:t>
      </w:r>
      <w:r>
        <w:rPr>
          <w:rStyle w:val="FootnoteAnchor"/>
          <w:rtl w:val="true"/>
        </w:rPr>
        <w:footnoteReference w:id="1129"/>
      </w:r>
      <w:r>
        <w:rPr>
          <w:rFonts w:ascii="Amiri" w:hAnsi="Amiri" w:eastAsia="Amiri" w:cs="Amiri"/>
          <w:color w:val="111111"/>
          <w:sz w:val="28"/>
          <w:sz w:val="28"/>
          <w:szCs w:val="28"/>
          <w:rtl w:val="true"/>
          <w:lang w:bidi="ar-SA"/>
        </w:rPr>
        <w:t>و ابن بابويه و ابن أبي عقيل</w:t>
      </w:r>
      <w:r>
        <w:rPr>
          <w:rStyle w:val="FootnoteAnchor"/>
          <w:rtl w:val="true"/>
        </w:rPr>
        <w:footnoteReference w:id="1130"/>
      </w:r>
      <w:r>
        <w:rPr>
          <w:rFonts w:ascii="Amiri" w:hAnsi="Amiri" w:eastAsia="Amiri" w:cs="Amiri"/>
          <w:color w:val="111111"/>
          <w:sz w:val="28"/>
          <w:sz w:val="28"/>
          <w:szCs w:val="28"/>
          <w:rtl w:val="true"/>
          <w:lang w:bidi="ar-SA"/>
        </w:rPr>
        <w:t>و سلاّر</w:t>
      </w:r>
      <w:r>
        <w:rPr>
          <w:rStyle w:val="FootnoteAnchor"/>
          <w:rtl w:val="true"/>
        </w:rPr>
        <w:footnoteReference w:id="1131"/>
      </w:r>
      <w:r>
        <w:rPr>
          <w:rFonts w:ascii="Amiri" w:hAnsi="Amiri" w:eastAsia="Amiri" w:cs="Amiri"/>
          <w:color w:val="111111"/>
          <w:sz w:val="28"/>
          <w:sz w:val="28"/>
          <w:szCs w:val="28"/>
          <w:rtl w:val="true"/>
          <w:lang w:bidi="ar-SA"/>
        </w:rPr>
        <w:t>و ابن حمزة</w:t>
      </w:r>
      <w:r>
        <w:rPr>
          <w:rStyle w:val="FootnoteAnchor"/>
          <w:rtl w:val="true"/>
        </w:rPr>
        <w:footnoteReference w:id="1132"/>
      </w:r>
      <w:r>
        <w:rPr>
          <w:rFonts w:ascii="Amiri" w:hAnsi="Amiri" w:eastAsia="Amiri" w:cs="Amiri"/>
          <w:color w:val="111111"/>
          <w:sz w:val="28"/>
          <w:sz w:val="28"/>
          <w:szCs w:val="28"/>
          <w:rtl w:val="true"/>
          <w:lang w:bidi="ar-SA"/>
        </w:rPr>
        <w:t>و ابن إدريس</w:t>
      </w:r>
      <w:r>
        <w:rPr>
          <w:rStyle w:val="FootnoteAnchor"/>
          <w:rtl w:val="true"/>
        </w:rPr>
        <w:footnoteReference w:id="1133"/>
      </w:r>
      <w:r>
        <w:rPr>
          <w:rFonts w:ascii="Amiri" w:hAnsi="Amiri" w:eastAsia="Amiri" w:cs="Amiri"/>
          <w:color w:val="111111"/>
          <w:sz w:val="28"/>
          <w:sz w:val="28"/>
          <w:szCs w:val="28"/>
          <w:rtl w:val="true"/>
          <w:lang w:bidi="ar-SA"/>
        </w:rPr>
        <w:t>إلى أنّ الواجب في الثلاثمائة و واحدة ثلاث شياه و أنّه لا يتغيّر الفرض من مائتين و واحدة حتّى تبلغ أربعمائة، و نقله في التذكرة</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عن الفقهاء الأربع</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الشيخ</w:t>
      </w:r>
      <w:r>
        <w:rPr>
          <w:rStyle w:val="FootnoteAnchor"/>
          <w:rtl w:val="true"/>
        </w:rPr>
        <w:footnoteReference w:id="1136"/>
      </w:r>
      <w:r>
        <w:rPr>
          <w:rFonts w:ascii="Amiri" w:hAnsi="Amiri" w:eastAsia="Amiri" w:cs="Amiri"/>
          <w:color w:val="111111"/>
          <w:sz w:val="28"/>
          <w:sz w:val="28"/>
          <w:szCs w:val="28"/>
          <w:rtl w:val="true"/>
          <w:lang w:bidi="ar-SA"/>
        </w:rPr>
        <w:t>و ابن الجنيد</w:t>
      </w:r>
      <w:r>
        <w:rPr>
          <w:rStyle w:val="FootnoteAnchor"/>
          <w:rtl w:val="true"/>
        </w:rPr>
        <w:footnoteReference w:id="1137"/>
      </w:r>
      <w:r>
        <w:rPr>
          <w:rFonts w:ascii="IRNazanin" w:hAnsi="IRNazanin" w:eastAsia="IRNazanin"/>
          <w:color w:val="111111"/>
          <w:sz w:val="28"/>
          <w:sz w:val="28"/>
          <w:szCs w:val="28"/>
          <w:rtl w:val="true"/>
          <w:lang w:bidi="fa-IR"/>
        </w:rPr>
        <w:t>و أبو الصلاح</w:t>
      </w:r>
      <w:r>
        <w:rPr>
          <w:rStyle w:val="FootnoteAnchor"/>
          <w:rtl w:val="true"/>
        </w:rPr>
        <w:footnoteReference w:id="1138"/>
      </w:r>
      <w:r>
        <w:rPr>
          <w:rFonts w:ascii="IRNazanin" w:hAnsi="IRNazanin" w:eastAsia="IRNazanin"/>
          <w:color w:val="111111"/>
          <w:sz w:val="28"/>
          <w:sz w:val="28"/>
          <w:szCs w:val="28"/>
          <w:rtl w:val="true"/>
          <w:lang w:bidi="fa-IR"/>
        </w:rPr>
        <w:t>و ابن البرّاج</w:t>
      </w:r>
      <w:r>
        <w:rPr>
          <w:rStyle w:val="FootnoteAnchor"/>
          <w:rtl w:val="true"/>
        </w:rPr>
        <w:footnoteReference w:id="1139"/>
      </w:r>
      <w:r>
        <w:rPr>
          <w:rFonts w:ascii="Amiri" w:hAnsi="Amiri" w:eastAsia="Amiri" w:cs="Amiri"/>
          <w:color w:val="111111"/>
          <w:sz w:val="28"/>
          <w:sz w:val="28"/>
          <w:szCs w:val="28"/>
          <w:rtl w:val="true"/>
          <w:lang w:bidi="ar-SA"/>
        </w:rPr>
        <w:t>إلى أنّه يجب فيها أربع شياه ثمّ لا يتغيّر الفرض حتّى تبلغ خمسمائة</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انتهى و تبعه في حكاية القولين على الوجه المذكور في الذخيرة و المناهل</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المخالفة بين النقلين بعد اتّفاقهما على كون النصب على أوّل القولين أربع واضحة، حيث إنّ ما نقله يقتضي كون الثلاثمائة و واحدة ساقطة عمّا بين النصب ملحقة في الحكم بالنصاب الثالث و كون النصاب الرابع أربعمائة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لا يتغيّر الفرض من مائتين و واحدة حتّى تبلغ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الشرائع يقتضي انتهاء النصب إليها و كونها النصاب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بينهما و إن كان يمكن بجعل أقوال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النصب خمسة و خامسها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أربعة و رابعها الأربعمائة بإسقاط الثلاثمائة و واحدة عمّا بين النصب و هذا ما نقله في المدارك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أربعة و رابعها الثلاثمائة و واحدة و هو ما نقله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بعيد في الغاية لكونه خلاف ما يظهر من كلماتهم من انحصار الخلاف في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w:t>
      </w:r>
      <w:r>
        <w:rPr>
          <w:rStyle w:val="FootnoteAnchor"/>
          <w:rtl w:val="true"/>
        </w:rPr>
        <w:footnoteReference w:id="1142"/>
      </w:r>
      <w:r>
        <w:rPr>
          <w:rFonts w:ascii="IRNazanin" w:hAnsi="IRNazanin" w:eastAsia="IRNazanin"/>
          <w:color w:val="111111"/>
          <w:sz w:val="28"/>
          <w:sz w:val="28"/>
          <w:szCs w:val="28"/>
          <w:rtl w:val="true"/>
          <w:lang w:bidi="fa-IR"/>
        </w:rPr>
        <w:t>نقل احتجاج أهل القول الأوّل</w:t>
      </w:r>
      <w:r>
        <w:rPr>
          <w:rStyle w:val="FootnoteAnchor"/>
          <w:rtl w:val="true"/>
        </w:rPr>
        <w:footnoteReference w:id="1143"/>
      </w:r>
      <w:r>
        <w:rPr>
          <w:rFonts w:ascii="Amiri" w:hAnsi="Amiri" w:eastAsia="Amiri" w:cs="Amiri"/>
          <w:color w:val="111111"/>
          <w:sz w:val="28"/>
          <w:sz w:val="28"/>
          <w:szCs w:val="28"/>
          <w:rtl w:val="true"/>
          <w:lang w:bidi="ar-SA"/>
        </w:rPr>
        <w:t>برواية هي أوفق بما حكاه في الشرائع و هي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محمّد بن قيس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الأربعين من الغنم شيء، فإذا كانت أربعين ففيها شاة إلى عشرين و مائة، فإذا زادت واحدة ففيها شاتان إلى المائتين، فإذا زادت واحدة ففيها ثلاث من الغنم إلى ثلاثمائة، فإذا كثرت الغنم ففي كلّ مائة شاة</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فإنّها على تقدير شمول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كثرت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لصورة زيادة الواحدة على الثلاثمائة منطبقة على ما في الشرائع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توجيه ما نقله بمنع مخالفته لما في الشرائع بتقريب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عبّر عمّا في الشرائع بالعبارة المذكورة بتوهّم أنّه نقل باللازم، فإنّ كون الفريضة في كلّ مائة من ثلاثمائة و واحدة شاة يوجب كون فريضة المجموع ثلاث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بعينها فريضة المائتين و واحدة، و هكذا فيما فوقها إلى أن يبلغ الأربعمائة فيصير الفريضة حينئذ أربع شياه، و اللازم من ذلك أن لا يتغيّر الفرض من مائتين و واحدة حتّى تبلغ أربعمائة، و النصاب ما يتغيّر معه الفرض، و الثلاثمائة و واحدة لا يتغيّر معها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الاتّحاد و العينيّة بين الثلاثة شياه المفروضة على تقدير كون الثلاثمائة و واحدة بنفسها نصابا و بين الثلاثة المفروضة في المائتين و واحدة و إن توافقتا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الثمرة في محلّ الوجوب فإنّه على الأوّل مجموع الثلاثمائة و واحدة و على الثاني ما في ضمنه و هو المائتان و واحدة و كان المائة الزائدة عفو، أو في وقوع النقص على الزكاة بتلف الواحدة بعد الحول من غير تفريط على الأوّل دون الثاني لوجود النصاب بعد التلف، فيسقط من شاة واحدة جزء من مائة جزء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نظير هذه الثمرة الثلاثمائة و واحدة و الأربعمائة على القول المشهور من كون الاولى نصابا رابعا و الثانية نصابا خامسا مع كون الفريضة على التقديرين أربعة شياه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فمنشأ الخلاف بين القولين اختلاف الروايتين الدالّة إحداهما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كحسنة بل صحيحة الفضلاء الخمس عن أبي جعفر و أبي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الشاة في كلّ أربعين شاة شاة، و ليس فيما دون الأربعين شيء ثمّ ليس فيها شيء حتّى تبلغ عشرين و مائة فإذا بلغت عشرين و مائة ففيها مثل ذلك شاة واحدة فإذا زادت على مائة و عشرين ففيها شاتان، و ليس فيها أكثر من شاتين حتّى تبلغ مائتين فإذا بلغت المائتين ففيها مثل ذلك فإذا زادت على المائتين شاة واحدة ففيها ثلاث شياه، ثمّ ليس فيها شيء أكثر من ذلك حتّى تبلغ ثلاثمائة فإذا بلغت ثلاثمائة ففيها مثل ذلك ثلاث شياه، فإذا زادت واحدة ففيها أربع شياه حتّى تبلغ أربعمائة فإذا تمّت أربعمائة كان على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اخراهما على القول الآخر و هو على ما حكاه المحقّق ما تقدّم</w:t>
      </w:r>
      <w:r>
        <w:rPr>
          <w:rStyle w:val="FootnoteAnchor"/>
          <w:rtl w:val="true"/>
        </w:rPr>
        <w:footnoteReference w:id="1146"/>
      </w:r>
      <w:r>
        <w:rPr>
          <w:rFonts w:ascii="Amiri" w:hAnsi="Amiri" w:eastAsia="Amiri" w:cs="Amiri"/>
          <w:color w:val="111111"/>
          <w:sz w:val="28"/>
          <w:sz w:val="28"/>
          <w:szCs w:val="28"/>
          <w:rtl w:val="true"/>
          <w:lang w:bidi="ar-SA"/>
        </w:rPr>
        <w:t>من خبر محمّد ابن قيس بناء على صدق الكثرة بزيادة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بضعف السند، لكون محمّد بن قيس الراوي مشتركا بين جماعة بعضهم ضعيف فيحتمل كونه هو الضعيف</w:t>
      </w:r>
      <w:r>
        <w:rPr>
          <w:rStyle w:val="FootnoteAnchor"/>
          <w:rtl w:val="true"/>
        </w:rPr>
        <w:footnoteReference w:id="1147"/>
      </w:r>
      <w:r>
        <w:rPr>
          <w:rFonts w:ascii="Amiri" w:hAnsi="Amiri" w:eastAsia="Amiri" w:cs="Amiri"/>
          <w:color w:val="111111"/>
          <w:sz w:val="28"/>
          <w:sz w:val="28"/>
          <w:szCs w:val="28"/>
          <w:rtl w:val="true"/>
          <w:lang w:bidi="ar-SA"/>
        </w:rPr>
        <w:t>و ردّ بأنّ المشترك بين الثقة و الضعيف هو الّذي يروي عن الباقر عليه السّلام و أمّا الراوي عن الصادق فهو غير محتمل للضعيف، نعم يحتمل كونه ممدوحا خاصّة و موثّقا فيحتمل الخبر من جهته كونه من الحسن أو من الصحيح، هكذا نقل عن ثاني الشهيدين في فوائد القواعد</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السرّ في الاحتمالين كون الراوي عن الصادق عليه السّلام مشتركا بين محمّد بن قيس الأسدي و محمّد بن قيس البجلي و الأوّل ممدوح و الثاني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المستفاد من كلام النجاشي و غيره أنّ محمّد بن قيس هذا هو البجلي الثقة بقرينة رواية عاصم بن حميد عنه فتكون الرواية صحيحة</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و قد ذكر نحوه صاحب الذخيرة إلاّ أنّه جعل القرينة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عبد الرحمن بن أبي نجران عن عاصم بن حميد عنه</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على تقدير اتّحاد البجلي كما استظهر غير واحد،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الخلاصة</w:t>
      </w:r>
      <w:r>
        <w:rPr>
          <w:rStyle w:val="FootnoteAnchor"/>
          <w:rtl w:val="true"/>
        </w:rPr>
        <w:footnoteReference w:id="1151"/>
      </w:r>
      <w:r>
        <w:rPr>
          <w:rFonts w:ascii="Amiri" w:hAnsi="Amiri" w:eastAsia="Amiri" w:cs="Amiri"/>
          <w:color w:val="111111"/>
          <w:sz w:val="28"/>
          <w:sz w:val="28"/>
          <w:szCs w:val="28"/>
          <w:rtl w:val="true"/>
          <w:lang w:bidi="ar-SA"/>
        </w:rPr>
        <w:t>و إلاّ فعلى تقدير التعدّد كما هو ظاهر تعدّد العنوان في كتب الرجال فهو أيضا مشترك بين الممدوح و الثقة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الدلالة،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كثرت الغنم ففي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إناطة إيجاب الشاة في كلّ مائة بوصف الكثرة على معنى أن يحدث من وصف الكثرة بزيادة ما يزيد على ثلاثمائة ما لا يكون متحقّقا في المزيد عليه، و لا ريب أنّ زيادة الواحدة لا يكفي في ذلك لعدم كون الثلاثمائة المزيد عليها قليلة و هي مع الواحدة كثيرة، بل كلّ منهما في نفسها كثيرة و إن كانت الثانية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أن يراد منها ما يحصل بزيادة المائة، للإجماع على عدم مدخليّة زيادة ما دونها و ما فوق الواحدة بالخصوص في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قضيّة ذلك كون الثلاثمائة و واحدة في هذه الرواية مسكوتا عنها، و لعلّ الداعي إلى إهمالها التقيّة كما يومئ إليها تغيير اسلوب العبارة فعبّر هنا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كثرت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زادت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السوابق لما عن الشيخ في الخلاف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جميع الفقهاء و</w:t>
      </w:r>
      <w:r>
        <w:rPr>
          <w:rStyle w:val="FootnoteAnchor"/>
          <w:rtl w:val="true"/>
        </w:rPr>
        <w:footnoteReference w:id="11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المدوّنة الكبرى </w:t>
      </w:r>
      <w:r>
        <w:rPr>
          <w:rFonts w:eastAsia="Amiri" w:cs="Amiri" w:ascii="Amiri" w:hAnsi="Amiri"/>
          <w:color w:val="111111"/>
          <w:sz w:val="28"/>
          <w:szCs w:val="28"/>
          <w:lang w:bidi="ar-SA"/>
        </w:rPr>
        <w:t>313:1</w:t>
      </w:r>
      <w:r>
        <w:rPr>
          <w:rFonts w:ascii="Amiri" w:hAnsi="Amiri" w:eastAsia="Amiri" w:cs="Amiri"/>
          <w:color w:val="111111"/>
          <w:sz w:val="28"/>
          <w:sz w:val="28"/>
          <w:szCs w:val="28"/>
          <w:rtl w:val="true"/>
          <w:lang w:bidi="ar-SA"/>
        </w:rPr>
        <w:t xml:space="preserve">، اللباب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المجموع </w:t>
      </w:r>
      <w:r>
        <w:rPr>
          <w:rFonts w:eastAsia="Amiri" w:cs="Amiri" w:ascii="Amiri" w:hAnsi="Amiri"/>
          <w:color w:val="111111"/>
          <w:sz w:val="28"/>
          <w:szCs w:val="28"/>
          <w:lang w:bidi="ar-SA"/>
        </w:rPr>
        <w:t>417:5</w:t>
      </w:r>
      <w:r>
        <w:rPr>
          <w:rFonts w:ascii="Amiri" w:hAnsi="Amiri" w:eastAsia="Amiri" w:cs="Amiri"/>
          <w:color w:val="111111"/>
          <w:sz w:val="28"/>
          <w:sz w:val="28"/>
          <w:szCs w:val="28"/>
          <w:rtl w:val="true"/>
          <w:lang w:bidi="ar-SA"/>
        </w:rPr>
        <w:t xml:space="preserve">، بداية المجتهد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 xml:space="preserve">، البحر الزخّار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إنّه ليس في الثلاثمائة و واحدة أربع شياه كما جعلنا، و في أصحابنا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ذهب إلى هذا على رواية شاذّة، و قد بيّنّا الوجه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معارضتها لرواية الفضلاء</w:t>
      </w:r>
      <w:r>
        <w:rPr>
          <w:rStyle w:val="FootnoteAnchor"/>
          <w:rtl w:val="true"/>
        </w:rPr>
        <w:footnoteReference w:id="1153"/>
      </w:r>
      <w:r>
        <w:rPr>
          <w:rFonts w:ascii="Amiri" w:hAnsi="Amiri" w:eastAsia="Amiri" w:cs="Amiri"/>
          <w:color w:val="111111"/>
          <w:sz w:val="28"/>
          <w:sz w:val="28"/>
          <w:szCs w:val="28"/>
          <w:rtl w:val="true"/>
          <w:lang w:bidi="ar-SA"/>
        </w:rPr>
        <w:t xml:space="preserve">على تقدير تسليم دلالتها، فإذا ليست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فيقيّد بصورة 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بينها و بين رواية الفضلاء المخصّصة للحكم بأنّ لكلّ مائة شاة بالأربعمائة، فهي مقيّدة و رواية ابن قيس</w:t>
      </w:r>
      <w:r>
        <w:rPr>
          <w:rStyle w:val="FootnoteAnchor"/>
          <w:rtl w:val="true"/>
        </w:rPr>
        <w:footnoteReference w:id="1154"/>
      </w:r>
      <w:r>
        <w:rPr>
          <w:rFonts w:ascii="Amiri" w:hAnsi="Amiri" w:eastAsia="Amiri" w:cs="Amiri"/>
          <w:color w:val="111111"/>
          <w:sz w:val="28"/>
          <w:sz w:val="28"/>
          <w:szCs w:val="28"/>
          <w:rtl w:val="true"/>
          <w:lang w:bidi="ar-SA"/>
        </w:rPr>
        <w:t>مطلقة فيحمل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بحملها على التقيّة لموافقتها مذهب العامّة على تقدير تسليم الدلالة و التعارض، و قد حكي مضمونها في المنتهى</w:t>
      </w:r>
      <w:r>
        <w:rPr>
          <w:rStyle w:val="FootnoteAnchor"/>
          <w:rtl w:val="true"/>
        </w:rPr>
        <w:footnoteReference w:id="1155"/>
      </w:r>
      <w:r>
        <w:rPr>
          <w:rFonts w:ascii="Amiri" w:hAnsi="Amiri" w:eastAsia="Amiri" w:cs="Amiri"/>
          <w:color w:val="111111"/>
          <w:sz w:val="28"/>
          <w:sz w:val="28"/>
          <w:szCs w:val="28"/>
          <w:rtl w:val="true"/>
          <w:lang w:bidi="ar-SA"/>
        </w:rPr>
        <w:t>عن الفقهاء الأربع، و في المعتبر</w:t>
      </w:r>
      <w:r>
        <w:rPr>
          <w:rStyle w:val="FootnoteAnchor"/>
          <w:rtl w:val="true"/>
        </w:rPr>
        <w:footnoteReference w:id="1156"/>
      </w:r>
      <w:r>
        <w:rPr>
          <w:rFonts w:ascii="Amiri" w:hAnsi="Amiri" w:eastAsia="Amiri" w:cs="Amiri"/>
          <w:color w:val="111111"/>
          <w:sz w:val="28"/>
          <w:sz w:val="28"/>
          <w:szCs w:val="28"/>
          <w:rtl w:val="true"/>
          <w:lang w:bidi="ar-SA"/>
        </w:rPr>
        <w:t>عن الثلاثة منهم، و في المحكيّ عن الشيخ في الخلاف عن جميع الفقهاء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جميع الفقهاء و أبو حنيفة و مالك و الشافعي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الثلاثمائة و واحدة أربع شياه كما جعلنا</w:t>
      </w:r>
      <w:r>
        <w:rPr>
          <w:rFonts w:eastAsia="Amiri" w:cs="Amiri" w:ascii="Amiri" w:hAnsi="Amiri"/>
          <w:color w:val="111111"/>
          <w:sz w:val="28"/>
          <w:szCs w:val="28"/>
          <w:rtl w:val="true"/>
          <w:lang w:bidi="ar-SA"/>
        </w:rPr>
        <w:t>»</w:t>
      </w:r>
      <w:r>
        <w:rPr>
          <w:rStyle w:val="FootnoteAnchor"/>
          <w:rtl w:val="true"/>
        </w:rPr>
        <w:footnoteReference w:id="11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الذخيرة بعد الجزم بحملها على التقيّة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كثرت الغنم، حيث غيّر اسلوب الكلام و لم يصرّح بالمقصود بل أبهم في التعبير إشارة إلى ذلك، فإنّ دأبهم عليهم السّلام في مواضع التقيّة إيراد المبهمات و المجملات و الإشارات الدقيقة إلى المقصود أحيانا تقديرا للعدول عن التصريح بالحقّ بمقدار الحاجة، كما لا يخفى على </w:t>
      </w:r>
    </w:p>
    <w:p>
      <w:pPr>
        <w:pStyle w:val="BookText"/>
        <w:rPr/>
      </w:pPr>
      <w:r>
        <w:rPr>
          <w:rFonts w:ascii="Amiri" w:hAnsi="Amiri" w:eastAsia="Amiri" w:cs="Amiri"/>
          <w:color w:val="111111"/>
          <w:sz w:val="28"/>
          <w:sz w:val="28"/>
          <w:szCs w:val="28"/>
          <w:rtl w:val="true"/>
          <w:lang w:bidi="ar-SA"/>
        </w:rPr>
        <w:t>من تتبّع</w:t>
      </w:r>
      <w:r>
        <w:rPr>
          <w:rFonts w:eastAsia="Amiri" w:cs="Amiri" w:ascii="Amiri" w:hAnsi="Amiri"/>
          <w:color w:val="111111"/>
          <w:sz w:val="28"/>
          <w:szCs w:val="28"/>
          <w:rtl w:val="true"/>
          <w:lang w:bidi="ar-SA"/>
        </w:rPr>
        <w:t>»</w:t>
      </w:r>
      <w:r>
        <w:rPr>
          <w:rStyle w:val="FootnoteAnchor"/>
          <w:rtl w:val="true"/>
        </w:rPr>
        <w:footnoteReference w:id="1158"/>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و لكن لا يخفى عليك أنّ هذا الحمل إنّما يتّجه على تقدير تكافؤ الروايتين في سائر المرجّحات و هو على تقدير كونهما صحيحتين أو حسنتين واضح، و أمّا على تقدير كون هذه الرواية صحيحة و رواية الفضلاء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بإبراهيم بن هاشم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الحمل المذكور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بأنّ الصحّة و الحسن أصلهما من الاصطلاح فلا يناط بهما من حيث هما الحكم، فربّما يكافئ الحسن في القوّة الصحيح و ربّما يترجّح عليه، و منه ما لو كان الحسن في من يعتمد عليه في الحديث و يعتمد عليه الأجلاّء كإبراهيم بن هاشم، و من ذلك قال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عندي أنّ الحسان بإبراهيم بن هاشم لا تقصر عن الصحاح</w:t>
      </w:r>
      <w:r>
        <w:rPr>
          <w:rFonts w:eastAsia="Amiri" w:cs="Amiri" w:ascii="Amiri" w:hAnsi="Amiri"/>
          <w:color w:val="111111"/>
          <w:sz w:val="28"/>
          <w:szCs w:val="28"/>
          <w:rtl w:val="true"/>
          <w:lang w:bidi="ar-SA"/>
        </w:rPr>
        <w:t>»</w:t>
      </w:r>
      <w:r>
        <w:rPr>
          <w:rStyle w:val="FootnoteAnchor"/>
          <w:rtl w:val="true"/>
        </w:rPr>
        <w:footnoteReference w:id="11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خصوصا مع روايته عن حمّاد عن حريز و انتهاء السند إلى الفضلاء الخمس حالهم في الفضل و الفقه و الجلالة واضح و الكلّ من أصحاب الإجماع، و عن الصادق عليه السّلام في رواية</w:t>
      </w:r>
      <w:r>
        <w:rPr>
          <w:rStyle w:val="FootnoteAnchor"/>
          <w:rtl w:val="true"/>
        </w:rPr>
        <w:footnoteReference w:id="1160"/>
      </w:r>
      <w:r>
        <w:rPr>
          <w:rFonts w:ascii="Amiri" w:hAnsi="Amiri" w:eastAsia="Amiri" w:cs="Amiri"/>
          <w:color w:val="111111"/>
          <w:sz w:val="28"/>
          <w:sz w:val="28"/>
          <w:szCs w:val="28"/>
          <w:rtl w:val="true"/>
          <w:lang w:bidi="ar-SA"/>
        </w:rPr>
        <w:t>وصفهم بالمخبتين النجباء الامناء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مضافا إلى كثرة الرواة و أعدليّة كلّ واحد ربّما أمكن الترجيح السندي، خصوصا مع تعدّد الإمام المرويّ عنه، لأنّ لكلّ من ذلك مدخليّة تامّة في قوّة احتمال الصدور و ضعف احتمال الكذب و السهو و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المعتمد هو القول المشهور، و ثمرة الخلاف بين القولين كما نبّه عليه السيّد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واضحة فإنّه يجب في الثلاثمائة و واحدة أربع شياه على المختار، و ثلاث شياه على غيره</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و أمّا الفائدة بين الثلاثمائة و واحدة على المختار و الأربعمائة مع اتّحاد الفريضة بحسب الصورة فقد ذكر في الشرائع كما عن القواعد أنّها تظهر في الوجوب و الضمان</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Style w:val="FootnoteAnchor"/>
          <w:rtl w:val="true"/>
        </w:rPr>
        <w:footnoteReference w:id="1163"/>
      </w:r>
      <w:r>
        <w:rPr>
          <w:rFonts w:ascii="Amiri" w:hAnsi="Amiri" w:eastAsia="Amiri" w:cs="Amiri"/>
          <w:color w:val="111111"/>
          <w:sz w:val="28"/>
          <w:sz w:val="28"/>
          <w:szCs w:val="28"/>
          <w:rtl w:val="true"/>
          <w:lang w:bidi="ar-SA"/>
        </w:rPr>
        <w:t>في درسه أورده سؤالا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الأحسن في تقريره أن يقال إذا كان يجب في أربعمائة ما يجب في ثلاثمائة و واحدة فأيّ فائدة في جعلهما نصابين‌؟ </w:t>
      </w:r>
    </w:p>
    <w:p>
      <w:pPr>
        <w:pStyle w:val="BookText"/>
        <w:rPr/>
      </w:pPr>
      <w:r>
        <w:rPr>
          <w:rFonts w:ascii="Amiri" w:hAnsi="Amiri" w:eastAsia="Amiri" w:cs="Amiri"/>
          <w:color w:val="111111"/>
          <w:sz w:val="28"/>
          <w:sz w:val="28"/>
          <w:szCs w:val="28"/>
          <w:rtl w:val="true"/>
          <w:lang w:bidi="ar-SA"/>
        </w:rPr>
        <w:t>و ينسحب مثله في المائتين و واحدة و الثلاثمائة و واحدة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الفائدة يظهر في الوجوب 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محلّ الوجوب في الأربعمائة مجموعها، و في الثلاثمائة و واحدة إلى الأربعمائة الثلاثمائة و واحدة و ما زاد عنه عفو، فهذا هو الفائدة في جعلهما نصابين و كذلك الكلام في نظيره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الضمان فلأنّه لو تلفت واحدة من أربعمائة بعد الحول بغير تفريط سقط من الفريضة جزء من مائة</w:t>
      </w:r>
      <w:r>
        <w:rPr>
          <w:rStyle w:val="FootnoteAnchor"/>
          <w:rtl w:val="true"/>
        </w:rPr>
        <w:footnoteReference w:id="1164"/>
      </w:r>
      <w:r>
        <w:rPr>
          <w:rFonts w:ascii="Amiri" w:hAnsi="Amiri" w:eastAsia="Amiri" w:cs="Amiri"/>
          <w:color w:val="111111"/>
          <w:sz w:val="28"/>
          <w:sz w:val="28"/>
          <w:szCs w:val="28"/>
          <w:rtl w:val="true"/>
          <w:lang w:bidi="ar-SA"/>
        </w:rPr>
        <w:t>جزء من شاة، و لو كانت ناقصة عنها لم يسقط عن الفريضة شيء ما دامت الثلاثمائة و واحدة باقية، لأنّ الزائد عليها ليس محلاّ للفريضة بل هو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تلفت شاة من الثلاثمائة و واحدة سقط عن الفريضة جزء من خمسة و سبعين جزء و ربع جزء من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محصّل ما ذكره</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و نقله في المدارك أيضا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فظهرت الفائدة في كثرة الفريضة للفقير في قلّة الفائت و للمتصدّق في العكس</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الرياض المناقشة في الفائدة الاولى بأنّ اختلاف المحلّ ممّا لا يترتّب عليه حكم شرعي في هذا المحلّ عدى ما يذكر في الفائدة الثانية و هو على تقدير تماميّتها فائدة اخرى، و إذا لم يترتّب عليه حكم شرعي كان مجرّد اختلاف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الفائدة الثانية تبعا لجماعة منهم صاحبا المدارك و الذخيرة بمنع عدم سقوط شيء من الفريضة في صورة النقص عن الأربعمائة، لأنّ الزكاة تتعلّق بالعين فتكون الفريضة حقّا شائعا في المجموع و مقتضى الإشاعة توزيع التالف على المجموع و إن كان الزائد على النصاب عفوا إذ لا منافاة بين الأمرين</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دفع هذه المناقشة بما ستعرف ممّا دلّ عليه النصّ و الإجماع من أنّ الفريضة في النصاب و لا يتعلّق بما زاد ممّا بين النصابين شيء و لا يجب فيه شيء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عدم تعلّق شيء بما زاد عدم تأثير انضمام الزائد على النصاب إليه في وجوب شيء آخر زائد على ما وجب بسبب النصاب، و هذا لا ينافي إشاعة ما وجب بالنصاب في كلّ واحد من آحاد المجموع كما هو قضيّة تعلّق الزكاة </w:t>
      </w:r>
      <w:bookmarkStart w:id="275" w:name="pg16181_154589"/>
    </w:p>
    <w:p>
      <w:pPr>
        <w:pStyle w:val="BookText"/>
        <w:rPr/>
      </w:pPr>
      <w:bookmarkEnd w:id="275"/>
      <w:r>
        <w:rPr>
          <w:rFonts w:ascii="Amiri" w:hAnsi="Amiri" w:eastAsia="Amiri" w:cs="Amiri"/>
          <w:color w:val="111111"/>
          <w:sz w:val="28"/>
          <w:sz w:val="28"/>
          <w:szCs w:val="28"/>
          <w:rtl w:val="true"/>
          <w:lang w:bidi="ar-SA"/>
        </w:rPr>
        <w:t>بالعين، فالمراد من تعلّق الفريضة بالنصاب كونه مؤثّرا في وجوبها على سبيل الإشاعة في المجموع منه و ممّا زاد عليه إلى أن يبلغ نصابا، كما هو مقتضى ظاهر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بلغت عشرين و مائة ففيها مثل ذلك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المائتين ففيها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زادت على مائة و عشرين ففيها شاتان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ثلاثمائة ففيها مثل ذلك ثلاث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زادت على المائتين شاة واحدة ففيها ثلاث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ليس فيها شيء حتّى تبلغ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فيها أكثر من شاتين حتّى تبلغ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ليس فيها شيء أكثر من ذلك حتّى تبلغ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عدم تعلّق شيء زائد على الفريضة بما زاد ممّا بين النصابين بالمعنى المتقدّم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داخلة في المغيّا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هذا كلّه أن يكون الفريضة المشاعة في المجموع كلاّ مجموعيّا يلتئم من أجزاء متساوية متكثّرة على حسب تعدّد آحاد المجموع من النصاب و ما زاد بأن يؤخذ من كلّ شاة منه جزء حتّى يتمّ الفريضة بانضمام المجموع فإنّ هذا هو معنى الاشاعة، لا جزئيّا حقيقيّا و هو الفرد المعيّن عند الشارع الغير المعيّن عند المكلّف، و لا كلّيّا اعتباريّا و هو فرد ما على وجه يكون تعيينه موكولا إلى المكلّف فيتخيّر في إخراج أيّ شاة امتثالا للأمر بإخراج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ممّا ذكرنا عدم كون الشاة المؤدّاة مثلا بعينها هي الفريضة لعدم وجود الكلّ المجموعي على الوجه الّذي قرّرناه في الخارج، فلا يمكن إخراجه و تأديته إلى الفقير بل هي مسقطة عنه و بدل له، على معنى كون الشاة المؤدّاة بدلا عن الشاة الّتي هي في النصاب أو في المجموع منه و ممّا زاد على سبيل الإشاعة، فالمتّجه هو ما عليه الجماعة من عدم الفرق في سقوط شيء من الفريضة بين الأربعمائة و صورة النقص بتلف واحدة و نحوها، و سيلحقك تتمّة الكلام في ذلك في مسألة تعلّق الزكاة بالعين</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2586603_1280447820"/>
      <w:bookmarkStart w:id="277" w:name="_Toc100"/>
      <w:bookmarkEnd w:id="276"/>
      <w:r>
        <w:rPr>
          <w:rtl w:val="true"/>
        </w:rPr>
        <w:t>و ينبغي ختم المقام برسم امور</w:t>
      </w:r>
      <w:r>
        <w:rPr>
          <w:rtl w:val="true"/>
        </w:rPr>
        <w:t>:</w:t>
      </w:r>
      <w:bookmarkEnd w:id="27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8" w:name="__RefHeading___Toc2586605_1280447820"/>
      <w:bookmarkStart w:id="279" w:name="_Toc101"/>
      <w:bookmarkEnd w:id="278"/>
      <w:r>
        <w:rPr>
          <w:rtl w:val="true"/>
        </w:rPr>
        <w:t>اشارة</w:t>
      </w:r>
      <w:bookmarkStart w:id="280" w:name="pg16181_154590"/>
      <w:bookmarkEnd w:id="279"/>
    </w:p>
    <w:p>
      <w:pPr>
        <w:pStyle w:val="Heading6"/>
        <w:numPr>
          <w:ilvl w:val="5"/>
          <w:numId w:val="1"/>
        </w:numPr>
        <w:rPr/>
      </w:pPr>
      <w:bookmarkStart w:id="281" w:name="__RefHeading___Toc2586607_1280447820"/>
      <w:bookmarkStart w:id="282" w:name="_Toc102"/>
      <w:bookmarkEnd w:id="280"/>
      <w:bookmarkEnd w:id="281"/>
      <w:r>
        <w:rPr>
          <w:rtl w:val="true"/>
        </w:rPr>
        <w:t>[</w:t>
      </w:r>
      <w:r>
        <w:rPr>
          <w:rtl w:val="true"/>
        </w:rPr>
        <w:t>لا يجب الزكاة في ما زاد على النصاب</w:t>
      </w:r>
      <w:r>
        <w:rPr>
          <w:rtl w:val="true"/>
        </w:rPr>
        <w:t>]</w:t>
      </w:r>
      <w:bookmarkEnd w:id="28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منهم الفاضلان أنّ الفريضة في الأنعام تجب في كلّ نصاب من النصب المذكورة فيها و لا يجب فيما زاد عليها ممّا بين النصابين شيء</w:t>
      </w:r>
      <w:r>
        <w:rPr>
          <w:rStyle w:val="FootnoteAnchor"/>
          <w:rtl w:val="true"/>
        </w:rPr>
        <w:footnoteReference w:id="1168"/>
      </w:r>
      <w:r>
        <w:rPr>
          <w:rFonts w:ascii="Amiri" w:hAnsi="Amiri" w:eastAsia="Amiri" w:cs="Amiri"/>
          <w:color w:val="111111"/>
          <w:sz w:val="28"/>
          <w:sz w:val="28"/>
          <w:szCs w:val="28"/>
          <w:rtl w:val="true"/>
          <w:lang w:bidi="ar-SA"/>
        </w:rPr>
        <w:t>و في بعض الكتب أنّه لا يتعلّق بما زاد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هذا البيان كون النصاب عبارة عمّا يتعلّق به الفريضة، و كون الفريضة عبارة عمّا يجب إخراجه من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 علّل الحكمين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 الفريضة تتعلّق بكلّ واحد من هذه النصب فلأنّ ذلك معنى تقدير النصاب، و أمّا أنّ ما بين النصابين لا يجب فيه شيء فلأنّ ذلك فائدة التقدير، و يدلّ على الحكم الثاني أيضا ما في صحيحة</w:t>
      </w:r>
      <w:r>
        <w:rPr>
          <w:rStyle w:val="FootnoteAnchor"/>
          <w:rtl w:val="true"/>
        </w:rPr>
        <w:footnoteReference w:id="1169"/>
      </w:r>
      <w:r>
        <w:rPr>
          <w:rFonts w:ascii="Amiri" w:hAnsi="Amiri" w:eastAsia="Amiri" w:cs="Amiri"/>
          <w:color w:val="111111"/>
          <w:sz w:val="28"/>
          <w:sz w:val="28"/>
          <w:szCs w:val="28"/>
          <w:rtl w:val="true"/>
          <w:lang w:bidi="ar-SA"/>
        </w:rPr>
        <w:t>الفضلاء المتكفّلة لبيان نصب البعير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النيّف شيء و لا على الكسور شيء</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قوله عليه السّلام في صحيحتهم</w:t>
      </w:r>
      <w:r>
        <w:rPr>
          <w:rStyle w:val="FootnoteAnchor"/>
          <w:rtl w:val="true"/>
        </w:rPr>
        <w:footnoteReference w:id="1171"/>
      </w:r>
      <w:r>
        <w:rPr>
          <w:rFonts w:ascii="Amiri" w:hAnsi="Amiri" w:eastAsia="Amiri" w:cs="Amiri"/>
          <w:color w:val="111111"/>
          <w:sz w:val="28"/>
          <w:sz w:val="28"/>
          <w:szCs w:val="28"/>
          <w:rtl w:val="true"/>
          <w:lang w:bidi="ar-SA"/>
        </w:rPr>
        <w:t>المتكفّلة لبيان نصابي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منهما ما في خبر نصب الغنم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ما دون المائة بعد ذلك شيء و ليس في النيّف شيء</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و لعلّ تسمية الزائد على النصاب نيّفا لمناسبة أنّ النيّف على ما في القاموس و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على العقد إلى أن يبلغ العقد الثاني</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مبنى ما ذكره الجماعة من نفي تعلّق شيء بما زاد على ما تقدّم في الفرق بين النصابين من توهّم الفائدة الثانية، و عليه فيتوجّه إليه نحو المناقشة المتقدّمة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توجيهه بنحو ما مرّ من كون المراد من نفي التعلّق، عدم تعلّق شيء آخر زائد على الفريضة الواجبة بسبب النصاب بأن يكون الزائد على النصاب أيضا عنوانا </w:t>
      </w:r>
      <w:bookmarkStart w:id="283" w:name="pg16181_154591"/>
    </w:p>
    <w:p>
      <w:pPr>
        <w:pStyle w:val="BookText"/>
        <w:rPr/>
      </w:pPr>
      <w:bookmarkEnd w:id="283"/>
      <w:r>
        <w:rPr>
          <w:rFonts w:ascii="Amiri" w:hAnsi="Amiri" w:eastAsia="Amiri" w:cs="Amiri"/>
          <w:color w:val="111111"/>
          <w:sz w:val="28"/>
          <w:sz w:val="28"/>
          <w:szCs w:val="28"/>
          <w:rtl w:val="true"/>
          <w:lang w:bidi="ar-SA"/>
        </w:rPr>
        <w:t>لوجوب شيء آخر، كما أنّ النصاب عنوان لوجوب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كون الفريضة واجبة في النصاب أو متعلّقة به كونه عنوانا لوجوبها، و هذا لا ينافي كون الفريضة مشاعة في المجموع متعلّقة بالزائد أيضا على سبيل الإشاعة كائنا ما كان إلى أن يبلغ نصابا آخر، و عليه فيحمل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النيّف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على أنّه ليس فيه شيء على الاستقلال بأن يكون بنفسه عنوانا لوجوب شيء غير الفريضة، جمعا بينه و بين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المتكرّر مع نصب الغنم، لما عرفت من أنّه يقتضي تعلّق الفريضة الواجبة بالنصاب بالمجموع منه و مجموع الزائد على وجه الإشاعة و يتمّ في الباقي من سائر مراتب الزيادة غير المرتبة الأخيرة بعدم القول بالفصل</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2586609_1280447820"/>
      <w:bookmarkStart w:id="285" w:name="_Toc103"/>
      <w:bookmarkEnd w:id="284"/>
      <w:r>
        <w:rPr>
          <w:rtl w:val="true"/>
        </w:rPr>
        <w:t>[</w:t>
      </w:r>
      <w:r>
        <w:rPr>
          <w:rtl w:val="true"/>
        </w:rPr>
        <w:t>بيان الاصطلاحات في الزائد على النصاب</w:t>
      </w:r>
      <w:r>
        <w:rPr>
          <w:rtl w:val="true"/>
        </w:rPr>
        <w:t>]</w:t>
      </w:r>
      <w:bookmarkEnd w:id="285"/>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للأصحاب في الزائد على النصاب الّذي لا يتعلّق به زكاة اصطلاحات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كالشنق و الوقص و العفو، إلاّ أنّهم خصّوا الأوّل بالإبل و الثاني بالبقر و الثالث بالغنم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جرت العادة بتسمية ما لا يتعلّق به الفريضة من الإبل شنقا و من البقر و قصا و من الغنم عفوا، و معناه في الكلّ واحد، فالتسعة من الإبل نصاب و شنق، فالنصاب خمس و الشنق أربع، بمعنى أنّه لا يسقط من الفريضة شيء و لو تلفت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التسعة و الثلاثون من البقر نصاب و وقص، فالفريضة في الثلاثين و الزائد و قص حتّى يبلغ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مائة و عشرون من الغنم نصابها أربعون و الفريضة فيها و عفوها ما زاد حتّى يبلغ مائة و إحدى و عشرين، و كذا ما بين النصب الّتي عدّدناها</w:t>
      </w:r>
      <w:r>
        <w:rPr>
          <w:rFonts w:eastAsia="Amiri" w:cs="Amiri" w:ascii="Amiri" w:hAnsi="Amiri"/>
          <w:color w:val="111111"/>
          <w:sz w:val="28"/>
          <w:szCs w:val="28"/>
          <w:rtl w:val="true"/>
          <w:lang w:bidi="ar-SA"/>
        </w:rPr>
        <w:t>»</w:t>
      </w:r>
      <w:r>
        <w:rPr>
          <w:rStyle w:val="FootnoteAnchor"/>
          <w:rtl w:val="true"/>
        </w:rPr>
        <w:footnoteReference w:id="11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المستفاد من كلام أهل اللغة أنّ الشنق بفتح الشين المعجمة و النون و الوقص بفتح القاف لفظان مترادفان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الشنق محرّكة ما بين الفريضتين في الزكاة، ففي الغنم ما بين أربعين و مائة و عشرين و قس في غيرها</w:t>
      </w:r>
      <w:r>
        <w:rPr>
          <w:rStyle w:val="FootnoteAnchor"/>
          <w:rtl w:val="true"/>
        </w:rPr>
        <w:footnoteReference w:id="1175"/>
      </w:r>
      <w:r>
        <w:rPr>
          <w:rFonts w:ascii="IRNazanin" w:hAnsi="IRNazanin" w:eastAsia="IRNazanin"/>
          <w:color w:val="111111"/>
          <w:sz w:val="28"/>
          <w:sz w:val="28"/>
          <w:szCs w:val="28"/>
          <w:rtl w:val="true"/>
          <w:lang w:bidi="fa-IR"/>
        </w:rPr>
        <w:t xml:space="preserve">و قال </w:t>
      </w:r>
      <w:bookmarkStart w:id="286" w:name="pg16181_154592"/>
    </w:p>
    <w:p>
      <w:pPr>
        <w:pStyle w:val="BookText"/>
        <w:rPr/>
      </w:pPr>
      <w:bookmarkEnd w:id="286"/>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الوقص بالتحريك واحد الأوقاص في الصدقة و هو ما بين الفريضتين</w:t>
      </w:r>
      <w:r>
        <w:rPr>
          <w:rStyle w:val="FootnoteAnchor"/>
          <w:rtl w:val="true"/>
        </w:rPr>
        <w:footnoteReference w:id="1176"/>
      </w:r>
      <w:r>
        <w:rPr>
          <w:rFonts w:ascii="Amiri" w:hAnsi="Amiri" w:eastAsia="Amiri" w:cs="Amiri"/>
          <w:color w:val="111111"/>
          <w:sz w:val="28"/>
          <w:sz w:val="28"/>
          <w:szCs w:val="28"/>
          <w:rtl w:val="true"/>
          <w:lang w:bidi="ar-SA"/>
        </w:rPr>
        <w:t>و نحوه قال الجوهري في الصحاح</w:t>
      </w:r>
      <w:r>
        <w:rPr>
          <w:rStyle w:val="FootnoteAnchor"/>
          <w:rtl w:val="true"/>
        </w:rPr>
        <w:footnoteReference w:id="1177"/>
      </w:r>
      <w:r>
        <w:rPr>
          <w:rFonts w:ascii="Amiri" w:hAnsi="Amiri" w:eastAsia="Amiri" w:cs="Amiri"/>
          <w:color w:val="111111"/>
          <w:sz w:val="28"/>
          <w:sz w:val="28"/>
          <w:szCs w:val="28"/>
          <w:rtl w:val="true"/>
          <w:lang w:bidi="ar-SA"/>
        </w:rPr>
        <w:t>و 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الشنق بالتحريك ما بين الفريضتين من كلّ ما تجب فيه الزكاة</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ما في الذخيرة إلاّ أنّه خالفه في ضبط الشنق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كلام أهل اللغة أنّ الشنق بضمّ الشين المعجمة و النون و الوقص بفتح القاف لفظان مترادفان بمعنى ما بين الفريضتين في الزكاة</w:t>
      </w:r>
      <w:r>
        <w:rPr>
          <w:rFonts w:eastAsia="Amiri" w:cs="Amiri" w:ascii="Amiri" w:hAnsi="Amiri"/>
          <w:color w:val="111111"/>
          <w:sz w:val="28"/>
          <w:szCs w:val="28"/>
          <w:rtl w:val="true"/>
          <w:lang w:bidi="ar-SA"/>
        </w:rPr>
        <w:t>»</w:t>
      </w:r>
      <w:r>
        <w:rPr>
          <w:rStyle w:val="FootnoteAnchor"/>
          <w:rtl w:val="true"/>
        </w:rPr>
        <w:footnoteReference w:id="11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قضيّة كلام القاموس و الصحاح و النهاية تسمية النصاب فريضة، و هو خلاف ما عليه الأصحاب، ففي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يتعلّق به الزكاة يسمّى نصابا كما صرّح به في الوسيلة</w:t>
      </w:r>
      <w:r>
        <w:rPr>
          <w:rStyle w:val="FootnoteAnchor"/>
          <w:rtl w:val="true"/>
        </w:rPr>
        <w:footnoteReference w:id="1181"/>
      </w:r>
      <w:r>
        <w:rPr>
          <w:rFonts w:ascii="Amiri" w:hAnsi="Amiri" w:eastAsia="Amiri" w:cs="Amiri"/>
          <w:color w:val="111111"/>
          <w:sz w:val="28"/>
          <w:sz w:val="28"/>
          <w:szCs w:val="28"/>
          <w:rtl w:val="true"/>
          <w:lang w:bidi="ar-SA"/>
        </w:rPr>
        <w:t>و التحرير</w:t>
      </w:r>
      <w:r>
        <w:rPr>
          <w:rStyle w:val="FootnoteAnchor"/>
          <w:rtl w:val="true"/>
        </w:rPr>
        <w:footnoteReference w:id="1182"/>
      </w:r>
      <w:r>
        <w:rPr>
          <w:rFonts w:ascii="IRNazanin" w:hAnsi="IRNazanin" w:eastAsia="IRNazanin"/>
          <w:color w:val="111111"/>
          <w:sz w:val="28"/>
          <w:sz w:val="28"/>
          <w:szCs w:val="28"/>
          <w:rtl w:val="true"/>
          <w:lang w:bidi="fa-IR"/>
        </w:rPr>
        <w:t>و المنتهى</w:t>
      </w:r>
      <w:r>
        <w:rPr>
          <w:rStyle w:val="FootnoteAnchor"/>
          <w:rtl w:val="true"/>
        </w:rPr>
        <w:footnoteReference w:id="1183"/>
      </w:r>
      <w:r>
        <w:rPr>
          <w:rFonts w:ascii="Amiri" w:hAnsi="Amiri" w:eastAsia="Amiri" w:cs="Amiri"/>
          <w:color w:val="111111"/>
          <w:sz w:val="28"/>
          <w:sz w:val="28"/>
          <w:szCs w:val="28"/>
          <w:rtl w:val="true"/>
          <w:lang w:bidi="ar-SA"/>
        </w:rPr>
        <w:t>و يسمّى ما يؤخذ منه في الزكاة فريضة كما صرّح به في الجمل و العقود</w:t>
      </w:r>
      <w:r>
        <w:rPr>
          <w:rStyle w:val="FootnoteAnchor"/>
          <w:rtl w:val="true"/>
        </w:rPr>
        <w:footnoteReference w:id="1184"/>
      </w:r>
      <w:r>
        <w:rPr>
          <w:rFonts w:ascii="Amiri" w:hAnsi="Amiri" w:eastAsia="Amiri" w:cs="Amiri"/>
          <w:color w:val="111111"/>
          <w:sz w:val="28"/>
          <w:sz w:val="28"/>
          <w:szCs w:val="28"/>
          <w:rtl w:val="true"/>
          <w:lang w:bidi="ar-SA"/>
        </w:rPr>
        <w:t>و الوسيلة</w:t>
      </w:r>
      <w:r>
        <w:rPr>
          <w:rStyle w:val="FootnoteAnchor"/>
          <w:rtl w:val="true"/>
        </w:rPr>
        <w:footnoteReference w:id="1185"/>
      </w:r>
      <w:r>
        <w:rPr>
          <w:rFonts w:ascii="IRNazanin" w:hAnsi="IRNazanin" w:eastAsia="IRNazanin"/>
          <w:color w:val="111111"/>
          <w:sz w:val="28"/>
          <w:sz w:val="28"/>
          <w:szCs w:val="28"/>
          <w:rtl w:val="true"/>
          <w:lang w:bidi="fa-IR"/>
        </w:rPr>
        <w:t>و المنتهى</w:t>
      </w:r>
      <w:r>
        <w:rPr>
          <w:rStyle w:val="FootnoteAnchor"/>
          <w:rtl w:val="true"/>
        </w:rPr>
        <w:footnoteReference w:id="1186"/>
      </w:r>
      <w:r>
        <w:rPr>
          <w:rFonts w:ascii="Amiri" w:hAnsi="Amiri" w:eastAsia="Amiri" w:cs="Amiri"/>
          <w:color w:val="111111"/>
          <w:sz w:val="28"/>
          <w:sz w:val="28"/>
          <w:szCs w:val="28"/>
          <w:rtl w:val="true"/>
          <w:lang w:bidi="ar-SA"/>
        </w:rPr>
        <w:t>و التحرير</w:t>
      </w:r>
      <w:r>
        <w:rPr>
          <w:rStyle w:val="FootnoteAnchor"/>
          <w:rtl w:val="true"/>
        </w:rPr>
        <w:footnoteReference w:id="1187"/>
      </w:r>
      <w:r>
        <w:rPr>
          <w:rFonts w:ascii="Amiri" w:hAnsi="Amiri" w:eastAsia="Amiri" w:cs="Amiri"/>
          <w:color w:val="111111"/>
          <w:sz w:val="28"/>
          <w:sz w:val="28"/>
          <w:szCs w:val="28"/>
          <w:rtl w:val="true"/>
          <w:lang w:bidi="ar-SA"/>
        </w:rPr>
        <w:t>و البيان</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7" w:name="__RefHeading___Toc2586611_1280447820"/>
      <w:bookmarkStart w:id="288" w:name="_Toc104"/>
      <w:bookmarkEnd w:id="287"/>
      <w:r>
        <w:rPr>
          <w:rtl w:val="true"/>
        </w:rPr>
        <w:t>[</w:t>
      </w:r>
      <w:r>
        <w:rPr>
          <w:rtl w:val="true"/>
        </w:rPr>
        <w:t>لا يجتمع المتفرّق فى الملك</w:t>
      </w:r>
      <w:r>
        <w:rPr>
          <w:rtl w:val="true"/>
        </w:rPr>
        <w:t>]</w:t>
      </w:r>
      <w:bookmarkEnd w:id="288"/>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 كما عن المقنعة</w:t>
      </w:r>
      <w:r>
        <w:rPr>
          <w:rStyle w:val="FootnoteAnchor"/>
          <w:rtl w:val="true"/>
        </w:rPr>
        <w:footnoteReference w:id="1190"/>
      </w:r>
      <w:r>
        <w:rPr>
          <w:rFonts w:ascii="IRNazanin" w:hAnsi="IRNazanin" w:eastAsia="IRNazanin"/>
          <w:color w:val="111111"/>
          <w:sz w:val="28"/>
          <w:sz w:val="28"/>
          <w:szCs w:val="28"/>
          <w:rtl w:val="true"/>
          <w:lang w:bidi="fa-IR"/>
        </w:rPr>
        <w:t>و النافع</w:t>
      </w:r>
      <w:r>
        <w:rPr>
          <w:rStyle w:val="FootnoteAnchor"/>
          <w:rtl w:val="true"/>
        </w:rPr>
        <w:footnoteReference w:id="1191"/>
      </w:r>
      <w:r>
        <w:rPr>
          <w:rFonts w:ascii="IRNazanin" w:hAnsi="IRNazanin" w:eastAsia="IRNazanin"/>
          <w:color w:val="111111"/>
          <w:sz w:val="28"/>
          <w:sz w:val="28"/>
          <w:szCs w:val="28"/>
          <w:rtl w:val="true"/>
          <w:lang w:bidi="fa-IR"/>
        </w:rPr>
        <w:t>و المعتبر</w:t>
      </w:r>
      <w:r>
        <w:rPr>
          <w:rStyle w:val="FootnoteAnchor"/>
          <w:rtl w:val="true"/>
        </w:rPr>
        <w:footnoteReference w:id="1192"/>
      </w:r>
      <w:r>
        <w:rPr>
          <w:rFonts w:ascii="IRNazanin" w:hAnsi="IRNazanin" w:eastAsia="IRNazanin"/>
          <w:color w:val="111111"/>
          <w:sz w:val="28"/>
          <w:sz w:val="28"/>
          <w:szCs w:val="28"/>
          <w:rtl w:val="true"/>
          <w:lang w:bidi="fa-IR"/>
        </w:rPr>
        <w:t>و القواعد</w:t>
      </w:r>
      <w:r>
        <w:rPr>
          <w:rStyle w:val="FootnoteAnchor"/>
          <w:rtl w:val="true"/>
        </w:rPr>
        <w:footnoteReference w:id="1193"/>
      </w:r>
      <w:r>
        <w:rPr>
          <w:rFonts w:ascii="IRNazanin" w:hAnsi="IRNazanin" w:eastAsia="IRNazanin"/>
          <w:color w:val="111111"/>
          <w:sz w:val="28"/>
          <w:sz w:val="28"/>
          <w:szCs w:val="28"/>
          <w:rtl w:val="true"/>
          <w:lang w:bidi="fa-IR"/>
        </w:rPr>
        <w:t>و الدروس</w:t>
      </w:r>
      <w:r>
        <w:rPr>
          <w:rStyle w:val="FootnoteAnchor"/>
          <w:rtl w:val="true"/>
        </w:rPr>
        <w:footnoteReference w:id="1194"/>
      </w:r>
      <w:r>
        <w:rPr>
          <w:rFonts w:ascii="Amiri" w:hAnsi="Amiri" w:eastAsia="Amiri" w:cs="Amiri"/>
          <w:color w:val="111111"/>
          <w:sz w:val="28"/>
          <w:sz w:val="28"/>
          <w:szCs w:val="28"/>
          <w:rtl w:val="true"/>
          <w:lang w:bidi="ar-SA"/>
        </w:rPr>
        <w:t>و اللمعة</w:t>
      </w:r>
      <w:r>
        <w:rPr>
          <w:rStyle w:val="FootnoteAnchor"/>
          <w:rtl w:val="true"/>
        </w:rPr>
        <w:footnoteReference w:id="119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يضمّ مال إنسان إلى غيره و إن اجتمعت شرائط الخلطة و كانا في مكان واحد بل يعتبر في مال كلّ واحد بلوغ النصاب، و لا يفرّق بين مالي المالك الواحد و لو تباعد مكانهما</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لا خلاف في الحكمين بل في المدارك في 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هذا الحكم </w:t>
      </w:r>
      <w:bookmarkStart w:id="289" w:name="pg16181_154593"/>
    </w:p>
    <w:p>
      <w:pPr>
        <w:pStyle w:val="BookText"/>
        <w:rPr/>
      </w:pPr>
      <w:bookmarkEnd w:id="289"/>
      <w:r>
        <w:rPr>
          <w:rFonts w:ascii="Amiri" w:hAnsi="Amiri" w:eastAsia="Amiri" w:cs="Amiri"/>
          <w:color w:val="111111"/>
          <w:sz w:val="28"/>
          <w:sz w:val="28"/>
          <w:szCs w:val="28"/>
          <w:rtl w:val="true"/>
          <w:lang w:bidi="ar-SA"/>
        </w:rPr>
        <w:t>مجمع عليه بين الأصحاب</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و عن التذكرة في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مذهب علمائنا أجمع</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الحكمين معا ما رواه الشيخ في الصحيح عن محمّد بن قيس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يفرّق بين مجتمع و لا يجمع بين متفرّق</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و معناه أنّه لا يفرّق بين مجتمع في الملك بوحدة المالك و لو تفرّق مكانا، و لا يجمع بين متفرّق في الملك بتعدّد المالك و لو اجتمع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الحكم الثاني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يتناول المجتمعة و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مالي إنسانين لا يضمّ أحدهما إلى آخر في اعتبار النصاب في الزكاة بين صورتي الاختلاط و غيره كما أشار إليه في الشرائع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اجتمعت شرائط الخلطة</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و الخلطة بكسر الخاء على ما في كلام جماعة</w:t>
      </w:r>
      <w:r>
        <w:rPr>
          <w:rStyle w:val="FootnoteAnchor"/>
          <w:rtl w:val="true"/>
        </w:rPr>
        <w:footnoteReference w:id="12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المالين مالا واحدا سواء كانت خلطة أعيان كأربعين بين شريكين أو خلطة أوصاف كالاتّحاد في المرعى و المشرب و المراح و الفحل و الحالب و المحلب مع تميّز المالين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في مالي المالك الواحد في كفاية بلوغهما النصاب بين اتّحاد مكانيهما و تعدّدهما و تقارب المكانين و تباعدهما كما نصّ عليه في الشرائع</w:t>
      </w:r>
      <w:r>
        <w:rPr>
          <w:rStyle w:val="FootnoteAnchor"/>
          <w:rtl w:val="true"/>
        </w:rPr>
        <w:footnoteReference w:id="1203"/>
      </w:r>
      <w:r>
        <w:rPr>
          <w:rFonts w:ascii="Amiri" w:hAnsi="Amiri" w:eastAsia="Amiri" w:cs="Amiri"/>
          <w:color w:val="111111"/>
          <w:sz w:val="28"/>
          <w:sz w:val="28"/>
          <w:szCs w:val="28"/>
          <w:rtl w:val="true"/>
          <w:lang w:bidi="ar-SA"/>
        </w:rPr>
        <w:t>أيضا، و عن التذكرة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فرق في ذلك بين أن يكون بين المالين مسافة القطر و لا عند علمائنا أجمع</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0" w:name="__RefHeading___Toc2586613_1280447820"/>
      <w:bookmarkStart w:id="291" w:name="_Toc105"/>
      <w:bookmarkEnd w:id="290"/>
      <w:r>
        <w:rPr>
          <w:rtl w:val="true"/>
        </w:rPr>
        <w:t>[</w:t>
      </w:r>
      <w:r>
        <w:rPr>
          <w:rtl w:val="true"/>
        </w:rPr>
        <w:t>بيان أسنان الإبل</w:t>
      </w:r>
      <w:r>
        <w:rPr>
          <w:rtl w:val="true"/>
        </w:rPr>
        <w:t>]</w:t>
      </w:r>
      <w:bookmarkEnd w:id="29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أسنان الإبل الّتي تؤخذ في الزكاة منحصرة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أعلاها الجذعة، و أدناها بنت المخاض، و ما بينهما بنت اللبون و الحقّة، بلا خلاف في شيء من ذلك كما صرّح به غير واحد،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في أنّ الجذعة أعلى الأسنان </w:t>
      </w:r>
    </w:p>
    <w:p>
      <w:pPr>
        <w:pStyle w:val="BookText"/>
        <w:rPr/>
      </w:pPr>
      <w:r>
        <w:rPr>
          <w:rFonts w:ascii="Amiri" w:hAnsi="Amiri" w:eastAsia="Amiri" w:cs="Amiri"/>
          <w:color w:val="111111"/>
          <w:sz w:val="28"/>
          <w:sz w:val="28"/>
          <w:szCs w:val="28"/>
          <w:rtl w:val="true"/>
          <w:lang w:bidi="ar-SA"/>
        </w:rPr>
        <w:t>المأخوذة من الزكاة، كما لا خلاف في أنّ بنت المخاض أصغر أسنانها</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و إنّما قيّدناها بالزكاة لأنّها كثيرة لا تؤخذ في الزكاة إلاّ الأربعة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الكليني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أسنان الإبل من أوّل يوم تطرحه امّه إلى تمام السنة حوار، فإذا دخل في الثانية سمّي ابن مخاض لأنّ أمّه قد حملت، فإذا دخل في السنة الثالثة يسمّى ابن لبون و ذلك أنّ امّه قد وضعت و صار لها لبن، فإذا دخل في السنة الرابعة يسمّى الذكر حقّا و الانثى حقّة لأنّه قد استحقّ أن يحمل عليه، فإذا دخل في السنة الخامسة يسمّى جذعا، فإذا دخل في السادسة يسمّى ثنيّا لأنّه قد ألقى ثنيّته، فإذا دخل في السابعة ألقى رباعيّته و سمّي رباعيا، فإذا دخل في الثامنة ألقى السنّ الّذي بعد الرباعيّة و سمّي سديسا، فإذا دخل في التاسعة و طرح نابه سمّي بازلا، فإذا دخل في العاشرة فهو مخلف، و ليس له بعد هذا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الأسنان الّتي تؤخذ منها في الصدقة، من بنت مخاض إلى الجذع</w:t>
      </w:r>
      <w:r>
        <w:rPr>
          <w:rFonts w:eastAsia="Amiri" w:cs="Amiri" w:ascii="Amiri" w:hAnsi="Amiri"/>
          <w:color w:val="111111"/>
          <w:sz w:val="28"/>
          <w:szCs w:val="28"/>
          <w:rtl w:val="true"/>
          <w:lang w:bidi="ar-SA"/>
        </w:rPr>
        <w:t>»</w:t>
      </w:r>
      <w:r>
        <w:rPr>
          <w:rStyle w:val="FootnoteAnchor"/>
          <w:rtl w:val="true"/>
        </w:rPr>
        <w:footnoteReference w:id="1206"/>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في الفقيه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فرائض الإبل المأخوذة بنت المخاض و هي الّتي كملت لها سنة و دخلت في الثانية سمّيت بذلك لأنّ امّها ماخض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المخاض اسم جنس لا واحد له من لفظه و الواحدة خلفة، ثمّ بنت اللبون و هي الّتي لها سنتان و دخلت في الثالثة سمّيت بذلك لأنّ امّها ولدت و صارت ذات لبن، ثمّ الحقّة و هي الّتي كملت لها ثلاث سنوات و دخلت في الرابعة فاستحقّت للحمل أو لطرق الفحل، ثمّ الجذعة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الكاملة أربعا و دخلت في الخامسة لأنّها تجذع أي تسقط سنّها و هي أعلى أسنان الزكاة كما أنّ بنت المخاض هي أصغر أسنانها، فإذا تعدّت الخامسة و دخلت في السادسة فهي الثنيّة، و إن دخل في السابعة فهو الرباع و الرباعيّة، و إن دخل في الثامنة فهو سديس و سدس، فإذا دخل في التاسعة فهو بازل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طلع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بعد ذلك بازل عام و بازل عامين، و البازل و المخلف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 أوّل انفصاله 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حوار، ثمّ بنت مخاض و على ما قلناه من الترتيب</w:t>
      </w:r>
      <w:r>
        <w:rPr>
          <w:rFonts w:eastAsia="Amiri" w:cs="Amiri" w:ascii="Amiri" w:hAnsi="Amiri"/>
          <w:color w:val="111111"/>
          <w:sz w:val="28"/>
          <w:szCs w:val="28"/>
          <w:rtl w:val="true"/>
          <w:lang w:bidi="ar-SA"/>
        </w:rPr>
        <w:t>»</w:t>
      </w:r>
      <w:r>
        <w:rPr>
          <w:rStyle w:val="FootnoteAnchor"/>
          <w:rtl w:val="true"/>
        </w:rPr>
        <w:footnoteReference w:id="12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292" w:name="pg16181_154595"/>
    </w:p>
    <w:p>
      <w:pPr>
        <w:pStyle w:val="BookText"/>
        <w:rPr/>
      </w:pPr>
      <w:bookmarkEnd w:id="292"/>
      <w:r>
        <w:rPr>
          <w:rFonts w:ascii="Amiri" w:hAnsi="Amiri" w:eastAsia="Amiri" w:cs="Amiri"/>
          <w:color w:val="111111"/>
          <w:sz w:val="28"/>
          <w:sz w:val="28"/>
          <w:szCs w:val="28"/>
          <w:rtl w:val="true"/>
          <w:lang w:bidi="ar-SA"/>
        </w:rPr>
        <w:t>و عن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الفرائض المأخوذة في الإبل أوّلها بنت المخاض و هي الّتي استكملت سنة و دخلت في الثانية و سمّيت بذلك لأنّها بلغت حدّا يحمل أمّها و لو كانت حائلا، و الماخض الحامل، و بنت اللبون هي الّتي استكملت سنتين و دخلت في الثالثة و سمّيت بذلك لأنّ امّها حقّ لها أن يضع و يصير ذات لبن، و الحقّة هي الّتي استكملت ثلاثا و دخلت في الرابعة أي استحقّت أن يطرقها الفحل أو يحمل عليها، و الجذعة هي الّتي لها أربع و دخلت في الخامسة لأنّها تجذع أي تسقط سنّها و هي أعلى سنّ يؤخذ في الزكاة</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انتهى إلى غير ذلك ممّا يقف عليه المتتبّع من كلام الفقهاء و أهل اللغة</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2586615_1280447820"/>
      <w:bookmarkStart w:id="294" w:name="_Toc106"/>
      <w:bookmarkEnd w:id="293"/>
      <w:r>
        <w:rPr>
          <w:rtl w:val="true"/>
        </w:rPr>
        <w:t>[</w:t>
      </w:r>
      <w:r>
        <w:rPr>
          <w:rtl w:val="true"/>
        </w:rPr>
        <w:t>لا يشترط في الحقّة طروقة الفحل</w:t>
      </w:r>
      <w:r>
        <w:rPr>
          <w:rtl w:val="true"/>
        </w:rPr>
        <w:t>]</w:t>
      </w:r>
      <w:bookmarkEnd w:id="294"/>
    </w:p>
    <w:p>
      <w:pPr>
        <w:pStyle w:val="BookText"/>
        <w:rPr/>
      </w:pPr>
      <w:r>
        <w:rPr>
          <w:rFonts w:ascii="Amiri" w:hAnsi="Amiri" w:eastAsia="Amiri" w:cs="Amiri"/>
          <w:color w:val="111111"/>
          <w:sz w:val="28"/>
          <w:sz w:val="28"/>
          <w:szCs w:val="28"/>
          <w:rtl w:val="true"/>
          <w:lang w:bidi="ar-SA"/>
        </w:rPr>
        <w:t xml:space="preserve">ثمّ إنّ ظاهر إطلاق أكثر الأخبار الواردة في نصب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أصالة البراءة النافية لاحتمال مدخليّة شيء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في الحقّة طروقة الفحل</w:t>
      </w:r>
      <w:r>
        <w:rPr>
          <w:rStyle w:val="FootnoteAnchor"/>
          <w:rtl w:val="true"/>
        </w:rPr>
        <w:footnoteReference w:id="1210"/>
      </w:r>
      <w:r>
        <w:rPr>
          <w:rFonts w:ascii="Amiri" w:hAnsi="Amiri" w:eastAsia="Amiri" w:cs="Amiri"/>
          <w:color w:val="111111"/>
          <w:sz w:val="28"/>
          <w:sz w:val="28"/>
          <w:szCs w:val="28"/>
          <w:rtl w:val="true"/>
          <w:lang w:bidi="ar-SA"/>
        </w:rPr>
        <w:t>و هو ضرابه لها بل يكفي استعدادها له، كما نصّ عليه جمع كثير من أساطين الطائفة</w:t>
      </w:r>
      <w:r>
        <w:rPr>
          <w:rStyle w:val="FootnoteAnchor"/>
          <w:rtl w:val="true"/>
        </w:rPr>
        <w:footnoteReference w:id="1211"/>
      </w:r>
      <w:r>
        <w:rPr>
          <w:rFonts w:ascii="Amiri" w:hAnsi="Amiri" w:eastAsia="Amiri" w:cs="Amiri"/>
          <w:color w:val="111111"/>
          <w:sz w:val="28"/>
          <w:sz w:val="28"/>
          <w:szCs w:val="28"/>
          <w:rtl w:val="true"/>
          <w:lang w:bidi="ar-SA"/>
        </w:rPr>
        <w:t>و هو المشهور على ما حكاه في الذخيرة</w:t>
      </w:r>
      <w:r>
        <w:rPr>
          <w:rStyle w:val="FootnoteAnchor"/>
          <w:rtl w:val="true"/>
        </w:rPr>
        <w:footnoteReference w:id="1212"/>
      </w:r>
      <w:r>
        <w:rPr>
          <w:rFonts w:ascii="IRNazanin" w:hAnsi="IRNazanin" w:eastAsia="IRNazanin"/>
          <w:color w:val="111111"/>
          <w:sz w:val="28"/>
          <w:sz w:val="28"/>
          <w:szCs w:val="28"/>
          <w:rtl w:val="true"/>
          <w:lang w:bidi="fa-IR"/>
        </w:rPr>
        <w:t>و نقلت عن المختلف</w:t>
      </w:r>
      <w:r>
        <w:rPr>
          <w:rStyle w:val="FootnoteAnchor"/>
          <w:rtl w:val="true"/>
        </w:rPr>
        <w:footnoteReference w:id="121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يعارضها ما في صحيحة الفضلاء الخمس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خمسا و أربعين ففيها حقّة طروقة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تسعين ففيها حقّتان طروقتا الفحل</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 xml:space="preserve">لأنّها مع أنّها غير معمول بها عند معظم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لاشتمالها على جعل النصابين خمسا و أربعين و تسعين مع أنّ الأوّل على التحقيق المتقدّم</w:t>
      </w:r>
      <w:r>
        <w:rPr>
          <w:rStyle w:val="FootnoteAnchor"/>
          <w:rtl w:val="true"/>
        </w:rPr>
        <w:footnoteReference w:id="1215"/>
      </w:r>
      <w:r>
        <w:rPr>
          <w:rFonts w:ascii="Amiri" w:hAnsi="Amiri" w:eastAsia="Amiri" w:cs="Amiri"/>
          <w:color w:val="111111"/>
          <w:sz w:val="28"/>
          <w:sz w:val="28"/>
          <w:szCs w:val="28"/>
          <w:rtl w:val="true"/>
          <w:lang w:bidi="ar-SA"/>
        </w:rPr>
        <w:t xml:space="preserve">ستّ و أربعين و الثاني إحدى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فيها على خلاف مقتضى الأخبار المطلقة بتقريب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طروقة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أو 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ما نصّ عليه الفيروزآبادي </w:t>
      </w:r>
      <w:bookmarkStart w:id="295" w:name="pg16181_154596"/>
    </w:p>
    <w:p>
      <w:pPr>
        <w:pStyle w:val="BookText"/>
        <w:rPr/>
      </w:pPr>
      <w:bookmarkEnd w:id="295"/>
      <w:r>
        <w:rPr>
          <w:rFonts w:ascii="Amiri" w:hAnsi="Amiri" w:eastAsia="Amiri" w:cs="Amiri"/>
          <w:color w:val="111111"/>
          <w:sz w:val="28"/>
          <w:sz w:val="28"/>
          <w:szCs w:val="28"/>
          <w:rtl w:val="true"/>
          <w:lang w:bidi="ar-SA"/>
        </w:rPr>
        <w:t>عبارة عن بلوغ الناقة أن يضربها الفحل،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ناقة طروقة الفحل بلغت أن يضربها الفحل و كذا المرأة</w:t>
      </w:r>
      <w:r>
        <w:rPr>
          <w:rFonts w:eastAsia="Amiri" w:cs="Amiri" w:ascii="Amiri" w:hAnsi="Amiri"/>
          <w:color w:val="111111"/>
          <w:sz w:val="28"/>
          <w:szCs w:val="28"/>
          <w:rtl w:val="true"/>
          <w:lang w:bidi="ar-SA"/>
        </w:rPr>
        <w:t>»</w:t>
      </w:r>
      <w:r>
        <w:rPr>
          <w:rStyle w:val="FootnoteAnchor"/>
          <w:rtl w:val="true"/>
        </w:rPr>
        <w:footnoteReference w:id="1216"/>
      </w:r>
      <w:r>
        <w:rPr>
          <w:rFonts w:ascii="Amiri" w:hAnsi="Amiri" w:eastAsia="Amiri" w:cs="Amiri"/>
          <w:color w:val="111111"/>
          <w:sz w:val="28"/>
          <w:sz w:val="28"/>
          <w:szCs w:val="28"/>
          <w:rtl w:val="true"/>
          <w:lang w:bidi="ar-SA"/>
        </w:rPr>
        <w:t xml:space="preserve">فهي على تقدير النعت صفة توضيحيّة، كما يساعد عليه ما ذكروه في وجه تسمية هذه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استحقّت طروقة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الناقة المخصوصة هنا باعتبار معناها الوصفي المأخوذ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طروقة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ما لوحظ في موضوع الحكم أو في التسمية من جهات الاستحقاق نظرا إلى أنّها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كالانتفاع بها أو الحمل عليها أو الركوب عليها أو طروقة الفحل لها، و لذا اختلفت كلماتهم في بيان وجه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بعض ما ذكرناه يحمل ما حكي عن القديمين ابني الجنيد و أبي عقيل من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خمسا و أربعين و زادت واحدة ففيها حقّة طروقة الفحل</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و عليه فلا مخالفة لهما في المسألة، و لو سلّم مخالفتهما كما هو المعروف منهما فهو قول شاذّ لا يلتفت إليه</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2586617_1280447820"/>
      <w:bookmarkStart w:id="297" w:name="_Toc107"/>
      <w:bookmarkEnd w:id="296"/>
      <w:r>
        <w:rPr>
          <w:rtl w:val="true"/>
        </w:rPr>
        <w:t>الشرط الثاني السوم</w:t>
      </w:r>
      <w:r>
        <w:rPr>
          <w:rtl w:val="true"/>
        </w:rPr>
        <w:t>:</w:t>
      </w:r>
      <w:bookmarkEnd w:id="297"/>
    </w:p>
    <w:p>
      <w:pPr>
        <w:pStyle w:val="Heading6"/>
        <w:numPr>
          <w:ilvl w:val="5"/>
          <w:numId w:val="1"/>
        </w:numPr>
        <w:rPr/>
      </w:pPr>
      <w:bookmarkStart w:id="298" w:name="__RefHeading___Toc2586619_1280447820"/>
      <w:bookmarkStart w:id="299" w:name="_Toc108"/>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الشرط الثاني</w:t>
      </w:r>
      <w:r>
        <w:rPr>
          <w:rStyle w:val="FootnoteAnchor"/>
          <w:rtl w:val="true"/>
        </w:rPr>
        <w:footnoteReference w:id="1218"/>
      </w:r>
      <w:r>
        <w:rPr>
          <w:rFonts w:ascii="IRNazanin" w:hAnsi="IRNazanin" w:eastAsia="IRNazanin"/>
          <w:color w:val="111111"/>
          <w:sz w:val="28"/>
          <w:sz w:val="28"/>
          <w:szCs w:val="28"/>
          <w:rtl w:val="true"/>
          <w:lang w:bidi="fa-IR"/>
        </w:rPr>
        <w:t>السوم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بين أصحابنا، و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خلافا بين أصحابنا في اشتراط السوم في وجوب الزكاة</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فتوى علمائنا</w:t>
      </w:r>
      <w:r>
        <w:rPr>
          <w:rFonts w:eastAsia="Amiri" w:cs="Amiri" w:ascii="Amiri" w:hAnsi="Amiri"/>
          <w:color w:val="111111"/>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و عن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قال العلماء إلاّ مالكا تفرّد بذلك</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و عن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السوم شرط في الإبل و البقر و الغنم إجماعا</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الأصحاب</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و عزي التمسّك بالإجماع عن مجمع الفائدة</w:t>
      </w:r>
      <w:r>
        <w:rPr>
          <w:rStyle w:val="FootnoteAnchor"/>
          <w:rtl w:val="true"/>
        </w:rPr>
        <w:footnoteReference w:id="1224"/>
      </w:r>
      <w:r>
        <w:rPr>
          <w:rFonts w:ascii="Amiri" w:hAnsi="Amiri" w:eastAsia="Amiri" w:cs="Amiri"/>
          <w:color w:val="111111"/>
          <w:sz w:val="28"/>
          <w:sz w:val="28"/>
          <w:szCs w:val="28"/>
          <w:rtl w:val="true"/>
          <w:lang w:bidi="ar-SA"/>
        </w:rPr>
        <w:t>و الرياض</w:t>
      </w:r>
      <w:r>
        <w:rPr>
          <w:rStyle w:val="FootnoteAnchor"/>
          <w:rtl w:val="true"/>
        </w:rPr>
        <w:footnoteReference w:id="1225"/>
      </w:r>
      <w:r>
        <w:rPr>
          <w:rFonts w:ascii="Amiri" w:hAnsi="Amiri" w:eastAsia="Amiri" w:cs="Amiri"/>
          <w:color w:val="111111"/>
          <w:sz w:val="28"/>
          <w:sz w:val="28"/>
          <w:szCs w:val="28"/>
          <w:rtl w:val="true"/>
          <w:lang w:bidi="ar-SA"/>
        </w:rPr>
        <w:t>أيضا و في الجواهر إجماعا بقسميه</w:t>
      </w:r>
      <w:r>
        <w:rPr>
          <w:rStyle w:val="FootnoteAnchor"/>
          <w:rtl w:val="true"/>
        </w:rPr>
        <w:footnoteReference w:id="1226"/>
      </w:r>
      <w:r>
        <w:rPr>
          <w:rFonts w:ascii="Amiri" w:hAnsi="Amiri" w:eastAsia="Amiri" w:cs="Amiri"/>
          <w:color w:val="111111"/>
          <w:sz w:val="28"/>
          <w:sz w:val="28"/>
          <w:szCs w:val="28"/>
          <w:rtl w:val="true"/>
          <w:lang w:bidi="ar-SA"/>
        </w:rPr>
        <w:t>و عن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علماء الإسلام</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bookmarkStart w:id="300" w:name="pg16181_154597"/>
    </w:p>
    <w:p>
      <w:pPr>
        <w:pStyle w:val="BookText"/>
        <w:rPr/>
      </w:pPr>
      <w:bookmarkEnd w:id="300"/>
      <w:r>
        <w:rPr>
          <w:rFonts w:ascii="Amiri" w:hAnsi="Amiri" w:eastAsia="Amiri" w:cs="Amiri"/>
          <w:color w:val="111111"/>
          <w:sz w:val="28"/>
          <w:sz w:val="28"/>
          <w:szCs w:val="28"/>
          <w:rtl w:val="true"/>
          <w:lang w:bidi="ar-SA"/>
        </w:rPr>
        <w:t>فالحكم من جهة الإجماع و لو نقلا مستفيضا ممّا لا إشكال فيه، و هو مع ذلك منصوص عليه في النصوص، ففي صحيح الفضلاء الوارد في زكاة 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العوامل شيء، إنّما ذلك على السائمة الراعية</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و في صحيحهم الوارد في زكاة البقر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الكسور شيء، و لا على العوامل السائمة شيء، إنّما الصدقة على السائمة الراعية</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و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الفرس و البعير يكون للرجل يركبها شيء؟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على ما يعلف شيء، إنّما الصدقة على السائمة المرسلة في مرجها عامها الّذي يقتنيها فيه الرجل، فأمّا ما سوى ذلك فليس فيه شيء</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الروايات و إن اختصّت بحسب المورد بالإبل و البقر إلاّ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على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بضابطة أنّ المورد لا يخصّص و إنّ العبرة بعموم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الغنم أيضا، مضافا إلى الإجماع المركّب و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شرطيّة السوم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الزكاة في المعلوفة من الأنعام،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وجوبها في السخال و أولاد الأنعام ما لم يستغنوا عن الامّهات بالرعي، لأنّ السوم شرط فينتفي بانتفائه المشروط، أمّا في الأوّل فواضح، و أمّا في الثاني فلأنّ السوم لغة الرعي فلا يتحقّق مدّة الرضاع، و هذا واضح و لا كلام فيه لأحد</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2586621_1280447820"/>
      <w:bookmarkStart w:id="302" w:name="_Toc109"/>
      <w:bookmarkEnd w:id="301"/>
      <w:r>
        <w:rPr>
          <w:rtl w:val="true"/>
        </w:rPr>
        <w:t>[</w:t>
      </w:r>
      <w:r>
        <w:rPr>
          <w:rtl w:val="true"/>
        </w:rPr>
        <w:t>الأقوال في وقت اعتبار الحول في أولاد السائمة</w:t>
      </w:r>
      <w:r>
        <w:rPr>
          <w:rtl w:val="true"/>
        </w:rPr>
        <w:t>]</w:t>
      </w:r>
      <w:bookmarkEnd w:id="30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الكلام في وقت اعتبار الحول فيها هل هو من حين الاستغناء عن الامّهات </w:t>
      </w:r>
    </w:p>
    <w:p>
      <w:pPr>
        <w:pStyle w:val="BookText"/>
        <w:rPr/>
      </w:pPr>
      <w:r>
        <w:rPr>
          <w:rFonts w:ascii="Amiri" w:hAnsi="Amiri" w:eastAsia="Amiri" w:cs="Amiri"/>
          <w:color w:val="111111"/>
          <w:sz w:val="28"/>
          <w:sz w:val="28"/>
          <w:szCs w:val="28"/>
          <w:rtl w:val="true"/>
          <w:lang w:bidi="ar-SA"/>
        </w:rPr>
        <w:t>بالرعي‌؟ كما عليه جماعة منهم الفاضلان في الشرائع</w:t>
      </w:r>
      <w:r>
        <w:rPr>
          <w:rStyle w:val="FootnoteAnchor"/>
          <w:rtl w:val="true"/>
        </w:rPr>
        <w:footnoteReference w:id="1231"/>
      </w:r>
      <w:r>
        <w:rPr>
          <w:rFonts w:ascii="IRNazanin" w:hAnsi="IRNazanin" w:eastAsia="IRNazanin"/>
          <w:color w:val="111111"/>
          <w:sz w:val="28"/>
          <w:sz w:val="28"/>
          <w:szCs w:val="28"/>
          <w:rtl w:val="true"/>
          <w:lang w:bidi="fa-IR"/>
        </w:rPr>
        <w:t>و القواعد</w:t>
      </w:r>
      <w:r>
        <w:rPr>
          <w:rStyle w:val="FootnoteAnchor"/>
          <w:rtl w:val="true"/>
        </w:rPr>
        <w:footnoteReference w:id="1232"/>
      </w:r>
      <w:r>
        <w:rPr>
          <w:rFonts w:ascii="Amiri" w:hAnsi="Amiri" w:eastAsia="Amiri" w:cs="Amiri"/>
          <w:color w:val="111111"/>
          <w:sz w:val="28"/>
          <w:sz w:val="28"/>
          <w:szCs w:val="28"/>
          <w:rtl w:val="true"/>
          <w:lang w:bidi="ar-SA"/>
        </w:rPr>
        <w:t>و التحرير</w:t>
      </w:r>
      <w:r>
        <w:rPr>
          <w:rStyle w:val="FootnoteAnchor"/>
          <w:rtl w:val="true"/>
        </w:rPr>
        <w:footnoteReference w:id="1233"/>
      </w:r>
      <w:r>
        <w:rPr>
          <w:rFonts w:ascii="IRNazanin" w:hAnsi="IRNazanin" w:eastAsia="IRNazanin"/>
          <w:color w:val="111111"/>
          <w:sz w:val="28"/>
          <w:sz w:val="28"/>
          <w:szCs w:val="28"/>
          <w:rtl w:val="true"/>
          <w:lang w:bidi="fa-IR"/>
        </w:rPr>
        <w:t>و المختلف</w:t>
      </w:r>
      <w:r>
        <w:rPr>
          <w:rStyle w:val="FootnoteAnchor"/>
          <w:rtl w:val="true"/>
        </w:rPr>
        <w:footnoteReference w:id="1234"/>
      </w:r>
      <w:r>
        <w:rPr>
          <w:rFonts w:ascii="Amiri" w:hAnsi="Amiri" w:eastAsia="Amiri" w:cs="Amiri"/>
          <w:color w:val="111111"/>
          <w:sz w:val="28"/>
          <w:sz w:val="28"/>
          <w:szCs w:val="28"/>
          <w:rtl w:val="true"/>
          <w:lang w:bidi="ar-SA"/>
        </w:rPr>
        <w:t>و الشهيد في اللمعة</w:t>
      </w:r>
      <w:r>
        <w:rPr>
          <w:rStyle w:val="FootnoteAnchor"/>
          <w:rtl w:val="true"/>
        </w:rPr>
        <w:footnoteReference w:id="1235"/>
      </w:r>
      <w:r>
        <w:rPr>
          <w:rFonts w:ascii="Amiri" w:hAnsi="Amiri" w:eastAsia="Amiri" w:cs="Amiri"/>
          <w:color w:val="111111"/>
          <w:sz w:val="28"/>
          <w:sz w:val="28"/>
          <w:szCs w:val="28"/>
          <w:rtl w:val="true"/>
          <w:lang w:bidi="ar-SA"/>
        </w:rPr>
        <w:t>و المحقّق الكركي في حاشية الشرائع</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من حين النتاج‌؟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تولّدها من الامّهات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جماعة آخرين منهم ثاني الشهيدين في الروضة</w:t>
      </w:r>
      <w:r>
        <w:rPr>
          <w:rStyle w:val="FootnoteAnchor"/>
          <w:rtl w:val="true"/>
        </w:rPr>
        <w:footnoteReference w:id="1237"/>
      </w:r>
      <w:r>
        <w:rPr>
          <w:rFonts w:ascii="Amiri" w:hAnsi="Amiri" w:eastAsia="Amiri" w:cs="Amiri"/>
          <w:color w:val="111111"/>
          <w:sz w:val="28"/>
          <w:sz w:val="28"/>
          <w:szCs w:val="28"/>
          <w:rtl w:val="true"/>
          <w:lang w:bidi="ar-SA"/>
        </w:rPr>
        <w:t>و عن الكفاية</w:t>
      </w:r>
      <w:r>
        <w:rPr>
          <w:rStyle w:val="FootnoteAnchor"/>
          <w:rtl w:val="true"/>
        </w:rPr>
        <w:footnoteReference w:id="1238"/>
      </w:r>
      <w:r>
        <w:rPr>
          <w:rFonts w:ascii="Amiri" w:hAnsi="Amiri" w:eastAsia="Amiri" w:cs="Amiri"/>
          <w:color w:val="111111"/>
          <w:sz w:val="28"/>
          <w:sz w:val="28"/>
          <w:szCs w:val="28"/>
          <w:rtl w:val="true"/>
          <w:lang w:bidi="ar-SA"/>
        </w:rPr>
        <w:t>أنّه مذهب الأكثر، و عن المختلف</w:t>
      </w:r>
      <w:r>
        <w:rPr>
          <w:rStyle w:val="FootnoteAnchor"/>
          <w:rtl w:val="true"/>
        </w:rPr>
        <w:footnoteReference w:id="1239"/>
      </w:r>
      <w:r>
        <w:rPr>
          <w:rFonts w:ascii="Amiri" w:hAnsi="Amiri" w:eastAsia="Amiri" w:cs="Amiri"/>
          <w:color w:val="111111"/>
          <w:sz w:val="28"/>
          <w:sz w:val="28"/>
          <w:szCs w:val="28"/>
          <w:rtl w:val="true"/>
          <w:lang w:bidi="ar-SA"/>
        </w:rPr>
        <w:t>و المسالك</w:t>
      </w:r>
      <w:r>
        <w:rPr>
          <w:rStyle w:val="FootnoteAnchor"/>
          <w:rtl w:val="true"/>
        </w:rPr>
        <w:footnoteReference w:id="1240"/>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أنّه من حين الاستغناء عن الامّهات في أولاد المعلوفة و من حين النتاج في أولاد السائمة‌؟ كما عن الشهيد في البيان</w:t>
      </w:r>
      <w:r>
        <w:rPr>
          <w:rStyle w:val="FootnoteAnchor"/>
          <w:rtl w:val="true"/>
        </w:rPr>
        <w:footnoteReference w:id="1241"/>
      </w:r>
      <w:r>
        <w:rPr>
          <w:rFonts w:ascii="Amiri" w:hAnsi="Amiri" w:eastAsia="Amiri" w:cs="Amiri"/>
          <w:color w:val="111111"/>
          <w:sz w:val="28"/>
          <w:sz w:val="28"/>
          <w:szCs w:val="28"/>
          <w:rtl w:val="true"/>
          <w:lang w:bidi="ar-SA"/>
        </w:rPr>
        <w:t>و عن مجمع الفائدة أنّه غير بعيد</w:t>
      </w:r>
      <w:r>
        <w:rPr>
          <w:rStyle w:val="FootnoteAnchor"/>
          <w:rtl w:val="true"/>
        </w:rPr>
        <w:footnoteReference w:id="1242"/>
      </w:r>
      <w:r>
        <w:rPr>
          <w:rFonts w:ascii="Amiri" w:hAnsi="Amiri" w:eastAsia="Amiri" w:cs="Amiri"/>
          <w:color w:val="111111"/>
          <w:sz w:val="28"/>
          <w:sz w:val="28"/>
          <w:szCs w:val="28"/>
          <w:rtl w:val="true"/>
          <w:lang w:bidi="ar-SA"/>
        </w:rPr>
        <w:t>و في المدارك بعد ما استجود العمل برواية زرارة الدالّة على اعتبار الحول من حين النتاج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قوّة</w:t>
      </w:r>
      <w:r>
        <w:rPr>
          <w:rStyle w:val="FootnoteAnchor"/>
          <w:rtl w:val="true"/>
        </w:rPr>
        <w:footnoteReference w:id="1243"/>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القول الأوّل عموم دليل السوم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على السائمة 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بعموم مفهوم الحصر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باعتبار كونها في معنى النفي و الاستثناء يدلّ على نفي الزكاة عن كلّ ما ليس بسائمة، و منه السخال، لما عرفت من عدم تحقق السوم مدّة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الثاني ما رواه الكليني عن عليّ بن إبراهيم عن أبيه عن ابن أبي عمير عن عمر بن اذينة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صغار الإبل شيء حتّى يحول عليها الحول من حين ينتج</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قويّة زرارة أو موثّقته عن أحدهما في حديث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من هذه الأصناف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 البقر و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فيها شيء حتّى يحول عليه الحول منذ يوم ينتج</w:t>
      </w:r>
      <w:r>
        <w:rPr>
          <w:rFonts w:eastAsia="Amiri" w:cs="Amiri" w:ascii="Amiri" w:hAnsi="Amiri"/>
          <w:color w:val="111111"/>
          <w:sz w:val="28"/>
          <w:szCs w:val="28"/>
          <w:rtl w:val="true"/>
          <w:lang w:bidi="ar-SA"/>
        </w:rPr>
        <w:t>»</w:t>
      </w:r>
      <w:r>
        <w:rPr>
          <w:rStyle w:val="FootnoteAnchor"/>
          <w:rtl w:val="true"/>
        </w:rPr>
        <w:footnoteReference w:id="1245"/>
      </w:r>
      <w:r>
        <w:rPr>
          <w:rFonts w:ascii="Amiri" w:hAnsi="Amiri" w:eastAsia="Amiri" w:cs="Amiri"/>
          <w:color w:val="111111"/>
          <w:sz w:val="28"/>
          <w:sz w:val="28"/>
          <w:szCs w:val="28"/>
          <w:rtl w:val="true"/>
          <w:lang w:bidi="ar-SA"/>
        </w:rPr>
        <w:t xml:space="preserve">و هذا أخصّ ممّا تقدّم و الخاصّ مقدّم على العامّ فيخصّص به العامّ‌، و لا يقدح </w:t>
      </w:r>
    </w:p>
    <w:p>
      <w:pPr>
        <w:pStyle w:val="BookText"/>
        <w:rPr/>
      </w:pPr>
      <w:r>
        <w:rPr>
          <w:rFonts w:ascii="Amiri" w:hAnsi="Amiri" w:eastAsia="Amiri" w:cs="Amiri"/>
          <w:color w:val="111111"/>
          <w:sz w:val="28"/>
          <w:sz w:val="28"/>
          <w:szCs w:val="28"/>
          <w:rtl w:val="true"/>
          <w:lang w:bidi="ar-SA"/>
        </w:rPr>
        <w:t>اختصاص الصحيحة بصغار الإبل لأنّه يتمّ في صغار البقر و الغنم بعدم القول بالفصل لعدم ظهور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للتفصيل المتقدّم عن البيان</w:t>
      </w:r>
      <w:r>
        <w:rPr>
          <w:rStyle w:val="FootnoteAnchor"/>
          <w:rtl w:val="true"/>
        </w:rPr>
        <w:footnoteReference w:id="1246"/>
      </w:r>
      <w:r>
        <w:rPr>
          <w:rFonts w:ascii="IRNazanin" w:hAnsi="IRNazanin" w:eastAsia="IRNazanin"/>
          <w:color w:val="111111"/>
          <w:sz w:val="28"/>
          <w:sz w:val="28"/>
          <w:szCs w:val="28"/>
          <w:rtl w:val="true"/>
          <w:lang w:bidi="fa-IR"/>
        </w:rPr>
        <w:t>وجه إلاّ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جمعا بين الأخبار كما أشار إليه في المسالك</w:t>
      </w:r>
      <w:r>
        <w:rPr>
          <w:rStyle w:val="FootnoteAnchor"/>
          <w:rtl w:val="true"/>
        </w:rPr>
        <w:footnoteReference w:id="1248"/>
      </w:r>
      <w:r>
        <w:rPr>
          <w:rFonts w:ascii="Amiri" w:hAnsi="Amiri" w:eastAsia="Amiri" w:cs="Amiri"/>
          <w:color w:val="111111"/>
          <w:sz w:val="28"/>
          <w:sz w:val="28"/>
          <w:szCs w:val="28"/>
          <w:rtl w:val="true"/>
          <w:lang w:bidi="ar-SA"/>
        </w:rPr>
        <w:t xml:space="preserve">و ضعفه واضح، فإنّ الجمع المذكور الّذي مرجعه إلى التأويل في كلا المتعارضين بالتخصيص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 دون شاهدين خارجيّين غير مقبول 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جار إلاّ في المتبائنين و المقام ليس منهما، لكون ما دلّ على نفي وجوب الزكاة في الأولاد أعمّ مطلقا ممّا دلّ على اعتبار حولها من حين النتاج باعتبار شموله لمعلوفة الامّهات، فيكون المقام من تعارض العامّ و الخاصّ الّذي يقدّم فيه الخاصّ على العامّ‌، فطريق الجمع فيه تخصيص دليل اعتبار السوم بالأولاد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يتوهّم انعكاس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ما دلّ على اعتبار السوم أخصّ من الأخبار الدالّة على أنّ السخال حولها من النتاج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بأنّه يصدق عليها حين ارتضاعها من السائمة أنّها سائمة حقيقة، و لا يصدق ذلك حين ارتضاعها من المعلوفة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صدق السائمة عليها بمجرّد سوم امّهاتها، و لا ينافيه عدم صدق المعلوفة عليها أيضا، إذ لا يلزم من عدم صدق المعلوفة صدق السائمة لإمكان الواسطة و السخال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تناول إطلاق السائمة على تقدير صدقها عليها حقيقة لها، لمكان انصرافه إلى الامّهات فقط</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الاعتبار يقضي بخروج أولاد السائمة من الحكم السلبي المستفاد من مفهوم الحصر و دخولها في الحكم الإيجابي، و يلزم من ذلك انقلاب النسبة السابقة إلى نسبة العموم من وجه لا انعكاس الفرض، لكون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على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مفهوم الحصر عامّا في المعلوفة و أولادها من الإبل و البقر و الغنم، و ما دلّ على أنّ حول السخال من حين النتاج عامّا في أولاد السائمة و أولاد المعلوفة، فيتعارضان في أولاد المعلوفة، لقضاء الأوّل بنفي وجوب الزكاة فيها و قضاء الثاني </w:t>
      </w:r>
    </w:p>
    <w:p>
      <w:pPr>
        <w:pStyle w:val="BookText"/>
        <w:rPr/>
      </w:pPr>
      <w:r>
        <w:rPr>
          <w:rFonts w:ascii="Amiri" w:hAnsi="Amiri" w:eastAsia="Amiri" w:cs="Amiri"/>
          <w:color w:val="111111"/>
          <w:sz w:val="28"/>
          <w:sz w:val="28"/>
          <w:szCs w:val="28"/>
          <w:rtl w:val="true"/>
          <w:lang w:bidi="ar-SA"/>
        </w:rPr>
        <w:t>بوجوبها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يتأتّى الجمع الموافق لقول البيان لو أرجعنا التأويل إلى الثاني و تخصيصه بأولاد المعلوفة و هو ممّا لا شاهد له، فيتعيّن إرجاع التأويل و التخصيص إلى الأوّل ترجيحا لما هو أقلّ أفرادا من المتعارضين على ما هو أكثرها و تقديما للدلالة المنطوقيّة على الدلالة المفهوميّة، و يعضده الشهرة الفتوائيّة بل العمليّة على تقدير تحقّقها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في السائمة استمرار السوم طول الحول و في جميعه، و لا يكفي فيه السوم في بعض الحول مع أغلبيّة العلف و لا مع تساويهما بلا خلاف فيهما ظاهرا و إن حكي عن مبسوط الشيخ في الثاني جعل الأحوط إخراج الزكاة إلاّ أنّه قال مع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قلنا إنّه لا يجب فيها زكاة كان قويّا، لأنّه لا دليل على وجوب ذلك في الشرع، و الأصل براءة الذمّة</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لا يكفي أغلبيّة السوم كما عليه الأكثر منهم الفاضلان</w:t>
      </w:r>
      <w:r>
        <w:rPr>
          <w:rStyle w:val="FootnoteAnchor"/>
          <w:rtl w:val="true"/>
        </w:rPr>
        <w:footnoteReference w:id="1250"/>
      </w:r>
      <w:r>
        <w:rPr>
          <w:rFonts w:ascii="Amiri" w:hAnsi="Amiri" w:eastAsia="Amiri" w:cs="Amiri"/>
          <w:color w:val="111111"/>
          <w:sz w:val="28"/>
          <w:sz w:val="28"/>
          <w:szCs w:val="28"/>
          <w:rtl w:val="true"/>
          <w:lang w:bidi="ar-SA"/>
        </w:rPr>
        <w:t>و الشهيدان</w:t>
      </w:r>
      <w:r>
        <w:rPr>
          <w:rStyle w:val="FootnoteAnchor"/>
          <w:rtl w:val="true"/>
        </w:rPr>
        <w:footnoteReference w:id="1251"/>
      </w:r>
      <w:r>
        <w:rPr>
          <w:rFonts w:ascii="Amiri" w:hAnsi="Amiri" w:eastAsia="Amiri" w:cs="Amiri"/>
          <w:color w:val="111111"/>
          <w:sz w:val="28"/>
          <w:sz w:val="28"/>
          <w:szCs w:val="28"/>
          <w:rtl w:val="true"/>
          <w:lang w:bidi="ar-SA"/>
        </w:rPr>
        <w:t>و غيرهما من المتأخّرين</w:t>
      </w:r>
      <w:r>
        <w:rPr>
          <w:rStyle w:val="FootnoteAnchor"/>
          <w:rtl w:val="true"/>
        </w:rPr>
        <w:footnoteReference w:id="1252"/>
      </w:r>
      <w:r>
        <w:rPr>
          <w:rFonts w:ascii="Amiri" w:hAnsi="Amiri" w:eastAsia="Amiri" w:cs="Amiri"/>
          <w:color w:val="111111"/>
          <w:sz w:val="28"/>
          <w:sz w:val="28"/>
          <w:szCs w:val="28"/>
          <w:rtl w:val="true"/>
          <w:lang w:bidi="ar-SA"/>
        </w:rPr>
        <w:t>و متأخّريهم</w:t>
      </w:r>
      <w:r>
        <w:rPr>
          <w:rStyle w:val="FootnoteAnchor"/>
          <w:rtl w:val="true"/>
        </w:rPr>
        <w:footnoteReference w:id="1253"/>
      </w:r>
      <w:r>
        <w:rPr>
          <w:rFonts w:ascii="Amiri" w:hAnsi="Amiri" w:eastAsia="Amiri" w:cs="Amiri"/>
          <w:color w:val="111111"/>
          <w:sz w:val="28"/>
          <w:sz w:val="28"/>
          <w:szCs w:val="28"/>
          <w:rtl w:val="true"/>
          <w:lang w:bidi="ar-SA"/>
        </w:rPr>
        <w:t>خلافا للشيخ في الخلاف</w:t>
      </w:r>
      <w:r>
        <w:rPr>
          <w:rStyle w:val="FootnoteAnchor"/>
          <w:rtl w:val="true"/>
        </w:rPr>
        <w:footnoteReference w:id="1254"/>
      </w:r>
      <w:r>
        <w:rPr>
          <w:rFonts w:ascii="IRNazanin" w:hAnsi="IRNazanin" w:eastAsia="IRNazanin"/>
          <w:color w:val="111111"/>
          <w:sz w:val="28"/>
          <w:sz w:val="28"/>
          <w:szCs w:val="28"/>
          <w:rtl w:val="true"/>
          <w:lang w:bidi="fa-IR"/>
        </w:rPr>
        <w:t>و المبسوط</w:t>
      </w:r>
      <w:r>
        <w:rPr>
          <w:rStyle w:val="FootnoteAnchor"/>
          <w:rtl w:val="true"/>
        </w:rPr>
        <w:footnoteReference w:id="1255"/>
      </w:r>
      <w:r>
        <w:rPr>
          <w:rFonts w:ascii="Amiri" w:hAnsi="Amiri" w:eastAsia="Amiri" w:cs="Amiri"/>
          <w:color w:val="111111"/>
          <w:sz w:val="28"/>
          <w:sz w:val="28"/>
          <w:szCs w:val="28"/>
          <w:rtl w:val="true"/>
          <w:lang w:bidi="ar-SA"/>
        </w:rPr>
        <w:t>على ما حكي عنه، و قبله ابن الجنيد كما حكاه عنه في المختلف</w:t>
      </w:r>
      <w:r>
        <w:rPr>
          <w:rStyle w:val="FootnoteAnchor"/>
          <w:rtl w:val="true"/>
        </w:rPr>
        <w:footnoteReference w:id="1256"/>
      </w:r>
      <w:r>
        <w:rPr>
          <w:rFonts w:ascii="Amiri" w:hAnsi="Amiri" w:eastAsia="Amiri" w:cs="Amiri"/>
          <w:color w:val="111111"/>
          <w:sz w:val="28"/>
          <w:sz w:val="28"/>
          <w:szCs w:val="28"/>
          <w:rtl w:val="true"/>
          <w:lang w:bidi="ar-SA"/>
        </w:rPr>
        <w:t>و ربّما نسب المصير إليه إلى ظاهر الدروس</w:t>
      </w:r>
      <w:r>
        <w:rPr>
          <w:rStyle w:val="FootnoteAnchor"/>
          <w:rtl w:val="true"/>
        </w:rPr>
        <w:footnoteReference w:id="1257"/>
      </w:r>
      <w:r>
        <w:rPr>
          <w:rFonts w:ascii="Amiri" w:hAnsi="Amiri" w:eastAsia="Amiri" w:cs="Amiri"/>
          <w:color w:val="111111"/>
          <w:sz w:val="28"/>
          <w:sz w:val="28"/>
          <w:szCs w:val="28"/>
          <w:rtl w:val="true"/>
          <w:lang w:bidi="ar-SA"/>
        </w:rPr>
        <w:t>و لم أتحقّقه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فالمختار المعتمد هو الأوّل، لظاهر قول أبي جعفر و أبي عبد اللّه عليهما السّلام في صحيحة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العوامل من الإبل و البقر شيء، إنّما الصدقات على السائمة الراعية، و كلّ ما لم يحل عليه الحول عند ربّه فلا شيء عليه فإذا حال عليه </w:t>
      </w:r>
    </w:p>
    <w:p>
      <w:pPr>
        <w:pStyle w:val="BookText"/>
        <w:rPr/>
      </w:pPr>
      <w:r>
        <w:rPr>
          <w:rFonts w:ascii="Amiri" w:hAnsi="Amiri" w:eastAsia="Amiri" w:cs="Amiri"/>
          <w:color w:val="111111"/>
          <w:sz w:val="28"/>
          <w:sz w:val="28"/>
          <w:szCs w:val="28"/>
          <w:rtl w:val="true"/>
          <w:lang w:bidi="ar-SA"/>
        </w:rPr>
        <w:t>الحول وجب عليه</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عبد اللّه عليه السّلام في صحيحة زرارة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 يعلف شيء، إنّما الصدقة على السائمة المرسلة في مرجها عامها الّذي يقتنيها فيه الرجل فأمّا ما سوى ذلك فليس فيه شيء</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الخبرين اعتبار السوم الّذي هو شرط في جميع الحول و العام، فلا يقال على ما كان سومها أغلب إنّها سائمة في الحول أو 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ينظر استدلال المحقّق في المعتبر على القول المختار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السوم شرط الوجوب فكان كالنصاب</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اورد عليه في المدارك و الذخيرة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النصاب قد وقع التنصيص على اعتبار ملكه طول الحول فينقطع بخروجه عن الملك في أثنائه، بخلاف السوم لعدم التصريح باعتبار دوامه فيرجع في صدق اسم الوصف إلى العرف</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ظهور الخبرين في اعتبار دوام السوم و استمراره طول الحول، و لا حاجة معه إلى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للقول الآخر في جملة</w:t>
      </w:r>
      <w:r>
        <w:rPr>
          <w:rStyle w:val="FootnoteAnchor"/>
          <w:rtl w:val="true"/>
        </w:rPr>
        <w:footnoteReference w:id="1262"/>
      </w:r>
      <w:r>
        <w:rPr>
          <w:rFonts w:ascii="Amiri" w:hAnsi="Amiri" w:eastAsia="Amiri" w:cs="Amiri"/>
          <w:color w:val="111111"/>
          <w:sz w:val="28"/>
          <w:sz w:val="28"/>
          <w:szCs w:val="28"/>
          <w:rtl w:val="true"/>
          <w:lang w:bidi="ar-SA"/>
        </w:rPr>
        <w:t>من الكتب بوجوه ضعيفة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اسم السوم لا يزول بالعلف اليسير و غير الأغلب بالنسبة إليه يسير، و إنّ اعتبار السوم في جميع الحول يقتضي إسقاط الزكاة غالبا و عدم وجوبها إلاّ في الأقلّ‌، و إنّ خفّة المئونة موجودة هنا فأشبه السائمة في جميع الحول، و إنّ الأغلبيّة معتبرة في سقي الغلاّت فكذا تعتبر في السوم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عن الأوّل منع كون غير الأغلب بجميع مراتبه يسيرا بل هو في كثير من مراتبه كثير و معه يزول اسم السوم قطعا، على أنّ الشرط ليس هو السوم المطلق بل </w:t>
      </w:r>
    </w:p>
    <w:p>
      <w:pPr>
        <w:pStyle w:val="BookText"/>
        <w:rPr/>
      </w:pPr>
      <w:r>
        <w:rPr>
          <w:rFonts w:ascii="Amiri" w:hAnsi="Amiri" w:eastAsia="Amiri" w:cs="Amiri"/>
          <w:color w:val="111111"/>
          <w:sz w:val="28"/>
          <w:sz w:val="28"/>
          <w:szCs w:val="28"/>
          <w:rtl w:val="true"/>
          <w:lang w:bidi="ar-SA"/>
        </w:rPr>
        <w:t>السوم في الحول، و هذا يزول بعلف شهر بل اسبوع بل يومين بل يوم، مع أنّ الجميع من أفراد غير الأغلب، نعم لا يقدح فيه علف لحظة بل ساعة بل نصف يوم، و هذا بمجرّده لا يقتضي اعتبار الأغلب و الاكتفاء به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منع الملازمة بقول مطلق بل يختلف ذلك بحسب البلدان و الأصقاع، و حيث يلزم نمنع بطلان اللازم لأنّه مقتضى شرطيّة سوم الحول، فدعوى بطلان اللازم إنكار للشرطيّة أو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 منع علّية خفّة المؤنة إلاّ على الاستنباط الظنّي فيكون قياسا،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بعينه الجواب عن الرابع، مع أنّه فيه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 سقوط الزكاة عنها و خروجها عن اسم السوم بعلف يوم أو يومين فقيل بالسقوط للخروج عن اسم السوم كما عليه الفاضلان في الشرائع</w:t>
      </w:r>
      <w:r>
        <w:rPr>
          <w:rStyle w:val="FootnoteAnchor"/>
          <w:rtl w:val="true"/>
        </w:rPr>
        <w:footnoteReference w:id="1263"/>
      </w:r>
      <w:r>
        <w:rPr>
          <w:rFonts w:ascii="IRNazanin" w:hAnsi="IRNazanin" w:eastAsia="IRNazanin"/>
          <w:color w:val="111111"/>
          <w:sz w:val="28"/>
          <w:sz w:val="28"/>
          <w:szCs w:val="28"/>
          <w:rtl w:val="true"/>
          <w:lang w:bidi="fa-IR"/>
        </w:rPr>
        <w:t>و الإرشاد</w:t>
      </w:r>
      <w:r>
        <w:rPr>
          <w:rStyle w:val="FootnoteAnchor"/>
          <w:rtl w:val="true"/>
        </w:rPr>
        <w:footnoteReference w:id="1264"/>
      </w:r>
      <w:r>
        <w:rPr>
          <w:rFonts w:ascii="Amiri" w:hAnsi="Amiri" w:eastAsia="Amiri" w:cs="Amiri"/>
          <w:color w:val="111111"/>
          <w:sz w:val="28"/>
          <w:sz w:val="28"/>
          <w:szCs w:val="28"/>
          <w:rtl w:val="true"/>
          <w:lang w:bidi="ar-SA"/>
        </w:rPr>
        <w:t>و عنهما في المعتبر</w:t>
      </w:r>
      <w:r>
        <w:rPr>
          <w:rStyle w:val="FootnoteAnchor"/>
          <w:rtl w:val="true"/>
        </w:rPr>
        <w:footnoteReference w:id="1265"/>
      </w:r>
      <w:r>
        <w:rPr>
          <w:rFonts w:ascii="IRNazanin" w:hAnsi="IRNazanin" w:eastAsia="IRNazanin"/>
          <w:color w:val="111111"/>
          <w:sz w:val="28"/>
          <w:sz w:val="28"/>
          <w:szCs w:val="28"/>
          <w:rtl w:val="true"/>
          <w:lang w:bidi="fa-IR"/>
        </w:rPr>
        <w:t>و النافع</w:t>
      </w:r>
      <w:r>
        <w:rPr>
          <w:rStyle w:val="FootnoteAnchor"/>
          <w:rtl w:val="true"/>
        </w:rPr>
        <w:footnoteReference w:id="1266"/>
      </w:r>
      <w:r>
        <w:rPr>
          <w:rFonts w:ascii="IRNazanin" w:hAnsi="IRNazanin" w:eastAsia="IRNazanin"/>
          <w:color w:val="111111"/>
          <w:sz w:val="28"/>
          <w:sz w:val="28"/>
          <w:szCs w:val="28"/>
          <w:rtl w:val="true"/>
          <w:lang w:bidi="fa-IR"/>
        </w:rPr>
        <w:t>و القواعد</w:t>
      </w:r>
      <w:r>
        <w:rPr>
          <w:rStyle w:val="FootnoteAnchor"/>
          <w:rtl w:val="true"/>
        </w:rPr>
        <w:footnoteReference w:id="1267"/>
      </w:r>
      <w:r>
        <w:rPr>
          <w:rFonts w:ascii="Amiri" w:hAnsi="Amiri" w:eastAsia="Amiri" w:cs="Amiri"/>
          <w:color w:val="111111"/>
          <w:sz w:val="28"/>
          <w:sz w:val="28"/>
          <w:szCs w:val="28"/>
          <w:rtl w:val="true"/>
          <w:lang w:bidi="ar-SA"/>
        </w:rPr>
        <w:t>و نهاية الإحكام</w:t>
      </w:r>
      <w:r>
        <w:rPr>
          <w:rStyle w:val="FootnoteAnchor"/>
          <w:rtl w:val="true"/>
        </w:rPr>
        <w:footnoteReference w:id="1268"/>
      </w:r>
      <w:r>
        <w:rPr>
          <w:rFonts w:ascii="Amiri" w:hAnsi="Amiri" w:eastAsia="Amiri" w:cs="Amiri"/>
          <w:color w:val="111111"/>
          <w:sz w:val="28"/>
          <w:sz w:val="28"/>
          <w:szCs w:val="28"/>
          <w:rtl w:val="true"/>
          <w:lang w:bidi="ar-SA"/>
        </w:rPr>
        <w:t>، و حكي عن الحلّي في السرائر</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بالعدم كما عن ابن الجنيد</w:t>
      </w:r>
      <w:r>
        <w:rPr>
          <w:rStyle w:val="FootnoteAnchor"/>
          <w:rtl w:val="true"/>
        </w:rPr>
        <w:footnoteReference w:id="1270"/>
      </w:r>
      <w:r>
        <w:rPr>
          <w:rFonts w:ascii="Amiri" w:hAnsi="Amiri" w:eastAsia="Amiri" w:cs="Amiri"/>
          <w:color w:val="111111"/>
          <w:sz w:val="28"/>
          <w:sz w:val="28"/>
          <w:szCs w:val="28"/>
          <w:rtl w:val="true"/>
          <w:lang w:bidi="ar-SA"/>
        </w:rPr>
        <w:t>و قوّاه الشهيد في المحكيّ عن بيانه</w:t>
      </w:r>
      <w:r>
        <w:rPr>
          <w:rStyle w:val="FootnoteAnchor"/>
          <w:rtl w:val="true"/>
        </w:rPr>
        <w:footnoteReference w:id="1271"/>
      </w:r>
      <w:r>
        <w:rPr>
          <w:rFonts w:ascii="Amiri" w:hAnsi="Amiri" w:eastAsia="Amiri" w:cs="Amiri"/>
          <w:color w:val="111111"/>
          <w:sz w:val="28"/>
          <w:sz w:val="28"/>
          <w:szCs w:val="28"/>
          <w:rtl w:val="true"/>
          <w:lang w:bidi="ar-SA"/>
        </w:rPr>
        <w:t>و استقربه في المحكيّ عن دروسه</w:t>
      </w:r>
      <w:r>
        <w:rPr>
          <w:rStyle w:val="FootnoteAnchor"/>
          <w:rtl w:val="true"/>
        </w:rPr>
        <w:footnoteReference w:id="1272"/>
      </w:r>
      <w:r>
        <w:rPr>
          <w:rFonts w:ascii="Amiri" w:hAnsi="Amiri" w:eastAsia="Amiri" w:cs="Amiri"/>
          <w:color w:val="111111"/>
          <w:sz w:val="28"/>
          <w:sz w:val="28"/>
          <w:szCs w:val="28"/>
          <w:rtl w:val="true"/>
          <w:lang w:bidi="ar-SA"/>
        </w:rPr>
        <w:t>و عزي اختياره إلى حاشية الشرائع</w:t>
      </w:r>
      <w:r>
        <w:rPr>
          <w:rStyle w:val="FootnoteAnchor"/>
          <w:rtl w:val="true"/>
        </w:rPr>
        <w:footnoteReference w:id="1273"/>
      </w:r>
      <w:r>
        <w:rPr>
          <w:rFonts w:ascii="Amiri" w:hAnsi="Amiri" w:eastAsia="Amiri" w:cs="Amiri"/>
          <w:color w:val="111111"/>
          <w:sz w:val="28"/>
          <w:sz w:val="28"/>
          <w:szCs w:val="28"/>
          <w:rtl w:val="true"/>
          <w:lang w:bidi="ar-SA"/>
        </w:rPr>
        <w:t>و اختاره في المسالك و الروضة</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انيط الحكم بصدق اسم السائمة عرفا مع هذا العلف فلا تسقط و عدمه فتسقط كما في المدارك</w:t>
      </w:r>
      <w:r>
        <w:rPr>
          <w:rStyle w:val="FootnoteAnchor"/>
          <w:rtl w:val="true"/>
        </w:rPr>
        <w:footnoteReference w:id="1275"/>
      </w:r>
      <w:r>
        <w:rPr>
          <w:rFonts w:ascii="Amiri" w:hAnsi="Amiri" w:eastAsia="Amiri" w:cs="Amiri"/>
          <w:color w:val="111111"/>
          <w:sz w:val="28"/>
          <w:sz w:val="28"/>
          <w:szCs w:val="28"/>
          <w:rtl w:val="true"/>
          <w:lang w:bidi="ar-SA"/>
        </w:rPr>
        <w:t>و الذخيرة</w:t>
      </w:r>
      <w:r>
        <w:rPr>
          <w:rStyle w:val="FootnoteAnchor"/>
          <w:rtl w:val="true"/>
        </w:rPr>
        <w:footnoteReference w:id="1276"/>
      </w:r>
      <w:r>
        <w:rPr>
          <w:rFonts w:ascii="Amiri" w:hAnsi="Amiri" w:eastAsia="Amiri" w:cs="Amiri"/>
          <w:color w:val="111111"/>
          <w:sz w:val="28"/>
          <w:sz w:val="28"/>
          <w:szCs w:val="28"/>
          <w:rtl w:val="true"/>
          <w:lang w:bidi="ar-SA"/>
        </w:rPr>
        <w:t>تبعا للعلاّمة في المنتهى</w:t>
      </w:r>
      <w:r>
        <w:rPr>
          <w:rStyle w:val="FootnoteAnchor"/>
          <w:rtl w:val="true"/>
        </w:rPr>
        <w:footnoteReference w:id="1277"/>
      </w:r>
      <w:r>
        <w:rPr>
          <w:rFonts w:ascii="Amiri" w:hAnsi="Amiri" w:eastAsia="Amiri" w:cs="Amiri"/>
          <w:color w:val="111111"/>
          <w:sz w:val="28"/>
          <w:sz w:val="28"/>
          <w:szCs w:val="28"/>
          <w:rtl w:val="true"/>
          <w:lang w:bidi="ar-SA"/>
        </w:rPr>
        <w:t>كما عنه أيضا في التذكرة</w:t>
      </w:r>
      <w:r>
        <w:rPr>
          <w:rStyle w:val="FootnoteAnchor"/>
          <w:rtl w:val="true"/>
        </w:rPr>
        <w:footnoteReference w:id="1278"/>
      </w:r>
      <w:r>
        <w:rPr>
          <w:rFonts w:ascii="Amiri" w:hAnsi="Amiri" w:eastAsia="Amiri" w:cs="Amiri"/>
          <w:color w:val="111111"/>
          <w:sz w:val="28"/>
          <w:sz w:val="28"/>
          <w:szCs w:val="28"/>
          <w:rtl w:val="true"/>
          <w:lang w:bidi="ar-SA"/>
        </w:rPr>
        <w:t>و التحرير</w:t>
      </w:r>
      <w:r>
        <w:rPr>
          <w:rStyle w:val="FootnoteAnchor"/>
          <w:rtl w:val="true"/>
        </w:rPr>
        <w:footnoteReference w:id="1279"/>
      </w:r>
      <w:r>
        <w:rPr>
          <w:rFonts w:ascii="Amiri" w:hAnsi="Amiri" w:eastAsia="Amiri" w:cs="Amiri"/>
          <w:color w:val="111111"/>
          <w:sz w:val="28"/>
          <w:sz w:val="28"/>
          <w:szCs w:val="28"/>
          <w:rtl w:val="true"/>
          <w:lang w:bidi="ar-SA"/>
        </w:rPr>
        <w:t>و نسبه في المدارك إلى العلاّمة و من تأخّر عنه</w:t>
      </w:r>
      <w:r>
        <w:rPr>
          <w:rStyle w:val="FootnoteAnchor"/>
          <w:rtl w:val="true"/>
        </w:rPr>
        <w:footnoteReference w:id="1280"/>
      </w:r>
      <w:r>
        <w:rPr>
          <w:rFonts w:ascii="IRNazanin" w:hAnsi="IRNazanin" w:eastAsia="IRNazanin"/>
          <w:color w:val="111111"/>
          <w:sz w:val="28"/>
          <w:sz w:val="28"/>
          <w:szCs w:val="28"/>
          <w:rtl w:val="true"/>
          <w:lang w:bidi="fa-IR"/>
        </w:rPr>
        <w:t xml:space="preserve">و عن </w:t>
      </w:r>
    </w:p>
    <w:p>
      <w:pPr>
        <w:pStyle w:val="BookText"/>
        <w:rPr/>
      </w:pPr>
      <w:r>
        <w:rPr>
          <w:rFonts w:ascii="Amiri" w:hAnsi="Amiri" w:eastAsia="Amiri" w:cs="Amiri"/>
          <w:color w:val="111111"/>
          <w:sz w:val="28"/>
          <w:sz w:val="28"/>
          <w:szCs w:val="28"/>
          <w:rtl w:val="true"/>
          <w:lang w:bidi="ar-SA"/>
        </w:rPr>
        <w:t>الرياض أنّه مذهب أكثر المتأخّرين</w:t>
      </w:r>
      <w:r>
        <w:rPr>
          <w:rStyle w:val="FootnoteAnchor"/>
          <w:rtl w:val="true"/>
        </w:rPr>
        <w:footnoteReference w:id="1281"/>
      </w:r>
      <w:r>
        <w:rPr>
          <w:rFonts w:ascii="Amiri" w:hAnsi="Amiri" w:eastAsia="Amiri" w:cs="Amiri"/>
          <w:color w:val="111111"/>
          <w:sz w:val="28"/>
          <w:sz w:val="28"/>
          <w:szCs w:val="28"/>
          <w:rtl w:val="true"/>
          <w:lang w:bidi="ar-SA"/>
        </w:rPr>
        <w:t>و اختاره في المحكيّ عن مجمع الفائدة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تحديد في الشرع فيرجع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غيره</w:t>
      </w:r>
      <w:r>
        <w:rPr>
          <w:rStyle w:val="FootnoteAnchor"/>
          <w:rtl w:val="true"/>
        </w:rPr>
        <w:footnoteReference w:id="1282"/>
      </w:r>
      <w:r>
        <w:rPr>
          <w:rFonts w:ascii="Amiri" w:hAnsi="Amiri" w:eastAsia="Amiri" w:cs="Amiri"/>
          <w:color w:val="111111"/>
          <w:sz w:val="28"/>
          <w:sz w:val="28"/>
          <w:szCs w:val="28"/>
          <w:rtl w:val="true"/>
          <w:lang w:bidi="ar-SA"/>
        </w:rPr>
        <w:t>و علّله في المحكيّ عن الرياض بعدم النصّ و وجوب الرجوع إلى العرف في مثله</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الأقوى المعتمد هو القول الأوّل، لما تقدّم من صحيحتي الفضلاء و زرارة</w:t>
      </w:r>
      <w:r>
        <w:rPr>
          <w:rStyle w:val="FootnoteAnchor"/>
          <w:rtl w:val="true"/>
        </w:rPr>
        <w:footnoteReference w:id="1284"/>
      </w:r>
      <w:r>
        <w:rPr>
          <w:rFonts w:ascii="Amiri" w:hAnsi="Amiri" w:eastAsia="Amiri" w:cs="Amiri"/>
          <w:color w:val="111111"/>
          <w:sz w:val="28"/>
          <w:sz w:val="28"/>
          <w:szCs w:val="28"/>
          <w:rtl w:val="true"/>
          <w:lang w:bidi="ar-SA"/>
        </w:rPr>
        <w:t>لقضائهما في متفاهم العرف بأنّ موضوع وجوب الزكاة هو السائمة في الحول و العام، و إنّ شرط وجوبها سوم الحول أو السوم في الحول، و لا ريب أنّه مع علف يوم أو يومين لا يصدق ذلك لا بمعنى عدم صدق الوصف بنفسه، بل بمعنى عدم صدق الإضافة، بل عدم صدق المضاف إليه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الوضع لغة و عرفا اسم لمجموع أيّام معيّنة معدودة و ليس مشتركا بين التامّ و الناقص و لا للقدر المشترك بين الزائد و الناقص، فلا يصدق حقيقة على ما ينقص بيوم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يتسامح عرفا فيطلق على ما نقص ذلك بل أزيد، تنزيلا للنقص منزلة عدمه، فاللفظ في الحقيقة يطلق على التامّ لكن بعد التنزيل المذكور الّذي هو تصرّف عقلي فلا مجاز في اللفظ، و نحو هذا التنزيل غير ثابت في خطاب الشرع حيث علّق على الحول و ما يرادفه حكم شرعي كما فيما نحن فيه و الأصل عدمه، كما أنّ الأصل في الاستعمال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يصدق على تقدير تخلّل علف يوم أو يومين في أثناء الحول أنّها سائمة في الحول و لا سوم الحول و لا السوم في الحول، و لا ينتقض ذلك بالعلف لحظة أو لحظتين في أثناء الحول الّذي ظاهرهم عدم الخلاف في عدم قدحه في الصدق، كما استظهره في المناهل</w:t>
      </w:r>
      <w:r>
        <w:rPr>
          <w:rStyle w:val="FootnoteAnchor"/>
          <w:rtl w:val="true"/>
        </w:rPr>
        <w:footnoteReference w:id="1285"/>
      </w:r>
      <w:r>
        <w:rPr>
          <w:rFonts w:ascii="Amiri" w:hAnsi="Amiri" w:eastAsia="Amiri" w:cs="Amiri"/>
          <w:color w:val="111111"/>
          <w:sz w:val="28"/>
          <w:sz w:val="28"/>
          <w:szCs w:val="28"/>
          <w:rtl w:val="true"/>
          <w:lang w:bidi="ar-SA"/>
        </w:rPr>
        <w:t>فإنّ نحو هذا العلف اليسير جدّا ينزل في العرف منزلة عدمه فكأنّه لم يتخلّل علف في الأثناء، و يلزمه صدق السائمة في الحول و سوم الحول عرفا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ما قرّرناه من وجه الاستدلال يرجع الاستدلال للقول المختار بأنّ السوم شرط ففواته في بعض الحول كفواته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الحول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بما بيّنّاه أخيرا يندفع ما اورد عليه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يلزم من ذلك أنّه لو اعتلف لحظة أن يخرج عن اسم السوم 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المنتهى</w:t>
      </w:r>
      <w:r>
        <w:rPr>
          <w:rStyle w:val="FootnoteAnchor"/>
          <w:rtl w:val="true"/>
        </w:rPr>
        <w:footnoteReference w:id="1286"/>
      </w:r>
      <w:r>
        <w:rPr>
          <w:rFonts w:ascii="Amiri" w:hAnsi="Amiri" w:eastAsia="Amiri" w:cs="Amiri"/>
          <w:color w:val="111111"/>
          <w:sz w:val="28"/>
          <w:sz w:val="28"/>
          <w:szCs w:val="28"/>
          <w:rtl w:val="true"/>
          <w:lang w:bidi="ar-SA"/>
        </w:rPr>
        <w:t>و المدارك</w:t>
      </w:r>
      <w:r>
        <w:rPr>
          <w:rStyle w:val="FootnoteAnchor"/>
          <w:rtl w:val="true"/>
        </w:rPr>
        <w:footnoteReference w:id="1287"/>
      </w:r>
      <w:r>
        <w:rPr>
          <w:rFonts w:ascii="Amiri" w:hAnsi="Amiri" w:eastAsia="Amiri" w:cs="Amiri"/>
          <w:color w:val="111111"/>
          <w:sz w:val="28"/>
          <w:sz w:val="28"/>
          <w:szCs w:val="28"/>
          <w:rtl w:val="true"/>
          <w:lang w:bidi="ar-SA"/>
        </w:rPr>
        <w:t>و طريق الدفع منع الملازمة، هذا و لكن الاحتياط بإخراج الزكاة في مفروض المسألة ممّا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فرق في كون تخلّل العلف في الأثناء قادحا في صدق سوم الحول بين كونه في زمان يعتاد الأنعام نوعا فيه الأكل كالأيّام أو في زمان لا يعتاد فيه الأكل كالليالي، و حينئذ فلو سامت نهارا و علّفها ليلا خرجت عن كونها سائمة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بالعلف في زمان يعتاد فيه الأكل ما لو تركت التشاغل بالرعي يوما أو يومين أو أكثر لمانع من مرض أو حبس أو نحو ذلك، و من ذلك ما في إرشاد العلاّمة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منعها الثلج أو غيره من الرعي</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و قال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لعموم الأدلّة الدالّة على اعتبار السوم</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و لا يعتبر فيه تخلّل التعليف من المالك و لا من غيره كما يظهر من عبارة الشرائع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منع السائمة مانع كالثلج و نحوه فعلّفها المالك أو غيره بإذنه أو بغير إذنه</w:t>
      </w:r>
      <w:r>
        <w:rPr>
          <w:rFonts w:eastAsia="Amiri" w:cs="Amiri" w:ascii="Amiri" w:hAnsi="Amiri"/>
          <w:color w:val="111111"/>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و لذا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انتفى السوم سقطت الزكاة سواء اعتلفت الدابّة بنفسها أو علّفها المالك أو غيره بإذنه أو بغير إذنه من مال المالك أو غيره</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ذكره قدّس سرّه من سقوط الزكاة بانتفاء السوم مطلقا و في جميع الصور المذكورة هو الحقّ الّذي لا محيص عنه عملا بمقتضى شرطيّة السوم، و هو المصرّح به في كلام جماعة من المتأخّرين</w:t>
      </w:r>
      <w:r>
        <w:rPr>
          <w:rStyle w:val="FootnoteAnchor"/>
          <w:rtl w:val="true"/>
        </w:rPr>
        <w:footnoteReference w:id="1292"/>
      </w:r>
      <w:r>
        <w:rPr>
          <w:rFonts w:ascii="Amiri" w:hAnsi="Amiri" w:eastAsia="Amiri" w:cs="Amiri"/>
          <w:color w:val="111111"/>
          <w:sz w:val="28"/>
          <w:sz w:val="28"/>
          <w:szCs w:val="28"/>
          <w:rtl w:val="true"/>
          <w:lang w:bidi="ar-SA"/>
        </w:rPr>
        <w:t>و متأخّريهم</w:t>
      </w:r>
      <w:r>
        <w:rPr>
          <w:rStyle w:val="FootnoteAnchor"/>
          <w:rtl w:val="true"/>
        </w:rPr>
        <w:footnoteReference w:id="1293"/>
      </w:r>
      <w:r>
        <w:rPr>
          <w:rFonts w:ascii="Amiri" w:hAnsi="Amiri" w:eastAsia="Amiri" w:cs="Amiri"/>
          <w:color w:val="111111"/>
          <w:sz w:val="28"/>
          <w:sz w:val="28"/>
          <w:szCs w:val="28"/>
          <w:rtl w:val="true"/>
          <w:lang w:bidi="ar-SA"/>
        </w:rPr>
        <w:t>و منهم الشهيد الثاني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الحكم في الجميع خروجها عن اسم السائمة بالعلف كيف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استشكل الحكم فيما لو علّفها الغير من مال نفسه نظرا إلى المعنى المقصود من العلف و الحكمة المقتضية لسقوط الزكاة معه و هو المئونة على المالك الموجبة للتخفيف كما اقتضته في الغلاّت </w:t>
      </w:r>
    </w:p>
    <w:p>
      <w:pPr>
        <w:pStyle w:val="BookText"/>
        <w:rPr/>
      </w:pPr>
      <w:r>
        <w:rPr>
          <w:rFonts w:ascii="Amiri" w:hAnsi="Amiri" w:eastAsia="Amiri" w:cs="Amiri"/>
          <w:color w:val="111111"/>
          <w:sz w:val="28"/>
          <w:sz w:val="28"/>
          <w:szCs w:val="28"/>
          <w:rtl w:val="true"/>
          <w:lang w:bidi="ar-SA"/>
        </w:rPr>
        <w:t>عند سقيها بالدوالي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علّفها الغير من مال المالك بغير إذنه لثبوت الضمان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للتوقّف في المسألتين مجال و إن كان القول بخروجها من السوم فيهما لا يخلو من وجه</w:t>
      </w:r>
      <w:r>
        <w:rPr>
          <w:rFonts w:eastAsia="Amiri" w:cs="Amiri" w:ascii="Amiri" w:hAnsi="Amiri"/>
          <w:color w:val="111111"/>
          <w:sz w:val="28"/>
          <w:szCs w:val="28"/>
          <w:rtl w:val="true"/>
          <w:lang w:bidi="ar-SA"/>
        </w:rPr>
        <w:t>»</w:t>
      </w:r>
      <w:r>
        <w:rPr>
          <w:rStyle w:val="FootnoteAnchor"/>
          <w:rtl w:val="true"/>
        </w:rPr>
        <w:footnoteReference w:id="12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تذكرة العلاّمة إلحاقها بالسائمة لو علّفها الغير من ماله لعدم المئونة</w:t>
      </w:r>
      <w:r>
        <w:rPr>
          <w:rStyle w:val="FootnoteAnchor"/>
          <w:rtl w:val="true"/>
        </w:rPr>
        <w:footnoteReference w:id="1295"/>
      </w:r>
      <w:r>
        <w:rPr>
          <w:rFonts w:ascii="Amiri" w:hAnsi="Amiri" w:eastAsia="Amiri" w:cs="Amiri"/>
          <w:color w:val="111111"/>
          <w:sz w:val="28"/>
          <w:sz w:val="28"/>
          <w:szCs w:val="28"/>
          <w:rtl w:val="true"/>
          <w:lang w:bidi="ar-SA"/>
        </w:rPr>
        <w:t>و لا خفاء في ضعف العلّة، فإنّ الحكم معلّق على اسم السائمة فينتفي بانتفائه، لا على الحكمة، فالعلّة غير منصوصة، و استنباط العلّية من المناسبة لا يصلح لإلحاق غير السائمة بالسائمة، لكونه من القياس الباطل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وصف السوم المعلّق عليه الحكم في السائمة عبارة عن الرعي بنصّ أئمّة اللغة</w:t>
      </w:r>
      <w:r>
        <w:rPr>
          <w:rStyle w:val="FootnoteAnchor"/>
          <w:rtl w:val="true"/>
        </w:rPr>
        <w:footnoteReference w:id="1296"/>
      </w:r>
      <w:r>
        <w:rPr>
          <w:rFonts w:ascii="Amiri" w:hAnsi="Amiri" w:eastAsia="Amiri" w:cs="Amiri"/>
          <w:color w:val="111111"/>
          <w:sz w:val="28"/>
          <w:sz w:val="28"/>
          <w:szCs w:val="28"/>
          <w:rtl w:val="true"/>
          <w:lang w:bidi="ar-SA"/>
        </w:rPr>
        <w:t>مضافا إلى التصريح به في صحيحتي</w:t>
      </w:r>
      <w:r>
        <w:rPr>
          <w:rStyle w:val="FootnoteAnchor"/>
          <w:rtl w:val="true"/>
        </w:rPr>
        <w:footnoteReference w:id="1297"/>
      </w:r>
      <w:r>
        <w:rPr>
          <w:rFonts w:ascii="Amiri" w:hAnsi="Amiri" w:eastAsia="Amiri" w:cs="Amiri"/>
          <w:color w:val="111111"/>
          <w:sz w:val="28"/>
          <w:sz w:val="28"/>
          <w:szCs w:val="28"/>
          <w:rtl w:val="true"/>
          <w:lang w:bidi="ar-SA"/>
        </w:rPr>
        <w:t>الفضلاء حيث وصف فيهما السائمة بالراعية بناء على كون الصفة موضحة مبيّنة للمعنى المراد من الموصوف، و عليه فكلّ ما لم يصدق عليه السائمة الراعية في الحول لم يجب فيه الزكاة سواء صدق عليها المعلوفة أو لا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كلّما صدق عليه المعلوفة كشف عن انتفاء صدق السائمة، و عليه فتكون من المعلوفة عرفا ما لو أطعمها المالك أو أكلت هي بنفسها شيئا مملوكا له كالتبن و الزرع و لو كان نحو الفصيل و غيره ممّا يزرع بالخصوص للدوابّ‌، و ما لو اشترى لها من المرعى فأرسلها فيه للرعي، و ما لو أطعمها مرعى غيره غصبا و من دون إذنه، فإنّها في الكلّ معلوفة و ليست بسائمة و إن كان أكلها للزرع أو الكلاء بطريق الرعي كما صرّح بجميع</w:t>
      </w:r>
      <w:r>
        <w:rPr>
          <w:rStyle w:val="FootnoteAnchor"/>
          <w:rtl w:val="true"/>
        </w:rPr>
        <w:footnoteReference w:id="1298"/>
      </w:r>
      <w:r>
        <w:rPr>
          <w:rFonts w:ascii="Amiri" w:hAnsi="Amiri" w:eastAsia="Amiri" w:cs="Amiri"/>
          <w:color w:val="111111"/>
          <w:sz w:val="28"/>
          <w:sz w:val="28"/>
          <w:szCs w:val="28"/>
          <w:rtl w:val="true"/>
          <w:lang w:bidi="ar-SA"/>
        </w:rPr>
        <w:t>جماعة من فحول متأخّرينا</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bookmarkStart w:id="303" w:name="pg16181_154606"/>
    </w:p>
    <w:p>
      <w:pPr>
        <w:pStyle w:val="BookText"/>
        <w:rPr/>
      </w:pPr>
      <w:bookmarkEnd w:id="303"/>
      <w:r>
        <w:rPr>
          <w:rFonts w:ascii="Amiri" w:hAnsi="Amiri" w:eastAsia="Amiri" w:cs="Amiri"/>
          <w:color w:val="111111"/>
          <w:sz w:val="28"/>
          <w:sz w:val="28"/>
          <w:szCs w:val="28"/>
          <w:rtl w:val="true"/>
          <w:lang w:bidi="ar-SA"/>
        </w:rPr>
        <w:t>بخلاف ما لو استأجر أرضا لترعى فيها، و ما لو دفع مالا إلى الظالم على الكلاء المباح مصانعة، و ما لو أرسلها لترعى من الكلاء المملوك له تبعا لملك الأرض من القرية الّتي ملكها فإنّها في هذه الصور ليست بمعلوفة بل سائمة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ضابط الفرق بينها و بين الصور الأولة الّتي هي فيها معلوفة خفاء و إشكال و إن وجّهه ثاني الشهيدين في المسالك بالنسبة إلى صورتي الاستيجار و ما يأخذه الظالم على الكلاء احتمالا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كأنّه بناء على أنّ الغرامة في مقابلة الأرض دون الكلاء، إذ مفهوم الاجرة لا 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استشكله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إشكال</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الضابط كون ما تأكله من الكلاء بتعليف أو اعتلاف من المباحات الّتي لم يتطرّق إليها ملك مالك بالخصوص قصدا و أصالة باستنماء أو استنبات أو زرع أو نحو ذلك و إن كانت مملوكة تبعا لملك الأرض لمالك الدابّة أو غيره، فليتدبّر في ذلك فإنّه غاية ما يذكر في المقام من ضابط الفرق و تحقّق السوم و صدق السائمة عرفا و انتفائهما</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2586623_1280447820"/>
      <w:bookmarkStart w:id="305" w:name="_Toc110"/>
      <w:bookmarkEnd w:id="304"/>
      <w:r>
        <w:rPr>
          <w:rtl w:val="true"/>
        </w:rPr>
        <w:t>الشرط الثالث الحول</w:t>
      </w:r>
      <w:r>
        <w:rPr>
          <w:rtl w:val="true"/>
        </w:rPr>
        <w:t xml:space="preserve">: </w:t>
      </w:r>
      <w:r>
        <w:rPr>
          <w:rtl w:val="true"/>
        </w:rPr>
        <w:t>فلا يجب في الأنعام زكاة قبل حلوله</w:t>
      </w:r>
      <w:bookmarkEnd w:id="305"/>
    </w:p>
    <w:p>
      <w:pPr>
        <w:pStyle w:val="Heading6"/>
        <w:numPr>
          <w:ilvl w:val="5"/>
          <w:numId w:val="1"/>
        </w:numPr>
        <w:rPr/>
      </w:pPr>
      <w:bookmarkStart w:id="306" w:name="__RefHeading___Toc2586625_1280447820"/>
      <w:bookmarkStart w:id="307" w:name="_Toc111"/>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بلا خلاف يظهر بين أصحابنا، و عن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فتوى العلماء</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أهل العلم كافّة إلاّ ما حكي عن ابن عبّاس</w:t>
      </w:r>
      <w:r>
        <w:rPr>
          <w:rStyle w:val="FootnoteAnchor"/>
          <w:rtl w:val="true"/>
        </w:rPr>
        <w:footnoteReference w:id="1302"/>
      </w:r>
      <w:r>
        <w:rPr>
          <w:rFonts w:ascii="IRNazanin" w:hAnsi="IRNazanin" w:eastAsia="IRNazanin"/>
          <w:color w:val="111111"/>
          <w:sz w:val="28"/>
          <w:sz w:val="28"/>
          <w:szCs w:val="28"/>
          <w:rtl w:val="true"/>
          <w:lang w:bidi="fa-IR"/>
        </w:rPr>
        <w:t>و ابن مسعود</w:t>
      </w:r>
      <w:r>
        <w:rPr>
          <w:rStyle w:val="FootnoteAnchor"/>
          <w:rtl w:val="true"/>
        </w:rPr>
        <w:footnoteReference w:id="1303"/>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استفاد المال زكّاه في الحال ثمّ يتكرّر بتكرّر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دالّ عليه، و خلاف المذكورين قد انقرض فلا اعتداد به</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و صرّح بالإجماع أيضا في الرياض</w:t>
      </w:r>
      <w:r>
        <w:rPr>
          <w:rStyle w:val="FootnoteAnchor"/>
          <w:rtl w:val="true"/>
        </w:rPr>
        <w:footnoteReference w:id="1305"/>
      </w:r>
      <w:r>
        <w:rPr>
          <w:rFonts w:ascii="Amiri" w:hAnsi="Amiri" w:eastAsia="Amiri" w:cs="Amiri"/>
          <w:color w:val="111111"/>
          <w:sz w:val="28"/>
          <w:sz w:val="28"/>
          <w:szCs w:val="28"/>
          <w:rtl w:val="true"/>
          <w:lang w:bidi="ar-SA"/>
        </w:rPr>
        <w:t>فهو الحجّة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استفاض به من النصوص، ففي صحيح الفضلاء عن أبي جعفر و أبي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العوامل من الإبل و البقر شيء، إنّما الصدقات على السائمة الراعية، و كلّ ما لم يحل عليه الحول عند ربّه فلا شيء عليه، فإذا حال عليه </w:t>
      </w:r>
      <w:bookmarkStart w:id="308" w:name="pg16181_154607"/>
    </w:p>
    <w:p>
      <w:pPr>
        <w:pStyle w:val="BookText"/>
        <w:rPr/>
      </w:pPr>
      <w:bookmarkEnd w:id="308"/>
      <w:r>
        <w:rPr>
          <w:rFonts w:ascii="Amiri" w:hAnsi="Amiri" w:eastAsia="Amiri" w:cs="Amiri"/>
          <w:color w:val="111111"/>
          <w:sz w:val="28"/>
          <w:sz w:val="28"/>
          <w:szCs w:val="28"/>
          <w:rtl w:val="true"/>
          <w:lang w:bidi="ar-SA"/>
        </w:rPr>
        <w:t>الحول وجب عليه</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صحيحهم أيضا عنهما عليهما السّلام في زكاة البقر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الصدقة على السائمة الراعية، و كلّ ما لم يحل عليه الحول عند ربّه فلا شيء عليه حتّى يحول عليه الحول، فإذا حال عليه وجب فيه</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صحيحهم أيضا الوارد في زكاة الغنم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يحل عليه الحول عند ربّه فلا شيء عليه، فإذا حال عليه الحول وجب عليه</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زرارة عن أبي جعفر و أبي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الإبل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هذه الأصناف الثلاثة الإبل و البقر و الغنم فليس فيها شيء حتّى يحول عليها الحول من يوم ينتج</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زرارة عن أبي جعفر عليه السّلام عن صدقات الأموال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تسعة أشياء ليس في غيرها شيء في الذهب و الفضّة و الحنطة و الشعير و التمر و الزبيب و الإبل و البقر و الغنم السائمة و هي الراعية، و ليس في شيء من الحيوان غير هذه الثلاثة الأصناف شيء، و كلّ شيء كان من هذه الثلاثة الأصناف فليس فيه شيء حتّى يحول عليه الحول منذ ينتج</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9" w:name="__RefHeading___Toc2586627_1280447820"/>
      <w:bookmarkStart w:id="310" w:name="_Toc112"/>
      <w:bookmarkEnd w:id="309"/>
      <w:r>
        <w:rPr>
          <w:rtl w:val="true"/>
        </w:rPr>
        <w:t>في استقرار الوجوب بدخول الشهر الثاني عشر و عدمه</w:t>
      </w:r>
      <w:bookmarkEnd w:id="31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صرّح الفاضلان</w:t>
      </w:r>
      <w:r>
        <w:rPr>
          <w:rStyle w:val="FootnoteAnchor"/>
          <w:rtl w:val="true"/>
        </w:rPr>
        <w:footnoteReference w:id="1311"/>
      </w:r>
      <w:r>
        <w:rPr>
          <w:rFonts w:ascii="Amiri" w:hAnsi="Amiri" w:eastAsia="Amiri" w:cs="Amiri"/>
          <w:color w:val="111111"/>
          <w:sz w:val="28"/>
          <w:sz w:val="28"/>
          <w:szCs w:val="28"/>
          <w:rtl w:val="true"/>
          <w:lang w:bidi="ar-SA"/>
        </w:rPr>
        <w:t>في كتبهما و الشهيدان في الدروس</w:t>
      </w:r>
      <w:r>
        <w:rPr>
          <w:rStyle w:val="FootnoteAnchor"/>
          <w:rtl w:val="true"/>
        </w:rPr>
        <w:footnoteReference w:id="1312"/>
      </w:r>
      <w:r>
        <w:rPr>
          <w:rFonts w:ascii="Amiri" w:hAnsi="Amiri" w:eastAsia="Amiri" w:cs="Amiri"/>
          <w:color w:val="111111"/>
          <w:sz w:val="28"/>
          <w:sz w:val="28"/>
          <w:szCs w:val="28"/>
          <w:rtl w:val="true"/>
          <w:lang w:bidi="ar-SA"/>
        </w:rPr>
        <w:t>و البيان</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و المسالك</w:t>
      </w:r>
      <w:r>
        <w:rPr>
          <w:rStyle w:val="FootnoteAnchor"/>
          <w:rtl w:val="true"/>
        </w:rPr>
        <w:footnoteReference w:id="1314"/>
      </w:r>
      <w:r>
        <w:rPr>
          <w:rFonts w:ascii="Amiri" w:hAnsi="Amiri" w:eastAsia="Amiri" w:cs="Amiri"/>
          <w:color w:val="111111"/>
          <w:sz w:val="28"/>
          <w:sz w:val="28"/>
          <w:szCs w:val="28"/>
          <w:rtl w:val="true"/>
          <w:lang w:bidi="ar-SA"/>
        </w:rPr>
        <w:t>و الروضة</w:t>
      </w:r>
      <w:r>
        <w:rPr>
          <w:rStyle w:val="FootnoteAnchor"/>
          <w:rtl w:val="true"/>
        </w:rPr>
        <w:footnoteReference w:id="1315"/>
      </w:r>
      <w:r>
        <w:rPr>
          <w:rFonts w:ascii="Amiri" w:hAnsi="Amiri" w:eastAsia="Amiri" w:cs="Amiri"/>
          <w:color w:val="111111"/>
          <w:sz w:val="28"/>
          <w:sz w:val="28"/>
          <w:szCs w:val="28"/>
          <w:rtl w:val="true"/>
          <w:lang w:bidi="ar-SA"/>
        </w:rPr>
        <w:t>و المحقّقان في حاشية الشرائع</w:t>
      </w:r>
      <w:r>
        <w:rPr>
          <w:rStyle w:val="FootnoteAnchor"/>
          <w:rtl w:val="true"/>
        </w:rPr>
        <w:footnoteReference w:id="1316"/>
      </w:r>
      <w:r>
        <w:rPr>
          <w:rFonts w:ascii="Amiri" w:hAnsi="Amiri" w:eastAsia="Amiri" w:cs="Amiri"/>
          <w:color w:val="111111"/>
          <w:sz w:val="28"/>
          <w:sz w:val="28"/>
          <w:szCs w:val="28"/>
          <w:rtl w:val="true"/>
          <w:lang w:bidi="ar-SA"/>
        </w:rPr>
        <w:t>و مجمع الفائدة</w:t>
      </w:r>
      <w:r>
        <w:rPr>
          <w:rStyle w:val="FootnoteAnchor"/>
          <w:rtl w:val="true"/>
        </w:rPr>
        <w:footnoteReference w:id="1317"/>
      </w:r>
      <w:r>
        <w:rPr>
          <w:rFonts w:ascii="Amiri" w:hAnsi="Amiri" w:eastAsia="Amiri" w:cs="Amiri"/>
          <w:color w:val="111111"/>
          <w:sz w:val="28"/>
          <w:sz w:val="28"/>
          <w:szCs w:val="28"/>
          <w:rtl w:val="true"/>
          <w:lang w:bidi="ar-SA"/>
        </w:rPr>
        <w:t>و السيّدان في المدارك و الرياض</w:t>
      </w:r>
      <w:r>
        <w:rPr>
          <w:rStyle w:val="FootnoteAnchor"/>
          <w:rtl w:val="true"/>
        </w:rPr>
        <w:footnoteReference w:id="1318"/>
      </w:r>
      <w:r>
        <w:rPr>
          <w:rFonts w:ascii="Amiri" w:hAnsi="Amiri" w:eastAsia="Amiri" w:cs="Amiri"/>
          <w:color w:val="111111"/>
          <w:sz w:val="28"/>
          <w:sz w:val="28"/>
          <w:szCs w:val="28"/>
          <w:rtl w:val="true"/>
          <w:lang w:bidi="ar-SA"/>
        </w:rPr>
        <w:t>و السبزواري في الكفاية و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حدّ الحول أحد عشر شهرا كاملا و إذا دخل الثاني عشر و أهلّ هلاله فعند ذلك حال الحول و وجبت الزكاة و لو لم يكمل أيّامه</w:t>
      </w:r>
      <w:r>
        <w:rPr>
          <w:rStyle w:val="FootnoteAnchor"/>
          <w:rtl w:val="true"/>
        </w:rPr>
        <w:footnoteReference w:id="1319"/>
      </w:r>
      <w:r>
        <w:rPr>
          <w:rFonts w:ascii="Amiri" w:hAnsi="Amiri" w:eastAsia="Amiri" w:cs="Amiri"/>
          <w:color w:val="111111"/>
          <w:sz w:val="28"/>
          <w:sz w:val="28"/>
          <w:szCs w:val="28"/>
          <w:rtl w:val="true"/>
          <w:lang w:bidi="ar-SA"/>
        </w:rPr>
        <w:t>و عن موضعين من الذخيرة نفي الخلاف في ذلك بين الأصحاب</w:t>
      </w:r>
      <w:r>
        <w:rPr>
          <w:rStyle w:val="FootnoteAnchor"/>
          <w:rtl w:val="true"/>
        </w:rPr>
        <w:footnoteReference w:id="1320"/>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و نحوه عن التذكرة</w:t>
      </w:r>
      <w:r>
        <w:rPr>
          <w:rStyle w:val="FootnoteAnchor"/>
          <w:rtl w:val="true"/>
        </w:rPr>
        <w:footnoteReference w:id="1322"/>
      </w:r>
      <w:r>
        <w:rPr>
          <w:rFonts w:ascii="IRNazanin" w:hAnsi="IRNazanin" w:eastAsia="IRNazanin"/>
          <w:color w:val="111111"/>
          <w:sz w:val="28"/>
          <w:sz w:val="28"/>
          <w:szCs w:val="28"/>
          <w:rtl w:val="true"/>
          <w:lang w:bidi="fa-IR"/>
        </w:rPr>
        <w:t>و عن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مذهب علمائنا أجمع</w:t>
      </w:r>
      <w:r>
        <w:rPr>
          <w:rFonts w:eastAsia="IRNazanin" w:cs="IRNazanin"/>
          <w:color w:val="111111"/>
          <w:sz w:val="28"/>
          <w:szCs w:val="28"/>
          <w:rtl w:val="true"/>
          <w:lang w:bidi="fa-IR"/>
        </w:rPr>
        <w:t>»</w:t>
      </w:r>
      <w:r>
        <w:rPr>
          <w:rStyle w:val="FootnoteAnchor"/>
          <w:rtl w:val="true"/>
        </w:rPr>
        <w:footnoteReference w:id="1323"/>
      </w: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علمائنا أجمع</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الحول لغة اثنى عشر شهرا، و لكن أجمع أصحابنا على تعلّق الوجوب بدخول الثاني عشر، و قد أطلقوا على الأحد عشر اسم الحول أيضا لذلك</w:t>
      </w:r>
      <w:r>
        <w:rPr>
          <w:rFonts w:eastAsia="Amiri" w:cs="Amiri" w:ascii="Amiri" w:hAnsi="Amiri"/>
          <w:color w:val="111111"/>
          <w:sz w:val="28"/>
          <w:szCs w:val="28"/>
          <w:rtl w:val="true"/>
          <w:lang w:bidi="ar-SA"/>
        </w:rPr>
        <w:t>»</w:t>
      </w:r>
      <w:r>
        <w:rPr>
          <w:rStyle w:val="FootnoteAnchor"/>
          <w:rtl w:val="true"/>
        </w:rPr>
        <w:footnoteReference w:id="13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استدلّوا على ذلك من طريق النصّ بما رواه الكليني عن عليّ بن إبراهيم عن أبيه عن حمّاد بن عيسى عن حريز بن عبد اللّه عن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مائتا درهم فوهبها لبعض إخوانه أو ولده أو أهله فرارا من الزكاة، فعل ذلك قبل حلّها بشهر،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الشهر الثاني عشر فقد حال عليها الحول و وجبت عليه فيها الزكاة</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لكنّهم اختلفوا في انقطاع الحول الأوّل الّذي هو شرط للوجوب بدخول الشهر الثاني عشر فيحتسب ذلك الشهر من الحول المستقبل، و عدم انقطاعه به فيحتسب من الحول الأوّل و يكون جزءا منه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 الأوّل، و ثانيهما للشهيدين في الدروس</w:t>
      </w:r>
      <w:r>
        <w:rPr>
          <w:rStyle w:val="FootnoteAnchor"/>
          <w:rtl w:val="true"/>
        </w:rPr>
        <w:footnoteReference w:id="1328"/>
      </w:r>
      <w:r>
        <w:rPr>
          <w:rFonts w:ascii="Amiri" w:hAnsi="Amiri" w:eastAsia="Amiri" w:cs="Amiri"/>
          <w:color w:val="111111"/>
          <w:sz w:val="28"/>
          <w:sz w:val="28"/>
          <w:szCs w:val="28"/>
          <w:rtl w:val="true"/>
          <w:lang w:bidi="ar-SA"/>
        </w:rPr>
        <w:t>و البيان</w:t>
      </w:r>
      <w:r>
        <w:rPr>
          <w:rStyle w:val="FootnoteAnchor"/>
          <w:rtl w:val="true"/>
        </w:rPr>
        <w:footnoteReference w:id="1329"/>
      </w:r>
      <w:r>
        <w:rPr>
          <w:rFonts w:ascii="Amiri" w:hAnsi="Amiri" w:eastAsia="Amiri" w:cs="Amiri"/>
          <w:color w:val="111111"/>
          <w:sz w:val="28"/>
          <w:sz w:val="28"/>
          <w:szCs w:val="28"/>
          <w:rtl w:val="true"/>
          <w:lang w:bidi="ar-SA"/>
        </w:rPr>
        <w:t>و المسالك</w:t>
      </w:r>
      <w:r>
        <w:rPr>
          <w:rStyle w:val="FootnoteAnchor"/>
          <w:rtl w:val="true"/>
        </w:rPr>
        <w:footnoteReference w:id="1330"/>
      </w:r>
      <w:r>
        <w:rPr>
          <w:rFonts w:ascii="Amiri" w:hAnsi="Amiri" w:eastAsia="Amiri" w:cs="Amiri"/>
          <w:color w:val="111111"/>
          <w:sz w:val="28"/>
          <w:sz w:val="28"/>
          <w:szCs w:val="28"/>
          <w:rtl w:val="true"/>
          <w:lang w:bidi="ar-SA"/>
        </w:rPr>
        <w:t>و الروضة</w:t>
      </w:r>
      <w:r>
        <w:rPr>
          <w:rStyle w:val="FootnoteAnchor"/>
          <w:rtl w:val="true"/>
        </w:rPr>
        <w:footnoteReference w:id="1331"/>
      </w:r>
      <w:r>
        <w:rPr>
          <w:rFonts w:ascii="Amiri" w:hAnsi="Amiri" w:eastAsia="Amiri" w:cs="Amiri"/>
          <w:color w:val="111111"/>
          <w:sz w:val="28"/>
          <w:sz w:val="28"/>
          <w:szCs w:val="28"/>
          <w:rtl w:val="true"/>
          <w:lang w:bidi="ar-SA"/>
        </w:rPr>
        <w:t>و حاشية</w:t>
      </w:r>
      <w:r>
        <w:rPr>
          <w:rStyle w:val="FootnoteAnchor"/>
          <w:rtl w:val="true"/>
        </w:rPr>
        <w:footnoteReference w:id="1332"/>
      </w:r>
      <w:r>
        <w:rPr>
          <w:rFonts w:ascii="IRNazanin" w:hAnsi="IRNazanin" w:eastAsia="IRNazanin"/>
          <w:color w:val="111111"/>
          <w:sz w:val="28"/>
          <w:sz w:val="28"/>
          <w:szCs w:val="28"/>
          <w:rtl w:val="true"/>
          <w:lang w:bidi="fa-IR"/>
        </w:rPr>
        <w:t xml:space="preserve">القواعد و المحقّق </w:t>
      </w:r>
    </w:p>
    <w:p>
      <w:pPr>
        <w:pStyle w:val="BookText"/>
        <w:rPr/>
      </w:pPr>
      <w:r>
        <w:rPr>
          <w:rFonts w:ascii="Amiri" w:hAnsi="Amiri" w:eastAsia="Amiri" w:cs="Amiri"/>
          <w:color w:val="111111"/>
          <w:sz w:val="28"/>
          <w:sz w:val="28"/>
          <w:szCs w:val="28"/>
          <w:rtl w:val="true"/>
          <w:lang w:bidi="ar-SA"/>
        </w:rPr>
        <w:t>الثاني في حاشية الشرائع</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يتفرّع عليهما استقرار الوجوب و تزلزله، فعلى الأوّل كان الوجوب الحاصل بدخول الثاني عشر وجوبا مستقرّا لا يتوقّف استقراره على تمام أيّام ذلك الشهر، و على الثاني كان الثابت به وجوبا متزلزلا مراعى استقراره ببقاء الشروط الاخر إلى كمال أيّام ذلك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المقام إلاّ نزاعا واحدا يمكن تقريره بصورة النزاع الموضوعي و هو ما قرّرناه ليتفرّع على قوليه كلا تقديري الحكم من استقرار الوجوب و تزلزله، و بصورة النزاع الحكمي، كما صنعه السيّد في الرياض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يستقرّ الوجوب بذلك حتّى أنّه لو دفع الزكاة بعد دخوله ثمّ اختلّ أحد الشروط فيه لم يرجع، أم يتوقّف على تمامه‌؟ وجهان</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ما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شكّ في حصول أصل الوجوب بتمام الحادي عشر، و لكن هل يستقرّ الوجوب به أم يتوقّف على تمام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عند اختيار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فيكون الثاني عشر جزءا من الأوّل و استقرار الوجوب مشروط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الأحد عشر حولا لمطلق الوجوب و الاثنى عشر حولا للوجوب المستقرّ</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عن سيّد المناهل أنّه جعلهما مسألتين و ذكرهما بعنوانين و نقل الاختلاف في كليهما، ثمّ نسب في ثانيهما القول باستقرار الوجوب إلى كلّ من قال باحتساب الثاني عشر من الحول الثاني، و القول بعدم استقراره إلاّ بتمام الثاني عشر إلى كلّ من قال بأنّه من الحول الأوّل</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فالأقوى في المسألتين هو استقرار الوجوب المستلزم لكون الثاني عشر من الحول الثاني، لنا ظهور الوجوب في النصّ و الفتاوى و معاقد الإجماعات في الوجوب المستقرّ، و في كلام جماعة</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للإيضاح</w:t>
      </w:r>
      <w:r>
        <w:rPr>
          <w:rStyle w:val="FootnoteAnchor"/>
          <w:rtl w:val="true"/>
        </w:rPr>
        <w:footnoteReference w:id="1338"/>
      </w:r>
      <w:r>
        <w:rPr>
          <w:rFonts w:ascii="Amiri" w:hAnsi="Amiri" w:eastAsia="Amiri" w:cs="Amiri"/>
          <w:color w:val="111111"/>
          <w:sz w:val="28"/>
          <w:sz w:val="28"/>
          <w:szCs w:val="28"/>
          <w:rtl w:val="true"/>
          <w:lang w:bidi="ar-SA"/>
        </w:rPr>
        <w:t xml:space="preserve">لفخر المحقّقين ولد العلاّمة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تقرير الاستدلال بما في النصّ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الثاني عشر فقد حال عليه الحول و وجبت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الفاء يقتضي التعقيب بلا مهلة فبأوّل جزء منه يصدق عليه أنّه حال عليه الحول،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لا يصدق إلاّ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الوجوب المتزلزل ممّا ليس له معنى محصّل إلاّ الحكم بالوجوب من حين دخول الثاني عشر المصادف في الواقع للوجوب المستقرّ تارة و لانتفاء الوجوب رأسا اخرى، لأنّ الوجوب المشروط بالاشتراط الحقيقي من العالم بالعواقب على ما حقّق في الاصول غير معقول، و مع بقاء الشروط إلى أن يكمل أيّام الثاني عشر ينكشف الوجوب المستقرّ من حين دخوله، و مع اختلال بعضها فيما بين دخوله و استكمال أيّامه ينكشف انتفاء الوجوب رأسا فلا يبقى إلاّ الحكم بالوجوب الّذي قد يصادف الوجوب الواقعي و قد يصادف انتفاءه و تسميته وجوبا متزلزلا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المحصّل على المختار أنّ الشرط الثالث هو مضيّ أحد عشر شهرا كاملا يعلم كمالها بدخول الثاني عشر، غاية ما في الباب أنّه اطلق في النصّ و الفتوى على الأحد عشر شهرا كاملا اسم الحول مجازا لقربه من المعنى الحقيقي، لوضوح أنّ أحد عشر شهرا خلاف معناه اللغوي، و قد اطلق عليه اللفظ بدليل الإجماع و النصّ‌، و كونه على الحقيقة مبنيّ على النقل بتجدّد الوضع الشرعي أو المتشرّعي الّذي يندفع بالأصل، و الإطلاق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عبارة الإيضاح من الالتزام بكونه في أحد عشر شهرا من الحقائق الشرعيّة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ثبت تسمية الأحد عشر شهر حولا شرعا قدّم على المعنى اللغوي لما تقرّر من أنّ الحقيقة الشرعيّة مقدّمة على اللغويّة</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المنع أنّ المتبادر من الحول في عرف المتشرّعة خلاف هذا المعنى، و هذا غير متبادر منه بل يصحّ سلب الاسم عنه عندهم، و هو ميزان عرف زمان الشارع فيكشف عن عدم تبادره من اللفظ في عرف زمان الشارع و صحّة سلب الاسم عنه ثمّة، و هذا ينافي الحقيقيّة</w:t>
      </w:r>
      <w:r>
        <w:rPr>
          <w:rFonts w:eastAsia="Amiri" w:cs="Amiri" w:ascii="Amiri" w:hAnsi="Amiri"/>
          <w:color w:val="111111"/>
          <w:sz w:val="28"/>
          <w:szCs w:val="28"/>
          <w:rtl w:val="true"/>
          <w:lang w:bidi="ar-SA"/>
        </w:rPr>
        <w:t xml:space="preserve">. </w:t>
      </w:r>
      <w:bookmarkStart w:id="311" w:name="pg16181_154611"/>
    </w:p>
    <w:p>
      <w:pPr>
        <w:pStyle w:val="BookText"/>
        <w:rPr/>
      </w:pPr>
      <w:bookmarkEnd w:id="311"/>
      <w:r>
        <w:rPr>
          <w:rFonts w:ascii="Amiri" w:hAnsi="Amiri" w:eastAsia="Amiri" w:cs="Amiri"/>
          <w:color w:val="111111"/>
          <w:sz w:val="28"/>
          <w:sz w:val="28"/>
          <w:szCs w:val="28"/>
          <w:rtl w:val="true"/>
          <w:lang w:bidi="ar-SA"/>
        </w:rPr>
        <w:t>و من فروع المسألة وجوب إخراج الزكاة بمجرّد دخول الثاني عشر و دفعها إلى المستحقّ على المختار دونه على القول الآخر، و عدم جواز الرجوع بها بعد دفعها إليه إذا اختلّ بعض الشروط فيما بينه و بين تمام الشهر على المختار و جواز الرجوع بها على القول الآخر، و ضمانها بالتلف فيما لو أخّر إخراجها عن دخول الثاني عشر إلى أن اختلّ بعض الشروط بعد التلف و قبل تمام الشهر على المختار لتفريطه دونه على القول الآخر، و سقوط وجوبها باختلاف بعض شروطها فيما بين دخول الشهر و استكمال أيّامه على القول الآخر و عدم سقوطه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هذه الفروع نظر، يظهر وجهه بالتأمّل فيما بيّنّاه من منع معنى محصّل للوجوب المتزلزل</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2586629_1280447820"/>
      <w:bookmarkStart w:id="313" w:name="_Toc113"/>
      <w:bookmarkEnd w:id="312"/>
      <w:r>
        <w:rPr>
          <w:rtl w:val="true"/>
        </w:rPr>
        <w:t>الشرط الرابع</w:t>
      </w:r>
      <w:r>
        <w:rPr>
          <w:rtl w:val="true"/>
        </w:rPr>
        <w:t xml:space="preserve">: </w:t>
      </w:r>
      <w:r>
        <w:rPr>
          <w:rtl w:val="true"/>
        </w:rPr>
        <w:t>في زكاة خصوص الإبل و البقر أن لا تكون عوامل،</w:t>
      </w:r>
      <w:bookmarkEnd w:id="313"/>
    </w:p>
    <w:p>
      <w:pPr>
        <w:pStyle w:val="BookText"/>
        <w:rPr/>
      </w:pPr>
      <w:r>
        <w:rPr>
          <w:rFonts w:ascii="Amiri" w:hAnsi="Amiri" w:eastAsia="Amiri" w:cs="Amiri"/>
          <w:color w:val="111111"/>
          <w:sz w:val="28"/>
          <w:sz w:val="28"/>
          <w:szCs w:val="28"/>
          <w:rtl w:val="true"/>
          <w:lang w:bidi="ar-SA"/>
        </w:rPr>
        <w:t xml:space="preserve">فلو كانت عوامل فكما لو كانت معلوفة في عدم وجوب الزكاة، و في المناهل التعبير عن المسألة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وجوب الزكاة في الأنعام الثلاثة أن لا تكون عوامل</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و ما ذكرناه أسدّ إذ لا يعقل العوامل في الغنم، و هو المستفاد من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أنّ اشتراط هذا الشرط في وجوب الزكاة ممّا لا خلاف فيه بين الأصحاب، كما نبّه عليه في الذخيرة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لا خلاف فيه بين الأصحاب، بل لم يخالف فيه إلاّ شاذّ من العامّة</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العلماء كافّة إلاّ من شذّ من العامّة</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 المتكاثرة ففي صحيح الفضلاء الخمسة عن أبي جعفر و أبي عبد اللّه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العوامل من الإبل و البقر شيء</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صحيحهم أيضا في زكاة الإبل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العوامل شيء</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و في آخر في زكاة البقر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النيّف شيء، و على الكسور شيء، و لا على العوامل شيء</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الفرس و البعير يكون للرجل يركبها شيء؟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على ما يعلف شيء إنّما الصدقة على السائمة المرسلة في مرجها، عامها الّذي يقتنيها فيه الرجل، فأمّا ما سوى ذلك فليس فيه شيء</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لزرارة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شيء من الحيوان زكاة غير هذه الأصناف الثلاثة الإبل و البقر و الغنم و كلّ شيء من هذه الأصناف من الدواجن و العوامل فليس فيها شيء</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يقاوم لمعارضتها 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الإبل تكون للجمّال أو تكون في بعض الأمصار أ تجري عليها الزكاة كما تجري على السائمة في البرّيّة‌؟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و موثّقته الاخرى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الإبل العوامل عليها 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عليها زكاة من جهات شتّى</w:t>
      </w:r>
      <w:r>
        <w:rPr>
          <w:rFonts w:eastAsia="Amiri" w:cs="Amiri" w:ascii="Amiri" w:hAnsi="Amiri"/>
          <w:color w:val="111111"/>
          <w:sz w:val="28"/>
          <w:szCs w:val="28"/>
          <w:rtl w:val="true"/>
          <w:lang w:bidi="ar-SA"/>
        </w:rPr>
        <w:t>»</w:t>
      </w:r>
      <w:r>
        <w:rPr>
          <w:rStyle w:val="FootnoteAnchor"/>
          <w:rtl w:val="true"/>
        </w:rPr>
        <w:footnoteReference w:id="1349"/>
      </w:r>
      <w:r>
        <w:rPr>
          <w:rFonts w:ascii="Amiri" w:hAnsi="Amiri" w:eastAsia="Amiri" w:cs="Amiri"/>
          <w:color w:val="111111"/>
          <w:sz w:val="28"/>
          <w:sz w:val="28"/>
          <w:szCs w:val="28"/>
          <w:rtl w:val="true"/>
          <w:lang w:bidi="ar-SA"/>
        </w:rPr>
        <w:t>مع احتمالهما التقيّة أو حملها</w:t>
      </w:r>
      <w:r>
        <w:rPr>
          <w:rStyle w:val="FootnoteAnchor"/>
          <w:rtl w:val="true"/>
        </w:rPr>
        <w:footnoteReference w:id="1350"/>
      </w:r>
      <w:r>
        <w:rPr>
          <w:rFonts w:ascii="Amiri" w:hAnsi="Amiri" w:eastAsia="Amiri" w:cs="Amiri"/>
          <w:color w:val="111111"/>
          <w:sz w:val="28"/>
          <w:sz w:val="28"/>
          <w:szCs w:val="28"/>
          <w:rtl w:val="true"/>
          <w:lang w:bidi="ar-SA"/>
        </w:rPr>
        <w:t>على الاستحباب كما احتمله غير واحد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المعتبر في هذا الشرط العدمي كالسوم استمراره طول الحول و لا يكفي فيه </w:t>
      </w:r>
      <w:bookmarkStart w:id="314" w:name="pg16181_154613"/>
    </w:p>
    <w:p>
      <w:pPr>
        <w:pStyle w:val="BookText"/>
        <w:rPr/>
      </w:pPr>
      <w:bookmarkEnd w:id="314"/>
      <w:r>
        <w:rPr>
          <w:rFonts w:ascii="Amiri" w:hAnsi="Amiri" w:eastAsia="Amiri" w:cs="Amiri"/>
          <w:color w:val="111111"/>
          <w:sz w:val="28"/>
          <w:sz w:val="28"/>
          <w:szCs w:val="28"/>
          <w:rtl w:val="true"/>
          <w:lang w:bidi="ar-SA"/>
        </w:rPr>
        <w:t>تحقّقه في الأغلب، و انتفاؤه في أثناء الحول و لو بيوم واحد قادح، و الظاهر أنّ الخلاف المتقدّم في السوم في كفاية الأغلبيّة و عدم قدح عدم العمل بيوم في الأثناء جار هنا كما نصّ عليه صاحب الذخيرة</w:t>
      </w:r>
      <w:r>
        <w:rPr>
          <w:rStyle w:val="FootnoteAnchor"/>
          <w:rtl w:val="true"/>
        </w:rPr>
        <w:footnoteReference w:id="1351"/>
      </w:r>
      <w:r>
        <w:rPr>
          <w:rFonts w:ascii="Amiri" w:hAnsi="Amiri" w:eastAsia="Amiri" w:cs="Amiri"/>
          <w:color w:val="111111"/>
          <w:sz w:val="28"/>
          <w:sz w:val="28"/>
          <w:szCs w:val="28"/>
          <w:rtl w:val="true"/>
          <w:lang w:bidi="ar-SA"/>
        </w:rPr>
        <w:t>و عنه في الكفاية أيضا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الخلاف الّذي مرّ باعتبار السوم و عدمه جار هاهنا</w:t>
      </w:r>
      <w:r>
        <w:rPr>
          <w:rFonts w:eastAsia="Amiri" w:cs="Amiri" w:ascii="Amiri" w:hAnsi="Amiri"/>
          <w:color w:val="111111"/>
          <w:sz w:val="28"/>
          <w:szCs w:val="28"/>
          <w:rtl w:val="true"/>
          <w:lang w:bidi="ar-SA"/>
        </w:rPr>
        <w:t>»</w:t>
      </w:r>
      <w:r>
        <w:rPr>
          <w:rStyle w:val="FootnoteAnchor"/>
          <w:rtl w:val="true"/>
        </w:rPr>
        <w:footnoteReference w:id="1352"/>
      </w:r>
      <w:r>
        <w:rPr>
          <w:rFonts w:ascii="Amiri" w:hAnsi="Amiri" w:eastAsia="Amiri" w:cs="Amiri"/>
          <w:color w:val="111111"/>
          <w:sz w:val="28"/>
          <w:sz w:val="28"/>
          <w:szCs w:val="28"/>
          <w:rtl w:val="true"/>
          <w:lang w:bidi="ar-SA"/>
        </w:rPr>
        <w:t>و عن الشهيد في البيان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الكلام في المرجع في كونها عوامل إلى العرف كالسوم</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و عن المختلف التصريح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عبرة باليسير في الزمان الكثير</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و عن التحرير التصريح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يؤثّر اليوم في السنة و الشهر</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و الشيخ</w:t>
      </w:r>
      <w:r>
        <w:rPr>
          <w:rStyle w:val="FootnoteAnchor"/>
          <w:rtl w:val="true"/>
        </w:rPr>
        <w:footnoteReference w:id="1356"/>
      </w:r>
      <w:r>
        <w:rPr>
          <w:rFonts w:ascii="Amiri" w:hAnsi="Amiri" w:eastAsia="Amiri" w:cs="Amiri"/>
          <w:color w:val="111111"/>
          <w:sz w:val="28"/>
          <w:sz w:val="28"/>
          <w:szCs w:val="28"/>
          <w:rtl w:val="true"/>
          <w:lang w:bidi="ar-SA"/>
        </w:rPr>
        <w:t>يعتبر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ما عرفت شرائط وجوب الزكاة في الأنعام فاعلم أنّ هاهنا مسائل مهمّة ينبغي التعرّض لها في طيّ مراحل</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2586631_1280447820"/>
      <w:bookmarkStart w:id="316" w:name="_Toc114"/>
      <w:bookmarkEnd w:id="315"/>
      <w:r>
        <w:rPr>
          <w:rtl w:val="true"/>
        </w:rPr>
        <w:t>[</w:t>
      </w:r>
      <w:r>
        <w:rPr>
          <w:rtl w:val="true"/>
        </w:rPr>
        <w:t>مسائل</w:t>
      </w:r>
      <w:r>
        <w:rPr>
          <w:rtl w:val="true"/>
        </w:rPr>
        <w:t>]</w:t>
      </w:r>
      <w:bookmarkEnd w:id="316"/>
    </w:p>
    <w:p>
      <w:pPr>
        <w:pStyle w:val="Heading6"/>
        <w:numPr>
          <w:ilvl w:val="5"/>
          <w:numId w:val="1"/>
        </w:numPr>
        <w:rPr/>
      </w:pPr>
      <w:bookmarkStart w:id="317" w:name="__RefHeading___Toc2586633_1280447820"/>
      <w:bookmarkStart w:id="318" w:name="_Toc115"/>
      <w:bookmarkEnd w:id="317"/>
      <w:r>
        <w:rPr>
          <w:rtl w:val="true"/>
        </w:rPr>
        <w:t>المرحلة الاولى</w:t>
      </w:r>
      <w:r>
        <w:rPr>
          <w:rtl w:val="true"/>
        </w:rPr>
        <w:t xml:space="preserve">: </w:t>
      </w:r>
      <w:r>
        <w:rPr>
          <w:rtl w:val="true"/>
        </w:rPr>
        <w:t>إذا اختلّ بعض الشرائط في أثناء الحول</w:t>
      </w:r>
      <w:bookmarkEnd w:id="318"/>
    </w:p>
    <w:p>
      <w:pPr>
        <w:pStyle w:val="BookText"/>
        <w:rPr/>
      </w:pPr>
      <w:r>
        <w:rPr>
          <w:rFonts w:ascii="Amiri" w:hAnsi="Amiri" w:eastAsia="Amiri" w:cs="Amiri"/>
          <w:color w:val="111111"/>
          <w:sz w:val="28"/>
          <w:sz w:val="28"/>
          <w:szCs w:val="28"/>
          <w:rtl w:val="true"/>
          <w:lang w:bidi="ar-SA"/>
        </w:rPr>
        <w:t>كما لو نقصت النصاب قبل حوله، انقطع و سقطت به الزكاة قولا واحدا بلا إشكال و 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أبدل النصاب و عاوضه أو بعضه ببيع أو صلح أو هبة معوّضة بجنسه كأربعين شاة بأربعين شاة اخرى و لو اختلفا صنفا كالضأن و المعز أو وصفا كالذكورة و الانوثة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الجميع من جنس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 جنسه كأربعين شاة بثلاثين بقرا أو بخمسة إبل مثلا قصد به الفرار من الزكاة أو لا، ففي انقطاع الحول و سقوط الزكاة به و عدمه خلاف بين الأصحاب على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أشهرها بل المشهور منها الانقطاع و السقوط مطلقا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بالعدم فيما لو عاوضه بجنسه كما عن الشيخ في المبسوط</w:t>
      </w:r>
      <w:r>
        <w:rPr>
          <w:rStyle w:val="FootnoteAnchor"/>
          <w:rtl w:val="true"/>
        </w:rPr>
        <w:footnoteReference w:id="1357"/>
      </w:r>
      <w:r>
        <w:rPr>
          <w:rFonts w:ascii="Amiri" w:hAnsi="Amiri" w:eastAsia="Amiri" w:cs="Amiri"/>
          <w:color w:val="111111"/>
          <w:sz w:val="28"/>
          <w:sz w:val="28"/>
          <w:szCs w:val="28"/>
          <w:rtl w:val="true"/>
          <w:lang w:bidi="ar-SA"/>
        </w:rPr>
        <w:t xml:space="preserve">و ربما نسب إليه </w:t>
      </w:r>
    </w:p>
    <w:p>
      <w:pPr>
        <w:pStyle w:val="BookText"/>
        <w:rPr/>
      </w:pPr>
      <w:r>
        <w:rPr>
          <w:rFonts w:ascii="Amiri" w:hAnsi="Amiri" w:eastAsia="Amiri" w:cs="Amiri"/>
          <w:color w:val="111111"/>
          <w:sz w:val="28"/>
          <w:sz w:val="28"/>
          <w:szCs w:val="28"/>
          <w:rtl w:val="true"/>
          <w:lang w:bidi="ar-SA"/>
        </w:rPr>
        <w:t>في الخلاف</w:t>
      </w:r>
      <w:r>
        <w:rPr>
          <w:rStyle w:val="FootnoteAnchor"/>
          <w:rtl w:val="true"/>
        </w:rPr>
        <w:footnoteReference w:id="135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بالعدم فيما لو قصد به الفرار من الزكاة كما عن السيّد في الانتصار</w:t>
      </w:r>
      <w:r>
        <w:rPr>
          <w:rStyle w:val="FootnoteAnchor"/>
          <w:rtl w:val="true"/>
        </w:rPr>
        <w:footnoteReference w:id="1359"/>
      </w:r>
      <w:r>
        <w:rPr>
          <w:rFonts w:ascii="Amiri" w:hAnsi="Amiri" w:eastAsia="Amiri" w:cs="Amiri"/>
          <w:color w:val="111111"/>
          <w:sz w:val="28"/>
          <w:sz w:val="28"/>
          <w:szCs w:val="28"/>
          <w:rtl w:val="true"/>
          <w:lang w:bidi="ar-SA"/>
        </w:rPr>
        <w:t>و الشيخ في الجمل</w:t>
      </w:r>
      <w:r>
        <w:rPr>
          <w:rStyle w:val="FootnoteAnchor"/>
          <w:rtl w:val="true"/>
        </w:rPr>
        <w:footnoteReference w:id="1360"/>
      </w:r>
      <w:r>
        <w:rPr>
          <w:rFonts w:ascii="Amiri" w:hAnsi="Amiri" w:eastAsia="Amiri" w:cs="Amiri"/>
          <w:color w:val="111111"/>
          <w:sz w:val="28"/>
          <w:sz w:val="28"/>
          <w:szCs w:val="28"/>
          <w:rtl w:val="true"/>
          <w:lang w:bidi="ar-SA"/>
        </w:rPr>
        <w:t>و في الذخيرة</w:t>
      </w:r>
      <w:r>
        <w:rPr>
          <w:rStyle w:val="FootnoteAnchor"/>
          <w:rtl w:val="true"/>
        </w:rPr>
        <w:footnoteReference w:id="1361"/>
      </w:r>
      <w:r>
        <w:rPr>
          <w:rFonts w:ascii="Amiri" w:hAnsi="Amiri" w:eastAsia="Amiri" w:cs="Amiri"/>
          <w:color w:val="111111"/>
          <w:sz w:val="28"/>
          <w:sz w:val="28"/>
          <w:szCs w:val="28"/>
          <w:rtl w:val="true"/>
          <w:lang w:bidi="ar-SA"/>
        </w:rPr>
        <w:t>نسبه إليه في المبسوط</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المعتمد هو القول الأوّل، لنا عليه بعد الأصل عموما ما تكرّر في عدّة روايات معتبرة متقدّمة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يحل عليه الحول عند ربّه فليس عليه شيء ما</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الصحيح عن عليّ بن يقطين عن أبي 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يجتمع عندي الشيء فيبقى نحو من سنة أ نزكّيه‌؟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ما لا يحول عليه الحول عندك فليس عليك فيه زكاة، و كلّ ما لم يكن ركازا فليس عليك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الركاز؟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المنقوش،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فاسبكه فإنّه ليس في سبائك الذهب و نقار الفضّة شيء من الزكاة</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و لا يصدق على شيء من العوضين أنّه حال عليه الحول عند ربّه بل يصدق على كلّ منهما خلافه، و مورد الرواية ظاهرا و إن كان الذهب و الفضّة إلاّ أنّ الاعتبار بعموم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خصوصا روايات معتبرة كصحيح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كان له مال و حال عليه الحول فإنّه يزكّيه،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وهبه قبل حلّه بشهر أو بيوم،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أبدا، قال و قال زرارة عنه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بمنزلة رجل أفطر في شهر رمضان يوما في إقامته، ثمّ خرج في آخر النهار في سفر فأراد بسفره ذلك إبطال الكفّارة الّتي وجبت عليه،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رأى الهلال الثاني عشر وجبت عليه الزكاة و لكنّه لو كان وهبها قبل ذلك لجاز و لم يكن عليه شيء، بمنزلة من خرج ثمّ أفطر إنّما لا يمنع ما حال عليه، فأمّا ما لم يحل عليه فله منعه، و لا يحلّ له منع مال غيره فيما قد حلّ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مائتا درهم فوهبها لبعض إخوانه أو ولده و أهله فرارا بها من الزكاة، فعل ذلك قبل حلّها بشهر،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دخل الثاني عشر فقد حال عليها الحول و وجبت عليه فيها الزكاة،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أحدث فيها قبل الحول‌؟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ذلك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 بها من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 على نفسه أعظم ممّا منع من زكاتها،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يقدر عليها، قال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علمه أنّه يقدر عليها و قد خرجت من ملكه‌؟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دفعها إليه على شرط،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سمّاها هبة جازت الهبة و سقط الشرط و ضمن الزكاة،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يسقط الشرط و يمضي الهبة و يضمن الزكاة‌؟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فاسد و الهبة مضمونة ماضية و الزكاة له لازمة عقوبة،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له إذا اشترى بها دارا أو أرضا أو متاعا،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بها من الزكاة فعليه أن يؤدّيها،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أبي، عليه أن يؤدّي ما وجب عليه، و ما لم يجب عليه فلا شيء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رجلا اغمي عليه يوما ثمّ مات فذهب صلاته، أ كان عليه و قد مات أن يؤدّيها؟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أفاق من يومه،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مرض في شهر رمضان ثمّ مات فيه أ كان يصام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الرجل لا يؤدّي عن ماله إلاّ ما حال عليه الحول</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 اللّه عليه السّلام عن الرجل فرّ بماله عن الزكاة فاشترى به أرضا أو دارا أ عليه فيه شيء؟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جعله حليّا أو نقرا فلا شيء عليه، و ما منع نفسه من فضله فهو أكثر ممّا منع من حق اللّه الّذي يكون فيه</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هارون بن خارجة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يوسف ولي لهؤلاء أعمالا فأصاب فيها أموالا كثيرة و أنّه جعل ذلك المال حليّا أراد أن يفرّ به من الزكاة، أ عليه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الحليّ زكاة، و ما أدخل عليه نفسه من النقصان في وضعه و منعه نفسه فضله أكثر ممّا يخاف من الزكاة</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صحيحة عليّ بن يقطين عن أبي 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الزكاة فيما سبك،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سبكه فرارا من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المنفعة قد ذهبت منه، لذلك لا يجب عليه الزكاة</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الرواية المرويّة عن العلل بسند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لاسماعيل بن سهل لجهالته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عنده دراهم أشهرا فحوّلها دنانير فحال عليها منذ يوم ملكها دراهم، حول أ يزكّيها؟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رجلا دفع إليك مائة بعير و أخذ منك مائتي بقرة فلبثت عنده أشهرا و لبثت عندك أشهرا فموتت عندك إبله، و موّت عنده بقرك أ كنتما تزكّيانهما؟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حوّلت برّا أو شعيرا ثمّ قلبته ذهبا أو فضّة فليس عليك فيه شيء إلاّ أن يرجع ذلك الذهب أو تلك الفضّة بعينها أو بعينه، فإن رجع ذلك فإنّ عليك الزكاة لأنّك قد ملكتها حولا،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يخرج ذلك الذهب من يدي يوما،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خلط بغيره فيها فلا بأس و لا شيء فيما رجع إليك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إليك بأسره بعد اليأس منه فلا شيء عليك فيه حولا</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الأحاديث بأجمعها تدلّ على أنّ إخراج النصاب عن الملك أو تبديله أو معاوضته بجنسه أو بغير جنسه في أثناء الحول فرارا من الزكاة أو لا يوجب بطلان الحول و سقوط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كما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من عاوض أربعين سائمة بأربعين سائمة يصدق عليه أنّه ملك أربعين سائمة طول الحول فيجب عليه فيها الزكاة</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 عنه بأنّ كلاّ من الأربعين لم يحل عليه الحول و ملخّصه أنّ عنوان الحكم ما حال عليه الحول عند ربّه و لم يصدق على شيء من الأربعين الاولى و لا الأربعين الثانية أنّه ما حال عليه الحول بل يصدق خلافه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السيّد في الانتصار الاحتجاج بإجماع الطائفة،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أبو عليّ بن الجنيد</w:t>
      </w:r>
      <w:r>
        <w:rPr>
          <w:rStyle w:val="FootnoteAnchor"/>
          <w:rtl w:val="true"/>
        </w:rPr>
        <w:footnoteReference w:id="1371"/>
      </w:r>
      <w:r>
        <w:rPr>
          <w:rFonts w:ascii="Amiri" w:hAnsi="Amiri" w:eastAsia="Amiri" w:cs="Amiri"/>
          <w:color w:val="111111"/>
          <w:sz w:val="28"/>
          <w:sz w:val="28"/>
          <w:szCs w:val="28"/>
          <w:rtl w:val="true"/>
          <w:lang w:bidi="ar-SA"/>
        </w:rPr>
        <w:t>أنّ الزكاة لا يلزم الفارّ منها و ذلك ينقض</w:t>
      </w:r>
      <w:r>
        <w:rPr>
          <w:rStyle w:val="FootnoteAnchor"/>
          <w:rtl w:val="true"/>
        </w:rPr>
        <w:footnoteReference w:id="1372"/>
      </w:r>
      <w:r>
        <w:rPr>
          <w:rFonts w:ascii="Amiri" w:hAnsi="Amiri" w:eastAsia="Amiri" w:cs="Amiri"/>
          <w:color w:val="111111"/>
          <w:sz w:val="28"/>
          <w:sz w:val="28"/>
          <w:szCs w:val="28"/>
          <w:rtl w:val="true"/>
          <w:lang w:bidi="ar-SA"/>
        </w:rPr>
        <w:t>ما ذكرناه،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قد تقدّم ابن الجنيد و تأخّر عنه، و إنّما عوّل ابن الجنيد على أخبار رويت عن أئمّتنا عليهم السّلام تتضمّن أنّه لا زكاة عليه إن فرّ بماله</w:t>
      </w:r>
      <w:r>
        <w:rPr>
          <w:rStyle w:val="FootnoteAnchor"/>
          <w:rtl w:val="true"/>
        </w:rPr>
        <w:footnoteReference w:id="1373"/>
      </w:r>
      <w:r>
        <w:rPr>
          <w:rFonts w:ascii="Amiri" w:hAnsi="Amiri" w:eastAsia="Amiri" w:cs="Amiri"/>
          <w:color w:val="111111"/>
          <w:sz w:val="28"/>
          <w:sz w:val="28"/>
          <w:szCs w:val="28"/>
          <w:rtl w:val="true"/>
          <w:lang w:bidi="ar-SA"/>
        </w:rPr>
        <w:t>و بإزاء تلك الأخبار ما هو أظهر و أقوى و أولى و أوضح طريقا تتضمّن أنّ الزكاة يلزمه، و يمكن حمل ما يتضمّن من الأخبار أنّ الزكاة لا يلزمه على التقيّة، فإنّ ذلك مذهب جميع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تأويل للأخبار الّتي وردت بأنّ الزكاة يلزمه إذا فرّ منها إلاّ إيجاب الزكاة، فالعمل بهذه الأخبار أولى</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المدارك</w:t>
      </w:r>
      <w:r>
        <w:rPr>
          <w:rStyle w:val="FootnoteAnchor"/>
          <w:rtl w:val="true"/>
        </w:rPr>
        <w:footnoteReference w:id="1375"/>
      </w:r>
      <w:r>
        <w:rPr>
          <w:rFonts w:ascii="Amiri" w:hAnsi="Amiri" w:eastAsia="Amiri" w:cs="Amiri"/>
          <w:color w:val="111111"/>
          <w:sz w:val="28"/>
          <w:sz w:val="28"/>
          <w:szCs w:val="28"/>
          <w:rtl w:val="true"/>
          <w:lang w:bidi="ar-SA"/>
        </w:rPr>
        <w:t>و الذخيرة</w:t>
      </w:r>
      <w:r>
        <w:rPr>
          <w:rStyle w:val="FootnoteAnchor"/>
          <w:rtl w:val="true"/>
        </w:rPr>
        <w:footnoteReference w:id="1376"/>
      </w:r>
      <w:r>
        <w:rPr>
          <w:rFonts w:ascii="Amiri" w:hAnsi="Amiri" w:eastAsia="Amiri" w:cs="Amiri"/>
          <w:color w:val="111111"/>
          <w:sz w:val="28"/>
          <w:sz w:val="28"/>
          <w:szCs w:val="28"/>
          <w:rtl w:val="true"/>
          <w:lang w:bidi="ar-SA"/>
        </w:rPr>
        <w:t>و غيرهما احتمال كون مراده</w:t>
      </w:r>
      <w:r>
        <w:rPr>
          <w:rStyle w:val="FootnoteAnchor"/>
          <w:rtl w:val="true"/>
        </w:rPr>
        <w:footnoteReference w:id="1377"/>
      </w:r>
      <w:r>
        <w:rPr>
          <w:rFonts w:ascii="Amiri" w:hAnsi="Amiri" w:eastAsia="Amiri" w:cs="Amiri"/>
          <w:color w:val="111111"/>
          <w:sz w:val="28"/>
          <w:sz w:val="28"/>
          <w:szCs w:val="28"/>
          <w:rtl w:val="true"/>
          <w:lang w:bidi="ar-SA"/>
        </w:rPr>
        <w:t>من الأخبار الّتي أشار إليها ما رواه الشيخ عن محمّد بن مسلم في الموثّق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الحليّ فيه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ما فرّ به من الزكاة</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عمّار في الموثّق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رجل له مائة درهم و عشرة دنانير أ عليه 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 بها من الزكاة فعليه الزكاة،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 بها، ورث مائة درهم و عشرة دنانير،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زكاة</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معاوية بن عمّار في القويّ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يجعل لأهله الحليّ من مائة دينار و مائتي دينار و أراني قد قلت ثلاثمائة فعليه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زكاة،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فرّ به من الزكاة،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فرّ به من الزكاة </w:t>
      </w:r>
      <w:bookmarkStart w:id="319" w:name="pg16181_154618"/>
    </w:p>
    <w:p>
      <w:pPr>
        <w:pStyle w:val="BookText"/>
        <w:rPr/>
      </w:pPr>
      <w:bookmarkEnd w:id="319"/>
      <w:r>
        <w:rPr>
          <w:rFonts w:ascii="Amiri" w:hAnsi="Amiri" w:eastAsia="Amiri" w:cs="Amiri"/>
          <w:color w:val="111111"/>
          <w:sz w:val="28"/>
          <w:sz w:val="28"/>
          <w:szCs w:val="28"/>
          <w:rtl w:val="true"/>
          <w:lang w:bidi="ar-SA"/>
        </w:rPr>
        <w:t>فعليه الزكاة، و إن كان فعله ليتجمّل به فليس عليه زكاة</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الجواب عن إجماع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شهرة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فليس لنا إلاّ الإجماع المنقول و يتوهّن بذلك بحيث خرج عن حدّ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احتمالها إرادة الفرار بعد حول الحول و تعلّق الزكاة كما هو ظاهر ذيل صحيحة زرارة و محمّد بن مسلم المتقدّمة حيث قال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بها من الزكاة فعليه أن يؤدّيها،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أبي، عليه أن يؤدّي ما وجب عليه، و ما لم يجب عليه فلا شيء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الرجل لا يؤدّي عن ماله إلاّ ما حال عليه الحول</w:t>
      </w:r>
      <w:r>
        <w:rPr>
          <w:rFonts w:eastAsia="Amiri" w:cs="Amiri" w:ascii="Amiri" w:hAnsi="Amiri"/>
          <w:color w:val="111111"/>
          <w:sz w:val="28"/>
          <w:szCs w:val="28"/>
          <w:rtl w:val="true"/>
          <w:lang w:bidi="ar-SA"/>
        </w:rPr>
        <w:t>»</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حمل الخبرين الأوّلين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تقاوم لمعارضة ما سبق من جهات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ادّعاه السيّد من كونها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 و أقوى و أولى و أوضح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المنع، لأنّها ليست إلاّ الموثّقات إن صحّ في الخبر الأخير، فكيف بها و الصحاح المعتضدة بعمل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احتمل فيها من الحمل على التقيّة، يدفعه ما قيل</w:t>
      </w:r>
      <w:r>
        <w:rPr>
          <w:rStyle w:val="FootnoteAnchor"/>
          <w:rtl w:val="true"/>
        </w:rPr>
        <w:footnoteReference w:id="1382"/>
      </w:r>
      <w:r>
        <w:rPr>
          <w:rFonts w:ascii="Amiri" w:hAnsi="Amiri" w:eastAsia="Amiri" w:cs="Amiri"/>
          <w:color w:val="111111"/>
          <w:sz w:val="28"/>
          <w:sz w:val="28"/>
          <w:szCs w:val="28"/>
          <w:rtl w:val="true"/>
          <w:lang w:bidi="ar-SA"/>
        </w:rPr>
        <w:t>من أنّ العامّة مختلفون فذهب مالك و أحمد إلى الوجوب</w:t>
      </w:r>
      <w:r>
        <w:rPr>
          <w:rStyle w:val="FootnoteAnchor"/>
          <w:rtl w:val="true"/>
        </w:rPr>
        <w:footnoteReference w:id="1383"/>
      </w:r>
      <w:r>
        <w:rPr>
          <w:rFonts w:ascii="Amiri" w:hAnsi="Amiri" w:eastAsia="Amiri" w:cs="Amiri"/>
          <w:color w:val="111111"/>
          <w:sz w:val="28"/>
          <w:sz w:val="28"/>
          <w:szCs w:val="28"/>
          <w:rtl w:val="true"/>
          <w:lang w:bidi="ar-SA"/>
        </w:rPr>
        <w:t>و الشافعي و أبو حنيفة إلى عدم الوجوب</w:t>
      </w:r>
      <w:r>
        <w:rPr>
          <w:rStyle w:val="FootnoteAnchor"/>
          <w:rtl w:val="true"/>
        </w:rPr>
        <w:footnoteReference w:id="1384"/>
      </w:r>
      <w:r>
        <w:rPr>
          <w:rFonts w:ascii="Amiri" w:hAnsi="Amiri" w:eastAsia="Amiri" w:cs="Amiri"/>
          <w:color w:val="111111"/>
          <w:sz w:val="28"/>
          <w:sz w:val="28"/>
          <w:szCs w:val="28"/>
          <w:rtl w:val="true"/>
          <w:lang w:bidi="ar-SA"/>
        </w:rPr>
        <w:t>مع احتمال الاستحباب في الدالّة على الوجوب كما عن الشيخ في الاستبصار الحمل عليه</w:t>
      </w:r>
      <w:r>
        <w:rPr>
          <w:rStyle w:val="FootnoteAnchor"/>
          <w:rtl w:val="true"/>
        </w:rPr>
        <w:footnoteReference w:id="1385"/>
      </w:r>
      <w:r>
        <w:rPr>
          <w:rFonts w:ascii="Amiri" w:hAnsi="Amiri" w:eastAsia="Amiri" w:cs="Amiri"/>
          <w:color w:val="111111"/>
          <w:sz w:val="28"/>
          <w:sz w:val="28"/>
          <w:szCs w:val="28"/>
          <w:rtl w:val="true"/>
          <w:lang w:bidi="ar-SA"/>
        </w:rPr>
        <w:t>و استقربه في الذخيرة</w:t>
      </w:r>
      <w:r>
        <w:rPr>
          <w:rStyle w:val="FootnoteAnchor"/>
          <w:rtl w:val="true"/>
        </w:rPr>
        <w:footnoteReference w:id="1386"/>
      </w:r>
      <w:r>
        <w:rPr>
          <w:rFonts w:ascii="Amiri" w:hAnsi="Amiri" w:eastAsia="Amiri" w:cs="Amiri"/>
          <w:color w:val="111111"/>
          <w:sz w:val="28"/>
          <w:sz w:val="28"/>
          <w:szCs w:val="28"/>
          <w:rtl w:val="true"/>
          <w:lang w:bidi="ar-SA"/>
        </w:rPr>
        <w:t>و جزم به في المدارك</w:t>
      </w:r>
      <w:r>
        <w:rPr>
          <w:rStyle w:val="FootnoteAnchor"/>
          <w:rtl w:val="true"/>
        </w:rPr>
        <w:footnoteReference w:id="1387"/>
      </w:r>
      <w:r>
        <w:rPr>
          <w:rFonts w:ascii="Amiri" w:hAnsi="Amiri" w:eastAsia="Amiri" w:cs="Amiri"/>
          <w:color w:val="111111"/>
          <w:sz w:val="28"/>
          <w:sz w:val="28"/>
          <w:szCs w:val="28"/>
          <w:rtl w:val="true"/>
          <w:lang w:bidi="ar-SA"/>
        </w:rPr>
        <w:t>على تقدير صحّة السند</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2586635_1280447820"/>
      <w:bookmarkStart w:id="321" w:name="_Toc116"/>
      <w:bookmarkEnd w:id="320"/>
      <w:r>
        <w:rPr>
          <w:rtl w:val="true"/>
        </w:rPr>
        <w:t>المرحلة الثانية</w:t>
      </w:r>
      <w:r>
        <w:rPr>
          <w:rtl w:val="true"/>
        </w:rPr>
        <w:t xml:space="preserve">: </w:t>
      </w:r>
      <w:r>
        <w:rPr>
          <w:rtl w:val="true"/>
        </w:rPr>
        <w:t>في أحكام السخال المتجدّدة و غيرها ممّا تجدّد ملكه في أثناء حول الامّهات</w:t>
      </w:r>
      <w:bookmarkEnd w:id="321"/>
    </w:p>
    <w:p>
      <w:pPr>
        <w:pStyle w:val="Heading6"/>
        <w:numPr>
          <w:ilvl w:val="5"/>
          <w:numId w:val="1"/>
        </w:numPr>
        <w:rPr/>
      </w:pPr>
      <w:bookmarkStart w:id="322" w:name="__RefHeading___Toc2586637_1280447820"/>
      <w:bookmarkStart w:id="323" w:name="_Toc117"/>
      <w:bookmarkEnd w:id="322"/>
      <w:r>
        <w:rPr>
          <w:rtl w:val="true"/>
        </w:rPr>
        <w:t>اشارة</w:t>
      </w:r>
      <w:bookmarkEnd w:id="32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هي في حدّ نصاب أو أقلّ‌، و لها صور كثيرة لا بأس بالتعرّض لذكر جملة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الامّهات نصابا و تولّد منها في أثناء الحول ما لم تكن نصابا مستقلاّ و لا مكمّلة لنصاب آخر بانضمامها إلى الامّهات كما لو تولّدت أربع من الإبل من الخمس أو تسع مثلا من ثلاثين بقرة أو ثلاثون شاة أو أقلّ أو أزيد من أربعين شاة، و كذلك ما لو ملك في أثناء حول النصاب ما لم يبلغ النصاب المستقلّ و لا هي مكمّلة لنصاب آخر، فلا إشكال و لا خلاف في أنّه لا يجب عليه إلاّ فريضة النصاب بعد انتهاء حولها و ليس على الزيادة المتجدّدة بالولادة و غيرها شيء آخر، لما تقدّم من عدم وجوب شيء في الزائد على النصاب المدلول عليه بالإجماع و النصّ المندرج في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النيّف شيء</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يندرج في ذلك ظاهرا ما لو تولّد من أربعين شاة أربعون اخرى أو ملك أربعين اخرى في أثناء حول الأربعين الاولى، فإذا تمّ حول الامّهات يجب فيها شاة و لا يجب في السخال بعد تمام حولها شاة اخرى و لا في الأربعين الثانية بعد تمام حولها، وفاقا للعلاّمة في أكثر كتبه كالمنتهى</w:t>
      </w:r>
      <w:r>
        <w:rPr>
          <w:rStyle w:val="FootnoteAnchor"/>
          <w:rtl w:val="true"/>
        </w:rPr>
        <w:footnoteReference w:id="1389"/>
      </w:r>
      <w:r>
        <w:rPr>
          <w:rFonts w:ascii="Amiri" w:hAnsi="Amiri" w:eastAsia="Amiri" w:cs="Amiri"/>
          <w:color w:val="111111"/>
          <w:sz w:val="28"/>
          <w:sz w:val="28"/>
          <w:szCs w:val="28"/>
          <w:rtl w:val="true"/>
          <w:lang w:bidi="ar-SA"/>
        </w:rPr>
        <w:t>و التذكرة</w:t>
      </w:r>
      <w:r>
        <w:rPr>
          <w:rStyle w:val="FootnoteAnchor"/>
          <w:rtl w:val="true"/>
        </w:rPr>
        <w:footnoteReference w:id="1390"/>
      </w:r>
      <w:r>
        <w:rPr>
          <w:rFonts w:ascii="IRNazanin" w:hAnsi="IRNazanin" w:eastAsia="IRNazanin"/>
          <w:color w:val="111111"/>
          <w:sz w:val="28"/>
          <w:sz w:val="28"/>
          <w:szCs w:val="28"/>
          <w:rtl w:val="true"/>
          <w:lang w:bidi="fa-IR"/>
        </w:rPr>
        <w:t>و القواعد</w:t>
      </w:r>
      <w:r>
        <w:rPr>
          <w:rStyle w:val="FootnoteAnchor"/>
          <w:rtl w:val="true"/>
        </w:rPr>
        <w:footnoteReference w:id="1391"/>
      </w:r>
      <w:r>
        <w:rPr>
          <w:rFonts w:ascii="Amiri" w:hAnsi="Amiri" w:eastAsia="Amiri" w:cs="Amiri"/>
          <w:color w:val="111111"/>
          <w:sz w:val="28"/>
          <w:sz w:val="28"/>
          <w:szCs w:val="28"/>
          <w:rtl w:val="true"/>
          <w:lang w:bidi="ar-SA"/>
        </w:rPr>
        <w:t>و التحرير</w:t>
      </w:r>
      <w:r>
        <w:rPr>
          <w:rStyle w:val="FootnoteAnchor"/>
          <w:rtl w:val="true"/>
        </w:rPr>
        <w:footnoteReference w:id="1392"/>
      </w:r>
      <w:r>
        <w:rPr>
          <w:rFonts w:ascii="Amiri" w:hAnsi="Amiri" w:eastAsia="Amiri" w:cs="Amiri"/>
          <w:color w:val="111111"/>
          <w:sz w:val="28"/>
          <w:sz w:val="28"/>
          <w:szCs w:val="28"/>
          <w:rtl w:val="true"/>
          <w:lang w:bidi="ar-SA"/>
        </w:rPr>
        <w:t>و النهاية</w:t>
      </w:r>
      <w:r>
        <w:rPr>
          <w:rStyle w:val="FootnoteAnchor"/>
          <w:rtl w:val="true"/>
        </w:rPr>
        <w:footnoteReference w:id="1393"/>
      </w:r>
      <w:r>
        <w:rPr>
          <w:rFonts w:ascii="Amiri" w:hAnsi="Amiri" w:eastAsia="Amiri" w:cs="Amiri"/>
          <w:color w:val="111111"/>
          <w:sz w:val="28"/>
          <w:sz w:val="28"/>
          <w:szCs w:val="28"/>
          <w:rtl w:val="true"/>
          <w:lang w:bidi="ar-SA"/>
        </w:rPr>
        <w:t>و ثاني الشهيدين في المسالك</w:t>
      </w:r>
      <w:r>
        <w:rPr>
          <w:rStyle w:val="FootnoteAnchor"/>
          <w:rtl w:val="true"/>
        </w:rPr>
        <w:footnoteReference w:id="1394"/>
      </w:r>
      <w:r>
        <w:rPr>
          <w:rFonts w:ascii="Amiri" w:hAnsi="Amiri" w:eastAsia="Amiri" w:cs="Amiri"/>
          <w:color w:val="111111"/>
          <w:sz w:val="28"/>
          <w:sz w:val="28"/>
          <w:szCs w:val="28"/>
          <w:rtl w:val="true"/>
          <w:lang w:bidi="ar-SA"/>
        </w:rPr>
        <w:t>و الروضة</w:t>
      </w:r>
      <w:r>
        <w:rPr>
          <w:rStyle w:val="FootnoteAnchor"/>
          <w:rtl w:val="true"/>
        </w:rPr>
        <w:footnoteReference w:id="1395"/>
      </w:r>
      <w:r>
        <w:rPr>
          <w:rFonts w:ascii="Amiri" w:hAnsi="Amiri" w:eastAsia="Amiri" w:cs="Amiri"/>
          <w:color w:val="111111"/>
          <w:sz w:val="28"/>
          <w:sz w:val="28"/>
          <w:szCs w:val="28"/>
          <w:rtl w:val="true"/>
          <w:lang w:bidi="ar-SA"/>
        </w:rPr>
        <w:t>و المدارك</w:t>
      </w:r>
      <w:r>
        <w:rPr>
          <w:rStyle w:val="FootnoteAnchor"/>
          <w:rtl w:val="true"/>
        </w:rPr>
        <w:footnoteReference w:id="1396"/>
      </w:r>
      <w:r>
        <w:rPr>
          <w:rFonts w:ascii="Amiri" w:hAnsi="Amiri" w:eastAsia="Amiri" w:cs="Amiri"/>
          <w:color w:val="111111"/>
          <w:sz w:val="28"/>
          <w:sz w:val="28"/>
          <w:szCs w:val="28"/>
          <w:rtl w:val="true"/>
          <w:lang w:bidi="ar-SA"/>
        </w:rPr>
        <w:t>و الذخيرة</w:t>
      </w:r>
      <w:r>
        <w:rPr>
          <w:rStyle w:val="FootnoteAnchor"/>
          <w:rtl w:val="true"/>
        </w:rPr>
        <w:footnoteReference w:id="1397"/>
      </w:r>
      <w:r>
        <w:rPr>
          <w:rFonts w:ascii="Amiri" w:hAnsi="Amiri" w:eastAsia="Amiri" w:cs="Amiri"/>
          <w:color w:val="111111"/>
          <w:sz w:val="28"/>
          <w:sz w:val="28"/>
          <w:szCs w:val="28"/>
          <w:rtl w:val="true"/>
          <w:lang w:bidi="ar-SA"/>
        </w:rPr>
        <w:t>و الرياض</w:t>
      </w:r>
      <w:r>
        <w:rPr>
          <w:rStyle w:val="FootnoteAnchor"/>
          <w:rtl w:val="true"/>
        </w:rPr>
        <w:footnoteReference w:id="1398"/>
      </w:r>
      <w:r>
        <w:rPr>
          <w:rFonts w:ascii="Amiri" w:hAnsi="Amiri" w:eastAsia="Amiri" w:cs="Amiri"/>
          <w:color w:val="111111"/>
          <w:sz w:val="28"/>
          <w:sz w:val="28"/>
          <w:szCs w:val="28"/>
          <w:rtl w:val="true"/>
          <w:lang w:bidi="ar-SA"/>
        </w:rPr>
        <w:t>على ما حكي عن الأوّلين محتجّين بعد الأصل بعموم ما دلّ على كون الزائد على النصاب عفوا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النيّف شيء</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الأربعين الثانية المتجدّد ملكها بالولادة أو غيرها زائدة على النصاب الأوّل و لم تبلغ النصاب الثاني و لا هي مكمّلة بالانضمام للثاني الثاني، فتكون من النيّف فتكون عفوا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عن المعتبر</w:t>
      </w:r>
      <w:r>
        <w:rPr>
          <w:rStyle w:val="FootnoteAnchor"/>
          <w:rtl w:val="true"/>
        </w:rPr>
        <w:footnoteReference w:id="1400"/>
      </w:r>
      <w:r>
        <w:rPr>
          <w:rFonts w:ascii="IRNazanin" w:hAnsi="IRNazanin" w:eastAsia="IRNazanin"/>
          <w:color w:val="111111"/>
          <w:sz w:val="28"/>
          <w:sz w:val="28"/>
          <w:szCs w:val="28"/>
          <w:rtl w:val="true"/>
          <w:lang w:bidi="fa-IR"/>
        </w:rPr>
        <w:t>و الدروس</w:t>
      </w:r>
      <w:r>
        <w:rPr>
          <w:rStyle w:val="FootnoteAnchor"/>
          <w:rtl w:val="true"/>
        </w:rPr>
        <w:footnoteReference w:id="1401"/>
      </w:r>
      <w:r>
        <w:rPr>
          <w:rFonts w:ascii="Amiri" w:hAnsi="Amiri" w:eastAsia="Amiri" w:cs="Amiri"/>
          <w:color w:val="111111"/>
          <w:sz w:val="28"/>
          <w:sz w:val="28"/>
          <w:szCs w:val="28"/>
          <w:rtl w:val="true"/>
          <w:lang w:bidi="ar-SA"/>
        </w:rPr>
        <w:t>احتمال وجوب شاة اخرى فيها تمسّكا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المراد به ما يعمّ صورة تكرّر الأربعين و تعدّدها على وجه يتكرّر معه الفريضة، للإجماع على أنّه لو ملك ثمانين دفعة لم تجب عليه شاتان، بل المراد بها أربعين واحدة شخصيّة و هي النصاب الأوّل، و التعبير بلفظة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لتعدّد النصاب الأوّل على حسب تعدّد مالكيّتها لا لتكرّر الأربعين في ملك مالك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عنده نصاب فتولّد منها في أثناء الحول ما هو نصاب مستقلّ كخمس من الإبل أو ثلاثين من البقر أو أربعين من الغنم إذا تولّد من الخمس خمس اخرى، و من الثلاثين ثلاثون أو أربعون، و من الأربعين مائة و إحدى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حكمه أنّ لكلّ من الامّهات و السخال حولا بانفرادها بلا إشكال و لا خلاف، فيجب عند انتهاء حول كلّ منهما إخراج ما وجب في نصابها من الزكاة، فإذا تمّ حول الامّهات وجب إخراج ما وجب في نصابها، و إذا تمّ حول السخال من حين النتاج وجب ما وجب فيها أيضا من شاة أو تبيع أو مسنّة و شاتين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ما تقدّم بالنصّ و الإجماع من أنّ حول الامّهات ليس حول السخال، بل كان لكلّ منهما حول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ما إذا ملك في أثناء النصاب الأوّل ما كان نصابا مستقلاّ، و لقد صرّح بما ذكرنا جماعة كالمسالك</w:t>
      </w:r>
      <w:r>
        <w:rPr>
          <w:rStyle w:val="FootnoteAnchor"/>
          <w:rtl w:val="true"/>
        </w:rPr>
        <w:footnoteReference w:id="1403"/>
      </w:r>
      <w:r>
        <w:rPr>
          <w:rFonts w:ascii="Amiri" w:hAnsi="Amiri" w:eastAsia="Amiri" w:cs="Amiri"/>
          <w:color w:val="111111"/>
          <w:sz w:val="28"/>
          <w:sz w:val="28"/>
          <w:szCs w:val="28"/>
          <w:rtl w:val="true"/>
          <w:lang w:bidi="ar-SA"/>
        </w:rPr>
        <w:t>و الروضة</w:t>
      </w:r>
      <w:r>
        <w:rPr>
          <w:rStyle w:val="FootnoteAnchor"/>
          <w:rtl w:val="true"/>
        </w:rPr>
        <w:footnoteReference w:id="1404"/>
      </w:r>
      <w:r>
        <w:rPr>
          <w:rFonts w:ascii="Amiri" w:hAnsi="Amiri" w:eastAsia="Amiri" w:cs="Amiri"/>
          <w:color w:val="111111"/>
          <w:sz w:val="28"/>
          <w:sz w:val="28"/>
          <w:szCs w:val="28"/>
          <w:rtl w:val="true"/>
          <w:lang w:bidi="ar-SA"/>
        </w:rPr>
        <w:t>و المدارك</w:t>
      </w:r>
      <w:r>
        <w:rPr>
          <w:rStyle w:val="FootnoteAnchor"/>
          <w:rtl w:val="true"/>
        </w:rPr>
        <w:footnoteReference w:id="1405"/>
      </w:r>
      <w:r>
        <w:rPr>
          <w:rFonts w:ascii="Amiri" w:hAnsi="Amiri" w:eastAsia="Amiri" w:cs="Amiri"/>
          <w:color w:val="111111"/>
          <w:sz w:val="28"/>
          <w:sz w:val="28"/>
          <w:szCs w:val="28"/>
          <w:rtl w:val="true"/>
          <w:lang w:bidi="ar-SA"/>
        </w:rPr>
        <w:t>و الذخيرة</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عنده نصاب فتولّد منها ما ليست نصابا مستقلاّ و لكن كانت مكمّلة للنصاب الثاني بالانضمام إلى النصاب الأوّل بعد إخراج ما وجب في الأوّل كثلاثين بقرة إذا تولّد منها إحدى عشر، و ثمانين غنما إذا تولّد منها اثنان و أربعون، فقد ذكروا فيها وجوها و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سقوط اعتبار النصاب الأوّل و صيرورة الجميع نصابا واحدا، فإذا تمّ حوله من حين زيادة الزائد وجب إخراج ما وجب فيه من مسنّة في مثال البقرة و شاتين في مثال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وجوب إخراج زكاة كلّ منهما عند انتهاء حوله، فعند انتهاء حول الأوّل يخرج تبيع أو شاة، و عند انتهاء حول الثاني من حين النتاج مسنّة أو شاتان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عدم ابتداء حول الزائد حتّى ينتهي حول الأوّل ثمّ استئناف حول آخر للجميع، فيخرج ما وجب في الأوّل عند انتهاء حوله، و ما وجب في الثاني أيضا عند انتهاء الحول المستأنف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كلام جماعة كالمسالك</w:t>
      </w:r>
      <w:r>
        <w:rPr>
          <w:rStyle w:val="FootnoteAnchor"/>
          <w:rtl w:val="true"/>
        </w:rPr>
        <w:footnoteReference w:id="1407"/>
      </w:r>
      <w:r>
        <w:rPr>
          <w:rFonts w:ascii="Amiri" w:hAnsi="Amiri" w:eastAsia="Amiri" w:cs="Amiri"/>
          <w:color w:val="111111"/>
          <w:sz w:val="28"/>
          <w:sz w:val="28"/>
          <w:szCs w:val="28"/>
          <w:rtl w:val="true"/>
          <w:lang w:bidi="ar-SA"/>
        </w:rPr>
        <w:t>و المدارك</w:t>
      </w:r>
      <w:r>
        <w:rPr>
          <w:rStyle w:val="FootnoteAnchor"/>
          <w:rtl w:val="true"/>
        </w:rPr>
        <w:footnoteReference w:id="1408"/>
      </w:r>
      <w:r>
        <w:rPr>
          <w:rFonts w:ascii="Amiri" w:hAnsi="Amiri" w:eastAsia="Amiri" w:cs="Amiri"/>
          <w:color w:val="111111"/>
          <w:sz w:val="28"/>
          <w:sz w:val="28"/>
          <w:szCs w:val="28"/>
          <w:rtl w:val="true"/>
          <w:lang w:bidi="ar-SA"/>
        </w:rPr>
        <w:t>و الذخيرة</w:t>
      </w:r>
      <w:r>
        <w:rPr>
          <w:rStyle w:val="FootnoteAnchor"/>
          <w:rtl w:val="true"/>
        </w:rPr>
        <w:footnoteReference w:id="1409"/>
      </w:r>
      <w:r>
        <w:rPr>
          <w:rFonts w:ascii="IRNazanin" w:hAnsi="IRNazanin" w:eastAsia="IRNazanin"/>
          <w:color w:val="111111"/>
          <w:sz w:val="28"/>
          <w:sz w:val="28"/>
          <w:szCs w:val="28"/>
          <w:rtl w:val="true"/>
          <w:lang w:bidi="fa-IR"/>
        </w:rPr>
        <w:t>و نقل عن الفخر</w:t>
      </w:r>
      <w:r>
        <w:rPr>
          <w:rStyle w:val="FootnoteAnchor"/>
          <w:rtl w:val="true"/>
        </w:rPr>
        <w:footnoteReference w:id="1410"/>
      </w:r>
      <w:r>
        <w:rPr>
          <w:rFonts w:ascii="Amiri" w:hAnsi="Amiri" w:eastAsia="Amiri" w:cs="Amiri"/>
          <w:color w:val="111111"/>
          <w:sz w:val="28"/>
          <w:sz w:val="28"/>
          <w:szCs w:val="28"/>
          <w:rtl w:val="true"/>
          <w:lang w:bidi="ar-SA"/>
        </w:rPr>
        <w:t>و الشهيدين</w:t>
      </w:r>
      <w:r>
        <w:rPr>
          <w:rStyle w:val="FootnoteAnchor"/>
          <w:rtl w:val="true"/>
        </w:rPr>
        <w:footnoteReference w:id="1411"/>
      </w:r>
      <w:r>
        <w:rPr>
          <w:rFonts w:ascii="Amiri" w:hAnsi="Amiri" w:eastAsia="Amiri" w:cs="Amiri"/>
          <w:color w:val="111111"/>
          <w:sz w:val="28"/>
          <w:sz w:val="28"/>
          <w:szCs w:val="28"/>
          <w:rtl w:val="true"/>
          <w:lang w:bidi="ar-SA"/>
        </w:rPr>
        <w:t>و أبي العباس</w:t>
      </w:r>
      <w:r>
        <w:rPr>
          <w:rStyle w:val="FootnoteAnchor"/>
          <w:rtl w:val="true"/>
        </w:rPr>
        <w:footnoteReference w:id="1412"/>
      </w:r>
      <w:r>
        <w:rPr>
          <w:rFonts w:ascii="IRNazanin" w:hAnsi="IRNazanin" w:eastAsia="IRNazanin"/>
          <w:color w:val="111111"/>
          <w:sz w:val="28"/>
          <w:sz w:val="28"/>
          <w:szCs w:val="28"/>
          <w:rtl w:val="true"/>
          <w:lang w:bidi="fa-IR"/>
        </w:rPr>
        <w:t>و المقداد</w:t>
      </w:r>
      <w:r>
        <w:rPr>
          <w:rStyle w:val="FootnoteAnchor"/>
          <w:rtl w:val="true"/>
        </w:rPr>
        <w:footnoteReference w:id="1413"/>
      </w:r>
      <w:r>
        <w:rPr>
          <w:rFonts w:ascii="Amiri" w:hAnsi="Amiri" w:eastAsia="Amiri" w:cs="Amiri"/>
          <w:color w:val="111111"/>
          <w:sz w:val="28"/>
          <w:sz w:val="28"/>
          <w:szCs w:val="28"/>
          <w:rtl w:val="true"/>
          <w:lang w:bidi="ar-SA"/>
        </w:rPr>
        <w:t>و الكركي</w:t>
      </w:r>
      <w:r>
        <w:rPr>
          <w:rStyle w:val="FootnoteAnchor"/>
          <w:rtl w:val="true"/>
        </w:rPr>
        <w:footnoteReference w:id="1414"/>
      </w:r>
      <w:r>
        <w:rPr>
          <w:rFonts w:ascii="Amiri" w:hAnsi="Amiri" w:eastAsia="Amiri" w:cs="Amiri"/>
          <w:color w:val="111111"/>
          <w:sz w:val="28"/>
          <w:sz w:val="28"/>
          <w:szCs w:val="28"/>
          <w:rtl w:val="true"/>
          <w:lang w:bidi="ar-SA"/>
        </w:rPr>
        <w:t>و الصيمري</w:t>
      </w:r>
      <w:r>
        <w:rPr>
          <w:rStyle w:val="FootnoteAnchor"/>
          <w:rtl w:val="true"/>
        </w:rPr>
        <w:footnoteReference w:id="1415"/>
      </w:r>
      <w:r>
        <w:rPr>
          <w:rFonts w:ascii="Amiri" w:hAnsi="Amiri" w:eastAsia="Amiri" w:cs="Amiri"/>
          <w:color w:val="111111"/>
          <w:sz w:val="28"/>
          <w:sz w:val="28"/>
          <w:szCs w:val="28"/>
          <w:rtl w:val="true"/>
          <w:lang w:bidi="ar-SA"/>
        </w:rPr>
        <w:t>و البهبهاني</w:t>
      </w:r>
      <w:r>
        <w:rPr>
          <w:rStyle w:val="FootnoteAnchor"/>
          <w:rtl w:val="true"/>
        </w:rPr>
        <w:footnoteReference w:id="1416"/>
      </w:r>
      <w:r>
        <w:rPr>
          <w:rFonts w:ascii="Amiri" w:hAnsi="Amiri" w:eastAsia="Amiri" w:cs="Amiri"/>
          <w:color w:val="111111"/>
          <w:sz w:val="28"/>
          <w:sz w:val="28"/>
          <w:szCs w:val="28"/>
          <w:rtl w:val="true"/>
          <w:lang w:bidi="ar-SA"/>
        </w:rPr>
        <w:t>و شيخ كشف الغطاء</w:t>
      </w:r>
      <w:r>
        <w:rPr>
          <w:rStyle w:val="FootnoteAnchor"/>
          <w:rtl w:val="true"/>
        </w:rPr>
        <w:footnoteReference w:id="1417"/>
      </w:r>
      <w:r>
        <w:rPr>
          <w:rFonts w:ascii="IRNazanin" w:hAnsi="IRNazanin" w:eastAsia="IRNazanin"/>
          <w:color w:val="111111"/>
          <w:sz w:val="28"/>
          <w:sz w:val="28"/>
          <w:szCs w:val="28"/>
          <w:rtl w:val="true"/>
          <w:lang w:bidi="fa-IR"/>
        </w:rPr>
        <w:t>و الحدائق</w:t>
      </w:r>
      <w:r>
        <w:rPr>
          <w:rStyle w:val="FootnoteAnchor"/>
          <w:rtl w:val="true"/>
        </w:rPr>
        <w:footnoteReference w:id="1418"/>
      </w:r>
      <w:r>
        <w:rPr>
          <w:rFonts w:ascii="Amiri" w:hAnsi="Amiri" w:eastAsia="Amiri" w:cs="Amiri"/>
          <w:color w:val="111111"/>
          <w:sz w:val="28"/>
          <w:sz w:val="28"/>
          <w:szCs w:val="28"/>
          <w:rtl w:val="true"/>
          <w:lang w:bidi="ar-SA"/>
        </w:rPr>
        <w:t>و الرياض</w:t>
      </w:r>
      <w:r>
        <w:rPr>
          <w:rStyle w:val="FootnoteAnchor"/>
          <w:rtl w:val="true"/>
        </w:rPr>
        <w:footnoteReference w:id="1419"/>
      </w:r>
      <w:r>
        <w:rPr>
          <w:rFonts w:ascii="Amiri" w:hAnsi="Amiri" w:eastAsia="Amiri" w:cs="Amiri"/>
          <w:color w:val="111111"/>
          <w:sz w:val="28"/>
          <w:sz w:val="28"/>
          <w:szCs w:val="28"/>
          <w:rtl w:val="true"/>
          <w:lang w:bidi="ar-SA"/>
        </w:rPr>
        <w:t>أنّ أوجه الوجوه الوجه الأخير، و هو وجوب إخراج زكاة الأوّل عند انتهاء حوله ثمّ استئناف حول الثاني بعد حول الأوّل لوجود المقتضي و انتفاء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وجب إخراج زكاته منفردا امتنع اعتباره منضمّا إلى غيره في ذلك الحول، للأصل،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ثنيّا فى صدقة</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و قول أبي جعفر عليه السّلام في حسنة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يزكّى المال من وجهين في عام</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وجوده بالنسبة إلى إخراج زكاة الأوّل عند انتهاء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الأدلّة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ثلاثين بقرة تبيع</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أربعين شاة، </w:t>
      </w:r>
    </w:p>
    <w:p>
      <w:pPr>
        <w:pStyle w:val="BookText"/>
        <w:rPr/>
      </w:pP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r>
        <w:rPr>
          <w:rStyle w:val="FootnoteAnchor"/>
          <w:rtl w:val="true"/>
        </w:rPr>
        <w:footnoteReference w:id="142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كانت أربعين ففيها</w:t>
      </w:r>
      <w:r>
        <w:rPr>
          <w:rStyle w:val="FootnoteAnchor"/>
          <w:rtl w:val="true"/>
        </w:rPr>
        <w:footnoteReference w:id="1424"/>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انتفاء المانع انتفاء ما يوجب الخروج في النصاب الأوّل من هذه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يذكر في المقام فرارا عن تثنية الصدقة وجه آخر و هو التوزيع، و هو أنّه يجب عند انتهاء حول الأوّل ما هو فريضته فإذا انتهى حول الزائد من حين زيادته أخرج ما يخصّه من فريضة نصاب المجموع بالنسبة، و إذا تمّ الحول الثاني للامّهات أخرج منها بقيّة هذه الفريضة فيخرج في مثال البقر في الحول الأوّل للامّهات تبيع و للعشر عند انتهاء حولها من حين النتاج ربع مسنّة، و عند انتهاء الحول الثاني للامّهات يخرج منها ثلاثة أرباع مسنّة و هكذا يبقى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ترى أضعف الوجوه، لكونه خروجا من مقتضى الأدلّة رأسا، لأنّ ظاهر النصوص إخراج ما وجب في كلّ من النصابين بتمامه عند انتهاء حوله، غاية الأمر أنّه يعتبر ابتداء حول الثاني بعد انتهاء حول الأوّل فرارا عن تثنية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لثاني الشهيدين في هذا المقام في الروضة عبارة لا تخلو في ابتداء النظر عن قصور و إن رجعت بعد التدبّر و التعمّق إلى بعض ما ذكرناه في الصورة الثالثة مع بعض آخر ممّا ذكرناه في الصورة الاولى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كان غير مستقلّ ففي ابتداء حوله مطلقا، أو مع إكماله للنصاب الّذي بعده، أو عدم ابتداء حوله حتّى يكمل الأوّل فيجزئ الثاني لهما أوجه، أوجهها الأخير، فلو كان عنده أربعون شاة فولدت أربعين لم يجب فيها شيء، و على الأوّل فشاة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تمام حولها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ثمانون فولدت اثنين و أربعين فشاة للاولى خاصّة، ثمّ يستأنف حول الجميع بعد تمام الأوّل، و على الأوّلين يجب اخرى عند تمام حول الثانية</w:t>
      </w:r>
      <w:r>
        <w:rPr>
          <w:rFonts w:eastAsia="Amiri" w:cs="Amiri" w:ascii="Amiri" w:hAnsi="Amiri"/>
          <w:color w:val="111111"/>
          <w:sz w:val="28"/>
          <w:szCs w:val="28"/>
          <w:rtl w:val="true"/>
          <w:lang w:bidi="ar-SA"/>
        </w:rPr>
        <w:t>»</w:t>
      </w:r>
      <w:r>
        <w:rPr>
          <w:rStyle w:val="FootnoteAnchor"/>
          <w:rtl w:val="true"/>
        </w:rPr>
        <w:footnoteReference w:id="14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الأوّل تعميم بالنسبة إلى إكمال الزائد الغير المستقلّ </w:t>
      </w:r>
    </w:p>
    <w:p>
      <w:pPr>
        <w:pStyle w:val="BookText"/>
        <w:rPr/>
      </w:pPr>
      <w:r>
        <w:rPr>
          <w:rFonts w:ascii="Amiri" w:hAnsi="Amiri" w:eastAsia="Amiri" w:cs="Amiri"/>
          <w:color w:val="111111"/>
          <w:sz w:val="28"/>
          <w:sz w:val="28"/>
          <w:szCs w:val="28"/>
          <w:rtl w:val="true"/>
          <w:lang w:bidi="ar-SA"/>
        </w:rPr>
        <w:t>للنصاب الّذي بعده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مع 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 ابتداء حول الزائد من حين زيادته بشرط كونه مكمّلا للنصاب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عدم ابتداء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 عدم ابتداء حوله إلاّ بعد انتهاء الحول الأوّل الّذي هو حول الامّهات مع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فيجري الثاني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يجري الحول الثاني للامّهات و السخال الزائدة عليها في مفروض الوجه الأخير الّذي بلغ المجموع فيه النصاب الّذي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يجب 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الأربعين المتولّدة الّتي هي السخال، و مبناه على الوجه الأخير الّذي هو أوجه الوجوه، و إنّما لم يجب فيه شيء على هذا الوجه، لأنّ شرط ابتداء الحول لها الّذي هو شرط الوجوب إنّما هو كونها مكمّلة للنصاب الّذي بعدها مع كون الحول إنّما يبتدأ به بعد تمام حول نصاب الامّهات، و المفروض في المثال انتفاء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ظهر عدم وجوب شيء فيها أيضا على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الأوّل فشاة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أوّل الوجوه الّذي هو عبارة عن ابتداء للسخال في المثال المذكور و إن لم تكن مكمّلة للنصاب الّذي بعدها، و مبنى هذا الوجه على ما تقدّم احتماله في الصورة الاولى عن المعتبر</w:t>
      </w:r>
      <w:r>
        <w:rPr>
          <w:rStyle w:val="FootnoteAnchor"/>
          <w:rtl w:val="true"/>
        </w:rPr>
        <w:footnoteReference w:id="1426"/>
      </w:r>
      <w:r>
        <w:rPr>
          <w:rFonts w:ascii="IRNazanin" w:hAnsi="IRNazanin" w:eastAsia="IRNazanin"/>
          <w:color w:val="111111"/>
          <w:sz w:val="28"/>
          <w:sz w:val="28"/>
          <w:szCs w:val="28"/>
          <w:rtl w:val="true"/>
          <w:lang w:bidi="fa-IR"/>
        </w:rPr>
        <w:t>و الدروس</w:t>
      </w:r>
      <w:r>
        <w:rPr>
          <w:rStyle w:val="FootnoteAnchor"/>
          <w:rtl w:val="true"/>
        </w:rPr>
        <w:footnoteReference w:id="1427"/>
      </w:r>
      <w:r>
        <w:rPr>
          <w:rFonts w:ascii="Amiri" w:hAnsi="Amiri" w:eastAsia="Amiri" w:cs="Amiri"/>
          <w:color w:val="111111"/>
          <w:sz w:val="28"/>
          <w:sz w:val="28"/>
          <w:szCs w:val="28"/>
          <w:rtl w:val="true"/>
          <w:lang w:bidi="ar-SA"/>
        </w:rPr>
        <w:t>من وجوب شاة في الأربعين الثانية كما وجبت في الاولى عملا بعموم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الأوّلين يجب اخرى عند تمام حول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زكاة اخرى و هي شاتان عند تمام حول السخال الّذي يبتدأ من حين التولّد و النتاج</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عنده نصاب و ملك في أثناء الحول بالولادة أو بغيرها ما كان مكمّلا للنصاب الآخر مع اشتماله أيضا على نصاب كما لو ملك عشرين من الإبل و ملك بالولادة مثلا في أثناء الحول ستّة أو سبعة اخرى، فيحتمل القول فيه بوجوب أربع شياه في العشرين و وجوب شاة في الستّ دائما، كلّ عند تمام حوله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القول بسقوط اعتبار عشرين عند تجدّد ملك الستّ و صيرورة الجميع نصابا واحدا فعند تمام حوله من حين الزيادة يجب فيه بنت 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بوجوب أربع شياه في العشرين عند تمام حوله ثمّ يبتدأ بحول الجميع من حين الزيادة و عند انتهائه يجب فيه بنت 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بأنّه لا يبتدأ بحول الجميع بعد إخراج الأربع شياه للعشرين عند تمام حوله إلاّ بعد انتهاء ذلك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بوجوب أربع شياه في العشرين عند تمام حوله و ستّة أجزاء من ستة و عشرين جزءا من بنت مخاض في الستّ عند تمام حولها ثمّ وجوب بنت المخاض في المجموع و لكن على وجه التوزيع بأن يكون إذا تمّ الحول الثاني للعشرين وجب فيه عشرون جزء من ستّة و عشرين جزء من بنت مخاض، و إذا تمّ الحول الثاني للستّ وجب فيها ستّة أجزاء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أجودها الوجه الأوّل، و أحوطها الثالث بل الرابع لئلاّ يلزم تثنية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فروعا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أنّه لو كان عنده أربعون و قد نتجت أربعون قبل الحول أو قبل إمكان أداء الزكاة أربعون و تلفت الامّهات سقط عنها الزكاة، و إذا تمّ حول السخال وجب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أنّه لو كان عنده أربعون شاة فتلفت واحدة قبل الحول بعد أن نتجت واحدة، بطل الحول الأوّل و استؤنف حول آخر من حين تولّد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لو ملك الواحدة، و السرّ فيه أنّ هذه الواحدة لم يحل عليها الحول فيصدق عدم حول الحول على الجميع، و شرط وجوب الزكاة حول الحول على جميع النصاب، و هو منتف</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أنّه لو حال الحول على النصاب فتلف بأجمعه فإن كان بتفريط منه و إن كان بتأخير أداء الزكاة مع إمكانه كان ضامنا للزكاة، و إن لم يكن بتفريطه لم يضمن، و لو تلف بعضه مع التفريط لم يسقط من الفريضة شيء، و إن لم يكن بتفريطه سقط منها بنسبة التالف إلى النصاب، فلو كان التالف شاة واحدة من أربعين شاة مثلا سقط من الفريضة جزء من أربعين جزء من شاة، فلو كانت شاتين سقط منها جزءان و هكذا</w:t>
      </w:r>
      <w:r>
        <w:rPr>
          <w:rFonts w:eastAsia="Amiri" w:cs="Amiri" w:ascii="Amiri" w:hAnsi="Amiri"/>
          <w:color w:val="111111"/>
          <w:sz w:val="28"/>
          <w:szCs w:val="28"/>
          <w:rtl w:val="true"/>
          <w:lang w:bidi="ar-SA"/>
        </w:rPr>
        <w:t xml:space="preserve">. </w:t>
      </w:r>
      <w:bookmarkStart w:id="324" w:name="pg16181_154625"/>
    </w:p>
    <w:p>
      <w:pPr>
        <w:pStyle w:val="Heading6"/>
        <w:numPr>
          <w:ilvl w:val="5"/>
          <w:numId w:val="1"/>
        </w:numPr>
        <w:rPr/>
      </w:pPr>
      <w:bookmarkStart w:id="325" w:name="__RefHeading___Toc2586639_1280447820"/>
      <w:bookmarkStart w:id="326" w:name="_Toc118"/>
      <w:bookmarkEnd w:id="324"/>
      <w:bookmarkEnd w:id="325"/>
      <w:r>
        <w:rPr>
          <w:rtl w:val="true"/>
        </w:rPr>
        <w:t>تذنيب</w:t>
      </w:r>
      <w:r>
        <w:rPr>
          <w:rtl w:val="true"/>
        </w:rPr>
        <w:t xml:space="preserve">: </w:t>
      </w:r>
      <w:r>
        <w:rPr>
          <w:rtl w:val="true"/>
        </w:rPr>
        <w:t>لو ارتدّ المالك للنصاب</w:t>
      </w:r>
      <w:bookmarkEnd w:id="326"/>
    </w:p>
    <w:p>
      <w:pPr>
        <w:pStyle w:val="BookText"/>
        <w:rPr/>
      </w:pPr>
      <w:r>
        <w:rPr>
          <w:rFonts w:ascii="Amiri" w:hAnsi="Amiri" w:eastAsia="Amiri" w:cs="Amiri"/>
          <w:color w:val="111111"/>
          <w:sz w:val="28"/>
          <w:sz w:val="28"/>
          <w:szCs w:val="28"/>
          <w:rtl w:val="true"/>
          <w:lang w:bidi="ar-SA"/>
        </w:rPr>
        <w:t>فلا يخلو إمّا أن يكون عن فطرة أو عن ملّة، و على التقديرين فإمّا أن يكون الارتداد قبل الحول أو بعده، فإن كان الارتداد عن فطرة قبل الحول بطل الحول بانقطاع الملك و انتقال المال إلى الورثة فيستأنف الحول من حين الارتداد و عند تمام الحول يجب على الورثة إخراج زكاته كما صرّح به جماعة</w:t>
      </w:r>
      <w:r>
        <w:rPr>
          <w:rStyle w:val="FootnoteAnchor"/>
          <w:rtl w:val="true"/>
        </w:rPr>
        <w:footnoteReference w:id="1428"/>
      </w:r>
      <w:r>
        <w:rPr>
          <w:rFonts w:ascii="Amiri" w:hAnsi="Amiri" w:eastAsia="Amiri" w:cs="Amiri"/>
          <w:color w:val="111111"/>
          <w:sz w:val="28"/>
          <w:sz w:val="28"/>
          <w:szCs w:val="28"/>
          <w:rtl w:val="true"/>
          <w:lang w:bidi="ar-SA"/>
        </w:rPr>
        <w:t>و ربما يستظهر من كلامهم عدم الخلاف فيه من حيث عدم تعرّضهم للإشارة إلى خلاف و لا إشكال، و إن كان الارتداد بعد الحول وجبت عليه الزكاة و لا يصحّ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فلعدم اشتراط وجوبها بالإسلام، و أمّا الثاني فلكون الإسلام شرطا للصحّة كما في سائر الأعمال و العبادات، و عن المسالك</w:t>
      </w:r>
      <w:r>
        <w:rPr>
          <w:rStyle w:val="FootnoteAnchor"/>
          <w:rtl w:val="true"/>
        </w:rPr>
        <w:footnoteReference w:id="1429"/>
      </w:r>
      <w:r>
        <w:rPr>
          <w:rFonts w:ascii="Amiri" w:hAnsi="Amiri" w:eastAsia="Amiri" w:cs="Amiri"/>
          <w:color w:val="111111"/>
          <w:sz w:val="28"/>
          <w:sz w:val="28"/>
          <w:szCs w:val="28"/>
          <w:rtl w:val="true"/>
          <w:lang w:bidi="ar-SA"/>
        </w:rPr>
        <w:t>أنّه يتولّى الإمام أو الساعي الأداء و النيّة و يجزئ عنه لو عاد إلى الإسلام، بخلاف ما لو أدّاها بنفسه فلا يجزئه و إن عاد إلى الإسلام، إلاّ مع بقاء العين و علم القابض و حينئذ يجزئه إن جدّد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الارتداد عن ملّة قبل الحول فيجب عليه الزكاة عند تمام حوله لبقائه في ملكه و عدم انتقاله إلى الورثة بمجرّد ذلك و إن حجر عليه من التصرّف و هذا غير قادح في الوجوب باعتبار عدم تمكّنه من التصرّف الّذي هو من شروط الوجوب كما توهّم، لأنّه بقدرته على العود إلى الإسلام متمكّن من التصرّف، ففي هذه الصورة أيضا إذا لم يعد إلى الإسلام يتولّى الإمام أو نائبه الساعي النيّة في أداء الزكاة، و إذا عاد إليه يجزئه، بخلاف ما لو أدّاها بنفسه فإنّه لا يجزئه إلاّ إذا جدّد النيّة مع بقاء العين أو علم الآخذ</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 مضافا إلى ما تقدّم ظهر حكم ما لو حصل الارتداد عن ملّة بعد الحول، فلا فرق بين الارتدادين إلاّ في انتقال المال إلى الورثة في الارتداد عن فطرة و عدم انتقاله إليهم إلاّ بالقتل أو الموت في الارتداد عن ملّة كما صرّح به في محكيّ الدروس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الردّة فإن كانت عن فطرة انقطع الحول و إلاّ فلا ما لم يقتل أو يمت</w:t>
      </w:r>
      <w:r>
        <w:rPr>
          <w:rFonts w:eastAsia="Amiri" w:cs="Amiri" w:ascii="Amiri" w:hAnsi="Amiri"/>
          <w:color w:val="111111"/>
          <w:sz w:val="28"/>
          <w:szCs w:val="28"/>
          <w:rtl w:val="true"/>
          <w:lang w:bidi="ar-SA"/>
        </w:rPr>
        <w:t>»</w:t>
      </w:r>
      <w:r>
        <w:rPr>
          <w:rStyle w:val="FootnoteAnchor"/>
          <w:rtl w:val="true"/>
        </w:rPr>
        <w:footnoteReference w:id="1430"/>
      </w:r>
      <w:bookmarkStart w:id="327" w:name="pg16181_154626"/>
    </w:p>
    <w:p>
      <w:pPr>
        <w:pStyle w:val="BookText"/>
        <w:rPr/>
      </w:pPr>
      <w:bookmarkEnd w:id="327"/>
      <w:r>
        <w:rPr>
          <w:rFonts w:ascii="Amiri" w:hAnsi="Amiri" w:eastAsia="Amiri" w:cs="Amiri"/>
          <w:color w:val="111111"/>
          <w:sz w:val="28"/>
          <w:sz w:val="28"/>
          <w:szCs w:val="28"/>
          <w:rtl w:val="true"/>
          <w:lang w:bidi="ar-SA"/>
        </w:rPr>
        <w:t>و استجوده في المناهل</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التحق المرتدّ عن ملّة بدار الحرب ففي انتقال أمواله إلى الوارث و عدمه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الشيخ في المبسوط أنّه يزول ملكه و ينتقل المال إلى ورثته إن كان له ورثة و إلاّ فإلى بيت المال، و إن كان حال عليه الحول اخذ منه الزكاة و إن لم يحل عليه الحول لم يجب عليه شيء</w:t>
      </w:r>
      <w:r>
        <w:rPr>
          <w:rStyle w:val="FootnoteAnchor"/>
          <w:rtl w:val="true"/>
        </w:rPr>
        <w:footnoteReference w:id="1432"/>
      </w:r>
      <w:r>
        <w:rPr>
          <w:rFonts w:ascii="Amiri" w:hAnsi="Amiri" w:eastAsia="Amiri" w:cs="Amiri"/>
          <w:color w:val="111111"/>
          <w:sz w:val="28"/>
          <w:sz w:val="28"/>
          <w:szCs w:val="28"/>
          <w:rtl w:val="true"/>
          <w:lang w:bidi="ar-SA"/>
        </w:rPr>
        <w:t>و عن المختلف المصير إلى المنع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إنّ الحاكم يحفظها فإن عاد فهو أحقّ بها و إلاّ انتقلت إلى ورثته بعد موته و حينئذ يجب فيها الزكاة عليه</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المسألة و ترجيح أحد القولين موكول إلى محلّه و إن كان ما اختاره في المختلف في ظاهر النظر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المرتدّة و لو عن فطرة كالمرتدّ عن ملّة في جميع الأحكام المذكورة فيه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انقطاع الحول بارتدادها، و وجوب الزكاة عليها بعد الحول و إن كانت محجورة عن التصرّف لقدرته على رفع الحجر بالعود إلى الإسلام</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2586641_1280447820"/>
      <w:bookmarkStart w:id="329" w:name="_Toc119"/>
      <w:bookmarkEnd w:id="328"/>
      <w:r>
        <w:rPr>
          <w:rtl w:val="true"/>
        </w:rPr>
        <w:t>المرحلة الثالثة</w:t>
      </w:r>
      <w:r>
        <w:rPr>
          <w:rtl w:val="true"/>
        </w:rPr>
        <w:t xml:space="preserve">: </w:t>
      </w:r>
      <w:r>
        <w:rPr>
          <w:rtl w:val="true"/>
        </w:rPr>
        <w:t>في الإبدال و الفروع المتعلّقة بها</w:t>
      </w:r>
      <w:bookmarkEnd w:id="329"/>
    </w:p>
    <w:p>
      <w:pPr>
        <w:pStyle w:val="Heading6"/>
        <w:numPr>
          <w:ilvl w:val="5"/>
          <w:numId w:val="1"/>
        </w:numPr>
        <w:rPr/>
      </w:pPr>
      <w:bookmarkStart w:id="330" w:name="__RefHeading___Toc2586643_1280447820"/>
      <w:bookmarkStart w:id="331" w:name="_Toc120"/>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w:t>
      </w:r>
      <w:r>
        <w:rPr>
          <w:rStyle w:val="FootnoteAnchor"/>
          <w:rtl w:val="true"/>
        </w:rPr>
        <w:footnoteReference w:id="1434"/>
      </w:r>
      <w:r>
        <w:rPr>
          <w:rFonts w:ascii="Amiri" w:hAnsi="Amiri" w:eastAsia="Amiri" w:cs="Amiri"/>
          <w:color w:val="111111"/>
          <w:sz w:val="28"/>
          <w:sz w:val="28"/>
          <w:szCs w:val="28"/>
          <w:rtl w:val="true"/>
          <w:lang w:bidi="ar-SA"/>
        </w:rPr>
        <w:t>أنّ الفريضة في ثلاثين من البقر تبيع أو تبيعة على التخيير، و في أربعين من البقر مسنّة، و ظاهر فتاوي الأصحاب كما هو المصرّح به في كلام جماعة</w:t>
      </w:r>
      <w:r>
        <w:rPr>
          <w:rStyle w:val="FootnoteAnchor"/>
          <w:rtl w:val="true"/>
        </w:rPr>
        <w:footnoteReference w:id="1435"/>
      </w:r>
      <w:r>
        <w:rPr>
          <w:rFonts w:ascii="Amiri" w:hAnsi="Amiri" w:eastAsia="Amiri" w:cs="Amiri"/>
          <w:color w:val="111111"/>
          <w:sz w:val="28"/>
          <w:sz w:val="28"/>
          <w:szCs w:val="28"/>
          <w:rtl w:val="true"/>
          <w:lang w:bidi="ar-SA"/>
        </w:rPr>
        <w:t>أنّها تجب على التعيين فلا يجزئ عنها المسنّ‌، و عن الرياض الإجماع عليه</w:t>
      </w:r>
      <w:r>
        <w:rPr>
          <w:rStyle w:val="FootnoteAnchor"/>
          <w:rtl w:val="true"/>
        </w:rPr>
        <w:footnoteReference w:id="1436"/>
      </w:r>
      <w:r>
        <w:rPr>
          <w:rFonts w:ascii="Amiri" w:hAnsi="Amiri" w:eastAsia="Amiri" w:cs="Amiri"/>
          <w:color w:val="111111"/>
          <w:sz w:val="28"/>
          <w:sz w:val="28"/>
          <w:szCs w:val="28"/>
          <w:rtl w:val="true"/>
          <w:lang w:bidi="ar-SA"/>
        </w:rPr>
        <w:t>و هو قضيّة ظاهر النصّ حيث قال عليه السّلام في صحيحة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أربعين بقرة مسنّة</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ظاهر إطلاق النصّ و الفتوى عدم الفرق في تعيّن المسنّة بين ما لو كان ما عنده من البقر ذكورا أو اناثا أو مختلطة وفاقا للجواهر</w:t>
      </w:r>
      <w:r>
        <w:rPr>
          <w:rStyle w:val="FootnoteAnchor"/>
          <w:rtl w:val="true"/>
        </w:rPr>
        <w:footnoteReference w:id="1438"/>
      </w:r>
      <w:r>
        <w:rPr>
          <w:rFonts w:ascii="Amiri" w:hAnsi="Amiri" w:eastAsia="Amiri" w:cs="Amiri"/>
          <w:color w:val="111111"/>
          <w:sz w:val="28"/>
          <w:sz w:val="28"/>
          <w:szCs w:val="28"/>
          <w:rtl w:val="true"/>
          <w:lang w:bidi="ar-SA"/>
        </w:rPr>
        <w:t>خلافا للمحكيّ عن المنتهى من اجتزائه بالمسنّ إذا لم يكن عنده إلاّ ذكور محتجّا بأنّ الزكاة مواساة فلا يكلّف غير ما عنده</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اعتبار لا يصلح لتأسيس الحكم الشرعي، و مع ذلك فلا ينهض لتقييد النصّ الصحيح،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اجتهاد في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يقضي بجواز الاجتزاء بالمسنّ إذا لم يكن عنده مسنّة مع كون ما عنده إناثا أو مختلطة،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الفريضة في ستّ و عشرين من الإبل بنت مخاض، و من ليست عنده بنت مخاض يجزئه ابن لبون ذكر و إن تمكّن من تحصيلها بشراء و نحوه، ساوى قيمته قيمتها أو لا؟ من غير خلاف يظهر، و عن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في ذلك خلافا بين الأصحاب</w:t>
      </w:r>
      <w:r>
        <w:rPr>
          <w:rFonts w:eastAsia="Amiri" w:cs="Amiri" w:ascii="Amiri" w:hAnsi="Amiri"/>
          <w:color w:val="111111"/>
          <w:sz w:val="28"/>
          <w:szCs w:val="28"/>
          <w:rtl w:val="true"/>
          <w:lang w:bidi="ar-SA"/>
        </w:rPr>
        <w:t>»</w:t>
      </w:r>
      <w:r>
        <w:rPr>
          <w:rStyle w:val="FootnoteAnchor"/>
          <w:rtl w:val="true"/>
        </w:rPr>
        <w:footnoteReference w:id="1440"/>
      </w:r>
      <w:r>
        <w:rPr>
          <w:rFonts w:ascii="Amiri" w:hAnsi="Amiri" w:eastAsia="Amiri" w:cs="Amiri"/>
          <w:color w:val="111111"/>
          <w:sz w:val="28"/>
          <w:sz w:val="28"/>
          <w:szCs w:val="28"/>
          <w:rtl w:val="true"/>
          <w:lang w:bidi="ar-SA"/>
        </w:rPr>
        <w:t>و عن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خلاف ظاهر</w:t>
      </w:r>
      <w:r>
        <w:rPr>
          <w:rFonts w:eastAsia="Amiri" w:cs="Amiri" w:ascii="Amiri" w:hAnsi="Amiri"/>
          <w:color w:val="111111"/>
          <w:sz w:val="28"/>
          <w:szCs w:val="28"/>
          <w:rtl w:val="true"/>
          <w:lang w:bidi="ar-SA"/>
        </w:rPr>
        <w:t>»</w:t>
      </w:r>
      <w:r>
        <w:rPr>
          <w:rStyle w:val="FootnoteAnchor"/>
          <w:rtl w:val="true"/>
        </w:rPr>
        <w:footnoteReference w:id="1441"/>
      </w:r>
      <w:r>
        <w:rPr>
          <w:rFonts w:ascii="Amiri" w:hAnsi="Amiri" w:eastAsia="Amiri" w:cs="Amiri"/>
          <w:color w:val="111111"/>
          <w:sz w:val="28"/>
          <w:sz w:val="28"/>
          <w:szCs w:val="28"/>
          <w:rtl w:val="true"/>
          <w:lang w:bidi="ar-SA"/>
        </w:rPr>
        <w:t>و عن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موضع وفاق</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للأخبار المتقدّم ذكرها الّتي منها صحيحتا</w:t>
      </w:r>
      <w:r>
        <w:rPr>
          <w:rStyle w:val="FootnoteAnchor"/>
          <w:rtl w:val="true"/>
        </w:rPr>
        <w:footnoteReference w:id="1443"/>
      </w:r>
      <w:r>
        <w:rPr>
          <w:rFonts w:ascii="Amiri" w:hAnsi="Amiri" w:eastAsia="Amiri" w:cs="Amiri"/>
          <w:color w:val="111111"/>
          <w:sz w:val="28"/>
          <w:sz w:val="28"/>
          <w:szCs w:val="28"/>
          <w:rtl w:val="true"/>
          <w:lang w:bidi="ar-SA"/>
        </w:rPr>
        <w:t>زرارة و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أنّ الحكم في النصّ و الفتوى معلّق على عدم وجودها عنده لا على تعذّرها، فما عن ظاهر البيان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إجزاء ابن اللبون تعذّر بنت المخاض</w:t>
      </w:r>
      <w:r>
        <w:rPr>
          <w:rStyle w:val="FootnoteAnchor"/>
          <w:rtl w:val="true"/>
        </w:rPr>
        <w:footnoteReference w:id="1444"/>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موجودة عنده لا يجزئه ابن اللبون، كما هو أشهر القولين عملا بمفهوم الشرط في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كما عن القواعد</w:t>
      </w:r>
      <w:r>
        <w:rPr>
          <w:rStyle w:val="FootnoteAnchor"/>
          <w:rtl w:val="true"/>
        </w:rPr>
        <w:footnoteReference w:id="1445"/>
      </w:r>
      <w:r>
        <w:rPr>
          <w:rFonts w:ascii="Amiri" w:hAnsi="Amiri" w:eastAsia="Amiri" w:cs="Amiri"/>
          <w:color w:val="111111"/>
          <w:sz w:val="28"/>
          <w:sz w:val="28"/>
          <w:szCs w:val="28"/>
          <w:rtl w:val="true"/>
          <w:lang w:bidi="ar-SA"/>
        </w:rPr>
        <w:t>و التنقيح</w:t>
      </w:r>
      <w:r>
        <w:rPr>
          <w:rStyle w:val="FootnoteAnchor"/>
          <w:rtl w:val="true"/>
        </w:rPr>
        <w:footnoteReference w:id="1446"/>
      </w:r>
      <w:r>
        <w:rPr>
          <w:rFonts w:ascii="IRNazanin" w:hAnsi="IRNazanin" w:eastAsia="IRNazanin"/>
          <w:color w:val="111111"/>
          <w:sz w:val="28"/>
          <w:sz w:val="28"/>
          <w:szCs w:val="28"/>
          <w:rtl w:val="true"/>
          <w:lang w:bidi="fa-IR"/>
        </w:rPr>
        <w:t>و ظاهر الجمل و العقود</w:t>
      </w:r>
      <w:r>
        <w:rPr>
          <w:rStyle w:val="FootnoteAnchor"/>
          <w:rtl w:val="true"/>
        </w:rPr>
        <w:footnoteReference w:id="1447"/>
      </w:r>
      <w:r>
        <w:rPr>
          <w:rFonts w:ascii="Amiri" w:hAnsi="Amiri" w:eastAsia="Amiri" w:cs="Amiri"/>
          <w:color w:val="111111"/>
          <w:sz w:val="28"/>
          <w:sz w:val="28"/>
          <w:szCs w:val="28"/>
          <w:rtl w:val="true"/>
          <w:lang w:bidi="ar-SA"/>
        </w:rPr>
        <w:t>و الوسيلة</w:t>
      </w:r>
      <w:r>
        <w:rPr>
          <w:rStyle w:val="FootnoteAnchor"/>
          <w:rtl w:val="true"/>
        </w:rPr>
        <w:footnoteReference w:id="1448"/>
      </w:r>
      <w:r>
        <w:rPr>
          <w:rFonts w:ascii="Amiri" w:hAnsi="Amiri" w:eastAsia="Amiri" w:cs="Amiri"/>
          <w:color w:val="111111"/>
          <w:sz w:val="28"/>
          <w:sz w:val="28"/>
          <w:szCs w:val="28"/>
          <w:rtl w:val="true"/>
          <w:lang w:bidi="ar-SA"/>
        </w:rPr>
        <w:t>و الغنية</w:t>
      </w:r>
      <w:r>
        <w:rPr>
          <w:rStyle w:val="FootnoteAnchor"/>
          <w:rtl w:val="true"/>
        </w:rPr>
        <w:footnoteReference w:id="1449"/>
      </w:r>
      <w:r>
        <w:rPr>
          <w:rFonts w:ascii="IRNazanin" w:hAnsi="IRNazanin" w:eastAsia="IRNazanin"/>
          <w:color w:val="111111"/>
          <w:sz w:val="28"/>
          <w:sz w:val="28"/>
          <w:szCs w:val="28"/>
          <w:rtl w:val="true"/>
          <w:lang w:bidi="fa-IR"/>
        </w:rPr>
        <w:t>و النافع</w:t>
      </w:r>
      <w:r>
        <w:rPr>
          <w:rStyle w:val="FootnoteAnchor"/>
          <w:rtl w:val="true"/>
        </w:rPr>
        <w:footnoteReference w:id="1450"/>
      </w:r>
      <w:r>
        <w:rPr>
          <w:rFonts w:ascii="Amiri" w:hAnsi="Amiri" w:eastAsia="Amiri" w:cs="Amiri"/>
          <w:color w:val="111111"/>
          <w:sz w:val="28"/>
          <w:sz w:val="28"/>
          <w:szCs w:val="28"/>
          <w:rtl w:val="true"/>
          <w:lang w:bidi="ar-SA"/>
        </w:rPr>
        <w:t>و التبصرة</w:t>
      </w:r>
      <w:r>
        <w:rPr>
          <w:rStyle w:val="FootnoteAnchor"/>
          <w:rtl w:val="true"/>
        </w:rPr>
        <w:footnoteReference w:id="1451"/>
      </w:r>
      <w:r>
        <w:rPr>
          <w:rFonts w:ascii="IRNazanin" w:hAnsi="IRNazanin" w:eastAsia="IRNazanin"/>
          <w:color w:val="111111"/>
          <w:sz w:val="28"/>
          <w:sz w:val="28"/>
          <w:szCs w:val="28"/>
          <w:rtl w:val="true"/>
          <w:lang w:bidi="fa-IR"/>
        </w:rPr>
        <w:t>و الإرشاد</w:t>
      </w:r>
      <w:r>
        <w:rPr>
          <w:rStyle w:val="FootnoteAnchor"/>
          <w:rtl w:val="true"/>
        </w:rPr>
        <w:footnoteReference w:id="1452"/>
      </w:r>
      <w:r>
        <w:rPr>
          <w:rFonts w:ascii="IRNazanin" w:hAnsi="IRNazanin" w:eastAsia="IRNazanin"/>
          <w:color w:val="111111"/>
          <w:sz w:val="28"/>
          <w:sz w:val="28"/>
          <w:szCs w:val="28"/>
          <w:rtl w:val="true"/>
          <w:lang w:bidi="fa-IR"/>
        </w:rPr>
        <w:t>و الدروس</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بكونه أكبر سنّا</w:t>
      </w:r>
      <w:r>
        <w:rPr>
          <w:rStyle w:val="FootnoteAnchor"/>
          <w:rtl w:val="true"/>
        </w:rPr>
        <w:footnoteReference w:id="1454"/>
      </w:r>
      <w:r>
        <w:rPr>
          <w:rFonts w:ascii="Amiri" w:hAnsi="Amiri" w:eastAsia="Amiri" w:cs="Amiri"/>
          <w:color w:val="111111"/>
          <w:sz w:val="28"/>
          <w:sz w:val="28"/>
          <w:szCs w:val="28"/>
          <w:rtl w:val="true"/>
          <w:lang w:bidi="ar-SA"/>
        </w:rPr>
        <w:t xml:space="preserve">و لا خفاء في ضعفه، إذ الحكم تعبّدي </w:t>
      </w:r>
    </w:p>
    <w:p>
      <w:pPr>
        <w:pStyle w:val="BookText"/>
        <w:rPr/>
      </w:pPr>
      <w:r>
        <w:rPr>
          <w:rFonts w:ascii="Amiri" w:hAnsi="Amiri" w:eastAsia="Amiri" w:cs="Amiri"/>
          <w:color w:val="111111"/>
          <w:sz w:val="28"/>
          <w:sz w:val="28"/>
          <w:szCs w:val="28"/>
          <w:rtl w:val="true"/>
          <w:lang w:bidi="ar-SA"/>
        </w:rPr>
        <w:t>و لا مدخليّة للأكبريّة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السيّد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الأكبريّة سنّا لا دليل على اعتبارها و إنّما المعتبر الفريضة الشرعيّة أو ما يقوم مقامها في الشريعة، و هو هنا ابن اللبون مع فقدها خاصّة أو وجودها إن ساوى قيمته قيمتها أو زادت عليه و جوّزنا إخراج القيمة مطلقا، و الأوّل خارج عن مفروضنا و الثاني أخصّ من المدّعى</w:t>
      </w:r>
      <w:r>
        <w:rPr>
          <w:rFonts w:eastAsia="Amiri" w:cs="Amiri" w:ascii="Amiri" w:hAnsi="Amiri"/>
          <w:color w:val="111111"/>
          <w:sz w:val="28"/>
          <w:szCs w:val="28"/>
          <w:rtl w:val="true"/>
          <w:lang w:bidi="ar-SA"/>
        </w:rPr>
        <w:t>»</w:t>
      </w:r>
      <w:r>
        <w:rPr>
          <w:rStyle w:val="FootnoteAnchor"/>
          <w:rtl w:val="true"/>
        </w:rPr>
        <w:footnoteReference w:id="14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الأصحاب إنّما هو في إجزاء ابن اللبون على أن يكون هو الفريضة بحسب أصل الشريعة و لو بكونه أحد فردي الواجب التخييري، و إلاّ فلو جوّزنا العدول عن بنت المخاض إلى القيمة فلا إشكال في إجزاء كلّ شيء قيمته حتّى ابن اللبون و إن نقص قيمته عن قيمتها، غاية الأمر أنّه يتدارك النقص بانضمام شيء آخر إليه، فالقول بإجزائه من حيث القيمة و بنائه على تجويز إخراج القيمة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فقد بنت المخاض و ابن اللبون معا فالمصرّح به في كلام كثير من الأصحاب أنّه يتخيّر في شراء أيّهما شاء، لأنّه بشراء ابن اللبون يكون واجدا له دون بنت المخاض فيجزيه، و نسب إلى ظاهر المحقّق في المعتبر</w:t>
      </w:r>
      <w:r>
        <w:rPr>
          <w:rStyle w:val="FootnoteAnchor"/>
          <w:rtl w:val="true"/>
        </w:rPr>
        <w:footnoteReference w:id="1456"/>
      </w:r>
      <w:r>
        <w:rPr>
          <w:rFonts w:ascii="Amiri" w:hAnsi="Amiri" w:eastAsia="Amiri" w:cs="Amiri"/>
          <w:color w:val="111111"/>
          <w:sz w:val="28"/>
          <w:sz w:val="28"/>
          <w:szCs w:val="28"/>
          <w:rtl w:val="true"/>
          <w:lang w:bidi="ar-SA"/>
        </w:rPr>
        <w:t>و العلاّمة</w:t>
      </w:r>
      <w:r>
        <w:rPr>
          <w:rStyle w:val="FootnoteAnchor"/>
          <w:rtl w:val="true"/>
        </w:rPr>
        <w:footnoteReference w:id="1457"/>
      </w:r>
      <w:r>
        <w:rPr>
          <w:rFonts w:ascii="Amiri" w:hAnsi="Amiri" w:eastAsia="Amiri" w:cs="Amiri"/>
          <w:color w:val="111111"/>
          <w:sz w:val="28"/>
          <w:sz w:val="28"/>
          <w:szCs w:val="28"/>
          <w:rtl w:val="true"/>
          <w:lang w:bidi="ar-SA"/>
        </w:rPr>
        <w:t>في جملة من كتبه أنّه موضع وفاق بين علمائنا و أكثر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مالك من العامّة أنّه يلزمه شراء بنت المخاض، استنادا إلى أنّه مع عدمهما لا يكون واجدا لابن اللبون فيتعيّن عليه ابتياع ما يلزم الذمّة و هو بنت المخاض، و لأنّهما استويا في العدم كما لو استويا في الوجود</w:t>
      </w:r>
      <w:r>
        <w:rPr>
          <w:rStyle w:val="FootnoteAnchor"/>
          <w:rtl w:val="true"/>
        </w:rPr>
        <w:footnoteReference w:id="1458"/>
      </w:r>
      <w:r>
        <w:rPr>
          <w:rFonts w:ascii="Amiri" w:hAnsi="Amiri" w:eastAsia="Amiri" w:cs="Amiri"/>
          <w:color w:val="111111"/>
          <w:sz w:val="28"/>
          <w:sz w:val="28"/>
          <w:szCs w:val="28"/>
          <w:rtl w:val="true"/>
          <w:lang w:bidi="ar-SA"/>
        </w:rPr>
        <w:t>و استظهر في المدارك</w:t>
      </w:r>
      <w:r>
        <w:rPr>
          <w:rStyle w:val="FootnoteAnchor"/>
          <w:rtl w:val="true"/>
        </w:rPr>
        <w:footnoteReference w:id="1459"/>
      </w:r>
      <w:r>
        <w:rPr>
          <w:rFonts w:ascii="Amiri" w:hAnsi="Amiri" w:eastAsia="Amiri" w:cs="Amiri"/>
          <w:color w:val="111111"/>
          <w:sz w:val="28"/>
          <w:sz w:val="28"/>
          <w:szCs w:val="28"/>
          <w:rtl w:val="true"/>
          <w:lang w:bidi="ar-SA"/>
        </w:rPr>
        <w:t>و الذخيرة</w:t>
      </w:r>
      <w:r>
        <w:rPr>
          <w:rStyle w:val="FootnoteAnchor"/>
          <w:rtl w:val="true"/>
        </w:rPr>
        <w:footnoteReference w:id="1460"/>
      </w:r>
      <w:r>
        <w:rPr>
          <w:rFonts w:ascii="Amiri" w:hAnsi="Amiri" w:eastAsia="Amiri" w:cs="Amiri"/>
          <w:color w:val="111111"/>
          <w:sz w:val="28"/>
          <w:sz w:val="28"/>
          <w:szCs w:val="28"/>
          <w:rtl w:val="true"/>
          <w:lang w:bidi="ar-SA"/>
        </w:rPr>
        <w:t>و الرياض</w:t>
      </w:r>
      <w:r>
        <w:rPr>
          <w:rStyle w:val="FootnoteAnchor"/>
          <w:rtl w:val="true"/>
        </w:rPr>
        <w:footnoteReference w:id="1461"/>
      </w:r>
      <w:r>
        <w:rPr>
          <w:rFonts w:ascii="IRNazanin" w:hAnsi="IRNazanin" w:eastAsia="IRNazanin"/>
          <w:color w:val="111111"/>
          <w:sz w:val="28"/>
          <w:sz w:val="28"/>
          <w:szCs w:val="28"/>
          <w:rtl w:val="true"/>
          <w:lang w:bidi="fa-IR"/>
        </w:rPr>
        <w:t>وجود القائل به من أصحابنا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فالقول المذكور ضعيف جدّا، و الوجهان أيضا ضعيفان، لتطرّق المنع إلى كون ما في الذمّة في هذه الحالة خصوص بنت المخاض لظهور النصوص المعلّقة </w:t>
      </w:r>
      <w:bookmarkStart w:id="332" w:name="pg16181_154629"/>
    </w:p>
    <w:p>
      <w:pPr>
        <w:pStyle w:val="BookText"/>
        <w:rPr/>
      </w:pPr>
      <w:bookmarkEnd w:id="332"/>
      <w:r>
        <w:rPr>
          <w:rFonts w:ascii="Amiri" w:hAnsi="Amiri" w:eastAsia="Amiri" w:cs="Amiri"/>
          <w:color w:val="111111"/>
          <w:sz w:val="28"/>
          <w:sz w:val="28"/>
          <w:szCs w:val="28"/>
          <w:rtl w:val="true"/>
          <w:lang w:bidi="ar-SA"/>
        </w:rPr>
        <w:t>لإجزاء ابن اللبون بصورة فقدها في أنّها إنّما تجب بالخصوص على تقدير وجودها و أمّا مع عدمهما معا فلا دليل على وجوبها بالخصوص، غاية الأمر أنّه يجب عليه شراء ما يؤدّيه مقدّمة، و بشراء ابن اللبون يكون واجدا له فيكون كما لو وجده ابتداء فوجب كونه مجزئا لتحقّق شرطه و هو عدم وجود بنت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منعا دعوى مساواة عدمهما لوجودهما لأنّها قياس محض فلا يعبأ به فالأقوى هو التخيير و لكنّ الأحوط مراعاة شراء ابن اللبون</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2586645_1280447820"/>
      <w:bookmarkStart w:id="334" w:name="_Toc121"/>
      <w:bookmarkEnd w:id="333"/>
      <w:r>
        <w:rPr>
          <w:rtl w:val="true"/>
        </w:rPr>
        <w:t>[</w:t>
      </w:r>
      <w:r>
        <w:rPr>
          <w:rtl w:val="true"/>
        </w:rPr>
        <w:t>فى الإبدال</w:t>
      </w:r>
      <w:r>
        <w:rPr>
          <w:rtl w:val="true"/>
        </w:rPr>
        <w:t>]</w:t>
      </w:r>
      <w:bookmarkEnd w:id="334"/>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سنّ من الإبل و ليست عنده و عنده أعلى منها بسنّ و درجة واحدة دفعها و استدفع شاتين أو عشرين درهما، و إن كانت ما عنده أدون ممّا وجبت عليه بدرجة واحدة دفعها و دفع معها شاتين أو عشرين درهما، كما هو المصرّح به في كلام جمع</w:t>
      </w:r>
      <w:r>
        <w:rPr>
          <w:rStyle w:val="FootnoteAnchor"/>
          <w:rtl w:val="true"/>
        </w:rPr>
        <w:footnoteReference w:id="1462"/>
      </w:r>
      <w:r>
        <w:rPr>
          <w:rFonts w:ascii="Amiri" w:hAnsi="Amiri" w:eastAsia="Amiri" w:cs="Amiri"/>
          <w:color w:val="111111"/>
          <w:sz w:val="28"/>
          <w:sz w:val="28"/>
          <w:szCs w:val="28"/>
          <w:rtl w:val="true"/>
          <w:lang w:bidi="ar-SA"/>
        </w:rPr>
        <w:t>كثير من الأصحاب،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علمائنا أجمع</w:t>
      </w:r>
      <w:r>
        <w:rPr>
          <w:rFonts w:eastAsia="Amiri" w:cs="Amiri" w:ascii="Amiri" w:hAnsi="Amiri"/>
          <w:color w:val="111111"/>
          <w:sz w:val="28"/>
          <w:szCs w:val="28"/>
          <w:rtl w:val="true"/>
          <w:lang w:bidi="ar-SA"/>
        </w:rPr>
        <w:t>»</w:t>
      </w:r>
      <w:r>
        <w:rPr>
          <w:rStyle w:val="FootnoteAnchor"/>
          <w:rtl w:val="true"/>
        </w:rPr>
        <w:footnoteReference w:id="1463"/>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علمائنا أجمع</w:t>
      </w:r>
      <w:r>
        <w:rPr>
          <w:rFonts w:eastAsia="Amiri" w:cs="Amiri" w:ascii="Amiri" w:hAnsi="Amiri"/>
          <w:color w:val="111111"/>
          <w:sz w:val="28"/>
          <w:szCs w:val="28"/>
          <w:rtl w:val="true"/>
          <w:lang w:bidi="ar-SA"/>
        </w:rPr>
        <w:t>»</w:t>
      </w:r>
      <w:r>
        <w:rPr>
          <w:rStyle w:val="FootnoteAnchor"/>
          <w:rtl w:val="true"/>
        </w:rPr>
        <w:footnoteReference w:id="1464"/>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الغنية دعوى الإجماع عليه</w:t>
      </w:r>
      <w:r>
        <w:rPr>
          <w:rStyle w:val="FootnoteAnchor"/>
          <w:rtl w:val="true"/>
        </w:rPr>
        <w:footnoteReference w:id="1465"/>
      </w:r>
      <w:r>
        <w:rPr>
          <w:rFonts w:ascii="Amiri" w:hAnsi="Amiri" w:eastAsia="Amiri" w:cs="Amiri"/>
          <w:color w:val="111111"/>
          <w:sz w:val="28"/>
          <w:sz w:val="28"/>
          <w:szCs w:val="28"/>
          <w:rtl w:val="true"/>
          <w:lang w:bidi="ar-SA"/>
        </w:rPr>
        <w:t>و عن مجمع الفائدة دليله الإجماع</w:t>
      </w:r>
      <w:r>
        <w:rPr>
          <w:rStyle w:val="FootnoteAnchor"/>
          <w:rtl w:val="true"/>
        </w:rPr>
        <w:footnoteReference w:id="1466"/>
      </w:r>
      <w:r>
        <w:rPr>
          <w:rFonts w:ascii="Amiri" w:hAnsi="Amiri" w:eastAsia="Amiri" w:cs="Amiri"/>
          <w:color w:val="111111"/>
          <w:sz w:val="28"/>
          <w:sz w:val="28"/>
          <w:szCs w:val="28"/>
          <w:rtl w:val="true"/>
          <w:lang w:bidi="ar-SA"/>
        </w:rPr>
        <w:t>و عن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مجمع عليه بينهم فيما أعلم</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فلو وجبت عليه جذعة و ليست عنده و عنده حقّة دفعها مع شاتين أو عشرين درهما، أو حقّة و ليست عنده و عنده جذعة دفعها و يأخذ شاتين أو عشرين درهما، أو حقّة و ليست عنده و عنده بنت لبون دفعها مع شاتين أو عشرين درهما، أو بنت لبون و ليست عنده و عنده حقّة دفعها و أخذ شاتين أو عشرين، أو بنت لبون و ليست عنده و عنده بنت مخاض دفعها مع شاتين أو عشرين درهما، أو بنت مخاض و ليست عنده و عنده بنت لبون دفعها و أخذ شاتين أو عشرين درهما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الأصل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الإجماعات و ما بمعناها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مقرن بن عبد اللّه بن سمعة بن زمعة بن سبيع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جدّ أبيه أو عن جدّه عن جدّ أبيه على اختلاف النسخ المنجبر ضعفه بجهالة مقرن و أبيه و جدّه و جدّ أبيه بعمل الأصحاب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صلوات اللّه عليه كتب له في كتابه الّذي كتبه له بخطّه حين بعثه على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بلغت عنده من الإبل صدقة الجذعة و ليست عنده جذعة و عنده حقّة فإنّه يقبل منه الحقّة و يجعل معها شاتين أو عشرين درهما، و من بلغت عنده صدقة الحقّة و ليست عنده حقّة و عنده جذعة فإنّه يقبل منه الجذعة و يعطيه المصدّق شاتين أو عشرين درهما، و من بلغت صدقته حقّة و ليست عنده حقّة و عنده ابنة لبون فإنّه يقبل منه ابنة لبون و يعطي معها شاتين أو عشرين درهما، و من بلغت صدقته ابنة لبون و ليست عنده ابنة لبون و عنده حقّة فإنّه يقبل منه الحقّة و يعطيه المصدّق شاتين أو عشرين درهما، و من بلغت صدقته ابنة لبون و ليست عنده ابنة لبون و عنده ابنة مخاض فإنّه يقبل منه ابنة مخاض و يعطي معها شاتين أو عشرين درهما، و من بلغت صدقته ابنة مخاض و ليست عنده ابنة مخاض و عنده ابنة لبون فإنّه يقبل منه ابنة لبون و يعطيه المصدّق شاتين أو عشرين درهما، و من لم يكن عنده ابنة مخاض على وجهها و عنده ابن لبون ذكر فإنّه يقبل منه ابن لبون و ليس معه شيء، و من لم يكن معه إلاّ أربعة من الإبل و ليس له مال غيرها فليس فيها شيء إلاّ أن يشاء ربّها فإذا بلغ ماله خمسا من الإبل ففيها شاة</w:t>
      </w:r>
      <w:r>
        <w:rPr>
          <w:rFonts w:eastAsia="Amiri" w:cs="Amiri" w:ascii="Amiri" w:hAnsi="Amiri"/>
          <w:color w:val="111111"/>
          <w:sz w:val="28"/>
          <w:szCs w:val="28"/>
          <w:rtl w:val="true"/>
          <w:lang w:bidi="ar-SA"/>
        </w:rPr>
        <w:t>».</w:t>
      </w:r>
      <w:r>
        <w:rPr>
          <w:rStyle w:val="FootnoteAnchor"/>
          <w:rtl w:val="true"/>
        </w:rPr>
        <w:footnoteReference w:id="146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من وجبت عليه جذعة و لم تكن عنده و كانت عنده حقّة دفعها و دفع معها شاتين أو عشرين درهما، و من وجبت عليه حقّة و لم تكن عنده و كانت عنده جذعة دفعها و أخذ من المصدّق شاتين أو عشرين درهما، و من وجبت عليه حقّة و لم تكن عنده و كانت عنده بنت لبون دفعها و دفع معها شاتين أو عشرين درهما، و من وجبت عليه بنت لبون و لم تكن عنده و كانت عنده حقّة دفعها </w:t>
      </w:r>
    </w:p>
    <w:p>
      <w:pPr>
        <w:pStyle w:val="BookText"/>
        <w:rPr/>
      </w:pPr>
      <w:r>
        <w:rPr>
          <w:rFonts w:ascii="Amiri" w:hAnsi="Amiri" w:eastAsia="Amiri" w:cs="Amiri"/>
          <w:color w:val="111111"/>
          <w:sz w:val="28"/>
          <w:sz w:val="28"/>
          <w:szCs w:val="28"/>
          <w:rtl w:val="true"/>
          <w:lang w:bidi="ar-SA"/>
        </w:rPr>
        <w:t>و أعطاه المصدّق شاتين أو عشرين درهما، و من وجبت عليه بنت لبون و لم تكن عنده و كانت عنده بنت مخاض دفعها و أعطى معها شاتين أو عشرين درهما، و من وجبت عليه بنت مخاض و لم تكن عنده و كانت عنده ابنة لبون دفعها و أعطاه المصدّق شاتين أو عشرين درهما، و من وجبت عليه بنت مخاض و لم تكن عنده و كان عنده ابن لبون ذكر فإنّه يقبل منه ابن لبون و ليس يدفع معها شيئا</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فالحكم المذكور لوضوح دليله ممّا لا ريب فيه و لا شبهة تعتريه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التفاوت في جميع المراتب الأربع أخذا و إعطاء بحكم النصّ و فتوى الأكثر حتّى فيما بين بنت مخاض و بنت لبون إنّما هو شاتان أو عشرين درهما، خلافا للصدوقين في الرسالة</w:t>
      </w:r>
      <w:r>
        <w:rPr>
          <w:rStyle w:val="FootnoteAnchor"/>
          <w:rtl w:val="true"/>
        </w:rPr>
        <w:footnoteReference w:id="1470"/>
      </w:r>
      <w:r>
        <w:rPr>
          <w:rFonts w:ascii="IRNazanin" w:hAnsi="IRNazanin" w:eastAsia="IRNazanin"/>
          <w:color w:val="111111"/>
          <w:sz w:val="28"/>
          <w:sz w:val="28"/>
          <w:szCs w:val="28"/>
          <w:rtl w:val="true"/>
          <w:lang w:bidi="fa-IR"/>
        </w:rPr>
        <w:t>و المقنع</w:t>
      </w:r>
      <w:r>
        <w:rPr>
          <w:rStyle w:val="FootnoteAnchor"/>
          <w:rtl w:val="true"/>
        </w:rPr>
        <w:footnoteReference w:id="1471"/>
      </w:r>
      <w:r>
        <w:rPr>
          <w:rFonts w:ascii="Amiri" w:hAnsi="Amiri" w:eastAsia="Amiri" w:cs="Amiri"/>
          <w:color w:val="111111"/>
          <w:sz w:val="28"/>
          <w:sz w:val="28"/>
          <w:szCs w:val="28"/>
          <w:rtl w:val="true"/>
          <w:lang w:bidi="ar-SA"/>
        </w:rPr>
        <w:t>و أبي الفضل</w:t>
      </w:r>
      <w:r>
        <w:rPr>
          <w:rStyle w:val="FootnoteAnchor"/>
          <w:rtl w:val="true"/>
        </w:rPr>
        <w:footnoteReference w:id="1472"/>
      </w:r>
      <w:r>
        <w:rPr>
          <w:rFonts w:ascii="Amiri" w:hAnsi="Amiri" w:eastAsia="Amiri" w:cs="Amiri"/>
          <w:color w:val="111111"/>
          <w:sz w:val="28"/>
          <w:sz w:val="28"/>
          <w:szCs w:val="28"/>
          <w:rtl w:val="true"/>
          <w:lang w:bidi="ar-SA"/>
        </w:rPr>
        <w:t xml:space="preserve">الجعفي في بنت مخاض و بنت لبون فجعلوا التفاوت بينهما أخذا و 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مستندهم في ذلك المحكيّ عن فقه الرضا</w:t>
      </w:r>
      <w:r>
        <w:rPr>
          <w:rStyle w:val="FootnoteAnchor"/>
          <w:rtl w:val="true"/>
        </w:rPr>
        <w:footnoteReference w:id="1473"/>
      </w:r>
      <w:r>
        <w:rPr>
          <w:rFonts w:ascii="Amiri" w:hAnsi="Amiri" w:eastAsia="Amiri" w:cs="Amiri"/>
          <w:color w:val="111111"/>
          <w:sz w:val="28"/>
          <w:sz w:val="28"/>
          <w:szCs w:val="28"/>
          <w:rtl w:val="true"/>
          <w:lang w:bidi="ar-SA"/>
        </w:rPr>
        <w:t>مع أنّ الصدوق في الفقيه</w:t>
      </w:r>
      <w:r>
        <w:rPr>
          <w:rStyle w:val="FootnoteAnchor"/>
          <w:rtl w:val="true"/>
        </w:rPr>
        <w:footnoteReference w:id="1474"/>
      </w:r>
      <w:r>
        <w:rPr>
          <w:rFonts w:ascii="IRNazanin" w:hAnsi="IRNazanin" w:eastAsia="IRNazanin"/>
          <w:color w:val="111111"/>
          <w:sz w:val="28"/>
          <w:sz w:val="28"/>
          <w:szCs w:val="28"/>
          <w:rtl w:val="true"/>
          <w:lang w:bidi="fa-IR"/>
        </w:rPr>
        <w:t>أفتى بما وافق المشهور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شذوذ أصل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مستنده، لعدم كون الكتاب المذكور ثابت الاعتبار، و على تقدير ثبوت اعتباره فما فيه لا يقاوم لمعارضة الخبرين، لمكان عمل المعظم بهما إذ به ينجبر ضعيفهما و يعتضد صحيحهما مضافا إلى الإجماعات المنقولة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إلى البدل مع الجبر أخذا و إعطاء في النصّ و الفتوى معلّق على فقد المبدل، فلا يجوز لمن عنده ابنة مخاض و ابنة لبون معا إذا وجبت عليه إحداهما إبدالها بالاخرى مع الجبر، لوجوب الاقتصار في الحكم المخالف للأصل على مورد الدليل، و الظاهر أنّه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المسالك</w:t>
      </w:r>
      <w:r>
        <w:rPr>
          <w:rStyle w:val="FootnoteAnchor"/>
          <w:rtl w:val="true"/>
        </w:rPr>
        <w:footnoteReference w:id="1475"/>
      </w:r>
      <w:r>
        <w:rPr>
          <w:rFonts w:ascii="Amiri" w:hAnsi="Amiri" w:eastAsia="Amiri" w:cs="Amiri"/>
          <w:color w:val="111111"/>
          <w:sz w:val="28"/>
          <w:sz w:val="28"/>
          <w:szCs w:val="28"/>
          <w:rtl w:val="true"/>
          <w:lang w:bidi="ar-SA"/>
        </w:rPr>
        <w:t>تبعا للعلاّمة في التذكرة</w:t>
      </w:r>
      <w:r>
        <w:rPr>
          <w:rStyle w:val="FootnoteAnchor"/>
          <w:rtl w:val="true"/>
        </w:rPr>
        <w:footnoteReference w:id="1476"/>
      </w:r>
      <w:r>
        <w:rPr>
          <w:rFonts w:ascii="Amiri" w:hAnsi="Amiri" w:eastAsia="Amiri" w:cs="Amiri"/>
          <w:color w:val="111111"/>
          <w:sz w:val="28"/>
          <w:sz w:val="28"/>
          <w:szCs w:val="28"/>
          <w:rtl w:val="true"/>
          <w:lang w:bidi="ar-SA"/>
        </w:rPr>
        <w:t>إجزاء شاة و عشرة دراهم في الجبر أخذا و إعطاء، و مرجعه الاجتزاء بالملفّق من الشاة و الدراهم على وجه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النصّ و الفتوى عدم الإجزاء كما صرّح به جماعة</w:t>
      </w:r>
      <w:r>
        <w:rPr>
          <w:rStyle w:val="FootnoteAnchor"/>
          <w:rtl w:val="true"/>
        </w:rPr>
        <w:footnoteReference w:id="1477"/>
      </w:r>
      <w:r>
        <w:rPr>
          <w:rFonts w:ascii="Amiri" w:hAnsi="Amiri" w:eastAsia="Amiri" w:cs="Amiri"/>
          <w:color w:val="111111"/>
          <w:sz w:val="28"/>
          <w:sz w:val="28"/>
          <w:szCs w:val="28"/>
          <w:rtl w:val="true"/>
          <w:lang w:bidi="ar-SA"/>
        </w:rPr>
        <w:t>فالقول المذكور خروج عن الظاهر من غير جهة فلا يعبأ به سيّما مع أنّ الحكم المخالف للأصل يقتصر فيه على مورد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تفاوتت الأسنان في العلوّ و الدنوّ بأزيد من درجة واحدة كما إذا كانت عليه بنت مخاض و لم تكن عنده إلاّ الحقّة أو الجذعة، أو كانت عليه جذعة و لم يكن عنده إلاّ بنت لبون أو بنت مخاض، أو كانت عليه حقّة و لم تكن عنده إلاّ بنت مخاض فهل يتضاعف المقدّر الشرعي في الجبر و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يدفع في الصورة الاولى الحقّة و يسترجع أربعة شياه أو أربعين درهما، و في الثانية و الثالثة الجذعة و يسترجع أربع شياه أو أربعين درهما، و في الرابعة بنت اللبون و يجعل معها أربع شياه أو أربعين درهما، و في الخامسة بنت المخاض و يجعل معها ستّ شياه أو ستّين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يتضاعف المقدّر الشرعي فلا يدفع في هذه الصور إلاّ القيمة السوقيّة فدفع ما عنده عن الفريضة ثمّ جبر التفاوت في العلوّ و الدنوّ بشاتين أو عشرين درهما أخذا و إعطاء مقصور على ما لو كان التفاوت بين الفريضة و ما يدفع عنها بسنّ واحد و درجة واحدة‌؟ فيه خلاف على قولين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أقواهما الثاني، و هو الأشهر على ما عن الكفاية</w:t>
      </w:r>
      <w:r>
        <w:rPr>
          <w:rStyle w:val="FootnoteAnchor"/>
          <w:rtl w:val="true"/>
        </w:rPr>
        <w:footnoteReference w:id="1478"/>
      </w:r>
      <w:r>
        <w:rPr>
          <w:rFonts w:ascii="Amiri" w:hAnsi="Amiri" w:eastAsia="Amiri" w:cs="Amiri"/>
          <w:color w:val="111111"/>
          <w:sz w:val="28"/>
          <w:sz w:val="28"/>
          <w:szCs w:val="28"/>
          <w:rtl w:val="true"/>
          <w:lang w:bidi="ar-SA"/>
        </w:rPr>
        <w:t>و رأي مشهور بين الأصحاب كما في الذخيرة</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الحلّي على ما نسب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بل يؤخذ </w:t>
      </w:r>
    </w:p>
    <w:p>
      <w:pPr>
        <w:pStyle w:val="BookText"/>
        <w:rPr/>
      </w:pPr>
      <w:r>
        <w:rPr>
          <w:rFonts w:ascii="Amiri" w:hAnsi="Amiri" w:eastAsia="Amiri" w:cs="Amiri"/>
          <w:color w:val="111111"/>
          <w:sz w:val="28"/>
          <w:sz w:val="28"/>
          <w:szCs w:val="28"/>
          <w:rtl w:val="true"/>
          <w:lang w:bidi="ar-SA"/>
        </w:rPr>
        <w:t xml:space="preserve">بالقيمة السوقيّة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الاعتبار و القياس و المنصوص من الأئمّة عليهم السّلام و المتداول من الأقوال و الفتيا بين الأصحاب أنّ هذا الحكم فيما يلي السنّ الواجبة من الدرج دون ما بعد عنها</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ما حكاه في المختلف عن أبي الصلاح</w:t>
      </w:r>
      <w:r>
        <w:rPr>
          <w:rStyle w:val="FootnoteAnchor"/>
          <w:rtl w:val="true"/>
        </w:rPr>
        <w:footnoteReference w:id="1481"/>
      </w:r>
      <w:r>
        <w:rPr>
          <w:rFonts w:ascii="Amiri" w:hAnsi="Amiri" w:eastAsia="Amiri" w:cs="Amiri"/>
          <w:color w:val="111111"/>
          <w:sz w:val="28"/>
          <w:sz w:val="28"/>
          <w:szCs w:val="28"/>
          <w:rtl w:val="true"/>
          <w:lang w:bidi="ar-SA"/>
        </w:rPr>
        <w:t>و نسبه إلى ظاهر الشيخ في المبسوط</w:t>
      </w:r>
      <w:r>
        <w:rPr>
          <w:rStyle w:val="FootnoteAnchor"/>
          <w:rtl w:val="true"/>
        </w:rPr>
        <w:footnoteReference w:id="1482"/>
      </w:r>
      <w:r>
        <w:rPr>
          <w:rFonts w:ascii="Amiri" w:hAnsi="Amiri" w:eastAsia="Amiri" w:cs="Amiri"/>
          <w:color w:val="111111"/>
          <w:sz w:val="28"/>
          <w:sz w:val="28"/>
          <w:szCs w:val="28"/>
          <w:rtl w:val="true"/>
          <w:lang w:bidi="ar-SA"/>
        </w:rPr>
        <w:t>و استقربه هو في الكتاب</w:t>
      </w:r>
      <w:r>
        <w:rPr>
          <w:rStyle w:val="FootnoteAnchor"/>
          <w:rtl w:val="true"/>
        </w:rPr>
        <w:footnoteReference w:id="1483"/>
      </w:r>
      <w:r>
        <w:rPr>
          <w:rFonts w:ascii="Amiri" w:hAnsi="Amiri" w:eastAsia="Amiri" w:cs="Amiri"/>
          <w:color w:val="111111"/>
          <w:sz w:val="28"/>
          <w:sz w:val="28"/>
          <w:szCs w:val="28"/>
          <w:rtl w:val="true"/>
          <w:lang w:bidi="ar-SA"/>
        </w:rPr>
        <w:t>و مال إليه في المنتهى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يخلو عن قوّة</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و ربما نسب إليه في جملة من كتبه</w:t>
      </w:r>
      <w:r>
        <w:rPr>
          <w:rStyle w:val="FootnoteAnchor"/>
          <w:rtl w:val="true"/>
        </w:rPr>
        <w:footnoteReference w:id="1485"/>
      </w:r>
      <w:r>
        <w:rPr>
          <w:rFonts w:ascii="Amiri" w:hAnsi="Amiri" w:eastAsia="Amiri" w:cs="Amiri"/>
          <w:color w:val="111111"/>
          <w:sz w:val="28"/>
          <w:sz w:val="28"/>
          <w:szCs w:val="28"/>
          <w:rtl w:val="true"/>
          <w:lang w:bidi="ar-SA"/>
        </w:rPr>
        <w:t>و عن غاية المراد نسبة اختياره إلى الجعفي</w:t>
      </w:r>
      <w:r>
        <w:rPr>
          <w:rStyle w:val="FootnoteAnchor"/>
          <w:rtl w:val="true"/>
        </w:rPr>
        <w:footnoteReference w:id="1486"/>
      </w:r>
      <w:r>
        <w:rPr>
          <w:rFonts w:ascii="Amiri" w:hAnsi="Amiri" w:eastAsia="Amiri" w:cs="Amiri"/>
          <w:color w:val="111111"/>
          <w:sz w:val="28"/>
          <w:sz w:val="28"/>
          <w:szCs w:val="28"/>
          <w:rtl w:val="true"/>
          <w:lang w:bidi="ar-SA"/>
        </w:rPr>
        <w:t>و إن خالف في مقدار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استظهر عن التنقيح التوقّف في المسألة</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وجوب الاقتصار في الحكم المخالف للأصل على المنصوص، و تضاعف المقدّر في الصور المذكورة خارج عن المنصوص فلا يصار إليه لكونه قياسا محرّما كما أشار إليه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العلاّمة على ما استقربه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المجموع من بنت المخاض و الغنم أو الدراهم مساو لبنت اللبون في المصالح المتعلّقة بإيجابها، و المجموع من بنت اللبون و الغنم أو الدراهم مساو للحقّة في المصالح المتعلّقة بإيجابها، و الضرورة قاضية بأنّ مساوي المساوي مساو، فيكون بنت المخاض مع الضعف من الغنم أو الضعف من الدراهم مساوية للحقّة في المصالح المتعلّقة بإيجابها، و إذا كان كذلك جاز الانتقال في الدرجتين فما زاد فهاهنا مقدّمات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بنت المخاض مع الغنم أو الدراهم لبنت اللبون في المصالح، لأنّه لو لا ذلك لقبح جعله بدلا على تقدير المساواة أو الرجحان، و لأنّه لولاه لكان حراما كالترك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بنت اللبون مع الغنم أو الدراهم للحقّة، و هي مقدّمة ظاهرة ممّا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الانتقال مع تقدير المساواة و هو أيضا ظاهر إذ مع التساوي في المصالح المتعلّقة بالتكليف يقبح التخصيص لأحد المتساويين بالإجزاء دون صاحبه</w:t>
      </w:r>
      <w:r>
        <w:rPr>
          <w:rFonts w:eastAsia="Amiri" w:cs="Amiri" w:ascii="Amiri" w:hAnsi="Amiri"/>
          <w:color w:val="111111"/>
          <w:sz w:val="28"/>
          <w:szCs w:val="28"/>
          <w:rtl w:val="true"/>
          <w:lang w:bidi="ar-SA"/>
        </w:rPr>
        <w:t>»</w:t>
      </w:r>
      <w:r>
        <w:rPr>
          <w:rStyle w:val="FootnoteAnchor"/>
          <w:rtl w:val="true"/>
        </w:rPr>
        <w:footnoteReference w:id="14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مساواة بنت المخاض و شاتين أو عشرين درهما لبنت اللبون في جميع الأحكام المصالح و إلاّ استحال كون بدليّتهما عنها معلّقة على فقدها، بل يجب كونهما بدلا عنها مطلقا و لو مع وجودها على وجه يقع كلّ منهما أحد فردي الواجب التخييري، لما حقّق في محلّه من أنّ كلّ شيئين متشاركين في المصلحة يقبح تخصيص أحدهما بعينه بالأمر و الإيجاب، بل وجب الأمر بهما معا على وجه التخيير، فبنت المخاض مع انضمام شاتين أو عشرين درهما متساوية لبنت اللبون في بعض الأحكام و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أنّها مع الجبر المذكور بدل اضطراري لبنت اللبون، و البدل الاضطراري يشارك المبدل في بعض الأحكام، كالترابيّة حيث تقع بدلا عن المائيّة حيث إنّها تشارك المائيّة في بعض الأحكام و هي استباحة الصلاة لا جميع أحكامها الّتي منها رفع الحدث، فغاية ما يسلّم من مساواة بنت المخاض مع الجبر المذكور لبنت اللبون كونها مجزئة عنها كما أنّها عند وجودها كانت مجزئة عن نفسها، و لا يلزم من ذلك كونها مجزئة عمّا كانت بنت اللبون عند وجودها مجزئة عنه عند وجوبه و هو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مساواة بنت المخاض مع أربع شياه أو أربعين درهما للحقّة لمجرّد كون بنت اللبون و شاتين أو عشرين درهما مساوية لها، لجواز مدخليّة خصوصيّة في ذات بنت اللبون في الإجزاء عن الحقّة منتفية في بنت المخاض و أربع شياه أو أربعين درهما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ظهر أنّ التعدّي هنا من بنت اللبون مع الشاتين أو عشرين درهما إلى بنت المخاض مع الأربع أو الأربعين ليس من القياس الجليّ‌، لوجوب كون العلّة في الفرع آكد و أقوى منها في الأصل في القياس الجليّ‌، و مع احتمال مدخليّة الخصوصيّة </w:t>
      </w:r>
    </w:p>
    <w:p>
      <w:pPr>
        <w:pStyle w:val="BookText"/>
        <w:rPr/>
      </w:pPr>
      <w:r>
        <w:rPr>
          <w:rFonts w:ascii="Amiri" w:hAnsi="Amiri" w:eastAsia="Amiri" w:cs="Amiri"/>
          <w:color w:val="111111"/>
          <w:sz w:val="28"/>
          <w:sz w:val="28"/>
          <w:szCs w:val="28"/>
          <w:rtl w:val="true"/>
          <w:lang w:bidi="ar-SA"/>
        </w:rPr>
        <w:t>في الأصل لا يعقل الآكديّة و الأقوائيّة في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أيضا أنّه ليس من باب تنقيح المناط، لعدم القطع بإلغاء الفارق لمجرّد قيام احتمال مدخليّة خصوصيّة في ذات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انقدح بطلان ما ذكره العلاّمة في المختلف على ما حكي من ردّ كلام الحلّي حيث جعل القول بتضاعف المقدّر قياسا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خطأ، بل هو حكم مستفاد من قضايا عقليّة قطعيّة</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لتطرّق المنع إلى قطعيّة المقدّمات المذكورة و لا سيّما دعوى مساواة بنت المخاض مع الضعف من الغنم أو الضعف من الدراهم لحقّة، لما عرفت من قيام احتمال مدخليّة خصوصيّة في ذات بنت اللبون منتفية في بنت المخاض و لو مع تضاعف الجبر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فالطعن على الدليل بكونه قياسا لخروجه من المنصوص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أن يعلم أنّ المراد من الإجزاء المنفيّ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بنت المخاض مع الأربع أو الأربعين لا تجزئ عن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اللبون مع الأربع أو الأربعين عن الجذعة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إجزاؤها عنها على أنّها بنفسها بدل شرعي عنها، و إلاّ فدفعها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مساواة قيمتها السوقيّة لقيمة هذا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ينبغي التأمّل في جوازه و كونه مجزئا، بل الظاهر أنّه ممّا لا خلاف فيه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أن يعلم أيضا أنّ من طريق الاستدلال على المنع من تضاعف المقدّر في الصور المتقدّمة من أنّه خروج من النصّ‌، ظهر أنّه لا يجزئ ما زاد على الجذع من أسنان الإبل كالثني و هو ما دخل في السادسة و الرباع و هو ما دخل في السابعة و السديس و هو ما دخل في الثامنة و الباذل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دخل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الجذع و ما دونه أيضا مع أخذ التفاوت، بأن يدفع عن الجذع مثلا الثنيّ و يسترجع شاتان أو عشرون درهما، كما نصّ عليه جمع كثير من الأصحاب</w:t>
      </w:r>
      <w:r>
        <w:rPr>
          <w:rStyle w:val="FootnoteAnchor"/>
          <w:rtl w:val="true"/>
        </w:rPr>
        <w:footnoteReference w:id="1490"/>
      </w:r>
      <w:r>
        <w:rPr>
          <w:rFonts w:ascii="Amiri" w:hAnsi="Amiri" w:eastAsia="Amiri" w:cs="Amiri"/>
          <w:color w:val="111111"/>
          <w:sz w:val="28"/>
          <w:sz w:val="28"/>
          <w:szCs w:val="28"/>
          <w:rtl w:val="true"/>
          <w:lang w:bidi="ar-SA"/>
        </w:rPr>
        <w:t xml:space="preserve">و في المناهل </w:t>
      </w:r>
    </w:p>
    <w:p>
      <w:pPr>
        <w:pStyle w:val="BookText"/>
        <w:rPr/>
      </w:pPr>
      <w:r>
        <w:rPr>
          <w:rFonts w:ascii="Amiri" w:hAnsi="Amiri" w:eastAsia="Amiri" w:cs="Amiri"/>
          <w:color w:val="111111"/>
          <w:sz w:val="28"/>
          <w:sz w:val="28"/>
          <w:szCs w:val="28"/>
          <w:rtl w:val="true"/>
          <w:lang w:bidi="ar-SA"/>
        </w:rPr>
        <w:t>ظهور الاتّفاق عليه</w:t>
      </w:r>
      <w:r>
        <w:rPr>
          <w:rStyle w:val="FootnoteAnchor"/>
          <w:rtl w:val="true"/>
        </w:rPr>
        <w:footnoteReference w:id="1491"/>
      </w:r>
      <w:r>
        <w:rPr>
          <w:rFonts w:ascii="Amiri" w:hAnsi="Amiri" w:eastAsia="Amiri" w:cs="Amiri"/>
          <w:color w:val="111111"/>
          <w:sz w:val="28"/>
          <w:sz w:val="28"/>
          <w:szCs w:val="28"/>
          <w:rtl w:val="true"/>
          <w:lang w:bidi="ar-SA"/>
        </w:rPr>
        <w:t>و عن الشهيد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أجمعوا على انتفاء الجبر فيما زاد على الجذع</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فيه وجوب الاقتصار في إجزاء غير الفرض عن الفرض على مورد النصّ‌، و هذا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في نحو ذلك أيضا الرجوع إلى القيمة السوقيّة كما صرّح به في الشرائع</w:t>
      </w:r>
      <w:r>
        <w:rPr>
          <w:rStyle w:val="FootnoteAnchor"/>
          <w:rtl w:val="true"/>
        </w:rPr>
        <w:footnoteReference w:id="149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دفع ما زاد بعنوان القيمة و يستردّ التفاوت لو كان، فالظاهر أنّه جائز بلا خلاف، غير أنّ التفاوت حينئذ لا يتعيّن كونه شاتين أو عشرين درهما بل قد يزيد عليه و قد ينقص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جماعة</w:t>
      </w:r>
      <w:r>
        <w:rPr>
          <w:rStyle w:val="FootnoteAnchor"/>
          <w:rtl w:val="true"/>
        </w:rPr>
        <w:footnoteReference w:id="1494"/>
      </w:r>
      <w:r>
        <w:rPr>
          <w:rFonts w:ascii="Amiri" w:hAnsi="Amiri" w:eastAsia="Amiri" w:cs="Amiri"/>
          <w:color w:val="111111"/>
          <w:sz w:val="28"/>
          <w:sz w:val="28"/>
          <w:szCs w:val="28"/>
          <w:rtl w:val="true"/>
          <w:lang w:bidi="ar-SA"/>
        </w:rPr>
        <w:t>في إجزاء ما زاد على الجذع من الأسنان المذكورة عنه و عدمه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القيمة، و من الخروج من 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يعطي التوقّف و ليس في محلّه، بل الوجه عدم الإجزاء أصالة و الإجزاء قيمة، و زيادة القيمة غير مطّردة و حيث زادت القيمة أو تساوت أجزء دفع ما زاد بعنوان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الاستدلال المذكور أيضا ظهر أنّه لا يجوز جبر ما دون الفريضة بمثله أو بما دونه فلا يجزئ بنتا مخاض عن بنت لبون، و لا بنت لبون و بنت مخاض عن حقّة، و لا بنتا لبون و لا حقّة و بنت لبون عن جذعة، لخروج الجميع عن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حيثما تعيّن العدول إلى القيمة السوقيّة جاز دفع إحدى هذه الفروض بعنوان القيمة على تقدير تساوي القيمتين أو مع زيادة قيمة المدفوع، و جاز استرجاع الزيادة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ظهر أيضا عدم إجزاء بنت المخاض عن الخمسة شياه فى من عنده خمس و عشرون إبلا إلاّ بعنوان القيمة مع تساوي القيمتين أو زيادة قيمة بنت المخاض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من أراد دفع الشياه عن بنت المخاض</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في المدارك للصورة الاولى وجها للإجزاء من باب الأولويّة نظرا إلى إجزاء </w:t>
      </w:r>
    </w:p>
    <w:p>
      <w:pPr>
        <w:pStyle w:val="BookText"/>
        <w:rPr/>
      </w:pPr>
      <w:r>
        <w:rPr>
          <w:rFonts w:ascii="Amiri" w:hAnsi="Amiri" w:eastAsia="Amiri" w:cs="Amiri"/>
          <w:color w:val="111111"/>
          <w:sz w:val="28"/>
          <w:sz w:val="28"/>
          <w:szCs w:val="28"/>
          <w:rtl w:val="true"/>
          <w:lang w:bidi="ar-SA"/>
        </w:rPr>
        <w:t>بنت المخاض عن الأكثر فيجزئ عن الأقلّ ثمّ رجّح ما اخترناه ناقلا له عن المعتبر أيضا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الأصحّ عدم الإجزاء مطلقا إلاّ بالقيمة السوقيّة إن سوّغنا ذلك بل قال 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عن خمس من الإبل بعيرا لم يجزئ لأنّه أخرج غير الواجب فلا يجزئ عنه كما لو أخرج بعيرا عن أربعين شاة من الغنم، نعم لو أخرجه بالقيمة السوقيّة و كان مساويا لقيمة الشاة أو أكثر جاز</w:t>
      </w:r>
      <w:r>
        <w:rPr>
          <w:rStyle w:val="FootnoteAnchor"/>
          <w:rtl w:val="true"/>
        </w:rPr>
        <w:footnoteReference w:id="1495"/>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حال الحول على النصاب و هو فوق الجذع فظاهر الأصحاب وجوب تحصيل الفريضة من غيره لتعلّق الأمر بها فلا يجزئ غيرها إلاّ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مخيّر بين أن يشتري الفرض و بين أن يعطي واحدة منها و بين أن يدفع القيمة</w:t>
      </w:r>
      <w:r>
        <w:rPr>
          <w:rStyle w:val="FootnoteAnchor"/>
          <w:rtl w:val="true"/>
        </w:rPr>
        <w:footnoteReference w:id="1496"/>
      </w:r>
      <w:r>
        <w:rPr>
          <w:rFonts w:ascii="Amiri" w:hAnsi="Amiri" w:eastAsia="Amiri" w:cs="Amiri"/>
          <w:color w:val="111111"/>
          <w:sz w:val="28"/>
          <w:sz w:val="28"/>
          <w:szCs w:val="28"/>
          <w:rtl w:val="true"/>
          <w:lang w:bidi="ar-SA"/>
        </w:rPr>
        <w:t>و لم يستدلّ عليه بشيء، 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حال الحول على إحدى و ستّين و هي دون الجذع، أو ستّ و أربعين و هي دون الحقق، أو ستّ و ثلاثين و هي دون بنات اللبون، أو ستّ و عشرين و هي دون بنت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 الشهيد في البيان الإخراج من النصاب مطلقا و إن كان دون بنت المخاض،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ربّما تساوى المخرج من الستّ و العشرين إلى الإحدى و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وجوب السنّ الواجبة من غيره</w:t>
      </w:r>
      <w:r>
        <w:rPr>
          <w:rStyle w:val="FootnoteAnchor"/>
          <w:rtl w:val="true"/>
        </w:rPr>
        <w:footnoteReference w:id="1497"/>
      </w:r>
      <w:r>
        <w:rPr>
          <w:rFonts w:ascii="Amiri" w:hAnsi="Amiri" w:eastAsia="Amiri" w:cs="Amiri"/>
          <w:color w:val="111111"/>
          <w:sz w:val="28"/>
          <w:sz w:val="28"/>
          <w:szCs w:val="28"/>
          <w:rtl w:val="true"/>
          <w:lang w:bidi="ar-SA"/>
        </w:rPr>
        <w:t>و هذا الاحتمال لا يخلو عن قوّة</w:t>
      </w:r>
      <w:r>
        <w:rPr>
          <w:rFonts w:eastAsia="Amiri" w:cs="Amiri" w:ascii="Amiri" w:hAnsi="Amiri"/>
          <w:color w:val="111111"/>
          <w:sz w:val="28"/>
          <w:szCs w:val="28"/>
          <w:rtl w:val="true"/>
          <w:lang w:bidi="ar-SA"/>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كلامه رفع مقامه، و إنّما نقلناه بطوله، لجودة ما اختاره في جميع الفروع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w:t>
      </w:r>
      <w:r>
        <w:rPr>
          <w:rStyle w:val="FootnoteAnchor"/>
          <w:rtl w:val="true"/>
        </w:rPr>
        <w:footnoteReference w:id="1499"/>
      </w:r>
      <w:r>
        <w:rPr>
          <w:rFonts w:ascii="Amiri" w:hAnsi="Amiri" w:eastAsia="Amiri" w:cs="Amiri"/>
          <w:color w:val="111111"/>
          <w:sz w:val="28"/>
          <w:sz w:val="28"/>
          <w:szCs w:val="28"/>
          <w:rtl w:val="true"/>
          <w:lang w:bidi="ar-SA"/>
        </w:rPr>
        <w:t>و المدارك</w:t>
      </w:r>
      <w:r>
        <w:rPr>
          <w:rStyle w:val="FootnoteAnchor"/>
          <w:rtl w:val="true"/>
        </w:rPr>
        <w:footnoteReference w:id="1500"/>
      </w:r>
      <w:r>
        <w:rPr>
          <w:rFonts w:ascii="Amiri" w:hAnsi="Amiri" w:eastAsia="Amiri" w:cs="Amiri"/>
          <w:color w:val="111111"/>
          <w:sz w:val="28"/>
          <w:sz w:val="28"/>
          <w:szCs w:val="28"/>
          <w:rtl w:val="true"/>
          <w:lang w:bidi="ar-SA"/>
        </w:rPr>
        <w:t>و المناهل ناقلا عن جمع آخر أنّه لا جبران فيما عدى الإبل من البقر و الغنم</w:t>
      </w:r>
      <w:r>
        <w:rPr>
          <w:rStyle w:val="FootnoteAnchor"/>
          <w:rtl w:val="true"/>
        </w:rPr>
        <w:footnoteReference w:id="1501"/>
      </w:r>
      <w:r>
        <w:rPr>
          <w:rFonts w:ascii="Amiri" w:hAnsi="Amiri" w:eastAsia="Amiri" w:cs="Amiri"/>
          <w:color w:val="111111"/>
          <w:sz w:val="28"/>
          <w:sz w:val="28"/>
          <w:szCs w:val="28"/>
          <w:rtl w:val="true"/>
          <w:lang w:bidi="ar-SA"/>
        </w:rPr>
        <w:t>و عن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فيه خلافا</w:t>
      </w:r>
      <w:r>
        <w:rPr>
          <w:rFonts w:eastAsia="Amiri" w:cs="Amiri" w:ascii="Amiri" w:hAnsi="Amiri"/>
          <w:color w:val="111111"/>
          <w:sz w:val="28"/>
          <w:szCs w:val="28"/>
          <w:rtl w:val="true"/>
          <w:lang w:bidi="ar-SA"/>
        </w:rPr>
        <w:t>»</w:t>
      </w:r>
      <w:r>
        <w:rPr>
          <w:rStyle w:val="FootnoteAnchor"/>
          <w:rtl w:val="true"/>
        </w:rPr>
        <w:footnoteReference w:id="1502"/>
      </w:r>
      <w:r>
        <w:rPr>
          <w:rFonts w:ascii="Amiri" w:hAnsi="Amiri" w:eastAsia="Amiri" w:cs="Amiri"/>
          <w:color w:val="111111"/>
          <w:sz w:val="28"/>
          <w:sz w:val="28"/>
          <w:szCs w:val="28"/>
          <w:rtl w:val="true"/>
          <w:lang w:bidi="ar-SA"/>
        </w:rPr>
        <w:t>و عن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ذلك</w:t>
      </w:r>
      <w:r>
        <w:rPr>
          <w:rFonts w:eastAsia="Amiri" w:cs="Amiri" w:ascii="Amiri" w:hAnsi="Amiri"/>
          <w:color w:val="111111"/>
          <w:sz w:val="28"/>
          <w:szCs w:val="28"/>
          <w:rtl w:val="true"/>
          <w:lang w:bidi="ar-SA"/>
        </w:rPr>
        <w:t>»</w:t>
      </w:r>
      <w:r>
        <w:rPr>
          <w:rStyle w:val="FootnoteAnchor"/>
          <w:rtl w:val="true"/>
        </w:rPr>
        <w:footnoteReference w:id="1503"/>
      </w:r>
      <w:r>
        <w:rPr>
          <w:rFonts w:ascii="Amiri" w:hAnsi="Amiri" w:eastAsia="Amiri" w:cs="Amiri"/>
          <w:color w:val="111111"/>
          <w:sz w:val="28"/>
          <w:sz w:val="28"/>
          <w:szCs w:val="28"/>
          <w:rtl w:val="true"/>
          <w:lang w:bidi="ar-SA"/>
        </w:rPr>
        <w:t>و عن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أجمعوا على انتفاء الجبر في غير أسنان الإبل</w:t>
      </w:r>
      <w:r>
        <w:rPr>
          <w:rFonts w:eastAsia="Amiri" w:cs="Amiri" w:ascii="Amiri" w:hAnsi="Amiri"/>
          <w:color w:val="111111"/>
          <w:sz w:val="28"/>
          <w:szCs w:val="28"/>
          <w:rtl w:val="true"/>
          <w:lang w:bidi="ar-SA"/>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فيه وجوب الاقتصار فيما خالف الأصل على مورد الدليل و لم يدلّ الدليل </w:t>
      </w:r>
      <w:bookmarkStart w:id="335" w:name="pg16181_154638"/>
    </w:p>
    <w:p>
      <w:pPr>
        <w:pStyle w:val="BookText"/>
        <w:rPr/>
      </w:pPr>
      <w:bookmarkEnd w:id="335"/>
      <w:r>
        <w:rPr>
          <w:rFonts w:ascii="Amiri" w:hAnsi="Amiri" w:eastAsia="Amiri" w:cs="Amiri"/>
          <w:color w:val="111111"/>
          <w:sz w:val="28"/>
          <w:sz w:val="28"/>
          <w:szCs w:val="28"/>
          <w:rtl w:val="true"/>
          <w:lang w:bidi="ar-SA"/>
        </w:rPr>
        <w:t>إلاّ على لزوم العين مع الإمكان و بدلها و هو القيمة السوقيّة مع عدم إمكان العين، و حينئذ فإذا فقد الفريضة من البقر أو الغنم و وجد الأدنى منها يدفعها و يتمّم القيمة السوقيّة كما صرّح به جماعة، و لو وجد الأعلى فقال في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دفعه شرعا، و نسب إلى صريح المنتهى</w:t>
      </w:r>
      <w:r>
        <w:rPr>
          <w:rStyle w:val="FootnoteAnchor"/>
          <w:rtl w:val="true"/>
        </w:rPr>
        <w:footnoteReference w:id="1505"/>
      </w:r>
      <w:r>
        <w:rPr>
          <w:rFonts w:ascii="Amiri" w:hAnsi="Amiri" w:eastAsia="Amiri" w:cs="Amiri"/>
          <w:color w:val="111111"/>
          <w:sz w:val="28"/>
          <w:sz w:val="28"/>
          <w:szCs w:val="28"/>
          <w:rtl w:val="true"/>
          <w:lang w:bidi="ar-SA"/>
        </w:rPr>
        <w:t>كونه أفضل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أن يستردّ الزائد بالقيمة السوقيّة</w:t>
      </w:r>
      <w:r>
        <w:rPr>
          <w:rFonts w:eastAsia="Amiri" w:cs="Amiri" w:ascii="Amiri" w:hAnsi="Amiri"/>
          <w:color w:val="111111"/>
          <w:sz w:val="28"/>
          <w:szCs w:val="28"/>
          <w:rtl w:val="true"/>
          <w:lang w:bidi="ar-SA"/>
        </w:rPr>
        <w:t>»</w:t>
      </w:r>
      <w:r>
        <w:rPr>
          <w:rStyle w:val="FootnoteAnchor"/>
          <w:rtl w:val="true"/>
        </w:rPr>
        <w:footnoteReference w:id="1506"/>
      </w:r>
      <w:r>
        <w:rPr>
          <w:rFonts w:ascii="Amiri" w:hAnsi="Amiri" w:eastAsia="Amiri" w:cs="Amiri"/>
          <w:color w:val="111111"/>
          <w:sz w:val="28"/>
          <w:sz w:val="28"/>
          <w:szCs w:val="28"/>
          <w:rtl w:val="true"/>
          <w:lang w:bidi="ar-SA"/>
        </w:rPr>
        <w:t>كما صرّح به في المدارك</w:t>
      </w:r>
      <w:r>
        <w:rPr>
          <w:rStyle w:val="FootnoteAnchor"/>
          <w:rtl w:val="true"/>
        </w:rPr>
        <w:footnoteReference w:id="1507"/>
      </w:r>
      <w:r>
        <w:rPr>
          <w:rFonts w:ascii="Amiri" w:hAnsi="Amiri" w:eastAsia="Amiri" w:cs="Amiri"/>
          <w:color w:val="111111"/>
          <w:sz w:val="28"/>
          <w:sz w:val="28"/>
          <w:szCs w:val="28"/>
          <w:rtl w:val="true"/>
          <w:lang w:bidi="ar-SA"/>
        </w:rPr>
        <w:t>أيضا، و عزي إلى الذخيرة</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6" w:name="__RefHeading___Toc2586647_1280447820"/>
      <w:bookmarkStart w:id="337" w:name="_Toc122"/>
      <w:bookmarkEnd w:id="336"/>
      <w:r>
        <w:rPr>
          <w:rtl w:val="true"/>
        </w:rPr>
        <w:t>[</w:t>
      </w:r>
      <w:r>
        <w:rPr>
          <w:rtl w:val="true"/>
        </w:rPr>
        <w:t>دفع الأعلى أو الأدنى مع الجبر</w:t>
      </w:r>
      <w:r>
        <w:rPr>
          <w:rtl w:val="true"/>
        </w:rPr>
        <w:t>]</w:t>
      </w:r>
      <w:bookmarkEnd w:id="337"/>
    </w:p>
    <w:p>
      <w:pPr>
        <w:pStyle w:val="BookText"/>
        <w:rPr/>
      </w:pPr>
      <w:r>
        <w:rPr>
          <w:rFonts w:ascii="Amiri" w:hAnsi="Amiri" w:eastAsia="Amiri" w:cs="Amiri"/>
          <w:color w:val="111111"/>
          <w:sz w:val="28"/>
          <w:sz w:val="28"/>
          <w:szCs w:val="28"/>
          <w:rtl w:val="true"/>
          <w:lang w:bidi="ar-SA"/>
        </w:rPr>
        <w:t>ثمّ بقى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صرّح جماعة</w:t>
      </w:r>
      <w:r>
        <w:rPr>
          <w:rStyle w:val="FootnoteAnchor"/>
          <w:rtl w:val="true"/>
        </w:rPr>
        <w:footnoteReference w:id="1509"/>
      </w:r>
      <w:r>
        <w:rPr>
          <w:rFonts w:ascii="Amiri" w:hAnsi="Amiri" w:eastAsia="Amiri" w:cs="Amiri"/>
          <w:color w:val="111111"/>
          <w:sz w:val="28"/>
          <w:sz w:val="28"/>
          <w:szCs w:val="28"/>
          <w:rtl w:val="true"/>
          <w:lang w:bidi="ar-SA"/>
        </w:rPr>
        <w:t>كما هو ظاهر إطلاق الآخرين</w:t>
      </w:r>
      <w:r>
        <w:rPr>
          <w:rStyle w:val="FootnoteAnchor"/>
          <w:rtl w:val="true"/>
        </w:rPr>
        <w:footnoteReference w:id="1510"/>
      </w:r>
      <w:r>
        <w:rPr>
          <w:rFonts w:ascii="Amiri" w:hAnsi="Amiri" w:eastAsia="Amiri" w:cs="Amiri"/>
          <w:color w:val="111111"/>
          <w:sz w:val="28"/>
          <w:sz w:val="28"/>
          <w:szCs w:val="28"/>
          <w:rtl w:val="true"/>
          <w:lang w:bidi="ar-SA"/>
        </w:rPr>
        <w:t>بأنّه يجزئ دفع الأعلى و الأدنى مع الجبر المذكور أخذا أو إعطاء سواء كانت القيمة السوقيّة للفريضة الأصليّة مساوية لقيمة المدفوع على الوجه المذكور أو زائدة عليه أو ناقصة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التعميم بالنظر إلى إطلاق النصّ حسن في صورة دفع الأدنى مع الجبر بأحد الأمرين من شاتين أو عشرين درهما، و أمّا في صورة دفع الأعلى و أخذ أحد الأمرين من الساعي أو الفقير فإطلاقه غير جيّد، لأنّه لا يوافق حكمة تشريع الزكاة لإيصال النفع إلى الفقير و كفاية مئونته، فيما لو استوعب المأخوذ من الفقير قيمة المدفوع إليه بأن يساوي ما اخذ منه من الشاتين أو عشرين درهما لقيمة بنت اللبون المدفوعة إليه عن بنت المخاض مثلا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استشكل جماعة في الإجزاء هنا من إطلاق النصّ‌، و من أنّ المالك كأنّه لم يؤدّ شيئا</w:t>
      </w:r>
      <w:r>
        <w:rPr>
          <w:rStyle w:val="FootnoteAnchor"/>
          <w:rtl w:val="true"/>
        </w:rPr>
        <w:footnoteReference w:id="1511"/>
      </w:r>
      <w:r>
        <w:rPr>
          <w:rFonts w:ascii="Amiri" w:hAnsi="Amiri" w:eastAsia="Amiri" w:cs="Amiri"/>
          <w:color w:val="111111"/>
          <w:sz w:val="28"/>
          <w:sz w:val="28"/>
          <w:szCs w:val="28"/>
          <w:rtl w:val="true"/>
          <w:lang w:bidi="ar-SA"/>
        </w:rPr>
        <w:t>ثمّ استوجه في المدارك عدم الإجزاء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المتّجه هنا عدم </w:t>
      </w:r>
    </w:p>
    <w:p>
      <w:pPr>
        <w:pStyle w:val="BookText"/>
        <w:rPr/>
      </w:pP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w:t>
      </w:r>
      <w:r>
        <w:rPr>
          <w:rStyle w:val="FootnoteAnchor"/>
          <w:rtl w:val="true"/>
        </w:rPr>
        <w:footnoteReference w:id="1512"/>
      </w:r>
      <w:r>
        <w:rPr>
          <w:rFonts w:ascii="Amiri" w:hAnsi="Amiri" w:eastAsia="Amiri" w:cs="Amiri"/>
          <w:color w:val="111111"/>
          <w:sz w:val="28"/>
          <w:sz w:val="28"/>
          <w:szCs w:val="28"/>
          <w:rtl w:val="true"/>
          <w:lang w:bidi="ar-SA"/>
        </w:rPr>
        <w:t>و نسب إلى ظاهر التذكرة</w:t>
      </w:r>
      <w:r>
        <w:rPr>
          <w:rStyle w:val="FootnoteAnchor"/>
          <w:rtl w:val="true"/>
        </w:rPr>
        <w:footnoteReference w:id="1513"/>
      </w:r>
      <w:r>
        <w:rPr>
          <w:rFonts w:ascii="Amiri" w:hAnsi="Amiri" w:eastAsia="Amiri" w:cs="Amiri"/>
          <w:color w:val="111111"/>
          <w:sz w:val="28"/>
          <w:sz w:val="28"/>
          <w:szCs w:val="28"/>
          <w:rtl w:val="true"/>
          <w:lang w:bidi="ar-SA"/>
        </w:rPr>
        <w:t>و نفي عنه البعد في الذخيرة</w:t>
      </w:r>
      <w:r>
        <w:rPr>
          <w:rStyle w:val="FootnoteAnchor"/>
          <w:rtl w:val="true"/>
        </w:rPr>
        <w:footnoteReference w:id="1514"/>
      </w:r>
      <w:r>
        <w:rPr>
          <w:rFonts w:ascii="IRNazanin" w:hAnsi="IRNazanin" w:eastAsia="IRNazanin"/>
          <w:color w:val="111111"/>
          <w:sz w:val="28"/>
          <w:sz w:val="28"/>
          <w:szCs w:val="28"/>
          <w:rtl w:val="true"/>
          <w:lang w:bidi="fa-IR"/>
        </w:rPr>
        <w:t>و عن الحدائق احتماله</w:t>
      </w:r>
      <w:r>
        <w:rPr>
          <w:rStyle w:val="FootnoteAnchor"/>
          <w:rtl w:val="true"/>
        </w:rPr>
        <w:footnoteReference w:id="1515"/>
      </w:r>
      <w:r>
        <w:rPr>
          <w:rFonts w:ascii="Amiri" w:hAnsi="Amiri" w:eastAsia="Amiri" w:cs="Amiri"/>
          <w:color w:val="111111"/>
          <w:sz w:val="28"/>
          <w:sz w:val="28"/>
          <w:szCs w:val="28"/>
          <w:rtl w:val="true"/>
          <w:lang w:bidi="ar-SA"/>
        </w:rPr>
        <w:t>و عن الرياض تقويته</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أشكل من الصورة المذكورة ما لو كان قيمة المدفوع إلى الفقير أنقص من المأخوذ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قيمته خمسة عشر مثلا و قد اخذ منه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تشريع الجبر حتّى في نحو هذه الصورة إدخال ضرر على الفقير، مع أنّ المقصود من تشريع الزكاة إيصال النفع إليه لا إدخال الضرر عليه فينبغي القطع بالعدم هاهنا و لا أظنّ قائلا بغير ذلك، بل الظاهر عدم اندراج نحو هذه الصورة في إطلاق النصّ و الفتوى كما يظهر وجهه بالتأمّل، و لك أن تستند لنفي مشروعيّة الجبران هنا بعموم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نفي جعل الحكم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الفاضلان و غيرهما في الشرائع و الإرشاد و البيان و المدارك و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الخيار في دفع الأعلى و الأدنى و في الجبر بالشاتين أو الدراهم للمالك</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دفع الأعلى و الأدنى ممّا لا نفهم معناه إذ المفروض تعيّن أحدهما بعد فقد الفريضة، إلاّ أن يريدوا به الخيار بين دفع ذلك مع الجبر أو دفع القيمة السوقيّة للفريضة المفقودة، و هذا خلاف ظاهر مساق عبائرهم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الخيار في الجبر بين الشاتين و الدراهم فلعلّ وجهه ظاهر النصّ‌، و ربّما احتمل كونه إجماعيّا، و ظهور النصّ في خيار المالك في مسألة دفع الأدون و الجبر معه حسن، لقوله عليه السّلام في الخبرين المتقدّمين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يعطي معها شاتين أو عشرين درهما</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مسألة دفع الأعلى و أخذ الجبر فظاهر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يعطيه المصدّق شاتين أو عشرين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الخيار في اختيار أحد الأمرين للساعي أو الفقير إلاّ أن يقال بأنّ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يعطيه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من الأمرين ما اختاره المالك، و هو خلاف ظاهر لا يصار إليه من دون 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إن كان خيار المالك في هذه </w:t>
      </w:r>
      <w:bookmarkStart w:id="338" w:name="pg16181_154640"/>
    </w:p>
    <w:p>
      <w:pPr>
        <w:pStyle w:val="BookText"/>
        <w:rPr/>
      </w:pPr>
      <w:bookmarkEnd w:id="338"/>
      <w:r>
        <w:rPr>
          <w:rFonts w:ascii="Amiri" w:hAnsi="Amiri" w:eastAsia="Amiri" w:cs="Amiri"/>
          <w:color w:val="111111"/>
          <w:sz w:val="28"/>
          <w:sz w:val="28"/>
          <w:szCs w:val="28"/>
          <w:rtl w:val="true"/>
          <w:lang w:bidi="ar-SA"/>
        </w:rPr>
        <w:t>الصورة إجماعا أو شهرة كاشفة عن بلوغ قرينة مخرجة من ظاهر النصّ إليهم و إن اختفت فهو، و إلاّ فللمنع من أصل الحكم مجال لظهور النصّ في الخلاف</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2586649_1280447820"/>
      <w:bookmarkStart w:id="340" w:name="_Toc123"/>
      <w:bookmarkEnd w:id="339"/>
      <w:r>
        <w:rPr>
          <w:rtl w:val="true"/>
        </w:rPr>
        <w:t>المرحلة الرابعة</w:t>
      </w:r>
      <w:r>
        <w:rPr>
          <w:rtl w:val="true"/>
        </w:rPr>
        <w:t xml:space="preserve">: </w:t>
      </w:r>
      <w:r>
        <w:rPr>
          <w:rtl w:val="true"/>
        </w:rPr>
        <w:t>في دفع القيمة عن أعيان الفرائض في الزكاة و سائر الفروع و الأحكام المناسبة لهذا الباب</w:t>
      </w:r>
      <w:bookmarkEnd w:id="340"/>
    </w:p>
    <w:p>
      <w:pPr>
        <w:pStyle w:val="Heading6"/>
        <w:numPr>
          <w:ilvl w:val="5"/>
          <w:numId w:val="1"/>
        </w:numPr>
        <w:rPr/>
      </w:pPr>
      <w:bookmarkStart w:id="341" w:name="__RefHeading___Toc2586651_1280447820"/>
      <w:bookmarkStart w:id="342" w:name="_Toc124"/>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من أعيان الفرائض إلى القيمة من أيّ جنس من المال كانت، كما عليه المعظم على ما حكي عن أكثرهم كالشيخين</w:t>
      </w:r>
      <w:r>
        <w:rPr>
          <w:rStyle w:val="FootnoteAnchor"/>
          <w:rtl w:val="true"/>
        </w:rPr>
        <w:footnoteReference w:id="1519"/>
      </w:r>
      <w:r>
        <w:rPr>
          <w:rFonts w:ascii="Amiri" w:hAnsi="Amiri" w:eastAsia="Amiri" w:cs="Amiri"/>
          <w:color w:val="111111"/>
          <w:sz w:val="28"/>
          <w:sz w:val="28"/>
          <w:szCs w:val="28"/>
          <w:rtl w:val="true"/>
          <w:lang w:bidi="ar-SA"/>
        </w:rPr>
        <w:t>و السيّدين</w:t>
      </w:r>
      <w:r>
        <w:rPr>
          <w:rStyle w:val="FootnoteAnchor"/>
          <w:rtl w:val="true"/>
        </w:rPr>
        <w:footnoteReference w:id="1520"/>
      </w:r>
      <w:r>
        <w:rPr>
          <w:rFonts w:ascii="Amiri" w:hAnsi="Amiri" w:eastAsia="Amiri" w:cs="Amiri"/>
          <w:color w:val="111111"/>
          <w:sz w:val="28"/>
          <w:sz w:val="28"/>
          <w:szCs w:val="28"/>
          <w:rtl w:val="true"/>
          <w:lang w:bidi="ar-SA"/>
        </w:rPr>
        <w:t>و الفاضلين</w:t>
      </w:r>
      <w:r>
        <w:rPr>
          <w:rStyle w:val="FootnoteAnchor"/>
          <w:rtl w:val="true"/>
        </w:rPr>
        <w:footnoteReference w:id="1521"/>
      </w:r>
      <w:r>
        <w:rPr>
          <w:rFonts w:ascii="Amiri" w:hAnsi="Amiri" w:eastAsia="Amiri" w:cs="Amiri"/>
          <w:color w:val="111111"/>
          <w:sz w:val="28"/>
          <w:sz w:val="28"/>
          <w:szCs w:val="28"/>
          <w:rtl w:val="true"/>
          <w:lang w:bidi="ar-SA"/>
        </w:rPr>
        <w:t>و الشهيدين</w:t>
      </w:r>
      <w:r>
        <w:rPr>
          <w:rStyle w:val="FootnoteAnchor"/>
          <w:rtl w:val="true"/>
        </w:rPr>
        <w:footnoteReference w:id="1522"/>
      </w:r>
      <w:r>
        <w:rPr>
          <w:rFonts w:ascii="Amiri" w:hAnsi="Amiri" w:eastAsia="Amiri" w:cs="Amiri"/>
          <w:color w:val="111111"/>
          <w:sz w:val="28"/>
          <w:sz w:val="28"/>
          <w:szCs w:val="28"/>
          <w:rtl w:val="true"/>
          <w:lang w:bidi="ar-SA"/>
        </w:rPr>
        <w:t>و غيرهم من المتأخّرين</w:t>
      </w:r>
      <w:r>
        <w:rPr>
          <w:rStyle w:val="FootnoteAnchor"/>
          <w:rtl w:val="true"/>
        </w:rPr>
        <w:footnoteReference w:id="1523"/>
      </w:r>
      <w:r>
        <w:rPr>
          <w:rFonts w:ascii="Amiri" w:hAnsi="Amiri" w:eastAsia="Amiri" w:cs="Amiri"/>
          <w:color w:val="111111"/>
          <w:sz w:val="28"/>
          <w:sz w:val="28"/>
          <w:szCs w:val="28"/>
          <w:rtl w:val="true"/>
          <w:lang w:bidi="ar-SA"/>
        </w:rPr>
        <w:t>و متأخّريهم</w:t>
      </w:r>
      <w:r>
        <w:rPr>
          <w:rStyle w:val="FootnoteAnchor"/>
          <w:rtl w:val="true"/>
        </w:rPr>
        <w:footnoteReference w:id="1524"/>
      </w:r>
      <w:r>
        <w:rPr>
          <w:rFonts w:ascii="Amiri" w:hAnsi="Amiri" w:eastAsia="Amiri" w:cs="Amiri"/>
          <w:color w:val="111111"/>
          <w:sz w:val="28"/>
          <w:sz w:val="28"/>
          <w:szCs w:val="28"/>
          <w:rtl w:val="true"/>
          <w:lang w:bidi="ar-SA"/>
        </w:rPr>
        <w:t>بل من غير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حكي التصريح به عن السيّد في الرياض</w:t>
      </w:r>
      <w:r>
        <w:rPr>
          <w:rStyle w:val="FootnoteAnchor"/>
          <w:rtl w:val="true"/>
        </w:rPr>
        <w:footnoteReference w:id="1525"/>
      </w:r>
      <w:r>
        <w:rPr>
          <w:rFonts w:ascii="Amiri" w:hAnsi="Amiri" w:eastAsia="Amiri" w:cs="Amiri"/>
          <w:color w:val="111111"/>
          <w:sz w:val="28"/>
          <w:sz w:val="28"/>
          <w:szCs w:val="28"/>
          <w:rtl w:val="true"/>
          <w:lang w:bidi="ar-SA"/>
        </w:rPr>
        <w:t>فيما عدى الأنعام الثلاثة و عن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الزكاة عن الذهب و الفضّة و الغلاّت أنّه قول علمائنا أجمع</w:t>
      </w:r>
      <w:r>
        <w:rPr>
          <w:rFonts w:eastAsia="Amiri" w:cs="Amiri" w:ascii="Amiri" w:hAnsi="Amiri"/>
          <w:color w:val="111111"/>
          <w:sz w:val="28"/>
          <w:szCs w:val="28"/>
          <w:rtl w:val="true"/>
          <w:lang w:bidi="ar-SA"/>
        </w:rPr>
        <w:t>»</w:t>
      </w:r>
      <w:r>
        <w:rPr>
          <w:rStyle w:val="FootnoteAnchor"/>
          <w:rtl w:val="true"/>
        </w:rPr>
        <w:footnoteReference w:id="1526"/>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إخراج القيمة في الزكاة عن النقدين و الغلاّت عند علمائنا أجمع</w:t>
      </w:r>
      <w:r>
        <w:rPr>
          <w:rFonts w:eastAsia="Amiri" w:cs="Amiri" w:ascii="Amiri" w:hAnsi="Amiri"/>
          <w:color w:val="111111"/>
          <w:sz w:val="28"/>
          <w:szCs w:val="28"/>
          <w:rtl w:val="true"/>
          <w:lang w:bidi="ar-SA"/>
        </w:rPr>
        <w:t>»</w:t>
      </w:r>
      <w:r>
        <w:rPr>
          <w:rStyle w:val="FootnoteAnchor"/>
          <w:rtl w:val="true"/>
        </w:rPr>
        <w:footnoteReference w:id="1527"/>
      </w:r>
      <w:r>
        <w:rPr>
          <w:rFonts w:ascii="Amiri" w:hAnsi="Amiri" w:eastAsia="Amiri" w:cs="Amiri"/>
          <w:color w:val="111111"/>
          <w:sz w:val="28"/>
          <w:sz w:val="28"/>
          <w:szCs w:val="28"/>
          <w:rtl w:val="true"/>
          <w:lang w:bidi="ar-SA"/>
        </w:rPr>
        <w:t>و لعلّه لمثل هذه العبائر ما حكي عن الرياض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عليه الإجماع في عبائر جماعة منهم الفاضل في التذكرة</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 الحكم فيما عدى الأنعام خبران صحيحان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عليه السّلام عن الرجل يعطي عن زكاته عن الدراهم دنانير و عن الدنانير دراهم بالقيمة، أ يحلّ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خالد البرقي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الثاني عليه السّلام هل يجوز أن أخرج عمّا يجب في الحرث من الحنطة و الشعير و ما يجب على الذهب </w:t>
      </w:r>
    </w:p>
    <w:p>
      <w:pPr>
        <w:pStyle w:val="BookText"/>
        <w:rPr/>
      </w:pPr>
      <w:r>
        <w:rPr>
          <w:rFonts w:ascii="Amiri" w:hAnsi="Amiri" w:eastAsia="Amiri" w:cs="Amiri"/>
          <w:color w:val="111111"/>
          <w:sz w:val="28"/>
          <w:sz w:val="28"/>
          <w:szCs w:val="28"/>
          <w:rtl w:val="true"/>
          <w:lang w:bidi="ar-SA"/>
        </w:rPr>
        <w:t>دراهم، قيمته ما يسوّى أم لا يجوز إلاّ أن يخرج من كلّ شيء ما فيه‌؟ فأجاب أيّما تيسّر يخرج</w:t>
      </w:r>
      <w:r>
        <w:rPr>
          <w:rFonts w:eastAsia="Amiri" w:cs="Amiri" w:ascii="Amiri" w:hAnsi="Amiri"/>
          <w:color w:val="111111"/>
          <w:sz w:val="28"/>
          <w:szCs w:val="28"/>
          <w:rtl w:val="true"/>
          <w:lang w:bidi="ar-SA"/>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قصورهما دلالة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الأوّل لا يدلّ صراحة و لا ظهورا على جواز جعل القيمة عن النقدين من غير جنس النقدين، و الثاني لا يتناول التمر و الزبيب و لا غير الدراهم في القيمة عن الحنطة و الشعير و الذهب و لا الدراهم أيضا في العدول عنها إلى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في الجميع بعدم القول بالفصل، لإطلاق الفتاوى و معاقد الإجماعات، مع عدم تعرّض أحد من أرباب التصانيف لنقل قول بالفرق في الجهات المذكورة أو بعضها، كما تعرّضوا لنقله بين الأنعام و غيرها من النقدين و الغلاّت، فلو كان هناك قول آخر بالفرق لنقلوه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الأنعام ففي جواز إخراج القيمة عن أعيان الفرائض و إجزائها عنها فيها و عدمه قولان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 كما عن الرياض</w:t>
      </w:r>
      <w:r>
        <w:rPr>
          <w:rStyle w:val="FootnoteAnchor"/>
          <w:rtl w:val="true"/>
        </w:rPr>
        <w:footnoteReference w:id="1531"/>
      </w:r>
      <w:r>
        <w:rPr>
          <w:rFonts w:ascii="Amiri" w:hAnsi="Amiri" w:eastAsia="Amiri" w:cs="Amiri"/>
          <w:color w:val="111111"/>
          <w:sz w:val="28"/>
          <w:sz w:val="28"/>
          <w:szCs w:val="28"/>
          <w:rtl w:val="true"/>
          <w:lang w:bidi="ar-SA"/>
        </w:rPr>
        <w:t>بل المشهور كما هو ظاهر إطلاق كلام الذخيرة هو الأوّل</w:t>
      </w:r>
      <w:r>
        <w:rPr>
          <w:rStyle w:val="FootnoteAnchor"/>
          <w:rtl w:val="true"/>
        </w:rPr>
        <w:footnoteReference w:id="1532"/>
      </w:r>
      <w:r>
        <w:rPr>
          <w:rFonts w:ascii="Amiri" w:hAnsi="Amiri" w:eastAsia="Amiri" w:cs="Amiri"/>
          <w:color w:val="111111"/>
          <w:sz w:val="28"/>
          <w:sz w:val="28"/>
          <w:szCs w:val="28"/>
          <w:rtl w:val="true"/>
          <w:lang w:bidi="ar-SA"/>
        </w:rPr>
        <w:t xml:space="preserve">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مذهب أكثر علمائنا</w:t>
      </w:r>
      <w:r>
        <w:rPr>
          <w:rFonts w:eastAsia="Amiri" w:cs="Amiri" w:ascii="Amiri" w:hAnsi="Amiri"/>
          <w:color w:val="111111"/>
          <w:sz w:val="28"/>
          <w:szCs w:val="28"/>
          <w:rtl w:val="true"/>
          <w:lang w:bidi="ar-SA"/>
        </w:rPr>
        <w:t>»</w:t>
      </w:r>
      <w:r>
        <w:rPr>
          <w:rStyle w:val="FootnoteAnchor"/>
          <w:rtl w:val="true"/>
        </w:rPr>
        <w:footnoteReference w:id="1533"/>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مذهب أكثر المتأخّرين</w:t>
      </w:r>
      <w:r>
        <w:rPr>
          <w:rFonts w:eastAsia="Amiri" w:cs="Amiri" w:ascii="Amiri" w:hAnsi="Amiri"/>
          <w:color w:val="111111"/>
          <w:sz w:val="28"/>
          <w:szCs w:val="28"/>
          <w:rtl w:val="true"/>
          <w:lang w:bidi="ar-SA"/>
        </w:rPr>
        <w:t>»</w:t>
      </w:r>
      <w:r>
        <w:rPr>
          <w:rStyle w:val="FootnoteAnchor"/>
          <w:rtl w:val="true"/>
        </w:rPr>
        <w:footnoteReference w:id="1534"/>
      </w:r>
      <w:r>
        <w:rPr>
          <w:rFonts w:ascii="Amiri" w:hAnsi="Amiri" w:eastAsia="Amiri" w:cs="Amiri"/>
          <w:color w:val="111111"/>
          <w:sz w:val="28"/>
          <w:sz w:val="28"/>
          <w:szCs w:val="28"/>
          <w:rtl w:val="true"/>
          <w:lang w:bidi="ar-SA"/>
        </w:rPr>
        <w:t>و عن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أصحابنا لا يختلفون في جواز أخذ القيمة في الزكاة</w:t>
      </w:r>
      <w:r>
        <w:rPr>
          <w:rFonts w:eastAsia="Amiri" w:cs="Amiri" w:ascii="Amiri" w:hAnsi="Amiri"/>
          <w:color w:val="111111"/>
          <w:sz w:val="28"/>
          <w:szCs w:val="28"/>
          <w:rtl w:val="true"/>
          <w:lang w:bidi="ar-SA"/>
        </w:rPr>
        <w:t>»</w:t>
      </w:r>
      <w:r>
        <w:rPr>
          <w:rStyle w:val="FootnoteAnchor"/>
          <w:rtl w:val="true"/>
        </w:rPr>
        <w:footnoteReference w:id="1535"/>
      </w:r>
      <w:r>
        <w:rPr>
          <w:rFonts w:ascii="Amiri" w:hAnsi="Amiri" w:eastAsia="Amiri" w:cs="Amiri"/>
          <w:color w:val="111111"/>
          <w:sz w:val="28"/>
          <w:sz w:val="28"/>
          <w:szCs w:val="28"/>
          <w:rtl w:val="true"/>
          <w:lang w:bidi="ar-SA"/>
        </w:rPr>
        <w:t>و إطلاقه يتناول ما نحن فيه، و عن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الفرقة و أخبارهم</w:t>
      </w:r>
      <w:r>
        <w:rPr>
          <w:rFonts w:eastAsia="Amiri" w:cs="Amiri" w:ascii="Amiri" w:hAnsi="Amiri"/>
          <w:color w:val="111111"/>
          <w:sz w:val="28"/>
          <w:szCs w:val="28"/>
          <w:rtl w:val="true"/>
          <w:lang w:bidi="ar-SA"/>
        </w:rPr>
        <w:t>»</w:t>
      </w:r>
      <w:r>
        <w:rPr>
          <w:rStyle w:val="FootnoteAnchor"/>
          <w:rtl w:val="true"/>
        </w:rPr>
        <w:footnoteReference w:id="1536"/>
      </w:r>
      <w:r>
        <w:rPr>
          <w:rFonts w:ascii="Amiri" w:hAnsi="Amiri" w:eastAsia="Amiri" w:cs="Amiri"/>
          <w:color w:val="111111"/>
          <w:sz w:val="28"/>
          <w:sz w:val="28"/>
          <w:szCs w:val="28"/>
          <w:rtl w:val="true"/>
          <w:lang w:bidi="ar-SA"/>
        </w:rPr>
        <w:t>حيث استدلّ بهما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الآخر مختار المفيد في المقنعة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إخراج القيمة في زكاة الأنعام إلاّ أن تعدم ذوات الأسنان المخصوصة في الزكاة</w:t>
      </w:r>
      <w:r>
        <w:rPr>
          <w:rFonts w:eastAsia="Amiri" w:cs="Amiri" w:ascii="Amiri" w:hAnsi="Amiri"/>
          <w:color w:val="111111"/>
          <w:sz w:val="28"/>
          <w:szCs w:val="28"/>
          <w:rtl w:val="true"/>
          <w:lang w:bidi="ar-SA"/>
        </w:rPr>
        <w:t>»</w:t>
      </w:r>
      <w:r>
        <w:rPr>
          <w:rStyle w:val="FootnoteAnchor"/>
          <w:rtl w:val="true"/>
        </w:rPr>
        <w:footnoteReference w:id="1537"/>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المعتبر الميل إليه</w:t>
      </w:r>
      <w:r>
        <w:rPr>
          <w:rStyle w:val="FootnoteAnchor"/>
          <w:rtl w:val="true"/>
        </w:rPr>
        <w:footnoteReference w:id="1538"/>
      </w:r>
      <w:r>
        <w:rPr>
          <w:rFonts w:ascii="Amiri" w:hAnsi="Amiri" w:eastAsia="Amiri" w:cs="Amiri"/>
          <w:color w:val="111111"/>
          <w:sz w:val="28"/>
          <w:sz w:val="28"/>
          <w:szCs w:val="28"/>
          <w:rtl w:val="true"/>
          <w:lang w:bidi="ar-SA"/>
        </w:rPr>
        <w:t>و ربّما عزي الميل إليه أيضا إلى مجمع الفائدة</w:t>
      </w:r>
      <w:r>
        <w:rPr>
          <w:rStyle w:val="FootnoteAnchor"/>
          <w:rtl w:val="true"/>
        </w:rPr>
        <w:footnoteReference w:id="1539"/>
      </w:r>
      <w:r>
        <w:rPr>
          <w:rFonts w:ascii="Amiri" w:hAnsi="Amiri" w:eastAsia="Amiri" w:cs="Amiri"/>
          <w:color w:val="111111"/>
          <w:sz w:val="28"/>
          <w:sz w:val="28"/>
          <w:szCs w:val="28"/>
          <w:rtl w:val="true"/>
          <w:lang w:bidi="ar-SA"/>
        </w:rPr>
        <w:t>و اختاره من متأخّري المتأخّرين صاحب المدارك</w:t>
      </w:r>
      <w:r>
        <w:rPr>
          <w:rStyle w:val="FootnoteAnchor"/>
          <w:rtl w:val="true"/>
        </w:rPr>
        <w:footnoteReference w:id="1540"/>
      </w:r>
      <w:r>
        <w:rPr>
          <w:rFonts w:ascii="Amiri" w:hAnsi="Amiri" w:eastAsia="Amiri" w:cs="Amiri"/>
          <w:color w:val="111111"/>
          <w:sz w:val="28"/>
          <w:sz w:val="28"/>
          <w:szCs w:val="28"/>
          <w:rtl w:val="true"/>
          <w:lang w:bidi="ar-SA"/>
        </w:rPr>
        <w:t>و تبعه صاحب الذخيرة و الكفاية</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يظهر من عبارة المقنعة المتقدّمة أنّ محلّ النزاع ما لو كان المالك واجدا لأعيان الفرائض و للقيمة معا، و أمّا لو فقد العين و وجد القيمة فالمفيد أيضا يجوّز دفع القيمة و كذلك متابعوه</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فلا ينبغي التأمّل في أنّ قضيّة ظاهر الأدلّة من النصوص و غيرها وجوب إخراج العين، و جواز الاجتزاء عنها بالقيمة حكم مخالف لهذا الظاهر فلا يصار إليه إلاّ لدلالة معتبرة، فالمانع هنا مستظهر و الدلالة لازمة على المثبت، و لذا استدلّ عليه الشيخ في الخلاف بإجماع الفرقة و أخبارهم</w:t>
      </w:r>
      <w:r>
        <w:rPr>
          <w:rStyle w:val="FootnoteAnchor"/>
          <w:rtl w:val="true"/>
        </w:rPr>
        <w:footnoteReference w:id="1543"/>
      </w:r>
      <w:r>
        <w:rPr>
          <w:rFonts w:ascii="Amiri" w:hAnsi="Amiri" w:eastAsia="Amiri" w:cs="Amiri"/>
          <w:color w:val="111111"/>
          <w:sz w:val="28"/>
          <w:sz w:val="28"/>
          <w:szCs w:val="28"/>
          <w:rtl w:val="true"/>
          <w:lang w:bidi="ar-SA"/>
        </w:rPr>
        <w:t>و إن ردّه المحقّق في المعتبر بمنع الإجماع و عدم دلالة الأخبار على موضع النزاع</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قدّس سرّه أراد بالإجماع ما لا يقدح فيه خلاف شيخه المفيد و بالأخبار بعض ما مرّ و ما يأتي بالتقريب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العلاّمة رحمه اللّه الاستدلال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المقصود بالزكاة دفع الخلّة و سدّ الحاجة و هو يحصل بالقيمة كما يحصل بالعين، و بأنّ الزكاة إنّما شرّعت جبرا للفقراء و معونة لهم و ربّما كانت القيمة أنفع في بعض الأوقات فاقتضت الحكمة التسويغ</w:t>
      </w:r>
      <w:r>
        <w:rPr>
          <w:rFonts w:eastAsia="Amiri" w:cs="Amiri" w:ascii="Amiri" w:hAnsi="Amiri"/>
          <w:color w:val="111111"/>
          <w:sz w:val="28"/>
          <w:szCs w:val="28"/>
          <w:rtl w:val="true"/>
          <w:lang w:bidi="ar-SA"/>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خفاء في ضعف الوجهين، لعدم صلاحية نحو هذه الاعتبارات مستندا لحكم شرعي مخالف للدليل، و لو سلّمنا لما ذكر تأثير، فهو من باب علّة تشريع الزكاة و هو لا يلازم الاطّراد بحيث يدور عليها الحكم وجودا و عدما، فلعلّ لخصوصيّة العين أيضا مدخليّة في الحكم، كيف و لو صلح ما ذكر علّة تامّة للحكم لقضى بإيجاب الزكاة في الذمّة و يبقى تعلّقها بالعين بلا فائدة، مع أنّه لو انيط الحكم بالأنفعيّة لقضى بتعيين العين تارة و تعيين القيمة اخرى لأنّه ربّما كانت العين أنفع، و لزم من ذلك التفصيل لا اطّراد الحكم بجواز القيمة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 الوجهين تمسّكه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الزكاة تجب على طريق المساواة و تسامح صاحبها، و في تعيّن العين ضيق بالمالك فإنّه ربّما احتاج إلى العين</w:t>
      </w:r>
      <w:r>
        <w:rPr>
          <w:rFonts w:eastAsia="Amiri" w:cs="Amiri" w:ascii="Amiri" w:hAnsi="Amiri"/>
          <w:color w:val="111111"/>
          <w:sz w:val="28"/>
          <w:szCs w:val="28"/>
          <w:rtl w:val="true"/>
          <w:lang w:bidi="ar-SA"/>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نحوه في الضعف تمسّكه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يجوز إخراج القيمة في غير الأنعام فيجوز فيها، أمّا المقدّمة الاولى فلما مرّ إليه الإشارة، و أمّا الثانية فلأنّ إخراج القيمة إمّا أن يكون تحصيلا للمصالح المطلوبة شرعا أو لا؟ فإن كان الأوّل أجزأ مطلقا، و إن كان الثاني امتنع مطلقا</w:t>
      </w:r>
      <w:r>
        <w:rPr>
          <w:rFonts w:eastAsia="Amiri" w:cs="Amiri" w:ascii="Amiri" w:hAnsi="Amiri"/>
          <w:color w:val="111111"/>
          <w:sz w:val="28"/>
          <w:szCs w:val="28"/>
          <w:rtl w:val="true"/>
          <w:lang w:bidi="ar-SA"/>
        </w:rPr>
        <w:t>»</w:t>
      </w:r>
      <w:r>
        <w:rPr>
          <w:rStyle w:val="FootnoteAnchor"/>
          <w:rtl w:val="true"/>
        </w:rPr>
        <w:footnoteReference w:id="1547"/>
      </w:r>
      <w:r>
        <w:rPr>
          <w:rFonts w:ascii="Amiri" w:hAnsi="Amiri" w:eastAsia="Amiri" w:cs="Amiri"/>
          <w:color w:val="111111"/>
          <w:sz w:val="28"/>
          <w:sz w:val="28"/>
          <w:szCs w:val="28"/>
          <w:rtl w:val="true"/>
          <w:lang w:bidi="ar-SA"/>
        </w:rPr>
        <w:t>و يكفي في ضعفه إنّ مبنى الشرع و أحكامه على الجمع بين المختلفات و الفرق بين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الاستدلال على الجواز هنا أيضا بقوله في صحيح البرقي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لا يجوز إلاّ أن يخرج من كلّ شيء ما فيه‌؟ فأجابه أيّما تيسّر يخرج</w:t>
      </w:r>
      <w:r>
        <w:rPr>
          <w:rFonts w:eastAsia="Amiri" w:cs="Amiri" w:ascii="Amiri" w:hAnsi="Amiri"/>
          <w:color w:val="111111"/>
          <w:sz w:val="28"/>
          <w:szCs w:val="28"/>
          <w:rtl w:val="true"/>
          <w:lang w:bidi="ar-SA"/>
        </w:rPr>
        <w:t>»</w:t>
      </w:r>
      <w:r>
        <w:rPr>
          <w:rStyle w:val="FootnoteAnchor"/>
          <w:rtl w:val="true"/>
        </w:rPr>
        <w:footnoteReference w:id="1548"/>
      </w:r>
      <w:r>
        <w:rPr>
          <w:rFonts w:ascii="Amiri" w:hAnsi="Amiri" w:eastAsia="Amiri" w:cs="Amiri"/>
          <w:color w:val="111111"/>
          <w:sz w:val="28"/>
          <w:sz w:val="28"/>
          <w:szCs w:val="28"/>
          <w:rtl w:val="true"/>
          <w:lang w:bidi="ar-SA"/>
        </w:rPr>
        <w:t>بتقريب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بعمومه جميع الأجناس الزكويّة حتّى الأنعام، و يكشف عن كون تخصيص الأشياء المذكورة قبله بالذكر من باب المثال فهذا تعميم في السؤال بعد التخصيص مثالا و خرج الجواب من الإمام عليه السّلام بعد هذا التعميم مفيدا لعموم الحكم حتّى الأنعام، خصوصا بملاحظة تعبيره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يقضي بأنّ المدار في إخراج الزكاة على ما تيسّر إخراجه للمالك، و هذا يقتضي تسويغ إخراج العين و القيمة معا، إذ لو تعيّن العين لم يكن لإناطة الحكم بالتيسّر وجه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من ذلك كون العدول إلى القيمة معلّقا على تعسّر العين لأنّ مفروض السائل في السؤال وجود العين و القيمة معا، فاريد بالتيسّر في الجواب مجرّد الأسهليّة و سهولة الدفع، و محصّله أنّه لا تضييق على المالك باعتبار تعيين ما عليه من العين بل موسّع عليه و مرخّص في إخراج ما تيسّر له من العين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بل قيل يدلّ عليه أيضا المرويّ عن عبد اللّه بن جعفر في قرب الإسناد عن محمّد بن الوليد عن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المسلمين اعطيهم من الزكاة فأشتري لهم منها ثيابا و طعاما و أرى أنّ ذلك خير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549"/>
      </w:r>
      <w:r>
        <w:rPr>
          <w:rFonts w:ascii="Amiri" w:hAnsi="Amiri" w:eastAsia="Amiri" w:cs="Amiri"/>
          <w:color w:val="111111"/>
          <w:sz w:val="28"/>
          <w:sz w:val="28"/>
          <w:szCs w:val="28"/>
          <w:rtl w:val="true"/>
          <w:lang w:bidi="ar-SA"/>
        </w:rPr>
        <w:t xml:space="preserve">و السند معتبر لتردّده بين الصحّة و التوثيق، و دلالته واضحة لو لا ورود </w:t>
      </w:r>
      <w:bookmarkStart w:id="343" w:name="pg16181_154644"/>
    </w:p>
    <w:p>
      <w:pPr>
        <w:pStyle w:val="BookText"/>
        <w:rPr/>
      </w:pPr>
      <w:bookmarkEnd w:id="343"/>
      <w:r>
        <w:rPr>
          <w:rFonts w:ascii="Amiri" w:hAnsi="Amiri" w:eastAsia="Amiri" w:cs="Amiri"/>
          <w:color w:val="111111"/>
          <w:sz w:val="28"/>
          <w:sz w:val="28"/>
          <w:szCs w:val="28"/>
          <w:rtl w:val="true"/>
          <w:lang w:bidi="ar-SA"/>
        </w:rPr>
        <w:t>المناقشة فيها بنحو ما ستعرفه من القدح في دلالة الرواية الآتية في الفرع الثاني، إلاّ أن يتشبّث حينئذ بالفحوى أو بإطلاق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اعطيهم من الزكاة فأشتري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يعمّ ما لو كان الزكاة الواجبة من أحد النقدين فيشتري به الثياب و الطعام و ما لو كانت من أجناس اخر فيتقبّل العين لنفسه و يشتري بقيمته الثياب و الطعام</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2586653_1280447820"/>
      <w:bookmarkStart w:id="345" w:name="_Toc125"/>
      <w:bookmarkEnd w:id="344"/>
      <w:r>
        <w:rPr>
          <w:rtl w:val="true"/>
        </w:rPr>
        <w:t>فروع</w:t>
      </w:r>
      <w:r>
        <w:rPr>
          <w:rtl w:val="true"/>
        </w:rPr>
        <w:t>:</w:t>
      </w:r>
      <w:bookmarkEnd w:id="345"/>
    </w:p>
    <w:p>
      <w:pPr>
        <w:pStyle w:val="Heading6"/>
        <w:numPr>
          <w:ilvl w:val="5"/>
          <w:numId w:val="1"/>
        </w:numPr>
        <w:rPr/>
      </w:pPr>
      <w:bookmarkStart w:id="346" w:name="__RefHeading___Toc2586655_1280447820"/>
      <w:bookmarkStart w:id="347" w:name="_Toc126"/>
      <w:bookmarkEnd w:id="346"/>
      <w:r>
        <w:rPr>
          <w:rtl w:val="true"/>
        </w:rPr>
        <w:t>[</w:t>
      </w:r>
      <w:r>
        <w:rPr>
          <w:rtl w:val="true"/>
        </w:rPr>
        <w:t>الاول دفع القيمة لا أصل و لا بدل</w:t>
      </w:r>
      <w:r>
        <w:rPr>
          <w:rtl w:val="true"/>
        </w:rPr>
        <w:t>]</w:t>
      </w:r>
      <w:bookmarkEnd w:id="34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المنتهى كما عنه في التحرير</w:t>
      </w:r>
      <w:r>
        <w:rPr>
          <w:rStyle w:val="FootnoteAnchor"/>
          <w:rtl w:val="true"/>
        </w:rPr>
        <w:footnoteReference w:id="1550"/>
      </w:r>
      <w:r>
        <w:rPr>
          <w:rFonts w:ascii="Amiri" w:hAnsi="Amiri" w:eastAsia="Amiri" w:cs="Amiri"/>
          <w:color w:val="111111"/>
          <w:sz w:val="28"/>
          <w:sz w:val="28"/>
          <w:szCs w:val="28"/>
          <w:rtl w:val="true"/>
          <w:lang w:bidi="ar-SA"/>
        </w:rPr>
        <w:t>و عن الشيخ في الخلاف</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القيمة تخرج على أنّها قيمة لا أصل و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إلى أبي حنيفة</w:t>
      </w:r>
      <w:r>
        <w:rPr>
          <w:rStyle w:val="FootnoteAnchor"/>
          <w:rtl w:val="true"/>
        </w:rPr>
        <w:footnoteReference w:id="155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أصحابه من قال الواجب أحد الشيئين فأيّما أخرج كان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المنصوص عليه العين و الأحاديث إنّما دلّت على القيمة على أنّها قيمة لا بدل و أصل في نفسها</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ما أفاده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العدول عن عين الفريضة إلى القيمة ليس على أنّه اختيار لأحد فردي الواجب التخييري اللذين وقع التخيير بينهما بحسب أصل الشرع و هما العين و القيمة ليكون كلّ من حيث تعلّق الخطاب به أصلا، و من حيث كونه معادلا للآخر بدلا له، بل على أنّه تعويض للعين بقيمته السوقيّة بأن يتقبّلها المالك و يدفع القيمة السوقيّة عوضا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نحو معاملة معاوضيّة، بل معاوضة مشروعيّتها ثبتت بإذن الشارع و ترخيصه، نظير ما لو أذن المالك من بيده عين من أعيان ماله في أن يتقبّلها لنفسه و يدفع إليه قيمته، و عليه فلا يكون القيمة أصلا و بدلا، و الدليل على ذلك أنّ مقتضى النصوص إخراج العين بعينه فإخراج القيمة حينئذ لا جهة له إلاّ عوضا في المعاملة المعاوضيّة</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2586657_1280447820"/>
      <w:bookmarkStart w:id="349" w:name="_Toc127"/>
      <w:bookmarkEnd w:id="348"/>
      <w:r>
        <w:rPr>
          <w:rtl w:val="true"/>
        </w:rPr>
        <w:t>[</w:t>
      </w:r>
      <w:r>
        <w:rPr>
          <w:rtl w:val="true"/>
        </w:rPr>
        <w:t>الثانى اخراج العين افضل فى الانعام</w:t>
      </w:r>
      <w:r>
        <w:rPr>
          <w:rtl w:val="true"/>
        </w:rPr>
        <w:t>]</w:t>
      </w:r>
      <w:bookmarkEnd w:id="34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بأنّ إخراج القيمة و إن كان جائزا مطلقا إلاّ أنّ إخراج العين </w:t>
      </w:r>
    </w:p>
    <w:p>
      <w:pPr>
        <w:pStyle w:val="BookText"/>
        <w:rPr/>
      </w:pPr>
      <w:r>
        <w:rPr>
          <w:rFonts w:ascii="Amiri" w:hAnsi="Amiri" w:eastAsia="Amiri" w:cs="Amiri"/>
          <w:color w:val="111111"/>
          <w:sz w:val="28"/>
          <w:sz w:val="28"/>
          <w:szCs w:val="28"/>
          <w:rtl w:val="true"/>
          <w:lang w:bidi="ar-SA"/>
        </w:rPr>
        <w:t>أفضل و يتأكّد في الأنعام، و لعلّ وجهه ما تقدّم</w:t>
      </w:r>
      <w:r>
        <w:rPr>
          <w:rStyle w:val="FootnoteAnchor"/>
          <w:rtl w:val="true"/>
        </w:rPr>
        <w:footnoteReference w:id="1554"/>
      </w:r>
      <w:r>
        <w:rPr>
          <w:rFonts w:ascii="Amiri" w:hAnsi="Amiri" w:eastAsia="Amiri" w:cs="Amiri"/>
          <w:color w:val="111111"/>
          <w:sz w:val="28"/>
          <w:sz w:val="28"/>
          <w:szCs w:val="28"/>
          <w:rtl w:val="true"/>
          <w:lang w:bidi="ar-SA"/>
        </w:rPr>
        <w:t>من كون العين هو الأصل فإنّ قضية أصالة العين أفضليّة إخراجها، نظرا إلى أنّ إخراج القيمة على الوجه الّذي وجّهناه ليس عزيمة و لا على وجه الاستحباب، بل غايته الرخصة، فيبقى أصالة العين و وجوبها العيني على حاله و هو يقتضي الأفضليّة، و أمّا تأكّدها في الأنعام فللاحتياط و الخروج عن شبهة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السيّد في الرياض بما رواه الكليني عن محمّد بن أبي عبد اللّه عن سهل بن زياد عن أحمد بن محمّد بن أبي نصر عن سعيد بن عمر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 يشتري الرجل من الزكاة الثياب و السويق و الدقيق و البطيخ و العنب فيقسّمه‌؟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يعطيهم إلاّ الدراهم كما أمر اللّه تعالى</w:t>
      </w:r>
      <w:r>
        <w:rPr>
          <w:rFonts w:eastAsia="Amiri" w:cs="Amiri" w:ascii="Amiri" w:hAnsi="Amiri"/>
          <w:color w:val="111111"/>
          <w:sz w:val="28"/>
          <w:szCs w:val="28"/>
          <w:rtl w:val="true"/>
          <w:lang w:bidi="ar-SA"/>
        </w:rPr>
        <w:t>»</w:t>
      </w:r>
      <w:r>
        <w:rPr>
          <w:rStyle w:val="FootnoteAnchor"/>
          <w:rtl w:val="true"/>
        </w:rPr>
        <w:footnoteReference w:id="1555"/>
      </w:r>
      <w:r>
        <w:rPr>
          <w:rFonts w:ascii="Amiri" w:hAnsi="Amiri" w:eastAsia="Amiri" w:cs="Amiri"/>
          <w:color w:val="111111"/>
          <w:sz w:val="28"/>
          <w:sz w:val="28"/>
          <w:szCs w:val="28"/>
          <w:rtl w:val="true"/>
          <w:lang w:bidi="ar-SA"/>
        </w:rPr>
        <w:t>قال في 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بأنّ الزكاة المسئول عن جواز قيمتها إنّما هو الدراهم، و إلاّ فليس المأمور به من اللّه سبحانه في كلّ جنس إلاّ ما يجانسه لا الدراهم مطلقا، و عليه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يعطيهم إلاّ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بل ظاهرا في عموم المنع و ثبوته مطلقا، و ظاهره و إن أفاد المنع و الحرمة لكنّه محمول على الكراهة جمعا بين الأدلّة</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القدح في سند الرواية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فلا تقاوم لمعارضة ما مرّ من الروايات المجوّزة حتّى يجمع بينهما بإرجاع التأويل إليها، نعم هي لضعفها لا تنهض لإثبات المنع و التحريم فلتحمل على الكراهة و التنزيه تسامحا في أدلّة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على ما نحن فيه، لأنّ مورد الرواية اشتراء الرجل بدراهم الزكاة الأشياء المذكورة للفقراء، و هذا بمقتضى ظاهر الرواية ممّا لم يأذن فيه الشارع، و هو غير مسألة إخراج القيمة الّذي أذن فيه الشارع بموجب ما تقدّم من الروايات، و هو أن يتقبّل المالك عين الزكاة لنفسه و يدفع قيمته السوقيّة من ماله، فلا مقتضى للجمع من جهة عدم التعارض</w:t>
      </w:r>
      <w:r>
        <w:rPr>
          <w:rFonts w:eastAsia="Amiri" w:cs="Amiri" w:ascii="Amiri" w:hAnsi="Amiri"/>
          <w:color w:val="111111"/>
          <w:sz w:val="28"/>
          <w:szCs w:val="28"/>
          <w:rtl w:val="true"/>
          <w:lang w:bidi="ar-SA"/>
        </w:rPr>
        <w:t xml:space="preserve">. </w:t>
      </w:r>
      <w:bookmarkStart w:id="350" w:name="pg16181_154646"/>
    </w:p>
    <w:p>
      <w:pPr>
        <w:pStyle w:val="BookText"/>
        <w:rPr/>
      </w:pPr>
      <w:bookmarkEnd w:id="350"/>
      <w:r>
        <w:rPr>
          <w:rFonts w:ascii="Amiri" w:hAnsi="Amiri" w:eastAsia="Amiri" w:cs="Amiri"/>
          <w:color w:val="111111"/>
          <w:sz w:val="28"/>
          <w:sz w:val="28"/>
          <w:szCs w:val="28"/>
          <w:rtl w:val="true"/>
          <w:lang w:bidi="ar-SA"/>
        </w:rPr>
        <w:t>إلاّ أن يقال بأنّ كل من يجوّز إخراج القيمة بالمعنى المذكور يجوّز تبديل العين بالمعنى المستفاد من الرواية أيضا، و هو مشكل لعدم الدليل عليه من النصوص، و الإجماع عليه بسيطا أو مركّبا غير واضح، إلاّ أن يتمسّك عليه بالمرويّ عن قرب الإسناد المتقدّم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اعطيهم من الزكاة فأشتري لهم منها ثيابا و طعاما</w:t>
      </w:r>
      <w:r>
        <w:rPr>
          <w:rFonts w:eastAsia="Amiri" w:cs="Amiri" w:ascii="Amiri" w:hAnsi="Amiri"/>
          <w:color w:val="111111"/>
          <w:sz w:val="28"/>
          <w:szCs w:val="28"/>
          <w:rtl w:val="true"/>
          <w:lang w:bidi="ar-SA"/>
        </w:rPr>
        <w:t>»</w:t>
      </w:r>
      <w:r>
        <w:rPr>
          <w:rStyle w:val="FootnoteAnchor"/>
          <w:rtl w:val="true"/>
        </w:rPr>
        <w:footnoteReference w:id="1557"/>
      </w:r>
      <w:r>
        <w:rPr>
          <w:rFonts w:ascii="Amiri" w:hAnsi="Amiri" w:eastAsia="Amiri" w:cs="Amiri"/>
          <w:color w:val="111111"/>
          <w:sz w:val="28"/>
          <w:sz w:val="28"/>
          <w:szCs w:val="28"/>
          <w:rtl w:val="true"/>
          <w:lang w:bidi="ar-SA"/>
        </w:rPr>
        <w:t>الخ أيضا من مورد هذه الرواية و ليس من مسألة إخراج القيمة بالمعنى المذكور، فيجمع بينهما بحمل هذه الرواية على الكراهة و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الأفضليّة حينئذ إنّما ثبتت لدفع العين في مقابلة الاشتراء بها شيئا آخر للمستحقّ من الثياب و غيرها لا لدفع العين في مقابلة إخراج القيمة بالمعنى المبحوث عنه إلاّ أن يتشبّث بالإجماع المركّب و عدم القول بالفصل،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فإن تمّ ما وجّهناه لإثبات الأفضليّة أو ثبت الإجماع عليها فهو و إلاّ فإثبات الدليل عليها في غاية الإشكال إلاّ على البناء على التسامح و الاكتفاء فيه بفتوى الفقيه، فتأمّل جيّدا</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2586659_1280447820"/>
      <w:bookmarkStart w:id="352" w:name="_Toc128"/>
      <w:bookmarkEnd w:id="351"/>
      <w:r>
        <w:rPr>
          <w:rtl w:val="true"/>
        </w:rPr>
        <w:t>[</w:t>
      </w:r>
      <w:r>
        <w:rPr>
          <w:rtl w:val="true"/>
        </w:rPr>
        <w:t>الثالث</w:t>
      </w:r>
      <w:r>
        <w:rPr>
          <w:rtl w:val="true"/>
        </w:rPr>
        <w:t>] [</w:t>
      </w:r>
      <w:r>
        <w:rPr>
          <w:rtl w:val="true"/>
        </w:rPr>
        <w:t>إخراج المنفعة في الزكاة</w:t>
      </w:r>
      <w:r>
        <w:rPr>
          <w:rtl w:val="true"/>
        </w:rPr>
        <w:t>]</w:t>
      </w:r>
      <w:bookmarkEnd w:id="35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في المنتهى و التحرير</w:t>
      </w:r>
      <w:r>
        <w:rPr>
          <w:rStyle w:val="FootnoteAnchor"/>
          <w:rtl w:val="true"/>
        </w:rPr>
        <w:footnoteReference w:id="1558"/>
      </w:r>
      <w:r>
        <w:rPr>
          <w:rFonts w:ascii="Amiri" w:hAnsi="Amiri" w:eastAsia="Amiri" w:cs="Amiri"/>
          <w:color w:val="111111"/>
          <w:sz w:val="28"/>
          <w:sz w:val="28"/>
          <w:szCs w:val="28"/>
          <w:rtl w:val="true"/>
          <w:lang w:bidi="ar-SA"/>
        </w:rPr>
        <w:t>و الشهيد في الذكرى</w:t>
      </w:r>
      <w:r>
        <w:rPr>
          <w:rStyle w:val="FootnoteAnchor"/>
          <w:rtl w:val="true"/>
        </w:rPr>
        <w:footnoteReference w:id="1559"/>
      </w:r>
      <w:r>
        <w:rPr>
          <w:rFonts w:ascii="Amiri" w:hAnsi="Amiri" w:eastAsia="Amiri" w:cs="Amiri"/>
          <w:color w:val="111111"/>
          <w:sz w:val="28"/>
          <w:sz w:val="28"/>
          <w:szCs w:val="28"/>
          <w:rtl w:val="true"/>
          <w:lang w:bidi="ar-SA"/>
        </w:rPr>
        <w:t>و البيان إنّهما استقربا صحّة إخراج المنفعة في الزكاة كسكنى الدار و علّله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حقّ مالي فجاز إخراجه قيمة كالأعيان</w:t>
      </w:r>
      <w:r>
        <w:rPr>
          <w:rFonts w:eastAsia="Amiri" w:cs="Amiri" w:ascii="Amiri" w:hAnsi="Amiri"/>
          <w:color w:val="111111"/>
          <w:sz w:val="28"/>
          <w:szCs w:val="28"/>
          <w:rtl w:val="true"/>
          <w:lang w:bidi="ar-SA"/>
        </w:rPr>
        <w:t>»</w:t>
      </w:r>
      <w:r>
        <w:rPr>
          <w:rStyle w:val="FootnoteAnchor"/>
          <w:rtl w:val="true"/>
        </w:rPr>
        <w:footnoteReference w:id="1560"/>
      </w:r>
      <w:r>
        <w:rPr>
          <w:rFonts w:ascii="Amiri" w:hAnsi="Amiri" w:eastAsia="Amiri" w:cs="Amiri"/>
          <w:color w:val="111111"/>
          <w:sz w:val="28"/>
          <w:sz w:val="28"/>
          <w:szCs w:val="28"/>
          <w:rtl w:val="true"/>
          <w:lang w:bidi="ar-SA"/>
        </w:rPr>
        <w:t>و عن الذكرى و البيان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تسليمها بتسليم العين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المنع لأنّها تحصل تدريجا</w:t>
      </w:r>
      <w:r>
        <w:rPr>
          <w:rFonts w:eastAsia="Amiri" w:cs="Amiri" w:ascii="Amiri" w:hAnsi="Amiri"/>
          <w:color w:val="111111"/>
          <w:sz w:val="28"/>
          <w:szCs w:val="28"/>
          <w:rtl w:val="true"/>
          <w:lang w:bidi="ar-SA"/>
        </w:rPr>
        <w:t>»</w:t>
      </w:r>
      <w:r>
        <w:rPr>
          <w:rStyle w:val="FootnoteAnchor"/>
          <w:rtl w:val="true"/>
        </w:rPr>
        <w:footnoteReference w:id="1561"/>
      </w:r>
      <w:r>
        <w:rPr>
          <w:rFonts w:ascii="Amiri" w:hAnsi="Amiri" w:eastAsia="Amiri" w:cs="Amiri"/>
          <w:color w:val="111111"/>
          <w:sz w:val="28"/>
          <w:sz w:val="28"/>
          <w:szCs w:val="28"/>
          <w:rtl w:val="true"/>
          <w:lang w:bidi="ar-SA"/>
        </w:rPr>
        <w:t>و استشكل الجواز في المدارك و زاد عليه الإشكال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إخراج القيمة ممّا عدى النقدين لقصور الروايتين عن إفادة العموم</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و اختار المنع في الذخيرة</w:t>
      </w:r>
      <w:r>
        <w:rPr>
          <w:rStyle w:val="FootnoteAnchor"/>
          <w:rtl w:val="true"/>
        </w:rPr>
        <w:footnoteReference w:id="1563"/>
      </w:r>
      <w:r>
        <w:rPr>
          <w:rFonts w:ascii="Amiri" w:hAnsi="Amiri" w:eastAsia="Amiri" w:cs="Amiri"/>
          <w:color w:val="111111"/>
          <w:sz w:val="28"/>
          <w:sz w:val="28"/>
          <w:szCs w:val="28"/>
          <w:rtl w:val="true"/>
          <w:lang w:bidi="ar-SA"/>
        </w:rPr>
        <w:t>نظرا إلى فقد الدليل على الصحّة، و مال إليه في المناهل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احتمال المنع في غاية القوّة</w:t>
      </w:r>
      <w:r>
        <w:rPr>
          <w:rFonts w:eastAsia="Amiri" w:cs="Amiri" w:ascii="Amiri" w:hAnsi="Amiri"/>
          <w:color w:val="111111"/>
          <w:sz w:val="28"/>
          <w:szCs w:val="28"/>
          <w:rtl w:val="true"/>
          <w:lang w:bidi="ar-SA"/>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bookmarkStart w:id="353" w:name="pg16181_154647"/>
    </w:p>
    <w:p>
      <w:pPr>
        <w:pStyle w:val="BookText"/>
        <w:rPr/>
      </w:pPr>
      <w:bookmarkEnd w:id="35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على الصحّة بعموم قوله عليه السّلام في صحيحة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Style w:val="FootnoteAnchor"/>
          <w:rtl w:val="true"/>
        </w:rPr>
        <w:footnoteReference w:id="1565"/>
      </w:r>
      <w:r>
        <w:rPr>
          <w:rFonts w:ascii="Amiri" w:hAnsi="Amiri" w:eastAsia="Amiri" w:cs="Amiri"/>
          <w:color w:val="111111"/>
          <w:sz w:val="28"/>
          <w:sz w:val="28"/>
          <w:szCs w:val="28"/>
          <w:rtl w:val="true"/>
          <w:lang w:bidi="ar-SA"/>
        </w:rPr>
        <w:t>و عليه فالأقرب هو الجواز و الصحّة، و الأحوط عدم الاجتزاء بالمنفعة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المحكيّ عن الشهيد في الكتابين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آجر الفقير نفسه أو عقاره ثمّ احتسب مال الإجارة جاز و إن كان معرضا للفسخ</w:t>
      </w:r>
      <w:r>
        <w:rPr>
          <w:rFonts w:eastAsia="Amiri" w:cs="Amiri" w:ascii="Amiri" w:hAnsi="Amiri"/>
          <w:color w:val="111111"/>
          <w:sz w:val="28"/>
          <w:szCs w:val="28"/>
          <w:rtl w:val="true"/>
          <w:lang w:bidi="ar-SA"/>
        </w:rPr>
        <w:t>»</w:t>
      </w:r>
      <w:r>
        <w:rPr>
          <w:rStyle w:val="FootnoteAnchor"/>
          <w:rtl w:val="true"/>
        </w:rPr>
        <w:footnoteReference w:id="1566"/>
      </w:r>
      <w:r>
        <w:rPr>
          <w:rFonts w:ascii="Amiri" w:hAnsi="Amiri" w:eastAsia="Amiri" w:cs="Amiri"/>
          <w:color w:val="111111"/>
          <w:sz w:val="28"/>
          <w:sz w:val="28"/>
          <w:szCs w:val="28"/>
          <w:rtl w:val="true"/>
          <w:lang w:bidi="ar-SA"/>
        </w:rPr>
        <w:t>و استجوده في المدارك تعليلا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مملوك</w:t>
      </w:r>
      <w:r>
        <w:rPr>
          <w:rFonts w:eastAsia="Amiri" w:cs="Amiri" w:ascii="Amiri" w:hAnsi="Amiri"/>
          <w:color w:val="111111"/>
          <w:sz w:val="28"/>
          <w:szCs w:val="28"/>
          <w:rtl w:val="true"/>
          <w:lang w:bidi="ar-SA"/>
        </w:rPr>
        <w:t>»</w:t>
      </w:r>
      <w:r>
        <w:rPr>
          <w:rStyle w:val="FootnoteAnchor"/>
          <w:rtl w:val="true"/>
        </w:rPr>
        <w:footnoteReference w:id="1567"/>
      </w:r>
      <w:r>
        <w:rPr>
          <w:rFonts w:ascii="Amiri" w:hAnsi="Amiri" w:eastAsia="Amiri" w:cs="Amiri"/>
          <w:color w:val="111111"/>
          <w:sz w:val="28"/>
          <w:sz w:val="28"/>
          <w:szCs w:val="28"/>
          <w:rtl w:val="true"/>
          <w:lang w:bidi="ar-SA"/>
        </w:rPr>
        <w:t>و نفى عنه البعد في الذخيرة نظرا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القيمة</w:t>
      </w:r>
      <w:r>
        <w:rPr>
          <w:rStyle w:val="FootnoteAnchor"/>
          <w:rtl w:val="true"/>
        </w:rPr>
        <w:footnoteReference w:id="1568"/>
      </w:r>
      <w:r>
        <w:rPr>
          <w:rFonts w:ascii="Amiri" w:hAnsi="Amiri" w:eastAsia="Amiri" w:cs="Amiri"/>
          <w:color w:val="111111"/>
          <w:sz w:val="28"/>
          <w:sz w:val="28"/>
          <w:szCs w:val="28"/>
          <w:rtl w:val="true"/>
          <w:lang w:bidi="ar-SA"/>
        </w:rPr>
        <w:t>كما هو المستفاد من كلام الأصحاب</w:t>
      </w:r>
      <w:r>
        <w:rPr>
          <w:rStyle w:val="FootnoteAnchor"/>
          <w:rtl w:val="true"/>
        </w:rPr>
        <w:footnoteReference w:id="1569"/>
      </w:r>
      <w:r>
        <w:rPr>
          <w:rFonts w:ascii="Amiri" w:hAnsi="Amiri" w:eastAsia="Amiri" w:cs="Amiri"/>
          <w:color w:val="111111"/>
          <w:sz w:val="28"/>
          <w:sz w:val="28"/>
          <w:szCs w:val="28"/>
          <w:rtl w:val="true"/>
          <w:lang w:bidi="ar-SA"/>
        </w:rPr>
        <w:t>و استقربه في المناهل</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اختاروه جيّد،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كلّ دين للمالك على الفقير فيجوز احتسابه عليه عمّا وجب عليه من الزكاة بأن يتقبّل العين و يجعل دينه عليه قيمته</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2586661_1280447820"/>
      <w:bookmarkStart w:id="355" w:name="_Toc129"/>
      <w:bookmarkEnd w:id="354"/>
      <w:r>
        <w:rPr>
          <w:rtl w:val="true"/>
        </w:rPr>
        <w:t>[</w:t>
      </w:r>
      <w:r>
        <w:rPr>
          <w:rtl w:val="true"/>
        </w:rPr>
        <w:t>الرابع يعتبر فى الغيبة قيمة وقت الاخراج</w:t>
      </w:r>
      <w:r>
        <w:rPr>
          <w:rtl w:val="true"/>
        </w:rPr>
        <w:t>]</w:t>
      </w:r>
      <w:bookmarkEnd w:id="35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بأنّ المعتبر في القيمة قيمة وقت الإخراج، ارتفع السوق في ذلك الوقت أو انخفض حتّى أنّه لو فرّط بالتأخير، و علّلوه بأنّه وقت الانتقال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 في التذكرة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تعتبر القيمة وقت الإخراج إن لم يقوّم الزكاة على نفسه، فلو قوّمها و ضمن القيمة ثمّ زاد السوق أو انخفض قبل الإخراج فالوجه وجوب ما تضمّنه خاصّة دون الزائد و الناقص و إن كان قد فرّط بالتأخير حتّى انخفض السوق أو ارتفع، أمّا لو لم يقوّم ثم ارتفع السوق أو انخفض أخرج القيمة وقت الإخراج</w:t>
      </w:r>
      <w:r>
        <w:rPr>
          <w:rFonts w:eastAsia="Amiri" w:cs="Amiri" w:ascii="Amiri" w:hAnsi="Amiri"/>
          <w:color w:val="111111"/>
          <w:sz w:val="28"/>
          <w:szCs w:val="28"/>
          <w:rtl w:val="true"/>
          <w:lang w:bidi="ar-SA"/>
        </w:rPr>
        <w:t>»</w:t>
      </w:r>
      <w:r>
        <w:rPr>
          <w:rStyle w:val="FootnoteAnchor"/>
          <w:rtl w:val="true"/>
        </w:rPr>
        <w:footnoteReference w:id="1571"/>
      </w:r>
      <w:r>
        <w:rPr>
          <w:rFonts w:ascii="Amiri" w:hAnsi="Amiri" w:eastAsia="Amiri" w:cs="Amiri"/>
          <w:color w:val="111111"/>
          <w:sz w:val="28"/>
          <w:sz w:val="28"/>
          <w:szCs w:val="28"/>
          <w:rtl w:val="true"/>
          <w:lang w:bidi="ar-SA"/>
        </w:rPr>
        <w:t>و في المدارك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تعيّن القيمة بمجرّد التقويم نظر</w:t>
      </w:r>
      <w:r>
        <w:rPr>
          <w:rFonts w:eastAsia="Amiri" w:cs="Amiri" w:ascii="Amiri" w:hAnsi="Amiri"/>
          <w:color w:val="111111"/>
          <w:sz w:val="28"/>
          <w:szCs w:val="28"/>
          <w:rtl w:val="true"/>
          <w:lang w:bidi="ar-SA"/>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أنّ مبنى إخراج القيمة على المعاوضة الّتي أذن فيها الشارع، يظهر لك أنّه لا وجه للنظر، بل الوجه هو ما ذكره العلاّمة، لأنّه بتقبّله العين بإزاء قيمتها السوقيّة صارت العين ملكا له و اشتغلت ذمّته بالعين، غاية الأمر أنّه أخّر دفع القيمة لعذر أو لا لعذر عصيانا فوجب إجزاء تلك القيمة المضمونة حيثما أخرجها</w:t>
      </w:r>
      <w:r>
        <w:rPr>
          <w:rFonts w:eastAsia="Amiri" w:cs="Amiri" w:ascii="Amiri" w:hAnsi="Amiri"/>
          <w:color w:val="111111"/>
          <w:sz w:val="28"/>
          <w:szCs w:val="28"/>
          <w:rtl w:val="true"/>
          <w:lang w:bidi="ar-SA"/>
        </w:rPr>
        <w:t xml:space="preserve">. </w:t>
      </w:r>
      <w:bookmarkStart w:id="356" w:name="pg16181_154648"/>
    </w:p>
    <w:p>
      <w:pPr>
        <w:pStyle w:val="BookText"/>
        <w:rPr/>
      </w:pPr>
      <w:bookmarkEnd w:id="356"/>
      <w:r>
        <w:rPr>
          <w:rFonts w:ascii="Amiri" w:hAnsi="Amiri" w:eastAsia="Amiri" w:cs="Amiri"/>
          <w:color w:val="111111"/>
          <w:sz w:val="28"/>
          <w:sz w:val="28"/>
          <w:szCs w:val="28"/>
          <w:rtl w:val="true"/>
          <w:lang w:bidi="ar-SA"/>
        </w:rPr>
        <w:t>ثمّ لو اختلفت قيم وقت الإخراج في بلد الإخراج باعتبار اختلاف السوق أو باعتبار اختلاف الرغبات فقال في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قويّا إجزاء أقلّ القيم و إن كان أكثرها أحوط</w:t>
      </w:r>
      <w:r>
        <w:rPr>
          <w:rFonts w:eastAsia="Amiri" w:cs="Amiri" w:ascii="Amiri" w:hAnsi="Amiri"/>
          <w:color w:val="111111"/>
          <w:sz w:val="28"/>
          <w:szCs w:val="28"/>
          <w:rtl w:val="true"/>
          <w:lang w:bidi="ar-SA"/>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عموم القيمة في كلام الأصحاب، أو لأصالة البراءة عن الزائد، و فيهما نظر، أمّا الأوّل فلأنّ المعتبر عموم الدليل لا عموم الفتوى، و أمّا الثاني فلأنّ المقام من مجاري أصل الاشتغال لأنّ أوّل ما اشتغلت به الذمّة يقينا إنّما هو العين فوجب تحصيل اليقين بالبراءة عنها و لا يقين إلاّ باخراج أكثر القيم، و يتأكّد بأصالة عدم صحّة المعاوضة لو جعل لها أقلّ القيم</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2586663_1280447820"/>
      <w:bookmarkStart w:id="358" w:name="_Toc130"/>
      <w:bookmarkEnd w:id="357"/>
      <w:r>
        <w:rPr>
          <w:rtl w:val="true"/>
        </w:rPr>
        <w:t>مسائل مهمّة</w:t>
      </w:r>
      <w:r>
        <w:rPr>
          <w:rtl w:val="true"/>
        </w:rPr>
        <w:t>:</w:t>
      </w:r>
      <w:bookmarkEnd w:id="358"/>
    </w:p>
    <w:p>
      <w:pPr>
        <w:pStyle w:val="Heading6"/>
        <w:numPr>
          <w:ilvl w:val="5"/>
          <w:numId w:val="1"/>
        </w:numPr>
        <w:rPr/>
      </w:pPr>
      <w:bookmarkStart w:id="359" w:name="__RefHeading___Toc2586665_1280447820"/>
      <w:bookmarkStart w:id="360" w:name="_Toc131"/>
      <w:bookmarkEnd w:id="359"/>
      <w:r>
        <w:rPr>
          <w:rtl w:val="true"/>
        </w:rPr>
        <w:t>[</w:t>
      </w:r>
      <w:r>
        <w:rPr>
          <w:rtl w:val="true"/>
        </w:rPr>
        <w:t>الاولى</w:t>
      </w:r>
      <w:r>
        <w:rPr>
          <w:rtl w:val="true"/>
        </w:rPr>
        <w:t>] [</w:t>
      </w:r>
      <w:r>
        <w:rPr>
          <w:rtl w:val="true"/>
        </w:rPr>
        <w:t>الشاة المأخوذة للزكاة</w:t>
      </w:r>
      <w:r>
        <w:rPr>
          <w:rtl w:val="true"/>
        </w:rPr>
        <w:t>]</w:t>
      </w:r>
      <w:bookmarkEnd w:id="36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أقلّ ما يجزئ من الشاة المأخوذة في الزكاة على قولين، أشار إليهما المحقّق في الشرائع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الشاة الّتي تؤخذ من الزكاة قيل أقلّه الجذع من الضأن و الثنيّ من المعز،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شاة، و الأوّل أظهر</w:t>
      </w:r>
      <w:r>
        <w:rPr>
          <w:rFonts w:eastAsia="Amiri" w:cs="Amiri" w:ascii="Amiri" w:hAnsi="Amiri"/>
          <w:color w:val="111111"/>
          <w:sz w:val="28"/>
          <w:szCs w:val="28"/>
          <w:rtl w:val="true"/>
          <w:lang w:bidi="ar-SA"/>
        </w:rPr>
        <w:t>»</w:t>
      </w:r>
      <w:r>
        <w:rPr>
          <w:rStyle w:val="FootnoteAnchor"/>
          <w:rtl w:val="true"/>
        </w:rPr>
        <w:footnoteReference w:id="1574"/>
      </w:r>
      <w:r>
        <w:rPr>
          <w:rFonts w:ascii="Amiri" w:hAnsi="Amiri" w:eastAsia="Amiri" w:cs="Amiri"/>
          <w:color w:val="111111"/>
          <w:sz w:val="28"/>
          <w:sz w:val="28"/>
          <w:szCs w:val="28"/>
          <w:rtl w:val="true"/>
          <w:lang w:bidi="ar-SA"/>
        </w:rPr>
        <w:t>و عزي اختيار هذا القول إليه في النافع</w:t>
      </w:r>
      <w:r>
        <w:rPr>
          <w:rStyle w:val="FootnoteAnchor"/>
          <w:rtl w:val="true"/>
        </w:rPr>
        <w:footnoteReference w:id="1575"/>
      </w:r>
      <w:r>
        <w:rPr>
          <w:rFonts w:ascii="IRNazanin" w:hAnsi="IRNazanin" w:eastAsia="IRNazanin"/>
          <w:color w:val="111111"/>
          <w:sz w:val="28"/>
          <w:sz w:val="28"/>
          <w:szCs w:val="28"/>
          <w:rtl w:val="true"/>
          <w:lang w:bidi="fa-IR"/>
        </w:rPr>
        <w:t>و المعتبر</w:t>
      </w:r>
      <w:r>
        <w:rPr>
          <w:rStyle w:val="FootnoteAnchor"/>
          <w:rtl w:val="true"/>
        </w:rPr>
        <w:footnoteReference w:id="1576"/>
      </w:r>
      <w:r>
        <w:rPr>
          <w:rFonts w:ascii="Amiri" w:hAnsi="Amiri" w:eastAsia="Amiri" w:cs="Amiri"/>
          <w:color w:val="111111"/>
          <w:sz w:val="28"/>
          <w:sz w:val="28"/>
          <w:szCs w:val="28"/>
          <w:rtl w:val="true"/>
          <w:lang w:bidi="ar-SA"/>
        </w:rPr>
        <w:t>أيضا و إلى الخلاف و الغنية</w:t>
      </w:r>
      <w:r>
        <w:rPr>
          <w:rStyle w:val="FootnoteAnchor"/>
          <w:rtl w:val="true"/>
        </w:rPr>
        <w:footnoteReference w:id="1577"/>
      </w:r>
      <w:r>
        <w:rPr>
          <w:rFonts w:ascii="Amiri" w:hAnsi="Amiri" w:eastAsia="Amiri" w:cs="Amiri"/>
          <w:color w:val="111111"/>
          <w:sz w:val="28"/>
          <w:sz w:val="28"/>
          <w:szCs w:val="28"/>
          <w:rtl w:val="true"/>
          <w:lang w:bidi="ar-SA"/>
        </w:rPr>
        <w:t>و الوسيلة</w:t>
      </w:r>
      <w:r>
        <w:rPr>
          <w:rStyle w:val="FootnoteAnchor"/>
          <w:rtl w:val="true"/>
        </w:rPr>
        <w:footnoteReference w:id="1578"/>
      </w:r>
      <w:r>
        <w:rPr>
          <w:rFonts w:ascii="Amiri" w:hAnsi="Amiri" w:eastAsia="Amiri" w:cs="Amiri"/>
          <w:color w:val="111111"/>
          <w:sz w:val="28"/>
          <w:sz w:val="28"/>
          <w:szCs w:val="28"/>
          <w:rtl w:val="true"/>
          <w:lang w:bidi="ar-SA"/>
        </w:rPr>
        <w:t>و العلاّمة في أكثر كتبه</w:t>
      </w:r>
      <w:r>
        <w:rPr>
          <w:rStyle w:val="FootnoteAnchor"/>
          <w:rtl w:val="true"/>
        </w:rPr>
        <w:footnoteReference w:id="1579"/>
      </w:r>
      <w:r>
        <w:rPr>
          <w:rFonts w:ascii="Amiri" w:hAnsi="Amiri" w:eastAsia="Amiri" w:cs="Amiri"/>
          <w:color w:val="111111"/>
          <w:sz w:val="28"/>
          <w:sz w:val="28"/>
          <w:szCs w:val="28"/>
          <w:rtl w:val="true"/>
          <w:lang w:bidi="ar-SA"/>
        </w:rPr>
        <w:t>و الشهيدين في الدروس</w:t>
      </w:r>
      <w:r>
        <w:rPr>
          <w:rStyle w:val="FootnoteAnchor"/>
          <w:rtl w:val="true"/>
        </w:rPr>
        <w:footnoteReference w:id="1580"/>
      </w:r>
      <w:r>
        <w:rPr>
          <w:rFonts w:ascii="Amiri" w:hAnsi="Amiri" w:eastAsia="Amiri" w:cs="Amiri"/>
          <w:color w:val="111111"/>
          <w:sz w:val="28"/>
          <w:sz w:val="28"/>
          <w:szCs w:val="28"/>
          <w:rtl w:val="true"/>
          <w:lang w:bidi="ar-SA"/>
        </w:rPr>
        <w:t>و البيان</w:t>
      </w:r>
      <w:r>
        <w:rPr>
          <w:rStyle w:val="FootnoteAnchor"/>
          <w:rtl w:val="true"/>
        </w:rPr>
        <w:footnoteReference w:id="1581"/>
      </w:r>
      <w:r>
        <w:rPr>
          <w:rFonts w:ascii="Amiri" w:hAnsi="Amiri" w:eastAsia="Amiri" w:cs="Amiri"/>
          <w:color w:val="111111"/>
          <w:sz w:val="28"/>
          <w:sz w:val="28"/>
          <w:szCs w:val="28"/>
          <w:rtl w:val="true"/>
          <w:lang w:bidi="ar-SA"/>
        </w:rPr>
        <w:t>و اللمعة</w:t>
      </w:r>
      <w:r>
        <w:rPr>
          <w:rStyle w:val="FootnoteAnchor"/>
          <w:rtl w:val="true"/>
        </w:rPr>
        <w:footnoteReference w:id="1582"/>
      </w:r>
      <w:r>
        <w:rPr>
          <w:rFonts w:ascii="Amiri" w:hAnsi="Amiri" w:eastAsia="Amiri" w:cs="Amiri"/>
          <w:color w:val="111111"/>
          <w:sz w:val="28"/>
          <w:sz w:val="28"/>
          <w:szCs w:val="28"/>
          <w:rtl w:val="true"/>
          <w:lang w:bidi="ar-SA"/>
        </w:rPr>
        <w:t>و الروضة</w:t>
      </w:r>
      <w:r>
        <w:rPr>
          <w:rStyle w:val="FootnoteAnchor"/>
          <w:rtl w:val="true"/>
        </w:rPr>
        <w:footnoteReference w:id="1583"/>
      </w:r>
      <w:r>
        <w:rPr>
          <w:rFonts w:ascii="IRNazanin" w:hAnsi="IRNazanin" w:eastAsia="IRNazanin"/>
          <w:color w:val="111111"/>
          <w:sz w:val="28"/>
          <w:sz w:val="28"/>
          <w:szCs w:val="28"/>
          <w:rtl w:val="true"/>
          <w:lang w:bidi="fa-IR"/>
        </w:rPr>
        <w:t>و الجامع</w:t>
      </w:r>
      <w:r>
        <w:rPr>
          <w:rStyle w:val="FootnoteAnchor"/>
          <w:rtl w:val="true"/>
        </w:rPr>
        <w:footnoteReference w:id="1584"/>
      </w:r>
      <w:r>
        <w:rPr>
          <w:rFonts w:ascii="Amiri" w:hAnsi="Amiri" w:eastAsia="Amiri" w:cs="Amiri"/>
          <w:color w:val="111111"/>
          <w:sz w:val="28"/>
          <w:sz w:val="28"/>
          <w:szCs w:val="28"/>
          <w:rtl w:val="true"/>
          <w:lang w:bidi="ar-SA"/>
        </w:rPr>
        <w:t>و الرياض</w:t>
      </w:r>
      <w:r>
        <w:rPr>
          <w:rStyle w:val="FootnoteAnchor"/>
          <w:rtl w:val="true"/>
        </w:rPr>
        <w:footnoteReference w:id="1585"/>
      </w:r>
      <w:r>
        <w:rPr>
          <w:rFonts w:ascii="Amiri" w:hAnsi="Amiri" w:eastAsia="Amiri" w:cs="Amiri"/>
          <w:color w:val="111111"/>
          <w:sz w:val="28"/>
          <w:sz w:val="28"/>
          <w:szCs w:val="28"/>
          <w:rtl w:val="true"/>
          <w:lang w:bidi="ar-SA"/>
        </w:rPr>
        <w:t>و ظاهر التنقيح</w:t>
      </w:r>
      <w:r>
        <w:rPr>
          <w:rStyle w:val="FootnoteAnchor"/>
          <w:rtl w:val="true"/>
        </w:rPr>
        <w:footnoteReference w:id="1586"/>
      </w:r>
      <w:r>
        <w:rPr>
          <w:rFonts w:ascii="Amiri" w:hAnsi="Amiri" w:eastAsia="Amiri" w:cs="Amiri"/>
          <w:color w:val="111111"/>
          <w:sz w:val="28"/>
          <w:sz w:val="28"/>
          <w:szCs w:val="28"/>
          <w:rtl w:val="true"/>
          <w:lang w:bidi="ar-SA"/>
        </w:rPr>
        <w:t>و حاشية الشرائع</w:t>
      </w:r>
      <w:r>
        <w:rPr>
          <w:rStyle w:val="FootnoteAnchor"/>
          <w:rtl w:val="true"/>
        </w:rPr>
        <w:footnoteReference w:id="1587"/>
      </w:r>
      <w:r>
        <w:rPr>
          <w:rFonts w:ascii="Amiri" w:hAnsi="Amiri" w:eastAsia="Amiri" w:cs="Amiri"/>
          <w:color w:val="111111"/>
          <w:sz w:val="28"/>
          <w:sz w:val="28"/>
          <w:szCs w:val="28"/>
          <w:rtl w:val="true"/>
          <w:lang w:bidi="ar-SA"/>
        </w:rPr>
        <w:t>و المسالك</w:t>
      </w:r>
      <w:r>
        <w:rPr>
          <w:rStyle w:val="FootnoteAnchor"/>
          <w:rtl w:val="true"/>
        </w:rPr>
        <w:footnoteReference w:id="1588"/>
      </w:r>
      <w:r>
        <w:rPr>
          <w:rFonts w:ascii="Amiri" w:hAnsi="Amiri" w:eastAsia="Amiri" w:cs="Amiri"/>
          <w:color w:val="111111"/>
          <w:sz w:val="28"/>
          <w:sz w:val="28"/>
          <w:szCs w:val="28"/>
          <w:rtl w:val="true"/>
          <w:lang w:bidi="ar-SA"/>
        </w:rPr>
        <w:t>و في الرياض أنّه الأشهر</w:t>
      </w:r>
      <w:r>
        <w:rPr>
          <w:rStyle w:val="FootnoteAnchor"/>
          <w:rtl w:val="true"/>
        </w:rPr>
        <w:footnoteReference w:id="1589"/>
      </w:r>
      <w:r>
        <w:rPr>
          <w:rFonts w:ascii="Amiri" w:hAnsi="Amiri" w:eastAsia="Amiri" w:cs="Amiri"/>
          <w:color w:val="111111"/>
          <w:sz w:val="28"/>
          <w:sz w:val="28"/>
          <w:szCs w:val="28"/>
          <w:rtl w:val="true"/>
          <w:lang w:bidi="ar-SA"/>
        </w:rPr>
        <w:t>و في الذخيرة</w:t>
      </w:r>
      <w:r>
        <w:rPr>
          <w:rStyle w:val="FootnoteAnchor"/>
          <w:rtl w:val="true"/>
        </w:rPr>
        <w:footnoteReference w:id="1590"/>
      </w:r>
      <w:r>
        <w:rPr>
          <w:rFonts w:ascii="Amiri" w:hAnsi="Amiri" w:eastAsia="Amiri" w:cs="Amiri"/>
          <w:color w:val="111111"/>
          <w:sz w:val="28"/>
          <w:sz w:val="28"/>
          <w:szCs w:val="28"/>
          <w:rtl w:val="true"/>
          <w:lang w:bidi="ar-SA"/>
        </w:rPr>
        <w:t>كما عن الكفاية أنّه المشهور بين الأصحاب</w:t>
      </w:r>
      <w:r>
        <w:rPr>
          <w:rStyle w:val="FootnoteAnchor"/>
          <w:rtl w:val="true"/>
        </w:rPr>
        <w:footnoteReference w:id="1591"/>
      </w:r>
      <w:r>
        <w:rPr>
          <w:rFonts w:ascii="Amiri" w:hAnsi="Amiri" w:eastAsia="Amiri" w:cs="Amiri"/>
          <w:color w:val="111111"/>
          <w:sz w:val="28"/>
          <w:sz w:val="28"/>
          <w:szCs w:val="28"/>
          <w:rtl w:val="true"/>
          <w:lang w:bidi="ar-SA"/>
        </w:rPr>
        <w:t>و عن الخلاف و الغنية الإجماع عليه</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القول الثاني و إن كان نقله في الشرائع</w:t>
      </w:r>
      <w:r>
        <w:rPr>
          <w:rStyle w:val="FootnoteAnchor"/>
          <w:rtl w:val="true"/>
        </w:rPr>
        <w:footnoteReference w:id="1593"/>
      </w:r>
      <w:r>
        <w:rPr>
          <w:rFonts w:ascii="Amiri" w:hAnsi="Amiri" w:eastAsia="Amiri" w:cs="Amiri"/>
          <w:color w:val="111111"/>
          <w:sz w:val="28"/>
          <w:sz w:val="28"/>
          <w:szCs w:val="28"/>
          <w:rtl w:val="true"/>
          <w:lang w:bidi="ar-SA"/>
        </w:rPr>
        <w:t>و لكنّه لم يظهر كون قائله من أصحابنا، و احتمل في المناهل كونه من العامّة</w:t>
      </w:r>
      <w:r>
        <w:rPr>
          <w:rStyle w:val="FootnoteAnchor"/>
          <w:rtl w:val="true"/>
        </w:rPr>
        <w:footnoteReference w:id="1594"/>
      </w:r>
      <w:r>
        <w:rPr>
          <w:rFonts w:ascii="Amiri" w:hAnsi="Amiri" w:eastAsia="Amiri" w:cs="Amiri"/>
          <w:color w:val="111111"/>
          <w:sz w:val="28"/>
          <w:sz w:val="28"/>
          <w:szCs w:val="28"/>
          <w:rtl w:val="true"/>
          <w:lang w:bidi="ar-SA"/>
        </w:rPr>
        <w:t>و قد بالغ في الرياض في إنكار وجوده قائلا بعد دعوى الأشهريّة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خلاف فيه يعرف و لا ينقل إلاّ في الشرائع فقد حكى فيه القول بكفاية ما يسمّى شاة، و القائل به غير معروف و لا منقول، بل على خلافه الإجماع في الغنية و الخلاف</w:t>
      </w:r>
      <w:r>
        <w:rPr>
          <w:rFonts w:eastAsia="Amiri" w:cs="Amiri" w:ascii="Amiri" w:hAnsi="Amiri"/>
          <w:color w:val="111111"/>
          <w:sz w:val="28"/>
          <w:szCs w:val="28"/>
          <w:rtl w:val="true"/>
          <w:lang w:bidi="ar-SA"/>
        </w:rPr>
        <w:t>»</w:t>
      </w:r>
      <w:r>
        <w:rPr>
          <w:rStyle w:val="FootnoteAnchor"/>
          <w:rtl w:val="true"/>
        </w:rPr>
        <w:footnoteReference w:id="159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ربّما يظهر اختياره من عبارة التحرير لمكان تعبيره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الجذعة من الضأن و الثنيّة من المعز و كذا شاة الجبران</w:t>
      </w:r>
      <w:r>
        <w:rPr>
          <w:rFonts w:eastAsia="Amiri" w:cs="Amiri" w:ascii="Amiri" w:hAnsi="Amiri"/>
          <w:color w:val="111111"/>
          <w:sz w:val="28"/>
          <w:szCs w:val="28"/>
          <w:rtl w:val="true"/>
          <w:lang w:bidi="ar-SA"/>
        </w:rPr>
        <w:t>»</w:t>
      </w:r>
      <w:r>
        <w:rPr>
          <w:rStyle w:val="FootnoteAnchor"/>
          <w:rtl w:val="true"/>
        </w:rPr>
        <w:footnoteReference w:id="1596"/>
      </w:r>
      <w:r>
        <w:rPr>
          <w:rFonts w:ascii="Amiri" w:hAnsi="Amiri" w:eastAsia="Amiri" w:cs="Amiri"/>
          <w:color w:val="111111"/>
          <w:sz w:val="28"/>
          <w:sz w:val="28"/>
          <w:szCs w:val="28"/>
          <w:rtl w:val="true"/>
          <w:lang w:bidi="ar-SA"/>
        </w:rPr>
        <w:t>لظهوره في الرجحان المفيد لتجويز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عدم نصوصيّته فيه يحتمل إرادة الوجوب و نفى عنه البعد في المناهل</w:t>
      </w:r>
      <w:r>
        <w:rPr>
          <w:rStyle w:val="FootnoteAnchor"/>
          <w:rtl w:val="true"/>
        </w:rPr>
        <w:footnoteReference w:id="1597"/>
      </w:r>
      <w:r>
        <w:rPr>
          <w:rFonts w:ascii="Amiri" w:hAnsi="Amiri" w:eastAsia="Amiri" w:cs="Amiri"/>
          <w:color w:val="111111"/>
          <w:sz w:val="28"/>
          <w:sz w:val="28"/>
          <w:szCs w:val="28"/>
          <w:rtl w:val="true"/>
          <w:lang w:bidi="ar-SA"/>
        </w:rPr>
        <w:t>نعم اختاره صريحا صاحب المدارك</w:t>
      </w:r>
      <w:r>
        <w:rPr>
          <w:rStyle w:val="FootnoteAnchor"/>
          <w:rtl w:val="true"/>
        </w:rPr>
        <w:footnoteReference w:id="1598"/>
      </w:r>
      <w:r>
        <w:rPr>
          <w:rFonts w:ascii="Amiri" w:hAnsi="Amiri" w:eastAsia="Amiri" w:cs="Amiri"/>
          <w:color w:val="111111"/>
          <w:sz w:val="28"/>
          <w:sz w:val="28"/>
          <w:szCs w:val="28"/>
          <w:rtl w:val="true"/>
          <w:lang w:bidi="ar-SA"/>
        </w:rPr>
        <w:t>و يظهر الميل إليه من الذخيرة حيث ناقش في دليل القول الأوّل ثمّ حكى دليل هذا القول من غير مناقشة فيه</w:t>
      </w:r>
      <w:r>
        <w:rPr>
          <w:rStyle w:val="FootnoteAnchor"/>
          <w:rtl w:val="true"/>
        </w:rPr>
        <w:footnoteReference w:id="1599"/>
      </w:r>
      <w:r>
        <w:rPr>
          <w:rFonts w:ascii="Amiri" w:hAnsi="Amiri" w:eastAsia="Amiri" w:cs="Amiri"/>
          <w:color w:val="111111"/>
          <w:sz w:val="28"/>
          <w:sz w:val="28"/>
          <w:szCs w:val="28"/>
          <w:rtl w:val="true"/>
          <w:lang w:bidi="ar-SA"/>
        </w:rPr>
        <w:t>و عزي نحوه إلى مجمع الفائدة</w:t>
      </w:r>
      <w:r>
        <w:rPr>
          <w:rStyle w:val="FootnoteAnchor"/>
          <w:rtl w:val="true"/>
        </w:rPr>
        <w:footnoteReference w:id="1600"/>
      </w:r>
      <w:r>
        <w:rPr>
          <w:rFonts w:ascii="Amiri" w:hAnsi="Amiri" w:eastAsia="Amiri" w:cs="Amiri"/>
          <w:color w:val="111111"/>
          <w:sz w:val="28"/>
          <w:sz w:val="28"/>
          <w:szCs w:val="28"/>
          <w:rtl w:val="true"/>
          <w:lang w:bidi="ar-SA"/>
        </w:rPr>
        <w:t>و الكفاية</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الأقوى هو القول الأوّل، لخبر سويد بن غفلة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أتانا مصدّق رسول اللّه صلّى اللّه عليه و آله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نهينا أن نأخذ المراضع و امرنا أن نأخذ الجذعة و الثنيّة</w:t>
      </w:r>
      <w:r>
        <w:rPr>
          <w:rFonts w:eastAsia="Amiri" w:cs="Amiri" w:ascii="Amiri" w:hAnsi="Amiri"/>
          <w:color w:val="111111"/>
          <w:sz w:val="28"/>
          <w:szCs w:val="28"/>
          <w:rtl w:val="true"/>
          <w:lang w:bidi="ar-SA"/>
        </w:rPr>
        <w:t>»</w:t>
      </w:r>
      <w:r>
        <w:rPr>
          <w:rStyle w:val="FootnoteAnchor"/>
          <w:rtl w:val="true"/>
        </w:rPr>
        <w:footnoteReference w:id="1602"/>
      </w:r>
      <w:r>
        <w:rPr>
          <w:rFonts w:ascii="Amiri" w:hAnsi="Amiri" w:eastAsia="Amiri" w:cs="Amiri"/>
          <w:color w:val="111111"/>
          <w:sz w:val="28"/>
          <w:sz w:val="28"/>
          <w:szCs w:val="28"/>
          <w:rtl w:val="true"/>
          <w:lang w:bidi="ar-SA"/>
        </w:rPr>
        <w:t>و ضعفه سندا باعتبار عاميّته منجبر بعمل المعظم، كما أنّ قصوره دلالة منجبر بفهمهم، و هو فيهما معا معتضد بالشهرة العظيمة محقّقة و محكيّة، و بالإجماع المنقول بطريقين و بالمرسل المرويّ عن غوالي اللآلئ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عامله أن يأخذ الجذع من الضأن و الثنيّ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ذلك في كتاب عليّ عليه السّلام</w:t>
      </w:r>
      <w:r>
        <w:rPr>
          <w:rFonts w:eastAsia="Amiri" w:cs="Amiri" w:ascii="Amiri" w:hAnsi="Amiri"/>
          <w:color w:val="111111"/>
          <w:sz w:val="28"/>
          <w:szCs w:val="28"/>
          <w:rtl w:val="true"/>
          <w:lang w:bidi="ar-SA"/>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للقول الآخر إلاّ إطلاق الشاة في النصوص الآمرة بها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من الإبل شاة و في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منع إطلاق الشاة على ما دون الجذع و الثني، و لو سلّم الصدق، فيتوجّه المنع إلى انصراف الإطلاق إليه، و لو سلّم </w:t>
      </w:r>
    </w:p>
    <w:p>
      <w:pPr>
        <w:pStyle w:val="BookText"/>
        <w:rPr/>
      </w:pPr>
      <w:r>
        <w:rPr>
          <w:rFonts w:ascii="Amiri" w:hAnsi="Amiri" w:eastAsia="Amiri" w:cs="Amiri"/>
          <w:color w:val="111111"/>
          <w:sz w:val="28"/>
          <w:sz w:val="28"/>
          <w:szCs w:val="28"/>
          <w:rtl w:val="true"/>
          <w:lang w:bidi="ar-SA"/>
        </w:rPr>
        <w:t>فيخرج عن الإطلاق بالتفصيل المستفاد من الخبر المنجبر سندا و دلالة و منقول الإجماع و غيره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بعدم الفرق في تعيّن الجذع و الثنيّ على التفصيل المتقدّم</w:t>
      </w:r>
      <w:r>
        <w:rPr>
          <w:rStyle w:val="FootnoteAnchor"/>
          <w:rtl w:val="true"/>
        </w:rPr>
        <w:footnoteReference w:id="1604"/>
      </w:r>
      <w:r>
        <w:rPr>
          <w:rFonts w:ascii="Amiri" w:hAnsi="Amiri" w:eastAsia="Amiri" w:cs="Amiri"/>
          <w:color w:val="111111"/>
          <w:sz w:val="28"/>
          <w:sz w:val="28"/>
          <w:szCs w:val="28"/>
          <w:rtl w:val="true"/>
          <w:lang w:bidi="ar-SA"/>
        </w:rPr>
        <w:t>بين شاة زكاة الغنم و شاة زكاة الإبل، و هو ظاهر إطلاق الأكثر حيث أطلقوا في القول بالتفصيل المذكور من غير تخصيص له بشاة زكاة الإبل، فالاقتصار على زكاة الغنم كما عن البيان</w:t>
      </w:r>
      <w:r>
        <w:rPr>
          <w:rStyle w:val="FootnoteAnchor"/>
          <w:rtl w:val="true"/>
        </w:rPr>
        <w:footnoteReference w:id="1605"/>
      </w:r>
      <w:r>
        <w:rPr>
          <w:rFonts w:ascii="Amiri" w:hAnsi="Amiri" w:eastAsia="Amiri" w:cs="Amiri"/>
          <w:color w:val="111111"/>
          <w:sz w:val="28"/>
          <w:sz w:val="28"/>
          <w:szCs w:val="28"/>
          <w:rtl w:val="true"/>
          <w:lang w:bidi="ar-SA"/>
        </w:rPr>
        <w:t>و على زكاة الإبل كما عن الجامع</w:t>
      </w:r>
      <w:r>
        <w:rPr>
          <w:rStyle w:val="FootnoteAnchor"/>
          <w:rtl w:val="true"/>
        </w:rPr>
        <w:footnoteReference w:id="1606"/>
      </w:r>
      <w:r>
        <w:rPr>
          <w:rFonts w:ascii="Amiri" w:hAnsi="Amiri" w:eastAsia="Amiri" w:cs="Amiri"/>
          <w:color w:val="111111"/>
          <w:sz w:val="28"/>
          <w:sz w:val="28"/>
          <w:szCs w:val="28"/>
          <w:rtl w:val="true"/>
          <w:lang w:bidi="ar-SA"/>
        </w:rPr>
        <w:t>لعلّه لا يراد به قصر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مراد الأصحاب من التحديد بالجذع و الثنيّ في النوعين هو أنّ أقلّ ما يجزئ ذلك، فلا يجزئ ما دونه، لا أنّ الأعلى منه لا يجزئ، فلو دفع الأعلى أجزأه بل أولى بالإجزاء، و لا يستحقّ استرداد قيمة الزيادة للأصل، و عدم الدليل عليه، و كون الأعلى من مصاديق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الشارع قيّدها بعدم كونها أقلّ من الجذوع و الثنيّ‌، و هذا لا يقتضي التقييد بعدم الزيادة عليه و لا قصر الواجب دفعه على هذا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الدروس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فقد الجذع و الثنيّ في غنمه دفع الأقلّ و أتمّ القيمة أو الأكثر و استردّ الزائد</w:t>
      </w:r>
      <w:r>
        <w:rPr>
          <w:rFonts w:eastAsia="Amiri" w:cs="Amiri" w:ascii="Amiri" w:hAnsi="Amiri"/>
          <w:color w:val="111111"/>
          <w:sz w:val="28"/>
          <w:szCs w:val="28"/>
          <w:rtl w:val="true"/>
          <w:lang w:bidi="ar-SA"/>
        </w:rPr>
        <w:t>»</w:t>
      </w:r>
      <w:r>
        <w:rPr>
          <w:rStyle w:val="FootnoteAnchor"/>
          <w:rtl w:val="true"/>
        </w:rPr>
        <w:footnoteReference w:id="1607"/>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الأقوال في تفسير الجذع و الثنيّ‌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تفسير الجذع و الثنيّ على أقوال متشتّة و عبارات مضطربة لا جدوى بالإطناب بذكرها في الأوّل، و على قولين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دخل في الثانية، و ثانيهما ما دخل في الثالثة إلاّ أنّ المنقول عن أكثر أهل اللغة في الأوّل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أكمل سنة و دخل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 في الثالثة</w:t>
      </w:r>
      <w:r>
        <w:rPr>
          <w:rFonts w:eastAsia="Amiri" w:cs="Amiri" w:ascii="Amiri" w:hAnsi="Amiri"/>
          <w:color w:val="111111"/>
          <w:sz w:val="28"/>
          <w:szCs w:val="28"/>
          <w:rtl w:val="true"/>
          <w:lang w:bidi="ar-SA"/>
        </w:rPr>
        <w:t>»</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الّذي حكي اختياره في الأوّل عن جمع من أساطين الطائفة كالشيخ في المبسوط</w:t>
      </w:r>
      <w:r>
        <w:rPr>
          <w:rStyle w:val="FootnoteAnchor"/>
          <w:rtl w:val="true"/>
        </w:rPr>
        <w:footnoteReference w:id="1609"/>
      </w:r>
      <w:r>
        <w:rPr>
          <w:rFonts w:ascii="Amiri" w:hAnsi="Amiri" w:eastAsia="Amiri" w:cs="Amiri"/>
          <w:color w:val="111111"/>
          <w:sz w:val="28"/>
          <w:sz w:val="28"/>
          <w:szCs w:val="28"/>
          <w:rtl w:val="true"/>
          <w:lang w:bidi="ar-SA"/>
        </w:rPr>
        <w:t>و ابني حمزة</w:t>
      </w:r>
      <w:r>
        <w:rPr>
          <w:rStyle w:val="FootnoteAnchor"/>
          <w:rtl w:val="true"/>
        </w:rPr>
        <w:footnoteReference w:id="1610"/>
      </w:r>
      <w:r>
        <w:rPr>
          <w:rFonts w:ascii="Amiri" w:hAnsi="Amiri" w:eastAsia="Amiri" w:cs="Amiri"/>
          <w:color w:val="111111"/>
          <w:sz w:val="28"/>
          <w:sz w:val="28"/>
          <w:szCs w:val="28"/>
          <w:rtl w:val="true"/>
          <w:lang w:bidi="ar-SA"/>
        </w:rPr>
        <w:t>و إدريس</w:t>
      </w:r>
      <w:r>
        <w:rPr>
          <w:rStyle w:val="FootnoteAnchor"/>
          <w:rtl w:val="true"/>
        </w:rPr>
        <w:footnoteReference w:id="1611"/>
      </w:r>
      <w:r>
        <w:rPr>
          <w:rFonts w:ascii="Amiri" w:hAnsi="Amiri" w:eastAsia="Amiri" w:cs="Amiri"/>
          <w:color w:val="111111"/>
          <w:sz w:val="28"/>
          <w:sz w:val="28"/>
          <w:szCs w:val="28"/>
          <w:rtl w:val="true"/>
          <w:lang w:bidi="ar-SA"/>
        </w:rPr>
        <w:t>و العلاّمة في جملة من كتبه</w:t>
      </w:r>
      <w:r>
        <w:rPr>
          <w:rStyle w:val="FootnoteAnchor"/>
          <w:rtl w:val="true"/>
        </w:rPr>
        <w:footnoteReference w:id="1612"/>
      </w:r>
      <w:r>
        <w:rPr>
          <w:rFonts w:ascii="Amiri" w:hAnsi="Amiri" w:eastAsia="Amiri" w:cs="Amiri"/>
          <w:color w:val="111111"/>
          <w:sz w:val="28"/>
          <w:sz w:val="28"/>
          <w:szCs w:val="28"/>
          <w:rtl w:val="true"/>
          <w:lang w:bidi="ar-SA"/>
        </w:rPr>
        <w:t>و ثاني الشهيدين في الروضة</w:t>
      </w:r>
      <w:r>
        <w:rPr>
          <w:rStyle w:val="FootnoteAnchor"/>
          <w:rtl w:val="true"/>
        </w:rPr>
        <w:footnoteReference w:id="1613"/>
      </w:r>
      <w:r>
        <w:rPr>
          <w:rFonts w:ascii="Amiri" w:hAnsi="Amiri" w:eastAsia="Amiri" w:cs="Amiri"/>
          <w:color w:val="111111"/>
          <w:sz w:val="28"/>
          <w:sz w:val="28"/>
          <w:szCs w:val="28"/>
          <w:rtl w:val="true"/>
          <w:lang w:bidi="ar-SA"/>
        </w:rPr>
        <w:t>و المسالك</w:t>
      </w:r>
      <w:r>
        <w:rPr>
          <w:rStyle w:val="FootnoteAnchor"/>
          <w:rtl w:val="true"/>
        </w:rPr>
        <w:footnoteReference w:id="1614"/>
      </w:r>
      <w:r>
        <w:rPr>
          <w:rFonts w:ascii="Amiri" w:hAnsi="Amiri" w:eastAsia="Amiri" w:cs="Amiri"/>
          <w:color w:val="111111"/>
          <w:sz w:val="28"/>
          <w:sz w:val="28"/>
          <w:szCs w:val="28"/>
          <w:rtl w:val="true"/>
          <w:lang w:bidi="ar-SA"/>
        </w:rPr>
        <w:t>و مجمع الفائدة أنّه ما له سبعة أشهر</w:t>
      </w:r>
      <w:r>
        <w:rPr>
          <w:rStyle w:val="FootnoteAnchor"/>
          <w:rtl w:val="true"/>
        </w:rPr>
        <w:footnoteReference w:id="1615"/>
      </w:r>
      <w:r>
        <w:rPr>
          <w:rFonts w:ascii="Amiri" w:hAnsi="Amiri" w:eastAsia="Amiri" w:cs="Amiri"/>
          <w:color w:val="111111"/>
          <w:sz w:val="28"/>
          <w:sz w:val="28"/>
          <w:szCs w:val="28"/>
          <w:rtl w:val="true"/>
          <w:lang w:bidi="ar-SA"/>
        </w:rPr>
        <w:t>و ربّما ادّعي الأشهريّة فيه، و في الثاني أنّه ما كمل سنة و دخل في الثانية و عن جماعة</w:t>
      </w:r>
      <w:r>
        <w:rPr>
          <w:rStyle w:val="FootnoteAnchor"/>
          <w:rtl w:val="true"/>
        </w:rPr>
        <w:footnoteReference w:id="1616"/>
      </w:r>
      <w:r>
        <w:rPr>
          <w:rFonts w:ascii="Amiri" w:hAnsi="Amiri" w:eastAsia="Amiri" w:cs="Amiri"/>
          <w:color w:val="111111"/>
          <w:sz w:val="28"/>
          <w:sz w:val="28"/>
          <w:szCs w:val="28"/>
          <w:rtl w:val="true"/>
          <w:lang w:bidi="ar-SA"/>
        </w:rPr>
        <w:t>دعوى الشهرة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خفاء في أنّ طريق الاحتياط فيهما يقتضي اختيار الأكمل و هو ما له سنة كاملة في الأوّل و ما دخل في الثالثة في الثاني على طبق ما عليه أكثر أهل اللغة، و لكنّ السيّد في الرياض</w:t>
      </w:r>
      <w:r>
        <w:rPr>
          <w:rStyle w:val="FootnoteAnchor"/>
          <w:rtl w:val="true"/>
        </w:rPr>
        <w:footnoteReference w:id="1617"/>
      </w:r>
      <w:r>
        <w:rPr>
          <w:rFonts w:ascii="Amiri" w:hAnsi="Amiri" w:eastAsia="Amiri" w:cs="Amiri"/>
          <w:color w:val="111111"/>
          <w:sz w:val="28"/>
          <w:sz w:val="28"/>
          <w:szCs w:val="28"/>
          <w:rtl w:val="true"/>
          <w:lang w:bidi="ar-SA"/>
        </w:rPr>
        <w:t>جعل ما اختاره الجماعة فيهما أوفق بأصل البراءة و لعلّه أيضا مستند الجماعة فيما اختاروه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أنّا لا نرى وجها للتمسّك بأصل البراءة هنا أصلا، لعدم كون الشكّ ابتداء في التكليف و لا آئلا إليه، مع كونه ابتداء في المكلّف به كما هو ضابط جريان أصل البراءة، بل هو شكّ في المكلّف به مع عدم أوله إليه في التكليف، لأنّ الاختلاف بين الأصحاب و اختلاف كلامهم لكلام أكثر أهل اللغة أوجب كون المكلّف به المعيّن في الواقع مجملا مردّدا في النظر بين الأنقص و الأكمل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البيّن استدعاء الشغل اليقيني للبراءة اليقينيّة و لا تحصل إلاّ باختيار الأكمل، فالمقام من مجرى أصل الاشتغال لا أصل البراءة، مضافا إلى استصحاب بقاء الفريضة المتعلّقة بالعين على سبيل الإشاعة في الذمّة حتّى يتحقّق المسقط اليقيني، فالمتّجه حينئذ وجوب مراعاة استكمال سنة في الجذع و استكمال سنتين في الثنيّ‌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 الذكر و الانثى فى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النافع</w:t>
      </w:r>
      <w:r>
        <w:rPr>
          <w:rStyle w:val="FootnoteAnchor"/>
          <w:rtl w:val="true"/>
        </w:rPr>
        <w:footnoteReference w:id="1618"/>
      </w:r>
      <w:r>
        <w:rPr>
          <w:rFonts w:ascii="Amiri" w:hAnsi="Amiri" w:eastAsia="Amiri" w:cs="Amiri"/>
          <w:color w:val="111111"/>
          <w:sz w:val="28"/>
          <w:sz w:val="28"/>
          <w:szCs w:val="28"/>
          <w:rtl w:val="true"/>
          <w:lang w:bidi="ar-SA"/>
        </w:rPr>
        <w:t>و الرياض بأنّه يجزئ الذكر و الانثى قال السيّد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النصاب كلّه ذكرا أو انثى أو ملفّقا منهما إبلا كان أو غنما، و سواء كان الذكر الّذي يدفع في نصاب الغنم الإناث بقيمة واحدة منها أو لا، وفاقا لجماعة منهم الشيخ في المبسوط</w:t>
      </w:r>
      <w:r>
        <w:rPr>
          <w:rStyle w:val="FootnoteAnchor"/>
          <w:rtl w:val="true"/>
        </w:rPr>
        <w:footnoteReference w:id="1619"/>
      </w:r>
      <w:r>
        <w:rPr>
          <w:rFonts w:ascii="Amiri" w:hAnsi="Amiri" w:eastAsia="Amiri" w:cs="Amiri"/>
          <w:color w:val="111111"/>
          <w:sz w:val="28"/>
          <w:sz w:val="28"/>
          <w:szCs w:val="28"/>
          <w:rtl w:val="true"/>
          <w:lang w:bidi="ar-SA"/>
        </w:rPr>
        <w:t>و الفاضل في جمله من كتبه</w:t>
      </w:r>
      <w:r>
        <w:rPr>
          <w:rStyle w:val="FootnoteAnchor"/>
          <w:rtl w:val="true"/>
        </w:rPr>
        <w:footnoteReference w:id="1620"/>
      </w:r>
      <w:r>
        <w:rPr>
          <w:rFonts w:ascii="IRNazanin" w:hAnsi="IRNazanin" w:eastAsia="IRNazanin"/>
          <w:color w:val="111111"/>
          <w:sz w:val="28"/>
          <w:sz w:val="28"/>
          <w:szCs w:val="28"/>
          <w:rtl w:val="true"/>
          <w:lang w:bidi="fa-IR"/>
        </w:rPr>
        <w:t>للإطلاقات</w:t>
      </w:r>
      <w:r>
        <w:rPr>
          <w:rFonts w:eastAsia="IRNazanin" w:cs="IRNazanin"/>
          <w:color w:val="111111"/>
          <w:sz w:val="28"/>
          <w:szCs w:val="28"/>
          <w:rtl w:val="true"/>
          <w:lang w:bidi="fa-IR"/>
        </w:rPr>
        <w:t>»</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التعميم المذكور من اختلاف عبائر الأصحاب المشتمل بعضها</w:t>
      </w:r>
      <w:r>
        <w:rPr>
          <w:rStyle w:val="FootnoteAnchor"/>
          <w:rtl w:val="true"/>
        </w:rPr>
        <w:footnoteReference w:id="1622"/>
      </w:r>
      <w:r>
        <w:rPr>
          <w:rFonts w:ascii="Amiri" w:hAnsi="Amiri" w:eastAsia="Amiri" w:cs="Amiri"/>
          <w:color w:val="111111"/>
          <w:sz w:val="28"/>
          <w:sz w:val="28"/>
          <w:szCs w:val="28"/>
          <w:rtl w:val="true"/>
          <w:lang w:bidi="ar-SA"/>
        </w:rPr>
        <w:t>على التعبير بالجذوع و الثني، و البعض</w:t>
      </w:r>
      <w:r>
        <w:rPr>
          <w:rStyle w:val="FootnoteAnchor"/>
          <w:rtl w:val="true"/>
        </w:rPr>
        <w:footnoteReference w:id="1623"/>
      </w:r>
      <w:r>
        <w:rPr>
          <w:rFonts w:ascii="Amiri" w:hAnsi="Amiri" w:eastAsia="Amiri" w:cs="Amiri"/>
          <w:color w:val="111111"/>
          <w:sz w:val="28"/>
          <w:sz w:val="28"/>
          <w:szCs w:val="28"/>
          <w:rtl w:val="true"/>
          <w:lang w:bidi="ar-SA"/>
        </w:rPr>
        <w:t>الآخر على التعبير بالجذوعة و الثنيّة، و يقتضيه اختلاف الخبرين المتقدّمين</w:t>
      </w:r>
      <w:r>
        <w:rPr>
          <w:rStyle w:val="FootnoteAnchor"/>
          <w:rtl w:val="true"/>
        </w:rPr>
        <w:footnoteReference w:id="1624"/>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مراد السيّد من الإطلاقات، إطلاق الشاة في النصوص الآمرة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خلافا عن الشيخ في الخلاف لأنّه عيّن الانثى في الاناث من الغنم مطلقا</w:t>
      </w:r>
      <w:r>
        <w:rPr>
          <w:rStyle w:val="FootnoteAnchor"/>
          <w:rtl w:val="true"/>
        </w:rPr>
        <w:footnoteReference w:id="1625"/>
      </w:r>
      <w:r>
        <w:rPr>
          <w:rFonts w:ascii="Amiri" w:hAnsi="Amiri" w:eastAsia="Amiri" w:cs="Amiri"/>
          <w:color w:val="111111"/>
          <w:sz w:val="28"/>
          <w:sz w:val="28"/>
          <w:szCs w:val="28"/>
          <w:rtl w:val="true"/>
          <w:lang w:bidi="ar-SA"/>
        </w:rPr>
        <w:t>و عن العلاّمة في المختلف لأنّه جوّز في الغنم الإناث دفع الذكر إذا كان بقيمة واحدة</w:t>
      </w:r>
      <w:r>
        <w:rPr>
          <w:rStyle w:val="FootnoteAnchor"/>
          <w:rtl w:val="true"/>
        </w:rPr>
        <w:footnoteReference w:id="162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وجهه تعلّق الزكاة بالعين فلا بدّ من دفعها منها أو من غيرها مع اعتبار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ناقش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عن مناقشة فإنّ الزكاة المتعلّقة بالعين ليس إلاّ مقدار ما جعله الشارع فريضة لا بعض آحادها بخصوصها و إلاّ لما تصوّر تعلّقها بالإبل بل و لا الغنم حيث يجوز دفع الجذعة عنها</w:t>
      </w:r>
      <w:r>
        <w:rPr>
          <w:rFonts w:eastAsia="Amiri" w:cs="Amiri" w:ascii="Amiri" w:hAnsi="Amiri"/>
          <w:color w:val="111111"/>
          <w:sz w:val="28"/>
          <w:szCs w:val="28"/>
          <w:rtl w:val="true"/>
          <w:lang w:bidi="ar-SA"/>
        </w:rPr>
        <w:t>»</w:t>
      </w:r>
      <w:r>
        <w:rPr>
          <w:rStyle w:val="FootnoteAnchor"/>
          <w:rtl w:val="true"/>
        </w:rPr>
        <w:footnoteReference w:id="16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ذكره يندفع ما استشكله بعضهم على القول بتفسير الجذع بما دون سنة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تعلّق الزكاة بالعين يقتضي الشركة و هي تقتضي اعتبار المماثلة في السنّ و المفروض أنّه يعتبر الحول في النصاب، فالشركة تقتضي كون الفريضة أحد النصاب </w:t>
      </w:r>
      <w:bookmarkStart w:id="361" w:name="pg16181_154653"/>
    </w:p>
    <w:p>
      <w:pPr>
        <w:pStyle w:val="BookText"/>
        <w:rPr/>
      </w:pPr>
      <w:bookmarkEnd w:id="361"/>
      <w:r>
        <w:rPr>
          <w:rFonts w:ascii="Amiri" w:hAnsi="Amiri" w:eastAsia="Amiri" w:cs="Amiri"/>
          <w:color w:val="111111"/>
          <w:sz w:val="28"/>
          <w:sz w:val="28"/>
          <w:szCs w:val="28"/>
          <w:rtl w:val="true"/>
          <w:lang w:bidi="ar-SA"/>
        </w:rPr>
        <w:t>الّذي حال عليه الحول فكيف تكون جذعا</w:t>
      </w:r>
      <w:r>
        <w:rPr>
          <w:rFonts w:eastAsia="Amiri" w:cs="Amiri" w:ascii="Amiri" w:hAnsi="Amiri"/>
          <w:color w:val="111111"/>
          <w:sz w:val="28"/>
          <w:szCs w:val="28"/>
          <w:rtl w:val="true"/>
          <w:lang w:bidi="ar-SA"/>
        </w:rPr>
        <w:t>»</w:t>
      </w:r>
      <w:r>
        <w:rPr>
          <w:rStyle w:val="FootnoteAnchor"/>
          <w:rtl w:val="true"/>
        </w:rPr>
        <w:footnoteReference w:id="1628"/>
      </w:r>
      <w:r>
        <w:rPr>
          <w:rFonts w:ascii="Amiri" w:hAnsi="Amiri" w:eastAsia="Amiri" w:cs="Amiri"/>
          <w:color w:val="111111"/>
          <w:sz w:val="28"/>
          <w:sz w:val="28"/>
          <w:szCs w:val="28"/>
          <w:rtl w:val="true"/>
          <w:lang w:bidi="ar-SA"/>
        </w:rPr>
        <w:t>و هو ما له دون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 ما ذكره بعض مشايخنا على طبق ما سمعت عن السيّد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بالشركة المزبورة على نحو زكاة الإبل من كون الفريضة مشاعة في مجموع النصاب، حتّى أنّ للفقير في كلّ واحد منه جزء فلا بأس حينئذ بتقديرها في مقام الدفع بالجذع و غيره، لرجوع الحاصل إلى أنّ الفقير يملك من النصاب ما يقابل الجذع كالتبيع في البقر و الشاة و بنت المخاض مثلا في الإبل و من المعلوم عدم اختصاص وجوب الزكاة بما لو وجد مسمّى الفريضة في النصاب بل لو وجد لا يتعيّن على المالك دفعه</w:t>
      </w:r>
      <w:r>
        <w:rPr>
          <w:rFonts w:eastAsia="Amiri" w:cs="Amiri" w:ascii="Amiri" w:hAnsi="Amiri"/>
          <w:color w:val="111111"/>
          <w:sz w:val="28"/>
          <w:szCs w:val="28"/>
          <w:rtl w:val="true"/>
          <w:lang w:bidi="ar-SA"/>
        </w:rPr>
        <w:t>»</w:t>
      </w:r>
      <w:r>
        <w:rPr>
          <w:rStyle w:val="FootnoteAnchor"/>
          <w:rtl w:val="true"/>
        </w:rPr>
        <w:footnoteReference w:id="16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362" w:name="__RefHeading___Toc2586667_1280447820"/>
      <w:bookmarkStart w:id="363" w:name="_Toc132"/>
      <w:bookmarkEnd w:id="362"/>
      <w:r>
        <w:rPr>
          <w:rtl w:val="true"/>
        </w:rPr>
        <w:t>المسألة الثانية</w:t>
      </w:r>
      <w:r>
        <w:rPr>
          <w:rtl w:val="true"/>
        </w:rPr>
        <w:t>: [</w:t>
      </w:r>
      <w:r>
        <w:rPr>
          <w:rtl w:val="true"/>
        </w:rPr>
        <w:t>عدم جواز أخذ المريضة مع وجود الصحيحة</w:t>
      </w:r>
      <w:r>
        <w:rPr>
          <w:rtl w:val="true"/>
        </w:rPr>
        <w:t>]</w:t>
      </w:r>
      <w:bookmarkEnd w:id="363"/>
    </w:p>
    <w:p>
      <w:pPr>
        <w:pStyle w:val="BookText"/>
        <w:rPr/>
      </w:pPr>
      <w:r>
        <w:rPr>
          <w:rFonts w:ascii="Amiri" w:hAnsi="Amiri" w:eastAsia="Amiri" w:cs="Amiri"/>
          <w:color w:val="111111"/>
          <w:sz w:val="28"/>
          <w:sz w:val="28"/>
          <w:szCs w:val="28"/>
          <w:rtl w:val="true"/>
          <w:lang w:bidi="ar-SA"/>
        </w:rPr>
        <w:t>صرّح جمع كثير من أساطين الطائفة من المتأخّرين</w:t>
      </w:r>
      <w:r>
        <w:rPr>
          <w:rStyle w:val="FootnoteAnchor"/>
          <w:rtl w:val="true"/>
        </w:rPr>
        <w:footnoteReference w:id="1630"/>
      </w:r>
      <w:r>
        <w:rPr>
          <w:rFonts w:ascii="Amiri" w:hAnsi="Amiri" w:eastAsia="Amiri" w:cs="Amiri"/>
          <w:color w:val="111111"/>
          <w:sz w:val="28"/>
          <w:sz w:val="28"/>
          <w:szCs w:val="28"/>
          <w:rtl w:val="true"/>
          <w:lang w:bidi="ar-SA"/>
        </w:rPr>
        <w:t>و متأخّريهم</w:t>
      </w:r>
      <w:r>
        <w:rPr>
          <w:rStyle w:val="FootnoteAnchor"/>
          <w:rtl w:val="true"/>
        </w:rPr>
        <w:footnoteReference w:id="1631"/>
      </w:r>
      <w:r>
        <w:rPr>
          <w:rFonts w:ascii="Amiri" w:hAnsi="Amiri" w:eastAsia="Amiri" w:cs="Amiri"/>
          <w:color w:val="111111"/>
          <w:sz w:val="28"/>
          <w:sz w:val="28"/>
          <w:szCs w:val="28"/>
          <w:rtl w:val="true"/>
          <w:lang w:bidi="ar-SA"/>
        </w:rPr>
        <w:t xml:space="preserve">بأنّه لا تؤخذ في الزكاة المريضة مع وجود الصحيحة في النصاب، و لا الهرمة مع وجود الشابّة، و لا ذات 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ذات العيب مع وجود السليمة، و في المدارك</w:t>
      </w:r>
      <w:r>
        <w:rPr>
          <w:rStyle w:val="FootnoteAnchor"/>
          <w:rtl w:val="true"/>
        </w:rPr>
        <w:footnoteReference w:id="1632"/>
      </w:r>
      <w:r>
        <w:rPr>
          <w:rFonts w:ascii="Amiri" w:hAnsi="Amiri" w:eastAsia="Amiri" w:cs="Amiri"/>
          <w:color w:val="111111"/>
          <w:sz w:val="28"/>
          <w:sz w:val="28"/>
          <w:szCs w:val="28"/>
          <w:rtl w:val="true"/>
          <w:lang w:bidi="ar-SA"/>
        </w:rPr>
        <w:t>و الذخيرة أنّ المنع من الثلاثة مذهب الأصحاب، و زاد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فيه خلافا بينهم</w:t>
      </w:r>
      <w:r>
        <w:rPr>
          <w:rFonts w:eastAsia="Amiri" w:cs="Amiri" w:ascii="Amiri" w:hAnsi="Amiri"/>
          <w:color w:val="111111"/>
          <w:sz w:val="28"/>
          <w:szCs w:val="28"/>
          <w:rtl w:val="true"/>
          <w:lang w:bidi="ar-SA"/>
        </w:rPr>
        <w:t>»</w:t>
      </w:r>
      <w:r>
        <w:rPr>
          <w:rStyle w:val="FootnoteAnchor"/>
          <w:rtl w:val="true"/>
        </w:rPr>
        <w:footnoteReference w:id="1633"/>
      </w:r>
      <w:r>
        <w:rPr>
          <w:rFonts w:ascii="Amiri" w:hAnsi="Amiri" w:eastAsia="Amiri" w:cs="Amiri"/>
          <w:color w:val="111111"/>
          <w:sz w:val="28"/>
          <w:sz w:val="28"/>
          <w:szCs w:val="28"/>
          <w:rtl w:val="true"/>
          <w:lang w:bidi="ar-SA"/>
        </w:rPr>
        <w:t>و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فيه خلافا</w:t>
      </w:r>
      <w:r>
        <w:rPr>
          <w:rFonts w:eastAsia="Amiri" w:cs="Amiri" w:ascii="Amiri" w:hAnsi="Amiri"/>
          <w:color w:val="111111"/>
          <w:sz w:val="28"/>
          <w:szCs w:val="28"/>
          <w:rtl w:val="true"/>
          <w:lang w:bidi="ar-SA"/>
        </w:rPr>
        <w:t>»</w:t>
      </w:r>
      <w:r>
        <w:rPr>
          <w:rStyle w:val="FootnoteAnchor"/>
          <w:rtl w:val="true"/>
        </w:rPr>
        <w:footnoteReference w:id="1634"/>
      </w:r>
      <w:r>
        <w:rPr>
          <w:rFonts w:ascii="Amiri" w:hAnsi="Amiri" w:eastAsia="Amiri" w:cs="Amiri"/>
          <w:color w:val="111111"/>
          <w:sz w:val="28"/>
          <w:sz w:val="28"/>
          <w:szCs w:val="28"/>
          <w:rtl w:val="true"/>
          <w:lang w:bidi="ar-SA"/>
        </w:rPr>
        <w:t>و في الرياض إجماعا على الظاهر المصرّح به في جملة من العبائر مستفيضا</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استدلّوا عليه تارة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تَيَمَّمُوا اَلْخَبِيثَ مِنْهُ تُنْفِقُونَ‌ </w:t>
      </w:r>
      <w:r>
        <w:rPr>
          <w:rStyle w:val="FootnoteAnchor"/>
          <w:rtl w:val="true"/>
        </w:rPr>
        <w:footnoteReference w:id="1636"/>
      </w:r>
      <w:r>
        <w:rPr>
          <w:rFonts w:ascii="Amiri" w:hAnsi="Amiri" w:eastAsia="Amiri" w:cs="Amiri"/>
          <w:color w:val="111111"/>
          <w:sz w:val="28"/>
          <w:sz w:val="28"/>
          <w:szCs w:val="28"/>
          <w:rtl w:val="true"/>
          <w:lang w:bidi="ar-SA"/>
        </w:rPr>
        <w:t>أي لا تقصدوا الرديء من المال و هو يشمل الثلاثة، لكون الجميع من الخبيث بمعنى الرديء و قد نهي في الآية عن إنفاقه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بالنبوي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تؤخذ في الصدقة هرمة و لا ذات عوار و لا تيس إلاّ أن </w:t>
      </w:r>
    </w:p>
    <w:p>
      <w:pPr>
        <w:pStyle w:val="BookText"/>
        <w:rPr/>
      </w:pPr>
      <w:r>
        <w:rPr>
          <w:rFonts w:ascii="Amiri" w:hAnsi="Amiri" w:eastAsia="Amiri" w:cs="Amiri"/>
          <w:color w:val="111111"/>
          <w:sz w:val="28"/>
          <w:sz w:val="28"/>
          <w:szCs w:val="28"/>
          <w:rtl w:val="true"/>
          <w:lang w:bidi="ar-SA"/>
        </w:rPr>
        <w:t>يشاء المصدّق</w:t>
      </w:r>
      <w:r>
        <w:rPr>
          <w:rFonts w:eastAsia="Amiri" w:cs="Amiri" w:ascii="Amiri" w:hAnsi="Amiri"/>
          <w:color w:val="111111"/>
          <w:sz w:val="28"/>
          <w:szCs w:val="28"/>
          <w:rtl w:val="true"/>
          <w:lang w:bidi="ar-SA"/>
        </w:rPr>
        <w:t>»</w:t>
      </w:r>
      <w:r>
        <w:rPr>
          <w:rStyle w:val="FootnoteAnchor"/>
          <w:rtl w:val="true"/>
        </w:rPr>
        <w:footnoteReference w:id="1637"/>
      </w:r>
      <w:r>
        <w:rPr>
          <w:rFonts w:ascii="Amiri" w:hAnsi="Amiri" w:eastAsia="Amiri" w:cs="Amiri"/>
          <w:color w:val="111111"/>
          <w:sz w:val="28"/>
          <w:sz w:val="28"/>
          <w:szCs w:val="28"/>
          <w:rtl w:val="true"/>
          <w:lang w:bidi="ar-SA"/>
        </w:rPr>
        <w:t>كما عن المعتبر</w:t>
      </w:r>
      <w:r>
        <w:rPr>
          <w:rStyle w:val="FootnoteAnchor"/>
          <w:rtl w:val="true"/>
        </w:rPr>
        <w:footnoteReference w:id="1638"/>
      </w:r>
      <w:r>
        <w:rPr>
          <w:rFonts w:ascii="IRNazanin" w:hAnsi="IRNazanin" w:eastAsia="IRNazanin"/>
          <w:color w:val="111111"/>
          <w:sz w:val="28"/>
          <w:sz w:val="28"/>
          <w:szCs w:val="28"/>
          <w:rtl w:val="true"/>
          <w:lang w:bidi="fa-IR"/>
        </w:rPr>
        <w:t>و المنتهى</w:t>
      </w:r>
      <w:r>
        <w:rPr>
          <w:rStyle w:val="FootnoteAnchor"/>
          <w:rtl w:val="true"/>
        </w:rPr>
        <w:footnoteReference w:id="1639"/>
      </w:r>
      <w:r>
        <w:rPr>
          <w:rFonts w:ascii="Amiri" w:hAnsi="Amiri" w:eastAsia="Amiri" w:cs="Amiri"/>
          <w:color w:val="111111"/>
          <w:sz w:val="28"/>
          <w:sz w:val="28"/>
          <w:szCs w:val="28"/>
          <w:rtl w:val="true"/>
          <w:lang w:bidi="ar-SA"/>
        </w:rPr>
        <w:t>و في الذخيرة</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 بصحيح محمّد بن قيس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يؤخذ هرمة و لا ذات عوار إلاّ أن يشاء المصدّق</w:t>
      </w:r>
      <w:r>
        <w:rPr>
          <w:rFonts w:eastAsia="Amiri" w:cs="Amiri" w:ascii="Amiri" w:hAnsi="Amiri"/>
          <w:color w:val="111111"/>
          <w:sz w:val="28"/>
          <w:szCs w:val="28"/>
          <w:rtl w:val="true"/>
          <w:lang w:bidi="ar-SA"/>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اشتمالهما على المريضة صريحا غير قادح، إمّا لأنّ المرض عيب فتدخل المريضة في إطلاق ذات عوار، أو لعدم قائل بالفرق كما صرّح به السيّد في الرياض</w:t>
      </w:r>
      <w:r>
        <w:rPr>
          <w:rStyle w:val="FootnoteAnchor"/>
          <w:rtl w:val="true"/>
        </w:rPr>
        <w:footnoteReference w:id="1642"/>
      </w:r>
      <w:r>
        <w:rPr>
          <w:rFonts w:ascii="Amiri" w:hAnsi="Amiri" w:eastAsia="Amiri" w:cs="Amiri"/>
          <w:color w:val="111111"/>
          <w:sz w:val="28"/>
          <w:sz w:val="28"/>
          <w:szCs w:val="28"/>
          <w:rtl w:val="true"/>
          <w:lang w:bidi="ar-SA"/>
        </w:rPr>
        <w:t>فيتمّ بعدم القول بالفصل بل الإجماع على عدم الفصل بين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يبقى الكلام في الاستثناء الّذي اشتمل عليه الروايتان قال السيّد في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مفتيا بهذا الاستثناء صريحا</w:t>
      </w:r>
      <w:r>
        <w:rPr>
          <w:rFonts w:eastAsia="Amiri" w:cs="Amiri" w:ascii="Amiri" w:hAnsi="Amiri"/>
          <w:color w:val="111111"/>
          <w:sz w:val="28"/>
          <w:szCs w:val="28"/>
          <w:rtl w:val="true"/>
          <w:lang w:bidi="ar-SA"/>
        </w:rPr>
        <w:t>»</w:t>
      </w:r>
      <w:r>
        <w:rPr>
          <w:rStyle w:val="FootnoteAnchor"/>
          <w:rtl w:val="true"/>
        </w:rPr>
        <w:footnoteReference w:id="1643"/>
      </w:r>
      <w:r>
        <w:rPr>
          <w:rFonts w:ascii="Amiri" w:hAnsi="Amiri" w:eastAsia="Amiri" w:cs="Amiri"/>
          <w:color w:val="111111"/>
          <w:sz w:val="28"/>
          <w:sz w:val="28"/>
          <w:szCs w:val="28"/>
          <w:rtl w:val="true"/>
          <w:lang w:bidi="ar-SA"/>
        </w:rPr>
        <w:t>و عن مجمع الفائدة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ممّا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اختيار ما ليس بواجب</w:t>
      </w:r>
      <w:r>
        <w:rPr>
          <w:rFonts w:eastAsia="Amiri" w:cs="Amiri" w:ascii="Amiri" w:hAnsi="Amiri"/>
          <w:color w:val="111111"/>
          <w:sz w:val="28"/>
          <w:szCs w:val="28"/>
          <w:rtl w:val="true"/>
          <w:lang w:bidi="ar-SA"/>
        </w:rPr>
        <w:t>»</w:t>
      </w:r>
      <w:r>
        <w:rPr>
          <w:rStyle w:val="FootnoteAnchor"/>
          <w:rtl w:val="true"/>
        </w:rPr>
        <w:footnoteReference w:id="1644"/>
      </w:r>
      <w:r>
        <w:rPr>
          <w:rFonts w:ascii="Amiri" w:hAnsi="Amiri" w:eastAsia="Amiri" w:cs="Amiri"/>
          <w:color w:val="111111"/>
          <w:sz w:val="28"/>
          <w:sz w:val="28"/>
          <w:szCs w:val="28"/>
          <w:rtl w:val="true"/>
          <w:lang w:bidi="ar-SA"/>
        </w:rPr>
        <w:t>ثمّ احتمل التأويل بالأخذ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مشايخنا من استشكل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كون المصدّق بالكسر أي آخذ الزكاة، بأنّه غير موافق لقاعدة اعتبار المصلحة في الوليّ‌، أو عدم المفسدة، إلاّ أن يحمل على ما إذا كان في القبول بالقيمة مصلحة للفقراء فيقبل بها، أو على ما إذا تمكّن من بيعه بقيمة الصحيح، أو المراد قبوله في سهم نفسه أو غير ذلك ممّا لا ينافي القواعد</w:t>
      </w:r>
      <w:r>
        <w:rPr>
          <w:rFonts w:eastAsia="Amiri" w:cs="Amiri" w:ascii="Amiri" w:hAnsi="Amiri"/>
          <w:color w:val="111111"/>
          <w:sz w:val="28"/>
          <w:szCs w:val="28"/>
          <w:rtl w:val="true"/>
          <w:lang w:bidi="ar-SA"/>
        </w:rPr>
        <w:t>»</w:t>
      </w:r>
      <w:r>
        <w:rPr>
          <w:rStyle w:val="FootnoteAnchor"/>
          <w:rtl w:val="true"/>
        </w:rPr>
        <w:footnoteReference w:id="1645"/>
      </w:r>
      <w:r>
        <w:rPr>
          <w:rFonts w:ascii="Amiri" w:hAnsi="Amiri" w:eastAsia="Amiri" w:cs="Amiri"/>
          <w:color w:val="111111"/>
          <w:sz w:val="28"/>
          <w:sz w:val="28"/>
          <w:szCs w:val="28"/>
          <w:rtl w:val="true"/>
          <w:lang w:bidi="ar-SA"/>
        </w:rPr>
        <w:t>مع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فالاستثناء المذكور ممّا لا عامل بظاهره من الأصحاب، فليس للمصدّق أن يأخذ المريضة و غيرها من الثلاثة على أنّها الفريضة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جواز أخذ إحدى الثلاث في الصدقة و عدم إجزاء 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تقدير وجود صحيح في النصاب، إمّا بكون النصاب كلّه صحيحا أو بعضه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كلّه مراضا مثلا فالمصرّح به في كلام </w:t>
      </w:r>
    </w:p>
    <w:p>
      <w:pPr>
        <w:pStyle w:val="BookText"/>
        <w:rPr/>
      </w:pPr>
      <w:r>
        <w:rPr>
          <w:rFonts w:ascii="Amiri" w:hAnsi="Amiri" w:eastAsia="Amiri" w:cs="Amiri"/>
          <w:color w:val="111111"/>
          <w:sz w:val="28"/>
          <w:sz w:val="28"/>
          <w:szCs w:val="28"/>
          <w:rtl w:val="true"/>
          <w:lang w:bidi="ar-SA"/>
        </w:rPr>
        <w:t>المتأخّرين و متأخّريهم كالمحقّق في كتبه الثلاث</w:t>
      </w:r>
      <w:r>
        <w:rPr>
          <w:rStyle w:val="FootnoteAnchor"/>
          <w:rtl w:val="true"/>
        </w:rPr>
        <w:footnoteReference w:id="1646"/>
      </w:r>
      <w:r>
        <w:rPr>
          <w:rFonts w:ascii="Amiri" w:hAnsi="Amiri" w:eastAsia="Amiri" w:cs="Amiri"/>
          <w:color w:val="111111"/>
          <w:sz w:val="28"/>
          <w:sz w:val="28"/>
          <w:szCs w:val="28"/>
          <w:rtl w:val="true"/>
          <w:lang w:bidi="ar-SA"/>
        </w:rPr>
        <w:t>و العلاّمة في جملة من كتبه</w:t>
      </w:r>
      <w:r>
        <w:rPr>
          <w:rStyle w:val="FootnoteAnchor"/>
          <w:rtl w:val="true"/>
        </w:rPr>
        <w:footnoteReference w:id="1647"/>
      </w:r>
      <w:r>
        <w:rPr>
          <w:rFonts w:ascii="Amiri" w:hAnsi="Amiri" w:eastAsia="Amiri" w:cs="Amiri"/>
          <w:color w:val="111111"/>
          <w:sz w:val="28"/>
          <w:sz w:val="28"/>
          <w:szCs w:val="28"/>
          <w:rtl w:val="true"/>
          <w:lang w:bidi="ar-SA"/>
        </w:rPr>
        <w:t>و الشهيدين في البيان</w:t>
      </w:r>
      <w:r>
        <w:rPr>
          <w:rStyle w:val="FootnoteAnchor"/>
          <w:rtl w:val="true"/>
        </w:rPr>
        <w:footnoteReference w:id="1648"/>
      </w:r>
      <w:r>
        <w:rPr>
          <w:rFonts w:ascii="Amiri" w:hAnsi="Amiri" w:eastAsia="Amiri" w:cs="Amiri"/>
          <w:color w:val="111111"/>
          <w:sz w:val="28"/>
          <w:sz w:val="28"/>
          <w:szCs w:val="28"/>
          <w:rtl w:val="true"/>
          <w:lang w:bidi="ar-SA"/>
        </w:rPr>
        <w:t>و المسالك</w:t>
      </w:r>
      <w:r>
        <w:rPr>
          <w:rStyle w:val="FootnoteAnchor"/>
          <w:rtl w:val="true"/>
        </w:rPr>
        <w:footnoteReference w:id="1649"/>
      </w:r>
      <w:r>
        <w:rPr>
          <w:rFonts w:ascii="Amiri" w:hAnsi="Amiri" w:eastAsia="Amiri" w:cs="Amiri"/>
          <w:color w:val="111111"/>
          <w:sz w:val="28"/>
          <w:sz w:val="28"/>
          <w:szCs w:val="28"/>
          <w:rtl w:val="true"/>
          <w:lang w:bidi="ar-SA"/>
        </w:rPr>
        <w:t>و حاشية الشرائع</w:t>
      </w:r>
      <w:r>
        <w:rPr>
          <w:rStyle w:val="FootnoteAnchor"/>
          <w:rtl w:val="true"/>
        </w:rPr>
        <w:footnoteReference w:id="1650"/>
      </w:r>
      <w:r>
        <w:rPr>
          <w:rFonts w:ascii="Amiri" w:hAnsi="Amiri" w:eastAsia="Amiri" w:cs="Amiri"/>
          <w:color w:val="111111"/>
          <w:sz w:val="28"/>
          <w:sz w:val="28"/>
          <w:szCs w:val="28"/>
          <w:rtl w:val="true"/>
          <w:lang w:bidi="ar-SA"/>
        </w:rPr>
        <w:t>و المدارك</w:t>
      </w:r>
      <w:r>
        <w:rPr>
          <w:rStyle w:val="FootnoteAnchor"/>
          <w:rtl w:val="true"/>
        </w:rPr>
        <w:footnoteReference w:id="1651"/>
      </w:r>
      <w:r>
        <w:rPr>
          <w:rFonts w:ascii="Amiri" w:hAnsi="Amiri" w:eastAsia="Amiri" w:cs="Amiri"/>
          <w:color w:val="111111"/>
          <w:sz w:val="28"/>
          <w:sz w:val="28"/>
          <w:szCs w:val="28"/>
          <w:rtl w:val="true"/>
          <w:lang w:bidi="ar-SA"/>
        </w:rPr>
        <w:t>و الذخيرة</w:t>
      </w:r>
      <w:r>
        <w:rPr>
          <w:rStyle w:val="FootnoteAnchor"/>
          <w:rtl w:val="true"/>
        </w:rPr>
        <w:footnoteReference w:id="1652"/>
      </w:r>
      <w:r>
        <w:rPr>
          <w:rFonts w:ascii="Amiri" w:hAnsi="Amiri" w:eastAsia="Amiri" w:cs="Amiri"/>
          <w:color w:val="111111"/>
          <w:sz w:val="28"/>
          <w:sz w:val="28"/>
          <w:szCs w:val="28"/>
          <w:rtl w:val="true"/>
          <w:lang w:bidi="ar-SA"/>
        </w:rPr>
        <w:t>و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يكلّف بشراء الصحيحة</w:t>
      </w:r>
      <w:r>
        <w:rPr>
          <w:rFonts w:eastAsia="Amiri" w:cs="Amiri" w:ascii="Amiri" w:hAnsi="Amiri"/>
          <w:color w:val="111111"/>
          <w:sz w:val="28"/>
          <w:szCs w:val="28"/>
          <w:rtl w:val="true"/>
          <w:lang w:bidi="ar-SA"/>
        </w:rPr>
        <w:t>»</w:t>
      </w:r>
      <w:r>
        <w:rPr>
          <w:rStyle w:val="FootnoteAnchor"/>
          <w:rtl w:val="true"/>
        </w:rPr>
        <w:footnoteReference w:id="1653"/>
      </w:r>
      <w:r>
        <w:rPr>
          <w:rFonts w:ascii="Amiri" w:hAnsi="Amiri" w:eastAsia="Amiri" w:cs="Amiri"/>
          <w:color w:val="111111"/>
          <w:sz w:val="28"/>
          <w:sz w:val="28"/>
          <w:szCs w:val="28"/>
          <w:rtl w:val="true"/>
          <w:lang w:bidi="ar-SA"/>
        </w:rPr>
        <w:t>أي لا يكلّف الزاما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الحكم مقطوع به في كلام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مؤذنا بدعوى الإجماع، و في الرياض بإجماعنا</w:t>
      </w:r>
      <w:r>
        <w:rPr>
          <w:rStyle w:val="FootnoteAnchor"/>
          <w:rtl w:val="true"/>
        </w:rPr>
        <w:footnoteReference w:id="16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lang w:bidi="fa-IR"/>
        </w:rPr>
        <w:t>485:1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الصريح في الخلاف الظاهر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بملاحظة ما ذكر بل المظنون بالظنّ المتآخم للعلم أنّ الحكم وفاقي و يتأكّد ذلك بملاحظة ما في كلام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الخلاف عن المالك</w:t>
      </w:r>
      <w:r>
        <w:rPr>
          <w:rStyle w:val="FootnoteAnchor"/>
          <w:rtl w:val="true"/>
        </w:rPr>
        <w:footnoteReference w:id="1655"/>
      </w:r>
      <w:r>
        <w:rPr>
          <w:rFonts w:ascii="Amiri" w:hAnsi="Amiri" w:eastAsia="Amiri" w:cs="Amiri"/>
          <w:color w:val="111111"/>
          <w:sz w:val="28"/>
          <w:sz w:val="28"/>
          <w:szCs w:val="28"/>
          <w:rtl w:val="true"/>
          <w:lang w:bidi="ar-SA"/>
        </w:rPr>
        <w:t>من العامّة فأوجب شراء الصحيحة استنادا إلى إطلاق النصّ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تؤخذ في الصدقة هرمة و لا ذات عوار</w:t>
      </w:r>
      <w:r>
        <w:rPr>
          <w:rFonts w:eastAsia="Amiri" w:cs="Amiri" w:ascii="Amiri" w:hAnsi="Amiri"/>
          <w:color w:val="111111"/>
          <w:sz w:val="28"/>
          <w:szCs w:val="28"/>
          <w:rtl w:val="true"/>
          <w:lang w:bidi="ar-SA"/>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فوجه ما عليه الأصحاب أنّ الزكاة تتعلّق بالعين فشركة المستحقّ مع المالك إنّما حصلت في العين المريضة، فتكون الحصّة الموجودة في العين للمستحقّ من جنس المريضة، فتكون الفريضة الّتي يجب إخراجها من جنس المريضة لا غير، و قضيّة ذلك أن لا يكلّف بشراء الصحيحة، مع أنّه لا دليل عليه، و 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إطلاق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عن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انصراف المطلق إلى الشائع المتعارف من النصاب باعتبار الغلبة، و هو ما كان صحيحا أو ما وجد فيه الصحيح، فلا ينصرف إلى الفروض النادرة الّتي منها المراض كلّه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فإن كانت الفريضة موجودة عنده و هي مريضة كبنت المخاض المريضة في ستّة و عشرين من الإبل المفروض كونها مراضا مثلا يدفعها، و إلاّ فإن تطوّع باشتراء </w:t>
      </w:r>
    </w:p>
    <w:p>
      <w:pPr>
        <w:pStyle w:val="BookText"/>
        <w:rPr/>
      </w:pPr>
      <w:r>
        <w:rPr>
          <w:rFonts w:ascii="Amiri" w:hAnsi="Amiri" w:eastAsia="Amiri" w:cs="Amiri"/>
          <w:color w:val="111111"/>
          <w:sz w:val="28"/>
          <w:sz w:val="28"/>
          <w:szCs w:val="28"/>
          <w:rtl w:val="true"/>
          <w:lang w:bidi="ar-SA"/>
        </w:rPr>
        <w:t>الصحيحة و دفعها كان أفضل كما صرّح به جماعة</w:t>
      </w:r>
      <w:r>
        <w:rPr>
          <w:rStyle w:val="FootnoteAnchor"/>
          <w:rtl w:val="true"/>
        </w:rPr>
        <w:footnoteReference w:id="1657"/>
      </w:r>
      <w:r>
        <w:rPr>
          <w:rFonts w:ascii="Amiri" w:hAnsi="Amiri" w:eastAsia="Amiri" w:cs="Amiri"/>
          <w:color w:val="111111"/>
          <w:sz w:val="28"/>
          <w:sz w:val="28"/>
          <w:szCs w:val="28"/>
          <w:rtl w:val="true"/>
          <w:lang w:bidi="ar-SA"/>
        </w:rPr>
        <w:t>و إلاّ فله أن يشتري المريضة و يدفعها، و له أن يدفع قيمة المريضة و أيّهما فعل أجزأه كما صرّحوا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بعض النصاب صحاحا و بعضه مراضا لم يجز الأخذ بالمريضة و جاز الأخذ بالقيمة موزّعة على الصحاح و المراض، فلو كان النصف من الستّ و العشرين صحاحا و نصفه مراضا و فيها بنت مخاض صحيحة و بنت مخاض مريضة فإن تطوّع بدفع الصحيحة فهو و إلاّ لم يجز أخذ المريضة لإطلاق النهي عن أخذها، نعم جاز الأخذ بالقيمة موزّعة على النصف الصحيح و النصف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فيه أنّ الفريضة حينئذ بنت مخاض يكون نصفها صحيحا و نصفها مريضا، و حيث إنّ العين لا تتحقّق في الخارج بهذا الوصف فلا جرم يعدل إلى الأخذ بقيمة يكون بعضها قيمة النصف الصحيح و بعضها قيمة النصف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أنّ قيمة الصحيح من بنت المخاض تساوي عشرين و قيمة المريض منها تساوي عشرة فقيمة الملفّقة من النصف الصحيح و النصف المريض خمسة عشر لأنّ نصف عشرين عشرة و نصف عشرة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الأربعين من الغنم إذا كان نصفه مراضا و نصفه صحاحا و فرضنا أنّ قيمة كلّ واحد من الصحيح عشرون و قيمة كلّ واحد من المراض عشرة فالقيمة الّتي يجب الأخذ بها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يسهل هنا تعيين القيمة الموزّعة على الصحيح و المريض بطريق النسبة بأن ينسب قيمة الفريضة الواجب دفعها أو دفع قيمتها إلى قيمة مجموع النصاب فإنّ الفريضة في الأربعين شاة واحدة، و هي بالنسبة إلى الأربعين ربع عشره، فلا بدّ و أن تكون قيمتها أيضا ربع العشر من قيمة الأربعين شاة سواء كان كلّها صحاحا أو مراضا أو بعضها صحاحا و بعضها مراضا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ففيما كان نصف الأربعين صحاحا و النصف الآخر مراضا مع كون قيمة كلّ من </w:t>
      </w:r>
    </w:p>
    <w:p>
      <w:pPr>
        <w:pStyle w:val="BookText"/>
        <w:rPr/>
      </w:pPr>
      <w:r>
        <w:rPr>
          <w:rFonts w:ascii="Amiri" w:hAnsi="Amiri" w:eastAsia="Amiri" w:cs="Amiri"/>
          <w:color w:val="111111"/>
          <w:sz w:val="28"/>
          <w:sz w:val="28"/>
          <w:szCs w:val="28"/>
          <w:rtl w:val="true"/>
          <w:lang w:bidi="ar-SA"/>
        </w:rPr>
        <w:t>الصحيحة عشرين و قيمة كلّ من المريضة عشرة فقيمة النصف الصحاح أربعمائة و قيمة النصف المراض مائتان و المجموع ستّمائة، و عشرها ستّون و ربع الستّين خمسة عشر، فهذه قيمة الفريضة الّتي يجب في المثال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المقياس يؤخذ بالقيمة في جميع الفروض سواء تساوى الصحيح و المريض أو كان الأوّل أغلب أو كان الثاني 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أشار إلى جميع ما بيّنّاه الشهيد الثاني في المسالك قائلا في شرح عبارة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تؤخذ المريضة و لا الهرمة</w:t>
      </w:r>
      <w:r>
        <w:rPr>
          <w:rFonts w:eastAsia="Amiri" w:cs="Amiri" w:ascii="Amiri" w:hAnsi="Amiri"/>
          <w:color w:val="111111"/>
          <w:sz w:val="28"/>
          <w:szCs w:val="28"/>
          <w:rtl w:val="true"/>
          <w:lang w:bidi="ar-SA"/>
        </w:rPr>
        <w:t>...»</w:t>
      </w:r>
      <w:r>
        <w:rPr>
          <w:rStyle w:val="FootnoteAnchor"/>
          <w:rtl w:val="true"/>
        </w:rPr>
        <w:footnoteReference w:id="1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في النصاب صحيح أو فتى أو سليم من العور، أمّا لو كان جميعه كذلك أجزأ الإخراج منه، و لو اختلف في ذلك قسّط و أخرج صحيحا بقيمة القسط الصحيح و المعيب، فلو كان نصف أربعين شاة صحيحا و نصفها مريضا و قيمة كلّ صحيحة عشرون و كلّ مريضة عشرة اشترى صحيحة تساوي خمسة عشر، و لو أخرج صحيحة قيمتها ربع عشر الأربعين كفى و هو أسهل من التقسيط غالبا</w:t>
      </w:r>
      <w:r>
        <w:rPr>
          <w:rFonts w:eastAsia="Amiri" w:cs="Amiri" w:ascii="Amiri" w:hAnsi="Amiri"/>
          <w:color w:val="111111"/>
          <w:sz w:val="28"/>
          <w:szCs w:val="28"/>
          <w:rtl w:val="true"/>
          <w:lang w:bidi="ar-SA"/>
        </w:rPr>
        <w:t>»</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 شرح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السن الواجبة مريضة لم يجب أخذها</w:t>
      </w:r>
      <w:r>
        <w:rPr>
          <w:rFonts w:eastAsia="Amiri" w:cs="Amiri" w:ascii="Amiri" w:hAnsi="Amiri"/>
          <w:color w:val="111111"/>
          <w:sz w:val="28"/>
          <w:szCs w:val="28"/>
          <w:rtl w:val="true"/>
          <w:lang w:bidi="ar-SA"/>
        </w:rPr>
        <w:t>»</w:t>
      </w:r>
      <w:r>
        <w:rPr>
          <w:rStyle w:val="FootnoteAnchor"/>
          <w:rtl w:val="true"/>
        </w:rPr>
        <w:footnoteReference w:id="1660"/>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ذلك بين كونها خاصّة مريضة كستّ و عشرين من الإبل فيها بنت مخاض واحدة مريضة أو بعضها و إن كان المريض أغلب، و الضابط أنّه متى كان في النصاب صحيحة لم يجز المريضة، بل إمّا أن يتطوّع بصحيحة أو يخرج قيمة موزّعة على الجميع، فلو كان نصف الستّ و عشرين مريضا و نصفها صحيحا و قيمة الصحيح من بنت المخاض تساوي عشرين و المريض عشرة أخرج خمسة عشر، و لو فرض تمام النصاب صحيحا و فيه شنق مريض وجب إخراج الصحيح إذ لا يزيد الشنق على عدمه</w:t>
      </w:r>
      <w:r>
        <w:rPr>
          <w:rFonts w:eastAsia="Amiri" w:cs="Amiri" w:ascii="Amiri" w:hAnsi="Amiri"/>
          <w:color w:val="111111"/>
          <w:sz w:val="28"/>
          <w:szCs w:val="28"/>
          <w:rtl w:val="true"/>
          <w:lang w:bidi="ar-SA"/>
        </w:rPr>
        <w:t>»</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بعض ما ذكره أشار العلاّمة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إبله صحاحا و مراضا كلّف فرضا صحيحا بقيمة صحيح و مريض،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النصف صحاحا </w:t>
      </w:r>
    </w:p>
    <w:p>
      <w:pPr>
        <w:pStyle w:val="BookText"/>
        <w:rPr/>
      </w:pPr>
      <w:r>
        <w:rPr>
          <w:rFonts w:ascii="Amiri" w:hAnsi="Amiri" w:eastAsia="Amiri" w:cs="Amiri"/>
          <w:color w:val="111111"/>
          <w:sz w:val="28"/>
          <w:sz w:val="28"/>
          <w:szCs w:val="28"/>
          <w:rtl w:val="true"/>
          <w:lang w:bidi="ar-SA"/>
        </w:rPr>
        <w:t>و قيمة الفرض الصحيح عشرون و المريض عشرة أخرج فرضا قيمته خمسة عشر</w:t>
      </w:r>
      <w:r>
        <w:rPr>
          <w:rFonts w:eastAsia="Amiri" w:cs="Amiri" w:ascii="Amiri" w:hAnsi="Amiri"/>
          <w:color w:val="111111"/>
          <w:sz w:val="28"/>
          <w:szCs w:val="28"/>
          <w:rtl w:val="true"/>
          <w:lang w:bidi="ar-SA"/>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ما في التذكرة</w:t>
      </w:r>
      <w:r>
        <w:rPr>
          <w:rStyle w:val="FootnoteAnchor"/>
          <w:rtl w:val="true"/>
        </w:rPr>
        <w:footnoteReference w:id="1663"/>
      </w:r>
      <w:r>
        <w:rPr>
          <w:rFonts w:ascii="Amiri" w:hAnsi="Amiri" w:eastAsia="Amiri" w:cs="Amiri"/>
          <w:color w:val="111111"/>
          <w:sz w:val="28"/>
          <w:sz w:val="28"/>
          <w:szCs w:val="28"/>
          <w:rtl w:val="true"/>
          <w:lang w:bidi="ar-SA"/>
        </w:rPr>
        <w:t>و غيره و قال في المنتهى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إبله مراضا كلّها و الفرض صحيح فإن أخرجه فلا بحث، و إن أخرج مريضا لم يجزئ لأنّ في إبله صحيحا بل يشتري بقيمة الصحيح و المريض، فإذا كان الفرض بنت لبون كلّف شراء بنت لبون صحيحة بقيمة جزء من ستة و ثلاثين جزء من صحيحة و خمسة و ثلاثين جزء من مريضة</w:t>
      </w:r>
      <w:r>
        <w:rPr>
          <w:rFonts w:eastAsia="Amiri" w:cs="Amiri" w:ascii="Amiri" w:hAnsi="Amiri"/>
          <w:color w:val="111111"/>
          <w:sz w:val="28"/>
          <w:szCs w:val="28"/>
          <w:rtl w:val="true"/>
          <w:lang w:bidi="ar-SA"/>
        </w:rPr>
        <w:t>»</w:t>
      </w:r>
      <w:r>
        <w:rPr>
          <w:rStyle w:val="FootnoteAnchor"/>
          <w:rtl w:val="true"/>
        </w:rPr>
        <w:footnoteReference w:id="1664"/>
      </w:r>
      <w:r>
        <w:rPr>
          <w:rFonts w:ascii="Amiri" w:hAnsi="Amiri" w:eastAsia="Amiri" w:cs="Amiri"/>
          <w:color w:val="111111"/>
          <w:sz w:val="28"/>
          <w:sz w:val="28"/>
          <w:szCs w:val="28"/>
          <w:rtl w:val="true"/>
          <w:lang w:bidi="ar-SA"/>
        </w:rPr>
        <w:t>و نحوه ما في التذكرة</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مراده من الفرض ما لو كان النصاب بأجمعه مريضا إلاّ مقدار الفرض كما لو كان في ستّة و ثلاثين من الإبل خمسة و ثلاثون مريضة و بنت لبون واحدة صحيحة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الفرض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إبله مراضا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يجري مجرى الاستثناء و إن كان ظاهر العبارة يعطي كون مقدار الفرض المفروض كونه صحيحا زائدا على النصاب المفروض كون كلّه مريضا، و عليه فالمراد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كلّف شراء بنت لبون صحيحة بقيمة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إنّه كلّف شراء بنت لبون صحيحة قيمته تساوي جزء من ستّة و ثلاثين جزء من صحيحة، و خمسة و ثلاثين جزء من ستّة و ثلاثين جزء من مريضة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أنّ واحدة من النصاب صحيحة و خمسة و ثلاثون منه مريضة، و إذا وزّعت الفريضة على الجميع كانت مشتملة على ستّة و ثلاثون جزء واحدة من هذه الأجزاء من الصحيحة و خمسة و ثلاثون منها من المريضة فلا بدّ و أن تكون قيمتها أيضا مشتملة على ما ذكر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يتمّ ذلك على قاعدة التقسيط و على قاعدة النسبة أيضا، فلو كان قيمة الصحيحة دينارين و قيمة كلّ من المريضة دينارا فقيمة المجموع سبعة و ثلاثون دينار، فيصير قيمة الفريضة بالنسبة إلى قيمة المجموع جزء من ستّة و ثلاثين جزء من قيمة الصحيحة و خمسة و ثلاثون جزء من ستّة و ثلاثون جزء من قيمة المريضة و هو دينار و جزء من ستّة و ثلاثين جزء من دينار</w:t>
      </w:r>
      <w:r>
        <w:rPr>
          <w:rFonts w:eastAsia="Amiri" w:cs="Amiri" w:ascii="Amiri" w:hAnsi="Amiri"/>
          <w:color w:val="111111"/>
          <w:sz w:val="28"/>
          <w:szCs w:val="28"/>
          <w:rtl w:val="true"/>
          <w:lang w:bidi="ar-SA"/>
        </w:rPr>
        <w:t xml:space="preserve">. </w:t>
      </w:r>
      <w:bookmarkStart w:id="364" w:name="pg16181_154659"/>
    </w:p>
    <w:p>
      <w:pPr>
        <w:pStyle w:val="BookText"/>
        <w:rPr/>
      </w:pPr>
      <w:bookmarkEnd w:id="364"/>
      <w:r>
        <w:rPr>
          <w:rFonts w:ascii="Amiri" w:hAnsi="Amiri" w:eastAsia="Amiri" w:cs="Amiri"/>
          <w:color w:val="111111"/>
          <w:sz w:val="28"/>
          <w:sz w:val="28"/>
          <w:szCs w:val="28"/>
          <w:rtl w:val="true"/>
          <w:lang w:bidi="ar-SA"/>
        </w:rPr>
        <w:t>و عليه فلو كان النصاب كلّه صحيحا إلاّ مقدار الفريضة و هو مريض بأن تكون خمسة و ثلاثون من الستّة و ثلاثين صحيحة و واحدة منها مريضة و إن كانت بنت لبون كلّف شراء بنت لبون صحيحة قيمتها جزء من ستّة و ثلاثين جزء من مريضة و خمسة و ثلاثون جزء من ستّة و ثلاثين جزء من صحيحة، فتأمّل</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2586669_1280447820"/>
      <w:bookmarkStart w:id="366" w:name="_Toc133"/>
      <w:bookmarkEnd w:id="365"/>
      <w:r>
        <w:rPr>
          <w:rtl w:val="true"/>
        </w:rPr>
        <w:t>المسألة الثالثة</w:t>
      </w:r>
      <w:r>
        <w:rPr>
          <w:rtl w:val="true"/>
        </w:rPr>
        <w:t xml:space="preserve">: </w:t>
      </w:r>
      <w:r>
        <w:rPr>
          <w:rtl w:val="true"/>
        </w:rPr>
        <w:t>لا تؤخذ الربّى و الأكولة و فحل الضراب في الصدقة،</w:t>
      </w:r>
      <w:bookmarkEnd w:id="366"/>
    </w:p>
    <w:p>
      <w:pPr>
        <w:pStyle w:val="Heading6"/>
        <w:numPr>
          <w:ilvl w:val="5"/>
          <w:numId w:val="1"/>
        </w:numPr>
        <w:rPr/>
      </w:pPr>
      <w:bookmarkStart w:id="367" w:name="__RefHeading___Toc2586671_1280447820"/>
      <w:bookmarkStart w:id="368" w:name="_Toc134"/>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كما هو المصرّح به في كلام المتأخّرين</w:t>
      </w:r>
      <w:r>
        <w:rPr>
          <w:rStyle w:val="FootnoteAnchor"/>
          <w:rtl w:val="true"/>
        </w:rPr>
        <w:footnoteReference w:id="1666"/>
      </w:r>
      <w:r>
        <w:rPr>
          <w:rFonts w:ascii="Amiri" w:hAnsi="Amiri" w:eastAsia="Amiri" w:cs="Amiri"/>
          <w:color w:val="111111"/>
          <w:sz w:val="28"/>
          <w:sz w:val="28"/>
          <w:szCs w:val="28"/>
          <w:rtl w:val="true"/>
          <w:lang w:bidi="ar-SA"/>
        </w:rPr>
        <w:t>و متأخّريهم</w:t>
      </w:r>
      <w:r>
        <w:rPr>
          <w:rStyle w:val="FootnoteAnchor"/>
          <w:rtl w:val="true"/>
        </w:rPr>
        <w:footnoteReference w:id="1667"/>
      </w:r>
      <w:r>
        <w:rPr>
          <w:rFonts w:ascii="Amiri" w:hAnsi="Amiri" w:eastAsia="Amiri" w:cs="Amiri"/>
          <w:color w:val="111111"/>
          <w:sz w:val="28"/>
          <w:sz w:val="28"/>
          <w:szCs w:val="28"/>
          <w:rtl w:val="true"/>
          <w:lang w:bidi="ar-SA"/>
        </w:rPr>
        <w:t>و حيث لم يتعرّض أحد لنقل الخلاف فالظاهر أنّ الحكم وفاقي، و في المناهل دعوى ظهور الاتّفاق في كلّ من الثلاث</w:t>
      </w:r>
      <w:r>
        <w:rPr>
          <w:rStyle w:val="FootnoteAnchor"/>
          <w:rtl w:val="true"/>
        </w:rPr>
        <w:footnoteReference w:id="1668"/>
      </w:r>
      <w:r>
        <w:rPr>
          <w:rFonts w:ascii="Amiri" w:hAnsi="Amiri" w:eastAsia="Amiri" w:cs="Amiri"/>
          <w:color w:val="111111"/>
          <w:sz w:val="28"/>
          <w:sz w:val="28"/>
          <w:szCs w:val="28"/>
          <w:rtl w:val="true"/>
          <w:lang w:bidi="ar-SA"/>
        </w:rPr>
        <w:t>كما في الرياض أيضا في الأوّل، بل فيه في الأخيرين أنّه متّفق عليه بيننا</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 ذلك منصوص عليه في موثّقة سماعة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تؤخذ أكولة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الأكولة الكبيرة من الشاة يكون في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والدة و لا الكبش الفحل</w:t>
      </w:r>
      <w:r>
        <w:rPr>
          <w:rFonts w:eastAsia="Amiri" w:cs="Amiri" w:ascii="Amiri" w:hAnsi="Amiri"/>
          <w:color w:val="111111"/>
          <w:sz w:val="28"/>
          <w:szCs w:val="28"/>
          <w:rtl w:val="true"/>
          <w:lang w:bidi="ar-SA"/>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محتمل صحيحة عبد الرحمن بن الحجّاج عن أبي عبد اللّه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الأكيلة و لا في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الربّى الّتي تربّى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شاة اللبن و لا فحل الغنم صدقة</w:t>
      </w:r>
      <w:r>
        <w:rPr>
          <w:rFonts w:eastAsia="Amiri" w:cs="Amiri" w:ascii="Amiri" w:hAnsi="Amiri"/>
          <w:color w:val="111111"/>
          <w:sz w:val="28"/>
          <w:szCs w:val="28"/>
          <w:rtl w:val="true"/>
          <w:lang w:bidi="ar-SA"/>
        </w:rPr>
        <w:t>»</w:t>
      </w:r>
      <w:r>
        <w:rPr>
          <w:rStyle w:val="FootnoteAnchor"/>
          <w:rtl w:val="true"/>
        </w:rPr>
        <w:footnoteReference w:id="1671"/>
      </w:r>
      <w:r>
        <w:rPr>
          <w:rFonts w:ascii="Amiri" w:hAnsi="Amiri" w:eastAsia="Amiri" w:cs="Amiri"/>
          <w:color w:val="111111"/>
          <w:sz w:val="28"/>
          <w:sz w:val="28"/>
          <w:szCs w:val="28"/>
          <w:rtl w:val="true"/>
          <w:lang w:bidi="ar-SA"/>
        </w:rPr>
        <w:t>بناء على حمله على عدم الأخذ صدقة لا عدم تعلّق الصدقة، للإجماع على تعلّقها بالربّى و شاة اللبن كما في الرياض</w:t>
      </w:r>
      <w:r>
        <w:rPr>
          <w:rStyle w:val="FootnoteAnchor"/>
          <w:rtl w:val="true"/>
        </w:rPr>
        <w:footnoteReference w:id="1672"/>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سمعت من متن الصحيحة كما في الكافي و عن الفقيه باسناد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في الربّى الّتي تربّى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تفسير و الثاني محتمل له و للتقييد، و أيّا ما كان فهو ممّا لا قائل به كما أومأ إليه في الرياض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فيه تفسيرها بالّتي تربّى اثنين أو تقييد المنع بها خاصّة و لا قائل بهما</w:t>
      </w:r>
      <w:r>
        <w:rPr>
          <w:rFonts w:eastAsia="Amiri" w:cs="Amiri" w:ascii="Amiri" w:hAnsi="Amiri"/>
          <w:color w:val="111111"/>
          <w:sz w:val="28"/>
          <w:szCs w:val="28"/>
          <w:rtl w:val="true"/>
          <w:lang w:bidi="ar-SA"/>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 xml:space="preserve">. </w:t>
      </w:r>
      <w:bookmarkStart w:id="369" w:name="pg16181_154660"/>
    </w:p>
    <w:p>
      <w:pPr>
        <w:pStyle w:val="BookText"/>
        <w:rPr/>
      </w:pPr>
      <w:bookmarkEnd w:id="369"/>
      <w:r>
        <w:rPr>
          <w:rFonts w:ascii="Amiri" w:hAnsi="Amiri" w:eastAsia="Amiri" w:cs="Amiri"/>
          <w:color w:val="111111"/>
          <w:sz w:val="28"/>
          <w:sz w:val="28"/>
          <w:szCs w:val="28"/>
          <w:rtl w:val="true"/>
          <w:lang w:bidi="ar-SA"/>
        </w:rPr>
        <w:t>و علّل المنع أيضا في الربّى تارة بأنّ فيه إضرارا بولدها لمكان اشتغالها بتربيتها، و اخرى بأنّ النفساء مريضة و هي في المعز كالنفساء في الأناسي كما عن سرّ العربيّة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امرأة نفساء و ناقة عائد و نعجة دغوث و عنز ربّى</w:t>
      </w:r>
      <w:r>
        <w:rPr>
          <w:rFonts w:eastAsia="Amiri" w:cs="Amiri" w:ascii="Amiri" w:hAnsi="Amiri"/>
          <w:color w:val="111111"/>
          <w:sz w:val="28"/>
          <w:szCs w:val="28"/>
          <w:rtl w:val="true"/>
          <w:lang w:bidi="ar-SA"/>
        </w:rPr>
        <w:t>»</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الأكولة تارة بأنّ فيه تحكّما على المالك كما عن المعتبر</w:t>
      </w:r>
      <w:r>
        <w:rPr>
          <w:rStyle w:val="FootnoteAnchor"/>
          <w:rtl w:val="true"/>
        </w:rPr>
        <w:footnoteReference w:id="1675"/>
      </w:r>
      <w:r>
        <w:rPr>
          <w:rFonts w:ascii="Amiri" w:hAnsi="Amiri" w:eastAsia="Amiri" w:cs="Amiri"/>
          <w:color w:val="111111"/>
          <w:sz w:val="28"/>
          <w:sz w:val="28"/>
          <w:szCs w:val="28"/>
          <w:rtl w:val="true"/>
          <w:lang w:bidi="ar-SA"/>
        </w:rPr>
        <w:t>و اخرى بأنّ فيه إضرار بالمالك كما عن المنتهى</w:t>
      </w:r>
      <w:r>
        <w:rPr>
          <w:rStyle w:val="FootnoteAnchor"/>
          <w:rtl w:val="true"/>
        </w:rPr>
        <w:footnoteReference w:id="1676"/>
      </w:r>
      <w:r>
        <w:rPr>
          <w:rFonts w:ascii="Amiri" w:hAnsi="Amiri" w:eastAsia="Amiri" w:cs="Amiri"/>
          <w:color w:val="111111"/>
          <w:sz w:val="28"/>
          <w:sz w:val="28"/>
          <w:szCs w:val="28"/>
          <w:rtl w:val="true"/>
          <w:lang w:bidi="ar-SA"/>
        </w:rPr>
        <w:t>و استدلّ عليه أيضا في الأخيرين</w:t>
      </w:r>
      <w:r>
        <w:rPr>
          <w:rStyle w:val="FootnoteAnchor"/>
          <w:rtl w:val="true"/>
        </w:rPr>
        <w:footnoteReference w:id="1677"/>
      </w:r>
      <w:r>
        <w:rPr>
          <w:rFonts w:ascii="Amiri" w:hAnsi="Amiri" w:eastAsia="Amiri" w:cs="Amiri"/>
          <w:color w:val="111111"/>
          <w:sz w:val="28"/>
          <w:sz w:val="28"/>
          <w:szCs w:val="28"/>
          <w:rtl w:val="true"/>
          <w:lang w:bidi="ar-SA"/>
        </w:rPr>
        <w:t>بقوله عليه السّلام للمصدّق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كرائم أموالهم</w:t>
      </w:r>
      <w:r>
        <w:rPr>
          <w:rFonts w:eastAsia="Amiri" w:cs="Amiri" w:ascii="Amiri" w:hAnsi="Amiri"/>
          <w:color w:val="111111"/>
          <w:sz w:val="28"/>
          <w:szCs w:val="28"/>
          <w:rtl w:val="true"/>
          <w:lang w:bidi="ar-SA"/>
        </w:rPr>
        <w:t>»</w:t>
      </w:r>
      <w:r>
        <w:rPr>
          <w:rStyle w:val="FootnoteAnchor"/>
          <w:rtl w:val="true"/>
        </w:rPr>
        <w:footnoteReference w:id="1678"/>
      </w:r>
      <w:r>
        <w:rPr>
          <w:rFonts w:ascii="Amiri" w:hAnsi="Amiri" w:eastAsia="Amiri" w:cs="Amiri"/>
          <w:color w:val="111111"/>
          <w:sz w:val="28"/>
          <w:sz w:val="28"/>
          <w:szCs w:val="28"/>
          <w:rtl w:val="true"/>
          <w:lang w:bidi="ar-SA"/>
        </w:rPr>
        <w:t>و هذه الوجوه و إن لم تنهض أدلّة على الحكم الشرعي إلاّ أنّها تصلح لتأييد بها</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2586673_1280447820"/>
      <w:bookmarkStart w:id="371" w:name="_Toc135"/>
      <w:bookmarkEnd w:id="370"/>
      <w:r>
        <w:rPr>
          <w:rtl w:val="true"/>
        </w:rPr>
        <w:t>و ينبغي التنبيه على امور</w:t>
      </w:r>
      <w:r>
        <w:rPr>
          <w:rtl w:val="true"/>
        </w:rPr>
        <w:t>:</w:t>
      </w:r>
      <w:bookmarkEnd w:id="371"/>
    </w:p>
    <w:p>
      <w:pPr>
        <w:pStyle w:val="Heading6"/>
        <w:numPr>
          <w:ilvl w:val="5"/>
          <w:numId w:val="1"/>
        </w:numPr>
        <w:rPr/>
      </w:pPr>
      <w:bookmarkStart w:id="372" w:name="__RefHeading___Toc2586675_1280447820"/>
      <w:bookmarkStart w:id="373" w:name="_Toc136"/>
      <w:bookmarkEnd w:id="372"/>
      <w:r>
        <w:rPr>
          <w:rtl w:val="true"/>
        </w:rPr>
        <w:t>[[</w:t>
      </w:r>
      <w:r>
        <w:rPr>
          <w:rtl w:val="true"/>
        </w:rPr>
        <w:t>الاولى</w:t>
      </w:r>
      <w:r>
        <w:rPr>
          <w:rtl w:val="true"/>
        </w:rPr>
        <w:t xml:space="preserve">] </w:t>
      </w:r>
      <w:r>
        <w:rPr>
          <w:rtl w:val="true"/>
        </w:rPr>
        <w:t>تفسير الربّى و الأكولة</w:t>
      </w:r>
      <w:r>
        <w:rPr>
          <w:rtl w:val="true"/>
        </w:rPr>
        <w:t>]</w:t>
      </w:r>
      <w:bookmarkEnd w:id="373"/>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الربّى بضمّ الراء و تشديد الباء كحبلى جمعه رباب بالضمّ‌، و في تفسيرها ذاتا و وصفا أقوال متشتّة، ففي مجمع البحرين أنّه خصّها بعضهم بالمعز و بعضهم بالضأن، 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اطلقت على الشاة و الناقة أيضا نصّ عليه الجوهري</w:t>
      </w:r>
      <w:r>
        <w:rPr>
          <w:rStyle w:val="FootnoteAnchor"/>
          <w:rtl w:val="true"/>
        </w:rPr>
        <w:footnoteReference w:id="1679"/>
      </w:r>
      <w:r>
        <w:rPr>
          <w:rFonts w:ascii="Amiri" w:hAnsi="Amiri" w:eastAsia="Amiri" w:cs="Amiri"/>
          <w:color w:val="111111"/>
          <w:sz w:val="28"/>
          <w:sz w:val="28"/>
          <w:szCs w:val="28"/>
          <w:rtl w:val="true"/>
          <w:lang w:bidi="ar-SA"/>
        </w:rPr>
        <w:t>و مراد المصنّف هنا ما هو أعمّ منها و هو مطلق النعم الوالدة</w:t>
      </w:r>
      <w:r>
        <w:rPr>
          <w:rFonts w:eastAsia="Amiri" w:cs="Amiri" w:ascii="Amiri" w:hAnsi="Amiri"/>
          <w:color w:val="111111"/>
          <w:sz w:val="28"/>
          <w:szCs w:val="28"/>
          <w:rtl w:val="true"/>
          <w:lang w:bidi="ar-SA"/>
        </w:rPr>
        <w:t>»</w:t>
      </w:r>
      <w:r>
        <w:rPr>
          <w:rStyle w:val="FootnoteAnchor"/>
          <w:rtl w:val="true"/>
        </w:rPr>
        <w:footnoteReference w:id="16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استظهار من المصنّف باعتبار استفادة إرادته من مدرك الحكم و هي الموثّقة المتقدّمة</w:t>
      </w:r>
      <w:r>
        <w:rPr>
          <w:rStyle w:val="FootnoteAnchor"/>
          <w:rtl w:val="true"/>
        </w:rPr>
        <w:footnoteReference w:id="1681"/>
      </w:r>
      <w:r>
        <w:rPr>
          <w:rFonts w:ascii="Amiri" w:hAnsi="Amiri" w:eastAsia="Amiri" w:cs="Amiri"/>
          <w:color w:val="111111"/>
          <w:sz w:val="28"/>
          <w:sz w:val="28"/>
          <w:szCs w:val="28"/>
          <w:rtl w:val="true"/>
          <w:lang w:bidi="ar-SA"/>
        </w:rPr>
        <w:t xml:space="preserve">حيث عبّر عنها 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مطلقة تشمل الوالدة من جميع النعم، و عليه فلا اختصاص لإرادة الأعمّ بالمصنّف بل ينبغي أن يكون مراد كلّ من استند إلى الموثّقة، هذا هو الاختلاف في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في المسالك من حيث بيان موضوع الحكم متّجه لعموم المدرك و إن لم يتبيّن كونه كذلك لغة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الاختلاف في الوصف فقد عرفت أنّها الوالدة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الوالدة ما بينها و بين خمسة عشر يوما</w:t>
      </w:r>
      <w:r>
        <w:rPr>
          <w:rStyle w:val="FootnoteAnchor"/>
          <w:rtl w:val="true"/>
        </w:rPr>
        <w:footnoteReference w:id="168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يوما،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شهر</w:t>
      </w:r>
      <w:r>
        <w:rPr>
          <w:rStyle w:val="FootnoteAnchor"/>
          <w:rtl w:val="true"/>
        </w:rPr>
        <w:footnoteReference w:id="168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شهرين</w:t>
      </w:r>
      <w:r>
        <w:rPr>
          <w:rStyle w:val="FootnoteAnchor"/>
          <w:rtl w:val="true"/>
        </w:rPr>
        <w:footnoteReference w:id="1684"/>
      </w:r>
      <w:bookmarkStart w:id="374" w:name="pg16181_154661"/>
    </w:p>
    <w:p>
      <w:pPr>
        <w:pStyle w:val="BookText"/>
        <w:rPr/>
      </w:pPr>
      <w:bookmarkEnd w:id="374"/>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خمسين يوما</w:t>
      </w:r>
      <w:r>
        <w:rPr>
          <w:rStyle w:val="FootnoteAnchor"/>
          <w:rtl w:val="true"/>
        </w:rPr>
        <w:footnoteReference w:id="1685"/>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القريبة العهد بالولادة</w:t>
      </w:r>
      <w:r>
        <w:rPr>
          <w:rStyle w:val="FootnoteAnchor"/>
          <w:rtl w:val="true"/>
        </w:rPr>
        <w:footnoteReference w:id="1686"/>
      </w:r>
      <w:r>
        <w:rPr>
          <w:rFonts w:ascii="Amiri" w:hAnsi="Amiri" w:eastAsia="Amiri" w:cs="Amiri"/>
          <w:color w:val="111111"/>
          <w:sz w:val="28"/>
          <w:sz w:val="28"/>
          <w:szCs w:val="28"/>
          <w:rtl w:val="true"/>
          <w:lang w:bidi="ar-SA"/>
        </w:rPr>
        <w:t>و لعلّه أشهر، و على القول بإرادة الأعمّ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الوالدة عن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Style w:val="FootnoteAnchor"/>
          <w:rtl w:val="true"/>
        </w:rPr>
        <w:footnoteReference w:id="1687"/>
      </w:r>
      <w:r>
        <w:rPr>
          <w:rFonts w:ascii="Amiri" w:hAnsi="Amiri" w:eastAsia="Amiri" w:cs="Amiri"/>
          <w:color w:val="111111"/>
          <w:sz w:val="28"/>
          <w:sz w:val="28"/>
          <w:szCs w:val="28"/>
          <w:rtl w:val="true"/>
          <w:lang w:bidi="ar-SA"/>
        </w:rPr>
        <w:t>و لعلّ الأقوال الاخر أيضا اجتهادات في تحديد القرب بالولادة، و عليه فلا خلاف عند أربابها في كون الضابط هو القرب بالولادة و هو أمر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الضابط استغناء الولد عنها عرفا</w:t>
      </w:r>
      <w:r>
        <w:rPr>
          <w:rFonts w:eastAsia="Amiri" w:cs="Amiri" w:ascii="Amiri" w:hAnsi="Amiri"/>
          <w:color w:val="111111"/>
          <w:sz w:val="28"/>
          <w:szCs w:val="28"/>
          <w:rtl w:val="true"/>
          <w:lang w:bidi="ar-SA"/>
        </w:rPr>
        <w:t>»</w:t>
      </w:r>
      <w:r>
        <w:rPr>
          <w:rStyle w:val="FootnoteAnchor"/>
          <w:rtl w:val="true"/>
        </w:rPr>
        <w:footnoteReference w:id="1688"/>
      </w:r>
      <w:r>
        <w:rPr>
          <w:rFonts w:ascii="Amiri" w:hAnsi="Amiri" w:eastAsia="Amiri" w:cs="Amiri"/>
          <w:color w:val="111111"/>
          <w:sz w:val="28"/>
          <w:sz w:val="28"/>
          <w:szCs w:val="28"/>
          <w:rtl w:val="true"/>
          <w:lang w:bidi="ar-SA"/>
        </w:rPr>
        <w:t>و هذا موافق للاحتياط و قاعدة الاشتغال، إذ التكليف بإخراج الفريضة يقيني و لا يحصل اليقين بالبراءة عنه بإخراج ما يحتمل كونه ربّى، فلا بدّ من إخراج ما يقطع عدم كونه ربّى و لا يكون إلاّ ما يستغنى عنها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فتحقيق المقام حينئذ أنّ المرجع في معرفة الربّى هو العرف إن ساعد على حدّ معيّن يطمئنّ به النفس، و إلاّ فلا محيص من الرجوع إلى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الأكولة فهي على ما في كلام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السمينة المعدّة للأكل</w:t>
      </w:r>
      <w:r>
        <w:rPr>
          <w:rFonts w:eastAsia="Amiri" w:cs="Amiri" w:ascii="Amiri" w:hAnsi="Amiri"/>
          <w:color w:val="111111"/>
          <w:sz w:val="28"/>
          <w:szCs w:val="28"/>
          <w:rtl w:val="true"/>
          <w:lang w:bidi="ar-SA"/>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فحل الضراب فواضح، و الظاهر أنّه لا فرق فيهما أيضا بين الأنعام الثلاث كما صرّح به في المناهل</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2586677_1280447820"/>
      <w:bookmarkStart w:id="376" w:name="_Toc137"/>
      <w:bookmarkEnd w:id="375"/>
      <w:r>
        <w:rPr>
          <w:rtl w:val="true"/>
        </w:rPr>
        <w:t>ثانيها</w:t>
      </w:r>
      <w:r>
        <w:rPr>
          <w:rtl w:val="true"/>
        </w:rPr>
        <w:t xml:space="preserve">: </w:t>
      </w:r>
      <w:r>
        <w:rPr>
          <w:rtl w:val="true"/>
        </w:rPr>
        <w:t>هل يجوز أخذ أحد هذه مع رضا المالك و دفعه بطيب نفسه</w:t>
      </w:r>
      <w:bookmarkEnd w:id="37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عليه الفاضلان في المعتبر</w:t>
      </w:r>
      <w:r>
        <w:rPr>
          <w:rStyle w:val="FootnoteAnchor"/>
          <w:rtl w:val="true"/>
        </w:rPr>
        <w:footnoteReference w:id="1690"/>
      </w:r>
      <w:r>
        <w:rPr>
          <w:rFonts w:ascii="IRNazanin" w:hAnsi="IRNazanin" w:eastAsia="IRNazanin"/>
          <w:color w:val="111111"/>
          <w:sz w:val="28"/>
          <w:sz w:val="28"/>
          <w:szCs w:val="28"/>
          <w:rtl w:val="true"/>
          <w:lang w:bidi="fa-IR"/>
        </w:rPr>
        <w:t>و المنتهى</w:t>
      </w:r>
      <w:r>
        <w:rPr>
          <w:rStyle w:val="FootnoteAnchor"/>
          <w:rtl w:val="true"/>
        </w:rPr>
        <w:footnoteReference w:id="1691"/>
      </w:r>
      <w:r>
        <w:rPr>
          <w:rFonts w:ascii="Amiri" w:hAnsi="Amiri" w:eastAsia="Amiri" w:cs="Amiri"/>
          <w:color w:val="111111"/>
          <w:sz w:val="28"/>
          <w:sz w:val="28"/>
          <w:szCs w:val="28"/>
          <w:rtl w:val="true"/>
          <w:lang w:bidi="ar-SA"/>
        </w:rPr>
        <w:t>أو لا؟ كما هو ظاهر إطلاق الشرائع</w:t>
      </w:r>
      <w:r>
        <w:rPr>
          <w:rStyle w:val="FootnoteAnchor"/>
          <w:rtl w:val="true"/>
        </w:rPr>
        <w:footnoteReference w:id="1692"/>
      </w:r>
      <w:r>
        <w:rPr>
          <w:rFonts w:ascii="IRNazanin" w:hAnsi="IRNazanin" w:eastAsia="IRNazanin"/>
          <w:color w:val="111111"/>
          <w:sz w:val="28"/>
          <w:sz w:val="28"/>
          <w:szCs w:val="28"/>
          <w:rtl w:val="true"/>
          <w:lang w:bidi="fa-IR"/>
        </w:rPr>
        <w:t>و القواعد</w:t>
      </w:r>
      <w:r>
        <w:rPr>
          <w:rStyle w:val="FootnoteAnchor"/>
          <w:rtl w:val="true"/>
        </w:rPr>
        <w:footnoteReference w:id="1693"/>
      </w:r>
      <w:r>
        <w:rPr>
          <w:rFonts w:ascii="IRNazanin" w:hAnsi="IRNazanin" w:eastAsia="IRNazanin"/>
          <w:color w:val="111111"/>
          <w:sz w:val="28"/>
          <w:sz w:val="28"/>
          <w:szCs w:val="28"/>
          <w:rtl w:val="true"/>
          <w:lang w:bidi="fa-IR"/>
        </w:rPr>
        <w:t>و الدروس</w:t>
      </w:r>
      <w:r>
        <w:rPr>
          <w:rStyle w:val="FootnoteAnchor"/>
          <w:rtl w:val="true"/>
        </w:rPr>
        <w:footnoteReference w:id="1694"/>
      </w:r>
      <w:r>
        <w:rPr>
          <w:rFonts w:ascii="Amiri" w:hAnsi="Amiri" w:eastAsia="Amiri" w:cs="Amiri"/>
          <w:color w:val="111111"/>
          <w:sz w:val="28"/>
          <w:sz w:val="28"/>
          <w:szCs w:val="28"/>
          <w:rtl w:val="true"/>
          <w:lang w:bidi="ar-SA"/>
        </w:rPr>
        <w:t>و البيان</w:t>
      </w:r>
      <w:r>
        <w:rPr>
          <w:rStyle w:val="FootnoteAnchor"/>
          <w:rtl w:val="true"/>
        </w:rPr>
        <w:footnoteReference w:id="1695"/>
      </w:r>
      <w:r>
        <w:rPr>
          <w:rFonts w:ascii="Amiri" w:hAnsi="Amiri" w:eastAsia="Amiri" w:cs="Amiri"/>
          <w:color w:val="111111"/>
          <w:sz w:val="28"/>
          <w:sz w:val="28"/>
          <w:szCs w:val="28"/>
          <w:rtl w:val="true"/>
          <w:lang w:bidi="ar-SA"/>
        </w:rPr>
        <w:t>بل صريح المسالك</w:t>
      </w:r>
      <w:r>
        <w:rPr>
          <w:rStyle w:val="FootnoteAnchor"/>
          <w:rtl w:val="true"/>
        </w:rPr>
        <w:footnoteReference w:id="1696"/>
      </w:r>
      <w:r>
        <w:rPr>
          <w:rFonts w:ascii="Amiri" w:hAnsi="Amiri" w:eastAsia="Amiri" w:cs="Amiri"/>
          <w:color w:val="111111"/>
          <w:sz w:val="28"/>
          <w:sz w:val="28"/>
          <w:szCs w:val="28"/>
          <w:rtl w:val="true"/>
          <w:lang w:bidi="ar-SA"/>
        </w:rPr>
        <w:t>في الاولى و الأخيرة كما عن حاشية الشرائع</w:t>
      </w:r>
      <w:r>
        <w:rPr>
          <w:rStyle w:val="FootnoteAnchor"/>
          <w:rtl w:val="true"/>
        </w:rPr>
        <w:footnoteReference w:id="1697"/>
      </w:r>
      <w:r>
        <w:rPr>
          <w:rFonts w:ascii="Amiri" w:hAnsi="Amiri" w:eastAsia="Amiri" w:cs="Amiri"/>
          <w:color w:val="111111"/>
          <w:sz w:val="28"/>
          <w:sz w:val="28"/>
          <w:szCs w:val="28"/>
          <w:rtl w:val="true"/>
          <w:lang w:bidi="ar-SA"/>
        </w:rPr>
        <w:t>و في المنتهى صرّح بعدم الخلاف في الأوّل قائلا بعد ذكر المنع في الثلاثة</w:t>
      </w:r>
      <w:r>
        <w:rPr>
          <w:rFonts w:eastAsia="Amiri" w:cs="Amiri" w:ascii="Amiri" w:hAnsi="Amiri"/>
          <w:color w:val="111111"/>
          <w:sz w:val="28"/>
          <w:szCs w:val="28"/>
          <w:rtl w:val="true"/>
          <w:lang w:bidi="ar-SA"/>
        </w:rPr>
        <w:t xml:space="preserve">: </w:t>
      </w:r>
      <w:bookmarkStart w:id="377" w:name="pg16181_154662"/>
    </w:p>
    <w:p>
      <w:pPr>
        <w:pStyle w:val="BookText"/>
        <w:rPr/>
      </w:pPr>
      <w:bookmarkEnd w:id="3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تطوّع المالك بذلك جاز بلا خلاف، لأنّ النهي في هذه منصرف إلى الساعي لتفويت المالك النفع و الإرفاق به، لا لعدم إجزائها</w:t>
      </w:r>
      <w:r>
        <w:rPr>
          <w:rFonts w:eastAsia="Amiri" w:cs="Amiri" w:ascii="Amiri" w:hAnsi="Amiri"/>
          <w:color w:val="111111"/>
          <w:sz w:val="28"/>
          <w:szCs w:val="28"/>
          <w:rtl w:val="true"/>
          <w:lang w:bidi="ar-SA"/>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المسالك جعل الجواز و عدمه في الربّى مبنيّين على ما تقدّم</w:t>
      </w:r>
      <w:r>
        <w:rPr>
          <w:rStyle w:val="FootnoteAnchor"/>
          <w:rtl w:val="true"/>
        </w:rPr>
        <w:footnoteReference w:id="1699"/>
      </w:r>
      <w:r>
        <w:rPr>
          <w:rFonts w:ascii="Amiri" w:hAnsi="Amiri" w:eastAsia="Amiri" w:cs="Amiri"/>
          <w:color w:val="111111"/>
          <w:sz w:val="28"/>
          <w:sz w:val="28"/>
          <w:szCs w:val="28"/>
          <w:rtl w:val="true"/>
          <w:lang w:bidi="ar-SA"/>
        </w:rPr>
        <w:t>من التعليلين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مقتضى جعلها نظيرة النفساء أنّ المانع من إخراجها المرض، لأنّ النفساء مريضة و من ثمّ لا يقام عليها الحدّ، فلا يجزئ إخراجها و إن رضي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 المانع الإضرار بولدها فلو رضي بإخراجها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الأوّل، نعم لو كانت الجميع ربّى لم يكلّف الإخراج من غيرها كالمراض</w:t>
      </w:r>
      <w:r>
        <w:rPr>
          <w:rFonts w:eastAsia="Amiri" w:cs="Amiri" w:ascii="Amiri" w:hAnsi="Amiri"/>
          <w:color w:val="111111"/>
          <w:sz w:val="28"/>
          <w:szCs w:val="28"/>
          <w:rtl w:val="true"/>
          <w:lang w:bidi="ar-SA"/>
        </w:rPr>
        <w:t>»</w:t>
      </w:r>
      <w:r>
        <w:rPr>
          <w:rStyle w:val="FootnoteAnchor"/>
          <w:rtl w:val="true"/>
        </w:rPr>
        <w:footnoteReference w:id="17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الأولى بناء القول بالجواز على أنّ مفاد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و الفتوى حكم راجع إلى الساعي، و مرجعه إلى منع الأخذ بأحد هذه الثلاثة مواساة على المالك و إرفاقا به، و محصّله منعه من الأخذ قهرا على المالك، و مقتضاه جواز الأخذ لو دفعها برضا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يزيّفه النقض بورود هذه العبارة بعينها في المريضة و الهرمة و ذات العوار أيضا، فلو كان مفاد ما ذكر، جاز أخذها لو دفعها المالك برضا نفسه مع أنّ ظاهرهم الاتّفاق على عدم الجواز مطلقا، و قضيّة ذلك أن يكون مفاد هذه العبارة عدم جواز الأخذ الملازم لعدم الإجزاء أي عدم جواز الأخذ بما دفعه المالك من الامور المذكورة لمكان عدم إجزائه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سلّمنا عدم ظهور الرواية في هذا المعنى فلا نسلّم ظهورها في المعنى الأوّل أيضا، فيبقى أصل الفضل بالقياس إلى المالك سليما، إلاّ أن يتمسّك في خصوص الأكولة و فحل الضراب بالأولويّة، و يدفعها أنّ التعويل عليها مبنيّ على كونها قطعيّة أو ظنّية بما يطمئنّ به النفس و هما ممنوعان، و كيف كان فالأحوط عدم الاجتزاء بهما دفعا و أخذا</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2586679_1280447820"/>
      <w:bookmarkStart w:id="379" w:name="_Toc138"/>
      <w:bookmarkEnd w:id="378"/>
      <w:r>
        <w:rPr>
          <w:rtl w:val="true"/>
        </w:rPr>
        <w:t>[</w:t>
      </w:r>
      <w:r>
        <w:rPr>
          <w:rtl w:val="true"/>
        </w:rPr>
        <w:t>ثالثها</w:t>
      </w:r>
      <w:r>
        <w:rPr>
          <w:rtl w:val="true"/>
        </w:rPr>
        <w:t xml:space="preserve">: </w:t>
      </w:r>
      <w:r>
        <w:rPr>
          <w:rtl w:val="true"/>
        </w:rPr>
        <w:t>الاختلاف فى عد الاكولة و فحل الضراب من النصاب و عدمه</w:t>
      </w:r>
      <w:r>
        <w:rPr>
          <w:rtl w:val="true"/>
        </w:rPr>
        <w:t>]</w:t>
      </w:r>
      <w:bookmarkEnd w:id="37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أنّهم بعد ما اتّفقوا ظاهرا في أنّ الربّى تعدّ من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w:t>
      </w:r>
    </w:p>
    <w:p>
      <w:pPr>
        <w:pStyle w:val="BookText"/>
        <w:rPr/>
      </w:pPr>
      <w:r>
        <w:rPr>
          <w:rFonts w:ascii="Amiri" w:hAnsi="Amiri" w:eastAsia="Amiri" w:cs="Amiri"/>
          <w:color w:val="111111"/>
          <w:sz w:val="28"/>
          <w:sz w:val="28"/>
          <w:szCs w:val="28"/>
          <w:rtl w:val="true"/>
          <w:lang w:bidi="ar-SA"/>
        </w:rPr>
        <w:t>كذلك في المدارك</w:t>
      </w:r>
      <w:r>
        <w:rPr>
          <w:rStyle w:val="FootnoteAnchor"/>
          <w:rtl w:val="true"/>
        </w:rPr>
        <w:footnoteReference w:id="1701"/>
      </w:r>
      <w:r>
        <w:rPr>
          <w:rFonts w:ascii="Amiri" w:hAnsi="Amiri" w:eastAsia="Amiri" w:cs="Amiri"/>
          <w:color w:val="111111"/>
          <w:sz w:val="28"/>
          <w:sz w:val="28"/>
          <w:szCs w:val="28"/>
          <w:rtl w:val="true"/>
          <w:lang w:bidi="ar-SA"/>
        </w:rPr>
        <w:t>و الذخيرة</w:t>
      </w:r>
      <w:r>
        <w:rPr>
          <w:rStyle w:val="FootnoteAnchor"/>
          <w:rtl w:val="true"/>
        </w:rPr>
        <w:footnoteReference w:id="1702"/>
      </w:r>
      <w:r>
        <w:rPr>
          <w:rFonts w:ascii="Amiri" w:hAnsi="Amiri" w:eastAsia="Amiri" w:cs="Amiri"/>
          <w:color w:val="111111"/>
          <w:sz w:val="28"/>
          <w:sz w:val="28"/>
          <w:szCs w:val="28"/>
          <w:rtl w:val="true"/>
          <w:lang w:bidi="ar-SA"/>
        </w:rPr>
        <w:t>و الرياض</w:t>
      </w:r>
      <w:r>
        <w:rPr>
          <w:rStyle w:val="FootnoteAnchor"/>
          <w:rtl w:val="true"/>
        </w:rPr>
        <w:footnoteReference w:id="1703"/>
      </w:r>
      <w:r>
        <w:rPr>
          <w:rFonts w:ascii="Amiri" w:hAnsi="Amiri" w:eastAsia="Amiri" w:cs="Amiri"/>
          <w:color w:val="111111"/>
          <w:sz w:val="28"/>
          <w:sz w:val="28"/>
          <w:szCs w:val="28"/>
          <w:rtl w:val="true"/>
          <w:lang w:bidi="ar-SA"/>
        </w:rPr>
        <w:t>و هو الّذي يساعد عليه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خمسين حقّة، و في كلّ أربعين بنت لبون</w:t>
      </w:r>
      <w:r>
        <w:rPr>
          <w:rFonts w:eastAsia="Amiri" w:cs="Amiri" w:ascii="Amiri" w:hAnsi="Amiri"/>
          <w:color w:val="111111"/>
          <w:sz w:val="28"/>
          <w:szCs w:val="28"/>
          <w:rtl w:val="true"/>
          <w:lang w:bidi="ar-SA"/>
        </w:rPr>
        <w:t>»</w:t>
      </w:r>
      <w:r>
        <w:rPr>
          <w:rStyle w:val="FootnoteAnchor"/>
          <w:rtl w:val="true"/>
        </w:rPr>
        <w:footnoteReference w:id="1704"/>
      </w:r>
      <w:r>
        <w:rPr>
          <w:rFonts w:ascii="Amiri" w:hAnsi="Amiri" w:eastAsia="Amiri" w:cs="Amiri"/>
          <w:color w:val="111111"/>
          <w:sz w:val="28"/>
          <w:sz w:val="28"/>
          <w:szCs w:val="28"/>
          <w:rtl w:val="true"/>
          <w:lang w:bidi="ar-SA"/>
        </w:rPr>
        <w:t>و لا ينبغي الاستشكال فيه كما في المناهل</w:t>
      </w:r>
      <w:r>
        <w:rPr>
          <w:rStyle w:val="FootnoteAnchor"/>
          <w:rtl w:val="true"/>
        </w:rPr>
        <w:footnoteReference w:id="1705"/>
      </w:r>
      <w:r>
        <w:rPr>
          <w:rFonts w:ascii="Amiri" w:hAnsi="Amiri" w:eastAsia="Amiri" w:cs="Amiri"/>
          <w:color w:val="111111"/>
          <w:sz w:val="28"/>
          <w:sz w:val="28"/>
          <w:szCs w:val="28"/>
          <w:rtl w:val="true"/>
          <w:lang w:bidi="ar-SA"/>
        </w:rPr>
        <w:t>استنادا إلى ظهور صحيحة عبد الرحمن بن الحجاج المتقدّمة</w:t>
      </w:r>
      <w:r>
        <w:rPr>
          <w:rStyle w:val="FootnoteAnchor"/>
          <w:rtl w:val="true"/>
        </w:rPr>
        <w:footnoteReference w:id="1706"/>
      </w:r>
      <w:r>
        <w:rPr>
          <w:rFonts w:ascii="Amiri" w:hAnsi="Amiri" w:eastAsia="Amiri" w:cs="Amiri"/>
          <w:color w:val="111111"/>
          <w:sz w:val="28"/>
          <w:sz w:val="28"/>
          <w:szCs w:val="28"/>
          <w:rtl w:val="true"/>
          <w:lang w:bidi="ar-SA"/>
        </w:rPr>
        <w:t>لمكان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الربّى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Style w:val="FootnoteAnchor"/>
          <w:rtl w:val="true"/>
        </w:rPr>
        <w:footnoteReference w:id="1707"/>
      </w:r>
      <w:r>
        <w:rPr>
          <w:rFonts w:ascii="Amiri" w:hAnsi="Amiri" w:eastAsia="Amiri" w:cs="Amiri"/>
          <w:color w:val="111111"/>
          <w:sz w:val="28"/>
          <w:sz w:val="28"/>
          <w:szCs w:val="28"/>
          <w:rtl w:val="true"/>
          <w:lang w:bidi="ar-SA"/>
        </w:rPr>
        <w:t xml:space="preserve">من كونها مؤوّلة بالحمل على إرادة عدم أخذها صدقة لا عدم تعلّق الصدقة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عدّ الأكولة و فحل الضراب منه و عدمه، ففي النافع</w:t>
      </w:r>
      <w:r>
        <w:rPr>
          <w:rStyle w:val="FootnoteAnchor"/>
          <w:rtl w:val="true"/>
        </w:rPr>
        <w:footnoteReference w:id="1708"/>
      </w:r>
      <w:r>
        <w:rPr>
          <w:rFonts w:ascii="IRNazanin" w:hAnsi="IRNazanin" w:eastAsia="IRNazanin"/>
          <w:color w:val="111111"/>
          <w:sz w:val="28"/>
          <w:sz w:val="28"/>
          <w:szCs w:val="28"/>
          <w:rtl w:val="true"/>
          <w:lang w:bidi="fa-IR"/>
        </w:rPr>
        <w:t>و الإرشاد</w:t>
      </w:r>
      <w:r>
        <w:rPr>
          <w:rStyle w:val="FootnoteAnchor"/>
          <w:rtl w:val="true"/>
        </w:rPr>
        <w:footnoteReference w:id="1709"/>
      </w:r>
      <w:r>
        <w:rPr>
          <w:rFonts w:ascii="Amiri" w:hAnsi="Amiri" w:eastAsia="Amiri" w:cs="Amiri"/>
          <w:color w:val="111111"/>
          <w:sz w:val="28"/>
          <w:sz w:val="28"/>
          <w:szCs w:val="28"/>
          <w:rtl w:val="true"/>
          <w:lang w:bidi="ar-SA"/>
        </w:rPr>
        <w:t>كما عن التبصرة</w:t>
      </w:r>
      <w:r>
        <w:rPr>
          <w:rStyle w:val="FootnoteAnchor"/>
          <w:rtl w:val="true"/>
        </w:rPr>
        <w:footnoteReference w:id="1710"/>
      </w:r>
      <w:r>
        <w:rPr>
          <w:rFonts w:ascii="Amiri" w:hAnsi="Amiri" w:eastAsia="Amiri" w:cs="Amiri"/>
          <w:color w:val="111111"/>
          <w:sz w:val="28"/>
          <w:sz w:val="28"/>
          <w:szCs w:val="28"/>
          <w:rtl w:val="true"/>
          <w:lang w:bidi="ar-SA"/>
        </w:rPr>
        <w:t>و اللمعة</w:t>
      </w:r>
      <w:r>
        <w:rPr>
          <w:rStyle w:val="FootnoteAnchor"/>
          <w:rtl w:val="true"/>
        </w:rPr>
        <w:footnoteReference w:id="1711"/>
      </w:r>
      <w:r>
        <w:rPr>
          <w:rFonts w:ascii="Amiri" w:hAnsi="Amiri" w:eastAsia="Amiri" w:cs="Amiri"/>
          <w:color w:val="111111"/>
          <w:sz w:val="28"/>
          <w:sz w:val="28"/>
          <w:szCs w:val="28"/>
          <w:rtl w:val="true"/>
          <w:lang w:bidi="ar-SA"/>
        </w:rPr>
        <w:t>و البيان</w:t>
      </w:r>
      <w:r>
        <w:rPr>
          <w:rStyle w:val="FootnoteAnchor"/>
          <w:rtl w:val="true"/>
        </w:rPr>
        <w:footnoteReference w:id="1712"/>
      </w:r>
      <w:r>
        <w:rPr>
          <w:rFonts w:ascii="Amiri" w:hAnsi="Amiri" w:eastAsia="Amiri" w:cs="Amiri"/>
          <w:color w:val="111111"/>
          <w:sz w:val="28"/>
          <w:sz w:val="28"/>
          <w:szCs w:val="28"/>
          <w:rtl w:val="true"/>
          <w:lang w:bidi="ar-SA"/>
        </w:rPr>
        <w:t>و الروضة</w:t>
      </w:r>
      <w:r>
        <w:rPr>
          <w:rStyle w:val="FootnoteAnchor"/>
          <w:rtl w:val="true"/>
        </w:rPr>
        <w:footnoteReference w:id="1713"/>
      </w:r>
      <w:r>
        <w:rPr>
          <w:rFonts w:ascii="Amiri" w:hAnsi="Amiri" w:eastAsia="Amiri" w:cs="Amiri"/>
          <w:color w:val="111111"/>
          <w:sz w:val="28"/>
          <w:sz w:val="28"/>
          <w:szCs w:val="28"/>
          <w:rtl w:val="true"/>
          <w:lang w:bidi="ar-SA"/>
        </w:rPr>
        <w:t>و مجمع الفائدة انّهما لا تعدّان منه، و عن أبي الصلاح عدم عدّ فحل الضراب</w:t>
      </w:r>
      <w:r>
        <w:rPr>
          <w:rStyle w:val="FootnoteAnchor"/>
          <w:rtl w:val="true"/>
        </w:rPr>
        <w:footnoteReference w:id="1714"/>
      </w:r>
      <w:r>
        <w:rPr>
          <w:rFonts w:ascii="Amiri" w:hAnsi="Amiri" w:eastAsia="Amiri" w:cs="Amiri"/>
          <w:color w:val="111111"/>
          <w:sz w:val="28"/>
          <w:sz w:val="28"/>
          <w:szCs w:val="28"/>
          <w:rtl w:val="true"/>
          <w:lang w:bidi="ar-SA"/>
        </w:rPr>
        <w:t>و عن ظاهر الأكثر إنّهما تعدّان منه</w:t>
      </w:r>
      <w:r>
        <w:rPr>
          <w:rStyle w:val="FootnoteAnchor"/>
          <w:rtl w:val="true"/>
        </w:rPr>
        <w:footnoteReference w:id="1715"/>
      </w:r>
      <w:r>
        <w:rPr>
          <w:rFonts w:ascii="Amiri" w:hAnsi="Amiri" w:eastAsia="Amiri" w:cs="Amiri"/>
          <w:color w:val="111111"/>
          <w:sz w:val="28"/>
          <w:sz w:val="28"/>
          <w:szCs w:val="28"/>
          <w:rtl w:val="true"/>
          <w:lang w:bidi="ar-SA"/>
        </w:rPr>
        <w:t>بل فى الرياض نسبته إلى الأكثر بل المشهور</w:t>
      </w:r>
      <w:r>
        <w:rPr>
          <w:rStyle w:val="FootnoteAnchor"/>
          <w:rtl w:val="true"/>
        </w:rPr>
        <w:footnoteReference w:id="1716"/>
      </w:r>
      <w:r>
        <w:rPr>
          <w:rFonts w:ascii="Amiri" w:hAnsi="Amiri" w:eastAsia="Amiri" w:cs="Amiri"/>
          <w:color w:val="111111"/>
          <w:sz w:val="28"/>
          <w:sz w:val="28"/>
          <w:szCs w:val="28"/>
          <w:rtl w:val="true"/>
          <w:lang w:bidi="ar-SA"/>
        </w:rPr>
        <w:t>و عن ابن إدريس عدّ فحل الضراب</w:t>
      </w:r>
      <w:r>
        <w:rPr>
          <w:rStyle w:val="FootnoteAnchor"/>
          <w:rtl w:val="true"/>
        </w:rPr>
        <w:footnoteReference w:id="1717"/>
      </w:r>
      <w:r>
        <w:rPr>
          <w:rFonts w:ascii="Amiri" w:hAnsi="Amiri" w:eastAsia="Amiri" w:cs="Amiri"/>
          <w:color w:val="111111"/>
          <w:sz w:val="28"/>
          <w:sz w:val="28"/>
          <w:szCs w:val="28"/>
          <w:rtl w:val="true"/>
          <w:lang w:bidi="ar-SA"/>
        </w:rPr>
        <w:t>و عن المختلف التصريح بعدّه</w:t>
      </w:r>
      <w:r>
        <w:rPr>
          <w:rStyle w:val="FootnoteAnchor"/>
          <w:rtl w:val="true"/>
        </w:rPr>
        <w:footnoteReference w:id="1718"/>
      </w:r>
      <w:r>
        <w:rPr>
          <w:rFonts w:ascii="Amiri" w:hAnsi="Amiri" w:eastAsia="Amiri" w:cs="Amiri"/>
          <w:color w:val="111111"/>
          <w:sz w:val="28"/>
          <w:sz w:val="28"/>
          <w:szCs w:val="28"/>
          <w:rtl w:val="true"/>
          <w:lang w:bidi="ar-SA"/>
        </w:rPr>
        <w:t>و يظهر من الذخيرة كما عن حاشية الشرائع</w:t>
      </w:r>
      <w:r>
        <w:rPr>
          <w:rStyle w:val="FootnoteAnchor"/>
          <w:rtl w:val="true"/>
        </w:rPr>
        <w:footnoteReference w:id="1719"/>
      </w:r>
      <w:r>
        <w:rPr>
          <w:rFonts w:ascii="Amiri" w:hAnsi="Amiri" w:eastAsia="Amiri" w:cs="Amiri"/>
          <w:color w:val="111111"/>
          <w:sz w:val="28"/>
          <w:sz w:val="28"/>
          <w:szCs w:val="28"/>
          <w:rtl w:val="true"/>
          <w:lang w:bidi="ar-SA"/>
        </w:rPr>
        <w:t>و المدارك</w:t>
      </w:r>
      <w:r>
        <w:rPr>
          <w:rStyle w:val="FootnoteAnchor"/>
          <w:rtl w:val="true"/>
        </w:rPr>
        <w:footnoteReference w:id="1720"/>
      </w:r>
      <w:r>
        <w:rPr>
          <w:rFonts w:ascii="Amiri" w:hAnsi="Amiri" w:eastAsia="Amiri" w:cs="Amiri"/>
          <w:color w:val="111111"/>
          <w:sz w:val="28"/>
          <w:sz w:val="28"/>
          <w:szCs w:val="28"/>
          <w:rtl w:val="true"/>
          <w:lang w:bidi="ar-SA"/>
        </w:rPr>
        <w:t>و الكفاية</w:t>
      </w:r>
      <w:r>
        <w:rPr>
          <w:rStyle w:val="FootnoteAnchor"/>
          <w:rtl w:val="true"/>
        </w:rPr>
        <w:footnoteReference w:id="1721"/>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مستند المانعين ما عرفت من صحيحة ابن الحجّاج</w:t>
      </w:r>
      <w:r>
        <w:rPr>
          <w:rStyle w:val="FootnoteAnchor"/>
          <w:rtl w:val="true"/>
        </w:rPr>
        <w:footnoteReference w:id="1722"/>
      </w:r>
      <w:r>
        <w:rPr>
          <w:rFonts w:ascii="Amiri" w:hAnsi="Amiri" w:eastAsia="Amiri" w:cs="Amiri"/>
          <w:color w:val="111111"/>
          <w:sz w:val="28"/>
          <w:sz w:val="28"/>
          <w:szCs w:val="28"/>
          <w:rtl w:val="true"/>
          <w:lang w:bidi="ar-SA"/>
        </w:rPr>
        <w:t>و مستند الآخرين عمومات النصوص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خمسين حقّة</w:t>
      </w:r>
      <w:r>
        <w:rPr>
          <w:rFonts w:eastAsia="Amiri" w:cs="Amiri" w:ascii="Amiri" w:hAnsi="Amiri"/>
          <w:color w:val="111111"/>
          <w:sz w:val="28"/>
          <w:szCs w:val="28"/>
          <w:rtl w:val="true"/>
          <w:lang w:bidi="ar-SA"/>
        </w:rPr>
        <w:t>»</w:t>
      </w:r>
      <w:r>
        <w:rPr>
          <w:rStyle w:val="FootnoteAnchor"/>
          <w:rtl w:val="true"/>
        </w:rPr>
        <w:footnoteReference w:id="1723"/>
      </w:r>
      <w:r>
        <w:rPr>
          <w:rFonts w:ascii="Amiri" w:hAnsi="Amiri" w:eastAsia="Amiri" w:cs="Amiri"/>
          <w:color w:val="111111"/>
          <w:sz w:val="28"/>
          <w:sz w:val="28"/>
          <w:szCs w:val="28"/>
          <w:rtl w:val="true"/>
          <w:lang w:bidi="ar-SA"/>
        </w:rPr>
        <w:t xml:space="preserve">و نحوه، و هذا مع استقلاله حجّة معتضدة بمصير الأكثر بل الشهرة المحكيّة و موافقة الاحتياط، و الرواية موهونة دلالة بمخالفة الشهرة بل الاتّفاق في خصوص الربّى كما عرفت، فالقول بالعدّ قويّ </w:t>
      </w:r>
    </w:p>
    <w:p>
      <w:pPr>
        <w:pStyle w:val="BookText"/>
        <w:rPr/>
      </w:pPr>
      <w:r>
        <w:rPr>
          <w:rFonts w:ascii="Amiri" w:hAnsi="Amiri" w:eastAsia="Amiri" w:cs="Amiri"/>
          <w:color w:val="111111"/>
          <w:sz w:val="28"/>
          <w:sz w:val="28"/>
          <w:szCs w:val="28"/>
          <w:rtl w:val="true"/>
          <w:lang w:bidi="ar-SA"/>
        </w:rPr>
        <w:t>جدّا، و مع ذلك أحوط فالمصير إليه متعيّن، و التوقّف في غير محلّه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يشترط في عدّ الفحل بكون الجميع أو معظمها فحولا كما عن البيان</w:t>
      </w:r>
      <w:r>
        <w:rPr>
          <w:rStyle w:val="FootnoteAnchor"/>
          <w:rtl w:val="true"/>
        </w:rPr>
        <w:footnoteReference w:id="1724"/>
      </w:r>
      <w:r>
        <w:rPr>
          <w:rFonts w:ascii="Amiri" w:hAnsi="Amiri" w:eastAsia="Amiri" w:cs="Amiri"/>
          <w:color w:val="111111"/>
          <w:sz w:val="28"/>
          <w:sz w:val="28"/>
          <w:szCs w:val="28"/>
          <w:rtl w:val="true"/>
          <w:lang w:bidi="ar-SA"/>
        </w:rPr>
        <w:t>و لا بأن كثرت الفحول بحيث تجاوزت العادة كما عن حاشية الشرائع</w:t>
      </w:r>
      <w:r>
        <w:rPr>
          <w:rStyle w:val="FootnoteAnchor"/>
          <w:rtl w:val="true"/>
        </w:rPr>
        <w:footnoteReference w:id="1725"/>
      </w:r>
      <w:r>
        <w:rPr>
          <w:rFonts w:ascii="Amiri" w:hAnsi="Amiri" w:eastAsia="Amiri" w:cs="Amiri"/>
          <w:color w:val="111111"/>
          <w:sz w:val="28"/>
          <w:sz w:val="28"/>
          <w:szCs w:val="28"/>
          <w:rtl w:val="true"/>
          <w:lang w:bidi="ar-SA"/>
        </w:rPr>
        <w:t>و لا بالزيادة على القدر المحتاج إليه لضرب الماشية كما في المسالك</w:t>
      </w:r>
      <w:r>
        <w:rPr>
          <w:rStyle w:val="FootnoteAnchor"/>
          <w:rtl w:val="true"/>
        </w:rPr>
        <w:footnoteReference w:id="1726"/>
      </w:r>
      <w:r>
        <w:rPr>
          <w:rFonts w:ascii="Amiri" w:hAnsi="Amiri" w:eastAsia="Amiri" w:cs="Amiri"/>
          <w:color w:val="111111"/>
          <w:sz w:val="28"/>
          <w:sz w:val="28"/>
          <w:szCs w:val="28"/>
          <w:rtl w:val="true"/>
          <w:lang w:bidi="ar-SA"/>
        </w:rPr>
        <w:t>و عن الروضة</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 xml:space="preserve">. </w:t>
      </w:r>
      <w:bookmarkStart w:id="380" w:name="pg16181_154665"/>
    </w:p>
    <w:p>
      <w:pPr>
        <w:pStyle w:val="Heading5"/>
        <w:numPr>
          <w:ilvl w:val="4"/>
          <w:numId w:val="1"/>
        </w:numPr>
        <w:rPr/>
      </w:pPr>
      <w:bookmarkStart w:id="381" w:name="__RefHeading___Toc2586681_1280447820"/>
      <w:bookmarkStart w:id="382" w:name="_Toc139"/>
      <w:bookmarkEnd w:id="380"/>
      <w:bookmarkEnd w:id="381"/>
      <w:r>
        <w:rPr>
          <w:rtl w:val="true"/>
        </w:rPr>
        <w:t>المقام الثانيفيما يتعلّق بالذهب و الفضّة</w:t>
      </w:r>
      <w:bookmarkEnd w:id="382"/>
    </w:p>
    <w:p>
      <w:pPr>
        <w:pStyle w:val="Heading6"/>
        <w:numPr>
          <w:ilvl w:val="5"/>
          <w:numId w:val="1"/>
        </w:numPr>
        <w:rPr/>
      </w:pPr>
      <w:bookmarkStart w:id="383" w:name="__RefHeading___Toc2586683_1280447820"/>
      <w:bookmarkStart w:id="384" w:name="_Toc140"/>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المقام الثاني</w:t>
      </w:r>
      <w:r>
        <w:rPr>
          <w:rStyle w:val="FootnoteAnchor"/>
          <w:rtl w:val="true"/>
        </w:rPr>
        <w:footnoteReference w:id="1728"/>
      </w:r>
      <w:r>
        <w:rPr>
          <w:rFonts w:ascii="Amiri" w:hAnsi="Amiri" w:eastAsia="Amiri" w:cs="Amiri"/>
          <w:color w:val="111111"/>
          <w:sz w:val="28"/>
          <w:sz w:val="28"/>
          <w:szCs w:val="28"/>
          <w:rtl w:val="true"/>
          <w:lang w:bidi="ar-SA"/>
        </w:rPr>
        <w:t>فيما يتعلّق بالذهب و الفضّة</w:t>
      </w:r>
    </w:p>
    <w:p>
      <w:pPr>
        <w:pStyle w:val="BookText"/>
        <w:rPr/>
      </w:pPr>
      <w:r>
        <w:rPr>
          <w:rFonts w:ascii="Amiri" w:hAnsi="Amiri" w:eastAsia="Amiri" w:cs="Amiri"/>
          <w:color w:val="111111"/>
          <w:sz w:val="28"/>
          <w:sz w:val="28"/>
          <w:szCs w:val="28"/>
          <w:rtl w:val="true"/>
          <w:lang w:bidi="ar-SA"/>
        </w:rPr>
        <w:t>و قد مرّ الكلام</w:t>
      </w:r>
      <w:r>
        <w:rPr>
          <w:rStyle w:val="FootnoteAnchor"/>
          <w:rtl w:val="true"/>
        </w:rPr>
        <w:footnoteReference w:id="1729"/>
      </w:r>
      <w:r>
        <w:rPr>
          <w:rFonts w:ascii="Amiri" w:hAnsi="Amiri" w:eastAsia="Amiri" w:cs="Amiri"/>
          <w:color w:val="111111"/>
          <w:sz w:val="28"/>
          <w:sz w:val="28"/>
          <w:szCs w:val="28"/>
          <w:rtl w:val="true"/>
          <w:lang w:bidi="ar-SA"/>
        </w:rPr>
        <w:t>في وجوب الزكاة فيهما و بيان الدليل من الإجماعات و النصوص و غيرها، و البحث هنا إنّما هو في شروط وجوبه و سائر ما يتعلّق بهما، أمّا الشروط فثلاث</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2586685_1280447820"/>
      <w:bookmarkStart w:id="386" w:name="_Toc141"/>
      <w:bookmarkEnd w:id="385"/>
      <w:r>
        <w:rPr>
          <w:rtl w:val="true"/>
        </w:rPr>
        <w:t>[</w:t>
      </w:r>
      <w:r>
        <w:rPr>
          <w:rtl w:val="true"/>
        </w:rPr>
        <w:t>شروط وجوب الزكاة فى النقدين</w:t>
      </w:r>
      <w:r>
        <w:rPr>
          <w:rtl w:val="true"/>
        </w:rPr>
        <w:t>]</w:t>
      </w:r>
      <w:bookmarkEnd w:id="386"/>
    </w:p>
    <w:p>
      <w:pPr>
        <w:pStyle w:val="Heading6"/>
        <w:numPr>
          <w:ilvl w:val="5"/>
          <w:numId w:val="1"/>
        </w:numPr>
        <w:rPr/>
      </w:pPr>
      <w:bookmarkStart w:id="387" w:name="__RefHeading___Toc2586687_1280447820"/>
      <w:bookmarkStart w:id="388" w:name="_Toc142"/>
      <w:bookmarkEnd w:id="387"/>
      <w:r>
        <w:rPr>
          <w:rtl w:val="true"/>
        </w:rPr>
        <w:t>الشرط الأوّل</w:t>
      </w:r>
      <w:r>
        <w:rPr>
          <w:rtl w:val="true"/>
        </w:rPr>
        <w:t xml:space="preserve">: </w:t>
      </w:r>
      <w:r>
        <w:rPr>
          <w:rtl w:val="true"/>
        </w:rPr>
        <w:t>النصاب،</w:t>
      </w:r>
      <w:bookmarkEnd w:id="388"/>
    </w:p>
    <w:p>
      <w:pPr>
        <w:pStyle w:val="Heading6"/>
        <w:numPr>
          <w:ilvl w:val="5"/>
          <w:numId w:val="1"/>
        </w:numPr>
        <w:rPr/>
      </w:pPr>
      <w:bookmarkStart w:id="389" w:name="__RefHeading___Toc2586689_1280447820"/>
      <w:bookmarkStart w:id="390" w:name="_Toc143"/>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و لا خلاف في اشتراط وجوب الزكاة به و النصوص الدالّة عليه متواترة، بل بالغة فوق حدّ التواتر و ستعرف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الذهب و الفضّة نصابان، أمّا النصاب الأوّل في الذهب فاختلف فيه الأصحاب على قولين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فيه الزكاة كما عن الشيخين</w:t>
      </w:r>
      <w:r>
        <w:rPr>
          <w:rStyle w:val="FootnoteAnchor"/>
          <w:rtl w:val="true"/>
        </w:rPr>
        <w:footnoteReference w:id="1730"/>
      </w:r>
      <w:r>
        <w:rPr>
          <w:rFonts w:ascii="Amiri" w:hAnsi="Amiri" w:eastAsia="Amiri" w:cs="Amiri"/>
          <w:color w:val="111111"/>
          <w:sz w:val="28"/>
          <w:sz w:val="28"/>
          <w:szCs w:val="28"/>
          <w:rtl w:val="true"/>
          <w:lang w:bidi="ar-SA"/>
        </w:rPr>
        <w:t>و السيّدين</w:t>
      </w:r>
      <w:r>
        <w:rPr>
          <w:rStyle w:val="FootnoteAnchor"/>
          <w:rtl w:val="true"/>
        </w:rPr>
        <w:footnoteReference w:id="1731"/>
      </w:r>
      <w:r>
        <w:rPr>
          <w:rFonts w:ascii="Amiri" w:hAnsi="Amiri" w:eastAsia="Amiri" w:cs="Amiri"/>
          <w:color w:val="111111"/>
          <w:sz w:val="28"/>
          <w:sz w:val="28"/>
          <w:szCs w:val="28"/>
          <w:rtl w:val="true"/>
          <w:lang w:bidi="ar-SA"/>
        </w:rPr>
        <w:t>و ابن حمزة و سلاّر في الوسيلة</w:t>
      </w:r>
      <w:r>
        <w:rPr>
          <w:rStyle w:val="FootnoteAnchor"/>
          <w:rtl w:val="true"/>
        </w:rPr>
        <w:footnoteReference w:id="1732"/>
      </w:r>
      <w:r>
        <w:rPr>
          <w:rFonts w:ascii="IRNazanin" w:hAnsi="IRNazanin" w:eastAsia="IRNazanin"/>
          <w:color w:val="111111"/>
          <w:sz w:val="28"/>
          <w:sz w:val="28"/>
          <w:szCs w:val="28"/>
          <w:rtl w:val="true"/>
          <w:lang w:bidi="fa-IR"/>
        </w:rPr>
        <w:t>و المراسم</w:t>
      </w:r>
      <w:r>
        <w:rPr>
          <w:rStyle w:val="FootnoteAnchor"/>
          <w:rtl w:val="true"/>
        </w:rPr>
        <w:footnoteReference w:id="1733"/>
      </w:r>
      <w:r>
        <w:rPr>
          <w:rFonts w:ascii="Amiri" w:hAnsi="Amiri" w:eastAsia="Amiri" w:cs="Amiri"/>
          <w:color w:val="111111"/>
          <w:sz w:val="28"/>
          <w:sz w:val="28"/>
          <w:szCs w:val="28"/>
          <w:rtl w:val="true"/>
          <w:lang w:bidi="ar-SA"/>
        </w:rPr>
        <w:t>و الفاضلين</w:t>
      </w:r>
      <w:r>
        <w:rPr>
          <w:rStyle w:val="FootnoteAnchor"/>
          <w:rtl w:val="true"/>
        </w:rPr>
        <w:footnoteReference w:id="1734"/>
      </w:r>
      <w:r>
        <w:rPr>
          <w:rFonts w:ascii="Amiri" w:hAnsi="Amiri" w:eastAsia="Amiri" w:cs="Amiri"/>
          <w:color w:val="111111"/>
          <w:sz w:val="28"/>
          <w:sz w:val="28"/>
          <w:szCs w:val="28"/>
          <w:rtl w:val="true"/>
          <w:lang w:bidi="ar-SA"/>
        </w:rPr>
        <w:t>و الشهيدين</w:t>
      </w:r>
      <w:r>
        <w:rPr>
          <w:rStyle w:val="FootnoteAnchor"/>
          <w:rtl w:val="true"/>
        </w:rPr>
        <w:footnoteReference w:id="1735"/>
      </w:r>
      <w:r>
        <w:rPr>
          <w:rFonts w:ascii="Amiri" w:hAnsi="Amiri" w:eastAsia="Amiri" w:cs="Amiri"/>
          <w:color w:val="111111"/>
          <w:sz w:val="28"/>
          <w:sz w:val="28"/>
          <w:szCs w:val="28"/>
          <w:rtl w:val="true"/>
          <w:lang w:bidi="ar-SA"/>
        </w:rPr>
        <w:t>و غيرهم من المتأخّرين و متأخّريهم، و نسبه في المنتهى إلى أكثر علمائنا</w:t>
      </w:r>
      <w:r>
        <w:rPr>
          <w:rStyle w:val="FootnoteAnchor"/>
          <w:rtl w:val="true"/>
        </w:rPr>
        <w:footnoteReference w:id="1736"/>
      </w:r>
      <w:r>
        <w:rPr>
          <w:rFonts w:ascii="Amiri" w:hAnsi="Amiri" w:eastAsia="Amiri" w:cs="Amiri"/>
          <w:color w:val="111111"/>
          <w:sz w:val="28"/>
          <w:sz w:val="28"/>
          <w:szCs w:val="28"/>
          <w:rtl w:val="true"/>
          <w:lang w:bidi="ar-SA"/>
        </w:rPr>
        <w:t>و عن الكفاية أنّه الأشهر</w:t>
      </w:r>
      <w:r>
        <w:rPr>
          <w:rStyle w:val="FootnoteAnchor"/>
          <w:rtl w:val="true"/>
        </w:rPr>
        <w:footnoteReference w:id="1737"/>
      </w:r>
      <w:r>
        <w:rPr>
          <w:rFonts w:ascii="Amiri" w:hAnsi="Amiri" w:eastAsia="Amiri" w:cs="Amiri"/>
          <w:color w:val="111111"/>
          <w:sz w:val="28"/>
          <w:sz w:val="28"/>
          <w:szCs w:val="28"/>
          <w:rtl w:val="true"/>
          <w:lang w:bidi="ar-SA"/>
        </w:rPr>
        <w:t>و في الذخيرة على المشهور بين الأصحاب</w:t>
      </w:r>
      <w:r>
        <w:rPr>
          <w:rStyle w:val="FootnoteAnchor"/>
          <w:rtl w:val="true"/>
        </w:rPr>
        <w:footnoteReference w:id="1738"/>
      </w:r>
      <w:r>
        <w:rPr>
          <w:rFonts w:ascii="IRNazanin" w:hAnsi="IRNazanin" w:eastAsia="IRNazanin"/>
          <w:color w:val="111111"/>
          <w:sz w:val="28"/>
          <w:sz w:val="28"/>
          <w:szCs w:val="28"/>
          <w:rtl w:val="true"/>
          <w:lang w:bidi="fa-IR"/>
        </w:rPr>
        <w:t xml:space="preserve">و عن الخلاف و السرائر </w:t>
      </w:r>
    </w:p>
    <w:p>
      <w:pPr>
        <w:pStyle w:val="BookText"/>
        <w:rPr/>
      </w:pPr>
      <w:r>
        <w:rPr>
          <w:rFonts w:ascii="Amiri" w:hAnsi="Amiri" w:eastAsia="Amiri" w:cs="Amiri"/>
          <w:color w:val="111111"/>
          <w:sz w:val="28"/>
          <w:sz w:val="28"/>
          <w:szCs w:val="28"/>
          <w:rtl w:val="true"/>
          <w:lang w:bidi="ar-SA"/>
        </w:rPr>
        <w:t>دعوى الإجماع عليه</w:t>
      </w:r>
      <w:r>
        <w:rPr>
          <w:rStyle w:val="FootnoteAnchor"/>
          <w:rtl w:val="true"/>
        </w:rPr>
        <w:footnoteReference w:id="1739"/>
      </w:r>
      <w:r>
        <w:rPr>
          <w:rFonts w:ascii="Amiri" w:hAnsi="Amiri" w:eastAsia="Amiri" w:cs="Amiri"/>
          <w:color w:val="111111"/>
          <w:sz w:val="28"/>
          <w:sz w:val="28"/>
          <w:szCs w:val="28"/>
          <w:rtl w:val="true"/>
          <w:lang w:bidi="ar-SA"/>
        </w:rPr>
        <w:t>بل عن السرائر إجماع المسلمين</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فيه دينار و لا يجب في أقلّ من أربعين شيء، و هو في جملة من كتب الأصحاب منسوب إلى عليّ بن بابويه</w:t>
      </w:r>
      <w:r>
        <w:rPr>
          <w:rStyle w:val="FootnoteAnchor"/>
          <w:rtl w:val="true"/>
        </w:rPr>
        <w:footnoteReference w:id="1741"/>
      </w:r>
      <w:r>
        <w:rPr>
          <w:rFonts w:ascii="Amiri" w:hAnsi="Amiri" w:eastAsia="Amiri" w:cs="Amiri"/>
          <w:color w:val="111111"/>
          <w:sz w:val="28"/>
          <w:sz w:val="28"/>
          <w:szCs w:val="28"/>
          <w:rtl w:val="true"/>
          <w:lang w:bidi="ar-SA"/>
        </w:rPr>
        <w:t>و قد ينسب إليه و إلى ولده الصدوق</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و قال في المقنع بنفس العبارة في الفقيه و لكن استند في نهاية كلامه إلى رواية و إليك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أنّه ليس على الذهب شيء حتّى يبلغ أربعين مثقال، فإذا بلغ ففيه مثقال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الخلاف أنّه قول قوم من أصحابنا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المعتبر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جعفر بن بابويه و جماعة من أصحاب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المختار هو القول الأوّل و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المتكاثرة القريبة من التواتر، بل المتواترة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جزم به السيّد في الرياض</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الصحاح و الموثّقات و غيرها، و نحن نذكر هنا جملة منها لما فيها من الكفاية ففي صحيح عبد اللّه بن سنان على ما عن المختلف</w:t>
      </w:r>
      <w:r>
        <w:rPr>
          <w:rStyle w:val="FootnoteAnchor"/>
          <w:rtl w:val="true"/>
        </w:rPr>
        <w:footnoteReference w:id="1744"/>
      </w:r>
      <w:r>
        <w:rPr>
          <w:rFonts w:ascii="Amiri" w:hAnsi="Amiri" w:eastAsia="Amiri" w:cs="Amiri"/>
          <w:color w:val="111111"/>
          <w:sz w:val="28"/>
          <w:sz w:val="28"/>
          <w:szCs w:val="28"/>
          <w:rtl w:val="true"/>
          <w:lang w:bidi="ar-SA"/>
        </w:rPr>
        <w:t>و مجمع الفائدة</w:t>
      </w:r>
      <w:r>
        <w:rPr>
          <w:rStyle w:val="FootnoteAnchor"/>
          <w:rtl w:val="true"/>
        </w:rPr>
        <w:footnoteReference w:id="1745"/>
      </w:r>
      <w:r>
        <w:rPr>
          <w:rFonts w:ascii="Amiri" w:hAnsi="Amiri" w:eastAsia="Amiri" w:cs="Amiri"/>
          <w:color w:val="111111"/>
          <w:sz w:val="28"/>
          <w:sz w:val="28"/>
          <w:szCs w:val="28"/>
          <w:rtl w:val="true"/>
          <w:lang w:bidi="ar-SA"/>
        </w:rPr>
        <w:t>من الوصف بالصحّة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الذهب شيء حتّى يبلغ عشرين مثقالا، فإذا بلغ عشرين مثقالا ففيه نصف دينار إلى أن يبلغ أربعة و عشرين، و على هذا الحساب حتّى زاد على عشرين، أربعة أربعة ففي كلّ أربعة، عشر إلى أن يبلغ أربعين مثقالا ففيه مثقال</w:t>
      </w:r>
      <w:r>
        <w:rPr>
          <w:rFonts w:eastAsia="Amiri" w:cs="Amiri" w:ascii="Amiri" w:hAnsi="Amiri"/>
          <w:color w:val="111111"/>
          <w:sz w:val="28"/>
          <w:szCs w:val="28"/>
          <w:rtl w:val="true"/>
          <w:lang w:bidi="ar-SA"/>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صحيح الحسين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في كم وضع رسول اللّه صلّى اللّه عليه و آله الزكاة‌؟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مائتي درهم خمسة دراهم، فإن نقصت فلا زكاة فيها، و في الذهب في كلّ عشرين دينارا نصف دينار، فإن نقص فلا زكاة فيه</w:t>
      </w:r>
      <w:r>
        <w:rPr>
          <w:rFonts w:eastAsia="Amiri" w:cs="Amiri" w:ascii="Amiri" w:hAnsi="Amiri"/>
          <w:color w:val="111111"/>
          <w:sz w:val="28"/>
          <w:szCs w:val="28"/>
          <w:rtl w:val="true"/>
          <w:lang w:bidi="ar-SA"/>
        </w:rPr>
        <w:t>»</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أحمد بن محمّد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عمّا اخرج من المعدن من قليل أو كثير هل فيه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 عن عليّ بن عقبة و عدّة من أصحابنا عن أبي جعفر و أبي عبد اللّه عليهما 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العشرين مثقالا من الذهب شيء، فإذا كملت عشرين مثقالا ففيها نصف مثقال إلى أربعة و عشرين، فإذا كملت أربعة و عشرين ففيها ثلاثة أخماس دينار إلى ثمانية و عشرين، فعلى هذا الحساب كلّما زاد أربعة</w:t>
      </w:r>
      <w:r>
        <w:rPr>
          <w:rFonts w:eastAsia="Amiri" w:cs="Amiri" w:ascii="Amiri" w:hAnsi="Amiri"/>
          <w:color w:val="111111"/>
          <w:sz w:val="28"/>
          <w:szCs w:val="28"/>
          <w:rtl w:val="true"/>
          <w:lang w:bidi="ar-SA"/>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 عن زرارة و بكير ابني أعين أنّهما سمعا أبا جعفر عليه السّلام يقول في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الذهب فليس في أقلّ من عشرين دينارا شيء، فإذا بلغت عشرين دينارا ففيه نصف دينار، و ليس في أقلّ من مائتي درهم شيء، فإذا بلغ مائتي درهم ففيها خمسة دراهم، فما زاد فبحساب ذلك، و ليس في مائتي درهم و أربعين درهما غير درهم إلاّ خمسة الدراهم، فإذا بلغت أربعين و مائتي درهم ففيها ستّة دراهم، فإذا بلغت ثمانين و مائتي درهم ففيها سبعة دراهم، و ما زاد فعلى هذا الحساب، و كذلك الذهب و كلّ ذهب إنّما الزكاة على الذهب و الفضّة الموضوع إذا حال عليه الحول ففيه الزكاة، و ما لم يحل عليه الحول فليس فيه شيء</w:t>
      </w:r>
      <w:r>
        <w:rPr>
          <w:rFonts w:eastAsia="Amiri" w:cs="Amiri" w:ascii="Amiri" w:hAnsi="Amiri"/>
          <w:color w:val="111111"/>
          <w:sz w:val="28"/>
          <w:szCs w:val="28"/>
          <w:rtl w:val="true"/>
          <w:lang w:bidi="ar-SA"/>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الموثّق عن يحيى بن أبي العلا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عشرين دينارا </w:t>
      </w:r>
    </w:p>
    <w:p>
      <w:pPr>
        <w:pStyle w:val="BookText"/>
        <w:rPr/>
      </w:pPr>
      <w:r>
        <w:rPr>
          <w:rFonts w:ascii="Amiri" w:hAnsi="Amiri" w:eastAsia="Amiri" w:cs="Amiri"/>
          <w:color w:val="111111"/>
          <w:sz w:val="28"/>
          <w:sz w:val="28"/>
          <w:szCs w:val="28"/>
          <w:rtl w:val="true"/>
          <w:lang w:bidi="ar-SA"/>
        </w:rPr>
        <w:t>نصف دينار</w:t>
      </w:r>
      <w:r>
        <w:rPr>
          <w:rFonts w:eastAsia="Amiri" w:cs="Amiri" w:ascii="Amiri" w:hAnsi="Amiri"/>
          <w:color w:val="111111"/>
          <w:sz w:val="28"/>
          <w:szCs w:val="28"/>
          <w:rtl w:val="true"/>
          <w:lang w:bidi="ar-SA"/>
        </w:rPr>
        <w:t>»</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الذهب إذا بلغ عشرين دينارا ففيه نصف دينار، و ليس فيما دون العشرين شيء</w:t>
      </w:r>
      <w:r>
        <w:rPr>
          <w:rFonts w:eastAsia="Amiri" w:cs="Amiri" w:ascii="Amiri" w:hAnsi="Amiri"/>
          <w:color w:val="111111"/>
          <w:sz w:val="28"/>
          <w:szCs w:val="28"/>
          <w:rtl w:val="true"/>
          <w:lang w:bidi="ar-SA"/>
        </w:rPr>
        <w:t>»</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 عن سماعة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الذهب من كلّ عشرين دينارا نصف دينار، و إن نقص فليس عليك شيء</w:t>
      </w:r>
      <w:r>
        <w:rPr>
          <w:rFonts w:eastAsia="Amiri" w:cs="Amiri" w:ascii="Amiri" w:hAnsi="Amiri"/>
          <w:color w:val="111111"/>
          <w:sz w:val="28"/>
          <w:szCs w:val="28"/>
          <w:rtl w:val="true"/>
          <w:lang w:bidi="ar-SA"/>
        </w:rPr>
        <w:t>»</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عن أبي عيينة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جازت الزكاة العشرين دينارا ففي كلّ أربعة دنانير عشر دينار</w:t>
      </w:r>
      <w:r>
        <w:rPr>
          <w:rFonts w:eastAsia="Amiri" w:cs="Amiri" w:ascii="Amiri" w:hAnsi="Amiri"/>
          <w:color w:val="111111"/>
          <w:sz w:val="28"/>
          <w:szCs w:val="28"/>
          <w:rtl w:val="true"/>
          <w:lang w:bidi="ar-SA"/>
        </w:rPr>
        <w:t>»</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عن زرارة عن أحدهما في حديث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الذهب زكاة حتّى يبلغ عشرين مثقالا، فإذا بلغ عشرين مثقالا ففيه نصف مثقال، ثمّ على حساب ذلك إذا زاد المال في كلّ أربعين دينارا دينار</w:t>
      </w:r>
      <w:r>
        <w:rPr>
          <w:rFonts w:eastAsia="Amiri" w:cs="Amiri" w:ascii="Amiri" w:hAnsi="Amiri"/>
          <w:color w:val="111111"/>
          <w:sz w:val="28"/>
          <w:szCs w:val="28"/>
          <w:rtl w:val="true"/>
          <w:lang w:bidi="ar-SA"/>
        </w:rPr>
        <w:t>»</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الذهب و الفضّة ما أقلّ ما يكون فيه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 و عدلها من 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النيّف و الخمسة و العشرة،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حتّى يبلغ أربعين درهما</w:t>
      </w:r>
      <w:r>
        <w:rPr>
          <w:rFonts w:eastAsia="Amiri" w:cs="Amiri" w:ascii="Amiri" w:hAnsi="Amiri"/>
          <w:color w:val="111111"/>
          <w:sz w:val="28"/>
          <w:szCs w:val="28"/>
          <w:rtl w:val="true"/>
          <w:lang w:bidi="ar-SA"/>
        </w:rPr>
        <w:t>»</w:t>
      </w:r>
      <w:r>
        <w:rPr>
          <w:rStyle w:val="FootnoteAnchor"/>
          <w:rtl w:val="true"/>
        </w:rPr>
        <w:footnoteReference w:id="1756"/>
      </w:r>
      <w:r>
        <w:rPr>
          <w:rFonts w:ascii="Amiri" w:hAnsi="Amiri" w:eastAsia="Amiri" w:cs="Amiri"/>
          <w:color w:val="111111"/>
          <w:sz w:val="28"/>
          <w:sz w:val="28"/>
          <w:szCs w:val="28"/>
          <w:rtl w:val="true"/>
          <w:lang w:bidi="ar-SA"/>
        </w:rPr>
        <w:t>بتقريب أنّ عدل الشيء بالفتح ما يساويه قيمة و هو من الذهب عشرون، لأنّ كلّ دينار في زمان الصدور كان 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معناها خبران آخران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الآخر خبر الفضلاء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و أبي بصير و بريد </w:t>
      </w:r>
    </w:p>
    <w:p>
      <w:pPr>
        <w:pStyle w:val="BookText"/>
        <w:rPr/>
      </w:pPr>
      <w:r>
        <w:rPr>
          <w:rFonts w:ascii="Amiri" w:hAnsi="Amiri" w:eastAsia="Amiri" w:cs="Amiri"/>
          <w:color w:val="111111"/>
          <w:sz w:val="28"/>
          <w:sz w:val="28"/>
          <w:szCs w:val="28"/>
          <w:rtl w:val="true"/>
          <w:lang w:bidi="ar-SA"/>
        </w:rPr>
        <w:t xml:space="preserve">و الفضيل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و أبي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في الذهب في كلّ أربعين مثقالا مثقال، و في الورق إلى كلّ مائتين خمسة دراهم، و ليس في أقلّ من أربعين مثقالا شيء، و لا في أقلّ من مائتي درهم شيء، و ليس في النيّف شيء حتّى يتمّ أربعون فيكون فيه واحد</w:t>
      </w:r>
      <w:r>
        <w:rPr>
          <w:rFonts w:eastAsia="Amiri" w:cs="Amiri" w:ascii="Amiri" w:hAnsi="Amiri"/>
          <w:color w:val="111111"/>
          <w:sz w:val="28"/>
          <w:szCs w:val="28"/>
          <w:rtl w:val="true"/>
          <w:lang w:bidi="ar-SA"/>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 في التهذيب الجواب عنه بطريق الجمع بإرجاع التأويل إليه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أقلّ من أربعين مثقالا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أراد به دينارا واحدا،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للدينار و لما يزيد عليه و لما ينقص عنه، و هو يجري مجرى المجمل الّذي يحتاج إلى تفصيل، و نحمله على الدينار بمعونة دلالة الأخبار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كلّ أربعين دينارا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يناقض لما قلناه، لأنّ عندنا أنّه يجب فيه دينار و إن كان هذا ليس بأوّل نصاب</w:t>
      </w:r>
      <w:r>
        <w:rPr>
          <w:rStyle w:val="FootnoteAnchor"/>
          <w:rtl w:val="true"/>
        </w:rPr>
        <w:footnoteReference w:id="17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الحملين من البعد و مخالفة الظاهر ما لا يخفى، خصوصا أوّلهما بتقريب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المقام لكونه من النكرة في سياق النفي ظاهر في العموم و لا إجمال فيه، و قد يحتمل التخصيص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أقلّ من أربعين دينارا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ما عدى عشرين دينارا جمعا، و قد يحتمل الحمل على التقيّة لموافقته مذهب بعض العامّة</w:t>
      </w:r>
      <w:r>
        <w:rPr>
          <w:rStyle w:val="FootnoteAnchor"/>
          <w:rtl w:val="true"/>
        </w:rPr>
        <w:footnoteReference w:id="1759"/>
      </w:r>
      <w:r>
        <w:rPr>
          <w:rFonts w:ascii="Amiri" w:hAnsi="Amiri" w:eastAsia="Amiri" w:cs="Amiri"/>
          <w:color w:val="111111"/>
          <w:sz w:val="28"/>
          <w:sz w:val="28"/>
          <w:szCs w:val="28"/>
          <w:rtl w:val="true"/>
          <w:lang w:bidi="ar-SA"/>
        </w:rPr>
        <w:t>و استبعده في الذخيرة بمخالفته لأكثر العامّة</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 فى الجواب ترجيح أخبار قول المعظم بما معها من المزيّة و المرجّح من وجوه عديدة و جهات شتّى، منها الأكثريّة و اعتضاد البعض ببعض، و اعتضاد الجميع بنفي الخلاف و نقل الإجماع، و اشتهارها و كونها مشهورة، و شذوذ هذا الخبر مع شذوذ 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فإمّا أن يؤوّل إن كان قابلا له، أو يطرح</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كلّه يجاب عن الخبر الآخر الّذي رواه الشيخ في الصحيح عن زرارة في جملة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عنده مائة درهم و تسعة و تسعون </w:t>
      </w:r>
    </w:p>
    <w:p>
      <w:pPr>
        <w:pStyle w:val="BookText"/>
        <w:rPr/>
      </w:pPr>
      <w:r>
        <w:rPr>
          <w:rFonts w:ascii="Amiri" w:hAnsi="Amiri" w:eastAsia="Amiri" w:cs="Amiri"/>
          <w:color w:val="111111"/>
          <w:sz w:val="28"/>
          <w:sz w:val="28"/>
          <w:szCs w:val="28"/>
          <w:rtl w:val="true"/>
          <w:lang w:bidi="ar-SA"/>
        </w:rPr>
        <w:t>درهما و تسعة و ثلاثون دينارا أ يزكّيها؟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من الزكاة في الدراهم و لا في الدنانير حتّى يتمّ أربعين و الدراهم 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اختلاف متن هذا الخبر حسبما عن الفقيه</w:t>
      </w:r>
      <w:r>
        <w:rPr>
          <w:rStyle w:val="FootnoteAnchor"/>
          <w:rtl w:val="true"/>
        </w:rPr>
        <w:footnoteReference w:id="1762"/>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عشر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و ثلاثون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السؤال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في الدراهم و الدنانير زكاة حتّى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فيتعارضان إن لم نقل بترجيح نسخة الفقيه نظرا إلى أضبطيّته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النصاب الثاني ففيه أيضا على ما في جملة من الكتب الفقهيّة أيضا خلاف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عشرين، أربعة دنانير على معنى الأربعة الكلّي المنحلّ إلى أربعة ففيه عشر دينار زائد على نصف الدينار للعشرين، و هذا القول لكلّ من قال بالنصاب الأوّل من غير خلاف بينهم، و عن المختلف نسبته إلى مذهب علمائنا</w:t>
      </w:r>
      <w:r>
        <w:rPr>
          <w:rStyle w:val="FootnoteAnchor"/>
          <w:rtl w:val="true"/>
        </w:rPr>
        <w:footnoteReference w:id="1763"/>
      </w:r>
      <w:r>
        <w:rPr>
          <w:rFonts w:ascii="Amiri" w:hAnsi="Amiri" w:eastAsia="Amiri" w:cs="Amiri"/>
          <w:color w:val="111111"/>
          <w:sz w:val="28"/>
          <w:sz w:val="28"/>
          <w:szCs w:val="28"/>
          <w:rtl w:val="true"/>
          <w:lang w:bidi="ar-SA"/>
        </w:rPr>
        <w:t>و المنتهى و عن مجمع الفائدة دعوى الإجماع عليه</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 يبلغ أربعين دينارا أيضا، نسبه غير واحد إلى عليّ بن بابويه</w:t>
      </w:r>
      <w:r>
        <w:rPr>
          <w:rStyle w:val="FootnoteAnchor"/>
          <w:rtl w:val="true"/>
        </w:rPr>
        <w:footnoteReference w:id="1765"/>
      </w:r>
      <w:r>
        <w:rPr>
          <w:rFonts w:ascii="Amiri" w:hAnsi="Amiri" w:eastAsia="Amiri" w:cs="Amiri"/>
          <w:color w:val="111111"/>
          <w:sz w:val="28"/>
          <w:sz w:val="28"/>
          <w:szCs w:val="28"/>
          <w:rtl w:val="true"/>
          <w:lang w:bidi="ar-SA"/>
        </w:rPr>
        <w:t>و عن البيان نسبته إلى ابني بابويه</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المعتمد هو القول الأوّل، عملا بما استفاض من النصوص مع اعتضادها بالشهرة و عمل الأكثر، و قد تقدّم جملة منها في نصوص النصاب الأوّل كصحيحة عبد اللّه بن سنان و موثّقة عليّ بن عقبة و رواية أبي عيينة</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مستند القول الآخر ما تقدّم</w:t>
      </w:r>
      <w:r>
        <w:rPr>
          <w:rStyle w:val="FootnoteAnchor"/>
          <w:rtl w:val="true"/>
        </w:rPr>
        <w:footnoteReference w:id="1768"/>
      </w:r>
      <w:r>
        <w:rPr>
          <w:rFonts w:ascii="Amiri" w:hAnsi="Amiri" w:eastAsia="Amiri" w:cs="Amiri"/>
          <w:color w:val="111111"/>
          <w:sz w:val="28"/>
          <w:sz w:val="28"/>
          <w:szCs w:val="28"/>
          <w:rtl w:val="true"/>
          <w:lang w:bidi="ar-SA"/>
        </w:rPr>
        <w:t>أيضا من خبر الفضلاء الأربع لمكان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مثقالا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الجواب بالتأمّل فيما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تعدّد النصاب في الذهب و ما تقدّم من أنّ فيه نصابين إنّما هو على ما عليه المعظم، و أمّا على ما عليه ابنا بابويه فالظاهر أنّه ليس فيه إلاّ نصاب واحد و هو الأربعون الكلّي المنحلّ إلى كلّ أربعين، و إلاّ لتكثّر نصب الذهب عندهما إلى ما لا يتناهى و لم ينحصر في الأربعين الأوّل و الأربعين الثاني لوجوب الزكاة عندهما في الثالث و الرابع و هكذا،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النصاب الثاني عندهما الأربعين الكلّي المنحلّ إلى كلّ أربعين بعد ما كان النصاب الأوّل الأربعين الشخصي، و هذا تكلّف بارد لا يظنّ ارتكابه بمثلهما بخلاف ما لو اعتبر النصاب ابتداء الأربعين الكلّي حسبما بيّنّاه، لعدم حزازة فيه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تقدّم</w:t>
      </w:r>
      <w:r>
        <w:rPr>
          <w:rStyle w:val="FootnoteAnchor"/>
          <w:rtl w:val="true"/>
        </w:rPr>
        <w:footnoteReference w:id="1769"/>
      </w:r>
      <w:r>
        <w:rPr>
          <w:rFonts w:ascii="Amiri" w:hAnsi="Amiri" w:eastAsia="Amiri" w:cs="Amiri"/>
          <w:color w:val="111111"/>
          <w:sz w:val="28"/>
          <w:sz w:val="28"/>
          <w:szCs w:val="28"/>
          <w:rtl w:val="true"/>
          <w:lang w:bidi="ar-SA"/>
        </w:rPr>
        <w:t>من نقل الخلاف في النصاب الثاني و حكاية القول المخالف عن عليّ بن بابويه و ولده كما صنعه جماعة،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الأصل و دلالة الروايات ظهورا و صراحة كون أقلّ من عشرين دينار و أقلّ من أربعة دنانير و لو بيسير عفوا لا يجب فيه زكاة، كما هو المصرّح به في كلام الأصحاب</w:t>
      </w:r>
      <w:r>
        <w:rPr>
          <w:rStyle w:val="FootnoteAnchor"/>
          <w:rtl w:val="true"/>
        </w:rPr>
        <w:footnoteReference w:id="1770"/>
      </w:r>
      <w:r>
        <w:rPr>
          <w:rFonts w:ascii="Amiri" w:hAnsi="Amiri" w:eastAsia="Amiri" w:cs="Amiri"/>
          <w:color w:val="111111"/>
          <w:sz w:val="28"/>
          <w:sz w:val="28"/>
          <w:szCs w:val="28"/>
          <w:rtl w:val="true"/>
          <w:lang w:bidi="ar-SA"/>
        </w:rPr>
        <w:t>و عن الإرشاد نفي الخلاف عن ذلك</w:t>
      </w:r>
      <w:r>
        <w:rPr>
          <w:rStyle w:val="FootnoteAnchor"/>
          <w:rtl w:val="true"/>
        </w:rPr>
        <w:footnoteReference w:id="1771"/>
      </w:r>
      <w:r>
        <w:rPr>
          <w:rFonts w:ascii="IRNazanin" w:hAnsi="IRNazanin" w:eastAsia="IRNazanin"/>
          <w:color w:val="111111"/>
          <w:sz w:val="28"/>
          <w:sz w:val="28"/>
          <w:szCs w:val="28"/>
          <w:rtl w:val="true"/>
          <w:lang w:bidi="fa-IR"/>
        </w:rPr>
        <w:t>و عن المعتبر</w:t>
      </w:r>
      <w:r>
        <w:rPr>
          <w:rStyle w:val="FootnoteAnchor"/>
          <w:rtl w:val="true"/>
        </w:rPr>
        <w:footnoteReference w:id="1772"/>
      </w:r>
      <w:r>
        <w:rPr>
          <w:rFonts w:ascii="Amiri" w:hAnsi="Amiri" w:eastAsia="Amiri" w:cs="Amiri"/>
          <w:color w:val="111111"/>
          <w:sz w:val="28"/>
          <w:sz w:val="28"/>
          <w:szCs w:val="28"/>
          <w:rtl w:val="true"/>
          <w:lang w:bidi="ar-SA"/>
        </w:rPr>
        <w:t>و التنقيح دعوى الإجماع عليه</w:t>
      </w:r>
      <w:r>
        <w:rPr>
          <w:rStyle w:val="FootnoteAnchor"/>
          <w:rtl w:val="true"/>
        </w:rPr>
        <w:footnoteReference w:id="1773"/>
      </w:r>
      <w:r>
        <w:rPr>
          <w:rFonts w:ascii="Amiri" w:hAnsi="Amiri" w:eastAsia="Amiri" w:cs="Amiri"/>
          <w:color w:val="111111"/>
          <w:sz w:val="28"/>
          <w:sz w:val="28"/>
          <w:szCs w:val="28"/>
          <w:rtl w:val="true"/>
          <w:lang w:bidi="ar-SA"/>
        </w:rPr>
        <w:t>و عن المنتهى و غيره إجماع المسلمين</w:t>
      </w:r>
      <w:r>
        <w:rPr>
          <w:rStyle w:val="FootnoteAnchor"/>
          <w:rtl w:val="true"/>
        </w:rPr>
        <w:footnoteReference w:id="1774"/>
      </w:r>
      <w:r>
        <w:rPr>
          <w:rFonts w:ascii="Amiri" w:hAnsi="Amiri" w:eastAsia="Amiri" w:cs="Amiri"/>
          <w:color w:val="111111"/>
          <w:sz w:val="28"/>
          <w:sz w:val="28"/>
          <w:szCs w:val="28"/>
          <w:rtl w:val="true"/>
          <w:lang w:bidi="ar-SA"/>
        </w:rPr>
        <w:t>و الظاهر عدم الفرق في القلّة بين مراتبها حتّى ما لو كانت بقدر حبّة، نعم لو كانت القلّة بحيث لم يخرج الدنانير معها عن صدق عشرين دينارا أو أربعة دنانير لم يقدح في الوجوب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الواجب إخراجه في النصاب الأوّل على ما في أكثر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جملة منها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بمعنى</w:t>
      </w:r>
      <w:r>
        <w:rPr>
          <w:rStyle w:val="FootnoteAnchor"/>
          <w:rtl w:val="true"/>
        </w:rPr>
        <w:footnoteReference w:id="1775"/>
      </w:r>
      <w:r>
        <w:rPr>
          <w:rFonts w:ascii="Amiri" w:hAnsi="Amiri" w:eastAsia="Amiri" w:cs="Amiri"/>
          <w:color w:val="111111"/>
          <w:sz w:val="28"/>
          <w:sz w:val="28"/>
          <w:szCs w:val="28"/>
          <w:rtl w:val="true"/>
          <w:lang w:bidi="ar-SA"/>
        </w:rPr>
        <w:t>لأنّ الدينار مثقال شرعي، و المراد بالمثقال هنا هو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النصاب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الأخبار في التعبير بالدينار و المثقال فتاوى الأصحاب، و قد وقع فيها </w:t>
      </w:r>
    </w:p>
    <w:p>
      <w:pPr>
        <w:pStyle w:val="BookText"/>
        <w:rPr/>
      </w:pPr>
      <w:r>
        <w:rPr>
          <w:rFonts w:ascii="Amiri" w:hAnsi="Amiri" w:eastAsia="Amiri" w:cs="Amiri"/>
          <w:color w:val="111111"/>
          <w:sz w:val="28"/>
          <w:sz w:val="28"/>
          <w:szCs w:val="28"/>
          <w:rtl w:val="true"/>
          <w:lang w:bidi="ar-SA"/>
        </w:rPr>
        <w:t xml:space="preserve">التعبير بعبارة ثالثة مرادفة لهما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قراريط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النصاب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النصاب الثاني نظرا إلى أنّ الدينار عشرون قيراطا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زاد أربعة ففيها قيراطان، و ملخّصه أنّ في كلّ أربعة بعد العشرين قيراطان زائدا على ما في سابقه حتّى تبلغ أربعين ففيها دينار، فيؤول الكلام إلى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كلّ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عشر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الفضّة فنصابها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خمسة دراهم، و نصابها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درهم، و كلّما زادت أربعين ففيها درهم، كما هو المصرّح به في كلامهم</w:t>
      </w:r>
      <w:r>
        <w:rPr>
          <w:rStyle w:val="FootnoteAnchor"/>
          <w:rtl w:val="true"/>
        </w:rPr>
        <w:footnoteReference w:id="1776"/>
      </w:r>
      <w:r>
        <w:rPr>
          <w:rFonts w:ascii="Amiri" w:hAnsi="Amiri" w:eastAsia="Amiri" w:cs="Amiri"/>
          <w:color w:val="111111"/>
          <w:sz w:val="28"/>
          <w:sz w:val="28"/>
          <w:szCs w:val="28"/>
          <w:rtl w:val="true"/>
          <w:lang w:bidi="ar-SA"/>
        </w:rPr>
        <w:t>بلا خلاف يظهر فيهما، و في كلام غير واحد نفي الخلاف فيهما، بل في كلام جماعة نقل الإجماع عليه كقول المعتبر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علماء الإسلام</w:t>
      </w:r>
      <w:r>
        <w:rPr>
          <w:rFonts w:eastAsia="Amiri" w:cs="Amiri" w:ascii="Amiri" w:hAnsi="Amiri"/>
          <w:color w:val="111111"/>
          <w:sz w:val="28"/>
          <w:szCs w:val="28"/>
          <w:rtl w:val="true"/>
          <w:lang w:bidi="ar-SA"/>
        </w:rPr>
        <w:t>»</w:t>
      </w:r>
      <w:r>
        <w:rPr>
          <w:rStyle w:val="FootnoteAnchor"/>
          <w:rtl w:val="true"/>
        </w:rPr>
        <w:footnoteReference w:id="1777"/>
      </w:r>
      <w:r>
        <w:rPr>
          <w:rFonts w:ascii="Amiri" w:hAnsi="Amiri" w:eastAsia="Amiri" w:cs="Amiri"/>
          <w:color w:val="111111"/>
          <w:sz w:val="28"/>
          <w:sz w:val="28"/>
          <w:szCs w:val="28"/>
          <w:rtl w:val="true"/>
          <w:lang w:bidi="ar-SA"/>
        </w:rPr>
        <w:t>و قول المنتهى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أجمع المسلمون على ذلك</w:t>
      </w:r>
      <w:r>
        <w:rPr>
          <w:rFonts w:eastAsia="Amiri" w:cs="Amiri" w:ascii="Amiri" w:hAnsi="Amiri"/>
          <w:color w:val="111111"/>
          <w:sz w:val="28"/>
          <w:szCs w:val="28"/>
          <w:rtl w:val="true"/>
          <w:lang w:bidi="ar-SA"/>
        </w:rPr>
        <w:t>»</w:t>
      </w:r>
      <w:r>
        <w:rPr>
          <w:rStyle w:val="FootnoteAnchor"/>
          <w:rtl w:val="true"/>
        </w:rPr>
        <w:footnoteReference w:id="1778"/>
      </w:r>
      <w:r>
        <w:rPr>
          <w:rFonts w:ascii="Amiri" w:hAnsi="Amiri" w:eastAsia="Amiri" w:cs="Amiri"/>
          <w:color w:val="111111"/>
          <w:sz w:val="28"/>
          <w:sz w:val="28"/>
          <w:szCs w:val="28"/>
          <w:rtl w:val="true"/>
          <w:lang w:bidi="ar-SA"/>
        </w:rPr>
        <w:t>و قول التذكرة فيه أيضا بإجماع العلماء</w:t>
      </w:r>
      <w:r>
        <w:rPr>
          <w:rStyle w:val="FootnoteAnchor"/>
          <w:rtl w:val="true"/>
        </w:rPr>
        <w:footnoteReference w:id="1779"/>
      </w:r>
      <w:r>
        <w:rPr>
          <w:rFonts w:ascii="Amiri" w:hAnsi="Amiri" w:eastAsia="Amiri" w:cs="Amiri"/>
          <w:color w:val="111111"/>
          <w:sz w:val="28"/>
          <w:sz w:val="28"/>
          <w:szCs w:val="28"/>
          <w:rtl w:val="true"/>
          <w:lang w:bidi="ar-SA"/>
        </w:rPr>
        <w:t>و قول الغنية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الدليل على مقدار النصاب الثاني فيها الإجماع الماضي</w:t>
      </w:r>
      <w:r>
        <w:rPr>
          <w:rFonts w:eastAsia="Amiri" w:cs="Amiri" w:ascii="Amiri" w:hAnsi="Amiri"/>
          <w:color w:val="111111"/>
          <w:sz w:val="28"/>
          <w:szCs w:val="28"/>
          <w:rtl w:val="true"/>
          <w:lang w:bidi="ar-SA"/>
        </w:rPr>
        <w:t>»</w:t>
      </w:r>
      <w:r>
        <w:rPr>
          <w:rStyle w:val="FootnoteAnchor"/>
          <w:rtl w:val="true"/>
        </w:rPr>
        <w:footnoteReference w:id="1780"/>
      </w:r>
      <w:r>
        <w:rPr>
          <w:rFonts w:ascii="Amiri" w:hAnsi="Amiri" w:eastAsia="Amiri" w:cs="Amiri"/>
          <w:color w:val="111111"/>
          <w:sz w:val="28"/>
          <w:sz w:val="28"/>
          <w:szCs w:val="28"/>
          <w:rtl w:val="true"/>
          <w:lang w:bidi="ar-SA"/>
        </w:rPr>
        <w:t>و قول المنتهى فيه أيضا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علمائنا أجمع</w:t>
      </w:r>
      <w:r>
        <w:rPr>
          <w:rFonts w:eastAsia="Amiri" w:cs="Amiri" w:ascii="Amiri" w:hAnsi="Amiri"/>
          <w:color w:val="111111"/>
          <w:sz w:val="28"/>
          <w:szCs w:val="28"/>
          <w:rtl w:val="true"/>
          <w:lang w:bidi="ar-SA"/>
        </w:rPr>
        <w:t>»</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المتكاثرة البالغة فوق 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الحسين بن يسار 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في كم وضع رسول اللّه صلّى اللّه عليه و آله الزكاة‌؟ فقال عليه السّلام في كلّ مائتي درهم خمسة دراهم، و إن نقصت فلا زكاة فيها</w:t>
      </w:r>
      <w:r>
        <w:rPr>
          <w:rFonts w:eastAsia="Amiri" w:cs="Amiri" w:ascii="Amiri" w:hAnsi="Amiri"/>
          <w:color w:val="111111"/>
          <w:sz w:val="28"/>
          <w:szCs w:val="28"/>
          <w:rtl w:val="true"/>
          <w:lang w:bidi="ar-SA"/>
        </w:rPr>
        <w:t>»</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الحلبي 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الذهب و الفضّة ما أقلّ ما يكون فيه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 و عدلها من الذهب، و سألته عن النيّف الخمسة و العشرة،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حتّى يبلغ أربعين فيعطي من كلّ أربعين درهما درهم</w:t>
      </w:r>
      <w:r>
        <w:rPr>
          <w:rFonts w:eastAsia="Amiri" w:cs="Amiri" w:ascii="Amiri" w:hAnsi="Amiri"/>
          <w:color w:val="111111"/>
          <w:sz w:val="28"/>
          <w:szCs w:val="28"/>
          <w:rtl w:val="true"/>
          <w:lang w:bidi="ar-SA"/>
        </w:rPr>
        <w:t>»</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الفضلاء عن أبي جعفر و أبي عبد اللّه عليهما السّلام في حديث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الورق في </w:t>
      </w:r>
    </w:p>
    <w:p>
      <w:pPr>
        <w:pStyle w:val="BookText"/>
        <w:rPr/>
      </w:pPr>
      <w:r>
        <w:rPr>
          <w:rFonts w:ascii="Amiri" w:hAnsi="Amiri" w:eastAsia="Amiri" w:cs="Amiri"/>
          <w:color w:val="111111"/>
          <w:sz w:val="28"/>
          <w:sz w:val="28"/>
          <w:szCs w:val="28"/>
          <w:rtl w:val="true"/>
          <w:lang w:bidi="ar-SA"/>
        </w:rPr>
        <w:t>كلّ مائتين خمسة دراهم، و لا في أقلّ من مائتي درهم شيء، و ليس في النيّف شيء حتّى يتمّ أربعون فيكون فيه واحد</w:t>
      </w:r>
      <w:r>
        <w:rPr>
          <w:rFonts w:eastAsia="Amiri" w:cs="Amiri" w:ascii="Amiri" w:hAnsi="Amiri"/>
          <w:color w:val="111111"/>
          <w:sz w:val="28"/>
          <w:szCs w:val="28"/>
          <w:rtl w:val="true"/>
          <w:lang w:bidi="ar-SA"/>
        </w:rPr>
        <w:t>»</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رفاعة النخّاس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صائغ أعمل بيدي و أنّه يجتمع عندي الخمسة و العشرة ففيها 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مائتا درهم فحال عليها الحول فإنّ عليها الزكاة</w:t>
      </w:r>
      <w:r>
        <w:rPr>
          <w:rFonts w:eastAsia="Amiri" w:cs="Amiri" w:ascii="Amiri" w:hAnsi="Amiri"/>
          <w:color w:val="111111"/>
          <w:sz w:val="28"/>
          <w:szCs w:val="28"/>
          <w:rtl w:val="true"/>
          <w:lang w:bidi="ar-SA"/>
        </w:rPr>
        <w:t>»</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مائتي درهم خمسة دراهم من الفضّة، و إن نقصت فليس عليك زكاة</w:t>
      </w:r>
      <w:r>
        <w:rPr>
          <w:rFonts w:eastAsia="Amiri" w:cs="Amiri" w:ascii="Amiri" w:hAnsi="Amiri"/>
          <w:color w:val="111111"/>
          <w:sz w:val="28"/>
          <w:szCs w:val="28"/>
          <w:rtl w:val="true"/>
          <w:lang w:bidi="ar-SA"/>
        </w:rPr>
        <w:t>»</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زرارة عن أبي جعفر عليه السّلام في حديث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الفضّة إذا بلغت مائتي درهم خمسة دراهم، و ليس فيما دون المائتين شيء، فإذا زادت تسعة و ثلاثون على المائتين فليس فيها شيء حتّى تبلغ الأربعين، و ليس في شيء من الكسور شيء حتّى تبلغ الأربعين، و كذلك الدنانير على هذا الحساب</w:t>
      </w:r>
      <w:r>
        <w:rPr>
          <w:rFonts w:eastAsia="Amiri" w:cs="Amiri" w:ascii="Amiri" w:hAnsi="Amiri"/>
          <w:color w:val="111111"/>
          <w:sz w:val="28"/>
          <w:szCs w:val="28"/>
          <w:rtl w:val="true"/>
          <w:lang w:bidi="ar-SA"/>
        </w:rPr>
        <w:t>»</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زرارة و بكير ابني أعين أنّهما سمعا أبا جعفر عليه السّلام يقول في الزكاة 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أقلّ من مائتي درهم شيء، فإذا بلغ مائتي درهم ففيها خمسة دراهم، فما زاد فبحساب ذلك، و ليس في مائتي درهم و أربعين درهما غير درهم إلاّ خمسة الدراهم، فإذا بلغت أربعين و مائتي درهم ففيها ستّة دراهم، فإذا بلغت ثمانين و مائتي درهم ففيها سبعة دراهم و ما زاد فعلى هذا الحساب، و كذلك الذهب و كلّ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زرارة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الفضّة زكاة حتّى تبلغ مائتي درهم، فإذا بلغت مائتي درهم ففيها خمسة دراهم، فإذا زادت فعلى حساب ذلك في كلّ </w:t>
      </w:r>
      <w:bookmarkStart w:id="391" w:name="pg16181_154674"/>
    </w:p>
    <w:p>
      <w:pPr>
        <w:pStyle w:val="BookText"/>
        <w:rPr/>
      </w:pPr>
      <w:bookmarkEnd w:id="391"/>
      <w:r>
        <w:rPr>
          <w:rFonts w:ascii="Amiri" w:hAnsi="Amiri" w:eastAsia="Amiri" w:cs="Amiri"/>
          <w:color w:val="111111"/>
          <w:sz w:val="28"/>
          <w:sz w:val="28"/>
          <w:szCs w:val="28"/>
          <w:rtl w:val="true"/>
          <w:lang w:bidi="ar-SA"/>
        </w:rPr>
        <w:t>أربعين درهما درهم، و ليس في الكسور شيء</w:t>
      </w:r>
      <w:r>
        <w:rPr>
          <w:rFonts w:eastAsia="Amiri" w:cs="Amiri" w:ascii="Amiri" w:hAnsi="Amiri"/>
          <w:color w:val="111111"/>
          <w:sz w:val="28"/>
          <w:szCs w:val="28"/>
          <w:rtl w:val="true"/>
          <w:lang w:bidi="ar-SA"/>
        </w:rPr>
        <w:t>»</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محمّد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زاد على المائتي درهم أربعون درهما ففيها درهم، و ليس فيما دون الأربعين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تسعة و ثلاثين درهما؟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التسعة و الثلاثين درهما شيء</w:t>
      </w:r>
      <w:r>
        <w:rPr>
          <w:rFonts w:eastAsia="Amiri" w:cs="Amiri" w:ascii="Amiri" w:hAnsi="Amiri"/>
          <w:color w:val="111111"/>
          <w:sz w:val="28"/>
          <w:szCs w:val="28"/>
          <w:rtl w:val="true"/>
          <w:lang w:bidi="ar-SA"/>
        </w:rPr>
        <w:t>»</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2" w:name="__RefHeading___Toc2586691_1280447820"/>
      <w:bookmarkStart w:id="393" w:name="_Toc144"/>
      <w:bookmarkEnd w:id="392"/>
      <w:r>
        <w:rPr>
          <w:rtl w:val="true"/>
        </w:rPr>
        <w:t>و ينبغي التنبيه على امور</w:t>
      </w:r>
      <w:r>
        <w:rPr>
          <w:rtl w:val="true"/>
        </w:rPr>
        <w:t>:</w:t>
      </w:r>
      <w:bookmarkEnd w:id="393"/>
    </w:p>
    <w:p>
      <w:pPr>
        <w:pStyle w:val="Heading6"/>
        <w:numPr>
          <w:ilvl w:val="5"/>
          <w:numId w:val="1"/>
        </w:numPr>
        <w:rPr/>
      </w:pPr>
      <w:bookmarkStart w:id="394" w:name="__RefHeading___Toc2586693_1280447820"/>
      <w:bookmarkStart w:id="395" w:name="_Toc145"/>
      <w:bookmarkEnd w:id="394"/>
      <w:r>
        <w:rPr>
          <w:rtl w:val="true"/>
        </w:rPr>
        <w:t>الأوّل</w:t>
      </w:r>
      <w:r>
        <w:rPr>
          <w:rtl w:val="true"/>
        </w:rPr>
        <w:t xml:space="preserve">: </w:t>
      </w:r>
      <w:r>
        <w:rPr>
          <w:rtl w:val="true"/>
        </w:rPr>
        <w:t>ما نقص عن المائتين و عن الأربعين بعد المائتين عفو فلا زكاة فيه</w:t>
      </w:r>
      <w:bookmarkEnd w:id="395"/>
    </w:p>
    <w:p>
      <w:pPr>
        <w:pStyle w:val="BookText"/>
        <w:rPr/>
      </w:pPr>
      <w:r>
        <w:rPr>
          <w:rFonts w:ascii="Amiri" w:hAnsi="Amiri" w:eastAsia="Amiri" w:cs="Amiri"/>
          <w:color w:val="111111"/>
          <w:sz w:val="28"/>
          <w:sz w:val="28"/>
          <w:szCs w:val="28"/>
          <w:rtl w:val="true"/>
          <w:lang w:bidi="ar-SA"/>
        </w:rPr>
        <w:t>نصّا و فتوى و إن كان النقص يسيرا</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2586695_1280447820"/>
      <w:bookmarkStart w:id="397" w:name="_Toc146"/>
      <w:bookmarkEnd w:id="396"/>
      <w:r>
        <w:rPr>
          <w:rtl w:val="true"/>
        </w:rPr>
        <w:t>الثاني</w:t>
      </w:r>
      <w:r>
        <w:rPr>
          <w:rtl w:val="true"/>
        </w:rPr>
        <w:t xml:space="preserve">: </w:t>
      </w:r>
      <w:r>
        <w:rPr>
          <w:rtl w:val="true"/>
        </w:rPr>
        <w:t>القدر الواجب هنا في كلّ من النصابين</w:t>
      </w:r>
      <w:bookmarkEnd w:id="397"/>
    </w:p>
    <w:p>
      <w:pPr>
        <w:pStyle w:val="BookText"/>
        <w:rPr/>
      </w:pPr>
      <w:r>
        <w:rPr>
          <w:rFonts w:ascii="Amiri" w:hAnsi="Amiri" w:eastAsia="Amiri" w:cs="Amiri"/>
          <w:color w:val="111111"/>
          <w:sz w:val="28"/>
          <w:sz w:val="28"/>
          <w:szCs w:val="28"/>
          <w:rtl w:val="true"/>
          <w:lang w:bidi="ar-SA"/>
        </w:rPr>
        <w:t>كما في نصابي الذهب ربع العشر فيجب إخراج خمسة دراهم في النصاب الأوّل، و إخراج درهم في النصاب الثاني نصّا و فتوى</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2586697_1280447820"/>
      <w:bookmarkStart w:id="399" w:name="_Toc147"/>
      <w:bookmarkEnd w:id="398"/>
      <w:r>
        <w:rPr>
          <w:rtl w:val="true"/>
        </w:rPr>
        <w:t>[</w:t>
      </w:r>
      <w:r>
        <w:rPr>
          <w:rtl w:val="true"/>
        </w:rPr>
        <w:t>الثالث</w:t>
      </w:r>
      <w:r>
        <w:rPr>
          <w:rtl w:val="true"/>
        </w:rPr>
        <w:t xml:space="preserve">] </w:t>
      </w:r>
      <w:r>
        <w:rPr>
          <w:rtl w:val="true"/>
        </w:rPr>
        <w:t>تفسير الدرهم</w:t>
      </w:r>
      <w:bookmarkEnd w:id="39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للدرهم تقديران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الدانق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 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أوسط حبّات الشعير حملا للدرهم الواقع في أخبار الأئمّة عليهم السّلام على متعارف زمانهم عليهم السّلام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نقل الخاصّة</w:t>
      </w:r>
      <w:r>
        <w:rPr>
          <w:rStyle w:val="FootnoteAnchor"/>
          <w:rtl w:val="true"/>
        </w:rPr>
        <w:footnoteReference w:id="1791"/>
      </w:r>
      <w:r>
        <w:rPr>
          <w:rFonts w:ascii="Amiri" w:hAnsi="Amiri" w:eastAsia="Amiri" w:cs="Amiri"/>
          <w:color w:val="111111"/>
          <w:sz w:val="28"/>
          <w:sz w:val="28"/>
          <w:szCs w:val="28"/>
          <w:rtl w:val="true"/>
          <w:lang w:bidi="ar-SA"/>
        </w:rPr>
        <w:t>و العامّة</w:t>
      </w:r>
      <w:r>
        <w:rPr>
          <w:rStyle w:val="FootnoteAnchor"/>
          <w:rtl w:val="true"/>
        </w:rPr>
        <w:footnoteReference w:id="1792"/>
      </w:r>
      <w:r>
        <w:rPr>
          <w:rFonts w:ascii="Amiri" w:hAnsi="Amiri" w:eastAsia="Amiri" w:cs="Amiri"/>
          <w:color w:val="111111"/>
          <w:sz w:val="28"/>
          <w:sz w:val="28"/>
          <w:szCs w:val="28"/>
          <w:rtl w:val="true"/>
          <w:lang w:bidi="ar-SA"/>
        </w:rPr>
        <w:t>أنّ قدر الدرهم في ذلك الزمان ستّة دوانيق</w:t>
      </w:r>
      <w:r>
        <w:rPr>
          <w:rFonts w:eastAsia="Amiri" w:cs="Amiri" w:ascii="Amiri" w:hAnsi="Amiri"/>
          <w:color w:val="111111"/>
          <w:sz w:val="28"/>
          <w:szCs w:val="28"/>
          <w:rtl w:val="true"/>
          <w:lang w:bidi="ar-SA"/>
        </w:rPr>
        <w:t>»</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الدرهم الّذي قدّر به المقادير الشرعيّة هنا و في القطع و في الديات </w:t>
      </w:r>
    </w:p>
    <w:p>
      <w:pPr>
        <w:pStyle w:val="BookText"/>
        <w:rPr/>
      </w:pPr>
      <w:r>
        <w:rPr>
          <w:rFonts w:ascii="Amiri" w:hAnsi="Amiri" w:eastAsia="Amiri" w:cs="Amiri"/>
          <w:color w:val="111111"/>
          <w:sz w:val="28"/>
          <w:sz w:val="28"/>
          <w:szCs w:val="28"/>
          <w:rtl w:val="true"/>
          <w:lang w:bidi="ar-SA"/>
        </w:rPr>
        <w:t>و الجزية ستّة دوانيق على ما صرّح به الأصحاب</w:t>
      </w:r>
      <w:r>
        <w:rPr>
          <w:rStyle w:val="FootnoteAnchor"/>
          <w:rtl w:val="true"/>
        </w:rPr>
        <w:footnoteReference w:id="1794"/>
      </w:r>
      <w:r>
        <w:rPr>
          <w:rFonts w:ascii="Amiri" w:hAnsi="Amiri" w:eastAsia="Amiri" w:cs="Amiri"/>
          <w:color w:val="111111"/>
          <w:sz w:val="28"/>
          <w:sz w:val="28"/>
          <w:szCs w:val="28"/>
          <w:rtl w:val="true"/>
          <w:lang w:bidi="ar-SA"/>
        </w:rPr>
        <w:t>من غير خلاف بينهم أجده، بل عزاه جماعة منهم إلى الخاصّة و العامّة و علمائهم، مؤذنين بكونه مجمعا عليه بينهم</w:t>
      </w:r>
      <w:r>
        <w:rPr>
          <w:rFonts w:eastAsia="Amiri" w:cs="Amiri" w:ascii="Amiri" w:hAnsi="Amiri"/>
          <w:color w:val="111111"/>
          <w:sz w:val="28"/>
          <w:szCs w:val="28"/>
          <w:rtl w:val="true"/>
          <w:lang w:bidi="ar-SA"/>
        </w:rPr>
        <w:t>»</w:t>
      </w:r>
      <w:r>
        <w:rPr>
          <w:rStyle w:val="FootnoteAnchor"/>
          <w:rtl w:val="true"/>
        </w:rPr>
        <w:footnoteReference w:id="1795"/>
      </w:r>
      <w:r>
        <w:rPr>
          <w:rFonts w:ascii="Amiri" w:hAnsi="Amiri" w:eastAsia="Amiri" w:cs="Amiri"/>
          <w:color w:val="111111"/>
          <w:sz w:val="28"/>
          <w:sz w:val="28"/>
          <w:szCs w:val="28"/>
          <w:rtl w:val="true"/>
          <w:lang w:bidi="ar-SA"/>
        </w:rPr>
        <w:t>و نقل فيه و في المدارك التصريح به عن جماعة</w:t>
      </w:r>
      <w:r>
        <w:rPr>
          <w:rStyle w:val="FootnoteAnchor"/>
          <w:rtl w:val="true"/>
        </w:rPr>
        <w:footnoteReference w:id="1796"/>
      </w:r>
      <w:r>
        <w:rPr>
          <w:rFonts w:ascii="Amiri" w:hAnsi="Amiri" w:eastAsia="Amiri" w:cs="Amiri"/>
          <w:color w:val="111111"/>
          <w:sz w:val="28"/>
          <w:sz w:val="28"/>
          <w:szCs w:val="28"/>
          <w:rtl w:val="true"/>
          <w:lang w:bidi="ar-SA"/>
        </w:rPr>
        <w:t>من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الذخيرة نقل عن العلاّمة في النهاية</w:t>
      </w:r>
      <w:r>
        <w:rPr>
          <w:rStyle w:val="FootnoteAnchor"/>
          <w:rtl w:val="true"/>
        </w:rPr>
        <w:footnoteReference w:id="179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الدنانير لم يختلف المثقال فيها في جاهليّة و لا إسلام، و أمّا الدراهم فإنّها كانت مختلفة الأوزان و الّذي استقرّ عليه الأمر في الإسلام أنّ وزن الدرهم الواحدة ستّة دوانيق، كلّ عشرة منها سبعة مثاقيل من ذهب، و الدانق ثماني حبّات من أوسط حبّ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فيه أنّ غالب ما كانوا يتعاملون فيه به من أنواع الدراهم في عصر النبيّ صلّى اللّه عليه و آله و الصدر الأوّل بعده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البغليّة، و الطبريّة، و الدرهم الواحد من البغليّة ثمانية دوانيق، و من الطبريّة أربعة دوانيق، فأخذوا واحدا من هذه و واحدا من هذه و قسّموها نصفين و جعلوا كلّ واحد درهما في زمن بني اميّة، و أجمع أهل ذلك الزمان على تقدير الدراهم الإسلاميّة بها، فإذا زادت على الدرهم الواحد ثلاثة أسباعه كان مثقالا، فإذا نقصت من المثقال ثلاثة أعشاره كان درهما، و كلّ عشرة دراهم سبعة مثاقيل، و كلّ عشرة مثاقيل أربعة عشر درهما و سبعان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كلّ عشرة دراهم بوزن سبعة مثاقيل من الذهب لأنّ الذهب، أوزن من الفضّة فكأنّهم جرّبوا قدرا من الفضّة و مثله من الذهب فوزنوهما فكان وزن الذهب زائدا على وزن الفضّة بمثل ثلاثة أسباعها و استقرّت الدراهم في الإسلام على أنّ كل درهم نصف مثقال و خمسه</w:t>
      </w:r>
      <w:r>
        <w:rPr>
          <w:rStyle w:val="FootnoteAnchor"/>
          <w:rtl w:val="true"/>
        </w:rPr>
        <w:footnoteReference w:id="1798"/>
      </w:r>
      <w:r>
        <w:rPr>
          <w:rFonts w:ascii="Amiri" w:hAnsi="Amiri" w:eastAsia="Amiri" w:cs="Amiri"/>
          <w:color w:val="111111"/>
          <w:sz w:val="28"/>
          <w:sz w:val="28"/>
          <w:szCs w:val="28"/>
          <w:rtl w:val="true"/>
          <w:lang w:bidi="ar-SA"/>
        </w:rPr>
        <w:t>و بها قدّرت نصب الزكاة و مقدار الجزية و الديات و نصاب القطع في السرقة و غير ذلك</w:t>
      </w:r>
      <w:r>
        <w:rPr>
          <w:rFonts w:eastAsia="Amiri" w:cs="Amiri" w:ascii="Amiri" w:hAnsi="Amiri"/>
          <w:color w:val="111111"/>
          <w:sz w:val="28"/>
          <w:szCs w:val="28"/>
          <w:rtl w:val="true"/>
          <w:lang w:bidi="ar-SA"/>
        </w:rPr>
        <w:t>»</w:t>
      </w:r>
      <w:r>
        <w:rPr>
          <w:rStyle w:val="FootnoteAnchor"/>
          <w:rtl w:val="true"/>
        </w:rPr>
        <w:footnoteReference w:id="17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الشهيد في البيان أنّ الجمع المذكور كان بإشارة زين العابدين عليه السّلام</w:t>
      </w:r>
      <w:r>
        <w:rPr>
          <w:rStyle w:val="FootnoteAnchor"/>
          <w:rtl w:val="true"/>
        </w:rPr>
        <w:footnoteReference w:id="1800"/>
      </w:r>
      <w:r>
        <w:rPr>
          <w:rFonts w:ascii="Amiri" w:hAnsi="Amiri" w:eastAsia="Amiri" w:cs="Amiri"/>
          <w:color w:val="111111"/>
          <w:sz w:val="28"/>
          <w:sz w:val="28"/>
          <w:szCs w:val="28"/>
          <w:rtl w:val="true"/>
          <w:lang w:bidi="ar-SA"/>
        </w:rPr>
        <w:t>و في خبر سليمان حفص المروزي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وزن </w:t>
      </w:r>
      <w:bookmarkStart w:id="400" w:name="pg16181_154676"/>
    </w:p>
    <w:p>
      <w:pPr>
        <w:pStyle w:val="BookText"/>
        <w:rPr/>
      </w:pPr>
      <w:bookmarkEnd w:id="400"/>
      <w:r>
        <w:rPr>
          <w:rFonts w:ascii="Amiri" w:hAnsi="Amiri" w:eastAsia="Amiri" w:cs="Amiri"/>
          <w:color w:val="111111"/>
          <w:sz w:val="28"/>
          <w:sz w:val="28"/>
          <w:szCs w:val="28"/>
          <w:rtl w:val="true"/>
          <w:lang w:bidi="ar-SA"/>
        </w:rPr>
        <w:t>ستّة دوانيق، و أمّا أنّ الدانق ثماني حبّات من أوسط حبّات الشعير</w:t>
      </w:r>
      <w:r>
        <w:rPr>
          <w:rFonts w:eastAsia="Amiri" w:cs="Amiri" w:ascii="Amiri" w:hAnsi="Amiri"/>
          <w:color w:val="111111"/>
          <w:sz w:val="28"/>
          <w:szCs w:val="28"/>
          <w:rtl w:val="true"/>
          <w:lang w:bidi="ar-SA"/>
        </w:rPr>
        <w:t>»</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مقطوع به في كلام الأصحاب</w:t>
      </w:r>
      <w:r>
        <w:rPr>
          <w:rFonts w:eastAsia="Amiri" w:cs="Amiri" w:ascii="Amiri" w:hAnsi="Amiri"/>
          <w:color w:val="111111"/>
          <w:sz w:val="28"/>
          <w:szCs w:val="28"/>
          <w:rtl w:val="true"/>
          <w:lang w:bidi="ar-SA"/>
        </w:rPr>
        <w:t>»</w:t>
      </w:r>
      <w:r>
        <w:rPr>
          <w:rStyle w:val="FootnoteAnchor"/>
          <w:rtl w:val="true"/>
        </w:rPr>
        <w:footnoteReference w:id="1802"/>
      </w:r>
      <w:r>
        <w:rPr>
          <w:rFonts w:ascii="Amiri" w:hAnsi="Amiri" w:eastAsia="Amiri" w:cs="Amiri"/>
          <w:color w:val="111111"/>
          <w:sz w:val="28"/>
          <w:sz w:val="28"/>
          <w:szCs w:val="28"/>
          <w:rtl w:val="true"/>
          <w:lang w:bidi="ar-SA"/>
        </w:rPr>
        <w:t>و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مقطوع به في كلام جماعة من الأصحاب</w:t>
      </w:r>
      <w:r>
        <w:rPr>
          <w:rFonts w:eastAsia="Amiri" w:cs="Amiri" w:ascii="Amiri" w:hAnsi="Amiri"/>
          <w:color w:val="111111"/>
          <w:sz w:val="28"/>
          <w:szCs w:val="28"/>
          <w:rtl w:val="true"/>
          <w:lang w:bidi="ar-SA"/>
        </w:rPr>
        <w:t>»</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 قطع به الأصحاب على الظاهر المصرّح به في المدارك متّفق عليه بينهم، و صرّح به علماء الفريقين كما في رسالة</w:t>
      </w:r>
      <w:r>
        <w:rPr>
          <w:rStyle w:val="FootnoteAnchor"/>
          <w:rtl w:val="true"/>
        </w:rPr>
        <w:footnoteReference w:id="1804"/>
      </w:r>
      <w:r>
        <w:rPr>
          <w:rFonts w:ascii="Amiri" w:hAnsi="Amiri" w:eastAsia="Amiri" w:cs="Amiri"/>
          <w:color w:val="111111"/>
          <w:sz w:val="28"/>
          <w:sz w:val="28"/>
          <w:szCs w:val="28"/>
          <w:rtl w:val="true"/>
          <w:lang w:bidi="ar-SA"/>
        </w:rPr>
        <w:t>الخال العلاّمة المجلسي عليه الرحمة في تحقيق الأوزان</w:t>
      </w:r>
      <w:r>
        <w:rPr>
          <w:rFonts w:eastAsia="Amiri" w:cs="Amiri" w:ascii="Amiri" w:hAnsi="Amiri"/>
          <w:color w:val="111111"/>
          <w:sz w:val="28"/>
          <w:szCs w:val="28"/>
          <w:rtl w:val="true"/>
          <w:lang w:bidi="ar-SA"/>
        </w:rPr>
        <w:t>»</w:t>
      </w:r>
      <w:r>
        <w:rPr>
          <w:rStyle w:val="FootnoteAnchor"/>
          <w:rtl w:val="true"/>
        </w:rPr>
        <w:footnoteReference w:id="180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كسابقه ممّا لا خلاف فيه، فلا حاجة إلى زيادة تكلّم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مثقال و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و ثلاثة أسباع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بالمثقال هو الشرعي، و عليه فالعشرة دراهم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مائتا 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و أربعون درهما</w:t>
      </w:r>
      <w:r>
        <w:rPr>
          <w:rFonts w:eastAsia="Amiri" w:cs="Amiri" w:ascii="Amiri" w:hAnsi="Amiri"/>
          <w:color w:val="111111"/>
          <w:sz w:val="28"/>
          <w:szCs w:val="28"/>
          <w:rtl w:val="true"/>
          <w:lang w:bidi="ar-SA"/>
        </w:rPr>
        <w:t>»</w:t>
      </w:r>
      <w:r>
        <w:rPr>
          <w:rStyle w:val="FootnoteAnchor"/>
          <w:rtl w:val="true"/>
        </w:rPr>
        <w:footnoteReference w:id="1806"/>
      </w:r>
      <w:r>
        <w:rPr>
          <w:rFonts w:ascii="Amiri" w:hAnsi="Amiri" w:eastAsia="Amiri" w:cs="Amiri"/>
          <w:color w:val="111111"/>
          <w:sz w:val="28"/>
          <w:sz w:val="28"/>
          <w:szCs w:val="28"/>
          <w:rtl w:val="true"/>
          <w:lang w:bidi="ar-SA"/>
        </w:rPr>
        <w:t>و أربعون درهما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و عشرون درهما</w:t>
      </w:r>
      <w:r>
        <w:rPr>
          <w:rFonts w:eastAsia="Amiri" w:cs="Amiri" w:ascii="Amiri" w:hAnsi="Amiri"/>
          <w:color w:val="111111"/>
          <w:sz w:val="28"/>
          <w:szCs w:val="28"/>
          <w:rtl w:val="true"/>
          <w:lang w:bidi="ar-SA"/>
        </w:rPr>
        <w:t>»</w:t>
      </w:r>
      <w:r>
        <w:rPr>
          <w:rStyle w:val="FootnoteAnchor"/>
          <w:rtl w:val="true"/>
        </w:rPr>
        <w:footnoteReference w:id="1807"/>
      </w:r>
      <w:r>
        <w:rPr>
          <w:rFonts w:ascii="Amiri" w:hAnsi="Amiri" w:eastAsia="Amiri" w:cs="Amiri"/>
          <w:color w:val="111111"/>
          <w:sz w:val="28"/>
          <w:sz w:val="28"/>
          <w:szCs w:val="28"/>
          <w:rtl w:val="true"/>
          <w:lang w:bidi="ar-SA"/>
        </w:rPr>
        <w:t>و عشرون مثقالا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و عشرون درهما و أربعة أسباع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مصرّح به في كلام الأصحاب منهم العلاّمة في عبارة النهاية المتقدّمة</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المعتبر و التحرير و المنتهى و البيان أنّه يعتبر في اعتبار النصاب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بالميزان لا بالعدد</w:t>
      </w:r>
      <w:r>
        <w:rPr>
          <w:rFonts w:eastAsia="Amiri" w:cs="Amiri" w:ascii="Amiri" w:hAnsi="Amiri"/>
          <w:color w:val="111111"/>
          <w:sz w:val="28"/>
          <w:szCs w:val="28"/>
          <w:rtl w:val="true"/>
          <w:lang w:bidi="ar-SA"/>
        </w:rPr>
        <w:t>»</w:t>
      </w:r>
      <w:r>
        <w:rPr>
          <w:rStyle w:val="FootnoteAnchor"/>
          <w:rtl w:val="true"/>
        </w:rPr>
        <w:footnoteReference w:id="1809"/>
      </w:r>
      <w:r>
        <w:rPr>
          <w:rFonts w:ascii="IRNazanin" w:hAnsi="IRNazanin" w:eastAsia="IRNazanin"/>
          <w:color w:val="111111"/>
          <w:sz w:val="28"/>
          <w:sz w:val="28"/>
          <w:szCs w:val="28"/>
          <w:rtl w:val="true"/>
          <w:lang w:bidi="fa-IR"/>
        </w:rPr>
        <w:t>و عن المنتهى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قول العلماء</w:t>
      </w:r>
      <w:r>
        <w:rPr>
          <w:rFonts w:eastAsia="IRNazanin" w:cs="IRNazanin"/>
          <w:color w:val="111111"/>
          <w:sz w:val="28"/>
          <w:szCs w:val="28"/>
          <w:rtl w:val="true"/>
          <w:lang w:bidi="fa-IR"/>
        </w:rPr>
        <w:t>»</w:t>
      </w:r>
      <w:r>
        <w:rPr>
          <w:rStyle w:val="FootnoteAnchor"/>
          <w:rtl w:val="true"/>
        </w:rPr>
        <w:footnoteReference w:id="1810"/>
      </w:r>
      <w:r>
        <w:rPr>
          <w:rFonts w:ascii="Amiri" w:hAnsi="Amiri" w:eastAsia="Amiri" w:cs="Amiri"/>
          <w:color w:val="111111"/>
          <w:sz w:val="28"/>
          <w:sz w:val="28"/>
          <w:szCs w:val="28"/>
          <w:rtl w:val="true"/>
          <w:lang w:bidi="ar-SA"/>
        </w:rPr>
        <w:t>و نقل الإجماع عليه في المعتبر على ما في العبارة المحكيّة عنه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عبرة بالعدد، و قال المزني</w:t>
      </w:r>
      <w:r>
        <w:rPr>
          <w:rStyle w:val="FootnoteAnchor"/>
          <w:rtl w:val="true"/>
        </w:rPr>
        <w:footnoteReference w:id="1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نعتبر العدد، و لكنّ الإجماع على خلافه فلا عبرة بقوله</w:t>
      </w:r>
      <w:r>
        <w:rPr>
          <w:rFonts w:eastAsia="Amiri" w:cs="Amiri" w:ascii="Amiri" w:hAnsi="Amiri"/>
          <w:color w:val="111111"/>
          <w:sz w:val="28"/>
          <w:szCs w:val="28"/>
          <w:rtl w:val="true"/>
          <w:lang w:bidi="ar-SA"/>
        </w:rPr>
        <w:t>»</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1" w:name="__RefHeading___Toc2586699_1280447820"/>
      <w:bookmarkStart w:id="402" w:name="_Toc148"/>
      <w:bookmarkEnd w:id="401"/>
      <w:r>
        <w:rPr>
          <w:rtl w:val="true"/>
        </w:rPr>
        <w:t>الشرط الثاني</w:t>
      </w:r>
      <w:r>
        <w:rPr>
          <w:rtl w:val="true"/>
        </w:rPr>
        <w:t xml:space="preserve">: </w:t>
      </w:r>
      <w:r>
        <w:rPr>
          <w:rtl w:val="true"/>
        </w:rPr>
        <w:t>أن يكونا مسكوكين بسكّة المعاملة</w:t>
      </w:r>
      <w:bookmarkEnd w:id="40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هو المصرّح به في كلامهم، بلا خلاف </w:t>
      </w:r>
    </w:p>
    <w:p>
      <w:pPr>
        <w:pStyle w:val="BookText"/>
        <w:rPr/>
      </w:pPr>
      <w:r>
        <w:rPr>
          <w:rFonts w:ascii="Amiri" w:hAnsi="Amiri" w:eastAsia="Amiri" w:cs="Amiri"/>
          <w:color w:val="111111"/>
          <w:sz w:val="28"/>
          <w:sz w:val="28"/>
          <w:szCs w:val="28"/>
          <w:rtl w:val="true"/>
          <w:lang w:bidi="ar-SA"/>
        </w:rPr>
        <w:t>يظهر كما عن الرياض</w:t>
      </w:r>
      <w:r>
        <w:rPr>
          <w:rStyle w:val="FootnoteAnchor"/>
          <w:rtl w:val="true"/>
        </w:rPr>
        <w:footnoteReference w:id="1813"/>
      </w:r>
      <w:r>
        <w:rPr>
          <w:rFonts w:ascii="Amiri" w:hAnsi="Amiri" w:eastAsia="Amiri" w:cs="Amiri"/>
          <w:color w:val="111111"/>
          <w:sz w:val="28"/>
          <w:sz w:val="28"/>
          <w:szCs w:val="28"/>
          <w:rtl w:val="true"/>
          <w:lang w:bidi="ar-SA"/>
        </w:rPr>
        <w:t>و مجمع الفائدة</w:t>
      </w:r>
      <w:r>
        <w:rPr>
          <w:rStyle w:val="FootnoteAnchor"/>
          <w:rtl w:val="true"/>
        </w:rPr>
        <w:footnoteReference w:id="1814"/>
      </w:r>
      <w:r>
        <w:rPr>
          <w:rFonts w:ascii="Amiri" w:hAnsi="Amiri" w:eastAsia="Amiri" w:cs="Amiri"/>
          <w:color w:val="111111"/>
          <w:sz w:val="28"/>
          <w:sz w:val="28"/>
          <w:szCs w:val="28"/>
          <w:rtl w:val="true"/>
          <w:lang w:bidi="ar-SA"/>
        </w:rPr>
        <w:t>و عليه إجماع الطائفة كما عن الانتصار</w:t>
      </w:r>
      <w:r>
        <w:rPr>
          <w:rStyle w:val="FootnoteAnchor"/>
          <w:rtl w:val="true"/>
        </w:rPr>
        <w:footnoteReference w:id="1815"/>
      </w:r>
      <w:r>
        <w:rPr>
          <w:rFonts w:ascii="Amiri" w:hAnsi="Amiri" w:eastAsia="Amiri" w:cs="Amiri"/>
          <w:color w:val="111111"/>
          <w:sz w:val="28"/>
          <w:sz w:val="28"/>
          <w:szCs w:val="28"/>
          <w:rtl w:val="true"/>
          <w:lang w:bidi="ar-SA"/>
        </w:rPr>
        <w:t>و في المدارك و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علمائنا أجمع</w:t>
      </w:r>
      <w:r>
        <w:rPr>
          <w:rFonts w:eastAsia="Amiri" w:cs="Amiri" w:ascii="Amiri" w:hAnsi="Amiri"/>
          <w:color w:val="111111"/>
          <w:sz w:val="28"/>
          <w:szCs w:val="28"/>
          <w:rtl w:val="true"/>
          <w:lang w:bidi="ar-SA"/>
        </w:rPr>
        <w:t>»</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فيه مع ذلك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عليّ بن يقطين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يجتمع عندي الشيء فيبقى نحوا من سنة أ نزكّيه‌؟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ما لم يحل عليه الحول فليس عليك فيه زكاة، و كلّ ما لم يكن ركازا فليس عليك فيه شيء،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الركاز؟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المنقوش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فاسبكه، فإنّه ليس في سبائك الذهب و نقار الفضّة شيء من الزكاة</w:t>
      </w:r>
      <w:r>
        <w:rPr>
          <w:rFonts w:eastAsia="Amiri" w:cs="Amiri" w:ascii="Amiri" w:hAnsi="Amiri"/>
          <w:color w:val="111111"/>
          <w:sz w:val="28"/>
          <w:szCs w:val="28"/>
          <w:rtl w:val="true"/>
          <w:lang w:bidi="ar-SA"/>
        </w:rPr>
        <w:t>»</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 صفه في المدارك</w:t>
      </w:r>
      <w:r>
        <w:rPr>
          <w:rStyle w:val="FootnoteAnchor"/>
          <w:rtl w:val="true"/>
        </w:rPr>
        <w:footnoteReference w:id="1818"/>
      </w:r>
      <w:r>
        <w:rPr>
          <w:rFonts w:ascii="Amiri" w:hAnsi="Amiri" w:eastAsia="Amiri" w:cs="Amiri"/>
          <w:color w:val="111111"/>
          <w:sz w:val="28"/>
          <w:sz w:val="28"/>
          <w:szCs w:val="28"/>
          <w:rtl w:val="true"/>
          <w:lang w:bidi="ar-SA"/>
        </w:rPr>
        <w:t>بالموثّق و في الذخيرة</w:t>
      </w:r>
      <w:r>
        <w:rPr>
          <w:rStyle w:val="FootnoteAnchor"/>
          <w:rtl w:val="true"/>
        </w:rPr>
        <w:footnoteReference w:id="1819"/>
      </w:r>
      <w:r>
        <w:rPr>
          <w:rFonts w:ascii="Amiri" w:hAnsi="Amiri" w:eastAsia="Amiri" w:cs="Amiri"/>
          <w:color w:val="111111"/>
          <w:sz w:val="28"/>
          <w:sz w:val="28"/>
          <w:szCs w:val="28"/>
          <w:rtl w:val="true"/>
          <w:lang w:bidi="ar-SA"/>
        </w:rPr>
        <w:t xml:space="preserve">بالقويّ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و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التبر زكاة إنّما هي على الدنانير و الدراهم</w:t>
      </w:r>
      <w:r>
        <w:rPr>
          <w:rFonts w:eastAsia="Amiri" w:cs="Amiri" w:ascii="Amiri" w:hAnsi="Amiri"/>
          <w:color w:val="111111"/>
          <w:sz w:val="28"/>
          <w:szCs w:val="28"/>
          <w:rtl w:val="true"/>
          <w:lang w:bidi="ar-SA"/>
        </w:rPr>
        <w:t>»</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خبره الآخر عن بعض أصحابه أنّه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التبر زكاة إنّما هي على الدنانير و الدراهم</w:t>
      </w:r>
      <w:r>
        <w:rPr>
          <w:rFonts w:eastAsia="Amiri" w:cs="Amiri" w:ascii="Amiri" w:hAnsi="Amiri"/>
          <w:color w:val="111111"/>
          <w:sz w:val="28"/>
          <w:szCs w:val="28"/>
          <w:rtl w:val="true"/>
          <w:lang w:bidi="ar-SA"/>
        </w:rPr>
        <w:t>»</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استفادة الشرطيّة أيضا من الأخبار النافية للزكاة عن الحليّ و سبائك الذهب و نقار الفضّة، خصوصا ما تضمّن منها على تعليمهم عليهم السّلام الحيلة للفرار عن الزكاة بسبك المال،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يتوهّم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الصامت المنقوش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يقطين إطلاق بالقياس إلى ما عدى سكّة المعاملة ممّا نقش للزينة و غيرها، و لكنّه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قائل به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الإطلاق، لانصراف النقش فيه إلى نقش السكّة، و لو سلّم يجب الخروج عنه بالحصر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على الدنانير و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خبري جميل، فإنّ نفي الزكاة عن غير الدنانير و الدراهم لا يجامع الإطلاق المتوهّم فيقيّد بنقش السكّة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النقش و عموم الدنانير و الدراهم في النصّ و الفتوى يتناول ما كان من المسلم و ما كان من الكافر و لو حربيّا، كما إنّ إطلاقهما أيضا يتناول الرائج في بلد المالك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رواية زيد الصائغ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قرية من قرى خراسان يقال لها بخارا فرأيت فيها دراهم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فضّة و ثلث 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نحاسا، نسخة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ثلث رصاصا و كانت تجوز عندهم و كنت أعملها و انفقها،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 إذا كان يجوز عندهم،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حال عليه الحول و هي عندي و فيها ما يجب عليّ فيه الزكاة ازكّيها؟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أخرجتها إلى بلدة لا ينفق فيها مثلها فبقيت عندي حتّى حال عليها الحول ازكّيها؟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تعرف أنّ فيها من الفضّة الخالصة ما يجب عليك فيه الزكاة فزكّ ما كان لك فيها من الفضّة الخالصة من فضّة و دع ما سوى ذلك من الخبيث،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لا أعلم ما فيها من الفضّة الخالصة إلاّ أنّي أعلم أنّ فيها ما يجب فيه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فاسبكها حتّى تخلص الفضّة و يحترق الخبيث ثمّ تزكّي ما خلص من الفضّة لسنة واحدة</w:t>
      </w:r>
      <w:r>
        <w:rPr>
          <w:rFonts w:eastAsia="Amiri" w:cs="Amiri" w:ascii="Amiri" w:hAnsi="Amiri"/>
          <w:color w:val="111111"/>
          <w:sz w:val="28"/>
          <w:szCs w:val="28"/>
          <w:rtl w:val="true"/>
          <w:lang w:bidi="ar-SA"/>
        </w:rPr>
        <w:t>»</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جعلناها تأييدا مع صراحة دلالتها نظرا إلى ضعف سندها بجهالة الراوي و غيره من رجال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ثبت عمل الأصحاب أو جماعة ممّن يعتنى بشأنهم بها على وجه يكون كافيا في جبر السند كانت دليلا تامّا، و لقد نبّه على ما ذكر سيّد </w:t>
      </w:r>
      <w:bookmarkStart w:id="403" w:name="pg16181_154679"/>
    </w:p>
    <w:p>
      <w:pPr>
        <w:pStyle w:val="BookText"/>
        <w:rPr/>
      </w:pPr>
      <w:bookmarkEnd w:id="403"/>
      <w:r>
        <w:rPr>
          <w:rFonts w:ascii="Amiri" w:hAnsi="Amiri" w:eastAsia="Amiri" w:cs="Amiri"/>
          <w:color w:val="111111"/>
          <w:sz w:val="28"/>
          <w:sz w:val="28"/>
          <w:szCs w:val="28"/>
          <w:rtl w:val="true"/>
          <w:lang w:bidi="ar-SA"/>
        </w:rPr>
        <w:t>الرياض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 بالعمل</w:t>
      </w:r>
      <w:r>
        <w:rPr>
          <w:rFonts w:eastAsia="Amiri" w:cs="Amiri" w:ascii="Amiri" w:hAnsi="Amiri"/>
          <w:color w:val="111111"/>
          <w:sz w:val="28"/>
          <w:szCs w:val="28"/>
          <w:rtl w:val="true"/>
          <w:lang w:bidi="ar-SA"/>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مجمع الفائدة بعد ما تمسّك بها فيما سيأتي من مسألة الدراهم المغشوشة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يضرّ عدم صحّة السند للتأييد بالشهرة بل عدم الخلاف</w:t>
      </w:r>
      <w:r>
        <w:rPr>
          <w:rFonts w:eastAsia="Amiri" w:cs="Amiri" w:ascii="Amiri" w:hAnsi="Amiri"/>
          <w:color w:val="111111"/>
          <w:sz w:val="28"/>
          <w:szCs w:val="28"/>
          <w:rtl w:val="true"/>
          <w:lang w:bidi="ar-SA"/>
        </w:rPr>
        <w:t>»</w:t>
      </w:r>
      <w:r>
        <w:rPr>
          <w:rStyle w:val="FootnoteAnchor"/>
          <w:rtl w:val="true"/>
        </w:rPr>
        <w:footnoteReference w:id="1824"/>
      </w:r>
      <w:r>
        <w:rPr>
          <w:rFonts w:ascii="Amiri" w:hAnsi="Amiri" w:eastAsia="Amiri" w:cs="Amiri"/>
          <w:color w:val="111111"/>
          <w:sz w:val="28"/>
          <w:sz w:val="28"/>
          <w:szCs w:val="28"/>
          <w:rtl w:val="true"/>
          <w:lang w:bidi="ar-SA"/>
        </w:rPr>
        <w:t>و إن كان في دلالته على الشهرة الاستناديّة كما هو مناط الشهرة الجابرة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إطلاق النصّ و الفتوى يظهر أنّه لا يعتبر في المسكوكة من الدنانير و الدراهم كونها معمولة في المعاملة بالفعل و لا يضرّ كونها مهجورة، و مرجعه إلى أنّه يكفي كونها معمولة في وقت و إن هجرت في زمان الوجوب، كما صرّح به جماعة من الفحول</w:t>
      </w:r>
      <w:r>
        <w:rPr>
          <w:rStyle w:val="FootnoteAnchor"/>
          <w:rtl w:val="true"/>
        </w:rPr>
        <w:footnoteReference w:id="1825"/>
      </w:r>
      <w:r>
        <w:rPr>
          <w:rFonts w:ascii="Amiri" w:hAnsi="Amiri" w:eastAsia="Amiri" w:cs="Amiri"/>
          <w:color w:val="111111"/>
          <w:sz w:val="28"/>
          <w:sz w:val="28"/>
          <w:szCs w:val="28"/>
          <w:rtl w:val="true"/>
          <w:lang w:bidi="ar-SA"/>
        </w:rPr>
        <w:t>و في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الاتّفاق عليه</w:t>
      </w:r>
      <w:r>
        <w:rPr>
          <w:rFonts w:eastAsia="Amiri" w:cs="Amiri" w:ascii="Amiri" w:hAnsi="Amiri"/>
          <w:color w:val="111111"/>
          <w:sz w:val="28"/>
          <w:szCs w:val="28"/>
          <w:rtl w:val="true"/>
          <w:lang w:bidi="ar-SA"/>
        </w:rPr>
        <w:t>»</w:t>
      </w:r>
      <w:r>
        <w:rPr>
          <w:rStyle w:val="FootnoteAnchor"/>
          <w:rtl w:val="true"/>
        </w:rPr>
        <w:footnoteReference w:id="1826"/>
      </w:r>
      <w:r>
        <w:rPr>
          <w:rFonts w:ascii="Amiri" w:hAnsi="Amiri" w:eastAsia="Amiri" w:cs="Amiri"/>
          <w:color w:val="111111"/>
          <w:sz w:val="28"/>
          <w:sz w:val="28"/>
          <w:szCs w:val="28"/>
          <w:rtl w:val="true"/>
          <w:lang w:bidi="ar-SA"/>
        </w:rPr>
        <w:t>و عن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فيه خلافا</w:t>
      </w:r>
      <w:r>
        <w:rPr>
          <w:rFonts w:eastAsia="Amiri" w:cs="Amiri" w:ascii="Amiri" w:hAnsi="Amiri"/>
          <w:color w:val="111111"/>
          <w:sz w:val="28"/>
          <w:szCs w:val="28"/>
          <w:rtl w:val="true"/>
          <w:lang w:bidi="ar-SA"/>
        </w:rPr>
        <w:t>»</w:t>
      </w:r>
      <w:r>
        <w:rPr>
          <w:rStyle w:val="FootnoteAnchor"/>
          <w:rtl w:val="true"/>
        </w:rPr>
        <w:footnoteReference w:id="1827"/>
      </w:r>
      <w:r>
        <w:rPr>
          <w:rFonts w:ascii="Amiri" w:hAnsi="Amiri" w:eastAsia="Amiri" w:cs="Amiri"/>
          <w:color w:val="111111"/>
          <w:sz w:val="28"/>
          <w:sz w:val="28"/>
          <w:szCs w:val="28"/>
          <w:rtl w:val="true"/>
          <w:lang w:bidi="ar-SA"/>
        </w:rPr>
        <w:t>و عن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الاعتبار باتّخاذها آلة للزينة</w:t>
      </w:r>
      <w:r>
        <w:rPr>
          <w:rFonts w:eastAsia="Amiri" w:cs="Amiri" w:ascii="Amiri" w:hAnsi="Amiri"/>
          <w:color w:val="111111"/>
          <w:sz w:val="28"/>
          <w:szCs w:val="28"/>
          <w:rtl w:val="true"/>
          <w:lang w:bidi="ar-SA"/>
        </w:rPr>
        <w:t>»</w:t>
      </w:r>
      <w:r>
        <w:rPr>
          <w:rStyle w:val="FootnoteAnchor"/>
          <w:rtl w:val="true"/>
        </w:rPr>
        <w:footnoteReference w:id="1828"/>
      </w:r>
      <w:r>
        <w:rPr>
          <w:rFonts w:ascii="Amiri" w:hAnsi="Amiri" w:eastAsia="Amiri" w:cs="Amiri"/>
          <w:color w:val="111111"/>
          <w:sz w:val="28"/>
          <w:sz w:val="28"/>
          <w:szCs w:val="28"/>
          <w:rtl w:val="true"/>
          <w:lang w:bidi="ar-SA"/>
        </w:rPr>
        <w:t>يعني أنّه لا يسقط عنها الزكاة و هو كذلك عملا بالاطلاق نصّا و فتوى</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2586701_1280447820"/>
      <w:bookmarkStart w:id="405" w:name="_Toc149"/>
      <w:bookmarkEnd w:id="404"/>
      <w:r>
        <w:rPr>
          <w:rtl w:val="true"/>
        </w:rPr>
        <w:t>الشرط الثالث</w:t>
      </w:r>
      <w:r>
        <w:rPr>
          <w:rtl w:val="true"/>
        </w:rPr>
        <w:t xml:space="preserve">: </w:t>
      </w:r>
      <w:r>
        <w:rPr>
          <w:rtl w:val="true"/>
        </w:rPr>
        <w:t>حول الحول على النصاب</w:t>
      </w:r>
      <w:bookmarkEnd w:id="405"/>
    </w:p>
    <w:p>
      <w:pPr>
        <w:pStyle w:val="Heading6"/>
        <w:numPr>
          <w:ilvl w:val="5"/>
          <w:numId w:val="1"/>
        </w:numPr>
        <w:rPr/>
      </w:pPr>
      <w:bookmarkStart w:id="406" w:name="__RefHeading___Toc2586703_1280447820"/>
      <w:bookmarkStart w:id="407" w:name="_Toc150"/>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و هو بأجمعه موجود عنده بلا خلاف فيه، كما في المنتهى</w:t>
      </w:r>
      <w:r>
        <w:rPr>
          <w:rStyle w:val="FootnoteAnchor"/>
          <w:rtl w:val="true"/>
        </w:rPr>
        <w:footnoteReference w:id="1829"/>
      </w:r>
      <w:r>
        <w:rPr>
          <w:rFonts w:ascii="Amiri" w:hAnsi="Amiri" w:eastAsia="Amiri" w:cs="Amiri"/>
          <w:color w:val="111111"/>
          <w:sz w:val="28"/>
          <w:sz w:val="28"/>
          <w:szCs w:val="28"/>
          <w:rtl w:val="true"/>
          <w:lang w:bidi="ar-SA"/>
        </w:rPr>
        <w:t>و عن الغنية دعوى الإجماع عليه</w:t>
      </w:r>
      <w:r>
        <w:rPr>
          <w:rStyle w:val="FootnoteAnchor"/>
          <w:rtl w:val="true"/>
        </w:rPr>
        <w:footnoteReference w:id="1830"/>
      </w:r>
      <w:r>
        <w:rPr>
          <w:rFonts w:ascii="Amiri" w:hAnsi="Amiri" w:eastAsia="Amiri" w:cs="Amiri"/>
          <w:color w:val="111111"/>
          <w:sz w:val="28"/>
          <w:sz w:val="28"/>
          <w:szCs w:val="28"/>
          <w:rtl w:val="true"/>
          <w:lang w:bidi="ar-SA"/>
        </w:rPr>
        <w:t>و في المدارك و الذخيرة أنّ اعتبار الحول في زكاة النقدين مجمع عليه بين العلماء</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النصوص الدالّة عليه بالغة فوق حدّ الاستفاضة، و قد مرّ جملة منها في اعتبار هذا الشرط في زكاة الأنعام و بعضها في بيان نصاب النقدين و في بيان اعتبار السكّة فيهما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صحيح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كان له مال موضوع حتّى إذا كان قريبا من رأس الحول أنفقه قبل أن يحول عليه الحول أ عليه صدقة‌؟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يفيد المال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يزكّيه حتّى يحول عليه الحول</w:t>
      </w:r>
      <w:r>
        <w:rPr>
          <w:rFonts w:eastAsia="Amiri" w:cs="Amiri" w:ascii="Amiri" w:hAnsi="Amiri"/>
          <w:color w:val="111111"/>
          <w:sz w:val="28"/>
          <w:szCs w:val="28"/>
          <w:rtl w:val="true"/>
          <w:lang w:bidi="ar-SA"/>
        </w:rPr>
        <w:t>»</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عليّ بن يقطين عن أبي 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يجتمع عندي الشيء فيبقى نحو من سنة أ نزكّيه‌؟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ما لم يحل عندك عليه الحول فليس عليك فيه زكاة</w:t>
      </w:r>
      <w:r>
        <w:rPr>
          <w:rFonts w:eastAsia="Amiri" w:cs="Amiri" w:ascii="Amiri" w:hAnsi="Amiri"/>
          <w:color w:val="111111"/>
          <w:sz w:val="28"/>
          <w:szCs w:val="28"/>
          <w:rtl w:val="true"/>
          <w:lang w:bidi="ar-SA"/>
        </w:rPr>
        <w:t>»</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المراد بالحول هنا كما تقدّم في حول الأنعام أحد عشر شهرا كاملا يعلم كماله بدخول الثاني عشر و ظهور هلاله و لا يعتبر كمال الثاني عشر، و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مائتا درهم فوهبها لبعض إخوانه أو ولده أو أهله فرارا من الزكاة، فعل ذلك قبل حلّها بشهر،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الثاني عشر فقد حال عليه الحول و وجب عليه فيها الزكاة</w:t>
      </w:r>
      <w:r>
        <w:rPr>
          <w:rFonts w:eastAsia="Amiri" w:cs="Amiri" w:ascii="Amiri" w:hAnsi="Amiri"/>
          <w:color w:val="111111"/>
          <w:sz w:val="28"/>
          <w:szCs w:val="28"/>
          <w:rtl w:val="true"/>
          <w:lang w:bidi="ar-SA"/>
        </w:rPr>
        <w:t>»</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 المرسل عن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في الثاني عشر فقد حال عليه الحول</w:t>
      </w:r>
      <w:r>
        <w:rPr>
          <w:rFonts w:eastAsia="Amiri" w:cs="Amiri" w:ascii="Amiri" w:hAnsi="Amiri"/>
          <w:color w:val="111111"/>
          <w:sz w:val="28"/>
          <w:szCs w:val="28"/>
          <w:rtl w:val="true"/>
          <w:lang w:bidi="ar-SA"/>
        </w:rPr>
        <w:t>»</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 الوجوب بقاء عين جميع النصاب طول الحول، كما هو المصرّح به في كلام جمع من الفحول</w:t>
      </w:r>
      <w:r>
        <w:rPr>
          <w:rStyle w:val="FootnoteAnchor"/>
          <w:rtl w:val="true"/>
        </w:rPr>
        <w:footnoteReference w:id="1837"/>
      </w:r>
      <w:r>
        <w:rPr>
          <w:rFonts w:ascii="Amiri" w:hAnsi="Amiri" w:eastAsia="Amiri" w:cs="Amiri"/>
          <w:color w:val="111111"/>
          <w:sz w:val="28"/>
          <w:sz w:val="28"/>
          <w:szCs w:val="28"/>
          <w:rtl w:val="true"/>
          <w:lang w:bidi="ar-SA"/>
        </w:rPr>
        <w:t>بل الظاهر كما في المناهل إنّه ممّا لا خلاف فيه بين الأصحاب</w:t>
      </w:r>
      <w:r>
        <w:rPr>
          <w:rStyle w:val="FootnoteAnchor"/>
          <w:rtl w:val="true"/>
        </w:rPr>
        <w:footnoteReference w:id="1838"/>
      </w:r>
      <w:r>
        <w:rPr>
          <w:rFonts w:ascii="Amiri" w:hAnsi="Amiri" w:eastAsia="Amiri" w:cs="Amiri"/>
          <w:color w:val="111111"/>
          <w:sz w:val="28"/>
          <w:sz w:val="28"/>
          <w:szCs w:val="28"/>
          <w:rtl w:val="true"/>
          <w:lang w:bidi="ar-SA"/>
        </w:rPr>
        <w:t>عملا بظواهر النصوص المعتبرة للحول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حصل النقص فيه و لو يسيرا في أثناء الحول سقط الوجوب سواء كان النقص بآفة سماويّة من موت و نحوه أو بغيرها من فعل فاعل مختار و لو فعل المالك من إتلاف أو بيع أو هبة أو غيرهما من العقود المخرجة للعين عن الملك</w:t>
      </w:r>
      <w:r>
        <w:rPr>
          <w:rFonts w:eastAsia="Amiri" w:cs="Amiri" w:ascii="Amiri" w:hAnsi="Amiri"/>
          <w:color w:val="111111"/>
          <w:sz w:val="28"/>
          <w:szCs w:val="28"/>
          <w:rtl w:val="true"/>
          <w:lang w:bidi="ar-SA"/>
        </w:rPr>
        <w:t xml:space="preserve">. </w:t>
      </w:r>
      <w:bookmarkStart w:id="408" w:name="pg16181_154681"/>
    </w:p>
    <w:p>
      <w:pPr>
        <w:pStyle w:val="BookText"/>
        <w:rPr/>
      </w:pPr>
      <w:bookmarkEnd w:id="408"/>
      <w:r>
        <w:rPr>
          <w:rFonts w:ascii="Amiri" w:hAnsi="Amiri" w:eastAsia="Amiri" w:cs="Amiri"/>
          <w:color w:val="111111"/>
          <w:sz w:val="28"/>
          <w:sz w:val="28"/>
          <w:szCs w:val="28"/>
          <w:rtl w:val="true"/>
          <w:lang w:bidi="ar-SA"/>
        </w:rPr>
        <w:t>و لو استكمل ما نقص في أثناء الحول استأنف الحول من حين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حصل النقص بعد الحول لم يسقط الوجوب، نعم يوزّع النقص على جميع النصاب إن لم يكن بتفريط المالك، و إلاّ اختصّ النقص بماله و لا يسقط من الفريضة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أيضا تحقّق سائر الشرائط الّتي منها الملك و التمكّن من التصرّف في النصاب في تمام الحول، فلو انتفى بعضها في أثنائه سقط الوجوب، ثمّ لو عاد في الأثناء استأنف الحول من حين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مسائل مهمّة</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2586705_1280447820"/>
      <w:bookmarkStart w:id="410" w:name="_Toc151"/>
      <w:bookmarkEnd w:id="409"/>
      <w:r>
        <w:rPr>
          <w:rtl w:val="true"/>
        </w:rPr>
        <w:t>[</w:t>
      </w:r>
      <w:r>
        <w:rPr>
          <w:rtl w:val="true"/>
        </w:rPr>
        <w:t>مسائل مهمة</w:t>
      </w:r>
      <w:r>
        <w:rPr>
          <w:rtl w:val="true"/>
        </w:rPr>
        <w:t>]</w:t>
      </w:r>
      <w:bookmarkEnd w:id="410"/>
    </w:p>
    <w:p>
      <w:pPr>
        <w:pStyle w:val="Heading6"/>
        <w:numPr>
          <w:ilvl w:val="5"/>
          <w:numId w:val="1"/>
        </w:numPr>
        <w:rPr/>
      </w:pPr>
      <w:bookmarkStart w:id="411" w:name="__RefHeading___Toc2586707_1280447820"/>
      <w:bookmarkStart w:id="412" w:name="_Toc152"/>
      <w:bookmarkEnd w:id="411"/>
      <w:r>
        <w:rPr>
          <w:rtl w:val="true"/>
        </w:rPr>
        <w:t>المسألة الاولى</w:t>
      </w:r>
      <w:r>
        <w:rPr>
          <w:rtl w:val="true"/>
        </w:rPr>
        <w:t>: [</w:t>
      </w:r>
      <w:r>
        <w:rPr>
          <w:rtl w:val="true"/>
        </w:rPr>
        <w:t>تغيير النصاب في أثناء الحول</w:t>
      </w:r>
      <w:r>
        <w:rPr>
          <w:rtl w:val="true"/>
        </w:rPr>
        <w:t>]</w:t>
      </w:r>
      <w:bookmarkEnd w:id="412"/>
    </w:p>
    <w:p>
      <w:pPr>
        <w:pStyle w:val="BookText"/>
        <w:rPr/>
      </w:pPr>
      <w:r>
        <w:rPr>
          <w:rFonts w:ascii="Amiri" w:hAnsi="Amiri" w:eastAsia="Amiri" w:cs="Amiri"/>
          <w:color w:val="111111"/>
          <w:sz w:val="28"/>
          <w:sz w:val="28"/>
          <w:szCs w:val="28"/>
          <w:rtl w:val="true"/>
          <w:lang w:bidi="ar-SA"/>
        </w:rPr>
        <w:t>لو غيّر النصاب في أثناء الحول بسبك أو تحلية أو غيرهما أو عاوضه ببيع أو صلح أو غيرهما بغير جنسه كما لو عاوض الدراهم بالدنانير أو بالعكس أو عاوض كلاّ منهما بالحنطة أو الشعير أو غيرهما و لم يكن قصد به الفرار عن الزكاة فينبغي القطع بسقوط الزكاة بذلك، و الظاهر أنّه ممّا لا خلاف فيه كما في المناهل</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عاوضه بجنسه كالدراهم بدراهم اخر و الدنانير بدنانير اخر قصد به الفرار أو لم يقصد فالمعظم على السقوط، و عن الشيخ في التهذيب قول بعدم السقوط و إن عاوض بالجنس أو بغيره بقصد الفرار</w:t>
      </w:r>
      <w:r>
        <w:rPr>
          <w:rStyle w:val="FootnoteAnchor"/>
          <w:rtl w:val="true"/>
        </w:rPr>
        <w:footnoteReference w:id="1840"/>
      </w:r>
      <w:r>
        <w:rPr>
          <w:rFonts w:ascii="Amiri" w:hAnsi="Amiri" w:eastAsia="Amiri" w:cs="Amiri"/>
          <w:color w:val="111111"/>
          <w:sz w:val="28"/>
          <w:sz w:val="28"/>
          <w:szCs w:val="28"/>
          <w:rtl w:val="true"/>
          <w:lang w:bidi="ar-SA"/>
        </w:rPr>
        <w:t>فالأكثر بل المشهور بين المتأخّرين بل عامّتهم على السقوط</w:t>
      </w:r>
      <w:r>
        <w:rPr>
          <w:rStyle w:val="FootnoteAnchor"/>
          <w:rtl w:val="true"/>
        </w:rPr>
        <w:footnoteReference w:id="1841"/>
      </w:r>
      <w:r>
        <w:rPr>
          <w:rFonts w:ascii="Amiri" w:hAnsi="Amiri" w:eastAsia="Amiri" w:cs="Amiri"/>
          <w:color w:val="111111"/>
          <w:sz w:val="28"/>
          <w:sz w:val="28"/>
          <w:szCs w:val="28"/>
          <w:rtl w:val="true"/>
          <w:lang w:bidi="ar-SA"/>
        </w:rPr>
        <w:t>و عن السيّد في الانتصار قول بعدم السقوط</w:t>
      </w:r>
      <w:r>
        <w:rPr>
          <w:rStyle w:val="FootnoteAnchor"/>
          <w:rtl w:val="true"/>
        </w:rPr>
        <w:footnoteReference w:id="1842"/>
      </w:r>
      <w:r>
        <w:rPr>
          <w:rFonts w:ascii="Amiri" w:hAnsi="Amiri" w:eastAsia="Amiri" w:cs="Amiri"/>
          <w:color w:val="111111"/>
          <w:sz w:val="28"/>
          <w:sz w:val="28"/>
          <w:szCs w:val="28"/>
          <w:rtl w:val="true"/>
          <w:lang w:bidi="ar-SA"/>
        </w:rPr>
        <w:t>و ربّما عزي أيضا إلى الخلاف</w:t>
      </w:r>
      <w:r>
        <w:rPr>
          <w:rStyle w:val="FootnoteAnchor"/>
          <w:rtl w:val="true"/>
        </w:rPr>
        <w:footnoteReference w:id="1843"/>
      </w:r>
      <w:r>
        <w:rPr>
          <w:rFonts w:ascii="Amiri" w:hAnsi="Amiri" w:eastAsia="Amiri" w:cs="Amiri"/>
          <w:color w:val="111111"/>
          <w:sz w:val="28"/>
          <w:sz w:val="28"/>
          <w:szCs w:val="28"/>
          <w:rtl w:val="true"/>
          <w:lang w:bidi="ar-SA"/>
        </w:rPr>
        <w:t>و الغنية</w:t>
      </w:r>
      <w:r>
        <w:rPr>
          <w:rStyle w:val="FootnoteAnchor"/>
          <w:rtl w:val="true"/>
        </w:rPr>
        <w:footnoteReference w:id="1844"/>
      </w:r>
      <w:r>
        <w:rPr>
          <w:rFonts w:ascii="Amiri" w:hAnsi="Amiri" w:eastAsia="Amiri" w:cs="Amiri"/>
          <w:color w:val="111111"/>
          <w:sz w:val="28"/>
          <w:sz w:val="28"/>
          <w:szCs w:val="28"/>
          <w:rtl w:val="true"/>
          <w:lang w:bidi="ar-SA"/>
        </w:rPr>
        <w:t>و المسائل المصرية للسيّد</w:t>
      </w:r>
      <w:r>
        <w:rPr>
          <w:rStyle w:val="FootnoteAnchor"/>
          <w:rtl w:val="true"/>
        </w:rPr>
        <w:footnoteReference w:id="1845"/>
      </w:r>
      <w:r>
        <w:rPr>
          <w:rFonts w:ascii="Amiri" w:hAnsi="Amiri" w:eastAsia="Amiri" w:cs="Amiri"/>
          <w:color w:val="111111"/>
          <w:sz w:val="28"/>
          <w:sz w:val="28"/>
          <w:szCs w:val="28"/>
          <w:rtl w:val="true"/>
          <w:lang w:bidi="ar-SA"/>
        </w:rPr>
        <w:t>و عن الرياض أنّ عليه أكثر المتقدّمين على الظاهر</w:t>
      </w:r>
      <w:r>
        <w:rPr>
          <w:rStyle w:val="FootnoteAnchor"/>
          <w:rtl w:val="true"/>
        </w:rPr>
        <w:footnoteReference w:id="1846"/>
      </w:r>
      <w:r>
        <w:rPr>
          <w:rFonts w:ascii="Amiri" w:hAnsi="Amiri" w:eastAsia="Amiri" w:cs="Amiri"/>
          <w:color w:val="111111"/>
          <w:sz w:val="28"/>
          <w:sz w:val="28"/>
          <w:szCs w:val="28"/>
          <w:rtl w:val="true"/>
          <w:lang w:bidi="ar-SA"/>
        </w:rPr>
        <w:t>و نقل عن جدّه</w:t>
      </w:r>
      <w:r>
        <w:rPr>
          <w:rStyle w:val="FootnoteAnchor"/>
          <w:rtl w:val="true"/>
        </w:rPr>
        <w:footnoteReference w:id="1847"/>
      </w:r>
      <w:r>
        <w:rPr>
          <w:rFonts w:ascii="Amiri" w:hAnsi="Amiri" w:eastAsia="Amiri" w:cs="Amiri"/>
          <w:color w:val="111111"/>
          <w:sz w:val="28"/>
          <w:sz w:val="28"/>
          <w:szCs w:val="28"/>
          <w:rtl w:val="true"/>
          <w:lang w:bidi="ar-SA"/>
        </w:rPr>
        <w:t>أنّه حكاه عن الصدوقين</w:t>
      </w:r>
      <w:r>
        <w:rPr>
          <w:rStyle w:val="FootnoteAnchor"/>
          <w:rtl w:val="true"/>
        </w:rPr>
        <w:footnoteReference w:id="1848"/>
      </w:r>
      <w:bookmarkStart w:id="413" w:name="pg16181_154682"/>
    </w:p>
    <w:p>
      <w:pPr>
        <w:pStyle w:val="BookText"/>
        <w:rPr/>
      </w:pPr>
      <w:bookmarkEnd w:id="413"/>
      <w:r>
        <w:rPr>
          <w:rFonts w:ascii="IRNazanin" w:hAnsi="IRNazanin" w:eastAsia="IRNazanin"/>
          <w:color w:val="111111"/>
          <w:sz w:val="28"/>
          <w:sz w:val="28"/>
          <w:szCs w:val="28"/>
          <w:rtl w:val="true"/>
          <w:lang w:bidi="fa-IR"/>
        </w:rPr>
        <w:t>و المبسوط</w:t>
      </w:r>
      <w:r>
        <w:rPr>
          <w:rStyle w:val="FootnoteAnchor"/>
          <w:rtl w:val="true"/>
        </w:rPr>
        <w:footnoteReference w:id="1849"/>
      </w:r>
      <w:r>
        <w:rPr>
          <w:rFonts w:ascii="Amiri" w:hAnsi="Amiri" w:eastAsia="Amiri" w:cs="Amiri"/>
          <w:color w:val="111111"/>
          <w:sz w:val="28"/>
          <w:sz w:val="28"/>
          <w:szCs w:val="28"/>
          <w:rtl w:val="true"/>
          <w:lang w:bidi="ar-SA"/>
        </w:rPr>
        <w:t>و جمل السيّد</w:t>
      </w:r>
      <w:r>
        <w:rPr>
          <w:rStyle w:val="FootnoteAnchor"/>
          <w:rtl w:val="true"/>
        </w:rPr>
        <w:footnoteReference w:id="1850"/>
      </w:r>
      <w:r>
        <w:rPr>
          <w:rFonts w:ascii="Amiri" w:hAnsi="Amiri" w:eastAsia="Amiri" w:cs="Amiri"/>
          <w:color w:val="111111"/>
          <w:sz w:val="28"/>
          <w:sz w:val="28"/>
          <w:szCs w:val="28"/>
          <w:rtl w:val="true"/>
          <w:lang w:bidi="ar-SA"/>
        </w:rPr>
        <w:t>و حكي أيضا نسبته إلى الشيخ في موضع من التهذيب</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المعتمد في المسألتين هو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المختار هو سقوط الزكاة بتغيير النصاب أو تعويضه أو إخراجه عن الملك مطلقا، و قد تقدّم دليله من الأخبار مع دليلي القولين الآخرين و الجواب عنهما في أحكام النصاب من الأنعام الثلاث على وجه أغنانا عن التكلّم في الدليل و المعارض هاهنا، فلا حاجة إلى الإعادة و التكرار</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2586709_1280447820"/>
      <w:bookmarkStart w:id="415" w:name="_Toc153"/>
      <w:bookmarkEnd w:id="414"/>
      <w:r>
        <w:rPr>
          <w:rtl w:val="true"/>
        </w:rPr>
        <w:t>المسألة الثانية</w:t>
      </w:r>
      <w:r>
        <w:rPr>
          <w:rtl w:val="true"/>
        </w:rPr>
        <w:t>: [</w:t>
      </w:r>
      <w:r>
        <w:rPr>
          <w:rtl w:val="true"/>
        </w:rPr>
        <w:t>عدم وجوب الزكاة في الحليّ و السبائك</w:t>
      </w:r>
      <w:r>
        <w:rPr>
          <w:rtl w:val="true"/>
        </w:rPr>
        <w:t>]</w:t>
      </w:r>
      <w:bookmarkEnd w:id="41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من مذهب الأصحاب المصرّح به في كلام أساطينهم من القدماء</w:t>
      </w:r>
      <w:r>
        <w:rPr>
          <w:rStyle w:val="FootnoteAnchor"/>
          <w:rtl w:val="true"/>
        </w:rPr>
        <w:footnoteReference w:id="1852"/>
      </w:r>
      <w:r>
        <w:rPr>
          <w:rFonts w:ascii="Amiri" w:hAnsi="Amiri" w:eastAsia="Amiri" w:cs="Amiri"/>
          <w:color w:val="111111"/>
          <w:sz w:val="28"/>
          <w:sz w:val="28"/>
          <w:szCs w:val="28"/>
          <w:rtl w:val="true"/>
          <w:lang w:bidi="ar-SA"/>
        </w:rPr>
        <w:t>و المتأخّرين</w:t>
      </w:r>
      <w:r>
        <w:rPr>
          <w:rStyle w:val="FootnoteAnchor"/>
          <w:rtl w:val="true"/>
        </w:rPr>
        <w:footnoteReference w:id="1853"/>
      </w:r>
      <w:r>
        <w:rPr>
          <w:rFonts w:ascii="Amiri" w:hAnsi="Amiri" w:eastAsia="Amiri" w:cs="Amiri"/>
          <w:color w:val="111111"/>
          <w:sz w:val="28"/>
          <w:sz w:val="28"/>
          <w:szCs w:val="28"/>
          <w:rtl w:val="true"/>
          <w:lang w:bidi="ar-SA"/>
        </w:rPr>
        <w:t>و متأخّريهم</w:t>
      </w:r>
      <w:r>
        <w:rPr>
          <w:rStyle w:val="FootnoteAnchor"/>
          <w:rtl w:val="true"/>
        </w:rPr>
        <w:footnoteReference w:id="1854"/>
      </w:r>
      <w:r>
        <w:rPr>
          <w:rFonts w:ascii="Amiri" w:hAnsi="Amiri" w:eastAsia="Amiri" w:cs="Amiri"/>
          <w:color w:val="111111"/>
          <w:sz w:val="28"/>
          <w:sz w:val="28"/>
          <w:szCs w:val="28"/>
          <w:rtl w:val="true"/>
          <w:lang w:bidi="ar-SA"/>
        </w:rPr>
        <w:t>أنّه لا يجب الزكاة في الحليّ محلّلا كان كالسوار</w:t>
      </w:r>
      <w:r>
        <w:rPr>
          <w:rStyle w:val="FootnoteAnchor"/>
          <w:rtl w:val="true"/>
        </w:rPr>
        <w:footnoteReference w:id="1855"/>
      </w:r>
      <w:r>
        <w:rPr>
          <w:rFonts w:ascii="IRNazanin" w:hAnsi="IRNazanin" w:eastAsia="IRNazanin"/>
          <w:color w:val="111111"/>
          <w:sz w:val="28"/>
          <w:sz w:val="28"/>
          <w:szCs w:val="28"/>
          <w:rtl w:val="true"/>
          <w:lang w:bidi="fa-IR"/>
        </w:rPr>
        <w:t>و القرط</w:t>
      </w:r>
      <w:r>
        <w:rPr>
          <w:rStyle w:val="FootnoteAnchor"/>
          <w:rtl w:val="true"/>
        </w:rPr>
        <w:footnoteReference w:id="1856"/>
      </w:r>
      <w:r>
        <w:rPr>
          <w:rFonts w:ascii="Amiri" w:hAnsi="Amiri" w:eastAsia="Amiri" w:cs="Amiri"/>
          <w:color w:val="111111"/>
          <w:sz w:val="28"/>
          <w:sz w:val="28"/>
          <w:szCs w:val="28"/>
          <w:rtl w:val="true"/>
          <w:lang w:bidi="ar-SA"/>
        </w:rPr>
        <w:t>للمرأة، و المنطقة و حلية السيف للرجل، أو محرّما كالخلخال للرجل و المنطقة للمرأة و الأواني المتّخذة من الذهب و الفضّة، 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محرّما بإجماعنا</w:t>
      </w:r>
      <w:r>
        <w:rPr>
          <w:rFonts w:eastAsia="Amiri" w:cs="Amiri" w:ascii="Amiri" w:hAnsi="Amiri"/>
          <w:color w:val="111111"/>
          <w:sz w:val="28"/>
          <w:szCs w:val="28"/>
          <w:rtl w:val="true"/>
          <w:lang w:bidi="ar-SA"/>
        </w:rPr>
        <w:t>»</w:t>
      </w:r>
      <w:r>
        <w:rPr>
          <w:rStyle w:val="FootnoteAnchor"/>
          <w:rtl w:val="true"/>
        </w:rPr>
        <w:footnoteReference w:id="1857"/>
      </w:r>
      <w:r>
        <w:rPr>
          <w:rFonts w:ascii="Amiri" w:hAnsi="Amiri" w:eastAsia="Amiri" w:cs="Amiri"/>
          <w:color w:val="111111"/>
          <w:sz w:val="28"/>
          <w:sz w:val="28"/>
          <w:szCs w:val="28"/>
          <w:rtl w:val="true"/>
          <w:lang w:bidi="ar-SA"/>
        </w:rPr>
        <w:t>و عن تذكرة العلاّمة في المحلّل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قول علمائنا أجمع و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أطبق الجمهور</w:t>
      </w:r>
      <w:r>
        <w:rPr>
          <w:rStyle w:val="FootnoteAnchor"/>
          <w:rtl w:val="true"/>
        </w:rPr>
        <w:footnoteReference w:id="1858"/>
      </w:r>
      <w:r>
        <w:rPr>
          <w:rFonts w:ascii="Amiri" w:hAnsi="Amiri" w:eastAsia="Amiri" w:cs="Amiri"/>
          <w:color w:val="111111"/>
          <w:sz w:val="28"/>
          <w:sz w:val="28"/>
          <w:szCs w:val="28"/>
          <w:rtl w:val="true"/>
          <w:lang w:bidi="ar-SA"/>
        </w:rPr>
        <w:t>كافّة على إيجاب الزكاة فيه</w:t>
      </w:r>
      <w:r>
        <w:rPr>
          <w:rFonts w:eastAsia="Amiri" w:cs="Amiri" w:ascii="Amiri" w:hAnsi="Amiri"/>
          <w:color w:val="111111"/>
          <w:sz w:val="28"/>
          <w:szCs w:val="28"/>
          <w:rtl w:val="true"/>
          <w:lang w:bidi="ar-SA"/>
        </w:rPr>
        <w:t>»</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الأصل في الحكم بعد الإجماع، الأخبار المستفيضة ففي الصحيح عن محمّد بن عليّ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الحلي فيه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و سأله بعضهم عن الحليّ فيه 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إن بلغ مائة ألف</w:t>
      </w:r>
      <w:r>
        <w:rPr>
          <w:rFonts w:eastAsia="Amiri" w:cs="Amiri" w:ascii="Amiri" w:hAnsi="Amiri"/>
          <w:color w:val="111111"/>
          <w:sz w:val="28"/>
          <w:szCs w:val="28"/>
          <w:rtl w:val="true"/>
          <w:lang w:bidi="ar-SA"/>
        </w:rPr>
        <w:t>»</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يعقوب بن شعيب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الحلي أ يزكّى‌؟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يبقى منه شيء</w:t>
      </w:r>
      <w:r>
        <w:rPr>
          <w:rFonts w:eastAsia="Amiri" w:cs="Amiri" w:ascii="Amiri" w:hAnsi="Amiri"/>
          <w:color w:val="111111"/>
          <w:sz w:val="28"/>
          <w:szCs w:val="28"/>
          <w:rtl w:val="true"/>
          <w:lang w:bidi="ar-SA"/>
        </w:rPr>
        <w:t>»</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هارون بن خارجة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الحلي زكاة</w:t>
      </w:r>
      <w:r>
        <w:rPr>
          <w:rFonts w:eastAsia="Amiri" w:cs="Amiri" w:ascii="Amiri" w:hAnsi="Amiri"/>
          <w:color w:val="111111"/>
          <w:sz w:val="28"/>
          <w:szCs w:val="28"/>
          <w:rtl w:val="true"/>
          <w:lang w:bidi="ar-SA"/>
        </w:rPr>
        <w:t>»</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مروان بن مسلم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الحليّ عليه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زكاة و إن بلغ مائة ألف درهم، كان أبي يخالف الناس في هذا</w:t>
      </w:r>
      <w:r>
        <w:rPr>
          <w:rFonts w:eastAsia="Amiri" w:cs="Amiri" w:ascii="Amiri" w:hAnsi="Amiri"/>
          <w:color w:val="111111"/>
          <w:sz w:val="28"/>
          <w:szCs w:val="28"/>
          <w:rtl w:val="true"/>
          <w:lang w:bidi="ar-SA"/>
        </w:rPr>
        <w:t>»</w:t>
      </w:r>
      <w:r>
        <w:rPr>
          <w:rStyle w:val="FootnoteAnchor"/>
          <w:rtl w:val="true"/>
        </w:rPr>
        <w:footnoteReference w:id="1864"/>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و صريح الفتاوي عدم الفرق بين المحلّل و المحرّم، كما أنّ قضيّة إطلاقهما أيضا عدم الفرق بين قليله و 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المصرّح به في كلام جماعة و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بلغ مائة ألف أو مائة ألف درهم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بين أن يتضاعف قيمته و عدمه و لا بين أن يكون الغرض من اتّخاذه الزينة أو الإعارة أو الإجارة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النصوص أنّ زكاة الحليّ إعارته لمؤمن استعاره، و حمل على الاستحباب و أفتى به جماعة، و هو متّجه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في الشرائع و العلاّمة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زكاة في السبائك </w:t>
      </w:r>
    </w:p>
    <w:p>
      <w:pPr>
        <w:pStyle w:val="BookText"/>
        <w:rPr/>
      </w:pPr>
      <w:r>
        <w:rPr>
          <w:rFonts w:ascii="IRNazanin" w:hAnsi="IRNazanin" w:eastAsia="IRNazanin"/>
          <w:color w:val="111111"/>
          <w:sz w:val="28"/>
          <w:sz w:val="28"/>
          <w:szCs w:val="28"/>
          <w:rtl w:val="true"/>
          <w:lang w:bidi="fa-IR"/>
        </w:rPr>
        <w:t>و لا النقار و لا التبر</w:t>
      </w:r>
      <w:r>
        <w:rPr>
          <w:rFonts w:eastAsia="IRNazanin" w:cs="IRNazanin"/>
          <w:color w:val="111111"/>
          <w:sz w:val="28"/>
          <w:szCs w:val="28"/>
          <w:rtl w:val="true"/>
          <w:lang w:bidi="fa-IR"/>
        </w:rPr>
        <w:t>»</w:t>
      </w:r>
      <w:r>
        <w:rPr>
          <w:rStyle w:val="FootnoteAnchor"/>
          <w:rtl w:val="true"/>
        </w:rPr>
        <w:footnoteReference w:id="1865"/>
      </w:r>
      <w:r>
        <w:rPr>
          <w:rFonts w:ascii="Amiri" w:hAnsi="Amiri" w:eastAsia="Amiri" w:cs="Amiri"/>
          <w:color w:val="111111"/>
          <w:sz w:val="28"/>
          <w:sz w:val="28"/>
          <w:szCs w:val="28"/>
          <w:rtl w:val="true"/>
          <w:lang w:bidi="ar-SA"/>
        </w:rPr>
        <w:t>و نسبه في الذخيرة</w:t>
      </w:r>
      <w:r>
        <w:rPr>
          <w:rStyle w:val="FootnoteAnchor"/>
          <w:rtl w:val="true"/>
        </w:rPr>
        <w:footnoteReference w:id="1866"/>
      </w:r>
      <w:r>
        <w:rPr>
          <w:rFonts w:ascii="Amiri" w:hAnsi="Amiri" w:eastAsia="Amiri" w:cs="Amiri"/>
          <w:color w:val="111111"/>
          <w:sz w:val="28"/>
          <w:sz w:val="28"/>
          <w:szCs w:val="28"/>
          <w:rtl w:val="true"/>
          <w:lang w:bidi="ar-SA"/>
        </w:rPr>
        <w:t>إلى المشهور و وافقه في الأوّلين جمع كثير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النصّ بنفي الزكاة في كلّ من الثلاثة، ففي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صحيح عليّ بن يقطين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لم يكن ركازا فليس عليك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الركاز؟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المنقوش،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فاسبكه فإنّه ليس في سبائك الذهب و نقار الفضّة شيء من الزكاة</w:t>
      </w:r>
      <w:r>
        <w:rPr>
          <w:rFonts w:eastAsia="Amiri" w:cs="Amiri" w:ascii="Amiri" w:hAnsi="Amiri"/>
          <w:color w:val="111111"/>
          <w:sz w:val="28"/>
          <w:szCs w:val="28"/>
          <w:rtl w:val="true"/>
          <w:lang w:bidi="ar-SA"/>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الأخير روايتا جميل بن درّاج حيث قال عليه السّلام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التبر زكاة إنّما هي الدنانير و الدراهم</w:t>
      </w:r>
      <w:r>
        <w:rPr>
          <w:rFonts w:eastAsia="Amiri" w:cs="Amiri" w:ascii="Amiri" w:hAnsi="Amiri"/>
          <w:color w:val="111111"/>
          <w:sz w:val="28"/>
          <w:szCs w:val="28"/>
          <w:rtl w:val="true"/>
          <w:lang w:bidi="ar-SA"/>
        </w:rPr>
        <w:t>»</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الأوّلين أيضا نصوص اخر تقدّم جملة منها و يقف المتتبّع على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كلمتهم في تفسير الأوّلين بل الثلاثة</w:t>
      </w:r>
      <w:r>
        <w:rPr>
          <w:rStyle w:val="FootnoteAnchor"/>
          <w:rtl w:val="true"/>
        </w:rPr>
        <w:footnoteReference w:id="1869"/>
      </w:r>
      <w:r>
        <w:rPr>
          <w:rFonts w:ascii="Amiri" w:hAnsi="Amiri" w:eastAsia="Amiri" w:cs="Amiri"/>
          <w:color w:val="111111"/>
          <w:sz w:val="28"/>
          <w:sz w:val="28"/>
          <w:szCs w:val="28"/>
          <w:rtl w:val="true"/>
          <w:lang w:bidi="ar-SA"/>
        </w:rPr>
        <w:t>ففي كلام جماعة السبائك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الغير المضروبة من الذهب، و النقار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الغير المضروبة من الفضّة</w:t>
      </w:r>
      <w:r>
        <w:rPr>
          <w:rFonts w:eastAsia="Amiri" w:cs="Amiri" w:ascii="Amiri" w:hAnsi="Amiri"/>
          <w:color w:val="111111"/>
          <w:sz w:val="28"/>
          <w:szCs w:val="28"/>
          <w:rtl w:val="true"/>
          <w:lang w:bidi="ar-SA"/>
        </w:rPr>
        <w:t>»</w:t>
      </w:r>
      <w:r>
        <w:rPr>
          <w:rStyle w:val="FootnoteAnchor"/>
          <w:rtl w:val="true"/>
        </w:rPr>
        <w:footnoteReference w:id="1870"/>
      </w:r>
      <w:r>
        <w:rPr>
          <w:rFonts w:ascii="Amiri" w:hAnsi="Amiri" w:eastAsia="Amiri" w:cs="Amiri"/>
          <w:color w:val="111111"/>
          <w:sz w:val="28"/>
          <w:sz w:val="28"/>
          <w:szCs w:val="28"/>
          <w:rtl w:val="true"/>
          <w:lang w:bidi="ar-SA"/>
        </w:rPr>
        <w:t>و في المسالك التصريح بكون كلّ منهما للأعمّ من قطع الذهب و الفضّة قائلا في شرح عبارة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السبائك تشمل الذهب و الفضّة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سبكت الفضّة و غيرها سبكا أذبتها، و الفضّة سبيكة و الجمع السبائك</w:t>
      </w:r>
      <w:r>
        <w:rPr>
          <w:rStyle w:val="FootnoteAnchor"/>
          <w:rtl w:val="true"/>
        </w:rPr>
        <w:footnoteReference w:id="1871"/>
      </w:r>
      <w:r>
        <w:rPr>
          <w:rFonts w:ascii="Amiri" w:hAnsi="Amiri" w:eastAsia="Amiri" w:cs="Amiri"/>
          <w:color w:val="111111"/>
          <w:sz w:val="28"/>
          <w:sz w:val="28"/>
          <w:szCs w:val="28"/>
          <w:rtl w:val="true"/>
          <w:lang w:bidi="ar-SA"/>
        </w:rPr>
        <w:t>و يمكن أن يريد بالسبائك هنا الفضّة لا غير كما دلّ عليه آخر كلام الجوهري، و خصّها بعض الأصحاب بالذهب</w:t>
      </w:r>
      <w:r>
        <w:rPr>
          <w:rStyle w:val="FootnoteAnchor"/>
          <w:rtl w:val="true"/>
        </w:rPr>
        <w:footnoteReference w:id="1872"/>
      </w:r>
      <w:r>
        <w:rPr>
          <w:rFonts w:ascii="Amiri" w:hAnsi="Amiri" w:eastAsia="Amiri" w:cs="Amiri"/>
          <w:color w:val="111111"/>
          <w:sz w:val="28"/>
          <w:sz w:val="28"/>
          <w:szCs w:val="28"/>
          <w:rtl w:val="true"/>
          <w:lang w:bidi="ar-SA"/>
        </w:rPr>
        <w:t>و هو لا يوافق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النقار بكسر النون جمع نقرة بضمّها فهي كالسبيكة،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الفضّة</w:t>
      </w:r>
      <w:r>
        <w:rPr>
          <w:rStyle w:val="FootnoteAnchor"/>
          <w:rtl w:val="true"/>
        </w:rPr>
        <w:footnoteReference w:id="1873"/>
      </w:r>
      <w:r>
        <w:rPr>
          <w:rFonts w:ascii="Amiri" w:hAnsi="Amiri" w:eastAsia="Amiri" w:cs="Amiri"/>
          <w:color w:val="111111"/>
          <w:sz w:val="28"/>
          <w:sz w:val="28"/>
          <w:szCs w:val="28"/>
          <w:rtl w:val="true"/>
          <w:lang w:bidi="ar-SA"/>
        </w:rPr>
        <w:t>و به يحصل الفرق بينها و بين السبائك على التفسير الأخير</w:t>
      </w:r>
      <w:r>
        <w:rPr>
          <w:rFonts w:eastAsia="Amiri" w:cs="Amiri" w:ascii="Amiri" w:hAnsi="Amiri"/>
          <w:color w:val="111111"/>
          <w:sz w:val="28"/>
          <w:szCs w:val="28"/>
          <w:rtl w:val="true"/>
          <w:lang w:bidi="ar-SA"/>
        </w:rPr>
        <w:t>»</w:t>
      </w:r>
      <w:r>
        <w:rPr>
          <w:rStyle w:val="FootnoteAnchor"/>
          <w:rtl w:val="true"/>
        </w:rPr>
        <w:footnoteReference w:id="18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يساعد على ما ذكره من التعميم في السبائك، المحكيّ عن المغرب من قوله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سبك الذهب و الفضّة أذابها و خلّصها من الخبث، و السبكة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المذابة منها و غيرها إذا استطالت</w:t>
      </w:r>
      <w:r>
        <w:rPr>
          <w:rFonts w:eastAsia="Amiri" w:cs="Amiri" w:ascii="Amiri" w:hAnsi="Amiri"/>
          <w:color w:val="111111"/>
          <w:sz w:val="28"/>
          <w:szCs w:val="28"/>
          <w:rtl w:val="true"/>
          <w:lang w:bidi="ar-SA"/>
        </w:rPr>
        <w:t>»</w:t>
      </w:r>
      <w:r>
        <w:rPr>
          <w:rStyle w:val="FootnoteAnchor"/>
          <w:rtl w:val="true"/>
        </w:rPr>
        <w:footnoteReference w:id="187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صريح القاموس في النقار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النقرة بالضمّ‌، القطعة المذابة من الذهب و الفضّة و الجمع نقار</w:t>
      </w:r>
      <w:r>
        <w:rPr>
          <w:rFonts w:eastAsia="Amiri" w:cs="Amiri" w:ascii="Amiri" w:hAnsi="Amiri"/>
          <w:color w:val="111111"/>
          <w:sz w:val="28"/>
          <w:szCs w:val="28"/>
          <w:rtl w:val="true"/>
          <w:lang w:bidi="ar-SA"/>
        </w:rPr>
        <w:t>»</w:t>
      </w:r>
      <w:r>
        <w:rPr>
          <w:rStyle w:val="FootnoteAnchor"/>
          <w:rtl w:val="true"/>
        </w:rPr>
        <w:footnoteReference w:id="1876"/>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يحتمله كلامه في السبائك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 كسفينة القطعة المذوبة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أيضا صرّح بالتعميم فيهما معا</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يساعد على التعميم فيهما و عدم اختصاص السبائك بالذهب و لا النقار بالفضّة ظواهر الأخبار</w:t>
      </w:r>
      <w:r>
        <w:rPr>
          <w:rStyle w:val="FootnoteAnchor"/>
          <w:rtl w:val="true"/>
        </w:rPr>
        <w:footnoteReference w:id="1878"/>
      </w:r>
      <w:r>
        <w:rPr>
          <w:rFonts w:ascii="Amiri" w:hAnsi="Amiri" w:eastAsia="Amiri" w:cs="Amiri"/>
          <w:color w:val="111111"/>
          <w:sz w:val="28"/>
          <w:sz w:val="28"/>
          <w:szCs w:val="28"/>
          <w:rtl w:val="true"/>
          <w:lang w:bidi="ar-SA"/>
        </w:rPr>
        <w:t>الّتي أظهرها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صحيحة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ذلك فاسبكه فإنّه ليس في سبائك الذهب و نقار الفضّة شيء من الزكاة</w:t>
      </w:r>
      <w:r>
        <w:rPr>
          <w:rFonts w:eastAsia="Amiri" w:cs="Amiri" w:ascii="Amiri" w:hAnsi="Amiri"/>
          <w:color w:val="111111"/>
          <w:sz w:val="28"/>
          <w:szCs w:val="28"/>
          <w:rtl w:val="true"/>
          <w:lang w:bidi="ar-SA"/>
        </w:rPr>
        <w:t>»</w:t>
      </w:r>
      <w:r>
        <w:rPr>
          <w:rStyle w:val="FootnoteAnchor"/>
          <w:rtl w:val="true"/>
        </w:rPr>
        <w:footnoteReference w:id="1879"/>
      </w:r>
      <w:r>
        <w:rPr>
          <w:rFonts w:ascii="Amiri" w:hAnsi="Amiri" w:eastAsia="Amiri" w:cs="Amiri"/>
          <w:color w:val="111111"/>
          <w:sz w:val="28"/>
          <w:sz w:val="28"/>
          <w:szCs w:val="28"/>
          <w:rtl w:val="true"/>
          <w:lang w:bidi="ar-SA"/>
        </w:rPr>
        <w:t xml:space="preserve">إذ لا إشكال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الصامت المنقوش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متناول للذهب و الفضّة معا، و الضمير المنصوب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تقدير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أنّه إذا أردت أن لا يكون عليك شيء فاسبك الصامت المنقوش، و لو لا السبك للأعمّ لما صحّ الأمر به في الصامت المنقوش الّذي هو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منه تعليل الأمر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ليس في سبائك الذهب و نقار الفضّة شيء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لا السبك للأعمّ لما حسن إدراج نقار الفضّة في العلّة، و يكون الإضافة في كلّ من السبائك و النقار من باب إضافة العامّ إلى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التفكيك بين الذهب و الفضّة في المضاف إمّا تفنّن في العبارة أو لأنّ الغالب في السبائك إضافته إلى الذهب و في النقار إضافته إلى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صحيح آخر لعليّ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المال الّذي لا يعمل به و لا يقلّب،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تلزمه الزكاة في كلّ سنة إلاّ أن يسبك</w:t>
      </w:r>
      <w:r>
        <w:rPr>
          <w:rFonts w:eastAsia="Amiri" w:cs="Amiri" w:ascii="Amiri" w:hAnsi="Amiri"/>
          <w:color w:val="111111"/>
          <w:sz w:val="28"/>
          <w:szCs w:val="28"/>
          <w:rtl w:val="true"/>
          <w:lang w:bidi="ar-SA"/>
        </w:rPr>
        <w:t>»</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زيد الصائغ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لا أعلم ما فيها من الفضّة الخالصة إلاّ أنّي أعلم أنّ فيها ما يجب فيه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فاسبكها حتّى تخلص الفضّة و يحترق </w:t>
      </w:r>
    </w:p>
    <w:p>
      <w:pPr>
        <w:pStyle w:val="BookText"/>
        <w:rPr/>
      </w:pP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w:t>
      </w:r>
      <w:r>
        <w:rPr>
          <w:rStyle w:val="FootnoteAnchor"/>
          <w:rtl w:val="true"/>
        </w:rPr>
        <w:footnoteReference w:id="1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خبران آخران له أيضا في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الزكاة فيما سبك،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سبكه فرارا من الزكاة</w:t>
      </w:r>
      <w:r>
        <w:rPr>
          <w:rFonts w:eastAsia="Amiri" w:cs="Amiri" w:ascii="Amiri" w:hAnsi="Amiri"/>
          <w:color w:val="111111"/>
          <w:sz w:val="28"/>
          <w:szCs w:val="28"/>
          <w:rtl w:val="true"/>
          <w:lang w:bidi="ar-SA"/>
        </w:rPr>
        <w:t>»</w:t>
      </w:r>
      <w:r>
        <w:rPr>
          <w:rStyle w:val="FootnoteAnchor"/>
          <w:rtl w:val="true"/>
        </w:rPr>
        <w:footnoteReference w:id="1882"/>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الآخر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الزكاة فيما سبك</w:t>
      </w:r>
      <w:r>
        <w:rPr>
          <w:rFonts w:eastAsia="Amiri" w:cs="Amiri" w:ascii="Amiri" w:hAnsi="Amiri"/>
          <w:color w:val="111111"/>
          <w:sz w:val="28"/>
          <w:szCs w:val="28"/>
          <w:rtl w:val="true"/>
          <w:lang w:bidi="ar-SA"/>
        </w:rPr>
        <w:t>»</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فرّ بماله من الزكاة فاشترى به أرضا أو دارا أ عليه شيء؟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جعله حليّا أو نقرا فلا شيء عليه فيه</w:t>
      </w:r>
      <w:r>
        <w:rPr>
          <w:rFonts w:eastAsia="Amiri" w:cs="Amiri" w:ascii="Amiri" w:hAnsi="Amiri"/>
          <w:color w:val="111111"/>
          <w:sz w:val="28"/>
          <w:szCs w:val="28"/>
          <w:rtl w:val="true"/>
          <w:lang w:bidi="ar-SA"/>
        </w:rPr>
        <w:t>»</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التبر فهو أيضا على ما نصّ عليه جماعة من أهل اللغة أعمّ من الذهب و الفضّة، فعن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أو فتاتهما قبل أن يصاغا فإذا صيغا فهما ذهب أو فضّة أو ما استخرج من المعدن قبل أن يصاغ</w:t>
      </w:r>
      <w:r>
        <w:rPr>
          <w:rFonts w:eastAsia="Amiri" w:cs="Amiri" w:ascii="Amiri" w:hAnsi="Amiri"/>
          <w:color w:val="111111"/>
          <w:sz w:val="28"/>
          <w:szCs w:val="28"/>
          <w:rtl w:val="true"/>
          <w:lang w:bidi="ar-SA"/>
        </w:rPr>
        <w:t>»</w:t>
      </w:r>
      <w:r>
        <w:rPr>
          <w:rStyle w:val="FootnoteAnchor"/>
          <w:rtl w:val="true"/>
        </w:rPr>
        <w:footnoteReference w:id="1885"/>
      </w:r>
      <w:r>
        <w:rPr>
          <w:rFonts w:ascii="Amiri" w:hAnsi="Amiri" w:eastAsia="Amiri" w:cs="Amiri"/>
          <w:color w:val="111111"/>
          <w:sz w:val="28"/>
          <w:sz w:val="28"/>
          <w:szCs w:val="28"/>
          <w:rtl w:val="true"/>
          <w:lang w:bidi="ar-SA"/>
        </w:rPr>
        <w:t xml:space="preserve">و عن المجمل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كان من الذهب و الفضّة غير مصوغ</w:t>
      </w:r>
      <w:r>
        <w:rPr>
          <w:rFonts w:eastAsia="Amiri" w:cs="Amiri" w:ascii="Amiri" w:hAnsi="Amiri"/>
          <w:color w:val="111111"/>
          <w:sz w:val="28"/>
          <w:szCs w:val="28"/>
          <w:rtl w:val="true"/>
          <w:lang w:bidi="ar-SA"/>
        </w:rPr>
        <w:t>»</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غير مضروب من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يساعد على ما عن المغرب خبرا جميل بن درّاج و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التبر زكاة إنّما هي على الدنانير و الدراهم</w:t>
      </w:r>
      <w:r>
        <w:rPr>
          <w:rFonts w:eastAsia="Amiri" w:cs="Amiri" w:ascii="Amiri" w:hAnsi="Amiri"/>
          <w:color w:val="111111"/>
          <w:sz w:val="28"/>
          <w:szCs w:val="28"/>
          <w:rtl w:val="true"/>
          <w:lang w:bidi="ar-SA"/>
        </w:rPr>
        <w:t>»</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بعضهم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بتراب الذهب قبل تصفيته</w:t>
      </w:r>
      <w:r>
        <w:rPr>
          <w:rFonts w:eastAsia="Amiri" w:cs="Amiri" w:ascii="Amiri" w:hAnsi="Amiri"/>
          <w:color w:val="111111"/>
          <w:sz w:val="28"/>
          <w:szCs w:val="28"/>
          <w:rtl w:val="true"/>
          <w:lang w:bidi="ar-SA"/>
        </w:rPr>
        <w:t>»</w:t>
      </w:r>
      <w:r>
        <w:rPr>
          <w:rStyle w:val="FootnoteAnchor"/>
          <w:rtl w:val="true"/>
        </w:rPr>
        <w:footnoteReference w:id="1888"/>
      </w:r>
      <w:r>
        <w:rPr>
          <w:rFonts w:ascii="Amiri" w:hAnsi="Amiri" w:eastAsia="Amiri" w:cs="Amiri"/>
          <w:color w:val="111111"/>
          <w:sz w:val="28"/>
          <w:sz w:val="28"/>
          <w:szCs w:val="28"/>
          <w:rtl w:val="true"/>
          <w:lang w:bidi="ar-SA"/>
        </w:rPr>
        <w:t>و لعلّه مراد الفاضلين</w:t>
      </w:r>
      <w:r>
        <w:rPr>
          <w:rStyle w:val="FootnoteAnchor"/>
          <w:rtl w:val="true"/>
        </w:rPr>
        <w:footnoteReference w:id="1889"/>
      </w:r>
      <w:r>
        <w:rPr>
          <w:rFonts w:ascii="Amiri" w:hAnsi="Amiri" w:eastAsia="Amiri" w:cs="Amiri"/>
          <w:color w:val="111111"/>
          <w:sz w:val="28"/>
          <w:sz w:val="28"/>
          <w:szCs w:val="28"/>
          <w:rtl w:val="true"/>
          <w:lang w:bidi="ar-SA"/>
        </w:rPr>
        <w:t>و غيرهما من العبارة الجامعة بينه و بين السبائك و النقار، كما أنّ المراد بالسبائك في تلك العبارة يحتمل كونه ما يختصّ بالذهب و من النقار ما يختصّ بالفضّة، و كيف كان فالظاهر أنّ الجميع في النصوص لمعنى واحد</w:t>
      </w:r>
      <w:r>
        <w:rPr>
          <w:rFonts w:eastAsia="Amiri" w:cs="Amiri" w:ascii="Amiri" w:hAnsi="Amiri"/>
          <w:color w:val="111111"/>
          <w:sz w:val="28"/>
          <w:szCs w:val="28"/>
          <w:rtl w:val="true"/>
          <w:lang w:bidi="ar-SA"/>
        </w:rPr>
        <w:t xml:space="preserve">. </w:t>
      </w:r>
      <w:bookmarkStart w:id="416" w:name="pg16181_154687"/>
    </w:p>
    <w:p>
      <w:pPr>
        <w:pStyle w:val="Heading6"/>
        <w:numPr>
          <w:ilvl w:val="5"/>
          <w:numId w:val="1"/>
        </w:numPr>
        <w:rPr/>
      </w:pPr>
      <w:bookmarkStart w:id="417" w:name="__RefHeading___Toc2586711_1280447820"/>
      <w:bookmarkStart w:id="418" w:name="_Toc154"/>
      <w:bookmarkEnd w:id="416"/>
      <w:bookmarkEnd w:id="417"/>
      <w:r>
        <w:rPr>
          <w:rtl w:val="true"/>
        </w:rPr>
        <w:t>المسألة الثالثة</w:t>
      </w:r>
      <w:r>
        <w:rPr>
          <w:rtl w:val="true"/>
        </w:rPr>
        <w:t>: [</w:t>
      </w:r>
      <w:r>
        <w:rPr>
          <w:rtl w:val="true"/>
        </w:rPr>
        <w:t>عدم اعتبار الجودة و الرداءة</w:t>
      </w:r>
      <w:r>
        <w:rPr>
          <w:rtl w:val="true"/>
        </w:rPr>
        <w:t>]</w:t>
      </w:r>
      <w:bookmarkEnd w:id="41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Style w:val="FootnoteAnchor"/>
          <w:rtl w:val="true"/>
        </w:rPr>
        <w:footnoteReference w:id="1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 الجودة و الرداءة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اعتبار باختلاف الرغبة بسبب الجودة و الرداءة مع تساوي الجوهرين الجيّد و الرديء في الجنسيّة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في جنس الذهب و جنس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بصدقه عليهما بل يضمّ الجيّد إلى الرديء في اعتبار النصاب، فإن بلغ المجموع نصابا وجبت الزكاة وفاقا لأساطين المتأخّرين</w:t>
      </w:r>
      <w:r>
        <w:rPr>
          <w:rStyle w:val="FootnoteAnchor"/>
          <w:rtl w:val="true"/>
        </w:rPr>
        <w:footnoteReference w:id="1891"/>
      </w:r>
      <w:r>
        <w:rPr>
          <w:rFonts w:ascii="Amiri" w:hAnsi="Amiri" w:eastAsia="Amiri" w:cs="Amiri"/>
          <w:color w:val="111111"/>
          <w:sz w:val="28"/>
          <w:sz w:val="28"/>
          <w:szCs w:val="28"/>
          <w:rtl w:val="true"/>
          <w:lang w:bidi="ar-SA"/>
        </w:rPr>
        <w:t>و متأخّريهم</w:t>
      </w:r>
      <w:r>
        <w:rPr>
          <w:rStyle w:val="FootnoteAnchor"/>
          <w:rtl w:val="true"/>
        </w:rPr>
        <w:footnoteReference w:id="1892"/>
      </w:r>
      <w:r>
        <w:rPr>
          <w:rFonts w:ascii="Amiri" w:hAnsi="Amiri" w:eastAsia="Amiri" w:cs="Amiri"/>
          <w:color w:val="111111"/>
          <w:sz w:val="28"/>
          <w:sz w:val="28"/>
          <w:szCs w:val="28"/>
          <w:rtl w:val="true"/>
          <w:lang w:bidi="ar-SA"/>
        </w:rPr>
        <w:t>بل بلا خلاف يظهر بين الأصحاب، و في المناهل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أنّه ممّا لا خلاف فيه</w:t>
      </w:r>
      <w:r>
        <w:rPr>
          <w:rFonts w:eastAsia="Amiri" w:cs="Amiri" w:ascii="Amiri" w:hAnsi="Amiri"/>
          <w:color w:val="111111"/>
          <w:sz w:val="28"/>
          <w:szCs w:val="28"/>
          <w:rtl w:val="true"/>
          <w:lang w:bidi="ar-SA"/>
        </w:rPr>
        <w:t>»</w:t>
      </w:r>
      <w:r>
        <w:rPr>
          <w:rStyle w:val="FootnoteAnchor"/>
          <w:rtl w:val="true"/>
        </w:rPr>
        <w:footnoteReference w:id="1893"/>
      </w:r>
      <w:r>
        <w:rPr>
          <w:rFonts w:ascii="Amiri" w:hAnsi="Amiri" w:eastAsia="Amiri" w:cs="Amiri"/>
          <w:color w:val="111111"/>
          <w:sz w:val="28"/>
          <w:sz w:val="28"/>
          <w:szCs w:val="28"/>
          <w:rtl w:val="true"/>
          <w:lang w:bidi="ar-SA"/>
        </w:rPr>
        <w:t>و نفى عنه الريب في المدارك</w:t>
      </w:r>
      <w:r>
        <w:rPr>
          <w:rStyle w:val="FootnoteAnchor"/>
          <w:rtl w:val="true"/>
        </w:rPr>
        <w:footnoteReference w:id="1894"/>
      </w:r>
      <w:r>
        <w:rPr>
          <w:rFonts w:ascii="Amiri" w:hAnsi="Amiri" w:eastAsia="Amiri" w:cs="Amiri"/>
          <w:color w:val="111111"/>
          <w:sz w:val="28"/>
          <w:sz w:val="28"/>
          <w:szCs w:val="28"/>
          <w:rtl w:val="true"/>
          <w:lang w:bidi="ar-SA"/>
        </w:rPr>
        <w:t>لعموم الأدلّة من النصوص و الإجماعات، فإنّ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عشرين دينارا نصف دينار و في كلّ مائتي درهم خمسة دراهم</w:t>
      </w:r>
      <w:r>
        <w:rPr>
          <w:rFonts w:eastAsia="Amiri" w:cs="Amiri" w:ascii="Amiri" w:hAnsi="Amiri"/>
          <w:color w:val="111111"/>
          <w:sz w:val="28"/>
          <w:szCs w:val="28"/>
          <w:rtl w:val="true"/>
          <w:lang w:bidi="ar-SA"/>
        </w:rPr>
        <w:t>»</w:t>
      </w:r>
      <w:r>
        <w:rPr>
          <w:rStyle w:val="FootnoteAnchor"/>
          <w:rtl w:val="true"/>
        </w:rPr>
        <w:footnoteReference w:id="1895"/>
      </w:r>
      <w:r>
        <w:rPr>
          <w:rFonts w:ascii="Amiri" w:hAnsi="Amiri" w:eastAsia="Amiri" w:cs="Amiri"/>
          <w:color w:val="111111"/>
          <w:sz w:val="28"/>
          <w:sz w:val="28"/>
          <w:szCs w:val="28"/>
          <w:rtl w:val="true"/>
          <w:lang w:bidi="ar-SA"/>
        </w:rPr>
        <w:t>و تناوله الجيّد و الرديء بل صورتي تساوي الرغبة و القيمة، و اختلافهما ممّا لا يكاد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تطوّع المالك بإخراج الجيّد و الأرغب فلا كلام في كونه مجزئا كما هو المصرّح به في كلام المتعرّضين لأصل المسألة، و إن ماكس فله تقسيط الفريضة بأن يخرج من كلّ جنس بقسطه و بالنسبة إليه، كما هو المصرّح به في كلامهم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الكلام في أنّه على التعيين فلا يجزئ إخراج الفريضة بتمامها من الرديء، أو على الأفضل فيجزئ الإخراج من الأدون أيضا؟ قولان، ذهب إلى كلّ منهما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ما اختاره الشيخ</w:t>
      </w:r>
      <w:r>
        <w:rPr>
          <w:rStyle w:val="FootnoteAnchor"/>
          <w:rtl w:val="true"/>
        </w:rPr>
        <w:footnoteReference w:id="1896"/>
      </w:r>
      <w:r>
        <w:rPr>
          <w:rFonts w:ascii="Amiri" w:hAnsi="Amiri" w:eastAsia="Amiri" w:cs="Amiri"/>
          <w:color w:val="111111"/>
          <w:sz w:val="28"/>
          <w:sz w:val="28"/>
          <w:szCs w:val="28"/>
          <w:rtl w:val="true"/>
          <w:lang w:bidi="ar-SA"/>
        </w:rPr>
        <w:t>و تبعه جماعة، و يظهر الميل إليه من صاحب المدارك</w:t>
      </w:r>
      <w:r>
        <w:rPr>
          <w:rStyle w:val="FootnoteAnchor"/>
          <w:rtl w:val="true"/>
        </w:rPr>
        <w:footnoteReference w:id="1897"/>
      </w:r>
      <w:r>
        <w:rPr>
          <w:rFonts w:ascii="Amiri" w:hAnsi="Amiri" w:eastAsia="Amiri" w:cs="Amiri"/>
          <w:color w:val="111111"/>
          <w:sz w:val="28"/>
          <w:sz w:val="28"/>
          <w:szCs w:val="28"/>
          <w:rtl w:val="true"/>
          <w:lang w:bidi="ar-SA"/>
        </w:rPr>
        <w:t>كما عن الذخيرة</w:t>
      </w:r>
      <w:r>
        <w:rPr>
          <w:rStyle w:val="FootnoteAnchor"/>
          <w:rtl w:val="true"/>
        </w:rPr>
        <w:footnoteReference w:id="1898"/>
      </w:r>
      <w:r>
        <w:rPr>
          <w:rFonts w:ascii="Amiri" w:hAnsi="Amiri" w:eastAsia="Amiri" w:cs="Amiri"/>
          <w:color w:val="111111"/>
          <w:sz w:val="28"/>
          <w:sz w:val="28"/>
          <w:szCs w:val="28"/>
          <w:rtl w:val="true"/>
          <w:lang w:bidi="ar-SA"/>
        </w:rPr>
        <w:t>و استقربه في المناهل</w:t>
      </w:r>
      <w:r>
        <w:rPr>
          <w:rStyle w:val="FootnoteAnchor"/>
          <w:rtl w:val="true"/>
        </w:rPr>
        <w:footnoteReference w:id="1899"/>
      </w:r>
      <w:r>
        <w:rPr>
          <w:rFonts w:ascii="Amiri" w:hAnsi="Amiri" w:eastAsia="Amiri" w:cs="Amiri"/>
          <w:color w:val="111111"/>
          <w:sz w:val="28"/>
          <w:sz w:val="28"/>
          <w:szCs w:val="28"/>
          <w:rtl w:val="true"/>
          <w:lang w:bidi="ar-SA"/>
        </w:rPr>
        <w:t>و استدلّوا عليه بحصول الامتثال بإخراج ما يصدق عليه الإسم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يزيّفه أنّ صدق الإسم إنّما يجدي في حصول الامتثال على تقدير تعلّق </w:t>
      </w:r>
      <w:bookmarkStart w:id="419" w:name="pg16181_154688"/>
    </w:p>
    <w:p>
      <w:pPr>
        <w:pStyle w:val="BookText"/>
        <w:rPr/>
      </w:pPr>
      <w:bookmarkEnd w:id="419"/>
      <w:r>
        <w:rPr>
          <w:rFonts w:ascii="Amiri" w:hAnsi="Amiri" w:eastAsia="Amiri" w:cs="Amiri"/>
          <w:color w:val="111111"/>
          <w:sz w:val="28"/>
          <w:sz w:val="28"/>
          <w:szCs w:val="28"/>
          <w:rtl w:val="true"/>
          <w:lang w:bidi="ar-SA"/>
        </w:rPr>
        <w:t>الزكاة بالذمّة و هو على ما ستعرفه خلاف الفرض، و عليه فبعض ما وجب إخراجه إنّما هو من جنس الأرغب فكيف يجزئ عنه الأدنى، فالوجه هو تعيّن التقسيط و لا يجزئ عنه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أخرجه بالقيمة ينبغي القطع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أخرج من الأعلى ما هو بقدر قيمة الأدون فيما لو كانت الفريضة من جنسه كثلث دينار من الأعلى عن نصف دينار من الأدون فالمصرّح به في المدارك و الذخيرة و غيرهما أنّه لم يجزئه، لأنّ الواجب إخراج نصف دينار من العشرين فلا يجزئ عنه الناقص</w:t>
      </w:r>
      <w:r>
        <w:rPr>
          <w:rStyle w:val="FootnoteAnchor"/>
          <w:rtl w:val="true"/>
        </w:rPr>
        <w:footnoteReference w:id="1900"/>
      </w:r>
      <w:r>
        <w:rPr>
          <w:rFonts w:ascii="Amiri" w:hAnsi="Amiri" w:eastAsia="Amiri" w:cs="Amiri"/>
          <w:color w:val="111111"/>
          <w:sz w:val="28"/>
          <w:sz w:val="28"/>
          <w:szCs w:val="28"/>
          <w:rtl w:val="true"/>
          <w:lang w:bidi="ar-SA"/>
        </w:rPr>
        <w:t>و عن التذكرة احتمال الإجزاء اعتبارا بالقيمة</w:t>
      </w:r>
      <w:r>
        <w:rPr>
          <w:rStyle w:val="FootnoteAnchor"/>
          <w:rtl w:val="true"/>
        </w:rPr>
        <w:footnoteReference w:id="1901"/>
      </w:r>
      <w:r>
        <w:rPr>
          <w:rFonts w:ascii="IRNazanin" w:hAnsi="IRNazanin" w:eastAsia="IRNazanin"/>
          <w:color w:val="111111"/>
          <w:sz w:val="28"/>
          <w:sz w:val="28"/>
          <w:szCs w:val="28"/>
          <w:rtl w:val="true"/>
          <w:lang w:bidi="fa-IR"/>
        </w:rPr>
        <w:t>و الأوّل أقرب مع أنّه أحوط</w:t>
      </w:r>
      <w:r>
        <w:rPr>
          <w:rFonts w:eastAsia="IRNazanin" w:cs="IRNazanin"/>
          <w:color w:val="111111"/>
          <w:sz w:val="28"/>
          <w:szCs w:val="28"/>
          <w:rtl w:val="true"/>
          <w:lang w:bidi="fa-IR"/>
        </w:rPr>
        <w:t>.</w:t>
      </w:r>
    </w:p>
    <w:p>
      <w:pPr>
        <w:pStyle w:val="Heading6"/>
        <w:numPr>
          <w:ilvl w:val="5"/>
          <w:numId w:val="1"/>
        </w:numPr>
        <w:rPr/>
      </w:pPr>
      <w:bookmarkStart w:id="420" w:name="__RefHeading___Toc2586713_1280447820"/>
      <w:bookmarkStart w:id="421" w:name="_Toc155"/>
      <w:bookmarkEnd w:id="420"/>
      <w:r>
        <w:rPr>
          <w:rtl w:val="true"/>
        </w:rPr>
        <w:t>المسألة الرابعة</w:t>
      </w:r>
      <w:r>
        <w:rPr>
          <w:rtl w:val="true"/>
        </w:rPr>
        <w:t>: [</w:t>
      </w:r>
      <w:r>
        <w:rPr>
          <w:rtl w:val="true"/>
        </w:rPr>
        <w:t>الدراهم و الدنانير المغشوشة</w:t>
      </w:r>
      <w:r>
        <w:rPr>
          <w:rtl w:val="true"/>
        </w:rPr>
        <w:t>]</w:t>
      </w:r>
      <w:bookmarkEnd w:id="421"/>
    </w:p>
    <w:p>
      <w:pPr>
        <w:pStyle w:val="BookText"/>
        <w:rPr/>
      </w:pPr>
      <w:r>
        <w:rPr>
          <w:rFonts w:ascii="Amiri" w:hAnsi="Amiri" w:eastAsia="Amiri" w:cs="Amiri"/>
          <w:color w:val="111111"/>
          <w:sz w:val="28"/>
          <w:sz w:val="28"/>
          <w:szCs w:val="28"/>
          <w:rtl w:val="true"/>
          <w:lang w:bidi="ar-SA"/>
        </w:rPr>
        <w:t>في الدراهم و الدنانير المغشوشة و لها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يجب الزكاة، و في بعضها لا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الغشّ من غير جنس الفضّة و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كالرصاص و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يبلغ الخالص الموجود فيها النصاب، و هذه ما لا يجب فيها الزكاة بلا خلاف يظهر، لأنّ الزكاة إنّما تجب في الذهب و الفضّة لا في غيرهما من المعادن مع اعتبار بلوغهما النصاب، و المفروض عدم بلوغ الخالص النصاب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 في بلوغ الخالص النصاب، فالمصرّح به في كلام المتأخّرين</w:t>
      </w:r>
      <w:r>
        <w:rPr>
          <w:rStyle w:val="FootnoteAnchor"/>
          <w:rtl w:val="true"/>
        </w:rPr>
        <w:footnoteReference w:id="1902"/>
      </w:r>
      <w:r>
        <w:rPr>
          <w:rFonts w:ascii="Amiri" w:hAnsi="Amiri" w:eastAsia="Amiri" w:cs="Amiri"/>
          <w:color w:val="111111"/>
          <w:sz w:val="28"/>
          <w:sz w:val="28"/>
          <w:szCs w:val="28"/>
          <w:rtl w:val="true"/>
          <w:lang w:bidi="ar-SA"/>
        </w:rPr>
        <w:t>و متأخّريهم</w:t>
      </w:r>
      <w:r>
        <w:rPr>
          <w:rStyle w:val="FootnoteAnchor"/>
          <w:rtl w:val="true"/>
        </w:rPr>
        <w:footnoteReference w:id="1903"/>
      </w:r>
      <w:r>
        <w:rPr>
          <w:rFonts w:ascii="Amiri" w:hAnsi="Amiri" w:eastAsia="Amiri" w:cs="Amiri"/>
          <w:color w:val="111111"/>
          <w:sz w:val="28"/>
          <w:sz w:val="28"/>
          <w:szCs w:val="28"/>
          <w:rtl w:val="true"/>
          <w:lang w:bidi="ar-SA"/>
        </w:rPr>
        <w:t xml:space="preserve">عدم وجوب التصفية و السبك عليه ليعلم البلوغ و عدمه، و في محكيّ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قائل بوجوب التصفية مع الشكّ في النصاب</w:t>
      </w:r>
      <w:r>
        <w:rPr>
          <w:rFonts w:eastAsia="Amiri" w:cs="Amiri" w:ascii="Amiri" w:hAnsi="Amiri"/>
          <w:color w:val="111111"/>
          <w:sz w:val="28"/>
          <w:szCs w:val="28"/>
          <w:rtl w:val="true"/>
          <w:lang w:bidi="ar-SA"/>
        </w:rPr>
        <w:t>»</w:t>
      </w:r>
      <w:r>
        <w:rPr>
          <w:rStyle w:val="FootnoteAnchor"/>
          <w:rtl w:val="true"/>
        </w:rPr>
        <w:footnoteReference w:id="1904"/>
      </w:r>
      <w:r>
        <w:rPr>
          <w:rFonts w:ascii="Amiri" w:hAnsi="Amiri" w:eastAsia="Amiri" w:cs="Amiri"/>
          <w:color w:val="111111"/>
          <w:sz w:val="28"/>
          <w:sz w:val="28"/>
          <w:szCs w:val="28"/>
          <w:rtl w:val="true"/>
          <w:lang w:bidi="ar-SA"/>
        </w:rPr>
        <w:t>و في المناهل ظهور الاتّفاق عليه</w:t>
      </w:r>
      <w:r>
        <w:rPr>
          <w:rStyle w:val="FootnoteAnchor"/>
          <w:rtl w:val="true"/>
        </w:rPr>
        <w:footnoteReference w:id="1905"/>
      </w:r>
      <w:r>
        <w:rPr>
          <w:rFonts w:ascii="Amiri" w:hAnsi="Amiri" w:eastAsia="Amiri" w:cs="Amiri"/>
          <w:color w:val="111111"/>
          <w:sz w:val="28"/>
          <w:sz w:val="28"/>
          <w:szCs w:val="28"/>
          <w:rtl w:val="true"/>
          <w:lang w:bidi="ar-SA"/>
        </w:rPr>
        <w:t>و علّله في الذخيرة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الزكاة مشروط ببلوغ النصاب فلا يجب تحصيل مقدّمة الواجب المشروط و لا تحصيل العلم بها</w:t>
      </w:r>
      <w:r>
        <w:rPr>
          <w:rFonts w:eastAsia="Amiri" w:cs="Amiri" w:ascii="Amiri" w:hAnsi="Amiri"/>
          <w:color w:val="111111"/>
          <w:sz w:val="28"/>
          <w:szCs w:val="28"/>
          <w:rtl w:val="true"/>
          <w:lang w:bidi="ar-SA"/>
        </w:rPr>
        <w:t>»</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الاستناد في ذلك إلى أصل موضوعي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بلوغه النصاب، المعتضدة بأصالة البراءة عن الزكاة، و أصالة البراءة عن التصفية على تقدير احتمال وجوبها النفسي، و عن تحصيل العلم بالبلوغ على تقدير احتمال وجوبها المقدّمي، و لا وارد على هذه الاصول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يخدش فيها اشتراط العمل بالأصل بالفحص، للإجماع على عدم وجوب الفحص في العمل بالأصل في الموضوعات و بلوغ الخالص من الذهب أو الفضّة النصاب و عدمه من الموضوعات، و الشكّ في وجوب الزكاة و إن كان في ابتدائه من الاشتباه في الحكم إلاّ أنّ منشأه اشتباه الموضوع الخارجي فيلحق من جهته أصل البراءة بالأصل الجاري في الموضوعات الّتي لا فحص فيها إجماعا بل ضرورة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 فيه أنّ الفحص إنّما يجب احرازا لموضوع الأصل، و لا حاجة لإحرازه إليه في الموضوعات، لكون موضوعه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محرز بالفرض، بخلاف الأحكام الّتي موضوع الأصل فيها العجز عن العلم الّذي لا يحرز إلاّ بالفحص كما حقّقناه في الاصول</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 xml:space="preserve">. </w:t>
      </w:r>
      <w:bookmarkStart w:id="422" w:name="pg16181_154690"/>
    </w:p>
    <w:p>
      <w:pPr>
        <w:pStyle w:val="Heading5"/>
        <w:numPr>
          <w:ilvl w:val="4"/>
          <w:numId w:val="1"/>
        </w:numPr>
        <w:rPr/>
      </w:pPr>
      <w:bookmarkStart w:id="423" w:name="__RefHeading___Toc2586715_1280447820"/>
      <w:bookmarkStart w:id="424" w:name="_Toc156"/>
      <w:bookmarkEnd w:id="422"/>
      <w:bookmarkEnd w:id="423"/>
      <w:r>
        <w:rPr>
          <w:rtl w:val="true"/>
        </w:rPr>
        <w:t>المقام الثالث في زكاة الغلاّت و سائر ما يتعلّق بها</w:t>
      </w:r>
      <w:bookmarkEnd w:id="424"/>
    </w:p>
    <w:p>
      <w:pPr>
        <w:pStyle w:val="Heading6"/>
        <w:numPr>
          <w:ilvl w:val="5"/>
          <w:numId w:val="1"/>
        </w:numPr>
        <w:rPr/>
      </w:pPr>
      <w:bookmarkStart w:id="425" w:name="__RefHeading___Toc2586717_1280447820"/>
      <w:bookmarkStart w:id="426" w:name="_Toc157"/>
      <w:bookmarkEnd w:id="425"/>
      <w:r>
        <w:rPr>
          <w:rtl w:val="true"/>
        </w:rPr>
        <w:t>[</w:t>
      </w:r>
      <w:r>
        <w:rPr>
          <w:rtl w:val="true"/>
        </w:rPr>
        <w:t>في زكاة الغلاّت، شرطيّة النصاب</w:t>
      </w:r>
      <w:r>
        <w:rPr>
          <w:rtl w:val="true"/>
        </w:rPr>
        <w:t>]</w:t>
      </w:r>
      <w:bookmarkEnd w:id="426"/>
    </w:p>
    <w:p>
      <w:pPr>
        <w:pStyle w:val="Heading6"/>
        <w:numPr>
          <w:ilvl w:val="5"/>
          <w:numId w:val="1"/>
        </w:numPr>
        <w:rPr/>
      </w:pPr>
      <w:bookmarkStart w:id="427" w:name="__RefHeading___Toc2586719_1280447820"/>
      <w:bookmarkStart w:id="428" w:name="_Toc158"/>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و قد مرّ الكلام في وجوب الزكاة في الغلاّت الأربع و دليله من الإجماعات و النصوص و عدم وجوبها في غيرها من الحبوب و الثمار و استحبابها فيما أنبتت الأرض ممّا يكال أو يوزن، و الغرض الأصلي في المقام بيان اشتراط وجوبها في الغلاّت الأربع ببلوغها النصاب، و أنّ النصاب خمسة أوسق، و أنّ الوسق ستّون صاعا و إنّ الصاع تسعة أرطال بأرطال العراق و ستّة أرطال بالمدني و أربعة أمداد، و أنّ المدّ رطلان و ربع بالعراقي و رطل و نصف رطل بالمدني، و أنّ الرطل مائة و ثلاثون درهما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أحكام كثيرة ينبغي التعرّض لبيانها و إثباتها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النصاب في وجوب الزكاة في الغلاّت الأربع بلا خلاف بل الإجماع المستفيض نقله، 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اعتبار النصاب في الغلاّت قد اتّفق عليه أكثر أهل العلم، و أنّه لا نعلم فيه خلافا إلاّ من مجاهد</w:t>
      </w:r>
      <w:r>
        <w:rPr>
          <w:rStyle w:val="FootnoteAnchor"/>
          <w:rtl w:val="true"/>
        </w:rPr>
        <w:footnoteReference w:id="1908"/>
      </w:r>
      <w:r>
        <w:rPr>
          <w:rFonts w:ascii="Amiri" w:hAnsi="Amiri" w:eastAsia="Amiri" w:cs="Amiri"/>
          <w:color w:val="111111"/>
          <w:sz w:val="28"/>
          <w:sz w:val="28"/>
          <w:szCs w:val="28"/>
          <w:rtl w:val="true"/>
          <w:lang w:bidi="ar-SA"/>
        </w:rPr>
        <w:t>و أبي حنيفة</w:t>
      </w:r>
      <w:r>
        <w:rPr>
          <w:rStyle w:val="FootnoteAnchor"/>
          <w:rtl w:val="true"/>
        </w:rPr>
        <w:footnoteReference w:id="1909"/>
      </w:r>
      <w:r>
        <w:rPr>
          <w:rFonts w:ascii="Amiri" w:hAnsi="Amiri" w:eastAsia="Amiri" w:cs="Amiri"/>
          <w:color w:val="111111"/>
          <w:sz w:val="28"/>
          <w:sz w:val="28"/>
          <w:szCs w:val="28"/>
          <w:rtl w:val="true"/>
          <w:lang w:bidi="ar-SA"/>
        </w:rPr>
        <w:t>فإنّهما أوجبا الزكاة في قليل الغلاّت و كثيرها، و باقي العلماء اشترطوا بلوغها خمسة أوسق</w:t>
      </w:r>
      <w:r>
        <w:rPr>
          <w:rFonts w:eastAsia="Amiri" w:cs="Amiri" w:ascii="Amiri" w:hAnsi="Amiri"/>
          <w:color w:val="111111"/>
          <w:sz w:val="28"/>
          <w:szCs w:val="28"/>
          <w:rtl w:val="true"/>
          <w:lang w:bidi="ar-SA"/>
        </w:rPr>
        <w:t>»</w:t>
      </w:r>
      <w:r>
        <w:rPr>
          <w:rStyle w:val="FootnoteAnchor"/>
          <w:rtl w:val="true"/>
        </w:rPr>
        <w:footnoteReference w:id="19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استفاض من النصوص المعتبرة و غيرها إن </w:t>
      </w:r>
    </w:p>
    <w:p>
      <w:pPr>
        <w:pStyle w:val="BookText"/>
        <w:rPr/>
      </w:pPr>
      <w:r>
        <w:rPr>
          <w:rFonts w:ascii="IRNazanin" w:hAnsi="IRNazanin" w:eastAsia="IRNazanin"/>
          <w:color w:val="111111"/>
          <w:sz w:val="28"/>
          <w:sz w:val="28"/>
          <w:szCs w:val="28"/>
          <w:rtl w:val="true"/>
          <w:lang w:bidi="fa-IR"/>
        </w:rPr>
        <w:t>لم نقل بتواترها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كصحيحة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خمسة أوساق شيء، و الوسق ستّون صاعا</w:t>
      </w:r>
      <w:r>
        <w:rPr>
          <w:rFonts w:eastAsia="Amiri" w:cs="Amiri" w:ascii="Amiri" w:hAnsi="Amiri"/>
          <w:color w:val="111111"/>
          <w:sz w:val="28"/>
          <w:szCs w:val="28"/>
          <w:rtl w:val="true"/>
          <w:lang w:bidi="ar-SA"/>
        </w:rPr>
        <w:t>»</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أنبتت الأرض من الحنطة و الشعير و التمر و الزبيب ما بلغ خمسة أوسق و الوسق ستّون صاعا فذلك ثلاثمائة صاع ففيه العشر، و ما كان منه يسقى بالرشاء و الدوالي و النواضح ففيه نصف العشر، و ما سقت السماء أو السيح أو كان بعلا ففيه العشر تامّا، و ليس فيما دون ثلاثمائة صاع شيء، و ليس فيما أنبتت الأرض شيء إلاّ هذه الأربعة</w:t>
      </w:r>
      <w:r>
        <w:rPr>
          <w:rFonts w:eastAsia="Amiri" w:cs="Amiri" w:ascii="Amiri" w:hAnsi="Amiri"/>
          <w:color w:val="111111"/>
          <w:sz w:val="28"/>
          <w:szCs w:val="28"/>
          <w:rtl w:val="true"/>
          <w:lang w:bidi="ar-SA"/>
        </w:rPr>
        <w:t>»</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سعد بن سعد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أقلّ ما تجب فيه الزكاة من البرّ و الشعير و التمر و الزبيب،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أوساق بوسق النبيّ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الوسق‌؟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صاعا،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على العنب زكاة، أو إنّما تجب عليه إذا صيّره زبيبا؟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خرصه أخرج زكاته</w:t>
      </w:r>
      <w:r>
        <w:rPr>
          <w:rFonts w:eastAsia="Amiri" w:cs="Amiri" w:ascii="Amiri" w:hAnsi="Amiri"/>
          <w:color w:val="111111"/>
          <w:sz w:val="28"/>
          <w:szCs w:val="28"/>
          <w:rtl w:val="true"/>
          <w:lang w:bidi="ar-SA"/>
        </w:rPr>
        <w:t>»</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عليه السّلام عن التمر و الزبيب ما أقلّ ما تجب فيه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أوسق</w:t>
      </w:r>
      <w:r>
        <w:rPr>
          <w:rFonts w:eastAsia="Amiri" w:cs="Amiri" w:ascii="Amiri" w:hAnsi="Amiri"/>
          <w:color w:val="111111"/>
          <w:sz w:val="28"/>
          <w:szCs w:val="28"/>
          <w:rtl w:val="true"/>
          <w:lang w:bidi="ar-SA"/>
        </w:rPr>
        <w:t>»</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أحمد بن محمّد بن أبي نصر عن أبي الحسن الرضا عليه السّلام في حديث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كان أقلّ من خمسة أوساق شيء</w:t>
      </w:r>
      <w:r>
        <w:rPr>
          <w:rFonts w:eastAsia="Amiri" w:cs="Amiri" w:ascii="Amiri" w:hAnsi="Amiri"/>
          <w:color w:val="111111"/>
          <w:sz w:val="28"/>
          <w:szCs w:val="28"/>
          <w:rtl w:val="true"/>
          <w:lang w:bidi="ar-SA"/>
        </w:rPr>
        <w:t>»</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سليمان بن خالد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النخل صدقة حتّى </w:t>
      </w:r>
    </w:p>
    <w:p>
      <w:pPr>
        <w:pStyle w:val="BookText"/>
        <w:rPr/>
      </w:pPr>
      <w:r>
        <w:rPr>
          <w:rFonts w:ascii="Amiri" w:hAnsi="Amiri" w:eastAsia="Amiri" w:cs="Amiri"/>
          <w:color w:val="111111"/>
          <w:sz w:val="28"/>
          <w:sz w:val="28"/>
          <w:szCs w:val="28"/>
          <w:rtl w:val="true"/>
          <w:lang w:bidi="ar-SA"/>
        </w:rPr>
        <w:t>يبلغ خمسة أوساق، و العنب مثل ذلك حتّى يكون خمسة أوساق زبيبا</w:t>
      </w:r>
      <w:r>
        <w:rPr>
          <w:rFonts w:eastAsia="Amiri" w:cs="Amiri" w:ascii="Amiri" w:hAnsi="Amiri"/>
          <w:color w:val="111111"/>
          <w:sz w:val="28"/>
          <w:szCs w:val="28"/>
          <w:rtl w:val="true"/>
          <w:lang w:bidi="ar-SA"/>
        </w:rPr>
        <w:t>»</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زرارة و بكير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أنبتت الأرض من شيء من الأشياء فليس فيه زكاة إلاّ في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 الشعير و التمر و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شيء من هذه الأربعة الأشياء شيء حتّى تبلغ خمسة أوسق، و الوسق ستّون صاعا و هو ثلاثمائة صاع بصاع النبيّ صلّى اللّه عليه و آله و إن كان من كلّ صنف خمسة أوساق غير شيء و إن قلّ فليس فيه شيء، و إن نقص البرّ و الشعير و التمر و الزبيب أو نقص من خمسة أوساق صاع أو بعض صاع فليس فيه شيء، فإذا كان يعالج بالرشاء و النضح و الدلاء ففيه نصف العشر، و إن كان يسقى بغير علاج بنهر أو غيره أو سماء ففيه العشر تامّا</w:t>
      </w:r>
      <w:r>
        <w:rPr>
          <w:rFonts w:eastAsia="Amiri" w:cs="Amiri" w:ascii="Amiri" w:hAnsi="Amiri"/>
          <w:color w:val="111111"/>
          <w:sz w:val="28"/>
          <w:szCs w:val="28"/>
          <w:rtl w:val="true"/>
          <w:lang w:bidi="ar-SA"/>
        </w:rPr>
        <w:t>»</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أبي بصير و الحسن بن شهاب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أقلّ من خمسة أوساق زكاة، و الوسق ستّون صاعا</w:t>
      </w:r>
      <w:r>
        <w:rPr>
          <w:rFonts w:eastAsia="Amiri" w:cs="Amiri" w:ascii="Amiri" w:hAnsi="Amiri"/>
          <w:color w:val="111111"/>
          <w:sz w:val="28"/>
          <w:szCs w:val="28"/>
          <w:rtl w:val="true"/>
          <w:lang w:bidi="ar-SA"/>
        </w:rPr>
        <w:t>»</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عبد اللّه بن بكير عن بعض أصحابنا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زكاة الحنطة و الشعير و التمر و الزبيب ليس فيما دون الخمسة أوساق زكاة، فإذا بلغت خمسة أوساق وجبت فيه الزكاة، و الوسق ستّون صاعا فذلك ثلاثمائة صاع بصاع النبيّ‌</w:t>
      </w:r>
      <w:r>
        <w:rPr>
          <w:rFonts w:eastAsia="Amiri" w:cs="Amiri" w:ascii="Amiri" w:hAnsi="Amiri"/>
          <w:color w:val="111111"/>
          <w:sz w:val="28"/>
          <w:szCs w:val="28"/>
          <w:rtl w:val="true"/>
          <w:lang w:bidi="ar-SA"/>
        </w:rPr>
        <w:t>»</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الفضل بن شاذان عن الرضا عليه السّلام أنّه كتب إلى المأمون في كتاب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الفريضة في كلّ مائتي درهم 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العشر من الحنطة و الشعير و التمر و الزبيب إذا بلغ خمسة أوساق، و الوسق ستّون صاعا و الصاع أربعة أمداد</w:t>
      </w:r>
      <w:r>
        <w:rPr>
          <w:rFonts w:eastAsia="Amiri" w:cs="Amiri" w:ascii="Amiri" w:hAnsi="Amiri"/>
          <w:color w:val="111111"/>
          <w:sz w:val="28"/>
          <w:szCs w:val="28"/>
          <w:rtl w:val="true"/>
          <w:lang w:bidi="ar-SA"/>
        </w:rPr>
        <w:t>»</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بعض الروايات في الحنطة و التمر من وجوب الزكاة فيهما قليلا كان أو كثيرا</w:t>
      </w:r>
      <w:r>
        <w:rPr>
          <w:rStyle w:val="FootnoteAnchor"/>
          <w:rtl w:val="true"/>
        </w:rPr>
        <w:footnoteReference w:id="1921"/>
      </w:r>
      <w:r>
        <w:rPr>
          <w:rFonts w:ascii="Amiri" w:hAnsi="Amiri" w:eastAsia="Amiri" w:cs="Amiri"/>
          <w:color w:val="111111"/>
          <w:sz w:val="28"/>
          <w:sz w:val="28"/>
          <w:szCs w:val="28"/>
          <w:rtl w:val="true"/>
          <w:lang w:bidi="ar-SA"/>
        </w:rPr>
        <w:t>فمع شذوذه و احتماله التقيّة لموافقته المجاهد</w:t>
      </w:r>
      <w:r>
        <w:rPr>
          <w:rStyle w:val="FootnoteAnchor"/>
          <w:rtl w:val="true"/>
        </w:rPr>
        <w:footnoteReference w:id="1922"/>
      </w:r>
      <w:r>
        <w:rPr>
          <w:rFonts w:ascii="Amiri" w:hAnsi="Amiri" w:eastAsia="Amiri" w:cs="Amiri"/>
          <w:color w:val="111111"/>
          <w:sz w:val="28"/>
          <w:sz w:val="28"/>
          <w:szCs w:val="28"/>
          <w:rtl w:val="true"/>
          <w:lang w:bidi="ar-SA"/>
        </w:rPr>
        <w:t>و أبي حنيفة</w:t>
      </w:r>
      <w:r>
        <w:rPr>
          <w:rStyle w:val="FootnoteAnchor"/>
          <w:rtl w:val="true"/>
        </w:rPr>
        <w:footnoteReference w:id="1923"/>
      </w:r>
      <w:r>
        <w:rPr>
          <w:rFonts w:ascii="IRNazanin" w:hAnsi="IRNazanin" w:eastAsia="IRNazanin"/>
          <w:color w:val="111111"/>
          <w:sz w:val="28"/>
          <w:sz w:val="28"/>
          <w:szCs w:val="28"/>
          <w:rtl w:val="true"/>
          <w:lang w:bidi="fa-IR"/>
        </w:rPr>
        <w:t xml:space="preserve">محمول على </w:t>
      </w:r>
    </w:p>
    <w:p>
      <w:pPr>
        <w:pStyle w:val="BookText"/>
        <w:rPr/>
      </w:pPr>
      <w:r>
        <w:rPr>
          <w:rFonts w:ascii="Amiri" w:hAnsi="Amiri" w:eastAsia="Amiri" w:cs="Amiri"/>
          <w:color w:val="111111"/>
          <w:sz w:val="28"/>
          <w:sz w:val="28"/>
          <w:szCs w:val="28"/>
          <w:rtl w:val="true"/>
          <w:lang w:bidi="ar-SA"/>
        </w:rPr>
        <w:t>الاستحباب كما عن الشيخ</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أنّ النصاب خمسة أوسق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ظهور الإجماع عليه و حكاية نقله عن جماعة من أساطين الطائفة كالناصريّات</w:t>
      </w:r>
      <w:r>
        <w:rPr>
          <w:rStyle w:val="FootnoteAnchor"/>
          <w:rtl w:val="true"/>
        </w:rPr>
        <w:footnoteReference w:id="1925"/>
      </w:r>
      <w:r>
        <w:rPr>
          <w:rFonts w:ascii="IRNazanin" w:hAnsi="IRNazanin" w:eastAsia="IRNazanin"/>
          <w:color w:val="111111"/>
          <w:sz w:val="28"/>
          <w:sz w:val="28"/>
          <w:szCs w:val="28"/>
          <w:rtl w:val="true"/>
          <w:lang w:bidi="fa-IR"/>
        </w:rPr>
        <w:t>و الخلاف</w:t>
      </w:r>
      <w:r>
        <w:rPr>
          <w:rStyle w:val="FootnoteAnchor"/>
          <w:rtl w:val="true"/>
        </w:rPr>
        <w:footnoteReference w:id="1926"/>
      </w:r>
      <w:r>
        <w:rPr>
          <w:rFonts w:ascii="Amiri" w:hAnsi="Amiri" w:eastAsia="Amiri" w:cs="Amiri"/>
          <w:color w:val="111111"/>
          <w:sz w:val="28"/>
          <w:sz w:val="28"/>
          <w:szCs w:val="28"/>
          <w:rtl w:val="true"/>
          <w:lang w:bidi="ar-SA"/>
        </w:rPr>
        <w:t>و الغنية</w:t>
      </w:r>
      <w:r>
        <w:rPr>
          <w:rStyle w:val="FootnoteAnchor"/>
          <w:rtl w:val="true"/>
        </w:rPr>
        <w:footnoteReference w:id="1927"/>
      </w:r>
      <w:r>
        <w:rPr>
          <w:rFonts w:ascii="IRNazanin" w:hAnsi="IRNazanin" w:eastAsia="IRNazanin"/>
          <w:color w:val="111111"/>
          <w:sz w:val="28"/>
          <w:sz w:val="28"/>
          <w:szCs w:val="28"/>
          <w:rtl w:val="true"/>
          <w:lang w:bidi="fa-IR"/>
        </w:rPr>
        <w:t>و المنتهى</w:t>
      </w:r>
      <w:r>
        <w:rPr>
          <w:rStyle w:val="FootnoteAnchor"/>
          <w:rtl w:val="true"/>
        </w:rPr>
        <w:footnoteReference w:id="1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صريح النصوص المذكورة، فلا حاجة لإثباته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كون الوسق ستّين صاعا أيضا كذلك، لصراحة جملة من النصوص المتقدّمة فيه، مع ظهور الإجماع عليه، و حكاية نقله عن الخلاف و الغنية و المنتهى، و لا ينافي شيئا من ذلك ما عن الخليل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الوسق حمل البعير</w:t>
      </w:r>
      <w:r>
        <w:rPr>
          <w:rFonts w:eastAsia="Amiri" w:cs="Amiri" w:ascii="Amiri" w:hAnsi="Amiri"/>
          <w:color w:val="111111"/>
          <w:sz w:val="28"/>
          <w:szCs w:val="28"/>
          <w:rtl w:val="true"/>
          <w:lang w:bidi="ar-SA"/>
        </w:rPr>
        <w:t>»</w:t>
      </w:r>
      <w:r>
        <w:rPr>
          <w:rStyle w:val="FootnoteAnchor"/>
          <w:rtl w:val="true"/>
        </w:rPr>
        <w:footnoteReference w:id="1929"/>
      </w:r>
      <w:r>
        <w:rPr>
          <w:rFonts w:ascii="Amiri" w:hAnsi="Amiri" w:eastAsia="Amiri" w:cs="Amiri"/>
          <w:color w:val="111111"/>
          <w:sz w:val="28"/>
          <w:sz w:val="28"/>
          <w:szCs w:val="28"/>
          <w:rtl w:val="true"/>
          <w:lang w:bidi="ar-SA"/>
        </w:rPr>
        <w:t>لأنّ ستّين صاعا يصلح حملا للبعير، و إن كان الوسق بمعنى الحمل قد يزيد عليه و قد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بعض الروايات الشاذّة الغير المعمول بها من تقدير النصاب بوسقين أو وسق أو ستّين صاعا</w:t>
      </w:r>
      <w:r>
        <w:rPr>
          <w:rStyle w:val="FootnoteAnchor"/>
          <w:rtl w:val="true"/>
        </w:rPr>
        <w:footnoteReference w:id="1930"/>
      </w:r>
      <w:r>
        <w:rPr>
          <w:rFonts w:ascii="Amiri" w:hAnsi="Amiri" w:eastAsia="Amiri" w:cs="Amiri"/>
          <w:color w:val="111111"/>
          <w:sz w:val="28"/>
          <w:sz w:val="28"/>
          <w:szCs w:val="28"/>
          <w:rtl w:val="true"/>
          <w:lang w:bidi="ar-SA"/>
        </w:rPr>
        <w:t>فمطروح أو مأوّل بحمله على الاستحباب، و لو عبّر في بعضها بلفظ الوجوب لتعيّن حمله على تأكّد الندب، كما عن الشيخ</w:t>
      </w:r>
      <w:r>
        <w:rPr>
          <w:rStyle w:val="FootnoteAnchor"/>
          <w:rtl w:val="true"/>
        </w:rPr>
        <w:footnoteReference w:id="193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 الصاع تسعة أرطال بالعراقي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أنّه مصرّح به في كلام جمع من الأساطين</w:t>
      </w:r>
      <w:r>
        <w:rPr>
          <w:rStyle w:val="FootnoteAnchor"/>
          <w:rtl w:val="true"/>
        </w:rPr>
        <w:footnoteReference w:id="1932"/>
      </w:r>
      <w:r>
        <w:rPr>
          <w:rFonts w:ascii="Amiri" w:hAnsi="Amiri" w:eastAsia="Amiri" w:cs="Amiri"/>
          <w:color w:val="111111"/>
          <w:sz w:val="28"/>
          <w:sz w:val="28"/>
          <w:szCs w:val="28"/>
          <w:rtl w:val="true"/>
          <w:lang w:bidi="ar-SA"/>
        </w:rPr>
        <w:t>و حكي دعوى الإجماع عليه عن الانتصار</w:t>
      </w:r>
      <w:r>
        <w:rPr>
          <w:rStyle w:val="FootnoteAnchor"/>
          <w:rtl w:val="true"/>
        </w:rPr>
        <w:footnoteReference w:id="1933"/>
      </w:r>
      <w:r>
        <w:rPr>
          <w:rFonts w:ascii="IRNazanin" w:hAnsi="IRNazanin" w:eastAsia="IRNazanin"/>
          <w:color w:val="111111"/>
          <w:sz w:val="28"/>
          <w:sz w:val="28"/>
          <w:szCs w:val="28"/>
          <w:rtl w:val="true"/>
          <w:lang w:bidi="fa-IR"/>
        </w:rPr>
        <w:t>و الخلاف</w:t>
      </w:r>
      <w:r>
        <w:rPr>
          <w:rStyle w:val="FootnoteAnchor"/>
          <w:rtl w:val="true"/>
        </w:rPr>
        <w:footnoteReference w:id="1934"/>
      </w:r>
      <w:r>
        <w:rPr>
          <w:rFonts w:ascii="Amiri" w:hAnsi="Amiri" w:eastAsia="Amiri" w:cs="Amiri"/>
          <w:color w:val="111111"/>
          <w:sz w:val="28"/>
          <w:sz w:val="28"/>
          <w:szCs w:val="28"/>
          <w:rtl w:val="true"/>
          <w:lang w:bidi="ar-SA"/>
        </w:rPr>
        <w:t>و الغنية</w:t>
      </w:r>
      <w:r>
        <w:rPr>
          <w:rStyle w:val="FootnoteAnchor"/>
          <w:rtl w:val="true"/>
        </w:rPr>
        <w:footnoteReference w:id="1935"/>
      </w:r>
      <w:r>
        <w:rPr>
          <w:rFonts w:ascii="Amiri" w:hAnsi="Amiri" w:eastAsia="Amiri" w:cs="Amiri"/>
          <w:color w:val="111111"/>
          <w:sz w:val="28"/>
          <w:sz w:val="28"/>
          <w:szCs w:val="28"/>
          <w:rtl w:val="true"/>
          <w:lang w:bidi="ar-SA"/>
        </w:rPr>
        <w:t>بل عن الناصريّات</w:t>
      </w:r>
      <w:r>
        <w:rPr>
          <w:rStyle w:val="FootnoteAnchor"/>
          <w:rtl w:val="true"/>
        </w:rPr>
        <w:footnoteReference w:id="1936"/>
      </w:r>
      <w:r>
        <w:rPr>
          <w:rFonts w:ascii="Amiri" w:hAnsi="Amiri" w:eastAsia="Amiri" w:cs="Amiri"/>
          <w:color w:val="111111"/>
          <w:sz w:val="28"/>
          <w:sz w:val="28"/>
          <w:szCs w:val="28"/>
          <w:rtl w:val="true"/>
          <w:lang w:bidi="ar-SA"/>
        </w:rPr>
        <w:t xml:space="preserve">أيضا حيث نقله على أنّ الصاع تسعة أرطال بتقريب أنّه عراقي فظاهره إرادة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عليه بروايتين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صحيحة سندا و غير صريحة دلالة، و اخراهما صريحة دلالة و غير صحيحة سندا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الاولى كصحيحة أيّوب بن نوح أنّه كتب إلى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بعثت لك العام عن كلّ رأس من عيالي بدرهم على قيمة تسعة أرطال بدرهم</w:t>
      </w:r>
      <w:r>
        <w:rPr>
          <w:rFonts w:eastAsia="Amiri" w:cs="Amiri" w:ascii="Amiri" w:hAnsi="Amiri"/>
          <w:color w:val="111111"/>
          <w:sz w:val="28"/>
          <w:szCs w:val="28"/>
          <w:rtl w:val="true"/>
          <w:lang w:bidi="ar-SA"/>
        </w:rPr>
        <w:t>»</w:t>
      </w:r>
      <w:r>
        <w:rPr>
          <w:rStyle w:val="FootnoteAnchor"/>
          <w:rtl w:val="true"/>
        </w:rPr>
        <w:footnoteReference w:id="1937"/>
      </w:r>
      <w:r>
        <w:rPr>
          <w:rFonts w:ascii="Amiri" w:hAnsi="Amiri" w:eastAsia="Amiri" w:cs="Amiri"/>
          <w:color w:val="111111"/>
          <w:sz w:val="28"/>
          <w:sz w:val="28"/>
          <w:szCs w:val="28"/>
          <w:rtl w:val="true"/>
          <w:lang w:bidi="ar-SA"/>
        </w:rPr>
        <w:t>فكتب عليه السّلام إليه جوابا محصوله التقرير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بالأرطال هنا العراقيّة، لأنّها أرطال بلادهم و هي عبارة عن الصاع لأنّه الواجب في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الاخرى فرواية جعفر بن إبراهيم بن محمّد الهمداني و كان معنا حاجّا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على يدي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 أصحابنا اختلفوا في الصاع بعضهم يقول الفطرة بصاع المدني و بعضهم يقول بصاع 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الصاع ستّة أرطال بالمدني و تسعة أرطال بالعراقي،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أنّه يكون بالوزن ألفا و مائة و سبعين وزنة</w:t>
      </w:r>
      <w:r>
        <w:rPr>
          <w:rFonts w:eastAsia="Amiri" w:cs="Amiri" w:ascii="Amiri" w:hAnsi="Amiri"/>
          <w:color w:val="111111"/>
          <w:sz w:val="28"/>
          <w:szCs w:val="28"/>
          <w:rtl w:val="true"/>
          <w:lang w:bidi="ar-SA"/>
        </w:rPr>
        <w:t>»</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راوي هذا الحديث و إن لم يذكر في كتب الرجال بمدح و لا قدح، لكن هناك عدّة أمارات ربّما تشعر بوثاقته أو باعتبار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الحديث مذكورا في الفقيه</w:t>
      </w:r>
      <w:r>
        <w:rPr>
          <w:rStyle w:val="FootnoteAnchor"/>
          <w:rtl w:val="true"/>
        </w:rPr>
        <w:footnoteReference w:id="1939"/>
      </w:r>
      <w:r>
        <w:rPr>
          <w:rFonts w:ascii="Amiri" w:hAnsi="Amiri" w:eastAsia="Amiri" w:cs="Amiri"/>
          <w:color w:val="111111"/>
          <w:sz w:val="28"/>
          <w:sz w:val="28"/>
          <w:szCs w:val="28"/>
          <w:rtl w:val="true"/>
          <w:lang w:bidi="ar-SA"/>
        </w:rPr>
        <w:t>الّذي ضمن الصدوق صحّة رواياته كما أشار إليه في المدارك</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مذكورا في من استثناه محمّد بن الحسن بن الوليد</w:t>
      </w:r>
      <w:r>
        <w:rPr>
          <w:rStyle w:val="FootnoteAnchor"/>
          <w:rtl w:val="true"/>
        </w:rPr>
        <w:footnoteReference w:id="1941"/>
      </w:r>
      <w:r>
        <w:rPr>
          <w:rFonts w:ascii="Amiri" w:hAnsi="Amiri" w:eastAsia="Amiri" w:cs="Amiri"/>
          <w:color w:val="111111"/>
          <w:sz w:val="28"/>
          <w:sz w:val="28"/>
          <w:szCs w:val="28"/>
          <w:rtl w:val="true"/>
          <w:lang w:bidi="ar-SA"/>
        </w:rPr>
        <w:t>من الرجال الّذين يروي عنهم محمّد بن أحمد بن يحيى</w:t>
      </w:r>
      <w:r>
        <w:rPr>
          <w:rStyle w:val="FootnoteAnchor"/>
          <w:rtl w:val="true"/>
        </w:rPr>
        <w:footnoteReference w:id="1942"/>
      </w:r>
      <w:r>
        <w:rPr>
          <w:rFonts w:ascii="Amiri" w:hAnsi="Amiri" w:eastAsia="Amiri" w:cs="Amiri"/>
          <w:color w:val="111111"/>
          <w:sz w:val="28"/>
          <w:sz w:val="28"/>
          <w:szCs w:val="28"/>
          <w:rtl w:val="true"/>
          <w:lang w:bidi="ar-SA"/>
        </w:rPr>
        <w:t>لظهور كون السبب في الاستثناء القدح في عدالتهم، و لذلك ذكر أبو العبّاس</w:t>
      </w:r>
      <w:r>
        <w:rPr>
          <w:rStyle w:val="FootnoteAnchor"/>
          <w:rtl w:val="true"/>
        </w:rPr>
        <w:footnoteReference w:id="1943"/>
      </w:r>
      <w:r>
        <w:rPr>
          <w:rFonts w:ascii="Amiri" w:hAnsi="Amiri" w:eastAsia="Amiri" w:cs="Amiri"/>
          <w:color w:val="111111"/>
          <w:sz w:val="28"/>
          <w:sz w:val="28"/>
          <w:szCs w:val="28"/>
          <w:rtl w:val="true"/>
          <w:lang w:bidi="ar-SA"/>
        </w:rPr>
        <w:t xml:space="preserve">بن نوح في وصف الاستثناء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محمّد بن عيسى بن عبيد الّذي هو أيضا من المستثنين 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أصاب شيخنا أبو جعفر رحمه اللّه</w:t>
      </w:r>
      <w:r>
        <w:rPr>
          <w:rStyle w:val="FootnoteAnchor"/>
          <w:rtl w:val="true"/>
        </w:rPr>
        <w:footnoteReference w:id="1944"/>
      </w:r>
      <w:r>
        <w:rPr>
          <w:rFonts w:ascii="Amiri" w:hAnsi="Amiri" w:eastAsia="Amiri" w:cs="Amiri"/>
          <w:color w:val="111111"/>
          <w:sz w:val="28"/>
          <w:sz w:val="28"/>
          <w:szCs w:val="28"/>
          <w:rtl w:val="true"/>
          <w:lang w:bidi="ar-SA"/>
        </w:rPr>
        <w:t>في ذلك كلّه و تبعه أبو جعفر</w:t>
      </w:r>
      <w:r>
        <w:rPr>
          <w:rStyle w:val="FootnoteAnchor"/>
          <w:rtl w:val="true"/>
        </w:rPr>
        <w:footnoteReference w:id="1945"/>
      </w:r>
      <w:r>
        <w:rPr>
          <w:rFonts w:ascii="Amiri" w:hAnsi="Amiri" w:eastAsia="Amiri" w:cs="Amiri"/>
          <w:color w:val="111111"/>
          <w:sz w:val="28"/>
          <w:sz w:val="28"/>
          <w:szCs w:val="28"/>
          <w:rtl w:val="true"/>
          <w:lang w:bidi="ar-SA"/>
        </w:rPr>
        <w:t xml:space="preserve">بن بابويه على ذلك إلاّ في </w:t>
      </w:r>
      <w:bookmarkStart w:id="429" w:name="pg16181_154695"/>
    </w:p>
    <w:p>
      <w:pPr>
        <w:pStyle w:val="BookText"/>
        <w:rPr/>
      </w:pPr>
      <w:bookmarkEnd w:id="429"/>
      <w:r>
        <w:rPr>
          <w:rFonts w:ascii="Amiri" w:hAnsi="Amiri" w:eastAsia="Amiri" w:cs="Amiri"/>
          <w:color w:val="111111"/>
          <w:sz w:val="28"/>
          <w:sz w:val="28"/>
          <w:szCs w:val="28"/>
          <w:rtl w:val="true"/>
          <w:lang w:bidi="ar-SA"/>
        </w:rPr>
        <w:t>محمّد بن عيسى بن عبيد فلا أدري ما رأيه فيه لأنّه كان على ظاهر العدالة و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المحقّق البهبهاني في التعليقة</w:t>
      </w:r>
      <w:r>
        <w:rPr>
          <w:rStyle w:val="FootnoteAnchor"/>
          <w:rtl w:val="true"/>
        </w:rPr>
        <w:footnoteReference w:id="1946"/>
      </w:r>
      <w:r>
        <w:rPr>
          <w:rFonts w:ascii="Amiri" w:hAnsi="Amiri" w:eastAsia="Amiri" w:cs="Amiri"/>
          <w:color w:val="111111"/>
          <w:sz w:val="28"/>
          <w:sz w:val="28"/>
          <w:szCs w:val="28"/>
          <w:rtl w:val="true"/>
          <w:lang w:bidi="ar-SA"/>
        </w:rPr>
        <w:t>أنّ في حكاية استثنائهم و خصوص ما ذكره ابن نوح دلالة على أنّهم كانوا يلاحظون العدالة في الراوي، ففيهما شهادة على عدالة من رووا عنه سيّما من روى عنه محمّد بن أحمد بن يحيى و لم يستثن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تعليقة البهبهاني أيضا في ترجمة أبيه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أولاده كانوا وكلاء الناحية</w:t>
      </w:r>
      <w:r>
        <w:rPr>
          <w:rStyle w:val="FootnoteAnchor"/>
          <w:rtl w:val="true"/>
        </w:rPr>
        <w:footnoteReference w:id="1947"/>
      </w:r>
      <w:r>
        <w:rPr>
          <w:rFonts w:ascii="Amiri" w:hAnsi="Amiri" w:eastAsia="Amiri" w:cs="Amiri"/>
          <w:color w:val="111111"/>
          <w:sz w:val="28"/>
          <w:sz w:val="28"/>
          <w:szCs w:val="28"/>
          <w:rtl w:val="true"/>
          <w:lang w:bidi="ar-SA"/>
        </w:rPr>
        <w:t>و هذا بظاهره يقتضي كون جعفر أيضا وكيلا و هو آية كونه جليلا كأبيه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يوافق الخبرين و يؤيّدهما خبر عليّ بن بلال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الرجل عليه السّلام أسأله عن الفطرة و كم تدفع‌؟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أرطال بالمدني، و ذلك تسعة أرطال بالبغدادي</w:t>
      </w:r>
      <w:r>
        <w:rPr>
          <w:rFonts w:eastAsia="Amiri" w:cs="Amiri" w:ascii="Amiri" w:hAnsi="Amiri"/>
          <w:color w:val="111111"/>
          <w:sz w:val="28"/>
          <w:szCs w:val="28"/>
          <w:rtl w:val="true"/>
          <w:lang w:bidi="ar-SA"/>
        </w:rPr>
        <w:t>»</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0" w:name="__RefHeading___Toc2586721_1280447820"/>
      <w:bookmarkStart w:id="431" w:name="_Toc159"/>
      <w:bookmarkEnd w:id="430"/>
      <w:r>
        <w:rPr>
          <w:rtl w:val="true"/>
        </w:rPr>
        <w:t>[</w:t>
      </w:r>
      <w:r>
        <w:rPr>
          <w:rtl w:val="true"/>
        </w:rPr>
        <w:t>فى كمّيّة الصاع</w:t>
      </w:r>
      <w:r>
        <w:rPr>
          <w:rtl w:val="true"/>
        </w:rPr>
        <w:t>]</w:t>
      </w:r>
      <w:bookmarkEnd w:id="431"/>
    </w:p>
    <w:p>
      <w:pPr>
        <w:pStyle w:val="BookText"/>
        <w:rPr/>
      </w:pPr>
      <w:r>
        <w:rPr>
          <w:rFonts w:ascii="Amiri" w:hAnsi="Amiri" w:eastAsia="Amiri" w:cs="Amiri"/>
          <w:color w:val="111111"/>
          <w:sz w:val="28"/>
          <w:sz w:val="28"/>
          <w:szCs w:val="28"/>
          <w:rtl w:val="true"/>
          <w:lang w:bidi="ar-SA"/>
        </w:rPr>
        <w:t xml:space="preserve">و أمّا أنّ الصاع ستّة أرطال بالمدني فيدلّ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الصحيح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يتوضّأ بمدّ و يغتسل بصاع، و المدّ رطل و نصف، و الصاع ستّة أرطال</w:t>
      </w:r>
      <w:r>
        <w:rPr>
          <w:rFonts w:eastAsia="Amiri" w:cs="Amiri" w:ascii="Amiri" w:hAnsi="Amiri"/>
          <w:color w:val="111111"/>
          <w:sz w:val="28"/>
          <w:szCs w:val="28"/>
          <w:rtl w:val="true"/>
          <w:lang w:bidi="ar-SA"/>
        </w:rPr>
        <w:t>»</w:t>
      </w:r>
      <w:r>
        <w:rPr>
          <w:rStyle w:val="FootnoteAnchor"/>
          <w:rtl w:val="true"/>
        </w:rPr>
        <w:footnoteReference w:id="1949"/>
      </w:r>
      <w:r>
        <w:rPr>
          <w:rFonts w:ascii="Amiri" w:hAnsi="Amiri" w:eastAsia="Amiri" w:cs="Amiri"/>
          <w:color w:val="111111"/>
          <w:sz w:val="28"/>
          <w:sz w:val="28"/>
          <w:szCs w:val="28"/>
          <w:rtl w:val="true"/>
          <w:lang w:bidi="ar-SA"/>
        </w:rPr>
        <w:t>و عن الشيخ يعني أرطال المدينة</w:t>
      </w:r>
      <w:r>
        <w:rPr>
          <w:rStyle w:val="FootnoteAnchor"/>
          <w:rtl w:val="true"/>
        </w:rPr>
        <w:footnoteReference w:id="1950"/>
      </w:r>
      <w:r>
        <w:rPr>
          <w:rFonts w:ascii="Amiri" w:hAnsi="Amiri" w:eastAsia="Amiri" w:cs="Amiri"/>
          <w:color w:val="111111"/>
          <w:sz w:val="28"/>
          <w:sz w:val="28"/>
          <w:szCs w:val="28"/>
          <w:rtl w:val="true"/>
          <w:lang w:bidi="ar-SA"/>
        </w:rPr>
        <w:t>فيكون تسعة أرطال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أنّ الرطل المدني يزيد على العراقي بنصفه، و العراقي ينقص من المدني بثلثه، و لذا يكون العراقي مائة و ثلاثين درهما، و المدني مائة و خمسة و تسعين درهما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أنّه أربعة أمداد فعن المعتبر و المنتهى أنّه قول العلماء كافّة</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يدلّ عليه من النصوص صحيحتا الحلبي و عبد اللّه بن سنان عن أبي عبد اللّه عليه السّلام و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الصاع أربعة أمداد</w:t>
      </w:r>
      <w:r>
        <w:rPr>
          <w:rFonts w:eastAsia="Amiri" w:cs="Amiri" w:ascii="Amiri" w:hAnsi="Amiri"/>
          <w:color w:val="111111"/>
          <w:sz w:val="28"/>
          <w:szCs w:val="28"/>
          <w:rtl w:val="true"/>
          <w:lang w:bidi="ar-SA"/>
        </w:rPr>
        <w:t>»</w:t>
      </w:r>
      <w:r>
        <w:rPr>
          <w:rStyle w:val="FootnoteAnchor"/>
          <w:rtl w:val="true"/>
        </w:rPr>
        <w:footnoteReference w:id="1952"/>
      </w:r>
      <w:r>
        <w:rPr>
          <w:rFonts w:ascii="Amiri" w:hAnsi="Amiri" w:eastAsia="Amiri" w:cs="Amiri"/>
          <w:color w:val="111111"/>
          <w:sz w:val="28"/>
          <w:sz w:val="28"/>
          <w:szCs w:val="28"/>
          <w:rtl w:val="true"/>
          <w:lang w:bidi="ar-SA"/>
        </w:rPr>
        <w:t>و خبر الفضل بن شاذان عن الرضا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الصاع أربعة أمداد</w:t>
      </w:r>
      <w:r>
        <w:rPr>
          <w:rFonts w:eastAsia="Amiri" w:cs="Amiri" w:ascii="Amiri" w:hAnsi="Amiri"/>
          <w:color w:val="111111"/>
          <w:sz w:val="28"/>
          <w:szCs w:val="28"/>
          <w:rtl w:val="true"/>
          <w:lang w:bidi="ar-SA"/>
        </w:rPr>
        <w:t>»</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عليّ بن شعبة عن الرضا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الصاع تسعة أرطال و هو أربعة أمداد، و المدّ رطلان و ربع بالرطل العراقي</w:t>
      </w:r>
      <w:r>
        <w:rPr>
          <w:rFonts w:eastAsia="Amiri" w:cs="Amiri" w:ascii="Amiri" w:hAnsi="Amiri"/>
          <w:color w:val="111111"/>
          <w:sz w:val="28"/>
          <w:szCs w:val="28"/>
          <w:rtl w:val="true"/>
          <w:lang w:bidi="ar-SA"/>
        </w:rPr>
        <w:t>»</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أنّ المدّ رطلان و ربع رطل بالعراقي، و رطل و نصف رطل بالمدني، بل هذا من الواضحات الّتي لا حاجة لها إلى الاستدلال، إذ المدّ ربع الرطل، و ربع التسعة اثنان و ربع، كما أنّ ربع الستّة واحد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بالتأمّل فيما ذكرنا أنّ النصاب بحساب الأصواع ثلاثمائة صاعا، و بحساب الأرطال المدنيّة ألف و ثمانمائة رطل، و بحساب الأرطال العراقيّة ألفان و سبعمائة 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مقدار الرطل العراقي فالأكثر أنّه مائة و ثلاثون درهما أحد و تسعون مثقالا شرعيّا، و عن العلاّمة في التحرير و موضع من المنتهى أنّه مائة و ثمانية و عشرون درهما و أربعة أسباع درهم</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أقوى، لقوله عليه السّلام في ذيل خبر جعفر بن إبراهيم بن محمّد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أنّه يكون بالوزن ألفا و مائة و سبعين وزنة</w:t>
      </w:r>
      <w:r>
        <w:rPr>
          <w:rFonts w:eastAsia="Amiri" w:cs="Amiri" w:ascii="Amiri" w:hAnsi="Amiri"/>
          <w:color w:val="111111"/>
          <w:sz w:val="28"/>
          <w:szCs w:val="28"/>
          <w:rtl w:val="true"/>
          <w:lang w:bidi="ar-SA"/>
        </w:rPr>
        <w:t>»</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الشيخ في التهذيب باسناد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الذخيرة ظاهره كونه معتبرا</w:t>
      </w:r>
      <w:r>
        <w:rPr>
          <w:rStyle w:val="FootnoteAnchor"/>
          <w:rtl w:val="true"/>
        </w:rPr>
        <w:footnoteReference w:id="1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اختلفت الروايات في الفطرة فكتبت إلى أبي الحسن صاحب العسكر عليه السّلام أسأله عن ذلك،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الفطرة صاع من قوت بلدك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الفطرة عليك و على الناس كلّهم و من تعول من ذكر و انثى صغير و كبير حرّ </w:t>
      </w:r>
      <w:bookmarkStart w:id="432" w:name="pg16181_154697"/>
    </w:p>
    <w:p>
      <w:pPr>
        <w:pStyle w:val="BookText"/>
        <w:rPr/>
      </w:pPr>
      <w:bookmarkEnd w:id="432"/>
      <w:r>
        <w:rPr>
          <w:rFonts w:ascii="Amiri" w:hAnsi="Amiri" w:eastAsia="Amiri" w:cs="Amiri"/>
          <w:color w:val="111111"/>
          <w:sz w:val="28"/>
          <w:sz w:val="28"/>
          <w:szCs w:val="28"/>
          <w:rtl w:val="true"/>
          <w:lang w:bidi="ar-SA"/>
        </w:rPr>
        <w:t>أو عبد فطيم أو رضيع، تدفعه وزنا ستّة أرطال برطل المدينة، و الرطل مائة و خمسة و تسعون درهما، يكون الفطرة ألف و مائة و سبعون درهما</w:t>
      </w:r>
      <w:r>
        <w:rPr>
          <w:rFonts w:eastAsia="Amiri" w:cs="Amiri" w:ascii="Amiri" w:hAnsi="Amiri"/>
          <w:color w:val="111111"/>
          <w:sz w:val="28"/>
          <w:szCs w:val="28"/>
          <w:rtl w:val="true"/>
          <w:lang w:bidi="ar-SA"/>
        </w:rPr>
        <w:t>»</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 أنّ الرطل العراقي على ما بيّنّاه سابقا ينقص من المدني بثلثه فيكون مائة و ثلاثين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الخبران إن صحّ الاعتماد عليهما بناء على اعتبارهما لذاتهما أو انجبار قصور سنديهما بالعمل أو موافقة الأكثر فلا إشكال، و إلاّ فلا مناص من اعتبار المائة و الثلاثين درهما في كلّ من نصاب زكاة المال و مقدار زكاة الفطرة عملا بالأصل فيهما، أمّا في زكاة المال فأصل البراءة، و أمّا في زكاة الفطرة فأصل الاشتغال، و التقريب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فالنصاب حينئذ بحساب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إحدى و خمسون ألف درهم لأنّه مرتفع ضرب ألفين و سبعمائة في مائة و ثلاثين، و بحساب المثاقيل الصيرفيّة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بضابطة أنّ كلّ عشرة درهم خمسة مثاقيل صيرفيّة و ربع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أربعة و ثمانون ألف مثقال و مائتان و خمسة و سبعون مثقالا، و بحساب المنّ التبريزي</w:t>
      </w:r>
      <w:r>
        <w:rPr>
          <w:rStyle w:val="FootnoteAnchor"/>
          <w:rtl w:val="true"/>
        </w:rPr>
        <w:footnoteReference w:id="1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منّ و ثمانية و ثمانون منّا إلاّ خمسة و أربعين مثقالا صيرفيّا، و بحساب المنّ الشاهي</w:t>
      </w:r>
      <w:r>
        <w:rPr>
          <w:rStyle w:val="FootnoteAnchor"/>
          <w:rtl w:val="true"/>
        </w:rPr>
        <w:footnoteReference w:id="1960"/>
      </w:r>
      <w:r>
        <w:rPr>
          <w:rFonts w:ascii="Amiri" w:hAnsi="Amiri" w:eastAsia="Amiri" w:cs="Amiri"/>
          <w:color w:val="111111"/>
          <w:sz w:val="28"/>
          <w:sz w:val="28"/>
          <w:szCs w:val="28"/>
          <w:rtl w:val="true"/>
          <w:lang w:bidi="ar-SA"/>
        </w:rPr>
        <w:t>المتداول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أربعة و أربعون منّا إلاّ خمسة و أربعين مثقالا</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2586723_1280447820"/>
      <w:bookmarkStart w:id="434" w:name="_Toc160"/>
      <w:bookmarkEnd w:id="433"/>
      <w:r>
        <w:rPr>
          <w:rtl w:val="true"/>
        </w:rPr>
        <w:t>و ينبغي التنبيه على امور</w:t>
      </w:r>
      <w:r>
        <w:rPr>
          <w:rtl w:val="true"/>
        </w:rPr>
        <w:t>:</w:t>
      </w:r>
      <w:bookmarkEnd w:id="434"/>
    </w:p>
    <w:p>
      <w:pPr>
        <w:pStyle w:val="Heading6"/>
        <w:numPr>
          <w:ilvl w:val="5"/>
          <w:numId w:val="1"/>
        </w:numPr>
        <w:rPr/>
      </w:pPr>
      <w:bookmarkStart w:id="435" w:name="__RefHeading___Toc2586725_1280447820"/>
      <w:bookmarkStart w:id="436" w:name="_Toc161"/>
      <w:bookmarkEnd w:id="435"/>
      <w:r>
        <w:rPr>
          <w:rtl w:val="true"/>
        </w:rPr>
        <w:t>الأوّل</w:t>
      </w:r>
      <w:r>
        <w:rPr>
          <w:rtl w:val="true"/>
        </w:rPr>
        <w:t>: [</w:t>
      </w:r>
      <w:r>
        <w:rPr>
          <w:rtl w:val="true"/>
        </w:rPr>
        <w:t>تحقيقيّة التقدير</w:t>
      </w:r>
      <w:r>
        <w:rPr>
          <w:rtl w:val="true"/>
        </w:rPr>
        <w:t>]</w:t>
      </w:r>
      <w:bookmarkEnd w:id="43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الأخبار النافية للزكاة عمّا دون خمسة أوساق و ما دون الثلاثمائة صاع، كون التقدير المذكور تحقيقا، كما نصّ عليه المنتهى</w:t>
      </w:r>
      <w:r>
        <w:rPr>
          <w:rStyle w:val="FootnoteAnchor"/>
          <w:rtl w:val="true"/>
        </w:rPr>
        <w:footnoteReference w:id="1961"/>
      </w:r>
      <w:r>
        <w:rPr>
          <w:rFonts w:ascii="Amiri" w:hAnsi="Amiri" w:eastAsia="Amiri" w:cs="Amiri"/>
          <w:color w:val="111111"/>
          <w:sz w:val="28"/>
          <w:sz w:val="28"/>
          <w:szCs w:val="28"/>
          <w:rtl w:val="true"/>
          <w:lang w:bidi="ar-SA"/>
        </w:rPr>
        <w:t>و التحرير</w:t>
      </w:r>
      <w:r>
        <w:rPr>
          <w:rStyle w:val="FootnoteAnchor"/>
          <w:rtl w:val="true"/>
        </w:rPr>
        <w:footnoteReference w:id="1962"/>
      </w:r>
      <w:r>
        <w:rPr>
          <w:rFonts w:ascii="Amiri" w:hAnsi="Amiri" w:eastAsia="Amiri" w:cs="Amiri"/>
          <w:color w:val="111111"/>
          <w:sz w:val="28"/>
          <w:sz w:val="28"/>
          <w:szCs w:val="28"/>
          <w:rtl w:val="true"/>
          <w:lang w:bidi="ar-SA"/>
        </w:rPr>
        <w:t>و البيان</w:t>
      </w:r>
      <w:r>
        <w:rPr>
          <w:rStyle w:val="FootnoteAnchor"/>
          <w:rtl w:val="true"/>
        </w:rPr>
        <w:footnoteReference w:id="1963"/>
      </w:r>
      <w:r>
        <w:rPr>
          <w:rFonts w:ascii="Amiri" w:hAnsi="Amiri" w:eastAsia="Amiri" w:cs="Amiri"/>
          <w:color w:val="111111"/>
          <w:sz w:val="28"/>
          <w:sz w:val="28"/>
          <w:szCs w:val="28"/>
          <w:rtl w:val="true"/>
          <w:lang w:bidi="ar-SA"/>
        </w:rPr>
        <w:t>و المدارك</w:t>
      </w:r>
      <w:r>
        <w:rPr>
          <w:rStyle w:val="FootnoteAnchor"/>
          <w:rtl w:val="true"/>
        </w:rPr>
        <w:footnoteReference w:id="1964"/>
      </w:r>
      <w:bookmarkStart w:id="437" w:name="pg16181_154698"/>
    </w:p>
    <w:p>
      <w:pPr>
        <w:pStyle w:val="BookText"/>
        <w:rPr/>
      </w:pPr>
      <w:bookmarkEnd w:id="437"/>
      <w:r>
        <w:rPr>
          <w:rFonts w:ascii="Amiri" w:hAnsi="Amiri" w:eastAsia="Amiri" w:cs="Amiri"/>
          <w:color w:val="111111"/>
          <w:sz w:val="28"/>
          <w:sz w:val="28"/>
          <w:szCs w:val="28"/>
          <w:rtl w:val="true"/>
          <w:lang w:bidi="ar-SA"/>
        </w:rPr>
        <w:t>و الذخيرة</w:t>
      </w:r>
      <w:r>
        <w:rPr>
          <w:rStyle w:val="FootnoteAnchor"/>
          <w:rtl w:val="true"/>
        </w:rPr>
        <w:footnoteReference w:id="1965"/>
      </w:r>
      <w:r>
        <w:rPr>
          <w:rFonts w:ascii="Amiri" w:hAnsi="Amiri" w:eastAsia="Amiri" w:cs="Amiri"/>
          <w:color w:val="111111"/>
          <w:sz w:val="28"/>
          <w:sz w:val="28"/>
          <w:szCs w:val="28"/>
          <w:rtl w:val="true"/>
          <w:lang w:bidi="ar-SA"/>
        </w:rPr>
        <w:t>و الرياض</w:t>
      </w:r>
      <w:r>
        <w:rPr>
          <w:rStyle w:val="FootnoteAnchor"/>
          <w:rtl w:val="true"/>
        </w:rPr>
        <w:footnoteReference w:id="1966"/>
      </w:r>
      <w:r>
        <w:rPr>
          <w:rFonts w:ascii="Amiri" w:hAnsi="Amiri" w:eastAsia="Amiri" w:cs="Amiri"/>
          <w:color w:val="111111"/>
          <w:sz w:val="28"/>
          <w:sz w:val="28"/>
          <w:szCs w:val="28"/>
          <w:rtl w:val="true"/>
          <w:lang w:bidi="ar-SA"/>
        </w:rPr>
        <w:t>لا تقريبا، و ربّما استشعر من عبارة المنتهى عدم الخلاف فيه بين أصحابنا، و لعلّه لتخصيصه القول بالتقريب إلى بعض العامّة</w:t>
      </w:r>
      <w:r>
        <w:rPr>
          <w:rStyle w:val="FootnoteAnchor"/>
          <w:rtl w:val="true"/>
        </w:rPr>
        <w:footnoteReference w:id="1967"/>
      </w:r>
      <w:r>
        <w:rPr>
          <w:rFonts w:ascii="Amiri" w:hAnsi="Amiri" w:eastAsia="Amiri" w:cs="Amiri"/>
          <w:color w:val="111111"/>
          <w:sz w:val="28"/>
          <w:sz w:val="28"/>
          <w:szCs w:val="28"/>
          <w:rtl w:val="true"/>
          <w:lang w:bidi="ar-SA"/>
        </w:rPr>
        <w:t>محتجّا بأنّ الوسق 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يزيد و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فالوجه هو ما ذكروه، عملا بظاهر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بالتقريب ضعيف جدّا، لضعف دليله، فإنّ التقدير الشرعي المستفاد من النصوص وارد على المعنى اللغوي فلا عبرة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معنى ما ذكره التذكرة في ردّه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إنّما اعتبرنا التقدير الشرعي لا اللغوي</w:t>
      </w:r>
      <w:r>
        <w:rPr>
          <w:rFonts w:eastAsia="Amiri" w:cs="Amiri" w:ascii="Amiri" w:hAnsi="Amiri"/>
          <w:color w:val="111111"/>
          <w:sz w:val="28"/>
          <w:szCs w:val="28"/>
          <w:rtl w:val="true"/>
          <w:lang w:bidi="ar-SA"/>
        </w:rPr>
        <w:t>»</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8" w:name="__RefHeading___Toc2586727_1280447820"/>
      <w:bookmarkStart w:id="439" w:name="_Toc162"/>
      <w:bookmarkEnd w:id="438"/>
      <w:r>
        <w:rPr>
          <w:rtl w:val="true"/>
        </w:rPr>
        <w:t>الأمر الثاني</w:t>
      </w:r>
      <w:r>
        <w:rPr>
          <w:rtl w:val="true"/>
        </w:rPr>
        <w:t>: [</w:t>
      </w:r>
      <w:r>
        <w:rPr>
          <w:rtl w:val="true"/>
        </w:rPr>
        <w:t>اعتبار الوزن في نصاب الغلاّت</w:t>
      </w:r>
      <w:r>
        <w:rPr>
          <w:rtl w:val="true"/>
        </w:rPr>
        <w:t>]</w:t>
      </w:r>
      <w:bookmarkEnd w:id="439"/>
    </w:p>
    <w:p>
      <w:pPr>
        <w:pStyle w:val="BookText"/>
        <w:rPr/>
      </w:pPr>
      <w:r>
        <w:rPr>
          <w:rFonts w:ascii="Amiri" w:hAnsi="Amiri" w:eastAsia="Amiri" w:cs="Amiri"/>
          <w:color w:val="111111"/>
          <w:sz w:val="28"/>
          <w:sz w:val="28"/>
          <w:szCs w:val="28"/>
          <w:rtl w:val="true"/>
          <w:lang w:bidi="ar-SA"/>
        </w:rPr>
        <w:t>نصاب الغلاّت يعتبر بالوزن، لأنّه أضبط و أحفظ من الزيادة و النقيصة، و لظاهر النصوص بتقريب أنّ النصاب و إن قدّر في الأخبار بالأوساق المقدّرة بالأصواع و الصاع كان كيلا مخصوصا ثمّة، غير أنّه قدّر تارة بالأرطال و اخرى بالأمداد، و الأرطال بالدراهم و الكلّ من الأوزان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البيان التصريح بأنّ الاعتبار بالوزن مع احتماله الاكتفاء بالكيل و لو نقص من الوزن</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العلاّمة في التحرير و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النصب معتبرة بالكيل بالأصواع و اعتبر الوزن للضبط و التحفّظ، فلو بلغ النصاب بالكيل و الوزن معا وجبت الزكاة قطعا، و لو بلغ بالوزن دون الكيل فكذلك، و لو بلغ بالكيل دون الوزن كالشعير فإنّه أخفّ من الحنطة مثلا لم تجب الزكاة على الأقوى</w:t>
      </w:r>
      <w:r>
        <w:rPr>
          <w:rFonts w:eastAsia="Amiri" w:cs="Amiri" w:ascii="Amiri" w:hAnsi="Amiri"/>
          <w:color w:val="111111"/>
          <w:sz w:val="28"/>
          <w:szCs w:val="28"/>
          <w:rtl w:val="true"/>
          <w:lang w:bidi="ar-SA"/>
        </w:rPr>
        <w:t>»</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 بعد ما نقل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مرجعه إلى اعتبار الوزن خاصّة و هو كذلك، إذ التقدير الشرعي إنّما وقع به لا بالكيل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فهذا البحث لا جدوى له في هذا </w:t>
      </w:r>
      <w:bookmarkStart w:id="440" w:name="pg16181_154699"/>
    </w:p>
    <w:p>
      <w:pPr>
        <w:pStyle w:val="BookText"/>
        <w:rPr/>
      </w:pPr>
      <w:bookmarkEnd w:id="440"/>
      <w:r>
        <w:rPr>
          <w:rFonts w:ascii="Amiri" w:hAnsi="Amiri" w:eastAsia="Amiri" w:cs="Amiri"/>
          <w:color w:val="111111"/>
          <w:sz w:val="28"/>
          <w:sz w:val="28"/>
          <w:szCs w:val="28"/>
          <w:rtl w:val="true"/>
          <w:lang w:bidi="ar-SA"/>
        </w:rPr>
        <w:t>الزمان، إذ لا سبيل إلى معرفة قدر الصاع إلاّ بالوزن</w:t>
      </w:r>
      <w:r>
        <w:rPr>
          <w:rFonts w:eastAsia="Amiri" w:cs="Amiri" w:ascii="Amiri" w:hAnsi="Amiri"/>
          <w:color w:val="111111"/>
          <w:sz w:val="28"/>
          <w:szCs w:val="28"/>
          <w:rtl w:val="true"/>
          <w:lang w:bidi="ar-SA"/>
        </w:rPr>
        <w:t>»</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1" w:name="__RefHeading___Toc2586729_1280447820"/>
      <w:bookmarkStart w:id="442" w:name="_Toc163"/>
      <w:bookmarkEnd w:id="441"/>
      <w:r>
        <w:rPr>
          <w:rtl w:val="true"/>
        </w:rPr>
        <w:t>الأمر الثالث</w:t>
      </w:r>
      <w:r>
        <w:rPr>
          <w:rtl w:val="true"/>
        </w:rPr>
        <w:t>: [</w:t>
      </w:r>
      <w:r>
        <w:rPr>
          <w:rtl w:val="true"/>
        </w:rPr>
        <w:t>نصاب الغلاّت يعتبر وقت الجفاف</w:t>
      </w:r>
      <w:r>
        <w:rPr>
          <w:rtl w:val="true"/>
        </w:rPr>
        <w:t>]</w:t>
      </w:r>
      <w:bookmarkEnd w:id="442"/>
    </w:p>
    <w:p>
      <w:pPr>
        <w:pStyle w:val="BookText"/>
        <w:rPr/>
      </w:pPr>
      <w:r>
        <w:rPr>
          <w:rFonts w:ascii="Amiri" w:hAnsi="Amiri" w:eastAsia="Amiri" w:cs="Amiri"/>
          <w:color w:val="111111"/>
          <w:sz w:val="28"/>
          <w:sz w:val="28"/>
          <w:szCs w:val="28"/>
          <w:rtl w:val="true"/>
          <w:lang w:bidi="ar-SA"/>
        </w:rPr>
        <w:t>نصاب الغلاّت الأربع إنّما يعتبر وقت جفاف التمر و يبس العنب و الحنطة و الشعير على معنى اعتبار بلوغها جافّا و يابسا خمسة أوسق، فلو كان الرطب و العنب و الغلّة الرطبة خمسة أوسق بحيث لو جفّ كلّ واحد منها و صار تمرا أو زبيبا أو حنطة أو شعيرا نقص فلا زكاة، وفاقا للمعتبر و المنتهى و التذكرة و التحرير</w:t>
      </w:r>
      <w:r>
        <w:rPr>
          <w:rStyle w:val="FootnoteAnchor"/>
          <w:rtl w:val="true"/>
        </w:rPr>
        <w:footnoteReference w:id="1972"/>
      </w:r>
      <w:r>
        <w:rPr>
          <w:rFonts w:ascii="IRNazanin" w:hAnsi="IRNazanin" w:eastAsia="IRNazanin"/>
          <w:color w:val="111111"/>
          <w:sz w:val="28"/>
          <w:sz w:val="28"/>
          <w:szCs w:val="28"/>
          <w:rtl w:val="true"/>
          <w:lang w:bidi="fa-IR"/>
        </w:rPr>
        <w:t>و القواعد</w:t>
      </w:r>
      <w:r>
        <w:rPr>
          <w:rStyle w:val="FootnoteAnchor"/>
          <w:rtl w:val="true"/>
        </w:rPr>
        <w:footnoteReference w:id="1973"/>
      </w:r>
      <w:r>
        <w:rPr>
          <w:rFonts w:ascii="IRNazanin" w:hAnsi="IRNazanin" w:eastAsia="IRNazanin"/>
          <w:color w:val="111111"/>
          <w:sz w:val="28"/>
          <w:sz w:val="28"/>
          <w:szCs w:val="28"/>
          <w:rtl w:val="true"/>
          <w:lang w:bidi="fa-IR"/>
        </w:rPr>
        <w:t>و الدروس</w:t>
      </w:r>
      <w:r>
        <w:rPr>
          <w:rStyle w:val="FootnoteAnchor"/>
          <w:rtl w:val="true"/>
        </w:rPr>
        <w:footnoteReference w:id="1974"/>
      </w:r>
      <w:r>
        <w:rPr>
          <w:rFonts w:ascii="Amiri" w:hAnsi="Amiri" w:eastAsia="Amiri" w:cs="Amiri"/>
          <w:color w:val="111111"/>
          <w:sz w:val="28"/>
          <w:sz w:val="28"/>
          <w:szCs w:val="28"/>
          <w:rtl w:val="true"/>
          <w:lang w:bidi="ar-SA"/>
        </w:rPr>
        <w:t>و المدارك</w:t>
      </w:r>
      <w:r>
        <w:rPr>
          <w:rStyle w:val="FootnoteAnchor"/>
          <w:rtl w:val="true"/>
        </w:rPr>
        <w:footnoteReference w:id="1975"/>
      </w:r>
      <w:r>
        <w:rPr>
          <w:rFonts w:ascii="Amiri" w:hAnsi="Amiri" w:eastAsia="Amiri" w:cs="Amiri"/>
          <w:color w:val="111111"/>
          <w:sz w:val="28"/>
          <w:sz w:val="28"/>
          <w:szCs w:val="28"/>
          <w:rtl w:val="true"/>
          <w:lang w:bidi="ar-SA"/>
        </w:rPr>
        <w:t>و الذخيرة</w:t>
      </w:r>
      <w:r>
        <w:rPr>
          <w:rStyle w:val="FootnoteAnchor"/>
          <w:rtl w:val="true"/>
        </w:rPr>
        <w:footnoteReference w:id="1976"/>
      </w:r>
      <w:r>
        <w:rPr>
          <w:rFonts w:ascii="IRNazanin" w:hAnsi="IRNazanin" w:eastAsia="IRNazanin"/>
          <w:color w:val="111111"/>
          <w:sz w:val="28"/>
          <w:sz w:val="28"/>
          <w:szCs w:val="28"/>
          <w:rtl w:val="true"/>
          <w:lang w:bidi="fa-IR"/>
        </w:rPr>
        <w:t>و الروض</w:t>
      </w:r>
      <w:r>
        <w:rPr>
          <w:rStyle w:val="FootnoteAnchor"/>
          <w:rtl w:val="true"/>
        </w:rPr>
        <w:footnoteReference w:id="1977"/>
      </w:r>
      <w:r>
        <w:rPr>
          <w:rFonts w:ascii="Amiri" w:hAnsi="Amiri" w:eastAsia="Amiri" w:cs="Amiri"/>
          <w:color w:val="111111"/>
          <w:sz w:val="28"/>
          <w:sz w:val="28"/>
          <w:szCs w:val="28"/>
          <w:rtl w:val="true"/>
          <w:lang w:bidi="ar-SA"/>
        </w:rPr>
        <w:t>بل عن الأوّل أنّ عليه اتّفاق العلماء</w:t>
      </w:r>
      <w:r>
        <w:rPr>
          <w:rStyle w:val="FootnoteAnchor"/>
          <w:rtl w:val="true"/>
        </w:rPr>
        <w:footnoteReference w:id="1978"/>
      </w:r>
      <w:r>
        <w:rPr>
          <w:rFonts w:ascii="Amiri" w:hAnsi="Amiri" w:eastAsia="Amiri" w:cs="Amiri"/>
          <w:color w:val="111111"/>
          <w:sz w:val="28"/>
          <w:sz w:val="28"/>
          <w:szCs w:val="28"/>
          <w:rtl w:val="true"/>
          <w:lang w:bidi="ar-SA"/>
        </w:rPr>
        <w:t>و عن المنتهى و التذكرة دعوى الإجماع عليه</w:t>
      </w:r>
      <w:r>
        <w:rPr>
          <w:rStyle w:val="FootnoteAnchor"/>
          <w:rtl w:val="true"/>
        </w:rPr>
        <w:footnoteReference w:id="1979"/>
      </w:r>
      <w:r>
        <w:rPr>
          <w:rFonts w:ascii="Amiri" w:hAnsi="Amiri" w:eastAsia="Amiri" w:cs="Amiri"/>
          <w:color w:val="111111"/>
          <w:sz w:val="28"/>
          <w:sz w:val="28"/>
          <w:szCs w:val="28"/>
          <w:rtl w:val="true"/>
          <w:lang w:bidi="ar-SA"/>
        </w:rPr>
        <w:t>و الوجه فيه أنّ التقدير الشرعي وقع على الأسامي الأربعة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عن التذكرة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يجفّ مثله و إنّما يؤكل رطبا كالهلباث</w:t>
      </w:r>
      <w:r>
        <w:rPr>
          <w:rStyle w:val="FootnoteAnchor"/>
          <w:rtl w:val="true"/>
        </w:rPr>
        <w:footnoteReference w:id="1980"/>
      </w:r>
      <w:r>
        <w:rPr>
          <w:rFonts w:ascii="Amiri" w:hAnsi="Amiri" w:eastAsia="Amiri" w:cs="Amiri"/>
          <w:color w:val="111111"/>
          <w:sz w:val="28"/>
          <w:sz w:val="28"/>
          <w:szCs w:val="28"/>
          <w:rtl w:val="true"/>
          <w:lang w:bidi="ar-SA"/>
        </w:rPr>
        <w:t>و البرين</w:t>
      </w:r>
      <w:r>
        <w:rPr>
          <w:rStyle w:val="FootnoteAnchor"/>
          <w:rtl w:val="true"/>
        </w:rPr>
        <w:footnoteReference w:id="1981"/>
      </w:r>
      <w:r>
        <w:rPr>
          <w:rFonts w:ascii="IRNazanin" w:hAnsi="IRNazanin" w:eastAsia="IRNazanin"/>
          <w:color w:val="111111"/>
          <w:sz w:val="28"/>
          <w:sz w:val="28"/>
          <w:szCs w:val="28"/>
          <w:rtl w:val="true"/>
          <w:lang w:bidi="fa-IR"/>
        </w:rPr>
        <w:t>و شبههما من الدقل</w:t>
      </w:r>
      <w:r>
        <w:rPr>
          <w:rStyle w:val="FootnoteAnchor"/>
          <w:rtl w:val="true"/>
        </w:rPr>
        <w:footnoteReference w:id="1982"/>
      </w:r>
      <w:r>
        <w:rPr>
          <w:rFonts w:ascii="Amiri" w:hAnsi="Amiri" w:eastAsia="Amiri" w:cs="Amiri"/>
          <w:color w:val="111111"/>
          <w:sz w:val="28"/>
          <w:sz w:val="28"/>
          <w:szCs w:val="28"/>
          <w:rtl w:val="true"/>
          <w:lang w:bidi="ar-SA"/>
        </w:rPr>
        <w:t>فإنّه تجب فيه الزكاة أيضا،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w:t>
      </w:r>
      <w:r>
        <w:rPr>
          <w:rStyle w:val="FootnoteAnchor"/>
          <w:rtl w:val="true"/>
        </w:rPr>
        <w:footnoteReference w:id="1983"/>
      </w:r>
      <w:r>
        <w:rPr>
          <w:rFonts w:ascii="Amiri" w:hAnsi="Amiri" w:eastAsia="Amiri" w:cs="Amiri"/>
          <w:color w:val="111111"/>
          <w:sz w:val="28"/>
          <w:sz w:val="28"/>
          <w:szCs w:val="28"/>
          <w:rtl w:val="true"/>
          <w:lang w:bidi="ar-SA"/>
        </w:rPr>
        <w:t>و إنّما تجب فيه إذا بلغ خمسة أوسق تمرا و هل يعتبر بنفسه أو بغيره من جنسه‌؟ الأقرب الأوّل و إن كان تمره يقلّ‌، ثمّ نقل عن الشافعيّة</w:t>
      </w:r>
      <w:r>
        <w:rPr>
          <w:rStyle w:val="FootnoteAnchor"/>
          <w:rtl w:val="true"/>
        </w:rPr>
        <w:footnoteReference w:id="1984"/>
      </w:r>
      <w:r>
        <w:rPr>
          <w:rFonts w:ascii="Amiri" w:hAnsi="Amiri" w:eastAsia="Amiri" w:cs="Amiri"/>
          <w:color w:val="111111"/>
          <w:sz w:val="28"/>
          <w:sz w:val="28"/>
          <w:szCs w:val="28"/>
          <w:rtl w:val="true"/>
          <w:lang w:bidi="ar-SA"/>
        </w:rPr>
        <w:t xml:space="preserve">وجها بأنّه يعتبر </w:t>
      </w:r>
      <w:bookmarkStart w:id="443" w:name="pg16181_154700"/>
    </w:p>
    <w:p>
      <w:pPr>
        <w:pStyle w:val="BookText"/>
        <w:rPr/>
      </w:pPr>
      <w:bookmarkEnd w:id="443"/>
      <w:r>
        <w:rPr>
          <w:rFonts w:ascii="Amiri" w:hAnsi="Amiri" w:eastAsia="Amiri" w:cs="Amiri"/>
          <w:color w:val="111111"/>
          <w:sz w:val="28"/>
          <w:sz w:val="28"/>
          <w:szCs w:val="28"/>
          <w:rtl w:val="true"/>
          <w:lang w:bidi="ar-SA"/>
        </w:rPr>
        <w:t>بغيره</w:t>
      </w:r>
      <w:r>
        <w:rPr>
          <w:rStyle w:val="FootnoteAnchor"/>
          <w:rtl w:val="true"/>
        </w:rPr>
        <w:footnoteReference w:id="1985"/>
      </w:r>
      <w:r>
        <w:rPr>
          <w:rFonts w:ascii="Amiri" w:hAnsi="Amiri" w:eastAsia="Amiri" w:cs="Amiri"/>
          <w:color w:val="111111"/>
          <w:sz w:val="28"/>
          <w:sz w:val="28"/>
          <w:szCs w:val="28"/>
          <w:rtl w:val="true"/>
          <w:lang w:bidi="ar-SA"/>
        </w:rPr>
        <w:t>و لا ريب في ضعفه و لو لم يصدق على اليابس من هذا النوع اسم الزبيب و التمر اتّجه سقوط الزكاة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مسائل مهمّة ينبغي التعرّض لها</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2586731_1280447820"/>
      <w:bookmarkStart w:id="445" w:name="_Toc164"/>
      <w:bookmarkEnd w:id="444"/>
      <w:r>
        <w:rPr>
          <w:rtl w:val="true"/>
        </w:rPr>
        <w:t>[</w:t>
      </w:r>
      <w:r>
        <w:rPr>
          <w:rtl w:val="true"/>
        </w:rPr>
        <w:t>مسائل مهمة</w:t>
      </w:r>
      <w:r>
        <w:rPr>
          <w:rtl w:val="true"/>
        </w:rPr>
        <w:t>]</w:t>
      </w:r>
      <w:bookmarkEnd w:id="445"/>
    </w:p>
    <w:p>
      <w:pPr>
        <w:pStyle w:val="Heading6"/>
        <w:numPr>
          <w:ilvl w:val="5"/>
          <w:numId w:val="1"/>
        </w:numPr>
        <w:rPr/>
      </w:pPr>
      <w:bookmarkStart w:id="446" w:name="__RefHeading___Toc2586733_1280447820"/>
      <w:bookmarkStart w:id="447" w:name="_Toc165"/>
      <w:bookmarkEnd w:id="446"/>
      <w:r>
        <w:rPr>
          <w:rtl w:val="true"/>
        </w:rPr>
        <w:t>المسألة الاولى</w:t>
      </w:r>
      <w:r>
        <w:rPr>
          <w:rtl w:val="true"/>
        </w:rPr>
        <w:t>: [</w:t>
      </w:r>
      <w:r>
        <w:rPr>
          <w:rtl w:val="true"/>
        </w:rPr>
        <w:t>فى تعلّق الزكاة بعد بدوّ الصلاح و قبل التسمية</w:t>
      </w:r>
      <w:r>
        <w:rPr>
          <w:rtl w:val="true"/>
        </w:rPr>
        <w:t>]</w:t>
      </w:r>
      <w:bookmarkEnd w:id="447"/>
    </w:p>
    <w:p>
      <w:pPr>
        <w:pStyle w:val="BookText"/>
        <w:rPr/>
      </w:pPr>
      <w:r>
        <w:rPr>
          <w:rFonts w:ascii="Amiri" w:hAnsi="Amiri" w:eastAsia="Amiri" w:cs="Amiri"/>
          <w:color w:val="111111"/>
          <w:sz w:val="28"/>
          <w:sz w:val="28"/>
          <w:szCs w:val="28"/>
          <w:rtl w:val="true"/>
          <w:lang w:bidi="ar-SA"/>
        </w:rPr>
        <w:t>لا يتعلّق وجوب الزكاة في الغلاّت الأربع قبل بدوّ صلاحها و هو انعقاد الحبّ في الحنطة و الشعير و انعقاد الحصرم في الكرم و الاحمرار أو الاصفرار في النخل بلا خلاف ظاهرا، كما عن مجمع الفائدة</w:t>
      </w:r>
      <w:r>
        <w:rPr>
          <w:rStyle w:val="FootnoteAnchor"/>
          <w:rtl w:val="true"/>
        </w:rPr>
        <w:footnoteReference w:id="1986"/>
      </w:r>
      <w:r>
        <w:rPr>
          <w:rFonts w:ascii="Amiri" w:hAnsi="Amiri" w:eastAsia="Amiri" w:cs="Amiri"/>
          <w:color w:val="111111"/>
          <w:sz w:val="28"/>
          <w:sz w:val="28"/>
          <w:szCs w:val="28"/>
          <w:rtl w:val="true"/>
          <w:lang w:bidi="ar-SA"/>
        </w:rPr>
        <w:t>نفي الخلاف فيه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يتعلّق الوجوب بها عند الجفاف و اليبس اللذين عليهما مدار صدق الحنطة و الشعير و التمر و الزبيب حقيقة بلا خلاف أيضا ظاهرا، بل عن مجمع الفائدة</w:t>
      </w:r>
      <w:r>
        <w:rPr>
          <w:rStyle w:val="FootnoteAnchor"/>
          <w:rtl w:val="true"/>
        </w:rPr>
        <w:footnoteReference w:id="1987"/>
      </w:r>
      <w:r>
        <w:rPr>
          <w:rFonts w:ascii="Amiri" w:hAnsi="Amiri" w:eastAsia="Amiri" w:cs="Amiri"/>
          <w:color w:val="111111"/>
          <w:sz w:val="28"/>
          <w:sz w:val="28"/>
          <w:szCs w:val="28"/>
          <w:rtl w:val="true"/>
          <w:lang w:bidi="ar-SA"/>
        </w:rPr>
        <w:t>أيضا نفي الخلاف فيه صريحا، و هذا هو القدر المتيقّن من النصوص المعلّقة لوجوبها على هذه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الأصحاب في تعلّقه بها بعد بدوّ صلاحها و قبل تحقّق التسمية بهذه الأسماء على وجه الحقيقة و عدمه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كما اختاره المحقّق في كتبه الثلاث</w:t>
      </w:r>
      <w:r>
        <w:rPr>
          <w:rStyle w:val="FootnoteAnchor"/>
          <w:rtl w:val="true"/>
        </w:rPr>
        <w:footnoteReference w:id="1988"/>
      </w:r>
      <w:r>
        <w:rPr>
          <w:rFonts w:ascii="Amiri" w:hAnsi="Amiri" w:eastAsia="Amiri" w:cs="Amiri"/>
          <w:color w:val="111111"/>
          <w:sz w:val="28"/>
          <w:sz w:val="28"/>
          <w:szCs w:val="28"/>
          <w:rtl w:val="true"/>
          <w:lang w:bidi="ar-SA"/>
        </w:rPr>
        <w:t>و نقل في المختلف و غيره عن الإسكافي</w:t>
      </w:r>
      <w:r>
        <w:rPr>
          <w:rStyle w:val="FootnoteAnchor"/>
          <w:rtl w:val="true"/>
        </w:rPr>
        <w:footnoteReference w:id="1989"/>
      </w:r>
      <w:r>
        <w:rPr>
          <w:rFonts w:ascii="Amiri" w:hAnsi="Amiri" w:eastAsia="Amiri" w:cs="Amiri"/>
          <w:color w:val="111111"/>
          <w:sz w:val="28"/>
          <w:sz w:val="28"/>
          <w:szCs w:val="28"/>
          <w:rtl w:val="true"/>
          <w:lang w:bidi="ar-SA"/>
        </w:rPr>
        <w:t>و عن المنتهى أنّه كان يذهب إليه والده</w:t>
      </w:r>
      <w:r>
        <w:rPr>
          <w:rStyle w:val="FootnoteAnchor"/>
          <w:rtl w:val="true"/>
        </w:rPr>
        <w:footnoteReference w:id="1990"/>
      </w:r>
      <w:r>
        <w:rPr>
          <w:rFonts w:ascii="Amiri" w:hAnsi="Amiri" w:eastAsia="Amiri" w:cs="Amiri"/>
          <w:color w:val="111111"/>
          <w:sz w:val="28"/>
          <w:sz w:val="28"/>
          <w:szCs w:val="28"/>
          <w:rtl w:val="true"/>
          <w:lang w:bidi="ar-SA"/>
        </w:rPr>
        <w:t>و يظهر عن الذخيرة</w:t>
      </w:r>
      <w:r>
        <w:rPr>
          <w:rStyle w:val="FootnoteAnchor"/>
          <w:rtl w:val="true"/>
        </w:rPr>
        <w:footnoteReference w:id="1991"/>
      </w:r>
      <w:r>
        <w:rPr>
          <w:rFonts w:ascii="Amiri" w:hAnsi="Amiri" w:eastAsia="Amiri" w:cs="Amiri"/>
          <w:color w:val="111111"/>
          <w:sz w:val="28"/>
          <w:sz w:val="28"/>
          <w:szCs w:val="28"/>
          <w:rtl w:val="true"/>
          <w:lang w:bidi="ar-SA"/>
        </w:rPr>
        <w:t>كما عن الروضة أيضا الميل إليه</w:t>
      </w:r>
      <w:r>
        <w:rPr>
          <w:rStyle w:val="FootnoteAnchor"/>
          <w:rtl w:val="true"/>
        </w:rPr>
        <w:footnoteReference w:id="1992"/>
      </w:r>
      <w:r>
        <w:rPr>
          <w:rFonts w:ascii="Amiri" w:hAnsi="Amiri" w:eastAsia="Amiri" w:cs="Amiri"/>
          <w:color w:val="111111"/>
          <w:sz w:val="28"/>
          <w:sz w:val="28"/>
          <w:szCs w:val="28"/>
          <w:rtl w:val="true"/>
          <w:lang w:bidi="ar-SA"/>
        </w:rPr>
        <w:t>و ربّما استفيد من عبارة النهاية بل من المقنعة</w:t>
      </w:r>
      <w:r>
        <w:rPr>
          <w:rStyle w:val="FootnoteAnchor"/>
          <w:rtl w:val="true"/>
        </w:rPr>
        <w:footnoteReference w:id="1993"/>
      </w:r>
      <w:r>
        <w:rPr>
          <w:rFonts w:ascii="IRNazanin" w:hAnsi="IRNazanin" w:eastAsia="IRNazanin"/>
          <w:color w:val="111111"/>
          <w:sz w:val="28"/>
          <w:sz w:val="28"/>
          <w:szCs w:val="28"/>
          <w:rtl w:val="true"/>
          <w:lang w:bidi="fa-IR"/>
        </w:rPr>
        <w:t>و جمل العلم</w:t>
      </w:r>
      <w:r>
        <w:rPr>
          <w:rStyle w:val="FootnoteAnchor"/>
          <w:rtl w:val="true"/>
        </w:rPr>
        <w:footnoteReference w:id="1994"/>
      </w:r>
      <w:r>
        <w:rPr>
          <w:rFonts w:ascii="Amiri" w:hAnsi="Amiri" w:eastAsia="Amiri" w:cs="Amiri"/>
          <w:color w:val="111111"/>
          <w:sz w:val="28"/>
          <w:sz w:val="28"/>
          <w:szCs w:val="28"/>
          <w:rtl w:val="true"/>
          <w:lang w:bidi="ar-SA"/>
        </w:rPr>
        <w:t>و الناصريات</w:t>
      </w:r>
      <w:r>
        <w:rPr>
          <w:rStyle w:val="FootnoteAnchor"/>
          <w:rtl w:val="true"/>
        </w:rPr>
        <w:footnoteReference w:id="1995"/>
      </w:r>
      <w:r>
        <w:rPr>
          <w:rFonts w:ascii="IRNazanin" w:hAnsi="IRNazanin" w:eastAsia="IRNazanin"/>
          <w:color w:val="111111"/>
          <w:sz w:val="28"/>
          <w:sz w:val="28"/>
          <w:szCs w:val="28"/>
          <w:rtl w:val="true"/>
          <w:lang w:bidi="fa-IR"/>
        </w:rPr>
        <w:t>و الجمل و العقود</w:t>
      </w:r>
      <w:r>
        <w:rPr>
          <w:rStyle w:val="FootnoteAnchor"/>
          <w:rtl w:val="true"/>
        </w:rPr>
        <w:footnoteReference w:id="1996"/>
      </w:r>
      <w:r>
        <w:rPr>
          <w:rFonts w:ascii="IRNazanin" w:hAnsi="IRNazanin" w:eastAsia="IRNazanin"/>
          <w:color w:val="111111"/>
          <w:sz w:val="28"/>
          <w:sz w:val="28"/>
          <w:szCs w:val="28"/>
          <w:rtl w:val="true"/>
          <w:lang w:bidi="fa-IR"/>
        </w:rPr>
        <w:t>و الخلاف</w:t>
      </w:r>
      <w:r>
        <w:rPr>
          <w:rStyle w:val="FootnoteAnchor"/>
          <w:rtl w:val="true"/>
        </w:rPr>
        <w:footnoteReference w:id="1997"/>
      </w:r>
      <w:r>
        <w:rPr>
          <w:rFonts w:ascii="IRNazanin" w:hAnsi="IRNazanin" w:eastAsia="IRNazanin"/>
          <w:color w:val="111111"/>
          <w:sz w:val="28"/>
          <w:sz w:val="28"/>
          <w:szCs w:val="28"/>
          <w:rtl w:val="true"/>
          <w:lang w:bidi="fa-IR"/>
        </w:rPr>
        <w:t>و المراسم</w:t>
      </w:r>
      <w:r>
        <w:rPr>
          <w:rStyle w:val="FootnoteAnchor"/>
          <w:rtl w:val="true"/>
        </w:rPr>
        <w:footnoteReference w:id="1998"/>
      </w:r>
      <w:r>
        <w:rPr>
          <w:rFonts w:ascii="Amiri" w:hAnsi="Amiri" w:eastAsia="Amiri" w:cs="Amiri"/>
          <w:color w:val="111111"/>
          <w:sz w:val="28"/>
          <w:sz w:val="28"/>
          <w:szCs w:val="28"/>
          <w:rtl w:val="true"/>
          <w:lang w:bidi="ar-SA"/>
        </w:rPr>
        <w:t>و الوسيلة</w:t>
      </w:r>
      <w:r>
        <w:rPr>
          <w:rStyle w:val="FootnoteAnchor"/>
          <w:rtl w:val="true"/>
        </w:rPr>
        <w:footnoteReference w:id="1999"/>
      </w:r>
      <w:r>
        <w:rPr>
          <w:rFonts w:ascii="Amiri" w:hAnsi="Amiri" w:eastAsia="Amiri" w:cs="Amiri"/>
          <w:color w:val="111111"/>
          <w:sz w:val="28"/>
          <w:sz w:val="28"/>
          <w:szCs w:val="28"/>
          <w:rtl w:val="true"/>
          <w:lang w:bidi="ar-SA"/>
        </w:rPr>
        <w:t>و الغنية</w:t>
      </w:r>
      <w:r>
        <w:rPr>
          <w:rStyle w:val="FootnoteAnchor"/>
          <w:rtl w:val="true"/>
        </w:rPr>
        <w:footnoteReference w:id="2000"/>
      </w:r>
      <w:r>
        <w:rPr>
          <w:rFonts w:ascii="Amiri" w:hAnsi="Amiri" w:eastAsia="Amiri" w:cs="Amiri"/>
          <w:color w:val="111111"/>
          <w:sz w:val="28"/>
          <w:sz w:val="28"/>
          <w:szCs w:val="28"/>
          <w:rtl w:val="true"/>
          <w:lang w:bidi="ar-SA"/>
        </w:rPr>
        <w:t>و النزهة</w:t>
      </w:r>
      <w:r>
        <w:rPr>
          <w:rStyle w:val="FootnoteAnchor"/>
          <w:rtl w:val="true"/>
        </w:rPr>
        <w:footnoteReference w:id="2001"/>
      </w:r>
      <w:r>
        <w:rPr>
          <w:rFonts w:ascii="Amiri" w:hAnsi="Amiri" w:eastAsia="Amiri" w:cs="Amiri"/>
          <w:color w:val="111111"/>
          <w:sz w:val="28"/>
          <w:sz w:val="28"/>
          <w:szCs w:val="28"/>
          <w:rtl w:val="true"/>
          <w:lang w:bidi="ar-SA"/>
        </w:rPr>
        <w:t>لتضمّنها كالنهاية، التنصيص على وجوب الزكاة في الغلاّت الأربع</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الحنطة و الشعير و التمر و الزبيب، و التنبيه على نفي وجوبها في غيرها صريحا كما في </w:t>
      </w:r>
    </w:p>
    <w:p>
      <w:pPr>
        <w:pStyle w:val="BookText"/>
        <w:rPr/>
      </w:pPr>
      <w:r>
        <w:rPr>
          <w:rFonts w:ascii="Amiri" w:hAnsi="Amiri" w:eastAsia="Amiri" w:cs="Amiri"/>
          <w:color w:val="111111"/>
          <w:sz w:val="28"/>
          <w:sz w:val="28"/>
          <w:szCs w:val="28"/>
          <w:rtl w:val="true"/>
          <w:lang w:bidi="ar-SA"/>
        </w:rPr>
        <w:t>بعضها أو إشارة كما في البعض الآخر، فهذا القول ذهب إليه كثير من الأصحاب إن لم نقل أكثرهم، و قوّاه في الرياض</w:t>
      </w:r>
      <w:r>
        <w:rPr>
          <w:rStyle w:val="FootnoteAnchor"/>
          <w:rtl w:val="true"/>
        </w:rPr>
        <w:footnoteReference w:id="2002"/>
      </w:r>
      <w:r>
        <w:rPr>
          <w:rFonts w:ascii="Amiri" w:hAnsi="Amiri" w:eastAsia="Amiri" w:cs="Amiri"/>
          <w:color w:val="111111"/>
          <w:sz w:val="28"/>
          <w:sz w:val="28"/>
          <w:szCs w:val="28"/>
          <w:rtl w:val="true"/>
          <w:lang w:bidi="ar-SA"/>
        </w:rPr>
        <w:t>و إن صرّح أخيرا بالتردّد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هكذا في المناهل</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يتعلّق الوجوب بها في الحالة المذكورة كما عن الشيخ</w:t>
      </w:r>
      <w:r>
        <w:rPr>
          <w:rStyle w:val="FootnoteAnchor"/>
          <w:rtl w:val="true"/>
        </w:rPr>
        <w:footnoteReference w:id="2004"/>
      </w:r>
      <w:r>
        <w:rPr>
          <w:rFonts w:ascii="Amiri" w:hAnsi="Amiri" w:eastAsia="Amiri" w:cs="Amiri"/>
          <w:color w:val="111111"/>
          <w:sz w:val="28"/>
          <w:sz w:val="28"/>
          <w:szCs w:val="28"/>
          <w:rtl w:val="true"/>
          <w:lang w:bidi="ar-SA"/>
        </w:rPr>
        <w:t>و الحلّي</w:t>
      </w:r>
      <w:r>
        <w:rPr>
          <w:rStyle w:val="FootnoteAnchor"/>
          <w:rtl w:val="true"/>
        </w:rPr>
        <w:footnoteReference w:id="2005"/>
      </w:r>
      <w:r>
        <w:rPr>
          <w:rFonts w:ascii="Amiri" w:hAnsi="Amiri" w:eastAsia="Amiri" w:cs="Amiri"/>
          <w:color w:val="111111"/>
          <w:sz w:val="28"/>
          <w:sz w:val="28"/>
          <w:szCs w:val="28"/>
          <w:rtl w:val="true"/>
          <w:lang w:bidi="ar-SA"/>
        </w:rPr>
        <w:t>و العلاّمة في أكثر كتبه و الشهيد في الدروس و البيان و المحقّق الثاني في حاشية الشرائع و الجامع، و عن جماعة التصريح بأنّه المشهور بين الأصحاب و ربّما يظهر في مطاوي البحث و تضاعيف الكلام من بعضهم قول بالتفصيل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أنّ القول بالمنع موافق للأصل، لأصالة عدم تعلّق الوجوب في الحالة المذكورة إلى أن يتيقّن تعلّقه، و هو بعد تحقّق التسمية بالأسماء الأربعة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يساعد عليه ظاهر الأدلّة من النصوص و الإجماعات المعلّقة للوجوب على هذه الأسماء لتبادر حالتي الجفاف و اليبس، و ليس علينا في هذا المقام تجشّم إثبات كون التبادر وضعيّا، لكفاية التبادر الإطلاقى في إثبات اختصاص الوجوب بالحالة المذكورة، فالمانع مستظهر لكون الأصل اعتبارا و لفظا مع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بالأصل، و لعلّ المراد به أصالة العدم لعدم جريان أصل البراءة في نحو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بصحيحة عليّ بن جعفر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أخاه موسى عليه السّلام عن البستان لا تباع غلّته، و لو بيعت بلغت غلّتها مالا فهل يجب فيه صدقة‌؟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كانت تؤكل</w:t>
      </w:r>
      <w:r>
        <w:rPr>
          <w:rFonts w:eastAsia="Amiri" w:cs="Amiri" w:ascii="Amiri" w:hAnsi="Amiri"/>
          <w:color w:val="111111"/>
          <w:sz w:val="28"/>
          <w:szCs w:val="28"/>
          <w:rtl w:val="true"/>
          <w:lang w:bidi="ar-SA"/>
        </w:rPr>
        <w:t>»</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التمر و الزبيب ما أقلّ ما يجب فيه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أوسق، و يترك معافارة و امّ جعرور</w:t>
      </w:r>
      <w:r>
        <w:rPr>
          <w:rStyle w:val="FootnoteAnchor"/>
          <w:rtl w:val="true"/>
        </w:rPr>
        <w:footnoteReference w:id="2007"/>
      </w:r>
      <w:r>
        <w:rPr>
          <w:rFonts w:ascii="Amiri" w:hAnsi="Amiri" w:eastAsia="Amiri" w:cs="Amiri"/>
          <w:color w:val="111111"/>
          <w:sz w:val="28"/>
          <w:sz w:val="28"/>
          <w:szCs w:val="28"/>
          <w:rtl w:val="true"/>
          <w:lang w:bidi="ar-SA"/>
        </w:rPr>
        <w:t>لا يزكّيان و إن كثرا</w:t>
      </w:r>
      <w:r>
        <w:rPr>
          <w:rFonts w:eastAsia="Amiri" w:cs="Amiri" w:ascii="Amiri" w:hAnsi="Amiri"/>
          <w:color w:val="111111"/>
          <w:sz w:val="28"/>
          <w:szCs w:val="28"/>
          <w:rtl w:val="true"/>
          <w:lang w:bidi="ar-SA"/>
        </w:rPr>
        <w:t>...»</w:t>
      </w:r>
      <w:r>
        <w:rPr>
          <w:rStyle w:val="FootnoteAnchor"/>
          <w:rtl w:val="true"/>
        </w:rPr>
        <w:footnoteReference w:id="2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ترك هذين النوعين تعارف أكلهما قبل صيرورتهما تمرا، فيكون </w:t>
      </w:r>
    </w:p>
    <w:p>
      <w:pPr>
        <w:pStyle w:val="BookText"/>
        <w:rPr/>
      </w:pPr>
      <w:r>
        <w:rPr>
          <w:rFonts w:ascii="Amiri" w:hAnsi="Amiri" w:eastAsia="Amiri" w:cs="Amiri"/>
          <w:color w:val="111111"/>
          <w:sz w:val="28"/>
          <w:sz w:val="28"/>
          <w:szCs w:val="28"/>
          <w:rtl w:val="true"/>
          <w:lang w:bidi="ar-SA"/>
        </w:rPr>
        <w:t>مضمونه موافقا لمضمون صحيحة عليّ بن جعفر، و هما تنهضان حجّة لمن يعتبر في تعلّق صدق اسم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فيهما على ذلك، لجواز كون بناء عدم عدّهما من النصاب و سقوط الزكاة عنهما عدم صدق اسم التمر على اليابس منهما، أو كون الإسقاط من باب العفو إرفاقا على المالك فيهما لتعارف أكلهما رطبا، أو أنّ الشارع إنّما أسقط الزكاة عنهما سدّا لتوصّل المالك إلى إخراج الزكاة عن غيرهما منهما باعتبار كونهما أردأ التمور، كما ورد في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عن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في قول اللّه عزّ و جلّ يٰا أَيُّهَا اَلَّذِينَ آمَنُوا أَنْفِقُوا مِنْ طَيِّبٰاتِ مٰا كَسَبْتُمْ وَ مِمّٰا أَخْرَجْنٰا لَكُمْ مِنَ اَلْأَرْضِ وَ لاٰ تَيَمَّمُوا اَلْخَبِيثَ مِنْهُ تُنْفِقُونَ </w:t>
      </w:r>
      <w:r>
        <w:rPr>
          <w:rStyle w:val="FootnoteAnchor"/>
          <w:rtl w:val="true"/>
        </w:rPr>
        <w:footnoteReference w:id="2009"/>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أمر بالنخل أن يزكّى يجيء قوم بألوان من التمر و هو من أردأ التمر يؤدّونه من زكاتهم، تمرة يقال له الجعرور و المعافارة قليلة اللحاء عظيمة النوى، و كان بعضهم يجيء بها عن التمر الجيّد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تخرصوا هاتين التمرتين و لا تجيئوا منها بشيء، و في ذلك نزل وَ لاٰ تَيَمَّمُوا اَلْخَبِيثَ مِنْهُ تُنْفِقُونَ وَ لَسْتُمْ بِآخِذِيهِ إِلاّٰ أَنْ تُغْمِضُوا فِيهِ‌ </w:t>
      </w:r>
      <w:r>
        <w:rPr>
          <w:rStyle w:val="FootnoteAnchor"/>
          <w:rtl w:val="true"/>
        </w:rPr>
        <w:footnoteReference w:id="2010"/>
      </w:r>
      <w:r>
        <w:rPr>
          <w:rFonts w:ascii="Amiri" w:hAnsi="Amiri" w:eastAsia="Amiri" w:cs="Amiri"/>
          <w:color w:val="111111"/>
          <w:sz w:val="28"/>
          <w:sz w:val="28"/>
          <w:szCs w:val="28"/>
          <w:rtl w:val="true"/>
          <w:lang w:bidi="ar-SA"/>
        </w:rPr>
        <w:t>و الإغماض أن يأخذ هاتين التمرتين</w:t>
      </w:r>
      <w:r>
        <w:rPr>
          <w:rFonts w:eastAsia="Amiri" w:cs="Amiri" w:ascii="Amiri" w:hAnsi="Amiri"/>
          <w:color w:val="111111"/>
          <w:sz w:val="28"/>
          <w:szCs w:val="28"/>
          <w:rtl w:val="true"/>
          <w:lang w:bidi="ar-SA"/>
        </w:rPr>
        <w:t>»</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إسحاق بن عمّار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عليه السّلام قال كان أهل المدينة يأتون بصدقة الفطر إلى مسجد رسول اللّه صلّى اللّه عليه و آله و فيه عذق يسمّى الجعرور و عذق يسمّى معافارة كانا عظيم نواهما رقيق لحاهما، في طعمهما مرارة فقال رسول اللّه صلّى اللّه عليه و آله للخارص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تخرص عليهم هذين اللونين لعلّهم يستحيون لا يأتون بهما فأنزل اللّه يٰا أَيُّهَا اَلَّذِينَ آمَنُوا أَنْفِقُوا مِنْ طَيِّبٰاتِ مٰا كَسَبْتُمْ‌ إلى قوله تُنْفِقُونَ‌ </w:t>
      </w:r>
      <w:r>
        <w:rPr>
          <w:rFonts w:eastAsia="Amiri" w:cs="Amiri" w:ascii="Amiri" w:hAnsi="Amiri"/>
          <w:color w:val="111111"/>
          <w:sz w:val="28"/>
          <w:szCs w:val="28"/>
          <w:rtl w:val="true"/>
          <w:lang w:bidi="ar-SA"/>
        </w:rPr>
        <w:t>»</w:t>
      </w:r>
      <w:r>
        <w:rPr>
          <w:rStyle w:val="FootnoteAnchor"/>
          <w:rtl w:val="true"/>
        </w:rPr>
        <w:footnoteReference w:id="2012"/>
      </w:r>
      <w:r>
        <w:rPr>
          <w:rFonts w:ascii="Amiri" w:hAnsi="Amiri" w:eastAsia="Amiri" w:cs="Amiri"/>
          <w:color w:val="111111"/>
          <w:sz w:val="28"/>
          <w:sz w:val="28"/>
          <w:szCs w:val="28"/>
          <w:rtl w:val="true"/>
          <w:lang w:bidi="ar-SA"/>
        </w:rPr>
        <w:t>و في معناهما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للقول الثاني إلاّ وجهان احتجّ بهما العلاّمة في المنتهى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الأدلّة من الأخبار و غيرها المعلّقة لوجوب الزكاة على الأسماء الأربعة نظرا إلى تسمية الحب إذا اشتدّ حنطة و شعيرا و البسر تمرا فإنّ أهل اللغة</w:t>
      </w:r>
      <w:r>
        <w:rPr>
          <w:rStyle w:val="FootnoteAnchor"/>
          <w:rtl w:val="true"/>
        </w:rPr>
        <w:footnoteReference w:id="2013"/>
      </w:r>
    </w:p>
    <w:p>
      <w:pPr>
        <w:pStyle w:val="BookText"/>
        <w:rPr/>
      </w:pPr>
      <w:r>
        <w:rPr>
          <w:rFonts w:ascii="IRNazanin" w:hAnsi="IRNazanin" w:eastAsia="IRNazanin"/>
          <w:color w:val="111111"/>
          <w:sz w:val="28"/>
          <w:sz w:val="28"/>
          <w:szCs w:val="28"/>
          <w:rtl w:val="true"/>
          <w:lang w:bidi="fa-IR"/>
        </w:rPr>
        <w:t>نصّوا على أنّ البسر نوع من التمر و على أنّ الرطب نوع من التمر</w:t>
      </w:r>
      <w:r>
        <w:rPr>
          <w:rFonts w:eastAsia="IRNazanin" w:cs="IRNazanin"/>
          <w:color w:val="111111"/>
          <w:sz w:val="28"/>
          <w:szCs w:val="28"/>
          <w:rtl w:val="true"/>
          <w:lang w:bidi="fa-IR"/>
        </w:rPr>
        <w:t>»</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أصل التسمية إن اريد بها الحقيقة، إذ لا شاهد عليها من العرف و اللغة، بل خواصّ المجاز من تبادر اليابس و الجافّ منها و عدم تبادر الحبّة الرطبة و البسر و الحصرم</w:t>
      </w:r>
      <w:r>
        <w:rPr>
          <w:rStyle w:val="FootnoteAnchor"/>
          <w:rtl w:val="true"/>
        </w:rPr>
        <w:footnoteReference w:id="2015"/>
      </w:r>
      <w:r>
        <w:rPr>
          <w:rFonts w:ascii="Amiri" w:hAnsi="Amiri" w:eastAsia="Amiri" w:cs="Amiri"/>
          <w:color w:val="111111"/>
          <w:sz w:val="28"/>
          <w:sz w:val="28"/>
          <w:szCs w:val="28"/>
          <w:rtl w:val="true"/>
          <w:lang w:bidi="ar-SA"/>
        </w:rPr>
        <w:t xml:space="preserve">و صحّة سلب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التمر و الزبيب عن غير اليابس حتّى الرطب و العنب فضلا عن البسر و الحصرم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بخلاف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يبقى لتوهّم الحقيقة من حيث العرف إلاّ الاستعمال، و هو بل شيوعه و إن كان مسلّما إلاّ أنّه مجاز باعتبار ما يؤول إليه، نظير ما في إطلاقها على الخضر و النخيل و الكروم، و لو سلّم عدم تبيّن المجازيّة فأصل الاستعمال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ادّعاه من نصّ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يتمّ في غير البسر و لا سيّما الحصرم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في البسر أيضا عدم الوقوف على أثر لهذا النصّ كما اعترف به جماعة</w:t>
      </w:r>
      <w:r>
        <w:rPr>
          <w:rStyle w:val="FootnoteAnchor"/>
          <w:rtl w:val="true"/>
        </w:rPr>
        <w:footnoteReference w:id="2016"/>
      </w:r>
      <w:r>
        <w:rPr>
          <w:rFonts w:ascii="Amiri" w:hAnsi="Amiri" w:eastAsia="Amiri" w:cs="Amiri"/>
          <w:color w:val="111111"/>
          <w:sz w:val="28"/>
          <w:sz w:val="28"/>
          <w:szCs w:val="28"/>
          <w:rtl w:val="true"/>
          <w:lang w:bidi="ar-SA"/>
        </w:rPr>
        <w:t>من أساطين الطائفة، بل المنقول من كلام جماعة منهم صراحة و ظهورا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تكرّر في الحديث ذكر التمر و هو بالفتح فالسكون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 من ثمر النخل</w:t>
      </w:r>
      <w:r>
        <w:rPr>
          <w:rFonts w:eastAsia="Amiri" w:cs="Amiri" w:ascii="Amiri" w:hAnsi="Amiri"/>
          <w:color w:val="111111"/>
          <w:sz w:val="28"/>
          <w:szCs w:val="28"/>
          <w:rtl w:val="true"/>
          <w:lang w:bidi="ar-SA"/>
        </w:rPr>
        <w:t>»</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البسر غورة خرما</w:t>
      </w:r>
      <w:r>
        <w:rPr>
          <w:rFonts w:eastAsia="Amiri" w:cs="Amiri" w:ascii="Amiri" w:hAnsi="Amiri"/>
          <w:color w:val="111111"/>
          <w:sz w:val="28"/>
          <w:szCs w:val="28"/>
          <w:rtl w:val="true"/>
          <w:lang w:bidi="ar-SA"/>
        </w:rPr>
        <w:t>»</w:t>
      </w:r>
      <w:r>
        <w:rPr>
          <w:rStyle w:val="FootnoteAnchor"/>
          <w:rtl w:val="true"/>
        </w:rPr>
        <w:footnoteReference w:id="2018"/>
      </w:r>
      <w:r>
        <w:rPr>
          <w:rFonts w:ascii="Amiri" w:hAnsi="Amiri" w:eastAsia="Amiri" w:cs="Amiri"/>
          <w:color w:val="111111"/>
          <w:sz w:val="28"/>
          <w:sz w:val="28"/>
          <w:szCs w:val="28"/>
          <w:rtl w:val="true"/>
          <w:lang w:bidi="ar-SA"/>
        </w:rPr>
        <w:t>و عن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 ثمر النخل كالزبيب من العنب و هو اليابس بإجماع أهل اللغات</w:t>
      </w:r>
      <w:r>
        <w:rPr>
          <w:rFonts w:eastAsia="Amiri" w:cs="Amiri" w:ascii="Amiri" w:hAnsi="Amiri"/>
          <w:color w:val="111111"/>
          <w:sz w:val="28"/>
          <w:szCs w:val="28"/>
          <w:rtl w:val="true"/>
          <w:lang w:bidi="ar-SA"/>
        </w:rPr>
        <w:t>»</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 أوّله طلع ثمّ خلال ثمّ بلح ثمّ بسر ثمّ رطب ثمّ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 إن كان ربّما يوهم ما ادّعاه، غير أنّ الظاهر منه بقرينة المقابلة بين المراتب الستّ المذكورة مغايرة كلّ مرتبة لما يليها في الاسم و التسمية على وجه الحقيقة، فكما أنّ الطلع و الخلال و البلح ليست تمرا على الحقيقة فكذلك البسر أيضا، و إلاّ كان الجميع </w:t>
      </w:r>
    </w:p>
    <w:p>
      <w:pPr>
        <w:pStyle w:val="BookText"/>
        <w:rPr/>
      </w:pPr>
      <w:r>
        <w:rPr>
          <w:rFonts w:ascii="Amiri" w:hAnsi="Amiri" w:eastAsia="Amiri" w:cs="Amiri"/>
          <w:color w:val="111111"/>
          <w:sz w:val="28"/>
          <w:sz w:val="28"/>
          <w:szCs w:val="28"/>
          <w:rtl w:val="true"/>
          <w:lang w:bidi="ar-SA"/>
        </w:rPr>
        <w:t>تمرا حقيقة و لم يقل به أحد، بل الظاهر أنّ العلاّمة</w:t>
      </w:r>
      <w:r>
        <w:rPr>
          <w:rStyle w:val="FootnoteAnchor"/>
          <w:rtl w:val="true"/>
        </w:rPr>
        <w:footnoteReference w:id="2020"/>
      </w:r>
      <w:r>
        <w:rPr>
          <w:rFonts w:ascii="Amiri" w:hAnsi="Amiri" w:eastAsia="Amiri" w:cs="Amiri"/>
          <w:color w:val="111111"/>
          <w:sz w:val="28"/>
          <w:sz w:val="28"/>
          <w:szCs w:val="28"/>
          <w:rtl w:val="true"/>
          <w:lang w:bidi="ar-SA"/>
        </w:rPr>
        <w:t>أيضا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من نصّ أهل اللغة بكون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البسر نوعا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فقد عرفت حاله من عدم النصوصيّة في تلك العبارة، بل و لا الظهور بل ظهور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البسر هو التمر قبل إرطابه، و الواحدة بسرة</w:t>
      </w:r>
      <w:r>
        <w:rPr>
          <w:rFonts w:eastAsia="Amiri" w:cs="Amiri" w:ascii="Amiri" w:hAnsi="Amiri"/>
          <w:color w:val="111111"/>
          <w:sz w:val="28"/>
          <w:szCs w:val="28"/>
          <w:rtl w:val="true"/>
          <w:lang w:bidi="ar-SA"/>
        </w:rPr>
        <w:t>»</w:t>
      </w:r>
      <w:r>
        <w:rPr>
          <w:rStyle w:val="FootnoteAnchor"/>
          <w:rtl w:val="true"/>
        </w:rPr>
        <w:footnoteReference w:id="2021"/>
      </w:r>
      <w:r>
        <w:rPr>
          <w:rFonts w:ascii="Amiri" w:hAnsi="Amiri" w:eastAsia="Amiri" w:cs="Amiri"/>
          <w:color w:val="111111"/>
          <w:sz w:val="28"/>
          <w:sz w:val="28"/>
          <w:szCs w:val="28"/>
          <w:rtl w:val="true"/>
          <w:lang w:bidi="ar-SA"/>
        </w:rPr>
        <w:t>و فيه نوع ظهور فيما ذكره غير أنّه لا يقاوم لمعارضة ما عرفت من عبائر الجماعة، و يتوهّن بما سمعت عن المصباح من دعوى إجماع أهل اللغات على حصر التمر الّذي شبهه أوّلا بالزبيب في اليابس، بل ربما ينهض ذلك قرينة على أنّه أراد بالإطلاق تعريف البسر بمجازه الشائع تمييزا له عن سائر الثمار و غيرها، لمكان عدم وقوع اسم التمر عليها و لو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جميع هذه اللتيا و الّتي لو سلّمنا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أفراد الحقيقة فلا يوجب ذلك بمجرّده كونه بحيث يتناوله الإطلاق في النصوص و معاقد الإجماعات لتبادر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باب الانصراف في المطلق فإنّه على ما بيّنّاه عند بيان الأصل كاف في منع شمول الحكم المعلّق في النصوص و غيرها على التمر للبسر، و من هذا تقدر على إجراء هذا المنع و سنده في الحنطة و الشعير و الزبيب أيضا بعد تسليم ما بعد بدوّ الصلاح منها في أفراد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المذكور في النظر الدقيق في غاية الضعف و السقوط مع ما فيه من سائر الحزازات مثل كونه أخصّ من المدّعى لعدم جريانه في نحو الحصرم، و تتميمه بعدم القول بالفصل إن سلّمناه معارض بمثله كما أشار إليه سيّد الرياض</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Style w:val="FootnoteAnchor"/>
          <w:rtl w:val="true"/>
        </w:rPr>
        <w:footnoteReference w:id="2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الرواية بوجوب الزكاة في العنب إذا بلغ خمسة أوساق زبيبا</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كأنّه إشارة إلى ما رواه الشيخ عن سليمان في الصحيح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النخل صدقة حتّى يبلغ خمسة أوساق، و العنب مثل ذلك حتّى يبلغ خمسة أوساق زبيبا</w:t>
      </w:r>
      <w:r>
        <w:rPr>
          <w:rFonts w:eastAsia="Amiri" w:cs="Amiri" w:ascii="Amiri" w:hAnsi="Amiri"/>
          <w:color w:val="111111"/>
          <w:sz w:val="28"/>
          <w:szCs w:val="28"/>
          <w:rtl w:val="true"/>
          <w:lang w:bidi="ar-SA"/>
        </w:rPr>
        <w:t>)</w:t>
      </w:r>
      <w:r>
        <w:rPr>
          <w:rStyle w:val="FootnoteAnchor"/>
          <w:rtl w:val="true"/>
        </w:rPr>
        <w:footnoteReference w:id="2025"/>
      </w:r>
      <w:r>
        <w:rPr>
          <w:rFonts w:ascii="Amiri" w:hAnsi="Amiri" w:eastAsia="Amiri" w:cs="Amiri"/>
          <w:color w:val="111111"/>
          <w:sz w:val="28"/>
          <w:sz w:val="28"/>
          <w:szCs w:val="28"/>
          <w:rtl w:val="true"/>
          <w:lang w:bidi="ar-SA"/>
        </w:rPr>
        <w:t>و لكنّه أجاب عنه في الكتاب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لمفهوم هذا الكلام </w:t>
      </w:r>
    </w:p>
    <w:p>
      <w:pPr>
        <w:pStyle w:val="BookText"/>
        <w:rPr/>
      </w:pPr>
      <w:r>
        <w:rPr>
          <w:rFonts w:ascii="Amiri" w:hAnsi="Amiri" w:eastAsia="Amiri" w:cs="Amiri"/>
          <w:color w:val="111111"/>
          <w:sz w:val="28"/>
          <w:sz w:val="28"/>
          <w:szCs w:val="28"/>
          <w:rtl w:val="true"/>
          <w:lang w:bidi="ar-SA"/>
        </w:rPr>
        <w:t>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الوجوب بحالة يثبت له البلوغ خمسة أوساق حال كونه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الوجوب بحالة يقدّر له 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بهذا الخبر إنّما يستقيم على تقدير ظهور المعنى الثاني و هو في معرض المنع، بل لا يبعد ادّعاء ظهور المعنى الأوّل إذ اعتبار التقدير خلاف الظاهر من اللفظ و لا يرجّح المعنى الثاني زوال وصف العنبيّة عند كونه زبيبا لأنّ مثله شائع، فإذا قيل ز لا تجب الصلاة على الصبيّ حتّى يعقل الأشياء بالغا، لا يفهم منه المعنى التقديري</w:t>
      </w:r>
      <w:r>
        <w:rPr>
          <w:rFonts w:eastAsia="Amiri" w:cs="Amiri" w:ascii="Amiri" w:hAnsi="Amiri"/>
          <w:color w:val="111111"/>
          <w:sz w:val="28"/>
          <w:szCs w:val="28"/>
          <w:rtl w:val="true"/>
          <w:lang w:bidi="ar-SA"/>
        </w:rPr>
        <w:t>»</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ترجيح ذلك المعنى بملاحظة أنّ زبيبا حال إمّا لفاعل البلوغ و هو العنب أو لمفعوله و هو خمسة أوساق، و بعبارة اخرى حال للبالغ أو للمبلغ، فعلى الأوّل صفة للعنب و على الثاني لصفة العنب و هو خمسة أوساق فيرجع إلى العنب أيضا بضابطة أنّ صفة الصفة صفة، و على التقديرين فإمّا أن يراد بالزبيب الزبيبيّة المحقّقة أو الزبيبيّة المقدّرة، و الأوّل باطل لمبائنة حالة الزبيبيّة لحالة العنبيّة فيستحيل اتّصاف أحدهما بالآخر، فتعيّن الثاني، فيكون تقدير الرواية في حاصل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لو كان زبيبا خمسة أوساق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خمسة أوساق لو كان زبيبا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فهو ظاهر الانطباق على مذهب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بملاحظة الجزء الأوّل من الرواية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النخل صدقة حتّى يبلغ خمسة أوساق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حقيقة النخل فيكون مجازا إمّا في البسر أو الرطب أو في التمر، و على الأوّل لا يتمّ معنى الرواية إلاّ بتقدير خمسة أوساق بالتمريّة ليكون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البسر أو الرطب صدقة حتّى يبلغ خمسة أوساق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على اشتراط التمريّة في النصاب، و إنّما الكلام في اشتراطها في وقت تعلّق الزكاة و عدمه، و على هذا التقدير يوافق الجزء الأوّل للجزء الثاني في المعنى و انطباقه على مذهب المشهور بعد اعتبار التقدير حسبما ذكرناه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يوجب تأويلا آخر زائدا على التجوّز في لفظ النخل لأنّ تقدير التمر حالا للبالغ أو المبلغ خلاف الأصل فوجب جعل النخل مجازا في التمر لئلاّ يحتاج إلى تقدير </w:t>
      </w:r>
    </w:p>
    <w:p>
      <w:pPr>
        <w:pStyle w:val="BookText"/>
        <w:rPr/>
      </w:pPr>
      <w:r>
        <w:rPr>
          <w:rFonts w:ascii="Amiri" w:hAnsi="Amiri" w:eastAsia="Amiri" w:cs="Amiri"/>
          <w:color w:val="111111"/>
          <w:sz w:val="28"/>
          <w:sz w:val="28"/>
          <w:szCs w:val="28"/>
          <w:rtl w:val="true"/>
          <w:lang w:bidi="ar-SA"/>
        </w:rPr>
        <w:t>الحال، 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التمر صدقة حتّى يبلغ خمسة أوساق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الانطباق على خلاف المشهور، و حينئذ يختلف الجزء الأوّل مع الجزء الثاني في المعنى بناء على ما ذكرناه من التقدير في الجزء الثاني، فلا بدّ من إرجاع الجزء الثاني إلى الجزء الأوّل رفعا للاختلاف و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يتأتّى ذلك بأن يكون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خمسة أوساق زبيبا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خمسة أوساق و قد صار زبيبا، أو حال كونه صار زبيبا، أو حتّى يبلغ و قد صار زبيبا خمسة أوساق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التقادير فخرجت الرواية من الدلالة على مذهب المشهور، و لكنّه ليس بحيث ينفيه ليكون معارضا لرواية اخرى، لظهور كون الحصر المستفاد منها بالقياس إلى حالات الأقلّ من خمسة أوساق لا بالقياس إلى حالات ما عدى التمر و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أيضا بروايتين صحيحتين اخريين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سعد بن سعد الأشعري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أقلّ ما يجب فيه الزكاة من البرّ و الشعير و التمر و الزبيب،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أوساق بوسق النبيّ‌،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الوسق‌؟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صاعا،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على العنب زكاة أو إنّما يجب عليه إذا صيّره زبيبا؟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خرصه أخرج زكاته</w:t>
      </w:r>
      <w:r>
        <w:rPr>
          <w:rFonts w:eastAsia="Amiri" w:cs="Amiri" w:ascii="Amiri" w:hAnsi="Amiri"/>
          <w:color w:val="111111"/>
          <w:sz w:val="28"/>
          <w:szCs w:val="28"/>
          <w:rtl w:val="true"/>
          <w:lang w:bidi="ar-SA"/>
        </w:rPr>
        <w:t>»</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سعد الأشعري أيضا في الصحيح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الزكاة في الحنطة و الشعير و التمر و الزبيب متى تجب على صاحبها؟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صرم و إذا خرص</w:t>
      </w:r>
      <w:r>
        <w:rPr>
          <w:rFonts w:eastAsia="Amiri" w:cs="Amiri" w:ascii="Amiri" w:hAnsi="Amiri"/>
          <w:color w:val="111111"/>
          <w:sz w:val="28"/>
          <w:szCs w:val="28"/>
          <w:rtl w:val="true"/>
          <w:lang w:bidi="ar-SA"/>
        </w:rPr>
        <w:t>»</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 علّل وجه الدلالة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بظهورهما في إناطة الوجوب بأوان الخرص و هو على ما صرّح به الأصحاب و منهم الماتن في المعتبر فيما حكي عنه إنّما يكون في حال كون الثمرة بسرا و عنبا</w:t>
      </w:r>
      <w:r>
        <w:rPr>
          <w:rStyle w:val="FootnoteAnchor"/>
          <w:rtl w:val="true"/>
        </w:rPr>
        <w:footnoteReference w:id="2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ينقدح وجه الاستدلال على قولهم بكلّ ما دلّ على جواز الخرص في النخيل أو الكروم من الروايات و الإجماع المنقول الّذي </w:t>
      </w:r>
    </w:p>
    <w:p>
      <w:pPr>
        <w:pStyle w:val="BookText"/>
        <w:rPr/>
      </w:pPr>
      <w:r>
        <w:rPr>
          <w:rFonts w:ascii="Amiri" w:hAnsi="Amiri" w:eastAsia="Amiri" w:cs="Amiri"/>
          <w:color w:val="111111"/>
          <w:sz w:val="28"/>
          <w:sz w:val="28"/>
          <w:szCs w:val="28"/>
          <w:rtl w:val="true"/>
          <w:lang w:bidi="ar-SA"/>
        </w:rPr>
        <w:t>حكاه الماتن في المعتبر بناء على ما ذكره هو و غيره من الأصحاب</w:t>
      </w:r>
      <w:r>
        <w:rPr>
          <w:rStyle w:val="FootnoteAnchor"/>
          <w:rtl w:val="true"/>
        </w:rPr>
        <w:footnoteReference w:id="2030"/>
      </w:r>
      <w:r>
        <w:rPr>
          <w:rFonts w:ascii="Amiri" w:hAnsi="Amiri" w:eastAsia="Amiri" w:cs="Amiri"/>
          <w:color w:val="111111"/>
          <w:sz w:val="28"/>
          <w:sz w:val="28"/>
          <w:szCs w:val="28"/>
          <w:rtl w:val="true"/>
          <w:lang w:bidi="ar-SA"/>
        </w:rPr>
        <w:t>في فائدته و صفته من أنّه تقدير الثمرة لو صارت تمرا و العنب لو صارت زبيبا فإن بلغت الأوساق وجبت الزكاة، ثمّ يخيّرهم بين تركه أمانة في أيديهم و بين تضمينهم حصّة الفقراء أو يضمن لهم حصّتهم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إنّما يتوجّه على المشهور و إلاّ فعلى غيره لا وجه للخرص في ذلك الوقت و لا المنع عن التصرّف إلاّ بالتضمين لجوازه من غير احتياج إليه على هذا التقدير، و هذا أحد الثمرات المتفرّعة على الخلاف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الرواية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بقوّة احتمال كون وقت الخرص فيها هو وقت الصرم لجعله فيها أيضا وقت الوجوب، فإذا حمل وقته على ما هو المشهور لكان التعليق بوقت الصرم ملغى لما بين وقته و وقت الخرص بالمعنى المشهور من المدّة ما لا يخفى، إذ الخرص بهذا المعنى في حال البسريّة و العنبيّة و الصرم إنّما يكون بعد صيرورته تمرا فكيف يستقيم تعليق الوجوب بكلّ منهما بل إنّما يستقيم بحمل الخرص فيها على وقت كونه تمرا أو زبيبا، و المراد أنّ في ذلك الوقت يتعلّق به الوجوب سواء صرمه أو خرصه على رءوس الأشجار و النخيل و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زعم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هذا يسهل الجواب عن الاولى بحمل الخرص فيها أيضا على ما حمل عليه الثانية، فإنّ أخبارهم عليهم السّلام يكشف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لم يستدلّ بهما في المنتهى، و يبعد غاية البعد غفلته عنهما</w:t>
      </w:r>
      <w:r>
        <w:rPr>
          <w:rFonts w:eastAsia="Amiri" w:cs="Amiri" w:ascii="Amiri" w:hAnsi="Amiri"/>
          <w:color w:val="111111"/>
          <w:sz w:val="28"/>
          <w:szCs w:val="28"/>
          <w:rtl w:val="true"/>
          <w:lang w:bidi="ar-SA"/>
        </w:rPr>
        <w:t>»</w:t>
      </w:r>
      <w:r>
        <w:rPr>
          <w:rStyle w:val="FootnoteAnchor"/>
          <w:rtl w:val="true"/>
        </w:rPr>
        <w:footnoteReference w:id="20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دفع الجواب بمنع الملازمة فإنّ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للتوقيت فقط، و كون الزكاة متعلّقة بالتمر و الزبيب في حال التمريّة و الزبيبيّة ممّا لا كلام فيه و على المشهور هي الزكاة المتعلّقة في حال البسريّة و الحصرميّة أو العنبيّة و قد استمرّت إلى حال الصرم، و الإمام عليه السّلام بعد ما ذكر تعلّق الوجوب في وقت الصرم نبّه على تعلّقها في وقت الخرص أيضا دفعا لتوهّم السائل اختصاص الوجوب بوقت الصرام، فلا تنافي بين الحكمين لتمسّ الحاجة إلى الجمع بإرجاع أحدهما إلى الآخر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الرواية تدلّ على أنّ الزكاة تتعلّق في وقت الخرص و تستمرّ إلى وقت </w:t>
      </w:r>
    </w:p>
    <w:p>
      <w:pPr>
        <w:pStyle w:val="BookText"/>
        <w:rPr/>
      </w:pPr>
      <w:r>
        <w:rPr>
          <w:rFonts w:ascii="Amiri" w:hAnsi="Amiri" w:eastAsia="Amiri" w:cs="Amiri"/>
          <w:color w:val="111111"/>
          <w:sz w:val="28"/>
          <w:sz w:val="28"/>
          <w:szCs w:val="28"/>
          <w:rtl w:val="true"/>
          <w:lang w:bidi="ar-SA"/>
        </w:rPr>
        <w:t>الصرم و هذا بعينه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الحمل المذكور ربّما يقضي بإلغاء اعتبار الخرص على تقدير وقوع الصرم في وقته، إذ لا يكون الخرص بعد الصرم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الذخيرة أجاب عن الخبر الأوّل بالحمل على الاستحباب جمعا بين الأدلّة خصوصا على ما في بعض نسخ الكافي من التعبير بالواو بدل أو</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معارض لظاهر الخبر في جانب القول الآخر ليدعو إلى هذا الجمع، إذ ليس في الأدلّة المعلّقة لوجوب الزكاة على الأسماء الأربعة إلاّ ظهور تعلّق الوجوب حال التمريّة و الزبيبيّة مع السكوت عن حال البسريّة و الحصرميّة أو العنبيّة، لا الظهور في نفي التعلّق في حال البسريّة و الحصرميّة أو العنبيّة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الخبر الثاني بأنّه يجوز أن يكون الخرص فيما صار تمرا على النخل مثلا و الصرام في غيره لقصر الحكم في السؤال على الأربعة المذكورة و لا يلزم من ذلك ثبوت الحكم عند العنبيّة و البسريّة، و يحتمل أن يكون المراد أنّ وقت الخرص و الصرام أوّل وقت وجوب إعطاء الزكاة من باب التقديم إذا علم وصوله إلى حدّ التمريّة و الزبيبيّة جامعا للشرائط، هذا مع احتمال حمل الوجوب على الاستحباب المؤكّد جمعا بين الأدلّة</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ذلك خلاف ظاهر لا داعي إلى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المناقشة في الخبر الأوّل بأنّه يدلّ على تعلّق الوجوب بالعنب لا على تعلّقه به حين انعقاد الحصرم، و الخبر الثاني أيضا لا يدلّ على تعلّقه حين البسريّة لجواز كون الخرص فيه كما في العنب حين الرطبيّة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فهما أخصّ من المدّعى لعدم جريان حكمهما في الحنطة و الشعير إلاّ إذا ثبت كون الخرص فيهما حين الفريكية</w:t>
      </w:r>
      <w:r>
        <w:rPr>
          <w:rStyle w:val="FootnoteAnchor"/>
          <w:rtl w:val="true"/>
        </w:rPr>
        <w:footnoteReference w:id="2034"/>
      </w:r>
      <w:r>
        <w:rPr>
          <w:rFonts w:ascii="Amiri" w:hAnsi="Amiri" w:eastAsia="Amiri" w:cs="Amiri"/>
          <w:color w:val="111111"/>
          <w:sz w:val="28"/>
          <w:sz w:val="28"/>
          <w:szCs w:val="28"/>
          <w:rtl w:val="true"/>
          <w:lang w:bidi="ar-SA"/>
        </w:rPr>
        <w:t>لا بعد اليبوسة و هو حين التسمية، و لا يبعد القول به خصوصا مع ملاحظة ما عن المعتبر و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النبيّ صلّى اللّه عليه و آله كان يبعث الخارص حين بدوّ الصلاح</w:t>
      </w:r>
      <w:r>
        <w:rPr>
          <w:rFonts w:eastAsia="Amiri" w:cs="Amiri" w:ascii="Amiri" w:hAnsi="Amiri"/>
          <w:color w:val="111111"/>
          <w:sz w:val="28"/>
          <w:szCs w:val="28"/>
          <w:rtl w:val="true"/>
          <w:lang w:bidi="ar-SA"/>
        </w:rPr>
        <w:t>»</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التمسّك بعدم القول بالفصل في المقامين مشكل، لعدم العلم بالإجماع على عدم </w:t>
      </w:r>
    </w:p>
    <w:p>
      <w:pPr>
        <w:pStyle w:val="BookText"/>
        <w:rPr/>
      </w:pPr>
      <w:r>
        <w:rPr>
          <w:rFonts w:ascii="Amiri" w:hAnsi="Amiri" w:eastAsia="Amiri" w:cs="Amiri"/>
          <w:color w:val="111111"/>
          <w:sz w:val="28"/>
          <w:sz w:val="28"/>
          <w:szCs w:val="28"/>
          <w:rtl w:val="true"/>
          <w:lang w:bidi="ar-SA"/>
        </w:rPr>
        <w:t>الفصل خصوصا مع ملاحظة ما حكاه الشهيد رحمه اللّه في البيان على ما نقل عن ابن الجنيد و المحقّق من أنّهما اعتبرا في الثمرة التسمية عنبا</w:t>
      </w:r>
      <w:r>
        <w:rPr>
          <w:rStyle w:val="FootnoteAnchor"/>
          <w:rtl w:val="true"/>
        </w:rPr>
        <w:footnoteReference w:id="2036"/>
      </w:r>
      <w:r>
        <w:rPr>
          <w:rFonts w:ascii="Amiri" w:hAnsi="Amiri" w:eastAsia="Amiri" w:cs="Amiri"/>
          <w:color w:val="111111"/>
          <w:sz w:val="28"/>
          <w:sz w:val="28"/>
          <w:szCs w:val="28"/>
          <w:rtl w:val="true"/>
          <w:lang w:bidi="ar-SA"/>
        </w:rPr>
        <w:t>و وافقهما صاحب المدارك حيث إنّه بعد ذكر الخبرين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فيتعيّن العمل بهما</w:t>
      </w:r>
      <w:r>
        <w:rPr>
          <w:rFonts w:eastAsia="Amiri" w:cs="Amiri" w:ascii="Amiri" w:hAnsi="Amiri"/>
          <w:color w:val="111111"/>
          <w:sz w:val="28"/>
          <w:szCs w:val="28"/>
          <w:rtl w:val="true"/>
          <w:lang w:bidi="ar-SA"/>
        </w:rPr>
        <w:t>»</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المناقشة جارية فيما لو استدلّ على المشهور بكلّ ما دلّ من الروايات و الإجماع المنقول الّذي حكي نقله عن المعتبر على جواز الخرص في النخيل و الكروم</w:t>
      </w:r>
      <w:r>
        <w:rPr>
          <w:rStyle w:val="FootnoteAnchor"/>
          <w:rtl w:val="true"/>
        </w:rPr>
        <w:footnoteReference w:id="2038"/>
      </w:r>
      <w:r>
        <w:rPr>
          <w:rFonts w:ascii="Amiri" w:hAnsi="Amiri" w:eastAsia="Amiri" w:cs="Amiri"/>
          <w:color w:val="111111"/>
          <w:sz w:val="28"/>
          <w:sz w:val="28"/>
          <w:szCs w:val="28"/>
          <w:rtl w:val="true"/>
          <w:lang w:bidi="ar-SA"/>
        </w:rPr>
        <w:t>كما استدلّ به السيّد في الرياض</w:t>
      </w:r>
      <w:r>
        <w:rPr>
          <w:rStyle w:val="FootnoteAnchor"/>
          <w:rtl w:val="true"/>
        </w:rPr>
        <w:footnoteReference w:id="2039"/>
      </w:r>
      <w:r>
        <w:rPr>
          <w:rFonts w:ascii="Amiri" w:hAnsi="Amiri" w:eastAsia="Amiri" w:cs="Amiri"/>
          <w:color w:val="111111"/>
          <w:sz w:val="28"/>
          <w:sz w:val="28"/>
          <w:szCs w:val="28"/>
          <w:rtl w:val="true"/>
          <w:lang w:bidi="ar-SA"/>
        </w:rPr>
        <w:t>و أشار إليه صاحب الذخيرة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استأنس للقول المشهور بما روي من طريق العامّة</w:t>
      </w:r>
      <w:r>
        <w:rPr>
          <w:rStyle w:val="FootnoteAnchor"/>
          <w:rtl w:val="true"/>
        </w:rPr>
        <w:footnoteReference w:id="2040"/>
      </w:r>
      <w:r>
        <w:rPr>
          <w:rFonts w:ascii="Amiri" w:hAnsi="Amiri" w:eastAsia="Amiri" w:cs="Amiri"/>
          <w:color w:val="111111"/>
          <w:sz w:val="28"/>
          <w:sz w:val="28"/>
          <w:szCs w:val="28"/>
          <w:rtl w:val="true"/>
          <w:lang w:bidi="ar-SA"/>
        </w:rPr>
        <w:t>أنّ النبيّ صلّى اللّه عليه و آله كان يبعث على الناس من يخرص عليهم</w:t>
      </w:r>
      <w:r>
        <w:rPr>
          <w:rFonts w:eastAsia="Amiri" w:cs="Amiri" w:ascii="Amiri" w:hAnsi="Amiri"/>
          <w:color w:val="111111"/>
          <w:sz w:val="28"/>
          <w:szCs w:val="28"/>
          <w:rtl w:val="true"/>
          <w:lang w:bidi="ar-SA"/>
        </w:rPr>
        <w:t>»</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فدليل المشهور من جهة النصوص غير تامّ‌، و تمام مدّعاهم بما يعوّل عليه من الدليل غير ثابت، فلا يبقى لقولهم إلاّ الشهرة المعتضدة بفتوى الحلّي</w:t>
      </w:r>
      <w:r>
        <w:rPr>
          <w:rStyle w:val="FootnoteAnchor"/>
          <w:rtl w:val="true"/>
        </w:rPr>
        <w:footnoteReference w:id="2042"/>
      </w:r>
      <w:r>
        <w:rPr>
          <w:rFonts w:ascii="Amiri" w:hAnsi="Amiri" w:eastAsia="Amiri" w:cs="Amiri"/>
          <w:color w:val="111111"/>
          <w:sz w:val="28"/>
          <w:sz w:val="28"/>
          <w:szCs w:val="28"/>
          <w:rtl w:val="true"/>
          <w:lang w:bidi="ar-SA"/>
        </w:rPr>
        <w:t>الّذي لا يعوّل إلاّ على القطعيّات، فيحصل منها الظنّ الاطمئناني بكون حكم اللّه سبحانه هو المشهور، و لكن يشكل التعويل عليها بعد تسليم تحقّقها بأنّه إنّما يتّجه إذا لم يعلم مستند المشهور و فساده، و ليس له إلاّ ما عرفت من الأدلّة القاصرة عن إفادة تمام المدّعى، إلاّ أن يمنع كون ما ذكر مستندا، حيث لم يتمسّك به إلاّ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فالمصير إلى هذا القول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بتعلّق الوجوب بالعنب و الرطب نظرا إلى الخبرين المتقدّمين</w:t>
      </w:r>
      <w:r>
        <w:rPr>
          <w:rStyle w:val="FootnoteAnchor"/>
          <w:rtl w:val="true"/>
        </w:rPr>
        <w:footnoteReference w:id="2043"/>
      </w:r>
      <w:r>
        <w:rPr>
          <w:rFonts w:ascii="Amiri" w:hAnsi="Amiri" w:eastAsia="Amiri" w:cs="Amiri"/>
          <w:color w:val="111111"/>
          <w:sz w:val="28"/>
          <w:sz w:val="28"/>
          <w:szCs w:val="28"/>
          <w:rtl w:val="true"/>
          <w:lang w:bidi="ar-SA"/>
        </w:rPr>
        <w:t>و سائر ما دلّ على الخرص بناء على أنّ المتعارف منه في حال العنبيّة و الرطبيّة، لا يخلو عن قوّة، فيتعيّن المصير إليه فيهما، و إلى المشهور في غيرهما إن ثبت كون الخرص فيه حين بدوّ الصلاح و هو حين الفريكيّة، و لا يخلو عن قوّة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الأحوط مع ذلك في الجميع رعاية القول المشهور و التعلّق حين بدوّ </w:t>
      </w:r>
      <w:bookmarkStart w:id="448" w:name="pg16181_154710"/>
    </w:p>
    <w:p>
      <w:pPr>
        <w:pStyle w:val="BookText"/>
        <w:rPr/>
      </w:pPr>
      <w:bookmarkEnd w:id="448"/>
      <w:r>
        <w:rPr>
          <w:rFonts w:ascii="Amiri" w:hAnsi="Amiri" w:eastAsia="Amiri" w:cs="Amiri"/>
          <w:color w:val="111111"/>
          <w:sz w:val="28"/>
          <w:sz w:val="28"/>
          <w:szCs w:val="28"/>
          <w:rtl w:val="true"/>
          <w:lang w:bidi="ar-SA"/>
        </w:rPr>
        <w:t>الصلاح، فلا يتصرّف في النصاب حينئذ إلاّ بعد الخرص و التضمين كما هو العمدة من فوائد هذا القول، بخلافه على القول الآخر فيجوز للمالك التصرّف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فوائد الخلاف أيضا ما يظهر فيما لو نقلها بعد بدوّ الصلاح إلى غيره، فإنّ الزكاة تجب على الناقل على قول الشيخ</w:t>
      </w:r>
      <w:r>
        <w:rPr>
          <w:rStyle w:val="FootnoteAnchor"/>
          <w:rtl w:val="true"/>
        </w:rPr>
        <w:footnoteReference w:id="2044"/>
      </w:r>
      <w:r>
        <w:rPr>
          <w:rFonts w:ascii="Amiri" w:hAnsi="Amiri" w:eastAsia="Amiri" w:cs="Amiri"/>
          <w:color w:val="111111"/>
          <w:sz w:val="28"/>
          <w:sz w:val="28"/>
          <w:szCs w:val="28"/>
          <w:rtl w:val="true"/>
          <w:lang w:bidi="ar-SA"/>
        </w:rPr>
        <w:t>و متابعيه، و على المنقول إليه على قول المحقّق</w:t>
      </w:r>
      <w:r>
        <w:rPr>
          <w:rStyle w:val="FootnoteAnchor"/>
          <w:rtl w:val="true"/>
        </w:rPr>
        <w:footnoteReference w:id="2045"/>
      </w:r>
      <w:r>
        <w:rPr>
          <w:rFonts w:ascii="Amiri" w:hAnsi="Amiri" w:eastAsia="Amiri" w:cs="Amiri"/>
          <w:color w:val="111111"/>
          <w:sz w:val="28"/>
          <w:sz w:val="28"/>
          <w:szCs w:val="28"/>
          <w:rtl w:val="true"/>
          <w:lang w:bidi="ar-SA"/>
        </w:rPr>
        <w:t>و موافقيه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فيما لو مات بعد بدوّ الصلاح و عليه دين مستغرق، فلا زكاة عليه على قول المحقّق و من وافقه، و تجب على قول الشيخ و من 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في الأنواع الّتي تؤكل رطبا أو عنبا و لم يتعارف اتّخاذ التمر و الزبيب، فإنّه لا زكاة فيها على قول المحقّق، و تجب على قول الشيخ</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2586735_1280447820"/>
      <w:bookmarkStart w:id="450" w:name="_Toc166"/>
      <w:bookmarkEnd w:id="449"/>
      <w:r>
        <w:rPr>
          <w:rtl w:val="true"/>
        </w:rPr>
        <w:t>المسألة الثانية</w:t>
      </w:r>
      <w:r>
        <w:rPr>
          <w:rtl w:val="true"/>
        </w:rPr>
        <w:t>: [</w:t>
      </w:r>
      <w:r>
        <w:rPr>
          <w:rtl w:val="true"/>
        </w:rPr>
        <w:t>وقت إخراج الزكاة في الغلاّت</w:t>
      </w:r>
      <w:r>
        <w:rPr>
          <w:rtl w:val="true"/>
        </w:rPr>
        <w:t>]</w:t>
      </w:r>
      <w:bookmarkEnd w:id="450"/>
    </w:p>
    <w:p>
      <w:pPr>
        <w:pStyle w:val="BookText"/>
        <w:rPr/>
      </w:pPr>
      <w:r>
        <w:rPr>
          <w:rFonts w:ascii="Amiri" w:hAnsi="Amiri" w:eastAsia="Amiri" w:cs="Amiri"/>
          <w:color w:val="111111"/>
          <w:sz w:val="28"/>
          <w:sz w:val="28"/>
          <w:szCs w:val="28"/>
          <w:rtl w:val="true"/>
          <w:lang w:bidi="ar-SA"/>
        </w:rPr>
        <w:t>صرّح المتأخّرون</w:t>
      </w:r>
      <w:r>
        <w:rPr>
          <w:rStyle w:val="FootnoteAnchor"/>
          <w:rtl w:val="true"/>
        </w:rPr>
        <w:footnoteReference w:id="2046"/>
      </w:r>
      <w:r>
        <w:rPr>
          <w:rFonts w:ascii="Amiri" w:hAnsi="Amiri" w:eastAsia="Amiri" w:cs="Amiri"/>
          <w:color w:val="111111"/>
          <w:sz w:val="28"/>
          <w:sz w:val="28"/>
          <w:szCs w:val="28"/>
          <w:rtl w:val="true"/>
          <w:lang w:bidi="ar-SA"/>
        </w:rPr>
        <w:t>و متأخّروهم</w:t>
      </w:r>
      <w:r>
        <w:rPr>
          <w:rStyle w:val="FootnoteAnchor"/>
          <w:rtl w:val="true"/>
        </w:rPr>
        <w:footnoteReference w:id="2047"/>
      </w:r>
      <w:r>
        <w:rPr>
          <w:rFonts w:ascii="Amiri" w:hAnsi="Amiri" w:eastAsia="Amiri" w:cs="Amiri"/>
          <w:color w:val="111111"/>
          <w:sz w:val="28"/>
          <w:sz w:val="28"/>
          <w:szCs w:val="28"/>
          <w:rtl w:val="true"/>
          <w:lang w:bidi="ar-SA"/>
        </w:rPr>
        <w:t>بأنّ وقت إخراج الزكاة في الغلّة من الحنطة و الشعير إنّما هو بعد التصفية، و في الثمرة من التمر و الزبيب بعد اليبس و الجفاف الّذي عليه مدار التسمية تمرا و زبيبا و إن كان على النخيل و الكروم و قبل الصرام و الجذاذ، و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فيه بين الأصحاب</w:t>
      </w:r>
      <w:r>
        <w:rPr>
          <w:rFonts w:eastAsia="Amiri" w:cs="Amiri" w:ascii="Amiri" w:hAnsi="Amiri"/>
          <w:color w:val="111111"/>
          <w:sz w:val="28"/>
          <w:szCs w:val="28"/>
          <w:rtl w:val="true"/>
          <w:lang w:bidi="ar-SA"/>
        </w:rPr>
        <w:t>»</w:t>
      </w:r>
      <w:r>
        <w:rPr>
          <w:rStyle w:val="FootnoteAnchor"/>
          <w:rtl w:val="true"/>
        </w:rPr>
        <w:footnoteReference w:id="2048"/>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الأصحاب،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العلماء كافّة على أنّه لا يجب الإخراج في الحبوب إلاّ بعد التصفية و في التمر إلاّ بعد التشميس و الجفاف</w:t>
      </w:r>
      <w:r>
        <w:rPr>
          <w:rStyle w:val="FootnoteAnchor"/>
          <w:rtl w:val="true"/>
        </w:rPr>
        <w:footnoteReference w:id="204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قال في التذكرة</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1"/>
      </w:r>
      <w:r>
        <w:rPr>
          <w:rFonts w:ascii="IRNazanin" w:hAnsi="IRNazanin" w:eastAsia="IRNazanin"/>
          <w:color w:val="111111"/>
          <w:sz w:val="28"/>
          <w:sz w:val="28"/>
          <w:szCs w:val="28"/>
          <w:rtl w:val="true"/>
          <w:lang w:bidi="fa-IR"/>
        </w:rPr>
        <w:t>و نسب نحوه إلى المعتبر</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عن المختلف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الإخراج إلاّ عند الحصاد إجماعا</w:t>
      </w:r>
      <w:r>
        <w:rPr>
          <w:rFonts w:eastAsia="Amiri" w:cs="Amiri" w:ascii="Amiri" w:hAnsi="Amiri"/>
          <w:color w:val="111111"/>
          <w:sz w:val="28"/>
          <w:szCs w:val="28"/>
          <w:rtl w:val="true"/>
          <w:lang w:bidi="ar-SA"/>
        </w:rPr>
        <w:t>»</w:t>
      </w:r>
      <w:r>
        <w:rPr>
          <w:rStyle w:val="FootnoteAnchor"/>
          <w:rtl w:val="true"/>
        </w:rPr>
        <w:footnoteReference w:id="2053"/>
      </w:r>
      <w:r>
        <w:rPr>
          <w:rFonts w:ascii="Amiri" w:hAnsi="Amiri" w:eastAsia="Amiri" w:cs="Amiri"/>
          <w:color w:val="111111"/>
          <w:sz w:val="28"/>
          <w:sz w:val="28"/>
          <w:szCs w:val="28"/>
          <w:rtl w:val="true"/>
          <w:lang w:bidi="ar-SA"/>
        </w:rPr>
        <w:t>ففي المناهل أنّه لا بدّ من تنزيله على ما ذكر</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وقت الإخراج في التمر بعد اخترافه</w:t>
      </w:r>
      <w:r>
        <w:rPr>
          <w:rStyle w:val="FootnoteAnchor"/>
          <w:rtl w:val="true"/>
        </w:rPr>
        <w:footnoteReference w:id="2055"/>
      </w:r>
      <w:r>
        <w:rPr>
          <w:rFonts w:ascii="Amiri" w:hAnsi="Amiri" w:eastAsia="Amiri" w:cs="Amiri"/>
          <w:color w:val="111111"/>
          <w:sz w:val="28"/>
          <w:sz w:val="28"/>
          <w:szCs w:val="28"/>
          <w:rtl w:val="true"/>
          <w:lang w:bidi="ar-SA"/>
        </w:rPr>
        <w:t xml:space="preserve">و في الزبيب </w:t>
      </w:r>
    </w:p>
    <w:p>
      <w:pPr>
        <w:pStyle w:val="BookText"/>
        <w:rPr/>
      </w:pPr>
      <w:r>
        <w:rPr>
          <w:rFonts w:ascii="IRNazanin" w:hAnsi="IRNazanin" w:eastAsia="IRNazanin"/>
          <w:color w:val="111111"/>
          <w:sz w:val="28"/>
          <w:sz w:val="28"/>
          <w:szCs w:val="28"/>
          <w:rtl w:val="true"/>
          <w:lang w:bidi="fa-IR"/>
        </w:rPr>
        <w:t>بعد اقتطافه</w:t>
      </w:r>
      <w:r>
        <w:rPr>
          <w:rFonts w:eastAsia="IRNazanin" w:cs="IRNazanin"/>
          <w:color w:val="111111"/>
          <w:sz w:val="28"/>
          <w:szCs w:val="28"/>
          <w:rtl w:val="true"/>
          <w:lang w:bidi="fa-IR"/>
        </w:rPr>
        <w:t>»</w:t>
      </w:r>
      <w:r>
        <w:rPr>
          <w:rStyle w:val="FootnoteAnchor"/>
          <w:rtl w:val="true"/>
        </w:rPr>
        <w:footnoteReference w:id="2056"/>
      </w:r>
      <w:r>
        <w:rPr>
          <w:rFonts w:ascii="Amiri" w:hAnsi="Amiri" w:eastAsia="Amiri" w:cs="Amiri"/>
          <w:color w:val="111111"/>
          <w:sz w:val="28"/>
          <w:sz w:val="28"/>
          <w:szCs w:val="28"/>
          <w:rtl w:val="true"/>
          <w:lang w:bidi="ar-SA"/>
        </w:rPr>
        <w:t>ففي المدارك كما عن المسالك</w:t>
      </w:r>
      <w:r>
        <w:rPr>
          <w:rStyle w:val="FootnoteAnchor"/>
          <w:rtl w:val="true"/>
        </w:rPr>
        <w:footnoteReference w:id="2057"/>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جعله ذلك وقت الإخراج تجوّز، لأنّ وقته إنّما هو عند يبس الثمرة و صيرورتها تمرا أو زبيبا</w:t>
      </w:r>
      <w:r>
        <w:rPr>
          <w:rFonts w:eastAsia="Amiri" w:cs="Amiri" w:ascii="Amiri" w:hAnsi="Amiri"/>
          <w:color w:val="111111"/>
          <w:sz w:val="28"/>
          <w:szCs w:val="28"/>
          <w:rtl w:val="true"/>
          <w:lang w:bidi="ar-SA"/>
        </w:rPr>
        <w:t>»</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 جماعة كالمدارك</w:t>
      </w:r>
      <w:r>
        <w:rPr>
          <w:rStyle w:val="FootnoteAnchor"/>
          <w:rtl w:val="true"/>
        </w:rPr>
        <w:footnoteReference w:id="2059"/>
      </w:r>
      <w:r>
        <w:rPr>
          <w:rFonts w:ascii="Amiri" w:hAnsi="Amiri" w:eastAsia="Amiri" w:cs="Amiri"/>
          <w:color w:val="111111"/>
          <w:sz w:val="28"/>
          <w:sz w:val="28"/>
          <w:szCs w:val="28"/>
          <w:rtl w:val="true"/>
          <w:lang w:bidi="ar-SA"/>
        </w:rPr>
        <w:t>و الذخيرة</w:t>
      </w:r>
      <w:r>
        <w:rPr>
          <w:rStyle w:val="FootnoteAnchor"/>
          <w:rtl w:val="true"/>
        </w:rPr>
        <w:footnoteReference w:id="2060"/>
      </w:r>
      <w:r>
        <w:rPr>
          <w:rFonts w:ascii="Amiri" w:hAnsi="Amiri" w:eastAsia="Amiri" w:cs="Amiri"/>
          <w:color w:val="111111"/>
          <w:sz w:val="28"/>
          <w:sz w:val="28"/>
          <w:szCs w:val="28"/>
          <w:rtl w:val="true"/>
          <w:lang w:bidi="ar-SA"/>
        </w:rPr>
        <w:t>و الرياض</w:t>
      </w:r>
      <w:r>
        <w:rPr>
          <w:rStyle w:val="FootnoteAnchor"/>
          <w:rtl w:val="true"/>
        </w:rPr>
        <w:footnoteReference w:id="2061"/>
      </w:r>
      <w:r>
        <w:rPr>
          <w:rFonts w:ascii="Amiri" w:hAnsi="Amiri" w:eastAsia="Amiri" w:cs="Amiri"/>
          <w:color w:val="111111"/>
          <w:sz w:val="28"/>
          <w:sz w:val="28"/>
          <w:szCs w:val="28"/>
          <w:rtl w:val="true"/>
          <w:lang w:bidi="ar-SA"/>
        </w:rPr>
        <w:t>أنّ الظاهر أنّ المراد بوقت الإخراج الوقت الّذي إذا أخّرت الزكاة عنه مع التمكّن من إخراجها تصير مضمونة على المالك، أو الوقت الّذي يسوغ للساعي فيه مطالبة المالك بالإخراج لا الوقت الّذي لا يجوز تقديم الزكاة عليه لتصريحهم بجواز مقاسمة الساعي لمالك الثمرة قبل الجذاذ و إجزاء دفع الواجب على رءوس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العمومات</w:t>
      </w:r>
      <w:r>
        <w:rPr>
          <w:rStyle w:val="FootnoteAnchor"/>
          <w:rtl w:val="true"/>
        </w:rPr>
        <w:footnoteReference w:id="2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قوله عليه السّلام في صحيحة سعد بن سعد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خرصه أخرج زكاته</w:t>
      </w:r>
      <w:r>
        <w:rPr>
          <w:rFonts w:eastAsia="Amiri" w:cs="Amiri" w:ascii="Amiri" w:hAnsi="Amiri"/>
          <w:color w:val="111111"/>
          <w:sz w:val="28"/>
          <w:szCs w:val="28"/>
          <w:rtl w:val="true"/>
          <w:lang w:bidi="ar-SA"/>
        </w:rPr>
        <w:t>»</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الزكاة في الغلاّت كلّها إنّما تجب على مالك النصاب إذا ملكه قبل وقت تعلّق الوجوب بأن يكون في ذلك الوقت في ملكه سواء ملكه بالزراعة أو بالغرس أو بالابتياع أو الصلح أو الاتّهاب أو الوراثة أو المهر أو نحو ذلك بلا خلاف ظاهر، بل عن المعتبر و المنتهى أنّ عليه اتّفاق العلماء كافّة</w:t>
      </w:r>
      <w:r>
        <w:rPr>
          <w:rStyle w:val="FootnoteAnchor"/>
          <w:rtl w:val="true"/>
        </w:rPr>
        <w:footnoteReference w:id="2064"/>
      </w:r>
      <w:r>
        <w:rPr>
          <w:rFonts w:ascii="Amiri" w:hAnsi="Amiri" w:eastAsia="Amiri" w:cs="Amiri"/>
          <w:color w:val="111111"/>
          <w:sz w:val="28"/>
          <w:sz w:val="28"/>
          <w:szCs w:val="28"/>
          <w:rtl w:val="true"/>
          <w:lang w:bidi="ar-SA"/>
        </w:rPr>
        <w:t>و يستفاد من صاحب المدارك و غيره كونه إجماع المسلمين</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الأصل في المسألة و المدرك فيها، لخلوّ النصوص عمّا يدلّ على ذلك صراحة أو ظهورا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ملكه بعد الوقت المذكور كانت الزكاة على الناقل لا المنتقل إليه كما هو المصرّح به في كلامهم، و الظاهر عدم الفرق في الحكم المذكور بين القولين المتقدّمين في وقت تعلّق الوجوب أ هو بعد بدوّ الصلاح أو بعد التسمية بالأسماء الأربعة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إذا أخرج الزكاة عن نصاب الغلاّت على الوجه المعتبر شرعا و دفعها إلى </w:t>
      </w:r>
      <w:bookmarkStart w:id="451" w:name="pg16181_154712"/>
    </w:p>
    <w:p>
      <w:pPr>
        <w:pStyle w:val="BookText"/>
        <w:rPr/>
      </w:pPr>
      <w:bookmarkEnd w:id="451"/>
      <w:r>
        <w:rPr>
          <w:rFonts w:ascii="Amiri" w:hAnsi="Amiri" w:eastAsia="Amiri" w:cs="Amiri"/>
          <w:color w:val="111111"/>
          <w:sz w:val="28"/>
          <w:sz w:val="28"/>
          <w:szCs w:val="28"/>
          <w:rtl w:val="true"/>
          <w:lang w:bidi="ar-SA"/>
        </w:rPr>
        <w:t>الساعي أو المستحقّ مرّة واحدة لم يجب عليه بعد ذلك زكاة فيه و إن بقى سنين كثيرة، و هذا الحكم أيضا إجماعي، و في المدارك أنّه مجمع عليه بين الأصحاب</w:t>
      </w:r>
      <w:r>
        <w:rPr>
          <w:rStyle w:val="FootnoteAnchor"/>
          <w:rtl w:val="true"/>
        </w:rPr>
        <w:footnoteReference w:id="2066"/>
      </w:r>
      <w:r>
        <w:rPr>
          <w:rFonts w:ascii="Amiri" w:hAnsi="Amiri" w:eastAsia="Amiri" w:cs="Amiri"/>
          <w:color w:val="111111"/>
          <w:sz w:val="28"/>
          <w:sz w:val="28"/>
          <w:szCs w:val="28"/>
          <w:rtl w:val="true"/>
          <w:lang w:bidi="ar-SA"/>
        </w:rPr>
        <w:t>و عن المعتبر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اتّفاق العلماء عدى الحسن البصري</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من النصوص ما رواه الشيخ في الحسن بل الصحيح عن زرارة و عبيد اللّه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كان له حرث أو ثمرة فصدّقها فليس عليه فيه شيء و إن حال عليه الحول عنده، إلاّ أن يحوّله مالا فإن فعل فحال عليه الحول عنده فعليه أن يزكّيه و إلاّ فلا شيء عليه و إن ثبت ذلك ألف عام إذا كان بعينه قائما، و إنّما عليه صدقة العشر فإذا أدّاها مرّة واحدة فلا شيء عليه فيها حتّى يحوّله مالا و يحول عليه الحول و هو عنده</w:t>
      </w:r>
      <w:r>
        <w:rPr>
          <w:rFonts w:eastAsia="Amiri" w:cs="Amiri" w:ascii="Amiri" w:hAnsi="Amiri"/>
          <w:color w:val="111111"/>
          <w:sz w:val="28"/>
          <w:szCs w:val="28"/>
          <w:rtl w:val="true"/>
          <w:lang w:bidi="ar-SA"/>
        </w:rPr>
        <w:t>»</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2" w:name="__RefHeading___Toc2586737_1280447820"/>
      <w:bookmarkStart w:id="453" w:name="_Toc167"/>
      <w:bookmarkEnd w:id="452"/>
      <w:r>
        <w:rPr>
          <w:rtl w:val="true"/>
        </w:rPr>
        <w:t>المسألة الثالثة</w:t>
      </w:r>
      <w:r>
        <w:rPr>
          <w:rtl w:val="true"/>
        </w:rPr>
        <w:t>: [</w:t>
      </w:r>
      <w:r>
        <w:rPr>
          <w:rtl w:val="true"/>
        </w:rPr>
        <w:t>في إخراج المؤن</w:t>
      </w:r>
      <w:r>
        <w:rPr>
          <w:rtl w:val="true"/>
        </w:rPr>
        <w:t>]</w:t>
      </w:r>
      <w:bookmarkEnd w:id="453"/>
    </w:p>
    <w:p>
      <w:pPr>
        <w:pStyle w:val="Heading6"/>
        <w:numPr>
          <w:ilvl w:val="5"/>
          <w:numId w:val="1"/>
        </w:numPr>
        <w:rPr/>
      </w:pPr>
      <w:bookmarkStart w:id="454" w:name="__RefHeading___Toc2586739_1280447820"/>
      <w:bookmarkStart w:id="455" w:name="_Toc168"/>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اختلف الأصحاب في اعتبار إخراج المؤن كلّها في زكاة الغلاّت و عدمه فعن الشيخ في المبسوط</w:t>
      </w:r>
      <w:r>
        <w:rPr>
          <w:rStyle w:val="FootnoteAnchor"/>
          <w:rtl w:val="true"/>
        </w:rPr>
        <w:footnoteReference w:id="2070"/>
      </w:r>
      <w:r>
        <w:rPr>
          <w:rFonts w:ascii="IRNazanin" w:hAnsi="IRNazanin" w:eastAsia="IRNazanin"/>
          <w:color w:val="111111"/>
          <w:sz w:val="28"/>
          <w:sz w:val="28"/>
          <w:szCs w:val="28"/>
          <w:rtl w:val="true"/>
          <w:lang w:bidi="fa-IR"/>
        </w:rPr>
        <w:t>و الخلاف</w:t>
      </w:r>
      <w:r>
        <w:rPr>
          <w:rStyle w:val="FootnoteAnchor"/>
          <w:rtl w:val="true"/>
        </w:rPr>
        <w:footnoteReference w:id="2071"/>
      </w:r>
      <w:r>
        <w:rPr>
          <w:rFonts w:ascii="Amiri" w:hAnsi="Amiri" w:eastAsia="Amiri" w:cs="Amiri"/>
          <w:color w:val="111111"/>
          <w:sz w:val="28"/>
          <w:sz w:val="28"/>
          <w:szCs w:val="28"/>
          <w:rtl w:val="true"/>
          <w:lang w:bidi="ar-SA"/>
        </w:rPr>
        <w:t>و يحيى بن سعيد في الجامع</w:t>
      </w:r>
      <w:r>
        <w:rPr>
          <w:rStyle w:val="FootnoteAnchor"/>
          <w:rtl w:val="true"/>
        </w:rPr>
        <w:footnoteReference w:id="2072"/>
      </w:r>
      <w:r>
        <w:rPr>
          <w:rFonts w:ascii="Amiri" w:hAnsi="Amiri" w:eastAsia="Amiri" w:cs="Amiri"/>
          <w:color w:val="111111"/>
          <w:sz w:val="28"/>
          <w:sz w:val="28"/>
          <w:szCs w:val="28"/>
          <w:rtl w:val="true"/>
          <w:lang w:bidi="ar-SA"/>
        </w:rPr>
        <w:t>أنّ المؤن كلّها على ربّ المال لا على الفقراء فلا يخرج منها شيء، و حكاه في المدارك عن جدّه ثاني الشهيد في حاشية القواعد</w:t>
      </w:r>
      <w:r>
        <w:rPr>
          <w:rStyle w:val="FootnoteAnchor"/>
          <w:rtl w:val="true"/>
        </w:rPr>
        <w:footnoteReference w:id="2073"/>
      </w:r>
      <w:r>
        <w:rPr>
          <w:rFonts w:ascii="Amiri" w:hAnsi="Amiri" w:eastAsia="Amiri" w:cs="Amiri"/>
          <w:color w:val="111111"/>
          <w:sz w:val="28"/>
          <w:sz w:val="28"/>
          <w:szCs w:val="28"/>
          <w:rtl w:val="true"/>
          <w:lang w:bidi="ar-SA"/>
        </w:rPr>
        <w:t>المنسوبة إليه فذكر أنّه اعترف بأنّه لا دليل على استثناء المؤن سوى الشهرة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إثبات الحكم الشرعي بمجرّد الشهرة مجازفة</w:t>
      </w:r>
      <w:r>
        <w:rPr>
          <w:rFonts w:eastAsia="Amiri" w:cs="Amiri" w:ascii="Amiri" w:hAnsi="Amiri"/>
          <w:color w:val="111111"/>
          <w:sz w:val="28"/>
          <w:szCs w:val="28"/>
          <w:rtl w:val="true"/>
          <w:lang w:bidi="ar-SA"/>
        </w:rPr>
        <w:t>»</w:t>
      </w:r>
      <w:r>
        <w:rPr>
          <w:rStyle w:val="FootnoteAnchor"/>
          <w:rtl w:val="true"/>
        </w:rPr>
        <w:footnoteReference w:id="2074"/>
      </w:r>
      <w:r>
        <w:rPr>
          <w:rFonts w:ascii="Amiri" w:hAnsi="Amiri" w:eastAsia="Amiri" w:cs="Amiri"/>
          <w:color w:val="111111"/>
          <w:sz w:val="28"/>
          <w:sz w:val="28"/>
          <w:szCs w:val="28"/>
          <w:rtl w:val="true"/>
          <w:lang w:bidi="ar-SA"/>
        </w:rPr>
        <w:t>و اختاره من متأخّري المتأخّرين صاحبا المدارك</w:t>
      </w:r>
      <w:r>
        <w:rPr>
          <w:rStyle w:val="FootnoteAnchor"/>
          <w:rtl w:val="true"/>
        </w:rPr>
        <w:footnoteReference w:id="2075"/>
      </w:r>
      <w:r>
        <w:rPr>
          <w:rFonts w:ascii="Amiri" w:hAnsi="Amiri" w:eastAsia="Amiri" w:cs="Amiri"/>
          <w:color w:val="111111"/>
          <w:sz w:val="28"/>
          <w:sz w:val="28"/>
          <w:szCs w:val="28"/>
          <w:rtl w:val="true"/>
          <w:lang w:bidi="ar-SA"/>
        </w:rPr>
        <w:t>و الذخيرة</w:t>
      </w:r>
      <w:r>
        <w:rPr>
          <w:rStyle w:val="FootnoteAnchor"/>
          <w:rtl w:val="true"/>
        </w:rPr>
        <w:footnoteReference w:id="2076"/>
      </w:r>
      <w:r>
        <w:rPr>
          <w:rFonts w:ascii="Amiri" w:hAnsi="Amiri" w:eastAsia="Amiri" w:cs="Amiri"/>
          <w:color w:val="111111"/>
          <w:sz w:val="28"/>
          <w:sz w:val="28"/>
          <w:szCs w:val="28"/>
          <w:rtl w:val="true"/>
          <w:lang w:bidi="ar-SA"/>
        </w:rPr>
        <w:t>و نسبه في الرياض إلى جماعة من المتأخّرين</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الخلاف نقل الإجماع عليه إلاّ من عطاء</w:t>
      </w:r>
      <w:r>
        <w:rPr>
          <w:rStyle w:val="FootnoteAnchor"/>
          <w:rtl w:val="true"/>
        </w:rPr>
        <w:footnoteReference w:id="2078"/>
      </w:r>
      <w:r>
        <w:rPr>
          <w:rFonts w:ascii="Amiri" w:hAnsi="Amiri" w:eastAsia="Amiri" w:cs="Amiri"/>
          <w:color w:val="111111"/>
          <w:sz w:val="28"/>
          <w:sz w:val="28"/>
          <w:szCs w:val="28"/>
          <w:rtl w:val="true"/>
          <w:lang w:bidi="ar-SA"/>
        </w:rPr>
        <w:t>و لعلّه مستفاد من عبارته المحكيّة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مئونة تلحق الغلاّت إلى وقت إخراج الزكاة على ربّ المال، و به قال جميع </w:t>
      </w:r>
    </w:p>
    <w:p>
      <w:pPr>
        <w:pStyle w:val="BookText"/>
        <w:rPr/>
      </w:pPr>
      <w:r>
        <w:rPr>
          <w:rFonts w:ascii="IRNazanin" w:hAnsi="IRNazanin" w:eastAsia="IRNazanin"/>
          <w:color w:val="111111"/>
          <w:sz w:val="28"/>
          <w:sz w:val="28"/>
          <w:szCs w:val="28"/>
          <w:rtl w:val="true"/>
          <w:lang w:bidi="fa-IR"/>
        </w:rPr>
        <w:t>الفقهاء إلاّ عطاء</w:t>
      </w:r>
      <w:r>
        <w:rPr>
          <w:rFonts w:eastAsia="IRNazanin" w:cs="IRNazanin"/>
          <w:color w:val="111111"/>
          <w:sz w:val="28"/>
          <w:szCs w:val="28"/>
          <w:rtl w:val="true"/>
          <w:lang w:bidi="fa-IR"/>
        </w:rPr>
        <w:t>»</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لأنّ المعهود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المذهب في كلام الأصحاب في الاصول و الفروع قبالا للمتكلّمين إطلاقها على فقهاء العامّة و متكلّميهم لا ما يعمّ الأصحاب، فلا يدلّ هذه العبارة على إرادة إجماع الأصحاب كما تنبّه عليه السيّد في المناهل</w:t>
      </w:r>
      <w:r>
        <w:rPr>
          <w:rStyle w:val="FootnoteAnchor"/>
          <w:rtl w:val="true"/>
        </w:rPr>
        <w:footnoteReference w:id="2080"/>
      </w:r>
      <w:r>
        <w:rPr>
          <w:rFonts w:ascii="Amiri" w:hAnsi="Amiri" w:eastAsia="Amiri" w:cs="Amiri"/>
          <w:color w:val="111111"/>
          <w:sz w:val="28"/>
          <w:sz w:val="28"/>
          <w:szCs w:val="28"/>
          <w:rtl w:val="true"/>
          <w:lang w:bidi="ar-SA"/>
        </w:rPr>
        <w:t xml:space="preserve">و يؤيّده 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العامّة بالاستثناء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عبارة محكيّة عن ابن سعيد التصريح بالإجماع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المئونة على ربّ المال دون المساكين إجماعا إلاّ عطاء فإنّه جعلها بينه و بين المساكين، و يزكّي ما خرج من النصاب بعد حقّ السلطان و لا يندر البذر لعموم الآية</w:t>
      </w:r>
      <w:r>
        <w:rPr>
          <w:rStyle w:val="FootnoteAnchor"/>
          <w:rtl w:val="true"/>
        </w:rPr>
        <w:footnoteReference w:id="2081"/>
      </w:r>
      <w:r>
        <w:rPr>
          <w:rFonts w:ascii="IRNazanin" w:hAnsi="IRNazanin" w:eastAsia="IRNazanin"/>
          <w:color w:val="111111"/>
          <w:sz w:val="28"/>
          <w:sz w:val="28"/>
          <w:szCs w:val="28"/>
          <w:rtl w:val="true"/>
          <w:lang w:bidi="fa-IR"/>
        </w:rPr>
        <w:t>و الخبر</w:t>
      </w:r>
      <w:r>
        <w:rPr>
          <w:rStyle w:val="FootnoteAnchor"/>
          <w:rtl w:val="true"/>
        </w:rPr>
        <w:footnoteReference w:id="2082"/>
      </w:r>
      <w:r>
        <w:rPr>
          <w:rFonts w:ascii="Amiri" w:hAnsi="Amiri" w:eastAsia="Amiri" w:cs="Amiri"/>
          <w:color w:val="111111"/>
          <w:sz w:val="28"/>
          <w:sz w:val="28"/>
          <w:szCs w:val="28"/>
          <w:rtl w:val="true"/>
          <w:lang w:bidi="ar-SA"/>
        </w:rPr>
        <w:t>و لأنّ أحدا لا يندر ثمن الغراس و آلة السقي كالدولاب و الناضح و اجرته و لا فارق بين الثمرة و الغلّة</w:t>
      </w:r>
      <w:r>
        <w:rPr>
          <w:rFonts w:eastAsia="Amiri" w:cs="Amiri" w:ascii="Amiri" w:hAnsi="Amiri"/>
          <w:color w:val="111111"/>
          <w:sz w:val="28"/>
          <w:szCs w:val="28"/>
          <w:rtl w:val="true"/>
          <w:lang w:bidi="ar-SA"/>
        </w:rPr>
        <w:t>»</w:t>
      </w:r>
      <w:r>
        <w:rPr>
          <w:rStyle w:val="FootnoteAnchor"/>
          <w:rtl w:val="true"/>
        </w:rPr>
        <w:footnoteReference w:id="2083"/>
      </w:r>
      <w:r>
        <w:rPr>
          <w:rFonts w:ascii="Amiri" w:hAnsi="Amiri" w:eastAsia="Amiri" w:cs="Amiri"/>
          <w:color w:val="111111"/>
          <w:sz w:val="28"/>
          <w:sz w:val="28"/>
          <w:szCs w:val="28"/>
          <w:rtl w:val="true"/>
          <w:lang w:bidi="ar-SA"/>
        </w:rPr>
        <w:t>هكذا نقله في المدارك</w:t>
      </w:r>
      <w:r>
        <w:rPr>
          <w:rStyle w:val="FootnoteAnchor"/>
          <w:rtl w:val="true"/>
        </w:rPr>
        <w:footnoteReference w:id="2084"/>
      </w:r>
      <w:r>
        <w:rPr>
          <w:rFonts w:ascii="Amiri" w:hAnsi="Amiri" w:eastAsia="Amiri" w:cs="Amiri"/>
          <w:color w:val="111111"/>
          <w:sz w:val="28"/>
          <w:sz w:val="28"/>
          <w:szCs w:val="28"/>
          <w:rtl w:val="true"/>
          <w:lang w:bidi="ar-SA"/>
        </w:rPr>
        <w:t>و لكن في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نسبه في المدارك إلى الجامع من دعوى الإجماع فلم أجده في نسختي و لكنّها كثير الغلط</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الآخر أنّه يخرج المؤن كلّها، نسب إلى الشيخين في المقنعة</w:t>
      </w:r>
      <w:r>
        <w:rPr>
          <w:rStyle w:val="FootnoteAnchor"/>
          <w:rtl w:val="true"/>
        </w:rPr>
        <w:footnoteReference w:id="2085"/>
      </w:r>
      <w:r>
        <w:rPr>
          <w:rFonts w:ascii="Amiri" w:hAnsi="Amiri" w:eastAsia="Amiri" w:cs="Amiri"/>
          <w:color w:val="111111"/>
          <w:sz w:val="28"/>
          <w:sz w:val="28"/>
          <w:szCs w:val="28"/>
          <w:rtl w:val="true"/>
          <w:lang w:bidi="ar-SA"/>
        </w:rPr>
        <w:t>و النهاية</w:t>
      </w:r>
      <w:r>
        <w:rPr>
          <w:rStyle w:val="FootnoteAnchor"/>
          <w:rtl w:val="true"/>
        </w:rPr>
        <w:footnoteReference w:id="2086"/>
      </w:r>
      <w:r>
        <w:rPr>
          <w:rFonts w:ascii="IRNazanin" w:hAnsi="IRNazanin" w:eastAsia="IRNazanin"/>
          <w:color w:val="111111"/>
          <w:sz w:val="28"/>
          <w:sz w:val="28"/>
          <w:szCs w:val="28"/>
          <w:rtl w:val="true"/>
          <w:lang w:bidi="fa-IR"/>
        </w:rPr>
        <w:t>و الاستبصار</w:t>
      </w:r>
      <w:r>
        <w:rPr>
          <w:rStyle w:val="FootnoteAnchor"/>
          <w:rtl w:val="true"/>
        </w:rPr>
        <w:footnoteReference w:id="2087"/>
      </w:r>
      <w:r>
        <w:rPr>
          <w:rFonts w:ascii="Amiri" w:hAnsi="Amiri" w:eastAsia="Amiri" w:cs="Amiri"/>
          <w:color w:val="111111"/>
          <w:sz w:val="28"/>
          <w:sz w:val="28"/>
          <w:szCs w:val="28"/>
          <w:rtl w:val="true"/>
          <w:lang w:bidi="ar-SA"/>
        </w:rPr>
        <w:t>و السيّد في جمل العلم</w:t>
      </w:r>
      <w:r>
        <w:rPr>
          <w:rStyle w:val="FootnoteAnchor"/>
          <w:rtl w:val="true"/>
        </w:rPr>
        <w:footnoteReference w:id="2088"/>
      </w:r>
      <w:r>
        <w:rPr>
          <w:rFonts w:ascii="Amiri" w:hAnsi="Amiri" w:eastAsia="Amiri" w:cs="Amiri"/>
          <w:color w:val="111111"/>
          <w:sz w:val="28"/>
          <w:sz w:val="28"/>
          <w:szCs w:val="28"/>
          <w:rtl w:val="true"/>
          <w:lang w:bidi="ar-SA"/>
        </w:rPr>
        <w:t>و ابن زهرة في الغنية</w:t>
      </w:r>
      <w:r>
        <w:rPr>
          <w:rStyle w:val="FootnoteAnchor"/>
          <w:rtl w:val="true"/>
        </w:rPr>
        <w:footnoteReference w:id="2089"/>
      </w:r>
      <w:r>
        <w:rPr>
          <w:rFonts w:ascii="Amiri" w:hAnsi="Amiri" w:eastAsia="Amiri" w:cs="Amiri"/>
          <w:color w:val="111111"/>
          <w:sz w:val="28"/>
          <w:sz w:val="28"/>
          <w:szCs w:val="28"/>
          <w:rtl w:val="true"/>
          <w:lang w:bidi="ar-SA"/>
        </w:rPr>
        <w:t>و الحلّي في السرائر</w:t>
      </w:r>
      <w:r>
        <w:rPr>
          <w:rStyle w:val="FootnoteAnchor"/>
          <w:rtl w:val="true"/>
        </w:rPr>
        <w:footnoteReference w:id="2090"/>
      </w:r>
      <w:r>
        <w:rPr>
          <w:rFonts w:ascii="Amiri" w:hAnsi="Amiri" w:eastAsia="Amiri" w:cs="Amiri"/>
          <w:color w:val="111111"/>
          <w:sz w:val="28"/>
          <w:sz w:val="28"/>
          <w:szCs w:val="28"/>
          <w:rtl w:val="true"/>
          <w:lang w:bidi="ar-SA"/>
        </w:rPr>
        <w:t>و المحقّق في كتبه الثلاث</w:t>
      </w:r>
      <w:r>
        <w:rPr>
          <w:rStyle w:val="FootnoteAnchor"/>
          <w:rtl w:val="true"/>
        </w:rPr>
        <w:footnoteReference w:id="2091"/>
      </w:r>
      <w:r>
        <w:rPr>
          <w:rFonts w:ascii="Amiri" w:hAnsi="Amiri" w:eastAsia="Amiri" w:cs="Amiri"/>
          <w:color w:val="111111"/>
          <w:sz w:val="28"/>
          <w:sz w:val="28"/>
          <w:szCs w:val="28"/>
          <w:rtl w:val="true"/>
          <w:lang w:bidi="ar-SA"/>
        </w:rPr>
        <w:t>و العلاّمة في كتبه</w:t>
      </w:r>
      <w:r>
        <w:rPr>
          <w:rStyle w:val="FootnoteAnchor"/>
          <w:rtl w:val="true"/>
        </w:rPr>
        <w:footnoteReference w:id="2092"/>
      </w:r>
      <w:r>
        <w:rPr>
          <w:rFonts w:ascii="Amiri" w:hAnsi="Amiri" w:eastAsia="Amiri" w:cs="Amiri"/>
          <w:color w:val="111111"/>
          <w:sz w:val="28"/>
          <w:sz w:val="28"/>
          <w:szCs w:val="28"/>
          <w:rtl w:val="true"/>
          <w:lang w:bidi="ar-SA"/>
        </w:rPr>
        <w:t>و الشهيد في الدروس</w:t>
      </w:r>
      <w:r>
        <w:rPr>
          <w:rStyle w:val="FootnoteAnchor"/>
          <w:rtl w:val="true"/>
        </w:rPr>
        <w:footnoteReference w:id="2093"/>
      </w:r>
      <w:r>
        <w:rPr>
          <w:rFonts w:ascii="Amiri" w:hAnsi="Amiri" w:eastAsia="Amiri" w:cs="Amiri"/>
          <w:color w:val="111111"/>
          <w:sz w:val="28"/>
          <w:sz w:val="28"/>
          <w:szCs w:val="28"/>
          <w:rtl w:val="true"/>
          <w:lang w:bidi="ar-SA"/>
        </w:rPr>
        <w:t>و البيان</w:t>
      </w:r>
      <w:r>
        <w:rPr>
          <w:rStyle w:val="FootnoteAnchor"/>
          <w:rtl w:val="true"/>
        </w:rPr>
        <w:footnoteReference w:id="2094"/>
      </w:r>
      <w:r>
        <w:rPr>
          <w:rFonts w:ascii="Amiri" w:hAnsi="Amiri" w:eastAsia="Amiri" w:cs="Amiri"/>
          <w:color w:val="111111"/>
          <w:sz w:val="28"/>
          <w:sz w:val="28"/>
          <w:szCs w:val="28"/>
          <w:rtl w:val="true"/>
          <w:lang w:bidi="ar-SA"/>
        </w:rPr>
        <w:t>و نسبه في الرياض</w:t>
      </w:r>
      <w:r>
        <w:rPr>
          <w:rStyle w:val="FootnoteAnchor"/>
          <w:rtl w:val="true"/>
        </w:rPr>
        <w:footnoteReference w:id="2095"/>
      </w:r>
      <w:r>
        <w:rPr>
          <w:rFonts w:ascii="IRNazanin" w:hAnsi="IRNazanin" w:eastAsia="IRNazanin"/>
          <w:color w:val="111111"/>
          <w:sz w:val="28"/>
          <w:sz w:val="28"/>
          <w:szCs w:val="28"/>
          <w:rtl w:val="true"/>
          <w:lang w:bidi="fa-IR"/>
        </w:rPr>
        <w:t>إلى الصدوق</w:t>
      </w:r>
      <w:r>
        <w:rPr>
          <w:rStyle w:val="FootnoteAnchor"/>
          <w:rtl w:val="true"/>
        </w:rPr>
        <w:footnoteReference w:id="2096"/>
      </w:r>
      <w:r>
        <w:rPr>
          <w:rFonts w:ascii="Amiri" w:hAnsi="Amiri" w:eastAsia="Amiri" w:cs="Amiri"/>
          <w:color w:val="111111"/>
          <w:sz w:val="28"/>
          <w:sz w:val="28"/>
          <w:szCs w:val="28"/>
          <w:rtl w:val="true"/>
          <w:lang w:bidi="ar-SA"/>
        </w:rPr>
        <w:t>أيضا، و عن المعتبر و المنتهى أنّه مذهب أكثر الأصحاب</w:t>
      </w:r>
      <w:r>
        <w:rPr>
          <w:rStyle w:val="FootnoteAnchor"/>
          <w:rtl w:val="true"/>
        </w:rPr>
        <w:footnoteReference w:id="2097"/>
      </w:r>
      <w:r>
        <w:rPr>
          <w:rFonts w:ascii="Amiri" w:hAnsi="Amiri" w:eastAsia="Amiri" w:cs="Amiri"/>
          <w:color w:val="111111"/>
          <w:sz w:val="28"/>
          <w:sz w:val="28"/>
          <w:szCs w:val="28"/>
          <w:rtl w:val="true"/>
          <w:lang w:bidi="ar-SA"/>
        </w:rPr>
        <w:t>و عن المختلف و الحاشية المنسوبة إلى الشهيد الثاني أنّه المشهور، بل عن الثاني هذا هو المشهور بين الأصحاب</w:t>
      </w:r>
      <w:r>
        <w:rPr>
          <w:rStyle w:val="FootnoteAnchor"/>
          <w:rtl w:val="true"/>
        </w:rPr>
        <w:footnoteReference w:id="2098"/>
      </w:r>
      <w:r>
        <w:rPr>
          <w:rFonts w:ascii="Amiri" w:hAnsi="Amiri" w:eastAsia="Amiri" w:cs="Amiri"/>
          <w:color w:val="111111"/>
          <w:sz w:val="28"/>
          <w:sz w:val="28"/>
          <w:szCs w:val="28"/>
          <w:rtl w:val="true"/>
          <w:lang w:bidi="ar-SA"/>
        </w:rPr>
        <w:t>حتّى كاد أن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لم ينقل </w:t>
      </w:r>
    </w:p>
    <w:p>
      <w:pPr>
        <w:pStyle w:val="BookText"/>
        <w:rPr/>
      </w:pPr>
      <w:r>
        <w:rPr>
          <w:rFonts w:ascii="Amiri" w:hAnsi="Amiri" w:eastAsia="Amiri" w:cs="Amiri"/>
          <w:color w:val="111111"/>
          <w:sz w:val="28"/>
          <w:sz w:val="28"/>
          <w:szCs w:val="28"/>
          <w:rtl w:val="true"/>
          <w:lang w:bidi="ar-SA"/>
        </w:rPr>
        <w:t>المصنّف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الروضة أنّ المشهور بعد الشيخ استثناء المئونة</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من مطاوي كلماتهم أنّ محلّ النزاع ما عدى حصّة السلطان ممّا يأخذ بعنوان المقاسمة، و أمّا هذه الحصّة فلا خلاف بين الفريقين في اعتبار إخراجها في وجوب الزكاة فالباقي من الغلّة و الثمرة بعد إخراجها إن بلغ النصاب فما زاد هو مورد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فاستدلّ للقول الأوّل بالإجماع المنقول المتقدّم إليه</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رواه الشيخ في الحسن بل الصحيح عن أبي بصير عن محمّد بن مسلم جميعا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الّتي يزارع أهلها ما ترى فيها؟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أرض دفعها إليك السلطان فما حرثته فيها فعليك ممّا أخرج اللّه منها الّذي قاطعك عليه و ليس على جميع ما أخرج اللّه منها العشر إنّما عليك العشر فيما يحصل في يدك بعد مقاسمته لك</w:t>
      </w:r>
      <w:r>
        <w:rPr>
          <w:rFonts w:eastAsia="Amiri" w:cs="Amiri" w:ascii="Amiri" w:hAnsi="Amiri"/>
          <w:color w:val="111111"/>
          <w:sz w:val="28"/>
          <w:szCs w:val="28"/>
          <w:rtl w:val="true"/>
          <w:lang w:bidi="ar-SA"/>
        </w:rPr>
        <w:t>»</w:t>
      </w:r>
      <w:r>
        <w:rPr>
          <w:rStyle w:val="FootnoteAnchor"/>
          <w:rtl w:val="true"/>
        </w:rPr>
        <w:footnoteReference w:id="2101"/>
      </w:r>
      <w:r>
        <w:rPr>
          <w:rFonts w:ascii="Amiri" w:hAnsi="Amiri" w:eastAsia="Amiri" w:cs="Amiri"/>
          <w:color w:val="111111"/>
          <w:sz w:val="28"/>
          <w:sz w:val="28"/>
          <w:szCs w:val="28"/>
          <w:rtl w:val="true"/>
          <w:lang w:bidi="ar-SA"/>
        </w:rPr>
        <w:t>و هذه الرواية كالصريحة في عدم استثناء شيء ممّا يخرج من الأرض سوى المقاسمة، إذ المقام مقام البيان و استثناء ما عسى أن يتوهّم اندراجه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في عدّة من أخبار صحيحة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منه يسقى بالرشا و الدوالي و النواضح ففيه نصف العشر و ما سقت السماء أو السيح أو كان بعلا ففيه العشر تامّا</w:t>
      </w:r>
      <w:r>
        <w:rPr>
          <w:rFonts w:eastAsia="Amiri" w:cs="Amiri" w:ascii="Amiri" w:hAnsi="Amiri"/>
          <w:color w:val="111111"/>
          <w:sz w:val="28"/>
          <w:szCs w:val="28"/>
          <w:rtl w:val="true"/>
          <w:lang w:bidi="ar-SA"/>
        </w:rPr>
        <w:t>»</w:t>
      </w:r>
      <w:r>
        <w:rPr>
          <w:rStyle w:val="FootnoteAnchor"/>
          <w:rtl w:val="true"/>
        </w:rPr>
        <w:footnoteReference w:id="2102"/>
      </w: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العموم فيتناول ما قابل المئونة و غيرها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 عن الأوّل تارة بمنع ثبوت أصل نقل الإجماع في الخلاف و الجامع حسبما تقدّم الإشارة إليه</w:t>
      </w:r>
      <w:r>
        <w:rPr>
          <w:rStyle w:val="FootnoteAnchor"/>
          <w:rtl w:val="true"/>
        </w:rPr>
        <w:footnoteReference w:id="2103"/>
      </w:r>
      <w:r>
        <w:rPr>
          <w:rFonts w:ascii="Amiri" w:hAnsi="Amiri" w:eastAsia="Amiri" w:cs="Amiri"/>
          <w:color w:val="111111"/>
          <w:sz w:val="28"/>
          <w:sz w:val="28"/>
          <w:szCs w:val="28"/>
          <w:rtl w:val="true"/>
          <w:lang w:bidi="ar-SA"/>
        </w:rPr>
        <w:t>و اخرى بأنّه على فرض ثبوته يتوهّن بمصير الأكثر إلى الخلاف، بل بمخالفة الشهرة العظيمة حسبما عرفت حكايتها عن الحاشية المنسوبة إلى ثاني الشهيدين</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الثاني</w:t>
      </w:r>
      <w:r>
        <w:rPr>
          <w:rStyle w:val="FootnoteAnchor"/>
          <w:rtl w:val="true"/>
        </w:rPr>
        <w:footnoteReference w:id="2105"/>
      </w:r>
      <w:r>
        <w:rPr>
          <w:rFonts w:ascii="Amiri" w:hAnsi="Amiri" w:eastAsia="Amiri" w:cs="Amiri"/>
          <w:color w:val="111111"/>
          <w:sz w:val="28"/>
          <w:sz w:val="28"/>
          <w:szCs w:val="28"/>
          <w:rtl w:val="true"/>
          <w:lang w:bidi="ar-SA"/>
        </w:rPr>
        <w:t>كما في الرياض بما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نقول بموجب الصحيحة من أنّ العشر إنّما هو فيما حصل في يد المالك بعد مقاسمة السلطان، بناء على أنّ مقاسمة السلطان لا يكون عادة إلاّ بعد إخراج المؤن من نفس الزرع كما قيل، و عليه فالحاصل في يده حينئذ ليس إلاّ ما عدى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فدلالة الصحيحة منعكسة، و لعلّه لذا جعلها الشيخ في الاستبصار</w:t>
      </w:r>
      <w:r>
        <w:rPr>
          <w:rStyle w:val="FootnoteAnchor"/>
          <w:rtl w:val="true"/>
        </w:rPr>
        <w:footnoteReference w:id="2106"/>
      </w:r>
      <w:r>
        <w:rPr>
          <w:rFonts w:ascii="Amiri" w:hAnsi="Amiri" w:eastAsia="Amiri" w:cs="Amiri"/>
          <w:color w:val="111111"/>
          <w:sz w:val="28"/>
          <w:sz w:val="28"/>
          <w:szCs w:val="28"/>
          <w:rtl w:val="true"/>
          <w:lang w:bidi="ar-SA"/>
        </w:rPr>
        <w:t>و غيره دليلا على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بعيد</w:t>
      </w:r>
      <w:r>
        <w:rPr>
          <w:rFonts w:eastAsia="Amiri" w:cs="Amiri" w:ascii="Amiri" w:hAnsi="Amiri"/>
          <w:color w:val="111111"/>
          <w:sz w:val="28"/>
          <w:szCs w:val="28"/>
          <w:rtl w:val="true"/>
          <w:lang w:bidi="ar-SA"/>
        </w:rPr>
        <w:t>»</w:t>
      </w:r>
      <w:r>
        <w:rPr>
          <w:rStyle w:val="FootnoteAnchor"/>
          <w:rtl w:val="true"/>
        </w:rPr>
        <w:footnoteReference w:id="2107"/>
      </w:r>
      <w:r>
        <w:rPr>
          <w:rFonts w:ascii="Amiri" w:hAnsi="Amiri" w:eastAsia="Amiri" w:cs="Amiri"/>
          <w:color w:val="111111"/>
          <w:sz w:val="28"/>
          <w:sz w:val="28"/>
          <w:szCs w:val="28"/>
          <w:rtl w:val="true"/>
          <w:lang w:bidi="ar-SA"/>
        </w:rPr>
        <w:t>و لكن تنظّر فيما ذكره في المناهل</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الثالث بما في المنتهى كما عن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العشر إنّما يجب في النماء و الفائدة و ذلك لا يتناول المئونة</w:t>
      </w:r>
      <w:r>
        <w:rPr>
          <w:rFonts w:eastAsia="Amiri" w:cs="Amiri" w:ascii="Amiri" w:hAnsi="Amiri"/>
          <w:color w:val="111111"/>
          <w:sz w:val="28"/>
          <w:szCs w:val="28"/>
          <w:rtl w:val="true"/>
          <w:lang w:bidi="ar-SA"/>
        </w:rPr>
        <w:t>»</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خرج من الأرض من الغلّة و جميع ما حصل من الشجر من الثمرة نماء و فائدة، و عين المئونة ليست بموجودة فيهما حتّى يقال بأنّ العشر لا يتناولها، و الكلام إنّما هو في تعيّن إخراج ما يقابل المئونة من النماء و الفائدة و عموم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يأباه على ما عليه مبنى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في الرياض إلى جواب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دلالة الأخبار المشار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بورودها لبيان حكم آخر و هو التفصيل بين ما يجب فيه العشر و نصفه، و لذا لم يستثن منها جملة أو أكثرها ما وقع الاتّفاق على استثنائه</w:t>
      </w:r>
      <w:r>
        <w:rPr>
          <w:rFonts w:eastAsia="Amiri" w:cs="Amiri" w:ascii="Amiri" w:hAnsi="Amiri"/>
          <w:color w:val="111111"/>
          <w:sz w:val="28"/>
          <w:szCs w:val="28"/>
          <w:rtl w:val="true"/>
          <w:lang w:bidi="ar-SA"/>
        </w:rPr>
        <w:t>»</w:t>
      </w:r>
      <w:r>
        <w:rPr>
          <w:rStyle w:val="FootnoteAnchor"/>
          <w:rtl w:val="true"/>
        </w:rPr>
        <w:footnoteReference w:id="2110"/>
      </w:r>
      <w:r>
        <w:rPr>
          <w:rFonts w:ascii="Amiri" w:hAnsi="Amiri" w:eastAsia="Amiri" w:cs="Amiri"/>
          <w:color w:val="111111"/>
          <w:sz w:val="28"/>
          <w:sz w:val="28"/>
          <w:szCs w:val="28"/>
          <w:rtl w:val="true"/>
          <w:lang w:bidi="ar-SA"/>
        </w:rPr>
        <w:t>و توضيح ما ذكره أنّ هذه الأخبار مسوقة لبيان مقدار ما يجب إخراجه من الغلّة و الثمرة من العشر، و نصف العشر و جواز إخراج المؤن و عدم جوازه حكم آخر لم تكن الأخبار مسوقة لبيانه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ذلك سدّ باب التمسّك بالعموم في نفي احتمال التخصيص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عامّ مسوق لبيان من يجب إكرامه عموما و جواز استثناء زيد منه و عدم جوازه حكم آخر لم يكن الخطاب مسوقا لبيانه، فلا يتّجه التمسّك بعمومه لنفي احتمال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منع الاستدلال بالأخبار المذكورة و عدمه أن ينظر في </w:t>
      </w:r>
    </w:p>
    <w:p>
      <w:pPr>
        <w:pStyle w:val="BookText"/>
        <w:rPr/>
      </w:pPr>
      <w:r>
        <w:rPr>
          <w:rFonts w:ascii="Amiri" w:hAnsi="Amiri" w:eastAsia="Amiri" w:cs="Amiri"/>
          <w:color w:val="111111"/>
          <w:sz w:val="28"/>
          <w:sz w:val="28"/>
          <w:szCs w:val="28"/>
          <w:rtl w:val="true"/>
          <w:lang w:bidi="ar-SA"/>
        </w:rPr>
        <w:t>لزوم التخصيص في لفظ العامّ بالتزام إخراج المؤن و عدمه، و الظاهر العدم لأنّ الموصول المفيد للعموم و لو لتضمّنه معنى الشرط كناية عمّا اجتمع فيه شرائط وجوب الزكاة بدليل تعرّض الأخبار لبيان قدر الواجب الّذي هو فرع على اجتماع شرائط الوجوب، و من الشرائط كونه في حدّ النصاب فإذا أخرج عنه المؤن فإن لم يخرج عن النصاب فهو باق تحت العامّ فلا تخصيص، و إن خرج عن النصاب فبخروجه عن العامّ لا يلزم أيضا تخصيص فيه حتّى ينفى احتماله بالعموم، لكونه خروجا موضوعيّا باعتبار عدم كون الباقي بعد إخراج المؤن ممّا اجتمع فيه شرائط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عدم وجوب الزكاة فيه على ما هو لازم القول بإخراج المؤن من باب التخصّص لا التخصيص، فالتمسّك بالعموم لنفي إخراج المؤن غير متّجه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هنالك أنّه على التقدير الثاني قبل إخراج المؤن مشكوك الحال بالنسبة إلى اجتماع شرائط الوجوب و عدمه فيه، لكونه بين تقديرين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إخراج المؤن منه فلم يجتمع فيه الشرائط، و عدم إخراجها فاجتمع فيه الشرائط، و هذا يوجب الشكّ في وجوب الزكاة فيه و عدمه، و الأصل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يلزم من ذلك أيضا تخصيص في العامّ‌، لعدم تبيّن اندراج هذا الفرد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في منع إخراج المؤن بأنّ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الموصول، فلو اعتبر إخراج العشر أو نصف العشر بعد إخراج المؤن لزم الاستخدام في الضمير أو إضمار البعض، و أيّا ما كان فهو خلاف ظاهر لا داعي إلى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 بأنّ الضمير راجع إلى الموصول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بعد إخراج ما ينبغي إخراجه من الغلّة و الثمرة، و ممّا ينبغي إخراجه على القول بإخراج المؤن إنّما هو المؤن كما أنّ منه حصّة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الضمير قبل مساعدة الدليل على القول المذكور مجمل، لاحتمال كون المؤن مثل حصّة السلطان فلا يبقى له ظهور يتمسّك به لنفي إخراج المؤن، فليتأمّل فإنّ في النفس بعد شيئا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 للقول المشهور بوجوه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الّذي أشار إليه في المناهل</w:t>
      </w:r>
      <w:r>
        <w:rPr>
          <w:rStyle w:val="FootnoteAnchor"/>
          <w:rtl w:val="true"/>
        </w:rPr>
        <w:footnoteReference w:id="2111"/>
      </w:r>
      <w:r>
        <w:rPr>
          <w:rFonts w:ascii="Amiri" w:hAnsi="Amiri" w:eastAsia="Amiri" w:cs="Amiri"/>
          <w:color w:val="111111"/>
          <w:sz w:val="28"/>
          <w:sz w:val="28"/>
          <w:szCs w:val="28"/>
          <w:rtl w:val="true"/>
          <w:lang w:bidi="ar-SA"/>
        </w:rPr>
        <w:t>و قرّره بأنّ الأصل عدم وجوب الزكاة إلاّ بعد إخراج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خفاء في ضعفه، لمنع جريان الأصل في بعض التقادير، و بطلان الاستثناء في آخر فإنّه لا يجري على القول بإخراج المؤن بعد اعتبار النصاب لثبوت وجوبها حينئذ على تقديري إخراجها و عدم إخراجها، و لا على القول بإخراجها قبل اعتبار النصاب إن بقي النصاب، و لا على القول بإخراج المؤن المتقدّمة على تعلّق الوجوب إن بقى النصاب لثبوت الوجوب على التقديرين فيهما، نعم يجري على هذين القولين إن خرج عن النصاب بفرض إخراجها إلاّ أنّه لا مورد للاستثناء حينئذ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قرّره العلاّمة في المنتهى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مال مشترك بين الفقراء و المالك فلا يختصّ أحدهما بالخسارة عليه كغيره من الأموال المشتركة</w:t>
      </w:r>
      <w:r>
        <w:rPr>
          <w:rFonts w:eastAsia="Amiri" w:cs="Amiri" w:ascii="Amiri" w:hAnsi="Amiri"/>
          <w:color w:val="111111"/>
          <w:sz w:val="28"/>
          <w:szCs w:val="28"/>
          <w:rtl w:val="true"/>
          <w:lang w:bidi="ar-SA"/>
        </w:rPr>
        <w:t>»</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صدق الخسارة على صرف المئونة لتنمية البستان أو الزرع أو الأشجار أو النخيل أو الكروم و تحصيل الفائدة مع حصول النماء و الفائدة كما في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لزوم شركة الشريكين فى المئونة و إن لم يصدق على صرفها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لا مقتضي له فى المقام، و ذلك لأنّ أصل هذه الشركة شركة قهريّة تعبّديّة حصلت بجعل الشارع على خلاف الأصل و القاعدة، فإنّ الأصل و القاعدة فى كلّ مال اختصاص ملكه بصاحب ذلك المال و عدم شركة غيره معه في الملك إلاّ بسبب من الأسباب المملّكة و لم يتحقّق هنا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أصل الشركة حكم مخالف للأصل و القاعدة يتوقّف حصوله على توقيف الشارع و توظيفه، فكذلك لزوم الشركة في المئونة عليه حكم مخالف للأصل يتوقّف على توقيفه و لم يحصل لانتفاء الدلالة عليه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يمكن التمسّك له بقاعدة الشركة في المال المشترك المقتضية لكون المؤن على الشريكين معا، لعدم جريان هذه القاعدة هنا بعدم انصراف أدلّتها إليه كائنة ما كانت، و إنّما هي منصرفة إلى الشركة المعهودة المعدودة من المعاملات الحاصلة من خلط المالين أو اختلاطهما مع استناد مالكيّة صاحب كلّ منهما إلى شيء من الأسباب </w:t>
      </w:r>
    </w:p>
    <w:p>
      <w:pPr>
        <w:pStyle w:val="BookText"/>
        <w:rPr/>
      </w:pPr>
      <w:r>
        <w:rPr>
          <w:rFonts w:ascii="Amiri" w:hAnsi="Amiri" w:eastAsia="Amiri" w:cs="Amiri"/>
          <w:color w:val="111111"/>
          <w:sz w:val="28"/>
          <w:sz w:val="28"/>
          <w:szCs w:val="28"/>
          <w:rtl w:val="true"/>
          <w:lang w:bidi="ar-SA"/>
        </w:rPr>
        <w:t>المملّكة و لو كان نحو الموت في الميراث المشترك بين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ينزل ما أورده صاحب المدارك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النصاب و إن كان مشتركا بين المالك و الفقراء إلاّ أنّه ليس على حدّ سائر الأموال المشتركة لتكون الخسارة على الجميع، و لهذا جاز للمالك الإخراج من غير النصاب و التصرّف فيه بمجرّد الضمان و وجب عليه كلّ ما يتوقّف عليه الدفع إلى المستحقّ من اجرة الكيّال و الوزّان لتوقّف الواجب عليه و ذلك بعينه آت في اجرة الحصاد و التصفية، على أنّ هذا الدليل إن تمّ فإنّما يقتضي استثناء المئونة المتأخّرة عن تعلّق الوجوب بالنصاب و المدّعى أعمّ‌</w:t>
      </w:r>
      <w:r>
        <w:rPr>
          <w:rFonts w:eastAsia="Amiri" w:cs="Amiri" w:ascii="Amiri" w:hAnsi="Amiri"/>
          <w:color w:val="111111"/>
          <w:sz w:val="28"/>
          <w:szCs w:val="28"/>
          <w:rtl w:val="true"/>
          <w:lang w:bidi="ar-SA"/>
        </w:rPr>
        <w:t>»</w:t>
      </w:r>
      <w:r>
        <w:rPr>
          <w:rStyle w:val="FootnoteAnchor"/>
          <w:rtl w:val="true"/>
        </w:rPr>
        <w:footnoteReference w:id="211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يندفع بما ذكرنا ما ذكره في الرياض في تضعيف ما عرفته عن المدارك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مقتضى الأصل في الشركة بمقتضى القاعدة المقرّرة المتّفق عليها فتوى و رواية هو الشركة في النفع و الخسارة و غيرها من الأحكام المترتّبة على الشركة، و خروج بعضها ممّا ذكره هنا بدليل من خارج لا يقتضي انفساخ قاعدة أصل الشركة، و إن هي إلاّ كالعامّ المخصّص في الباقي حجّة، مع أنّ الظاهر أنّ الوجه في خروج الخارج من نحو جواز التصرّف و الإخراج من غير النصاب إنّما هو التخفيف على المالك و السهولة، و هو يقتضي استثناء المئونة فإنّ في عدمه عسرا و حرجا عظيما منفيّا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الأخصّية مدفوعة بعدم القائل بالفرق بين المئونة المتأخّرة عن تعلّق الوجوب و المتقدّمة عليه</w:t>
      </w:r>
      <w:r>
        <w:rPr>
          <w:rFonts w:eastAsia="Amiri" w:cs="Amiri" w:ascii="Amiri" w:hAnsi="Amiri"/>
          <w:color w:val="111111"/>
          <w:sz w:val="28"/>
          <w:szCs w:val="28"/>
          <w:rtl w:val="true"/>
          <w:lang w:bidi="ar-SA"/>
        </w:rPr>
        <w:t>»</w:t>
      </w:r>
      <w:r>
        <w:rPr>
          <w:rStyle w:val="FootnoteAnchor"/>
          <w:rtl w:val="true"/>
        </w:rPr>
        <w:footnoteReference w:id="211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القاعدة غير جارية فيما نحن فيه و أدلّته غير شاملة له، و أمّا حكاية التخفيف و السهولة على المالك فمعارضة بالمواساة للفقراء، فكما أنّ أصل تشريكهم له مواساة لهم فهذا يقتضي عدم ورود نقص عليهم في حقّهم المقدّر بالعشر و نصف العشر بإخراج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قرّرناه ظهر منع التمسّك بقاعدة الشركة و إن سلّمنا صدق الخسارة على المالك مع عدم إخراج المئونة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في المنتهى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المئونة سبب للزيادة فتكون على الجميع</w:t>
      </w:r>
      <w:r>
        <w:rPr>
          <w:rFonts w:eastAsia="Amiri" w:cs="Amiri" w:ascii="Amiri" w:hAnsi="Amiri"/>
          <w:color w:val="111111"/>
          <w:sz w:val="28"/>
          <w:szCs w:val="28"/>
          <w:rtl w:val="true"/>
          <w:lang w:bidi="ar-SA"/>
        </w:rPr>
        <w:t>»</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أضعف من سابقه، لأنّ كون المئونة سببا للزيادة و إن كان مسلّما و أمّا كونها على الجميع فغير مسلّم، لأنّه عين المدّعى فكيف يجعل دليلا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فيه أيضا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إلزام المالك بالمئونة كلّها حيف عليه و إضرار به، و هو منفيّ‌</w:t>
      </w:r>
      <w:r>
        <w:rPr>
          <w:rFonts w:eastAsia="Amiri" w:cs="Amiri" w:ascii="Amiri" w:hAnsi="Amiri"/>
          <w:color w:val="111111"/>
          <w:sz w:val="28"/>
          <w:szCs w:val="28"/>
          <w:rtl w:val="true"/>
          <w:lang w:bidi="ar-SA"/>
        </w:rPr>
        <w:t>»</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إلزام هنا من الشارع على المالك في المئونة بل هو بطيب نفسه تحمّلها للتنمية و تحصيل الفائدة و قد حصلا، فلا حيف عليه و لا إضرار به بحيث يستند إلى الشارع على ما هو مناط قاعدة نفي الضرر المستنبطة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w:t>
      </w:r>
      <w:r>
        <w:rPr>
          <w:rStyle w:val="FootnoteAnchor"/>
          <w:rtl w:val="true"/>
        </w:rPr>
        <w:footnoteReference w:id="2117"/>
      </w:r>
      <w:r>
        <w:rPr>
          <w:rFonts w:ascii="Amiri" w:hAnsi="Amiri" w:eastAsia="Amiri" w:cs="Amiri"/>
          <w:color w:val="111111"/>
          <w:sz w:val="28"/>
          <w:sz w:val="28"/>
          <w:szCs w:val="28"/>
          <w:rtl w:val="true"/>
          <w:lang w:bidi="ar-SA"/>
        </w:rPr>
        <w:t>نعم لو كان هناك إلزام من الشارع فهو إيجاب أصل الزكاة في النماء و الفائدة، فلو كان في ذلك إضرار بحيث يترتّب عليه أثر النفي و عدم وجوب الزكاة فيما يقابل المئونة لقضى بنفي وجوب الزكاة رأسا حتّى فيما لم يقابل المئونة، و هذا مع بطلانه في نفسه ممّا لم يقل أحد بكونه حكما ضرريّا و على تقدير صدق ذلك فينجبر الضرر المترتّب عليه بالمنافع و المثوبات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أيضا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الزكاة في الغلاّت تجب في النماء و الفائدة و هو لا يتناول المئونة</w:t>
      </w:r>
      <w:r>
        <w:rPr>
          <w:rFonts w:eastAsia="Amiri" w:cs="Amiri" w:ascii="Amiri" w:hAnsi="Amiri"/>
          <w:color w:val="111111"/>
          <w:sz w:val="28"/>
          <w:szCs w:val="28"/>
          <w:rtl w:val="true"/>
          <w:lang w:bidi="ar-SA"/>
        </w:rPr>
        <w:t>»</w:t>
      </w:r>
      <w:r>
        <w:rPr>
          <w:rStyle w:val="FootnoteAnchor"/>
          <w:rtl w:val="true"/>
        </w:rPr>
        <w:footnoteReference w:id="2118"/>
      </w:r>
      <w:r>
        <w:rPr>
          <w:rFonts w:ascii="Amiri" w:hAnsi="Amiri" w:eastAsia="Amiri" w:cs="Amiri"/>
          <w:color w:val="111111"/>
          <w:sz w:val="28"/>
          <w:sz w:val="28"/>
          <w:szCs w:val="28"/>
          <w:rtl w:val="true"/>
          <w:lang w:bidi="ar-SA"/>
        </w:rPr>
        <w:t>و قد تقدّم الإشارة إلى الجواب عن ذلك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تجب في النماء، و جميع ما خرج من الأرض نماء و المئونة بجزء منه حتّى لا يتناوله الوجوب، بل جزئه ما يقابل المئونة و هو ليس بخارج منه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يترك للحارس العذق</w:t>
      </w:r>
      <w:r>
        <w:rPr>
          <w:rStyle w:val="FootnoteAnchor"/>
          <w:rtl w:val="true"/>
        </w:rPr>
        <w:footnoteReference w:id="2119"/>
      </w:r>
      <w:r>
        <w:rPr>
          <w:rFonts w:ascii="Amiri" w:hAnsi="Amiri" w:eastAsia="Amiri" w:cs="Amiri"/>
          <w:color w:val="111111"/>
          <w:sz w:val="28"/>
          <w:sz w:val="28"/>
          <w:szCs w:val="28"/>
          <w:rtl w:val="true"/>
          <w:lang w:bidi="ar-SA"/>
        </w:rPr>
        <w:t>و العذقان و الحارس يكون في النخل ينظره فيترك ذلك لعياله</w:t>
      </w:r>
      <w:r>
        <w:rPr>
          <w:rFonts w:eastAsia="Amiri" w:cs="Amiri" w:ascii="Amiri" w:hAnsi="Amiri"/>
          <w:color w:val="111111"/>
          <w:sz w:val="28"/>
          <w:szCs w:val="28"/>
          <w:rtl w:val="true"/>
          <w:lang w:bidi="ar-SA"/>
        </w:rPr>
        <w:t>»</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و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يعطى الحارس أجرا معلوما و يترك من النخل معافارة و امّ جعرور يترك للحارس يكون في الحائط العذق و العذقان و الثلاثة لحفظه إيّاه</w:t>
      </w:r>
      <w:r>
        <w:rPr>
          <w:rFonts w:eastAsia="Amiri" w:cs="Amiri" w:ascii="Amiri" w:hAnsi="Amiri"/>
          <w:color w:val="111111"/>
          <w:sz w:val="28"/>
          <w:szCs w:val="28"/>
          <w:rtl w:val="true"/>
          <w:lang w:bidi="ar-SA"/>
        </w:rPr>
        <w:t>»</w:t>
      </w:r>
      <w:r>
        <w:rPr>
          <w:rStyle w:val="FootnoteAnchor"/>
          <w:rtl w:val="true"/>
        </w:rPr>
        <w:footnoteReference w:id="2121"/>
      </w:r>
      <w:r>
        <w:rPr>
          <w:rFonts w:ascii="Amiri" w:hAnsi="Amiri" w:eastAsia="Amiri" w:cs="Amiri"/>
          <w:color w:val="111111"/>
          <w:sz w:val="28"/>
          <w:sz w:val="28"/>
          <w:szCs w:val="28"/>
          <w:rtl w:val="true"/>
          <w:lang w:bidi="ar-SA"/>
        </w:rPr>
        <w:t>فإنّ العذق و العذقين و الثلاثة إنّما يترك للحارس من باب الاجرة فتكون 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دلالتهما بالأخصّية من المدّعى، لعدم تناولهما غير مئونة الحارس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عنها تارة بضرورة عدم القائل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في المدارك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ثابت عند الجميع و قد صرّح به من لا يعتبر المئونة كما حكاه في التذكرة</w:t>
      </w:r>
      <w:r>
        <w:rPr>
          <w:rStyle w:val="FootnoteAnchor"/>
          <w:rtl w:val="true"/>
        </w:rPr>
        <w:footnoteReference w:id="2122"/>
      </w:r>
      <w:r>
        <w:rPr>
          <w:rFonts w:ascii="IRNazanin" w:hAnsi="IRNazanin" w:eastAsia="IRNazanin"/>
          <w:color w:val="111111"/>
          <w:sz w:val="28"/>
          <w:sz w:val="28"/>
          <w:szCs w:val="28"/>
          <w:rtl w:val="true"/>
          <w:lang w:bidi="fa-IR"/>
        </w:rPr>
        <w:t>و المنتهى</w:t>
      </w:r>
      <w:r>
        <w:rPr>
          <w:rFonts w:eastAsia="IRNazanin" w:cs="IRNazanin"/>
          <w:color w:val="111111"/>
          <w:sz w:val="28"/>
          <w:szCs w:val="28"/>
          <w:rtl w:val="true"/>
          <w:lang w:bidi="fa-IR"/>
        </w:rPr>
        <w:t>»</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 بعموم التعليل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الحارس يكون في النخل ينظره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السيّد في الرياض</w:t>
      </w:r>
      <w:r>
        <w:rPr>
          <w:rStyle w:val="FootnoteAnchor"/>
          <w:rtl w:val="true"/>
        </w:rPr>
        <w:footnoteReference w:id="2124"/>
      </w:r>
      <w:r>
        <w:rPr>
          <w:rFonts w:ascii="Amiri" w:hAnsi="Amiri" w:eastAsia="Amiri" w:cs="Amiri"/>
          <w:color w:val="111111"/>
          <w:sz w:val="28"/>
          <w:sz w:val="28"/>
          <w:szCs w:val="28"/>
          <w:rtl w:val="true"/>
          <w:lang w:bidi="ar-SA"/>
        </w:rPr>
        <w:t>فإنّ المنساق منهما أنّ وجود الحارس و نظارته من لوازم حصول النماء و الثمرة و سلامتها عن الآفات فتكون مئونته الّتي هي الاجرة من لوازمهما، فيشعر ذلك بأنّ كلّ مئونة هي من لوازم حصول الثمرة و سلامتها، يعتبر إخراجها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يخلو عن قوّة، و يعضده الشهرة العظيمة القريبة من الإجماع كما نصّ عليه ثاني الشهيدين في ما تقدّم</w:t>
      </w:r>
      <w:r>
        <w:rPr>
          <w:rStyle w:val="FootnoteAnchor"/>
          <w:rtl w:val="true"/>
        </w:rPr>
        <w:footnoteReference w:id="2125"/>
      </w:r>
      <w:r>
        <w:rPr>
          <w:rFonts w:ascii="Amiri" w:hAnsi="Amiri" w:eastAsia="Amiri" w:cs="Amiri"/>
          <w:color w:val="111111"/>
          <w:sz w:val="28"/>
          <w:sz w:val="28"/>
          <w:szCs w:val="28"/>
          <w:rtl w:val="true"/>
          <w:lang w:bidi="ar-SA"/>
        </w:rPr>
        <w:t xml:space="preserve">من حاشية القواعد المنسوبة إليه، بل نحو هذه الشهرة بنفسها تصلح حجّة لإفادتها ظنّ الاطمئنان باعتبار أنّه لا بدّ له من مدرك معتبر، و إن كان ذلك المدرك هو الخبران المتقدّمان فينجبر بها حينئذ قصور دلالتهما إن كان، فإنّ قصور الدلالة ينجبر بفهم المعظم كما أنّ قصور السند ينجبر بعمل المعظم، بل ربّما يكشف هذه الشهرة باعتبار موافقة فتوى من لا يعمل في الفروع إلاّ بالقطعيّات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كالحلّي و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وجود مدرك قطعي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يؤيّدهما قول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شيء من هذه الأجناس زكاة ما لم يبلغ خمسة أوسق بعد مقاسمة السلطان و إخراج المؤن منها</w:t>
      </w:r>
      <w:r>
        <w:rPr>
          <w:rFonts w:eastAsia="Amiri" w:cs="Amiri" w:ascii="Amiri" w:hAnsi="Amiri"/>
          <w:color w:val="111111"/>
          <w:sz w:val="28"/>
          <w:szCs w:val="28"/>
          <w:rtl w:val="true"/>
          <w:lang w:bidi="ar-SA"/>
        </w:rPr>
        <w:t>»</w:t>
      </w:r>
      <w:r>
        <w:rPr>
          <w:rStyle w:val="FootnoteAnchor"/>
          <w:rtl w:val="true"/>
        </w:rPr>
        <w:footnoteReference w:id="2126"/>
      </w:r>
      <w:r>
        <w:rPr>
          <w:rFonts w:ascii="IRNazanin" w:hAnsi="IRNazanin" w:eastAsia="IRNazanin"/>
          <w:color w:val="111111"/>
          <w:sz w:val="28"/>
          <w:sz w:val="28"/>
          <w:szCs w:val="28"/>
          <w:rtl w:val="true"/>
          <w:lang w:bidi="fa-IR"/>
        </w:rPr>
        <w:t xml:space="preserve">بناء على </w:t>
      </w:r>
    </w:p>
    <w:p>
      <w:pPr>
        <w:pStyle w:val="BookText"/>
        <w:rPr/>
      </w:pPr>
      <w:r>
        <w:rPr>
          <w:rFonts w:ascii="Amiri" w:hAnsi="Amiri" w:eastAsia="Amiri" w:cs="Amiri"/>
          <w:color w:val="111111"/>
          <w:sz w:val="28"/>
          <w:sz w:val="28"/>
          <w:szCs w:val="28"/>
          <w:rtl w:val="true"/>
          <w:lang w:bidi="ar-SA"/>
        </w:rPr>
        <w:t>ما جزم به بعض مشايخنا</w:t>
      </w:r>
      <w:r>
        <w:rPr>
          <w:rStyle w:val="FootnoteAnchor"/>
          <w:rtl w:val="true"/>
        </w:rPr>
        <w:footnoteReference w:id="2127"/>
      </w:r>
      <w:r>
        <w:rPr>
          <w:rFonts w:ascii="Amiri" w:hAnsi="Amiri" w:eastAsia="Amiri" w:cs="Amiri"/>
          <w:color w:val="111111"/>
          <w:sz w:val="28"/>
          <w:sz w:val="28"/>
          <w:szCs w:val="28"/>
          <w:rtl w:val="true"/>
          <w:lang w:bidi="ar-SA"/>
        </w:rPr>
        <w:t>وفاقا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 الحلّي في مواضع عديدة من سرائره</w:t>
      </w:r>
      <w:r>
        <w:rPr>
          <w:rStyle w:val="FootnoteAnchor"/>
          <w:rtl w:val="true"/>
        </w:rPr>
        <w:footnoteReference w:id="2128"/>
      </w:r>
      <w:r>
        <w:rPr>
          <w:rFonts w:ascii="Amiri" w:hAnsi="Amiri" w:eastAsia="Amiri" w:cs="Amiri"/>
          <w:color w:val="111111"/>
          <w:sz w:val="28"/>
          <w:sz w:val="28"/>
          <w:szCs w:val="28"/>
          <w:rtl w:val="true"/>
          <w:lang w:bidi="ar-SA"/>
        </w:rPr>
        <w:t>كما قيل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النهاية يفتي بمتون الأخبار بحذف الأسانيد من دون اختلاف أو مع اختلاف يسير، لا يخلّ بالمقصود، فتكون هذه الفتوى حينئذ بمنزلة رواية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ضعيفا المحكيّ عن الفقه المنسوب إلى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الحنطة و الشعير شيء إلى أن يبلغ خمسة أوساق، و الوسق ستّون صاعا، و الصاع أربعة أمداد، و المدّ مائتان و اثنان و تسعون درهما و نصف، فإذا بلغ ذلك و حصل بعد خراج السلطان و مئونة العمارة و القرية أخرج منه العشر إن كان سقي بماء المطر أو كان بعلا، و إن كان سقي بالدلاء ففيه نصف العشر، و في التمر و الزبيب مثل ما في الحنطة و الشعير</w:t>
      </w:r>
      <w:r>
        <w:rPr>
          <w:rFonts w:eastAsia="Amiri" w:cs="Amiri" w:ascii="Amiri" w:hAnsi="Amiri"/>
          <w:color w:val="111111"/>
          <w:sz w:val="28"/>
          <w:szCs w:val="28"/>
          <w:rtl w:val="true"/>
          <w:lang w:bidi="ar-SA"/>
        </w:rPr>
        <w:t>»</w:t>
      </w:r>
      <w:r>
        <w:rPr>
          <w:rStyle w:val="FootnoteAnchor"/>
          <w:rtl w:val="true"/>
        </w:rPr>
        <w:footnoteReference w:id="2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في الرياض</w:t>
      </w:r>
      <w:r>
        <w:rPr>
          <w:rStyle w:val="FootnoteAnchor"/>
          <w:rtl w:val="true"/>
        </w:rPr>
        <w:footnoteReference w:id="21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بمئونة العمارة و القرية، مئونة الزراعة قطعا، و به صرّح جدّي المجلسي</w:t>
      </w:r>
      <w:r>
        <w:rPr>
          <w:rStyle w:val="FootnoteAnchor"/>
          <w:rtl w:val="true"/>
        </w:rPr>
        <w:footnoteReference w:id="2131"/>
      </w:r>
      <w:r>
        <w:rPr>
          <w:rFonts w:ascii="Amiri" w:hAnsi="Amiri" w:eastAsia="Amiri" w:cs="Amiri"/>
          <w:color w:val="111111"/>
          <w:sz w:val="28"/>
          <w:sz w:val="28"/>
          <w:szCs w:val="28"/>
          <w:rtl w:val="true"/>
          <w:lang w:bidi="ar-SA"/>
        </w:rPr>
        <w:t>فيما حكاه عنه خالي العلاّمة</w:t>
      </w:r>
      <w:r>
        <w:rPr>
          <w:rFonts w:eastAsia="Amiri" w:cs="Amiri" w:ascii="Amiri" w:hAnsi="Amiri"/>
          <w:color w:val="111111"/>
          <w:sz w:val="28"/>
          <w:szCs w:val="28"/>
          <w:rtl w:val="true"/>
          <w:lang w:bidi="ar-SA"/>
        </w:rPr>
        <w:t>»</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أيضا إخراج حصّة السلطان و مئونة الحارس المتّفق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الجميع أيضا النصوص</w:t>
      </w:r>
      <w:r>
        <w:rPr>
          <w:rStyle w:val="FootnoteAnchor"/>
          <w:rtl w:val="true"/>
        </w:rPr>
        <w:footnoteReference w:id="2133"/>
      </w:r>
      <w:r>
        <w:rPr>
          <w:rFonts w:ascii="Amiri" w:hAnsi="Amiri" w:eastAsia="Amiri" w:cs="Amiri"/>
          <w:color w:val="111111"/>
          <w:sz w:val="28"/>
          <w:sz w:val="28"/>
          <w:szCs w:val="28"/>
          <w:rtl w:val="true"/>
          <w:lang w:bidi="ar-SA"/>
        </w:rPr>
        <w:t>المتكاثرة الفارقة في إخراج العشر و نصف العشر بين ما يسقى بماء المطر و ما يسقى بالدلاء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المئونة لو كانت على ربّ المال لما توجّه تنصيف العشر فيما كثرت فيه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التأييد هنا أنّ نصف عشر مجموع الثمرة أو الغلّة فيما يسقى بالدلاء عشر الباقي منهما بعد إخراج مئونة السقي كما يظهر بالتأمّل، و كأنّ الشارع الحكيم لاحظ هذه المئونة الّتي هي سبب الكثرة و وجدها و لو في الغالب مساوية لخمسة أعشار الثمرة و الغلّة بحيث يكون نصف عشر منه متعلّقا بالفقراء و الباقي بالمالك فاعتبر إخراجها بالأمر بإخراج نصف عشر المجموع في القدر الواجب للفقراء لكونه على ما عرفت عشر الباقي بعد إخراج الخمسة أعشار للمئونة، و إنّما اعتبر هذه المئونة بهذا الطريق </w:t>
      </w:r>
      <w:bookmarkStart w:id="456" w:name="pg16181_154722"/>
    </w:p>
    <w:p>
      <w:pPr>
        <w:pStyle w:val="BookText"/>
        <w:rPr/>
      </w:pPr>
      <w:bookmarkEnd w:id="456"/>
      <w:r>
        <w:rPr>
          <w:rFonts w:ascii="Amiri" w:hAnsi="Amiri" w:eastAsia="Amiri" w:cs="Amiri"/>
          <w:color w:val="111111"/>
          <w:sz w:val="28"/>
          <w:sz w:val="28"/>
          <w:szCs w:val="28"/>
          <w:rtl w:val="true"/>
          <w:lang w:bidi="ar-SA"/>
        </w:rPr>
        <w:t>الّذي مرجعه إلى تنصيف عشر المجموع و لم يعتبر مثله في غيرها من المؤن و مئونة ما يسقى بماء المطر و ما كان بعلا لانضباطها و لو في الغالب و عدم انضباط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انقدح وجه الفرق بين القسمين، و يندفع به الاستشهاد للقول بعدم إخراج المؤن أصلا بالنصوص المشار إليها بالتقريب المبنيّ على السؤال المشهور الّذي حكاه السيّد في الرياض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الزكاة إذا كانت لا تجب إلاّ بعد إخراج المؤن فأيّ فارق بين ما كثرت مئونته و ما قلّت حتّى وجب في أحدهما العشر و في الآخر نصفه‌؟</w:t>
      </w:r>
      <w:r>
        <w:rPr>
          <w:rFonts w:eastAsia="Amiri" w:cs="Amiri" w:ascii="Amiri" w:hAnsi="Amiri"/>
          <w:color w:val="111111"/>
          <w:sz w:val="28"/>
          <w:szCs w:val="28"/>
          <w:rtl w:val="true"/>
          <w:lang w:bidi="ar-SA"/>
        </w:rPr>
        <w:t>»</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فإنّ الفارق هو الانضباط و عدمه، فليتأمّل جيّدا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فالخبران مع الشهرة و المؤيّدات المشار إليها إن لم ينهض كلّ واحد بانفراده حجّة مستقلّة فلا أقلّ من نهوض المجموع من باب تراكم الظنون باعتبار ارتقائها إلى حدّ الاطمئنان، حجّة للمشهور من لزوم إخراج المؤن كلّها، فهو المختار في المسألة</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2586741_1280447820"/>
      <w:bookmarkStart w:id="458" w:name="_Toc169"/>
      <w:bookmarkEnd w:id="457"/>
      <w:r>
        <w:rPr>
          <w:rtl w:val="true"/>
        </w:rPr>
        <w:t>و ينبغي التنبيه على أمرين</w:t>
      </w:r>
      <w:r>
        <w:rPr>
          <w:rtl w:val="true"/>
        </w:rPr>
        <w:t>:</w:t>
      </w:r>
      <w:bookmarkEnd w:id="458"/>
    </w:p>
    <w:p>
      <w:pPr>
        <w:pStyle w:val="Heading6"/>
        <w:numPr>
          <w:ilvl w:val="5"/>
          <w:numId w:val="1"/>
        </w:numPr>
        <w:rPr/>
      </w:pPr>
      <w:bookmarkStart w:id="459" w:name="__RefHeading___Toc2586743_1280447820"/>
      <w:bookmarkStart w:id="460" w:name="_Toc170"/>
      <w:bookmarkEnd w:id="459"/>
      <w:r>
        <w:rPr>
          <w:rtl w:val="true"/>
        </w:rPr>
        <w:t>أحدهما</w:t>
      </w:r>
      <w:r>
        <w:rPr>
          <w:rtl w:val="true"/>
        </w:rPr>
        <w:t xml:space="preserve">: </w:t>
      </w:r>
      <w:r>
        <w:rPr>
          <w:rtl w:val="true"/>
        </w:rPr>
        <w:t>أنّ المؤن هل يعتبر إخراجها قبل اعتبار النصاب</w:t>
      </w:r>
      <w:bookmarkEnd w:id="460"/>
    </w:p>
    <w:p>
      <w:pPr>
        <w:pStyle w:val="BookText"/>
        <w:rPr/>
      </w:pPr>
      <w:r>
        <w:rPr>
          <w:rFonts w:ascii="Amiri" w:hAnsi="Amiri" w:eastAsia="Amiri" w:cs="Amiri"/>
          <w:color w:val="111111"/>
          <w:sz w:val="28"/>
          <w:sz w:val="28"/>
          <w:szCs w:val="28"/>
          <w:rtl w:val="true"/>
          <w:lang w:bidi="ar-SA"/>
        </w:rPr>
        <w:t>فإن بلغ الباقي بعد إخراجها النصاب وجبت الزكاة فيه و إلاّ فلا و يتفرّع عليه أنّ الغلّة أو الثمرة إن كانت مع المؤن خمسة أوسق فإذا أخرج منها المؤن بقى أقلّ منها لم يجب فيه زكاة، أو يعتبر إخراجها بعد اعتبار النصاب فوجبت الزكاة في الباقي بعد إخراجها و إن قلّ و نقص من النصاب فإذا كان المجموع خمسة أوسق وجبت فيها الزكاة فيخرج منها المؤن كلّها ثمّ يخرج الزكاة من الباقي و إن قلّ‌، أو يفصّل بين المئونة المتقدّمة على بدوّ الصلاح فتخرج قبل النصاب و المتأخّرة عن بدوّ الصلاح فتخرج بعد النصاب‌؟</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النصاب بعد إخراج المؤن مطلقا، أو قبل إخراجها كذلك، أو يعتبر بلوغه بعد المئونة المتقدّمة على وقت تعلّق وجوب الزكاة و قبل المئونة المتأخّرة عن وقت الوجوب‌؟ وجوه، بل أقوال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إلى أوّلها العلاّمة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المؤن تخرج وسطا من المالك و الفقراء </w:t>
      </w:r>
    </w:p>
    <w:p>
      <w:pPr>
        <w:pStyle w:val="BookText"/>
        <w:rPr/>
      </w:pPr>
      <w:r>
        <w:rPr>
          <w:rFonts w:ascii="IRNazanin" w:hAnsi="IRNazanin" w:eastAsia="IRNazanin"/>
          <w:color w:val="111111"/>
          <w:sz w:val="28"/>
          <w:sz w:val="28"/>
          <w:szCs w:val="28"/>
          <w:rtl w:val="true"/>
          <w:lang w:bidi="fa-IR"/>
        </w:rPr>
        <w:t>فما فضل و بلغ نصابا أخذ منه العشر أو نصفه</w:t>
      </w:r>
      <w:r>
        <w:rPr>
          <w:rFonts w:eastAsia="IRNazanin" w:cs="IRNazanin"/>
          <w:color w:val="111111"/>
          <w:sz w:val="28"/>
          <w:szCs w:val="28"/>
          <w:rtl w:val="true"/>
          <w:lang w:bidi="fa-IR"/>
        </w:rPr>
        <w:t>»</w:t>
      </w:r>
      <w:r>
        <w:rPr>
          <w:rStyle w:val="FootnoteAnchor"/>
          <w:rtl w:val="true"/>
        </w:rPr>
        <w:footnoteReference w:id="2135"/>
      </w:r>
      <w:r>
        <w:rPr>
          <w:rFonts w:ascii="Amiri" w:hAnsi="Amiri" w:eastAsia="Amiri" w:cs="Amiri"/>
          <w:color w:val="111111"/>
          <w:sz w:val="28"/>
          <w:sz w:val="28"/>
          <w:szCs w:val="28"/>
          <w:rtl w:val="true"/>
          <w:lang w:bidi="ar-SA"/>
        </w:rPr>
        <w:t>و نسب إليه في التحرير</w:t>
      </w:r>
      <w:r>
        <w:rPr>
          <w:rStyle w:val="FootnoteAnchor"/>
          <w:rtl w:val="true"/>
        </w:rPr>
        <w:footnoteReference w:id="2136"/>
      </w:r>
      <w:r>
        <w:rPr>
          <w:rFonts w:ascii="Amiri" w:hAnsi="Amiri" w:eastAsia="Amiri" w:cs="Amiri"/>
          <w:color w:val="111111"/>
          <w:sz w:val="28"/>
          <w:sz w:val="28"/>
          <w:szCs w:val="28"/>
          <w:rtl w:val="true"/>
          <w:lang w:bidi="ar-SA"/>
        </w:rPr>
        <w:t>و إلى ظاهر المقنعة</w:t>
      </w:r>
      <w:r>
        <w:rPr>
          <w:rStyle w:val="FootnoteAnchor"/>
          <w:rtl w:val="true"/>
        </w:rPr>
        <w:footnoteReference w:id="2137"/>
      </w:r>
      <w:r>
        <w:rPr>
          <w:rFonts w:ascii="Amiri" w:hAnsi="Amiri" w:eastAsia="Amiri" w:cs="Amiri"/>
          <w:color w:val="111111"/>
          <w:sz w:val="28"/>
          <w:sz w:val="28"/>
          <w:szCs w:val="28"/>
          <w:rtl w:val="true"/>
          <w:lang w:bidi="ar-SA"/>
        </w:rPr>
        <w:t>و هو ظاهر نهاية الشيخ</w:t>
      </w:r>
      <w:r>
        <w:rPr>
          <w:rStyle w:val="FootnoteAnchor"/>
          <w:rtl w:val="true"/>
        </w:rPr>
        <w:footnoteReference w:id="2138"/>
      </w:r>
      <w:r>
        <w:rPr>
          <w:rFonts w:ascii="Amiri" w:hAnsi="Amiri" w:eastAsia="Amiri" w:cs="Amiri"/>
          <w:color w:val="111111"/>
          <w:sz w:val="28"/>
          <w:sz w:val="28"/>
          <w:szCs w:val="28"/>
          <w:rtl w:val="true"/>
          <w:lang w:bidi="ar-SA"/>
        </w:rPr>
        <w:t>و اختاره في الرياض حاكيا له عن المعتبر</w:t>
      </w:r>
      <w:r>
        <w:rPr>
          <w:rStyle w:val="FootnoteAnchor"/>
          <w:rtl w:val="true"/>
        </w:rPr>
        <w:footnoteReference w:id="2139"/>
      </w:r>
      <w:r>
        <w:rPr>
          <w:rFonts w:ascii="Amiri" w:hAnsi="Amiri" w:eastAsia="Amiri" w:cs="Amiri"/>
          <w:color w:val="111111"/>
          <w:sz w:val="28"/>
          <w:sz w:val="28"/>
          <w:szCs w:val="28"/>
          <w:rtl w:val="true"/>
          <w:lang w:bidi="ar-SA"/>
        </w:rPr>
        <w:t>و الحلّي</w:t>
      </w:r>
      <w:r>
        <w:rPr>
          <w:rStyle w:val="FootnoteAnchor"/>
          <w:rtl w:val="true"/>
        </w:rPr>
        <w:footnoteReference w:id="2140"/>
      </w:r>
      <w:r>
        <w:rPr>
          <w:rFonts w:ascii="Amiri" w:hAnsi="Amiri" w:eastAsia="Amiri" w:cs="Amiri"/>
          <w:color w:val="111111"/>
          <w:sz w:val="28"/>
          <w:sz w:val="28"/>
          <w:szCs w:val="28"/>
          <w:rtl w:val="true"/>
          <w:lang w:bidi="ar-SA"/>
        </w:rPr>
        <w:t>و ابن زهرة</w:t>
      </w:r>
      <w:r>
        <w:rPr>
          <w:rStyle w:val="FootnoteAnchor"/>
          <w:rtl w:val="true"/>
        </w:rPr>
        <w:footnoteReference w:id="2141"/>
      </w:r>
      <w:r>
        <w:rPr>
          <w:rFonts w:ascii="Amiri" w:hAnsi="Amiri" w:eastAsia="Amiri" w:cs="Amiri"/>
          <w:color w:val="111111"/>
          <w:sz w:val="28"/>
          <w:sz w:val="28"/>
          <w:szCs w:val="28"/>
          <w:rtl w:val="true"/>
          <w:lang w:bidi="ar-SA"/>
        </w:rPr>
        <w:t>و غيرهم،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المشهور</w:t>
      </w:r>
      <w:r>
        <w:rPr>
          <w:rFonts w:eastAsia="Amiri" w:cs="Amiri" w:ascii="Amiri" w:hAnsi="Amiri"/>
          <w:color w:val="111111"/>
          <w:sz w:val="28"/>
          <w:szCs w:val="28"/>
          <w:rtl w:val="true"/>
          <w:lang w:bidi="ar-SA"/>
        </w:rPr>
        <w:t>»</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ثانيها العلاّمة في التذكرة</w:t>
      </w:r>
      <w:r>
        <w:rPr>
          <w:rStyle w:val="FootnoteAnchor"/>
          <w:rtl w:val="true"/>
        </w:rPr>
        <w:footnoteReference w:id="2143"/>
      </w:r>
      <w:r>
        <w:rPr>
          <w:rFonts w:ascii="Amiri" w:hAnsi="Amiri" w:eastAsia="Amiri" w:cs="Amiri"/>
          <w:color w:val="111111"/>
          <w:sz w:val="28"/>
          <w:sz w:val="28"/>
          <w:szCs w:val="28"/>
          <w:rtl w:val="true"/>
          <w:lang w:bidi="ar-SA"/>
        </w:rPr>
        <w:t>و اختاره صاحب المدارك</w:t>
      </w:r>
      <w:r>
        <w:rPr>
          <w:rStyle w:val="FootnoteAnchor"/>
          <w:rtl w:val="true"/>
        </w:rPr>
        <w:footnoteReference w:id="2144"/>
      </w:r>
      <w:r>
        <w:rPr>
          <w:rFonts w:ascii="Amiri" w:hAnsi="Amiri" w:eastAsia="Amiri" w:cs="Amiri"/>
          <w:color w:val="111111"/>
          <w:sz w:val="28"/>
          <w:sz w:val="28"/>
          <w:szCs w:val="28"/>
          <w:rtl w:val="true"/>
          <w:lang w:bidi="ar-SA"/>
        </w:rPr>
        <w:t>و مال إليه في الذخيرة</w:t>
      </w:r>
      <w:r>
        <w:rPr>
          <w:rStyle w:val="FootnoteAnchor"/>
          <w:rtl w:val="true"/>
        </w:rPr>
        <w:footnoteReference w:id="2145"/>
      </w:r>
      <w:r>
        <w:rPr>
          <w:rFonts w:ascii="Amiri" w:hAnsi="Amiri" w:eastAsia="Amiri" w:cs="Amiri"/>
          <w:color w:val="111111"/>
          <w:sz w:val="28"/>
          <w:sz w:val="28"/>
          <w:szCs w:val="28"/>
          <w:rtl w:val="true"/>
          <w:lang w:bidi="ar-SA"/>
        </w:rPr>
        <w:t>كما عنه في الكفاية</w:t>
      </w:r>
      <w:r>
        <w:rPr>
          <w:rStyle w:val="FootnoteAnchor"/>
          <w:rtl w:val="true"/>
        </w:rPr>
        <w:footnoteReference w:id="2146"/>
      </w:r>
      <w:r>
        <w:rPr>
          <w:rFonts w:ascii="Amiri" w:hAnsi="Amiri" w:eastAsia="Amiri" w:cs="Amiri"/>
          <w:color w:val="111111"/>
          <w:sz w:val="28"/>
          <w:sz w:val="28"/>
          <w:szCs w:val="28"/>
          <w:rtl w:val="true"/>
          <w:lang w:bidi="ar-SA"/>
        </w:rPr>
        <w:t>و في المناهل ربّما يستفاد من جمل العلم</w:t>
      </w:r>
      <w:r>
        <w:rPr>
          <w:rStyle w:val="FootnoteAnchor"/>
          <w:rtl w:val="true"/>
        </w:rPr>
        <w:footnoteReference w:id="2147"/>
      </w:r>
      <w:r>
        <w:rPr>
          <w:rFonts w:ascii="IRNazanin" w:hAnsi="IRNazanin" w:eastAsia="IRNazanin"/>
          <w:color w:val="111111"/>
          <w:sz w:val="28"/>
          <w:sz w:val="28"/>
          <w:szCs w:val="28"/>
          <w:rtl w:val="true"/>
          <w:lang w:bidi="fa-IR"/>
        </w:rPr>
        <w:t>و الشرائع</w:t>
      </w:r>
      <w:r>
        <w:rPr>
          <w:rStyle w:val="FootnoteAnchor"/>
          <w:rtl w:val="true"/>
        </w:rPr>
        <w:footnoteReference w:id="2148"/>
      </w:r>
      <w:r>
        <w:rPr>
          <w:rFonts w:ascii="IRNazanin" w:hAnsi="IRNazanin" w:eastAsia="IRNazanin"/>
          <w:color w:val="111111"/>
          <w:sz w:val="28"/>
          <w:sz w:val="28"/>
          <w:szCs w:val="28"/>
          <w:rtl w:val="true"/>
          <w:lang w:bidi="fa-IR"/>
        </w:rPr>
        <w:t>و النافع</w:t>
      </w:r>
      <w:r>
        <w:rPr>
          <w:rStyle w:val="FootnoteAnchor"/>
          <w:rtl w:val="true"/>
        </w:rPr>
        <w:footnoteReference w:id="2149"/>
      </w:r>
      <w:r>
        <w:rPr>
          <w:rFonts w:ascii="IRNazanin" w:hAnsi="IRNazanin" w:eastAsia="IRNazanin"/>
          <w:color w:val="111111"/>
          <w:sz w:val="28"/>
          <w:sz w:val="28"/>
          <w:szCs w:val="28"/>
          <w:rtl w:val="true"/>
          <w:lang w:bidi="fa-IR"/>
        </w:rPr>
        <w:t>و المعتبر</w:t>
      </w:r>
      <w:r>
        <w:rPr>
          <w:rStyle w:val="FootnoteAnchor"/>
          <w:rtl w:val="true"/>
        </w:rPr>
        <w:footnoteReference w:id="2150"/>
      </w:r>
      <w:r>
        <w:rPr>
          <w:rFonts w:ascii="IRNazanin" w:hAnsi="IRNazanin" w:eastAsia="IRNazanin"/>
          <w:color w:val="111111"/>
          <w:sz w:val="28"/>
          <w:sz w:val="28"/>
          <w:szCs w:val="28"/>
          <w:rtl w:val="true"/>
          <w:lang w:bidi="fa-IR"/>
        </w:rPr>
        <w:t>و القواعد</w:t>
      </w:r>
      <w:r>
        <w:rPr>
          <w:rStyle w:val="FootnoteAnchor"/>
          <w:rtl w:val="true"/>
        </w:rPr>
        <w:footnoteReference w:id="2151"/>
      </w:r>
      <w:r>
        <w:rPr>
          <w:rFonts w:ascii="IRNazanin" w:hAnsi="IRNazanin" w:eastAsia="IRNazanin"/>
          <w:color w:val="111111"/>
          <w:sz w:val="28"/>
          <w:sz w:val="28"/>
          <w:szCs w:val="28"/>
          <w:rtl w:val="true"/>
          <w:lang w:bidi="fa-IR"/>
        </w:rPr>
        <w:t>و الدروس</w:t>
      </w:r>
      <w:r>
        <w:rPr>
          <w:rStyle w:val="FootnoteAnchor"/>
          <w:rtl w:val="true"/>
        </w:rPr>
        <w:footnoteReference w:id="2152"/>
      </w:r>
      <w:r>
        <w:rPr>
          <w:rFonts w:ascii="Amiri" w:hAnsi="Amiri" w:eastAsia="Amiri" w:cs="Amiri"/>
          <w:color w:val="111111"/>
          <w:sz w:val="28"/>
          <w:sz w:val="28"/>
          <w:szCs w:val="28"/>
          <w:rtl w:val="true"/>
          <w:lang w:bidi="ar-SA"/>
        </w:rPr>
        <w:t>لأنّها أطلقت وجوب الزكاة بعد المئونة و هو شامل لصورتي كون الباقي بعدها نصابا أو لا؟</w:t>
      </w:r>
    </w:p>
    <w:p>
      <w:pPr>
        <w:pStyle w:val="BookText"/>
        <w:rPr/>
      </w:pPr>
      <w:r>
        <w:rPr>
          <w:rFonts w:ascii="Amiri" w:hAnsi="Amiri" w:eastAsia="Amiri" w:cs="Amiri"/>
          <w:color w:val="111111"/>
          <w:sz w:val="28"/>
          <w:sz w:val="28"/>
          <w:szCs w:val="28"/>
          <w:rtl w:val="true"/>
          <w:lang w:bidi="ar-SA"/>
        </w:rPr>
        <w:t>و فيه نظر، لأنّ العلاّمة في المنتهى قبل العبارة المتقدّمة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زكاة الزرع و الثمار بعد المئونة كاجرة السقي و العمارة و الحصاد و الجذاذ و الحافظ، و بعد حصّة السلطان و به قال أكثر أصحابنا و اختاره الشيخ في النهاية</w:t>
      </w:r>
      <w:r>
        <w:rPr>
          <w:rFonts w:eastAsia="Amiri" w:cs="Amiri" w:ascii="Amiri" w:hAnsi="Amiri"/>
          <w:color w:val="111111"/>
          <w:sz w:val="28"/>
          <w:szCs w:val="28"/>
          <w:rtl w:val="true"/>
          <w:lang w:bidi="ar-SA"/>
        </w:rPr>
        <w:t>»</w:t>
      </w:r>
      <w:r>
        <w:rPr>
          <w:rStyle w:val="FootnoteAnchor"/>
          <w:rtl w:val="true"/>
        </w:rPr>
        <w:footnoteReference w:id="2153"/>
      </w:r>
      <w:r>
        <w:rPr>
          <w:rFonts w:ascii="Amiri" w:hAnsi="Amiri" w:eastAsia="Amiri" w:cs="Amiri"/>
          <w:color w:val="111111"/>
          <w:sz w:val="28"/>
          <w:sz w:val="28"/>
          <w:szCs w:val="28"/>
          <w:rtl w:val="true"/>
          <w:lang w:bidi="ar-SA"/>
        </w:rPr>
        <w:t>ثمّ صرّح بعد ذلك بما تقدّم</w:t>
      </w:r>
      <w:r>
        <w:rPr>
          <w:rStyle w:val="FootnoteAnchor"/>
          <w:rtl w:val="true"/>
        </w:rPr>
        <w:footnoteReference w:id="2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أنّ مرادهم من العبارة المذكورة و نحوها بيان وجوب إخراج الزكاة بعد إخراج المؤن كلّها إن بلغ الباقي النصاب لا مطلقا و إن لم يبلغه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فثالث الوجوه ما نسب اختياره إلى المحقّق الثاني في جامع المقاصد</w:t>
      </w:r>
      <w:r>
        <w:rPr>
          <w:rStyle w:val="FootnoteAnchor"/>
          <w:rtl w:val="true"/>
        </w:rPr>
        <w:footnoteReference w:id="2155"/>
      </w:r>
      <w:r>
        <w:rPr>
          <w:rFonts w:ascii="Amiri" w:hAnsi="Amiri" w:eastAsia="Amiri" w:cs="Amiri"/>
          <w:color w:val="111111"/>
          <w:sz w:val="28"/>
          <w:sz w:val="28"/>
          <w:szCs w:val="28"/>
          <w:rtl w:val="true"/>
          <w:lang w:bidi="ar-SA"/>
        </w:rPr>
        <w:t>و حاشية الشرائع</w:t>
      </w:r>
      <w:r>
        <w:rPr>
          <w:rStyle w:val="FootnoteAnchor"/>
          <w:rtl w:val="true"/>
        </w:rPr>
        <w:footnoteReference w:id="2156"/>
      </w:r>
      <w:r>
        <w:rPr>
          <w:rFonts w:ascii="Amiri" w:hAnsi="Amiri" w:eastAsia="Amiri" w:cs="Amiri"/>
          <w:color w:val="111111"/>
          <w:sz w:val="28"/>
          <w:sz w:val="28"/>
          <w:szCs w:val="28"/>
          <w:rtl w:val="true"/>
          <w:lang w:bidi="ar-SA"/>
        </w:rPr>
        <w:t>و الشهيد الثاني في المسالك</w:t>
      </w:r>
      <w:r>
        <w:rPr>
          <w:rStyle w:val="FootnoteAnchor"/>
          <w:rtl w:val="true"/>
        </w:rPr>
        <w:footnoteReference w:id="2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الروضة</w:t>
      </w:r>
      <w:r>
        <w:rPr>
          <w:rStyle w:val="FootnoteAnchor"/>
          <w:rtl w:val="true"/>
        </w:rPr>
        <w:footnoteReference w:id="215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المعتمد هو القول الأوّل، للأصل فإنّ ما خرج بوضع المؤن كلّها منه عن النصاب يشكّ في وجوب الزكاة فيه و توجّه الخطاب بها إليه و الأصل براءة و نفيا عدمه، و ظاهر صحيحة محمّد بن مسلم المتقدّمة</w:t>
      </w:r>
      <w:r>
        <w:rPr>
          <w:rStyle w:val="FootnoteAnchor"/>
          <w:rtl w:val="true"/>
        </w:rPr>
        <w:footnoteReference w:id="2159"/>
      </w:r>
      <w:r>
        <w:rPr>
          <w:rFonts w:ascii="Amiri" w:hAnsi="Amiri" w:eastAsia="Amiri" w:cs="Amiri"/>
          <w:color w:val="111111"/>
          <w:sz w:val="28"/>
          <w:sz w:val="28"/>
          <w:szCs w:val="28"/>
          <w:rtl w:val="true"/>
          <w:lang w:bidi="ar-SA"/>
        </w:rPr>
        <w:t>المعتضد بظاهر مرسلة النهاية</w:t>
      </w:r>
      <w:r>
        <w:rPr>
          <w:rStyle w:val="FootnoteAnchor"/>
          <w:rtl w:val="true"/>
        </w:rPr>
        <w:footnoteReference w:id="2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w:t>
      </w:r>
      <w:r>
        <w:rPr>
          <w:rStyle w:val="FootnoteAnchor"/>
          <w:rtl w:val="true"/>
        </w:rPr>
        <w:footnoteReference w:id="2161"/>
      </w:r>
    </w:p>
    <w:p>
      <w:pPr>
        <w:pStyle w:val="BookText"/>
        <w:rPr/>
      </w:pPr>
      <w:r>
        <w:rPr>
          <w:rFonts w:ascii="Amiri" w:hAnsi="Amiri" w:eastAsia="Amiri" w:cs="Amiri"/>
          <w:color w:val="111111"/>
          <w:sz w:val="28"/>
          <w:sz w:val="28"/>
          <w:szCs w:val="28"/>
          <w:rtl w:val="true"/>
          <w:lang w:bidi="ar-SA"/>
        </w:rPr>
        <w:t>عن الرضوي فإنّ في الصحيحة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التمر و الزبيب ما أقلّ ما تجب فيه الزكاة‌؟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أوساق و يترك معافارة و امّ جعرور لا يزكّيان و إن كثرا و يترك للحارس العذق و العذقان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إذ لا شبهة في أنّ النصاب يعتبر في غير النوعين، و كذلك في غير العذق و العذقين بمقتضى ظاهر وحدة السياق و قضيّة عموم التعليل المنساق من الخبر كون سائر المؤن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الثاني فلم نقف له على مستند سوى ما أشار إليه في المناهل من قوله عليه السّلام في عدّة 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منه يسقى بالرشاء و الدوالي و النواضح ففيه نصف العشر، و ما سقت السماء أو كان بعلا ففيه العشر</w:t>
      </w:r>
      <w:r>
        <w:rPr>
          <w:rFonts w:eastAsia="Amiri" w:cs="Amiri" w:ascii="Amiri" w:hAnsi="Amiri"/>
          <w:color w:val="111111"/>
          <w:sz w:val="28"/>
          <w:szCs w:val="28"/>
          <w:rtl w:val="true"/>
          <w:lang w:bidi="ar-SA"/>
        </w:rPr>
        <w:t>»</w:t>
      </w:r>
      <w:r>
        <w:rPr>
          <w:rStyle w:val="FootnoteAnchor"/>
          <w:rtl w:val="true"/>
        </w:rPr>
        <w:footnoteReference w:id="2162"/>
      </w:r>
      <w:r>
        <w:rPr>
          <w:rFonts w:ascii="Amiri" w:hAnsi="Amiri" w:eastAsia="Amiri" w:cs="Amiri"/>
          <w:color w:val="111111"/>
          <w:sz w:val="28"/>
          <w:sz w:val="28"/>
          <w:szCs w:val="28"/>
          <w:rtl w:val="true"/>
          <w:lang w:bidi="ar-SA"/>
        </w:rPr>
        <w:t>قال في 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ما لو لم يبلغ النصاب مطلقا بالدليل و لا دليل على خروج ما بلغ النصاب قبل المئونة لا بعدها فيبقى مندرجا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يعارضه عدم الدليل على دخول ذلك تحته بتقريب ما بيّنّاه سابقا</w:t>
      </w:r>
      <w:r>
        <w:rPr>
          <w:rStyle w:val="FootnoteAnchor"/>
          <w:rtl w:val="true"/>
        </w:rPr>
        <w:footnoteReference w:id="2163"/>
      </w:r>
      <w:r>
        <w:rPr>
          <w:rFonts w:ascii="Amiri" w:hAnsi="Amiri" w:eastAsia="Amiri" w:cs="Amiri"/>
          <w:color w:val="111111"/>
          <w:sz w:val="28"/>
          <w:sz w:val="28"/>
          <w:szCs w:val="28"/>
          <w:rtl w:val="true"/>
          <w:lang w:bidi="ar-SA"/>
        </w:rPr>
        <w:t>من أنّ الموصول كناية عمّا اجتمع فيه شرائط الوجوب و هذا مشكوك الحال فيندرج في موضوع أصل البراءة لإجمال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الثالث فلم نقف له أيضا على وجه يعتمد عليه، نعم ذكر في حاشية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الأصحّ أنّ المؤن المتقدّمة على بدوّ الصلاح يعتبر بلوغ النصاب بعدها لأنّ قدرها مستثنى للمالك فلا تصلح لتعلّق الزكاة به، بخلاف المتأخّرة عنه لأنّها بمنزلة المؤن اللازمة في المال المشترك فتكون بين الشريكين</w:t>
      </w:r>
      <w:r>
        <w:rPr>
          <w:rFonts w:eastAsia="Amiri" w:cs="Amiri" w:ascii="Amiri" w:hAnsi="Amiri"/>
          <w:color w:val="111111"/>
          <w:sz w:val="28"/>
          <w:szCs w:val="28"/>
          <w:rtl w:val="true"/>
          <w:lang w:bidi="ar-SA"/>
        </w:rPr>
        <w:t>»</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لا يخفى، من منع كلّ من المقدّمتين، فإنّ كون قدر المؤن المتقدّمة مستثنى للمالك أوّل الدعوى، فلا يصلح دليلا على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المؤن المتأخّرة بحيث يجري فيه حكم مؤن المال المشترك أيضا محلّ منع بسند تقدّم ذكره سابقا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هو القول الأوّل و إن كان التفصيل أقرب بالاحتياط، و أحوط منه القول الثاني و هو إخراج المؤن كلّها بعد اعتبار النصاب، و أحوط من الجميع عدم اعتبار إخراج المؤن أصلا كما هو قول الشيخ في المبسوط</w:t>
      </w:r>
      <w:r>
        <w:rPr>
          <w:rStyle w:val="FootnoteAnchor"/>
          <w:rtl w:val="true"/>
        </w:rPr>
        <w:footnoteReference w:id="2165"/>
      </w:r>
      <w:r>
        <w:rPr>
          <w:rFonts w:ascii="IRNazanin" w:hAnsi="IRNazanin" w:eastAsia="IRNazanin"/>
          <w:color w:val="111111"/>
          <w:sz w:val="28"/>
          <w:sz w:val="28"/>
          <w:szCs w:val="28"/>
          <w:rtl w:val="true"/>
          <w:lang w:bidi="fa-IR"/>
        </w:rPr>
        <w:t>و الخلاف</w:t>
      </w:r>
      <w:r>
        <w:rPr>
          <w:rStyle w:val="FootnoteAnchor"/>
          <w:rtl w:val="true"/>
        </w:rPr>
        <w:footnoteReference w:id="2166"/>
      </w:r>
      <w:r>
        <w:rPr>
          <w:rFonts w:ascii="IRNazanin" w:hAnsi="IRNazanin" w:eastAsia="IRNazanin"/>
          <w:color w:val="111111"/>
          <w:sz w:val="28"/>
          <w:sz w:val="28"/>
          <w:szCs w:val="28"/>
          <w:rtl w:val="true"/>
          <w:lang w:bidi="fa-IR"/>
        </w:rPr>
        <w:t xml:space="preserve">و من تبعه قبالا </w:t>
      </w:r>
      <w:bookmarkStart w:id="461" w:name="pg16181_154725"/>
    </w:p>
    <w:p>
      <w:pPr>
        <w:pStyle w:val="BookText"/>
        <w:rPr/>
      </w:pPr>
      <w:bookmarkEnd w:id="461"/>
      <w:r>
        <w:rPr>
          <w:rFonts w:ascii="IRNazanin" w:hAnsi="IRNazanin" w:eastAsia="IRNazanin"/>
          <w:color w:val="111111"/>
          <w:sz w:val="28"/>
          <w:sz w:val="28"/>
          <w:szCs w:val="28"/>
          <w:rtl w:val="true"/>
          <w:lang w:bidi="fa-IR"/>
        </w:rPr>
        <w:t>للمشهور</w:t>
      </w:r>
      <w:r>
        <w:rPr>
          <w:rFonts w:eastAsia="IRNazanin" w:cs="IRNazanin"/>
          <w:color w:val="111111"/>
          <w:sz w:val="28"/>
          <w:szCs w:val="28"/>
          <w:rtl w:val="true"/>
          <w:lang w:bidi="fa-IR"/>
        </w:rPr>
        <w:t>.</w:t>
      </w:r>
    </w:p>
    <w:p>
      <w:pPr>
        <w:pStyle w:val="Heading6"/>
        <w:numPr>
          <w:ilvl w:val="5"/>
          <w:numId w:val="1"/>
        </w:numPr>
        <w:rPr/>
      </w:pPr>
      <w:bookmarkStart w:id="462" w:name="__RefHeading___Toc2586745_1280447820"/>
      <w:bookmarkStart w:id="463" w:name="_Toc171"/>
      <w:bookmarkEnd w:id="462"/>
      <w:r>
        <w:rPr>
          <w:rtl w:val="true"/>
        </w:rPr>
        <w:t>و ثانيهما</w:t>
      </w:r>
      <w:r>
        <w:rPr>
          <w:rtl w:val="true"/>
        </w:rPr>
        <w:t xml:space="preserve">: </w:t>
      </w:r>
      <w:r>
        <w:rPr>
          <w:rtl w:val="true"/>
        </w:rPr>
        <w:t>في بيان ضابط المئونة المعتبر استثناؤها</w:t>
      </w:r>
      <w:bookmarkEnd w:id="463"/>
    </w:p>
    <w:p>
      <w:pPr>
        <w:pStyle w:val="Heading6"/>
        <w:numPr>
          <w:ilvl w:val="5"/>
          <w:numId w:val="1"/>
        </w:numPr>
        <w:rPr/>
      </w:pPr>
      <w:bookmarkStart w:id="464" w:name="__RefHeading___Toc2586747_1280447820"/>
      <w:bookmarkStart w:id="465" w:name="_Toc172"/>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و الأنواع المندرجة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بالمئونة كما ذكره ثاني الشهيدين في المسالك و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يغرمه المالك على الغلّة ممّا يتكرّر كلّ سنة عادة و إن كان قبل عامه</w:t>
      </w:r>
      <w:r>
        <w:rPr>
          <w:rFonts w:eastAsia="Amiri" w:cs="Amiri" w:ascii="Amiri" w:hAnsi="Amiri"/>
          <w:color w:val="111111"/>
          <w:sz w:val="28"/>
          <w:szCs w:val="28"/>
          <w:rtl w:val="true"/>
          <w:lang w:bidi="ar-SA"/>
        </w:rPr>
        <w:t>»</w:t>
      </w:r>
      <w:r>
        <w:rPr>
          <w:rStyle w:val="FootnoteAnchor"/>
          <w:rtl w:val="true"/>
        </w:rPr>
        <w:footnoteReference w:id="2167"/>
      </w:r>
      <w:r>
        <w:rPr>
          <w:rFonts w:ascii="Amiri" w:hAnsi="Amiri" w:eastAsia="Amiri" w:cs="Amiri"/>
          <w:color w:val="111111"/>
          <w:sz w:val="28"/>
          <w:sz w:val="28"/>
          <w:szCs w:val="28"/>
          <w:rtl w:val="true"/>
          <w:lang w:bidi="ar-SA"/>
        </w:rPr>
        <w:t>و بعبارة اخرى كلّ مال يبذله المالك لأجل الغلّة من المبتدأ إلى المنتهى الّذي هو التصفية و الثمرة، و يندرج فيه أنواع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اجرة الأرض بالمعنى الشامل لمال الإجارة و الحصّة المعيّنة من الحاصل لمالك الأرض في المزارعة، و اجرة المثل في الأرض المغصوبة سواء كان الغاصب هو مالك الزرع و الثمرة و لم ينو إعطاء مالكها اجرتها أو غيره، فإنّ الظاهر أنّه لا خلاف بين القائلين باستثناء المؤن في كونها من المئونة المستثناة، كما أنّه لا كلام في كون اجرة الأرض في صورة الغصب منها، و لكن يعتبر دفعها فيما كان الغاصب غير مالك الزرع إلى مالك الأرض لا إلى الغاصب، فلو دفعها إليه لم يبرأ ذمّته، و لو أخذها الغاصب قهرا لم يحتسب من المئونة المستثناة قبل النصاب بل يعتبر إخراجها بعد النصاب و يغرم للمالك أيضا اجرة أرضها و يستثنيها قبل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يوجب الأوّل نقصا في حصّة المستحقّ أو لا، بل يضمن قدر النقصان في حصّته‌؟ الوجه فيه التفصيل، فإن كان المالك بحيث تمكّن من مدافعة الغاصب فيما غرمه له و لم يفعل فهو ضامن لتقصيره و إلاّ فلا ضمان عليه، هذا إذا غرم للغاصب حصّة من الحاصل، و إن غرم له مالا آخر من أحد النقدين ممّا ضرب عليه الغاصب لم يتوجّه إلى المستحقّ نقص أصلا و لم يرد عليه خسارة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المعتبر في هذه الاجرة المعدّة من المئونة إنّما هو الاجرة المعتادة المعبّر عنها باجرة المثل لا مطلق ما يبذله المالك و إن زاد على القدر المعتاد، فلو بذل أزيد منها لم يحتسب الزائد من المئونة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الكلام في سائر أنواع الاجرة الّتي يغرمها المالك للحارث و الحارس و الفلاّح </w:t>
      </w:r>
    </w:p>
    <w:p>
      <w:pPr>
        <w:pStyle w:val="BookText"/>
        <w:rPr/>
      </w:pPr>
      <w:r>
        <w:rPr>
          <w:rFonts w:ascii="Amiri" w:hAnsi="Amiri" w:eastAsia="Amiri" w:cs="Amiri"/>
          <w:color w:val="111111"/>
          <w:sz w:val="28"/>
          <w:sz w:val="28"/>
          <w:szCs w:val="28"/>
          <w:rtl w:val="true"/>
          <w:lang w:bidi="ar-SA"/>
        </w:rPr>
        <w:t>و العملة لعمارة الأرض و تنقية القناة أو الأنهار أو للحصاد أو الجذاذ أو التصفية أو غير ذلك ممّا يتعلّق بالغلّة إذا لم يعيّن لهم اجرة في عقد إجارة و نحوه و إلاّ فيغرم على حسب ما جرى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البذر، كما هو المصرّح به في كلام جماعة من المتأخّرين</w:t>
      </w:r>
      <w:r>
        <w:rPr>
          <w:rStyle w:val="FootnoteAnchor"/>
          <w:rtl w:val="true"/>
        </w:rPr>
        <w:footnoteReference w:id="2168"/>
      </w:r>
      <w:r>
        <w:rPr>
          <w:rFonts w:ascii="Amiri" w:hAnsi="Amiri" w:eastAsia="Amiri" w:cs="Amiri"/>
          <w:color w:val="111111"/>
          <w:sz w:val="28"/>
          <w:sz w:val="28"/>
          <w:szCs w:val="28"/>
          <w:rtl w:val="true"/>
          <w:lang w:bidi="ar-SA"/>
        </w:rPr>
        <w:t>و متأخّريهم</w:t>
      </w:r>
      <w:r>
        <w:rPr>
          <w:rStyle w:val="FootnoteAnchor"/>
          <w:rtl w:val="true"/>
        </w:rPr>
        <w:footnoteReference w:id="2169"/>
      </w:r>
      <w:r>
        <w:rPr>
          <w:rFonts w:ascii="Amiri" w:hAnsi="Amiri" w:eastAsia="Amiri" w:cs="Amiri"/>
          <w:color w:val="111111"/>
          <w:sz w:val="28"/>
          <w:sz w:val="28"/>
          <w:szCs w:val="28"/>
          <w:rtl w:val="true"/>
          <w:lang w:bidi="ar-SA"/>
        </w:rPr>
        <w:t>و الظاهر أنّ كونه من المئونة ممّا لا خلاف فيه بين الأصحاب و يندرج في الضابط المتقدّم، لأنّه ممّا يغرمه المالك على الغلّة فيدلّ على استثنائه كلّما يدلّ على استثناء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العلاّمة في المنتهى بعد ما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البذر من المئونة بأنّ الزكاة إنّما تجب في النماء و ليس هو منه، و بأنّ إيجاب الزكاة فى البذر يستلزم وجوب تكرير الزكاة في الغلاّت، و قد أجمع المسلمون على خلافه</w:t>
      </w:r>
      <w:r>
        <w:rPr>
          <w:rFonts w:eastAsia="Amiri" w:cs="Amiri" w:ascii="Amiri" w:hAnsi="Amiri"/>
          <w:color w:val="111111"/>
          <w:sz w:val="28"/>
          <w:szCs w:val="28"/>
          <w:rtl w:val="true"/>
          <w:lang w:bidi="ar-SA"/>
        </w:rPr>
        <w:t>»</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خفاء في ضعف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المقدّمتين مسلّمتان و لكن لا يلزم منهما كون البذر من المؤن اللازم استثناؤها لعدم وجود عينه في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أنّه لا يتمّ في غير البذر الّذي تعلّق به الزكاة سابقا و أخرج زكاته فيه، منع الملازمة إذ لا يلزم من إيجاب الزكاة في الغلّة من دون إخراج ما يساوي البذر إيجابها في البذر ليلزم منه تكرير الزكاة لعدم وجود عينه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الكلام في أنّ في المسالك</w:t>
      </w:r>
      <w:r>
        <w:rPr>
          <w:rStyle w:val="FootnoteAnchor"/>
          <w:rtl w:val="true"/>
        </w:rPr>
        <w:footnoteReference w:id="2171"/>
      </w:r>
      <w:r>
        <w:rPr>
          <w:rFonts w:ascii="IRNazanin" w:hAnsi="IRNazanin" w:eastAsia="IRNazanin"/>
          <w:color w:val="111111"/>
          <w:sz w:val="28"/>
          <w:sz w:val="28"/>
          <w:szCs w:val="28"/>
          <w:rtl w:val="true"/>
          <w:lang w:bidi="fa-IR"/>
        </w:rPr>
        <w:t>و جامع المقاصد</w:t>
      </w:r>
      <w:r>
        <w:rPr>
          <w:rStyle w:val="FootnoteAnchor"/>
          <w:rtl w:val="true"/>
        </w:rPr>
        <w:footnoteReference w:id="2172"/>
      </w:r>
      <w:r>
        <w:rPr>
          <w:rFonts w:ascii="Amiri" w:hAnsi="Amiri" w:eastAsia="Amiri" w:cs="Amiri"/>
          <w:color w:val="111111"/>
          <w:sz w:val="28"/>
          <w:sz w:val="28"/>
          <w:szCs w:val="28"/>
          <w:rtl w:val="true"/>
          <w:lang w:bidi="ar-SA"/>
        </w:rPr>
        <w:t>و حاشية الشرائع تقييد البذر بكونه من ماله المزكّى، بل في الأخير تقييده بأحد الأمرين من ذلك أو عدم تعلّق الزكاة 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البذر من المئونة فيستثنى لكن إذا كان مزكّى سابقا أو لم يتعلّق به الزكاة سابقا</w:t>
      </w:r>
      <w:r>
        <w:rPr>
          <w:rFonts w:eastAsia="Amiri" w:cs="Amiri" w:ascii="Amiri" w:hAnsi="Amiri"/>
          <w:color w:val="111111"/>
          <w:sz w:val="28"/>
          <w:szCs w:val="28"/>
          <w:rtl w:val="true"/>
          <w:lang w:bidi="ar-SA"/>
        </w:rPr>
        <w:t>»</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ظاهرهم كون التقييد احترازا عمّا تعلّق به الزكاة سابقا و لم يخرج زكاته فبذر و الحال هذه، و لم يتّضح وجهه هل هو إخراج عن حكم المئونة على معنى أنّ ما ذكر </w:t>
      </w:r>
    </w:p>
    <w:p>
      <w:pPr>
        <w:pStyle w:val="BookText"/>
        <w:rPr/>
      </w:pPr>
      <w:r>
        <w:rPr>
          <w:rFonts w:ascii="Amiri" w:hAnsi="Amiri" w:eastAsia="Amiri" w:cs="Amiri"/>
          <w:color w:val="111111"/>
          <w:sz w:val="28"/>
          <w:sz w:val="28"/>
          <w:szCs w:val="28"/>
          <w:rtl w:val="true"/>
          <w:lang w:bidi="ar-SA"/>
        </w:rPr>
        <w:t>و إن كان من المئونة إلاّ أنّه لا يستثنى بدليل فيطالب بدليله، و هو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خارج عن المئونة موضوعا بدعوى أنّ ظاهر الضابط المتقدّم للمئونة كونها من مال المالك خاصّة و هذا مشترك بينه و بين المستحقّ؟ و هذا أيضا ليس بشيء، لأنّ قضيّة كون البذر مشتركا كون النماء الحاصل منه أيضا مشتركا من حين حصوله غاية ما في الباب لزوم وضع ما يختصّ بالمستحقّ من البذر مع ما يختصّ به من النماء ثمّ إخراج ما يختصّ بالمالك من البذر من الباقي لضابطة إخراج المؤن كلّها و هذا منه ثمّ اعتبار الباقي فإن بلغ النصاب وجب فيه الزكاة و إلاّ فلا، بل لو فرضنا بلوغ حصّة المستحقّ من النماء النصاب تعلّق به الزكاة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الوجه في التقييد و الاحتراز التنبيه على أنّ ما ذكر ممّا تعلّق به الزكاة و لم يكن مزكّى سابقا له حكم آخر منحلّ إلى التفصيل المذكور، و مرجعه إلى أنّ النماء الحاصل من نحو هذا البذر خارج عمّا يستثنى منه المؤن الّتي منها البذر للمالك بقول مطلق قبل اعتبار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كلامهم هنا غير محرّر، و بما بيّنّاه ظهر حكم هذا القسم من البذر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المالك لو اشترى البذر ففي تعيّن استثناء عينه، أو ثمنه، أو التخيير بينهما، أو وجوب أكثر الأمرين من ثمنه و قدر قيمته، أو أقلّ الأمرين منهما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أوّلها ممّن أطلق كون البذر من المئونة كما في المنتهى</w:t>
      </w:r>
      <w:r>
        <w:rPr>
          <w:rStyle w:val="FootnoteAnchor"/>
          <w:rtl w:val="true"/>
        </w:rPr>
        <w:footnoteReference w:id="2174"/>
      </w:r>
      <w:r>
        <w:rPr>
          <w:rFonts w:ascii="IRNazanin" w:hAnsi="IRNazanin" w:eastAsia="IRNazanin"/>
          <w:color w:val="111111"/>
          <w:sz w:val="28"/>
          <w:sz w:val="28"/>
          <w:szCs w:val="28"/>
          <w:rtl w:val="true"/>
          <w:lang w:bidi="fa-IR"/>
        </w:rPr>
        <w:t>و عن القواعد</w:t>
      </w:r>
      <w:r>
        <w:rPr>
          <w:rStyle w:val="FootnoteAnchor"/>
          <w:rtl w:val="true"/>
        </w:rPr>
        <w:footnoteReference w:id="2175"/>
      </w:r>
      <w:r>
        <w:rPr>
          <w:rFonts w:ascii="Amiri" w:hAnsi="Amiri" w:eastAsia="Amiri" w:cs="Amiri"/>
          <w:color w:val="111111"/>
          <w:sz w:val="28"/>
          <w:sz w:val="28"/>
          <w:szCs w:val="28"/>
          <w:rtl w:val="true"/>
          <w:lang w:bidi="ar-SA"/>
        </w:rPr>
        <w:t>و التحرير</w:t>
      </w:r>
      <w:r>
        <w:rPr>
          <w:rStyle w:val="FootnoteAnchor"/>
          <w:rtl w:val="true"/>
        </w:rPr>
        <w:footnoteReference w:id="2176"/>
      </w:r>
      <w:r>
        <w:rPr>
          <w:rFonts w:ascii="Amiri" w:hAnsi="Amiri" w:eastAsia="Amiri" w:cs="Amiri"/>
          <w:color w:val="111111"/>
          <w:sz w:val="28"/>
          <w:sz w:val="28"/>
          <w:szCs w:val="28"/>
          <w:rtl w:val="true"/>
          <w:lang w:bidi="ar-SA"/>
        </w:rPr>
        <w:t>و التبصرة</w:t>
      </w:r>
      <w:r>
        <w:rPr>
          <w:rStyle w:val="FootnoteAnchor"/>
          <w:rtl w:val="true"/>
        </w:rPr>
        <w:footnoteReference w:id="2177"/>
      </w:r>
      <w:r>
        <w:rPr>
          <w:rFonts w:ascii="IRNazanin" w:hAnsi="IRNazanin" w:eastAsia="IRNazanin"/>
          <w:color w:val="111111"/>
          <w:sz w:val="28"/>
          <w:sz w:val="28"/>
          <w:szCs w:val="28"/>
          <w:rtl w:val="true"/>
          <w:lang w:bidi="fa-IR"/>
        </w:rPr>
        <w:t>و جامع المقاصد</w:t>
      </w:r>
      <w:r>
        <w:rPr>
          <w:rStyle w:val="FootnoteAnchor"/>
          <w:rtl w:val="true"/>
        </w:rPr>
        <w:footnoteReference w:id="2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بثالثها في المسالك</w:t>
      </w:r>
      <w:r>
        <w:rPr>
          <w:rStyle w:val="FootnoteAnchor"/>
          <w:rtl w:val="true"/>
        </w:rPr>
        <w:footnoteReference w:id="2179"/>
      </w:r>
      <w:r>
        <w:rPr>
          <w:rFonts w:ascii="Amiri" w:hAnsi="Amiri" w:eastAsia="Amiri" w:cs="Amiri"/>
          <w:color w:val="111111"/>
          <w:sz w:val="28"/>
          <w:sz w:val="28"/>
          <w:szCs w:val="28"/>
          <w:rtl w:val="true"/>
          <w:lang w:bidi="ar-SA"/>
        </w:rPr>
        <w:t>و الروضة</w:t>
      </w:r>
      <w:r>
        <w:rPr>
          <w:rStyle w:val="FootnoteAnchor"/>
          <w:rtl w:val="true"/>
        </w:rPr>
        <w:footnoteReference w:id="2180"/>
      </w:r>
      <w:r>
        <w:rPr>
          <w:rFonts w:ascii="Amiri" w:hAnsi="Amiri" w:eastAsia="Amiri" w:cs="Amiri"/>
          <w:color w:val="111111"/>
          <w:sz w:val="28"/>
          <w:sz w:val="28"/>
          <w:szCs w:val="28"/>
          <w:rtl w:val="true"/>
          <w:lang w:bidi="ar-SA"/>
        </w:rPr>
        <w:t>و استحسنه في المدارك</w:t>
      </w:r>
      <w:r>
        <w:rPr>
          <w:rStyle w:val="FootnoteAnchor"/>
          <w:rtl w:val="true"/>
        </w:rPr>
        <w:footnoteReference w:id="2181"/>
      </w:r>
      <w:r>
        <w:rPr>
          <w:rFonts w:ascii="Amiri" w:hAnsi="Amiri" w:eastAsia="Amiri" w:cs="Amiri"/>
          <w:color w:val="111111"/>
          <w:sz w:val="28"/>
          <w:sz w:val="28"/>
          <w:szCs w:val="28"/>
          <w:rtl w:val="true"/>
          <w:lang w:bidi="ar-SA"/>
        </w:rPr>
        <w:t>و الرياض</w:t>
      </w:r>
      <w:r>
        <w:rPr>
          <w:rStyle w:val="FootnoteAnchor"/>
          <w:rtl w:val="true"/>
        </w:rPr>
        <w:footnoteReference w:id="2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البعد عن رابعها في حاشية القواعد</w:t>
      </w:r>
      <w:r>
        <w:rPr>
          <w:rStyle w:val="FootnoteAnchor"/>
          <w:rtl w:val="true"/>
        </w:rPr>
        <w:footnoteReference w:id="2183"/>
      </w:r>
      <w:r>
        <w:rPr>
          <w:rFonts w:ascii="Amiri" w:hAnsi="Amiri" w:eastAsia="Amiri" w:cs="Amiri"/>
          <w:color w:val="111111"/>
          <w:sz w:val="28"/>
          <w:sz w:val="28"/>
          <w:szCs w:val="28"/>
          <w:rtl w:val="true"/>
          <w:lang w:bidi="ar-SA"/>
        </w:rPr>
        <w:t xml:space="preserve">و جعله في </w:t>
      </w:r>
    </w:p>
    <w:p>
      <w:pPr>
        <w:pStyle w:val="BookText"/>
        <w:rPr/>
      </w:pPr>
      <w:r>
        <w:rPr>
          <w:rFonts w:ascii="Amiri" w:hAnsi="Amiri" w:eastAsia="Amiri" w:cs="Amiri"/>
          <w:color w:val="111111"/>
          <w:sz w:val="28"/>
          <w:sz w:val="28"/>
          <w:szCs w:val="28"/>
          <w:rtl w:val="true"/>
          <w:lang w:bidi="ar-SA"/>
        </w:rPr>
        <w:t>المناهل في غاية القوّة، و جعل كون الأحوط مراعاة خامس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محلّ النزاع ما لو اختلف قدر الثمن و قدر قيمة العين بأن ارتفعت أو انخفضت بعد الاشتراء، و قضيّة الضابط المتقدّم من كون المئونة عبارة عمّا يغرمه المالك على الغلّة اعتبار أكثر الأمرين، لصدق الغرامة على القدر الزائد على الأقلّ الموجود في الأكثر، و لكنّ الأحوط هو الاقتصار في الاستثناء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الاجرة بجميع أنواعها كاجرة السقي و اجرة العمارة و اجرة الحارس و اجرة الحصاد و اجرة الجذاذ و اجرة التصفية و اجرة تنقية مجاري المياه، و يندرج في اجرة السقي ثمن الماء إذا اشتراه من صاحبه، و أمّا أنّ المراد منها خصوص اجرة السقي فيما يسقى بماء المطر أو سيحا أو نحو ذلك أو أعمّ منها و من اجرة السقي فيما يسقى بالرشاء و الدوالي و النواضح فسيأتي تحقيقه في مسألة العشر و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السلطان فلا تجب الزكاة إلاّ بعد إخراجها كما هو المصرّح به في كلام جماعة من غير خلاف يظهر بين أصحابنا و في كلام غير واحد نفي الخلاف فيه، بل في كلام جماعة ما ظاهره دعوى الإجماع عليه، فعن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خراج الأرض يخرج وسطا و يؤدّي زكاة ما بقي إذا بلغ نصابا إذا كان لمسلم و عليه فقهاؤنا و أكثر علماء الإسلام، و قال أبو حنيفة</w:t>
      </w:r>
      <w:r>
        <w:rPr>
          <w:rStyle w:val="FootnoteAnchor"/>
          <w:rtl w:val="true"/>
        </w:rPr>
        <w:footnoteReference w:id="2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عشر في الأرض الخراجيّة</w:t>
      </w:r>
      <w:r>
        <w:rPr>
          <w:rFonts w:eastAsia="Amiri" w:cs="Amiri" w:ascii="Amiri" w:hAnsi="Amiri"/>
          <w:color w:val="111111"/>
          <w:sz w:val="28"/>
          <w:szCs w:val="28"/>
          <w:rtl w:val="true"/>
          <w:lang w:bidi="ar-SA"/>
        </w:rPr>
        <w:t>»</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خراج الأرض يخرج وسطا ثمّ يزكّي ما بقي إن بلغ نصابا إذا كان المالك مسلما، و هو مذهب علمائنا و أكثر الجمهور،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الأرض الخراجيّة</w:t>
      </w:r>
      <w:r>
        <w:rPr>
          <w:rFonts w:eastAsia="Amiri" w:cs="Amiri" w:ascii="Amiri" w:hAnsi="Amiri"/>
          <w:color w:val="111111"/>
          <w:sz w:val="28"/>
          <w:szCs w:val="28"/>
          <w:rtl w:val="true"/>
          <w:lang w:bidi="ar-SA"/>
        </w:rPr>
        <w:t>»</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الزكاة في أرض الصلح و من أسلم أهلها عليها بإجماع العلماء، و أمّا ما فتح عنوة فإذا زرعها و أدّى مال القبالة وجب في الباقي الزكاة إن بلغ النصاب، و لا تسقط الزكاة بالخراج عند علمائنا أجمع</w:t>
      </w:r>
      <w:r>
        <w:rPr>
          <w:rFonts w:eastAsia="Amiri" w:cs="Amiri" w:ascii="Amiri" w:hAnsi="Amiri"/>
          <w:color w:val="111111"/>
          <w:sz w:val="28"/>
          <w:szCs w:val="28"/>
          <w:rtl w:val="true"/>
          <w:lang w:bidi="ar-SA"/>
        </w:rPr>
        <w:t>»</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الخراج حكم المؤن في كون الزكاة بعد إخراجه قال به أكثر </w:t>
      </w:r>
    </w:p>
    <w:p>
      <w:pPr>
        <w:pStyle w:val="BookText"/>
        <w:rPr/>
      </w:pPr>
      <w:r>
        <w:rPr>
          <w:rFonts w:ascii="IRNazanin" w:hAnsi="IRNazanin" w:eastAsia="IRNazanin"/>
          <w:color w:val="111111"/>
          <w:sz w:val="28"/>
          <w:sz w:val="28"/>
          <w:szCs w:val="28"/>
          <w:rtl w:val="true"/>
          <w:lang w:bidi="fa-IR"/>
        </w:rPr>
        <w:t>علماء الإسلام</w:t>
      </w:r>
      <w:r>
        <w:rPr>
          <w:rFonts w:eastAsia="IRNazanin" w:cs="IRNazanin"/>
          <w:color w:val="111111"/>
          <w:sz w:val="28"/>
          <w:szCs w:val="28"/>
          <w:rtl w:val="true"/>
          <w:lang w:bidi="fa-IR"/>
        </w:rPr>
        <w:t>»</w:t>
      </w:r>
      <w:r>
        <w:rPr>
          <w:rStyle w:val="FootnoteAnchor"/>
          <w:rtl w:val="true"/>
        </w:rPr>
        <w:footnoteReference w:id="2188"/>
      </w:r>
      <w:r>
        <w:rPr>
          <w:rFonts w:ascii="Amiri" w:hAnsi="Amiri" w:eastAsia="Amiri" w:cs="Amiri"/>
          <w:color w:val="111111"/>
          <w:sz w:val="28"/>
          <w:sz w:val="28"/>
          <w:szCs w:val="28"/>
          <w:rtl w:val="true"/>
          <w:lang w:bidi="ar-SA"/>
        </w:rPr>
        <w:t>و الظاهر أنّ تخصيص نسبة القول به إلى أكثر علماء الإسلام في مقابلة خلاف أبي حنيفة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حاشية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 الأصحاب حصّة السلطان بالمئونة</w:t>
      </w:r>
      <w:r>
        <w:rPr>
          <w:rFonts w:eastAsia="Amiri" w:cs="Amiri" w:ascii="Amiri" w:hAnsi="Amiri"/>
          <w:color w:val="111111"/>
          <w:sz w:val="28"/>
          <w:szCs w:val="28"/>
          <w:rtl w:val="true"/>
          <w:lang w:bidi="ar-SA"/>
        </w:rPr>
        <w:t>»</w:t>
      </w:r>
      <w:r>
        <w:rPr>
          <w:rStyle w:val="FootnoteAnchor"/>
          <w:rtl w:val="true"/>
        </w:rPr>
        <w:footnoteReference w:id="2189"/>
      </w: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يجب الزكاة بعد إخراج حصّة السلطان بلا خلاف بل بالإجماع عليه كما صرّح في الخلاف</w:t>
      </w:r>
      <w:r>
        <w:rPr>
          <w:rStyle w:val="FootnoteAnchor"/>
          <w:rtl w:val="true"/>
        </w:rPr>
        <w:footnoteReference w:id="2190"/>
      </w:r>
      <w:r>
        <w:rPr>
          <w:rFonts w:ascii="IRNazanin" w:hAnsi="IRNazanin" w:eastAsia="IRNazanin"/>
          <w:color w:val="111111"/>
          <w:sz w:val="28"/>
          <w:sz w:val="28"/>
          <w:szCs w:val="28"/>
          <w:rtl w:val="true"/>
          <w:lang w:bidi="fa-IR"/>
        </w:rPr>
        <w:t>و المعتبر و المنتهى</w:t>
      </w:r>
      <w:r>
        <w:rPr>
          <w:rFonts w:eastAsia="IRNazanin" w:cs="IRNazanin"/>
          <w:color w:val="111111"/>
          <w:sz w:val="28"/>
          <w:szCs w:val="28"/>
          <w:rtl w:val="true"/>
          <w:lang w:bidi="fa-IR"/>
        </w:rPr>
        <w:t>»</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تفصيل المسألة أنّ الأرض الّتي يتعلّق بها حصّة للسلطان إمّا أن تكون من الأراضي الخراجيّة و هي المفتوحة عنوة، أو من غيرها كالأراضي الموقوفة أو المملوكة للغير مع جهالة مالكها الّتي يغصبها السلطان، و على التقديرين ما يأخذه السلطان إمّا أن يكون حصّة من حاصل الأرض و تسمّى بالمقاسمة، أو غيرها من أحد النقدين و يسمّى بالخراج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التقادير إمّا أن يكون السلطان هو الإمام العادل، أو من المخالفين من الامويّة و العبّاسية و غيرهم، أو من سلاطين الشيعة الّذين لم يدّعوا الإمامة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أخصّ هذه الصور القدر المتيقّن من إطلاق الفتاوى و معاقد الإجماعات هو ما كان الأرض خراجيّة و الآخذ هو الإمام أو من المخالفين، و هذا ممّا لا ينبغي التأمّل في اعتبار استثناء ما يأخذه السلطان ثمّ إخراج الزكاة ممّا بقى إن اجتمع فيه شرائط الوجوب الّتي منها النصاب، للأصل، و ظهور الإجماع، و الإجماعات المنقولة المعتضدة بنفي الخلاف، مضافا إلى النصوص المعتبرة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صحيحة محمّد بن مسلم و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الّتي يزارع أهلها ما ترى فيها؟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دفعها إليك السلطان فتاجرته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حرثته،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فعليك فيما أخرج اللّه تعالى منها الّذي قاطعك عليه، و ليس على جميع ما أخرج اللّه منها العشر إنّما العشر عليك فيما يحصل في يدك بعد مقاسمته لك</w:t>
      </w:r>
      <w:r>
        <w:rPr>
          <w:rFonts w:eastAsia="Amiri" w:cs="Amiri" w:ascii="Amiri" w:hAnsi="Amiri"/>
          <w:color w:val="111111"/>
          <w:sz w:val="28"/>
          <w:szCs w:val="28"/>
          <w:rtl w:val="true"/>
          <w:lang w:bidi="ar-SA"/>
        </w:rPr>
        <w:t>»</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يتكارى الأرض من السلطان بالثلث أو النصف، هل عليه في حصّته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صفوان بن يحيى و أحمد بن محمّد بن أبي نصر البزنطي جميعا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له الكوفة و ما وضع عليها من الخراج و ما سار فيها من أهل بيته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طوعا، تركت أرضه في يده و اخذ منه العشر ممّا سقي بالسماء و الأنهار و نصف العشر ممّا كان بالرشاء فيما عمّروه منها، و ما لم يعمّروه منها أخذه الإمام فقبّله</w:t>
      </w:r>
      <w:r>
        <w:rPr>
          <w:rStyle w:val="FootnoteAnchor"/>
          <w:rtl w:val="true"/>
        </w:rPr>
        <w:footnoteReference w:id="2194"/>
      </w:r>
      <w:r>
        <w:rPr>
          <w:rFonts w:ascii="Amiri" w:hAnsi="Amiri" w:eastAsia="Amiri" w:cs="Amiri"/>
          <w:color w:val="111111"/>
          <w:sz w:val="28"/>
          <w:sz w:val="28"/>
          <w:szCs w:val="28"/>
          <w:rtl w:val="true"/>
          <w:lang w:bidi="ar-SA"/>
        </w:rPr>
        <w:t>ممّن يعمّره و كان للمسلمين و على المتقبّلين في حصصهم العشر أو نصف العشر و ليس في أقلّ من خمسة أوسق شيء من الزكاة، و ما اخذ بالسيف فذلك إلى الإمام يقبّله بالّذي يرى كما صنع رسول اللّه بخيبر قبل سوادها و بياضها يعني أرضها و نخلها و الناس يقولون لا يصلح قبالة الأرض و النخل و قد قبّل رسول اللّه خيبر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المتقبّلين سوى قبالة الأرض العشر و نصف في حصصهم</w:t>
      </w:r>
      <w:r>
        <w:rPr>
          <w:rFonts w:eastAsia="Amiri" w:cs="Amiri" w:ascii="Amiri" w:hAnsi="Amiri"/>
          <w:color w:val="111111"/>
          <w:sz w:val="28"/>
          <w:szCs w:val="28"/>
          <w:rtl w:val="true"/>
          <w:lang w:bidi="ar-SA"/>
        </w:rPr>
        <w:t>»</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أحمد بن محمّد بن أبي نصر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لأبي الحسن الرضا عليه السّلام الخراج و ما سار به أهل بيته،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و نصف العشر على من أسلم طوعا تركت أرضه في يده و اخذ منه العشر و نصف العشر فيما عمّر منها، و ما لم يعمّر منها أخذه الوالي فقبله ممّن يعمّره و كان للمسلمين، و ليس فيما كان أقلّ من خمسة أوساق شيء، و ما أخذ بالسيف فذلك إلى الإمام يقبّله بالّذي يرى كما صنع رسول اللّه صلّى اللّه عليه و آله بخيبر قبّل أرضها و نخلها و الناس يقولون لا تصلح قبالة الأرض و النخل إذ البياض أكثر من السواد، و قد قبّل رسول اللّه صلّى اللّه عليه و آله خيبر و عليهم في حصصهم العشر و نصف العشر</w:t>
      </w:r>
      <w:r>
        <w:rPr>
          <w:rFonts w:eastAsia="Amiri" w:cs="Amiri" w:ascii="Amiri" w:hAnsi="Amiri"/>
          <w:color w:val="111111"/>
          <w:sz w:val="28"/>
          <w:szCs w:val="28"/>
          <w:rtl w:val="true"/>
          <w:lang w:bidi="ar-SA"/>
        </w:rPr>
        <w:t>»</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عبارات الأصحاب في التعبير عمّا يأخذه السلطان مختلفة بين من عبّر بالحصّة و عزي إلى الأكثر و من عبّر بالخراج كما عرفت</w:t>
      </w:r>
      <w:r>
        <w:rPr>
          <w:rStyle w:val="FootnoteAnchor"/>
          <w:rtl w:val="true"/>
        </w:rPr>
        <w:footnoteReference w:id="2197"/>
      </w:r>
      <w:r>
        <w:rPr>
          <w:rFonts w:ascii="Amiri" w:hAnsi="Amiri" w:eastAsia="Amiri" w:cs="Amiri"/>
          <w:color w:val="111111"/>
          <w:sz w:val="28"/>
          <w:sz w:val="28"/>
          <w:szCs w:val="28"/>
          <w:rtl w:val="true"/>
          <w:lang w:bidi="ar-SA"/>
        </w:rPr>
        <w:t>عن المعتبر و التذكرة و المنتهى و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الصيمري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الكلّ عبارة عن معنى واحد</w:t>
      </w:r>
      <w:r>
        <w:rPr>
          <w:rFonts w:eastAsia="Amiri" w:cs="Amiri" w:ascii="Amiri" w:hAnsi="Amiri"/>
          <w:color w:val="111111"/>
          <w:sz w:val="28"/>
          <w:szCs w:val="28"/>
          <w:rtl w:val="true"/>
          <w:lang w:bidi="ar-SA"/>
        </w:rPr>
        <w:t>»</w:t>
      </w:r>
      <w:r>
        <w:rPr>
          <w:rStyle w:val="FootnoteAnchor"/>
          <w:rtl w:val="true"/>
        </w:rPr>
        <w:footnoteReference w:id="2198"/>
      </w:r>
      <w:r>
        <w:rPr>
          <w:rFonts w:ascii="Amiri" w:hAnsi="Amiri" w:eastAsia="Amiri" w:cs="Amiri"/>
          <w:color w:val="111111"/>
          <w:sz w:val="28"/>
          <w:sz w:val="28"/>
          <w:szCs w:val="28"/>
          <w:rtl w:val="true"/>
          <w:lang w:bidi="ar-SA"/>
        </w:rPr>
        <w:t>و عن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بحصّة السلطان خراج الأرض أو قسمتها</w:t>
      </w:r>
      <w:r>
        <w:rPr>
          <w:rFonts w:eastAsia="Amiri" w:cs="Amiri" w:ascii="Amiri" w:hAnsi="Amiri"/>
          <w:color w:val="111111"/>
          <w:sz w:val="28"/>
          <w:szCs w:val="28"/>
          <w:rtl w:val="true"/>
          <w:lang w:bidi="ar-SA"/>
        </w:rPr>
        <w:t>»</w:t>
      </w:r>
      <w:r>
        <w:rPr>
          <w:rStyle w:val="FootnoteAnchor"/>
          <w:rtl w:val="true"/>
        </w:rPr>
        <w:footnoteReference w:id="2199"/>
      </w: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بخراج السلطان و حصّته هو ما يأخذه من الأرض الخراجيّة من نقد أو حصّة من الحاصل</w:t>
      </w:r>
      <w:r>
        <w:rPr>
          <w:rFonts w:eastAsia="Amiri" w:cs="Amiri" w:ascii="Amiri" w:hAnsi="Amiri"/>
          <w:color w:val="111111"/>
          <w:sz w:val="28"/>
          <w:szCs w:val="28"/>
          <w:rtl w:val="true"/>
          <w:lang w:bidi="ar-SA"/>
        </w:rPr>
        <w:t>»</w:t>
      </w:r>
      <w:r>
        <w:rPr>
          <w:rStyle w:val="FootnoteAnchor"/>
          <w:rtl w:val="true"/>
        </w:rPr>
        <w:footnoteReference w:id="22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فظاهر فتاويهم كون كلّ من النقد و حصّة من الحاصل المأخوذين على الأرض الخراجيّة بعنوان حقّ الأرض و اجرتها مستثنى بلا خلاف و إشكال لأحد، و يساعد عليه إطلاق النصوص فإنّ قبالة الأرض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سوى قبالة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النوعين،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يقبّله بالّذي يرى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قوله عليه السّلام في الخبر الأوّل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قاطعك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يصرفه عن الإطلاق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مقاسمته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خصوص حصّة من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التذكرة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ضرب الإمام على الأرض الخراج من غير حصّة فالأقرب وجوب الزكاة في الجميع لأنّه كالدين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ينبغي التأمّل في عموم الحكم من هذه الجهة فتوى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ينبغي أن يعلم أنّ ما يأخذه السلطان إن كان حصّة من الحاصل يستثنى بتمامه، و إن كان نقدا فهو إنّما يستثنى بتمامه لو كان الزرع مقصورا على الجنس الزكوي، و لعلّ إطلاق كلام الأصحاب بل النصوص مصروف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يكن مقصورا عليه بأن يكون أعمّ منه و من الأجناس الغير الزكويّة من الحبوبات و الفواكه و غيرها فاستثناؤه بتمامه غير جيّد، لأنّه إنّما يؤخذ اجرة للأرض و هي تتعلّق بالجميع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فيه حينئذ هو التوزيع على الجميع، فيستثنى من الجنس الزكوي ما هو بجباية و بقدر حصّته من الاجرة بعد التوزيع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يبقى الكلام فيما يأخذه سلاطين الشيعة على الأراضي من الخراج و المقاسمة و إن لم تكن الأراضي خراجيّة ممّا غصبوها من الأراضي الموقوفة، أو المملوكة للغير مع جهالة مالكيها و ما يؤخذ على الأراضي الغير الخراجيّة و إن كان الآخذ إمام العدل أو الجور من المخالفين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نقف من الأصحاب على من تعرّض لهذه الصور صريحا عدى صاحب الحدائق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أنّ المراد بخراج السلطان و حصّته هو ما يأخذه من الأرض الخراجيّة من نقد أو حصّة من الحاصل و إن سمّي الأخير مقاسمة، و حينئذ فيكون هذا الحكم مخصوصا بما إذا كانت الأرض خراجيّة و هي المفتوحة عنوة و الآخذ به الإمام إمام عدل كان أو إمام جور كخلفاء الامويّة و العبّاسية لعنهم اللّه و من يحذو حذوهم إلى يومنا هذا، كما هو الظاهر من الأخبار و كلام أكثر الأصحاب و إن خالف فيه شذوذ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الكلام فيما لو لم تكن الأرض خراجيّة أو كانت و كان الآخذ ليس ممّن يدّعي الإمامة كسلاطين الشيعة في بلاد العجم فهل يكون ما يأخذونه على الأراضي و الحال هذه مستثنى و يكون على الجميع كحصّة السلطان المتقدّمة، أو يختصّ بالمالك‌؟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أنّ هذا ليس من الخراج المستثنى لما عرفت من شروطه، و دلالة ظواهر الأخبار على وجوب العشر و نصف العشر على ما أخرجت الأرض مطلقا خرج منه السلطان بالدليل المتقدّم و بقى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هذا ظلم لحقّ المالك في هذه الزراعة فيصير من قبيل السرقة و نحوها من أسباب التلف من غير تفريط فلا تكون مضمونة عليه بل توزّع على الجميع و يكون إخراج النصاب بعده إن وقع ذلك قبل استقرار الوجوب و إلاّ فبالنسبة إلى المالك و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ظاهر رواية سعيد الكندري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آجرت قوما أرضا فزاد السلطان عليهم،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فضل ما بينهما،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أظلمهم و لم أزد عليهم،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زادوا على أرضك</w:t>
      </w:r>
      <w:r>
        <w:rPr>
          <w:rFonts w:eastAsia="Amiri" w:cs="Amiri" w:ascii="Amiri" w:hAnsi="Amiri"/>
          <w:color w:val="111111"/>
          <w:sz w:val="28"/>
          <w:szCs w:val="28"/>
          <w:rtl w:val="true"/>
          <w:lang w:bidi="ar-SA"/>
        </w:rPr>
        <w:t>»</w:t>
      </w:r>
      <w:r>
        <w:rPr>
          <w:rStyle w:val="FootnoteAnchor"/>
          <w:rtl w:val="true"/>
        </w:rPr>
        <w:footnoteReference w:id="2201"/>
      </w:r>
      <w:r>
        <w:rPr>
          <w:rFonts w:ascii="Amiri" w:hAnsi="Amiri" w:eastAsia="Amiri" w:cs="Amiri"/>
          <w:color w:val="111111"/>
          <w:sz w:val="28"/>
          <w:sz w:val="28"/>
          <w:szCs w:val="28"/>
          <w:rtl w:val="true"/>
          <w:lang w:bidi="ar-SA"/>
        </w:rPr>
        <w:t>فإنّه يستفاد من هذا الخبر أنّه لا ضمان على من جبره الحاكم و أخذ مال الغير من يده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 ذلك ما صرّح به الشهيد الثاني رحمه اللّه في المسالك في </w:t>
      </w:r>
      <w:bookmarkStart w:id="466" w:name="pg16181_154733"/>
    </w:p>
    <w:p>
      <w:pPr>
        <w:pStyle w:val="BookText"/>
        <w:rPr/>
      </w:pPr>
      <w:bookmarkEnd w:id="466"/>
      <w:r>
        <w:rPr>
          <w:rFonts w:ascii="Amiri" w:hAnsi="Amiri" w:eastAsia="Amiri" w:cs="Amiri"/>
          <w:color w:val="111111"/>
          <w:sz w:val="28"/>
          <w:sz w:val="28"/>
          <w:szCs w:val="28"/>
          <w:rtl w:val="true"/>
          <w:lang w:bidi="ar-SA"/>
        </w:rPr>
        <w:t>صورة ما إذا أخذ الجائر بزيادة على الخراج المعتاد ظلما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يستثنى الزائد إلاّ أن يأخذه قهرا بحيث لا يتمكّن المالك من منعه سرّا و جهرا</w:t>
      </w:r>
      <w:r>
        <w:rPr>
          <w:rStyle w:val="FootnoteAnchor"/>
          <w:rtl w:val="true"/>
        </w:rPr>
        <w:footnoteReference w:id="2202"/>
      </w:r>
      <w:r>
        <w:rPr>
          <w:rFonts w:ascii="Amiri" w:hAnsi="Amiri" w:eastAsia="Amiri" w:cs="Amiri"/>
          <w:color w:val="111111"/>
          <w:sz w:val="28"/>
          <w:sz w:val="28"/>
          <w:szCs w:val="28"/>
          <w:rtl w:val="true"/>
          <w:lang w:bidi="ar-SA"/>
        </w:rPr>
        <w:t>فلا يضمن حصّة الفقراء من الزائد</w:t>
      </w:r>
      <w:r>
        <w:rPr>
          <w:rFonts w:eastAsia="Amiri" w:cs="Amiri" w:ascii="Amiri" w:hAnsi="Amiri"/>
          <w:color w:val="111111"/>
          <w:sz w:val="28"/>
          <w:szCs w:val="28"/>
          <w:rtl w:val="true"/>
          <w:lang w:bidi="ar-SA"/>
        </w:rPr>
        <w:t>»</w:t>
      </w:r>
      <w:r>
        <w:rPr>
          <w:rStyle w:val="FootnoteAnchor"/>
          <w:rtl w:val="true"/>
        </w:rPr>
        <w:footnoteReference w:id="22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المناهل احتمال إلحاق السلاطين الّذين أشار إليهم باولئك السلاطين و عموم الحكم لكلّ من يسمّى سلطانا حقيقة و لكلّ أرض و لو لم تكن خراجيّة في غاية القوّة، للأصل، و إطلاق النصوص، و معظم الفتاوى المتضمّنة جملة منها لدعوى الإجماع مع عدم اشتهار الفرق و عدم وروده في نصّ‌، و فحوى ما دلّ على استثناء حصّة السلاطين العبّاسيّة، و لكن مراعاة الاحتياط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 ما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يأخذه منه إمّا حصّة من الحاصل أو شيء آخر، فعلى الأوّل فلا شكّ في استثناء حصّته مطلقا مخالفا كان أو مؤالفا و إن لم يكن ما أخذه ملكا شرعيّا له مع كون المالك بحيث إن لم يكن ما يأخذه ملكا شرعيّا له لم يتمكّن المالك من ممانعة السلطان أو إخفائه كلاّ أو بعضا منه لتعلّق الزكاة بالعين و إن تمكّن و فرّط فلا يستثنى شيء، و إن كان ما يأخذه غير حصّة الحاصل فلا يستثنى مطلقا لعدم دليل عليه أصلا و إن أخذه لأجل الزراعة إذ لا دليل على وضع جميع المؤن</w:t>
      </w:r>
      <w:r>
        <w:rPr>
          <w:rFonts w:eastAsia="Amiri" w:cs="Amiri" w:ascii="Amiri" w:hAnsi="Amiri"/>
          <w:color w:val="111111"/>
          <w:sz w:val="28"/>
          <w:szCs w:val="28"/>
          <w:rtl w:val="true"/>
          <w:lang w:bidi="ar-SA"/>
        </w:rPr>
        <w:t>»</w:t>
      </w:r>
      <w:r>
        <w:rPr>
          <w:rStyle w:val="FootnoteAnchor"/>
          <w:rtl w:val="true"/>
        </w:rPr>
        <w:footnoteReference w:id="220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قوّاه في المناهل تمسّكا بالأصل و إطلاق معظم الفتاوى و معاقد الإجماع و يظهر اختياره من شيخنا في الجواهر</w:t>
      </w:r>
      <w:r>
        <w:rPr>
          <w:rStyle w:val="FootnoteAnchor"/>
          <w:rtl w:val="true"/>
        </w:rPr>
        <w:footnoteReference w:id="2205"/>
      </w:r>
      <w:r>
        <w:rPr>
          <w:rFonts w:ascii="Amiri" w:hAnsi="Amiri" w:eastAsia="Amiri" w:cs="Amiri"/>
          <w:color w:val="111111"/>
          <w:sz w:val="28"/>
          <w:sz w:val="28"/>
          <w:szCs w:val="28"/>
          <w:rtl w:val="true"/>
          <w:lang w:bidi="ar-SA"/>
        </w:rPr>
        <w:t>لا يخلو عن قوّة، خصوصا فيما يؤخذ على الأراضي الخراجيّة لا يخلو عن قوّة، و لكنّ الاحتياط أيضا كما ذكره سيّما في الأراضي المغصوبة موقوفة كانت أو مملوكة مع جهالة مالكها</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2586749_1280447820"/>
      <w:bookmarkStart w:id="468" w:name="_Toc173"/>
      <w:bookmarkEnd w:id="467"/>
      <w:r>
        <w:rPr>
          <w:rtl w:val="true"/>
        </w:rPr>
        <w:t>فروع</w:t>
      </w:r>
      <w:r>
        <w:rPr>
          <w:rtl w:val="true"/>
        </w:rPr>
        <w:t>:</w:t>
      </w:r>
      <w:bookmarkEnd w:id="468"/>
    </w:p>
    <w:p>
      <w:pPr>
        <w:pStyle w:val="Heading6"/>
        <w:numPr>
          <w:ilvl w:val="5"/>
          <w:numId w:val="1"/>
        </w:numPr>
        <w:rPr/>
      </w:pPr>
      <w:bookmarkStart w:id="469" w:name="__RefHeading___Toc2586751_1280447820"/>
      <w:bookmarkStart w:id="470" w:name="_Toc174"/>
      <w:bookmarkEnd w:id="469"/>
      <w:r>
        <w:rPr>
          <w:rtl w:val="true"/>
        </w:rPr>
        <w:t>الأوّل</w:t>
      </w:r>
      <w:r>
        <w:rPr>
          <w:rtl w:val="true"/>
        </w:rPr>
        <w:t>: [</w:t>
      </w:r>
      <w:r>
        <w:rPr>
          <w:rtl w:val="true"/>
        </w:rPr>
        <w:t>ما يأخذه الجائرون زيادة على الضريبة</w:t>
      </w:r>
      <w:r>
        <w:rPr>
          <w:rtl w:val="true"/>
        </w:rPr>
        <w:t>]</w:t>
      </w:r>
      <w:bookmarkEnd w:id="47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إذا أخذ الجائر ما يزيد على ما يصلح اجرة للأرض عادة أو على الخراج المعتبر بحسب العادة فلا ينبغي التأمّل في أنّ الزائد لا يلحق بالحصّة المعتبر استثناؤها </w:t>
      </w:r>
      <w:bookmarkStart w:id="471" w:name="pg16181_154734"/>
    </w:p>
    <w:p>
      <w:pPr>
        <w:pStyle w:val="BookText"/>
        <w:rPr/>
      </w:pPr>
      <w:bookmarkEnd w:id="471"/>
      <w:r>
        <w:rPr>
          <w:rFonts w:ascii="Amiri" w:hAnsi="Amiri" w:eastAsia="Amiri" w:cs="Amiri"/>
          <w:color w:val="111111"/>
          <w:sz w:val="28"/>
          <w:sz w:val="28"/>
          <w:szCs w:val="28"/>
          <w:rtl w:val="true"/>
          <w:lang w:bidi="ar-SA"/>
        </w:rPr>
        <w:t>قبل النصاب، لعدم اندراجه في إطلاق النصّ و الفتوى و معقد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إخراجه من النصاب فيكون مشتركا بين المالك و الفقراء فلا يضمن المالك حصّة الفقراء من الزائد أو لا؟ فلا يرد نقص من جهته على الفقراء فيضمن المالك حصّتهم منه، فيه تفصيل بين أن يأخذه السلطان قهرا عليه بحيث لا يتمكّن من منعه سرّا و جهرا فلا يضمن حصّة الفقراء منه و بين ما لو تمكّن من منعه و فرّط فيضمن كما صرّح به في المسالك</w:t>
      </w:r>
      <w:r>
        <w:rPr>
          <w:rStyle w:val="FootnoteAnchor"/>
          <w:rtl w:val="true"/>
        </w:rPr>
        <w:footnoteReference w:id="2206"/>
      </w:r>
      <w:r>
        <w:rPr>
          <w:rFonts w:ascii="Amiri" w:hAnsi="Amiri" w:eastAsia="Amiri" w:cs="Amiri"/>
          <w:color w:val="111111"/>
          <w:sz w:val="28"/>
          <w:sz w:val="28"/>
          <w:szCs w:val="28"/>
          <w:rtl w:val="true"/>
          <w:lang w:bidi="ar-SA"/>
        </w:rPr>
        <w:t>و حاشية الشرائع</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2" w:name="__RefHeading___Toc2586753_1280447820"/>
      <w:bookmarkStart w:id="473" w:name="_Toc175"/>
      <w:bookmarkEnd w:id="472"/>
      <w:r>
        <w:rPr>
          <w:rtl w:val="true"/>
        </w:rPr>
        <w:t>الثاني</w:t>
      </w:r>
      <w:r>
        <w:rPr>
          <w:rtl w:val="true"/>
        </w:rPr>
        <w:t xml:space="preserve">: </w:t>
      </w:r>
      <w:r>
        <w:rPr>
          <w:rtl w:val="true"/>
        </w:rPr>
        <w:t>لو ضرب السلطان الجائر على ملك المالك المختصّ به حصّة من حاصله</w:t>
      </w:r>
      <w:bookmarkEnd w:id="473"/>
    </w:p>
    <w:p>
      <w:pPr>
        <w:pStyle w:val="BookText"/>
        <w:rPr/>
      </w:pPr>
      <w:r>
        <w:rPr>
          <w:rFonts w:ascii="Amiri" w:hAnsi="Amiri" w:eastAsia="Amiri" w:cs="Amiri"/>
          <w:color w:val="111111"/>
          <w:sz w:val="28"/>
          <w:sz w:val="28"/>
          <w:szCs w:val="28"/>
          <w:rtl w:val="true"/>
          <w:lang w:bidi="ar-SA"/>
        </w:rPr>
        <w:t>فأخذها ظلما فالظاهر عدم اندراجها في حصّته المأخوذة من باب المقاسمة المحكوم باستثنائها فتوى و نصّا، و هل تكون على المالك و الفقراء جميعا فلا ضمان على المالك في حصّة الفقراء، أو تكون على المالك فقط فيضمن للفقراء حصّتهم منها؟ فيه التفصيل المتقدّم بين تمكّن المنع و عدمه</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2586755_1280447820"/>
      <w:bookmarkStart w:id="475" w:name="_Toc176"/>
      <w:bookmarkEnd w:id="474"/>
      <w:r>
        <w:rPr>
          <w:rtl w:val="true"/>
        </w:rPr>
        <w:t>[</w:t>
      </w:r>
      <w:r>
        <w:rPr>
          <w:rtl w:val="true"/>
        </w:rPr>
        <w:t>الثالث</w:t>
      </w:r>
      <w:r>
        <w:rPr>
          <w:rtl w:val="true"/>
        </w:rPr>
        <w:t xml:space="preserve">: </w:t>
      </w:r>
      <w:r>
        <w:rPr>
          <w:rtl w:val="true"/>
        </w:rPr>
        <w:t>اقسام المؤنة</w:t>
      </w:r>
      <w:r>
        <w:rPr>
          <w:rtl w:val="true"/>
        </w:rPr>
        <w:t>]</w:t>
      </w:r>
      <w:bookmarkEnd w:id="47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المئونة على الزرع منها ما يختصّ بالأجناس الزكويّة، و منها ما يختصّ بغيرها من المزروعات و المحصولات، و منها ما هو مشترك بينهما، و الأوّلان واضحا الحكم من حيث استثناء الأوّل و عدم استثناء الثاني، و الأخير يوزّع بينهما فما يتعلّق منه بالجنس الزكوي يستثنى دون غيره، و هو واضح</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2586757_1280447820"/>
      <w:bookmarkStart w:id="477" w:name="_Toc177"/>
      <w:bookmarkEnd w:id="476"/>
      <w:r>
        <w:rPr>
          <w:rtl w:val="true"/>
        </w:rPr>
        <w:t>الرابع</w:t>
      </w:r>
      <w:r>
        <w:rPr>
          <w:rtl w:val="true"/>
        </w:rPr>
        <w:t xml:space="preserve">: </w:t>
      </w:r>
      <w:r>
        <w:rPr>
          <w:rtl w:val="true"/>
        </w:rPr>
        <w:t>لا يلحق بالمؤن المعتبر استثناؤها، ثمن الأرض المبتاعة و مئونة حفر القناة</w:t>
      </w:r>
      <w:bookmarkEnd w:id="47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حفر الأنهار الكبار و بناء القرية و بيوتها و حصنها و غيرها ممّا لم يكن لأجل الغلّة، و ضابطه كلّ مئونة خرجت من المالك و له مقابل سوى الغلّة قبالا للمؤن الّتي يغرمها لأجل الغلّة و لا مقابل لها إلاّ الغلّة، و في معنى هذا الضابط للمؤن المعتبر استثناؤها، ما تقدّم عن المسالك من التعبير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يغرمه المالك للغلّة ممّا يتكرّر كلّ سنة</w:t>
      </w:r>
      <w:r>
        <w:rPr>
          <w:rFonts w:eastAsia="Amiri" w:cs="Amiri" w:ascii="Amiri" w:hAnsi="Amiri"/>
          <w:color w:val="111111"/>
          <w:sz w:val="28"/>
          <w:szCs w:val="28"/>
          <w:rtl w:val="true"/>
          <w:lang w:bidi="ar-SA"/>
        </w:rPr>
        <w:t>»</w:t>
      </w:r>
      <w:r>
        <w:rPr>
          <w:rStyle w:val="FootnoteAnchor"/>
          <w:rtl w:val="true"/>
        </w:rPr>
        <w:footnoteReference w:id="2208"/>
      </w:r>
      <w:r>
        <w:rPr>
          <w:rFonts w:ascii="Amiri" w:hAnsi="Amiri" w:eastAsia="Amiri" w:cs="Amiri"/>
          <w:color w:val="111111"/>
          <w:sz w:val="28"/>
          <w:sz w:val="28"/>
          <w:szCs w:val="28"/>
          <w:rtl w:val="true"/>
          <w:lang w:bidi="ar-SA"/>
        </w:rPr>
        <w:t xml:space="preserve">فإنّ اعتبار التكرّر لإخراج ما لا يتكرّر و هو الّذي له مقابل سوى الغلّة، و يندرج فيه ثمن العوامل و الآلات اللازمة للحرث من الأخشاب و غيرها، فإنّ العوامل و الآلات </w:t>
      </w:r>
      <w:bookmarkStart w:id="478" w:name="pg16181_154735"/>
    </w:p>
    <w:p>
      <w:pPr>
        <w:pStyle w:val="BookText"/>
        <w:rPr/>
      </w:pPr>
      <w:bookmarkEnd w:id="478"/>
      <w:r>
        <w:rPr>
          <w:rFonts w:ascii="Amiri" w:hAnsi="Amiri" w:eastAsia="Amiri" w:cs="Amiri"/>
          <w:color w:val="111111"/>
          <w:sz w:val="28"/>
          <w:sz w:val="28"/>
          <w:szCs w:val="28"/>
          <w:rtl w:val="true"/>
          <w:lang w:bidi="ar-SA"/>
        </w:rPr>
        <w:t>المبتاعة مقابلة لأثمانها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 العلاّمة في المنتهى</w:t>
      </w:r>
      <w:r>
        <w:rPr>
          <w:rStyle w:val="FootnoteAnchor"/>
          <w:rtl w:val="true"/>
        </w:rPr>
        <w:footnoteReference w:id="2209"/>
      </w:r>
      <w:r>
        <w:rPr>
          <w:rFonts w:ascii="Amiri" w:hAnsi="Amiri" w:eastAsia="Amiri" w:cs="Amiri"/>
          <w:color w:val="111111"/>
          <w:sz w:val="28"/>
          <w:sz w:val="28"/>
          <w:szCs w:val="28"/>
          <w:rtl w:val="true"/>
          <w:lang w:bidi="ar-SA"/>
        </w:rPr>
        <w:t>أيضا إشارة إلى اعتبار التكرّر في كلّ سنة في المؤن المستثناة،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2586759_1280447820"/>
      <w:bookmarkStart w:id="480" w:name="_Toc178"/>
      <w:bookmarkEnd w:id="479"/>
      <w:r>
        <w:rPr>
          <w:rtl w:val="true"/>
        </w:rPr>
        <w:t>المسألة الرابعة</w:t>
      </w:r>
      <w:r>
        <w:rPr>
          <w:rtl w:val="true"/>
        </w:rPr>
        <w:t>: [</w:t>
      </w:r>
      <w:r>
        <w:rPr>
          <w:rtl w:val="true"/>
        </w:rPr>
        <w:t>في القدر المخرج من الزكاة و الضابط فيه</w:t>
      </w:r>
      <w:r>
        <w:rPr>
          <w:rtl w:val="true"/>
        </w:rPr>
        <w:t>]</w:t>
      </w:r>
      <w:bookmarkEnd w:id="480"/>
    </w:p>
    <w:p>
      <w:pPr>
        <w:pStyle w:val="Heading6"/>
        <w:numPr>
          <w:ilvl w:val="5"/>
          <w:numId w:val="1"/>
        </w:numPr>
        <w:rPr/>
      </w:pPr>
      <w:bookmarkStart w:id="481" w:name="__RefHeading___Toc2586761_1280447820"/>
      <w:bookmarkStart w:id="482" w:name="_Toc179"/>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في بيان ما يجب إخراجه من الزكاة، و هو إمّا العشر أو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يسقى سيحا أو بعلا أو عذيا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يسقى بالرشاء و الدوالي و النواضح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الجوهري</w:t>
      </w:r>
      <w:r>
        <w:rPr>
          <w:rStyle w:val="FootnoteAnchor"/>
          <w:rtl w:val="true"/>
        </w:rPr>
        <w:footnoteReference w:id="2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على وجه الأرض أو في الأنهار كما هو قضيّة إطلاقه، و بالبعل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يشرب من النخل بعروقه من تحت الأرض القريبة من الماء كما عنه أيضا</w:t>
      </w:r>
      <w:r>
        <w:rPr>
          <w:rStyle w:val="FootnoteAnchor"/>
          <w:rtl w:val="true"/>
        </w:rPr>
        <w:footnoteReference w:id="2211"/>
      </w:r>
      <w:r>
        <w:rPr>
          <w:rFonts w:ascii="Amiri" w:hAnsi="Amiri" w:eastAsia="Amiri" w:cs="Amiri"/>
          <w:color w:val="111111"/>
          <w:sz w:val="28"/>
          <w:sz w:val="28"/>
          <w:szCs w:val="28"/>
          <w:rtl w:val="true"/>
          <w:lang w:bidi="ar-SA"/>
        </w:rPr>
        <w:t>و بالعذي بكسر العين المهملة و 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لا يسقيه إلاّ ماء المطر كما عنه أيضا</w:t>
      </w:r>
      <w:r>
        <w:rPr>
          <w:rStyle w:val="FootnoteAnchor"/>
          <w:rtl w:val="true"/>
        </w:rPr>
        <w:footnoteReference w:id="2212"/>
      </w:r>
      <w:r>
        <w:rPr>
          <w:rFonts w:ascii="Amiri" w:hAnsi="Amiri" w:eastAsia="Amiri" w:cs="Amiri"/>
          <w:color w:val="111111"/>
          <w:sz w:val="28"/>
          <w:sz w:val="28"/>
          <w:szCs w:val="28"/>
          <w:rtl w:val="true"/>
          <w:lang w:bidi="ar-SA"/>
        </w:rPr>
        <w:t>و بالرشاء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الّذي يستقى به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الدالية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و الناعورة بمعنى و هي الّتي يديرها البقرة</w:t>
      </w:r>
      <w:r>
        <w:rPr>
          <w:rStyle w:val="FootnoteAnchor"/>
          <w:rtl w:val="true"/>
        </w:rPr>
        <w:footnoteReference w:id="2213"/>
      </w:r>
      <w:r>
        <w:rPr>
          <w:rFonts w:ascii="Amiri" w:hAnsi="Amiri" w:eastAsia="Amiri" w:cs="Amiri"/>
          <w:color w:val="111111"/>
          <w:sz w:val="28"/>
          <w:sz w:val="28"/>
          <w:szCs w:val="28"/>
          <w:rtl w:val="true"/>
          <w:lang w:bidi="ar-SA"/>
        </w:rPr>
        <w:t>و عن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المنجنون، و هي الدولاب الّتي يديرها البقرة</w:t>
      </w:r>
      <w:r>
        <w:rPr>
          <w:rStyle w:val="FootnoteAnchor"/>
          <w:rtl w:val="true"/>
        </w:rPr>
        <w:footnoteReference w:id="2214"/>
      </w:r>
      <w:r>
        <w:rPr>
          <w:rFonts w:ascii="Amiri" w:hAnsi="Amiri" w:eastAsia="Amiri" w:cs="Amiri"/>
          <w:color w:val="111111"/>
          <w:sz w:val="28"/>
          <w:sz w:val="28"/>
          <w:szCs w:val="28"/>
          <w:rtl w:val="true"/>
          <w:lang w:bidi="ar-SA"/>
        </w:rPr>
        <w:t>و الناعورة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يديرها الماء</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الناضح، و هو البعير الّذي يستقى عليه، و في بعض الأخبار كما تعرف التعبير بالسواني مكان النواضح و هو جمع السانية، عن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السانية هي الناضحة و هي الناقة الّتي يستقى عليها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في المدارك للقسم الأوّل الّذي فيه العشر ضابطا كلّيا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يحتاج في سقيه إلى آلة من دولاب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 بعد ذكر جملة من روايات المسألة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المستفاد من هذه الروايات أنّ الفارق بين وجوب العشر و نصفه احتياج ترقية الماء إلى الأرض إلى آلة من دولاب و نحوه، فمتى توقّفت ترقية الماء إلى الأرض على ذلك كان الواجب فيها نصف العشر و إلاّ فالعشر، و لا عبرة بغير ذلك من الأعمال </w:t>
      </w:r>
    </w:p>
    <w:p>
      <w:pPr>
        <w:pStyle w:val="BookText"/>
        <w:rPr/>
      </w:pPr>
      <w:r>
        <w:rPr>
          <w:rFonts w:ascii="Amiri" w:hAnsi="Amiri" w:eastAsia="Amiri" w:cs="Amiri"/>
          <w:color w:val="111111"/>
          <w:sz w:val="28"/>
          <w:sz w:val="28"/>
          <w:szCs w:val="28"/>
          <w:rtl w:val="true"/>
          <w:lang w:bidi="ar-SA"/>
        </w:rPr>
        <w:t>كحفر الأنهار و السواقي و إن كثرت مئونتها لعدم اعتبار الشارع إيّاه</w:t>
      </w:r>
      <w:r>
        <w:rPr>
          <w:rFonts w:eastAsia="Amiri" w:cs="Amiri" w:ascii="Amiri" w:hAnsi="Amiri"/>
          <w:color w:val="111111"/>
          <w:sz w:val="28"/>
          <w:szCs w:val="28"/>
          <w:rtl w:val="true"/>
          <w:lang w:bidi="ar-SA"/>
        </w:rPr>
        <w:t>»</w:t>
      </w:r>
      <w:r>
        <w:rPr>
          <w:rStyle w:val="FootnoteAnchor"/>
          <w:rtl w:val="true"/>
        </w:rPr>
        <w:footnoteReference w:id="2216"/>
      </w:r>
      <w:r>
        <w:rPr>
          <w:rFonts w:ascii="Amiri" w:hAnsi="Amiri" w:eastAsia="Amiri" w:cs="Amiri"/>
          <w:color w:val="111111"/>
          <w:sz w:val="28"/>
          <w:sz w:val="28"/>
          <w:szCs w:val="28"/>
          <w:rtl w:val="true"/>
          <w:lang w:bidi="ar-SA"/>
        </w:rPr>
        <w:t>و نحوه في الذخيرة</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الكفاية و قد أشار إلى الضابط المذكور بالبيان الثاني في المعتبر</w:t>
      </w:r>
      <w:r>
        <w:rPr>
          <w:rStyle w:val="FootnoteAnchor"/>
          <w:rtl w:val="true"/>
        </w:rPr>
        <w:footnoteReference w:id="2218"/>
      </w:r>
      <w:r>
        <w:rPr>
          <w:rFonts w:ascii="Amiri" w:hAnsi="Amiri" w:eastAsia="Amiri" w:cs="Amiri"/>
          <w:color w:val="111111"/>
          <w:sz w:val="28"/>
          <w:sz w:val="28"/>
          <w:szCs w:val="28"/>
          <w:rtl w:val="true"/>
          <w:lang w:bidi="ar-SA"/>
        </w:rPr>
        <w:t>قائلا على ما 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ضابط نصف العشر إنّ ما يسقى بآلة يرفع الماء إليه كان فيه نصف العشر كالدالية و الدولاب</w:t>
      </w:r>
      <w:r>
        <w:rPr>
          <w:rFonts w:eastAsia="Amiri" w:cs="Amiri" w:ascii="Amiri" w:hAnsi="Amiri"/>
          <w:color w:val="111111"/>
          <w:sz w:val="28"/>
          <w:szCs w:val="28"/>
          <w:rtl w:val="true"/>
          <w:lang w:bidi="ar-SA"/>
        </w:rPr>
        <w:t>»</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عن منتهى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إناطة العشر و نصف العشر بافتقار سقيه إلى مئونة و عدم افتقاره إليها</w:t>
      </w:r>
      <w:r>
        <w:rPr>
          <w:rFonts w:eastAsia="Amiri" w:cs="Amiri" w:ascii="Amiri" w:hAnsi="Amiri"/>
          <w:color w:val="111111"/>
          <w:sz w:val="28"/>
          <w:szCs w:val="28"/>
          <w:rtl w:val="true"/>
          <w:lang w:bidi="ar-SA"/>
        </w:rPr>
        <w:t>»</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أعمّ ممّا عرفت عن المدارك، و استفادته من الأخبار مشكل، بل الأظهر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العشر و نصف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خلاف فيه بين العلماء كما عن التذكرة</w:t>
      </w:r>
      <w:r>
        <w:rPr>
          <w:rStyle w:val="FootnoteAnchor"/>
          <w:rtl w:val="true"/>
        </w:rPr>
        <w:footnoteReference w:id="2221"/>
      </w:r>
      <w:r>
        <w:rPr>
          <w:rFonts w:ascii="Amiri" w:hAnsi="Amiri" w:eastAsia="Amiri" w:cs="Amiri"/>
          <w:color w:val="111111"/>
          <w:sz w:val="28"/>
          <w:sz w:val="28"/>
          <w:szCs w:val="28"/>
          <w:rtl w:val="true"/>
          <w:lang w:bidi="ar-SA"/>
        </w:rPr>
        <w:t>و إنه ممّا اتّفق عليه علماء الإسلام كما عن المعتبر و المنتهى</w:t>
      </w:r>
      <w:r>
        <w:rPr>
          <w:rStyle w:val="FootnoteAnchor"/>
          <w:rtl w:val="true"/>
        </w:rPr>
        <w:footnoteReference w:id="2222"/>
      </w:r>
      <w:r>
        <w:rPr>
          <w:rFonts w:ascii="Amiri" w:hAnsi="Amiri" w:eastAsia="Amiri" w:cs="Amiri"/>
          <w:color w:val="111111"/>
          <w:sz w:val="28"/>
          <w:sz w:val="28"/>
          <w:szCs w:val="28"/>
          <w:rtl w:val="true"/>
          <w:lang w:bidi="ar-SA"/>
        </w:rPr>
        <w:t>و في الرياض الإجماع عليه</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فيه الأخبار المستفيضة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زرارة و بكير جميعا عن أبي جعفر عليه السّلام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الزكاة ما كان يعالج بالرشا و الدوالي و النضح ففيه نصف العشر، و إن كان يسقى من غير علاج بنهر أو عين أو بعلا أو سماء ففيه العشر كاملا</w:t>
      </w:r>
      <w:r>
        <w:rPr>
          <w:rFonts w:eastAsia="Amiri" w:cs="Amiri" w:ascii="Amiri" w:hAnsi="Amiri"/>
          <w:color w:val="111111"/>
          <w:sz w:val="28"/>
          <w:szCs w:val="28"/>
          <w:rtl w:val="true"/>
          <w:lang w:bidi="ar-SA"/>
        </w:rPr>
        <w:t>»</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الصدقة فيما سقت السماء و الأنهار إذا كانت سيحا أو كان بعلا العشر، و ما سقت السواني و الدوالي أو سقي بالغرب فنصف العشر</w:t>
      </w:r>
      <w:r>
        <w:rPr>
          <w:rFonts w:eastAsia="Amiri" w:cs="Amiri" w:ascii="Amiri" w:hAnsi="Amiri"/>
          <w:color w:val="111111"/>
          <w:sz w:val="28"/>
          <w:szCs w:val="28"/>
          <w:rtl w:val="true"/>
          <w:lang w:bidi="ar-SA"/>
        </w:rPr>
        <w:t>»</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زرارة عن أبي جعفر عليه السّلام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أنبتت الأرض من الحنطة و الشعير </w:t>
      </w:r>
    </w:p>
    <w:p>
      <w:pPr>
        <w:pStyle w:val="BookText"/>
        <w:rPr/>
      </w:pPr>
      <w:r>
        <w:rPr>
          <w:rFonts w:ascii="Amiri" w:hAnsi="Amiri" w:eastAsia="Amiri" w:cs="Amiri"/>
          <w:color w:val="111111"/>
          <w:sz w:val="28"/>
          <w:sz w:val="28"/>
          <w:szCs w:val="28"/>
          <w:rtl w:val="true"/>
          <w:lang w:bidi="ar-SA"/>
        </w:rPr>
        <w:t>و التمر و الزبيب ما بلغ خمسة أوسق و الوسق ستّون صاعا فذلك ثلاثمائة صاع ففيه العشر، و ما كان منه يسقى بالرشا و الدوالي و النواضح ففيه نصف العشر، و ما سقت السماء أو السيح أو كان بعلا ففيه العشر تامّا</w:t>
      </w:r>
      <w:r>
        <w:rPr>
          <w:rFonts w:eastAsia="Amiri" w:cs="Amiri" w:ascii="Amiri" w:hAnsi="Amiri"/>
          <w:color w:val="111111"/>
          <w:sz w:val="28"/>
          <w:szCs w:val="28"/>
          <w:rtl w:val="true"/>
          <w:lang w:bidi="ar-SA"/>
        </w:rPr>
        <w:t>»</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زرارة و بكير عن أبي جعفر عليه السّلام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يعالج بالرشا و النضح و الدلاء ففيه نصف العشر، و إن كان يسقى بغير علاج بنهر أو غيره أو سماء ففيه العشر تامّا</w:t>
      </w:r>
      <w:r>
        <w:rPr>
          <w:rFonts w:eastAsia="Amiri" w:cs="Amiri" w:ascii="Amiri" w:hAnsi="Amiri"/>
          <w:color w:val="111111"/>
          <w:sz w:val="28"/>
          <w:szCs w:val="28"/>
          <w:rtl w:val="true"/>
          <w:lang w:bidi="ar-SA"/>
        </w:rPr>
        <w:t>»</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صفوان بن يحيى و أحمد بن محمّد بن أبي نصر جميعا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له الكوفة و ما وضع عليها من الخراج و ما سار فيها أهل بيته،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طوعا تركت أرضه في يده و اخذ منه العشر ممّا سقت السماء و الأنهار، و نصف العشر ممّا كان بالرشاء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مرسلة عبد اللّه بن بكير عن بعض أصحابنا عن أحدهما عليهما السّلام في حديث زكاة الحنطة و الشعير و التمر و الزبيب،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الزكاة فيها العشر فيما سقت السماء أو كان سيحا، و نصف العشر فيما سقي بالغرب و النواضح</w:t>
      </w:r>
      <w:r>
        <w:rPr>
          <w:rFonts w:eastAsia="Amiri" w:cs="Amiri" w:ascii="Amiri" w:hAnsi="Amiri"/>
          <w:color w:val="111111"/>
          <w:sz w:val="28"/>
          <w:szCs w:val="28"/>
          <w:rtl w:val="true"/>
          <w:lang w:bidi="ar-SA"/>
        </w:rPr>
        <w:t>»</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مرسلة حمّاد بن عيسى عن بعض أصحابنا عن العبد الصالح عليه السّلام قال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منه العشر من الجميع ممّا سقت السماء أو سقي سيحا، و نصف العشر كما سقي بالدوالي و النواضح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230"/>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مجموع هذه الأحاديث أنّ مدار نصف العشر على افتقار السقي إلى </w:t>
      </w:r>
    </w:p>
    <w:p>
      <w:pPr>
        <w:pStyle w:val="BookText"/>
        <w:rPr/>
      </w:pPr>
      <w:r>
        <w:rPr>
          <w:rFonts w:ascii="Amiri" w:hAnsi="Amiri" w:eastAsia="Amiri" w:cs="Amiri"/>
          <w:color w:val="111111"/>
          <w:sz w:val="28"/>
          <w:sz w:val="28"/>
          <w:szCs w:val="28"/>
          <w:rtl w:val="true"/>
          <w:lang w:bidi="ar-SA"/>
        </w:rPr>
        <w:t>آلة و استعمال علاج، و مدار العشر على عدم الافتقار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قد اورد على التفصيل سؤال مشهور، و هو أنّ الزكاة إذا كانت لا تجب إلاّ بعد إخراج المؤن فأيّ فارق بين ما كثرت مئونته و ما قلّت، حتّى وجب في أحدهما العشر و في الآخر نصفه</w:t>
      </w:r>
      <w:r>
        <w:rPr>
          <w:rFonts w:eastAsia="Amiri" w:cs="Amiri" w:ascii="Amiri" w:hAnsi="Amiri"/>
          <w:color w:val="111111"/>
          <w:sz w:val="28"/>
          <w:szCs w:val="28"/>
          <w:rtl w:val="true"/>
          <w:lang w:bidi="ar-SA"/>
        </w:rPr>
        <w:t>»</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المحقّق قدّس سرّه في المسائل الطبريّة أنّه 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الأحكام متلقّاة من الشرع المطهّر، و كثير من علل الشرع غير معلوم لنا، فتكون علّة الفرق نفس النصّ‌</w:t>
      </w:r>
      <w:r>
        <w:rPr>
          <w:rFonts w:eastAsia="Amiri" w:cs="Amiri" w:ascii="Amiri" w:hAnsi="Amiri"/>
          <w:color w:val="111111"/>
          <w:sz w:val="28"/>
          <w:szCs w:val="28"/>
          <w:rtl w:val="true"/>
          <w:lang w:bidi="ar-SA"/>
        </w:rPr>
        <w:t>»</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لا يخفى من عدم تعلّقه بالسؤال المذكور، لأنّه في الحقيقة وارد على القول بلزوم إخراج المؤن كلّها قبل النصاب بملاحظة الفرق المذكور الوارد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انيط وجوب الزكاة بإخراج المؤن كلّها فلا يتفاوت الحكم بين قلّة المؤن و كثرتها، و قضيّة ذلك بطلان الفرق بالعشر و نصف العشر و تعيّن العشر في الجميع، و حيث إنّ الفرق ثابت فدلّ ذلك على بطلان القول بإخراج المؤن و الجواب المذكور لا يدفع هذا السؤال، بل إنّما يتّجه لو كان السؤال عن مجرّد الفرق من دون انضمام مقدّمة إخراج المؤن كلّها و المفروض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قد يجاب عنه بطريق المعارضة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كان المؤن على ربّ المال لما توجّه تنصيف العشر فيما كثرت مئونته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قد يستشهد بالأخبار الفارقة المتقدّمة</w:t>
      </w:r>
      <w:r>
        <w:rPr>
          <w:rStyle w:val="FootnoteAnchor"/>
          <w:rtl w:val="true"/>
        </w:rPr>
        <w:footnoteReference w:id="2233"/>
      </w:r>
      <w:r>
        <w:rPr>
          <w:rFonts w:ascii="IRNazanin" w:hAnsi="IRNazanin" w:eastAsia="IRNazanin"/>
          <w:color w:val="111111"/>
          <w:sz w:val="28"/>
          <w:sz w:val="28"/>
          <w:szCs w:val="28"/>
          <w:rtl w:val="true"/>
          <w:lang w:bidi="fa-IR"/>
        </w:rPr>
        <w:t>للقول بإخراج المؤن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فالوجه في الجواب عن السؤال أن يقال بمنع إناطة الفرق بالعشر و نصف العشر بقلّة المئونة و كثرتها، كيف و ليس في شيء من النصوص المتقدّمة و لا في غيرها دلالة على هذا المناط و لا إشعار به، و لو صحّ ذلك لقضى بانعكاس الفرق فيما سقي سيحا بالماء المشترى بثمن غال أو بماء القناة الّتي مئونة حفرها أزيد من مئونة ما سقي بالآلة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على ما بيّنّاه كون المناط هو افتقار السقي إلى آلة من الدلو و الدولاب </w:t>
      </w:r>
      <w:bookmarkStart w:id="483" w:name="pg16181_154739"/>
    </w:p>
    <w:p>
      <w:pPr>
        <w:pStyle w:val="BookText"/>
        <w:rPr/>
      </w:pPr>
      <w:bookmarkEnd w:id="483"/>
      <w:r>
        <w:rPr>
          <w:rFonts w:ascii="Amiri" w:hAnsi="Amiri" w:eastAsia="Amiri" w:cs="Amiri"/>
          <w:color w:val="111111"/>
          <w:sz w:val="28"/>
          <w:sz w:val="28"/>
          <w:szCs w:val="28"/>
          <w:rtl w:val="true"/>
          <w:lang w:bidi="ar-SA"/>
        </w:rPr>
        <w:t>و نحوهما و عدم افتقاره إليها، و كأنّ النكتة في ذلك جبر كلفة المالك الّتي لزمها دوام استعمال الآلات عنه بالتخفيف في قدر الواجب، و لعلّه إلى ذلك ينظر ما اجيب به أيضا من أنّ استعمال الاجراء على السقي و الحفظة و أشباه ذلك كلفة متعلّقة بالمالك زائدة على بذل الاجرة فناسبها التخفيف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تنصيف العشر الّذي هو تخفيف عن المالك فيما يسقى بالرشاء و الدوالي و النواضح و غيرها من الآلات في مقابلة الكلفة اللازمة على المالك في هذا القسم، لا في مقابلة المؤنة اللازمة منه من اجرة الاجراء و الحفظة و غير ذلك قلّت أو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أنّ النصوص الفارقة بين القسمين ليست متعرّضة للمؤن إثباتا و نفيا، فلا يمكن الاستدلال بها على نفي اعتبار إخراجها و لا الاستشهاد بها لإثبات اعتبار إخراجها، و عليه فكلّ مئونة لزمها السقي في القسمين اعتبر إخراجها كسائر المؤن تساوت فيهما أو كثرت في أحدهما و قلّت في الآخر أو اختصّت بأحدهما دون الآخر</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2586763_1280447820"/>
      <w:bookmarkStart w:id="485" w:name="_Toc180"/>
      <w:bookmarkEnd w:id="484"/>
      <w:r>
        <w:rPr>
          <w:rtl w:val="true"/>
        </w:rPr>
        <w:t>تذنيب</w:t>
      </w:r>
      <w:r>
        <w:rPr>
          <w:rtl w:val="true"/>
        </w:rPr>
        <w:t>: [</w:t>
      </w:r>
      <w:r>
        <w:rPr>
          <w:rtl w:val="true"/>
        </w:rPr>
        <w:t>لو اجتمع الأمران من السقاية</w:t>
      </w:r>
      <w:r>
        <w:rPr>
          <w:rtl w:val="true"/>
        </w:rPr>
        <w:t>]</w:t>
      </w:r>
      <w:bookmarkEnd w:id="48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تقدّم من إطلاق العشر و نصف العشر إنّما هو فيما سقي بأحد الأمرين، و لو اجتمع الأمران بأن يسقى تارة سيحا مثلا و اخرى بالدلو و الدولاب يتبع الأكثر و الأغلب فيؤخذ إمّا العشر أو نصفه، و إن تساويا اخذ من نصفه العشر و من نصفه الآخر نصف العشر أو اخذ من المجموع نصف العشر و نصف نصف العشر و بعبارة اخرى ثلاثة أرباع العشر، كما حكي التصريح بالحكمين عن جمع كثير من الأوائل</w:t>
      </w:r>
      <w:r>
        <w:rPr>
          <w:rStyle w:val="FootnoteAnchor"/>
          <w:rtl w:val="true"/>
        </w:rPr>
        <w:footnoteReference w:id="2234"/>
      </w:r>
      <w:r>
        <w:rPr>
          <w:rFonts w:ascii="IRNazanin" w:hAnsi="IRNazanin" w:eastAsia="IRNazanin"/>
          <w:color w:val="111111"/>
          <w:sz w:val="28"/>
          <w:sz w:val="28"/>
          <w:szCs w:val="28"/>
          <w:rtl w:val="true"/>
          <w:lang w:bidi="fa-IR"/>
        </w:rPr>
        <w:t>و الأواخر</w:t>
      </w:r>
      <w:r>
        <w:rPr>
          <w:rStyle w:val="FootnoteAnchor"/>
          <w:rtl w:val="true"/>
        </w:rPr>
        <w:footnoteReference w:id="2235"/>
      </w:r>
      <w:r>
        <w:rPr>
          <w:rFonts w:ascii="Amiri" w:hAnsi="Amiri" w:eastAsia="Amiri" w:cs="Amiri"/>
          <w:color w:val="111111"/>
          <w:sz w:val="28"/>
          <w:sz w:val="28"/>
          <w:szCs w:val="28"/>
          <w:rtl w:val="true"/>
          <w:lang w:bidi="ar-SA"/>
        </w:rPr>
        <w:t>من غير نقل خلاف، بل إنّهما ممّا لا خلاف فيهما بل عن الخلاف الإجماع عليهما</w:t>
      </w:r>
      <w:r>
        <w:rPr>
          <w:rStyle w:val="FootnoteAnchor"/>
          <w:rtl w:val="true"/>
        </w:rPr>
        <w:footnoteReference w:id="2236"/>
      </w:r>
      <w:r>
        <w:rPr>
          <w:rFonts w:ascii="Amiri" w:hAnsi="Amiri" w:eastAsia="Amiri" w:cs="Amiri"/>
          <w:color w:val="111111"/>
          <w:sz w:val="28"/>
          <w:sz w:val="28"/>
          <w:szCs w:val="28"/>
          <w:rtl w:val="true"/>
          <w:lang w:bidi="ar-SA"/>
        </w:rPr>
        <w:t>و عن المعتبر على ثانيهما اتّفاق العلماء</w:t>
      </w:r>
      <w:r>
        <w:rPr>
          <w:rStyle w:val="FootnoteAnchor"/>
          <w:rtl w:val="true"/>
        </w:rPr>
        <w:footnoteReference w:id="2237"/>
      </w:r>
      <w:r>
        <w:rPr>
          <w:rFonts w:ascii="Amiri" w:hAnsi="Amiri" w:eastAsia="Amiri" w:cs="Amiri"/>
          <w:color w:val="111111"/>
          <w:sz w:val="28"/>
          <w:sz w:val="28"/>
          <w:szCs w:val="28"/>
          <w:rtl w:val="true"/>
          <w:lang w:bidi="ar-SA"/>
        </w:rPr>
        <w:t>و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إجماع العلماء</w:t>
      </w:r>
      <w:r>
        <w:rPr>
          <w:rFonts w:eastAsia="Amiri" w:cs="Amiri" w:ascii="Amiri" w:hAnsi="Amiri"/>
          <w:color w:val="111111"/>
          <w:sz w:val="28"/>
          <w:szCs w:val="28"/>
          <w:rtl w:val="true"/>
          <w:lang w:bidi="ar-SA"/>
        </w:rPr>
        <w:t>»</w:t>
      </w:r>
      <w:r>
        <w:rPr>
          <w:rStyle w:val="FootnoteAnchor"/>
          <w:rtl w:val="true"/>
        </w:rPr>
        <w:footnoteReference w:id="2238"/>
      </w:r>
      <w:r>
        <w:rPr>
          <w:rFonts w:ascii="Amiri" w:hAnsi="Amiri" w:eastAsia="Amiri" w:cs="Amiri"/>
          <w:color w:val="111111"/>
          <w:sz w:val="28"/>
          <w:sz w:val="28"/>
          <w:szCs w:val="28"/>
          <w:rtl w:val="true"/>
          <w:lang w:bidi="ar-SA"/>
        </w:rPr>
        <w:t>و في المدارك في 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قول علمائنا و أكثر العامّة</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0"/>
      </w:r>
      <w:r>
        <w:rPr>
          <w:rFonts w:ascii="Amiri" w:hAnsi="Amiri" w:eastAsia="Amiri" w:cs="Amiri"/>
          <w:color w:val="111111"/>
          <w:sz w:val="28"/>
          <w:sz w:val="28"/>
          <w:szCs w:val="28"/>
          <w:rtl w:val="true"/>
          <w:lang w:bidi="ar-SA"/>
        </w:rPr>
        <w:t>و عن مجمع الفائدة فيه أيضا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w:t>
      </w:r>
    </w:p>
    <w:p>
      <w:pPr>
        <w:pStyle w:val="BookText"/>
        <w:rPr/>
      </w:pPr>
      <w:r>
        <w:rPr>
          <w:rFonts w:ascii="IRNazanin" w:hAnsi="IRNazanin" w:eastAsia="IRNazanin"/>
          <w:color w:val="111111"/>
          <w:sz w:val="28"/>
          <w:sz w:val="28"/>
          <w:szCs w:val="28"/>
          <w:rtl w:val="true"/>
          <w:lang w:bidi="fa-IR"/>
        </w:rPr>
        <w:t>الأصحاب من دون ظهور المخالف</w:t>
      </w:r>
      <w:r>
        <w:rPr>
          <w:rFonts w:eastAsia="IRNazanin" w:cs="IRNazanin"/>
          <w:color w:val="111111"/>
          <w:sz w:val="28"/>
          <w:szCs w:val="28"/>
          <w:rtl w:val="true"/>
          <w:lang w:bidi="fa-IR"/>
        </w:rPr>
        <w:t>»</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عليهما من النصوص ما رواه الشيخ في الصحيح عن ابن عمير عن معاوية بن شريح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و الأنهار أو كان بعلا فالعشر، و أمّا ما سقت السواني و الدوالي فنصف العشر،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تكون عندنا تسقى بالدوالي ثمّ تزيد الماء و تسقى سيحا،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ليكون عندكم كذلك‌؟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النصف، نصف بنصف العشر، و نصف بالعشر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تسقى بالدوالي ثمّ تزيد الماء فتسقى السقية و السقيتين سيحا،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تسقى السقية و السقيتين سيحا؟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ثلاثين ليلة، أربعين ليلة و قد 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مضت،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فى الأرض ستّة أشهر، سبعة أشهر،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العشر</w:t>
      </w:r>
      <w:r>
        <w:rPr>
          <w:rFonts w:eastAsia="Amiri" w:cs="Amiri" w:ascii="Amiri" w:hAnsi="Amiri"/>
          <w:color w:val="111111"/>
          <w:sz w:val="28"/>
          <w:szCs w:val="28"/>
          <w:rtl w:val="true"/>
          <w:lang w:bidi="ar-SA"/>
        </w:rPr>
        <w:t>»</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الراوي و إن لم يذكر في الرجال بتوثيق إلاّ أنّ رواية ابن أبي عمير عنه بل البزنطي أيضا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حسن حاله</w:t>
      </w:r>
      <w:r>
        <w:rPr>
          <w:rStyle w:val="FootnoteAnchor"/>
          <w:rtl w:val="true"/>
        </w:rPr>
        <w:footnoteReference w:id="2243"/>
      </w:r>
      <w:r>
        <w:rPr>
          <w:rFonts w:ascii="Amiri" w:hAnsi="Amiri" w:eastAsia="Amiri" w:cs="Amiri"/>
          <w:color w:val="111111"/>
          <w:sz w:val="28"/>
          <w:sz w:val="28"/>
          <w:szCs w:val="28"/>
          <w:rtl w:val="true"/>
          <w:lang w:bidi="ar-SA"/>
        </w:rPr>
        <w:t>و مع ذلك فالرواية قد عمل بها أساطين الطائفة فينجبر به قصور سندها أو ضعفها إن كان، و يعضدها مع ذلك الاعتبار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كون المعتبر في الأكثريّة الأكثر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رجّحه في المدارك</w:t>
      </w:r>
      <w:r>
        <w:rPr>
          <w:rStyle w:val="FootnoteAnchor"/>
          <w:rtl w:val="true"/>
        </w:rPr>
        <w:footnoteReference w:id="2244"/>
      </w:r>
      <w:r>
        <w:rPr>
          <w:rFonts w:ascii="IRNazanin" w:hAnsi="IRNazanin" w:eastAsia="IRNazanin"/>
          <w:color w:val="111111"/>
          <w:sz w:val="28"/>
          <w:sz w:val="28"/>
          <w:szCs w:val="28"/>
          <w:rtl w:val="true"/>
          <w:lang w:bidi="fa-IR"/>
        </w:rPr>
        <w:t>و الروض</w:t>
      </w:r>
      <w:r>
        <w:rPr>
          <w:rStyle w:val="FootnoteAnchor"/>
          <w:rtl w:val="true"/>
        </w:rPr>
        <w:footnoteReference w:id="2245"/>
      </w:r>
      <w:r>
        <w:rPr>
          <w:rFonts w:ascii="Amiri" w:hAnsi="Amiri" w:eastAsia="Amiri" w:cs="Amiri"/>
          <w:color w:val="111111"/>
          <w:sz w:val="28"/>
          <w:sz w:val="28"/>
          <w:szCs w:val="28"/>
          <w:rtl w:val="true"/>
          <w:lang w:bidi="ar-SA"/>
        </w:rPr>
        <w:t>قيل</w:t>
      </w:r>
      <w:r>
        <w:rPr>
          <w:rStyle w:val="FootnoteAnchor"/>
          <w:rtl w:val="true"/>
        </w:rPr>
        <w:footnoteReference w:id="2246"/>
      </w:r>
      <w:r>
        <w:rPr>
          <w:rFonts w:ascii="Amiri" w:hAnsi="Amiri" w:eastAsia="Amiri" w:cs="Amiri"/>
          <w:color w:val="111111"/>
          <w:sz w:val="28"/>
          <w:sz w:val="28"/>
          <w:szCs w:val="28"/>
          <w:rtl w:val="true"/>
          <w:lang w:bidi="ar-SA"/>
        </w:rPr>
        <w:t>ربّما يستفاد من الخلاف</w:t>
      </w:r>
      <w:r>
        <w:rPr>
          <w:rStyle w:val="FootnoteAnchor"/>
          <w:rtl w:val="true"/>
        </w:rPr>
        <w:footnoteReference w:id="2247"/>
      </w:r>
      <w:r>
        <w:rPr>
          <w:rFonts w:ascii="Amiri" w:hAnsi="Amiri" w:eastAsia="Amiri" w:cs="Amiri"/>
          <w:color w:val="111111"/>
          <w:sz w:val="28"/>
          <w:sz w:val="28"/>
          <w:szCs w:val="28"/>
          <w:rtl w:val="true"/>
          <w:lang w:bidi="ar-SA"/>
        </w:rPr>
        <w:t>و الوسيلة</w:t>
      </w:r>
      <w:r>
        <w:rPr>
          <w:rStyle w:val="FootnoteAnchor"/>
          <w:rtl w:val="true"/>
        </w:rPr>
        <w:footnoteReference w:id="2248"/>
      </w:r>
      <w:r>
        <w:rPr>
          <w:rFonts w:ascii="Amiri" w:hAnsi="Amiri" w:eastAsia="Amiri" w:cs="Amiri"/>
          <w:color w:val="111111"/>
          <w:sz w:val="28"/>
          <w:sz w:val="28"/>
          <w:szCs w:val="28"/>
          <w:rtl w:val="true"/>
          <w:lang w:bidi="ar-SA"/>
        </w:rPr>
        <w:t>و الغنية</w:t>
      </w:r>
      <w:r>
        <w:rPr>
          <w:rStyle w:val="FootnoteAnchor"/>
          <w:rtl w:val="true"/>
        </w:rPr>
        <w:footnoteReference w:id="2249"/>
      </w:r>
      <w:r>
        <w:rPr>
          <w:rFonts w:ascii="IRNazanin" w:hAnsi="IRNazanin" w:eastAsia="IRNazanin"/>
          <w:color w:val="111111"/>
          <w:sz w:val="28"/>
          <w:sz w:val="28"/>
          <w:szCs w:val="28"/>
          <w:rtl w:val="true"/>
          <w:lang w:bidi="fa-IR"/>
        </w:rPr>
        <w:t>و النافع</w:t>
      </w:r>
      <w:r>
        <w:rPr>
          <w:rStyle w:val="FootnoteAnchor"/>
          <w:rtl w:val="true"/>
        </w:rPr>
        <w:footnoteReference w:id="2250"/>
      </w:r>
      <w:r>
        <w:rPr>
          <w:rFonts w:ascii="IRNazanin" w:hAnsi="IRNazanin" w:eastAsia="IRNazanin"/>
          <w:color w:val="111111"/>
          <w:sz w:val="28"/>
          <w:sz w:val="28"/>
          <w:szCs w:val="28"/>
          <w:rtl w:val="true"/>
          <w:lang w:bidi="fa-IR"/>
        </w:rPr>
        <w:t>و الشرائع</w:t>
      </w:r>
      <w:r>
        <w:rPr>
          <w:rStyle w:val="FootnoteAnchor"/>
          <w:rtl w:val="true"/>
        </w:rPr>
        <w:footnoteReference w:id="2251"/>
      </w:r>
      <w:r>
        <w:rPr>
          <w:rFonts w:ascii="IRNazanin" w:hAnsi="IRNazanin" w:eastAsia="IRNazanin"/>
          <w:color w:val="111111"/>
          <w:sz w:val="28"/>
          <w:sz w:val="28"/>
          <w:szCs w:val="28"/>
          <w:rtl w:val="true"/>
          <w:lang w:bidi="fa-IR"/>
        </w:rPr>
        <w:t>و المعتبر</w:t>
      </w:r>
      <w:r>
        <w:rPr>
          <w:rStyle w:val="FootnoteAnchor"/>
          <w:rtl w:val="true"/>
        </w:rPr>
        <w:footnoteReference w:id="2252"/>
      </w:r>
      <w:r>
        <w:rPr>
          <w:rFonts w:ascii="Amiri" w:hAnsi="Amiri" w:eastAsia="Amiri" w:cs="Amiri"/>
          <w:color w:val="111111"/>
          <w:sz w:val="28"/>
          <w:sz w:val="28"/>
          <w:szCs w:val="28"/>
          <w:rtl w:val="true"/>
          <w:lang w:bidi="ar-SA"/>
        </w:rPr>
        <w:t>و التبصرة</w:t>
      </w:r>
      <w:r>
        <w:rPr>
          <w:rStyle w:val="FootnoteAnchor"/>
          <w:rtl w:val="true"/>
        </w:rPr>
        <w:footnoteReference w:id="2253"/>
      </w:r>
      <w:r>
        <w:rPr>
          <w:rFonts w:ascii="IRNazanin" w:hAnsi="IRNazanin" w:eastAsia="IRNazanin"/>
          <w:color w:val="111111"/>
          <w:sz w:val="28"/>
          <w:sz w:val="28"/>
          <w:szCs w:val="28"/>
          <w:rtl w:val="true"/>
          <w:lang w:bidi="fa-IR"/>
        </w:rPr>
        <w:t>و الارشاد</w:t>
      </w:r>
      <w:r>
        <w:rPr>
          <w:rStyle w:val="FootnoteAnchor"/>
          <w:rtl w:val="true"/>
        </w:rPr>
        <w:footnoteReference w:id="2254"/>
      </w:r>
      <w:r>
        <w:rPr>
          <w:rFonts w:ascii="Amiri" w:hAnsi="Amiri" w:eastAsia="Amiri" w:cs="Amiri"/>
          <w:color w:val="111111"/>
          <w:sz w:val="28"/>
          <w:sz w:val="28"/>
          <w:szCs w:val="28"/>
          <w:rtl w:val="true"/>
          <w:lang w:bidi="ar-SA"/>
        </w:rPr>
        <w:t>و التحرير</w:t>
      </w:r>
      <w:r>
        <w:rPr>
          <w:rStyle w:val="FootnoteAnchor"/>
          <w:rtl w:val="true"/>
        </w:rPr>
        <w:footnoteReference w:id="2255"/>
      </w:r>
      <w:r>
        <w:rPr>
          <w:rFonts w:ascii="Amiri" w:hAnsi="Amiri" w:eastAsia="Amiri" w:cs="Amiri"/>
          <w:color w:val="111111"/>
          <w:sz w:val="28"/>
          <w:sz w:val="28"/>
          <w:szCs w:val="28"/>
          <w:rtl w:val="true"/>
          <w:lang w:bidi="ar-SA"/>
        </w:rPr>
        <w:t>و البيان</w:t>
      </w:r>
      <w:r>
        <w:rPr>
          <w:rStyle w:val="FootnoteAnchor"/>
          <w:rtl w:val="true"/>
        </w:rPr>
        <w:footnoteReference w:id="2256"/>
      </w:r>
      <w:r>
        <w:rPr>
          <w:rFonts w:ascii="IRNazanin" w:hAnsi="IRNazanin" w:eastAsia="IRNazanin"/>
          <w:color w:val="111111"/>
          <w:sz w:val="28"/>
          <w:sz w:val="28"/>
          <w:szCs w:val="28"/>
          <w:rtl w:val="true"/>
          <w:lang w:bidi="fa-IR"/>
        </w:rPr>
        <w:t>و الجامع</w:t>
      </w:r>
      <w:r>
        <w:rPr>
          <w:rStyle w:val="FootnoteAnchor"/>
          <w:rtl w:val="true"/>
        </w:rPr>
        <w:footnoteReference w:id="2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الأكثر زمانا كما عن بعض</w:t>
      </w:r>
      <w:r>
        <w:rPr>
          <w:rStyle w:val="FootnoteAnchor"/>
          <w:rtl w:val="true"/>
        </w:rPr>
        <w:footnoteReference w:id="2258"/>
      </w:r>
      <w:r>
        <w:rPr>
          <w:rFonts w:ascii="Amiri" w:hAnsi="Amiri" w:eastAsia="Amiri" w:cs="Amiri"/>
          <w:color w:val="111111"/>
          <w:sz w:val="28"/>
          <w:sz w:val="28"/>
          <w:szCs w:val="28"/>
          <w:rtl w:val="true"/>
          <w:lang w:bidi="ar-SA"/>
        </w:rPr>
        <w:t>أو الأكثر منفعة و نموّا كما عن القواعد</w:t>
      </w:r>
      <w:r>
        <w:rPr>
          <w:rStyle w:val="FootnoteAnchor"/>
          <w:rtl w:val="true"/>
        </w:rPr>
        <w:footnoteReference w:id="2259"/>
      </w:r>
      <w:r>
        <w:rPr>
          <w:rFonts w:ascii="IRNazanin" w:hAnsi="IRNazanin" w:eastAsia="IRNazanin"/>
          <w:color w:val="111111"/>
          <w:sz w:val="28"/>
          <w:sz w:val="28"/>
          <w:szCs w:val="28"/>
          <w:rtl w:val="true"/>
          <w:lang w:bidi="fa-IR"/>
        </w:rPr>
        <w:t>و الدروس</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و حاشية الشرائع</w:t>
      </w:r>
      <w:r>
        <w:rPr>
          <w:rStyle w:val="FootnoteAnchor"/>
          <w:rtl w:val="true"/>
        </w:rPr>
        <w:footnoteReference w:id="2261"/>
      </w:r>
      <w:r>
        <w:rPr>
          <w:rFonts w:ascii="Amiri" w:hAnsi="Amiri" w:eastAsia="Amiri" w:cs="Amiri"/>
          <w:color w:val="111111"/>
          <w:sz w:val="28"/>
          <w:sz w:val="28"/>
          <w:szCs w:val="28"/>
          <w:rtl w:val="true"/>
          <w:lang w:bidi="ar-SA"/>
        </w:rPr>
        <w:t>و عن حاشية القواعد التصريح بأشهريّته</w:t>
      </w:r>
      <w:r>
        <w:rPr>
          <w:rStyle w:val="FootnoteAnchor"/>
          <w:rtl w:val="true"/>
        </w:rPr>
        <w:footnoteReference w:id="2262"/>
      </w:r>
      <w:r>
        <w:rPr>
          <w:rFonts w:ascii="Amiri" w:hAnsi="Amiri" w:eastAsia="Amiri" w:cs="Amiri"/>
          <w:color w:val="111111"/>
          <w:sz w:val="28"/>
          <w:sz w:val="28"/>
          <w:szCs w:val="28"/>
          <w:rtl w:val="true"/>
          <w:lang w:bidi="ar-SA"/>
        </w:rPr>
        <w:t>قيل</w:t>
      </w:r>
      <w:r>
        <w:rPr>
          <w:rStyle w:val="FootnoteAnchor"/>
          <w:rtl w:val="true"/>
        </w:rPr>
        <w:footnoteReference w:id="2263"/>
      </w:r>
      <w:r>
        <w:rPr>
          <w:rFonts w:ascii="Amiri" w:hAnsi="Amiri" w:eastAsia="Amiri" w:cs="Amiri"/>
          <w:color w:val="111111"/>
          <w:sz w:val="28"/>
          <w:sz w:val="28"/>
          <w:szCs w:val="28"/>
          <w:rtl w:val="true"/>
          <w:lang w:bidi="ar-SA"/>
        </w:rPr>
        <w:t>و استقر به العلاّمة في جملة من كتبه</w:t>
      </w:r>
      <w:r>
        <w:rPr>
          <w:rStyle w:val="FootnoteAnchor"/>
          <w:rtl w:val="true"/>
        </w:rPr>
        <w:footnoteReference w:id="2264"/>
      </w:r>
      <w:r>
        <w:rPr>
          <w:rFonts w:ascii="Amiri" w:hAnsi="Amiri" w:eastAsia="Amiri" w:cs="Amiri"/>
          <w:color w:val="111111"/>
          <w:sz w:val="28"/>
          <w:sz w:val="28"/>
          <w:szCs w:val="28"/>
          <w:rtl w:val="true"/>
          <w:lang w:bidi="ar-SA"/>
        </w:rPr>
        <w:t>و ولده في الشرح</w:t>
      </w:r>
      <w:r>
        <w:rPr>
          <w:rStyle w:val="FootnoteAnchor"/>
          <w:rtl w:val="true"/>
        </w:rPr>
        <w:footnoteReference w:id="2265"/>
      </w:r>
      <w:r>
        <w:rPr>
          <w:rFonts w:ascii="Amiri" w:hAnsi="Amiri" w:eastAsia="Amiri" w:cs="Amiri"/>
          <w:color w:val="111111"/>
          <w:sz w:val="28"/>
          <w:sz w:val="28"/>
          <w:szCs w:val="28"/>
          <w:rtl w:val="true"/>
          <w:lang w:bidi="ar-SA"/>
        </w:rPr>
        <w:t>؟ وجوه، بل أقوال، أقربها الأوّل لظهور العدد من لفظ الأكثر في فتوى الأصحاب و معقد الإجماع الّذي منه ما عن الخلاف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سقي الأرض سيحا و غير سيح معا فإن كانا نصفين اخذ نصفين و إن كانا متفاضلين غلّب الأكثر، دليلنا إجماع الفرقة</w:t>
      </w:r>
      <w:r>
        <w:rPr>
          <w:rFonts w:eastAsia="Amiri" w:cs="Amiri" w:ascii="Amiri" w:hAnsi="Amiri"/>
          <w:color w:val="111111"/>
          <w:sz w:val="28"/>
          <w:szCs w:val="28"/>
          <w:rtl w:val="true"/>
          <w:lang w:bidi="ar-SA"/>
        </w:rPr>
        <w:t>»</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المسالك على ما 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الكثرة حقيقة في الكمّ المتّصل</w:t>
      </w:r>
      <w:r>
        <w:rPr>
          <w:rStyle w:val="FootnoteAnchor"/>
          <w:rtl w:val="true"/>
        </w:rPr>
        <w:footnoteReference w:id="2267"/>
      </w:r>
      <w:r>
        <w:rPr>
          <w:rFonts w:ascii="Amiri" w:hAnsi="Amiri" w:eastAsia="Amiri" w:cs="Amiri"/>
          <w:color w:val="111111"/>
          <w:sz w:val="28"/>
          <w:sz w:val="28"/>
          <w:szCs w:val="28"/>
          <w:rtl w:val="true"/>
          <w:lang w:bidi="ar-SA"/>
        </w:rPr>
        <w:t>و هو هنا أعداد السقيات لا زمانه، و اللفظ إنّما يحمل على حقيقته</w:t>
      </w:r>
      <w:r>
        <w:rPr>
          <w:rFonts w:eastAsia="Amiri" w:cs="Amiri" w:ascii="Amiri" w:hAnsi="Amiri"/>
          <w:color w:val="111111"/>
          <w:sz w:val="28"/>
          <w:szCs w:val="28"/>
          <w:rtl w:val="true"/>
          <w:lang w:bidi="ar-SA"/>
        </w:rPr>
        <w:t>»</w:t>
      </w:r>
      <w:r>
        <w:rPr>
          <w:rStyle w:val="FootnoteAnchor"/>
          <w:rtl w:val="true"/>
        </w:rPr>
        <w:footnoteReference w:id="2268"/>
      </w:r>
      <w:r>
        <w:rPr>
          <w:rFonts w:ascii="Amiri" w:hAnsi="Amiri" w:eastAsia="Amiri" w:cs="Amiri"/>
          <w:color w:val="111111"/>
          <w:sz w:val="28"/>
          <w:sz w:val="28"/>
          <w:szCs w:val="28"/>
          <w:rtl w:val="true"/>
          <w:lang w:bidi="ar-SA"/>
        </w:rPr>
        <w:t>و لا ينافيه ظهور الرواية في الأكثريّة بحسب الزمان، لأنّها لا تنفكّ غالبا عن الأكثريّة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في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تقييد إطلاق الرواية بما هو الغالب في الزمان الأكثر من احتياجه إلى عدد أكثر</w:t>
      </w:r>
      <w:r>
        <w:rPr>
          <w:rFonts w:eastAsia="Amiri" w:cs="Amiri" w:ascii="Amiri" w:hAnsi="Amiri"/>
          <w:color w:val="111111"/>
          <w:sz w:val="28"/>
          <w:szCs w:val="28"/>
          <w:rtl w:val="true"/>
          <w:lang w:bidi="ar-SA"/>
        </w:rPr>
        <w:t>»</w:t>
      </w:r>
      <w:r>
        <w:rPr>
          <w:rStyle w:val="FootnoteAnchor"/>
          <w:rtl w:val="true"/>
        </w:rPr>
        <w:footnoteReference w:id="2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يندفع الاحتجاج لثاني الأقوال بظاهر الرواية المتقدّمة</w:t>
      </w:r>
      <w:r>
        <w:rPr>
          <w:rStyle w:val="FootnoteAnchor"/>
          <w:rtl w:val="true"/>
        </w:rPr>
        <w:footnoteReference w:id="2270"/>
      </w:r>
      <w:r>
        <w:rPr>
          <w:rFonts w:ascii="Amiri" w:hAnsi="Amiri" w:eastAsia="Amiri" w:cs="Amiri"/>
          <w:color w:val="111111"/>
          <w:sz w:val="28"/>
          <w:sz w:val="28"/>
          <w:szCs w:val="28"/>
          <w:rtl w:val="true"/>
          <w:lang w:bidi="ar-SA"/>
        </w:rPr>
        <w:t>حيث اطلق فيها نصف العشر و رتّبه على أغلبيّة الزمان من غير استفصال عن عدد السقيات في تلك المدّة و عن الأكثر نموّا و نفعا، هذا و لكنّ المسألة بعد لا يخلو عن شوب إشكال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إذا سقي بكلّ ممّا يوجب العشر كالسيح و ما يوجب نصف العشر كالدالية و لم يعلم الحال من الغلبة و التساوي ففي وجوب الأقلّ أعني نصف العشر لأصالة البراءة عن الزائد، أو الأكثر أعني العشر كما عن بعض العامّة</w:t>
      </w:r>
      <w:r>
        <w:rPr>
          <w:rStyle w:val="FootnoteAnchor"/>
          <w:rtl w:val="true"/>
        </w:rPr>
        <w:footnoteReference w:id="2271"/>
      </w:r>
      <w:r>
        <w:rPr>
          <w:rFonts w:ascii="Amiri" w:hAnsi="Amiri" w:eastAsia="Amiri" w:cs="Amiri"/>
          <w:color w:val="111111"/>
          <w:sz w:val="28"/>
          <w:sz w:val="28"/>
          <w:szCs w:val="28"/>
          <w:rtl w:val="true"/>
          <w:lang w:bidi="ar-SA"/>
        </w:rPr>
        <w:t xml:space="preserve">تغليبا لجانب الاحتياط، أو إلحاقه بصورة التساوي فيجب ثلاثة أرباع العشر كما رجّحه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الأقرب لظاهر الرواية المتقدّمة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 و النصف نصف بنصف العشر و نصف بالعشر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 يشمل الصور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التساوي، و صورة وجود الأكثر، و صورة الاشتباه، خرج منه صورة وجود الأكثر بذيل الرواية و بقى الباقي و منه ما نحن فيه، و يعضده أصالة عدم التفاضل و هو لكونه أصلا موضوعيّا وارد على أصل البراءة، </w:t>
      </w:r>
      <w:bookmarkStart w:id="486" w:name="pg16181_154742"/>
    </w:p>
    <w:p>
      <w:pPr>
        <w:pStyle w:val="BookText"/>
        <w:rPr/>
      </w:pPr>
      <w:bookmarkEnd w:id="486"/>
      <w:r>
        <w:rPr>
          <w:rFonts w:ascii="Amiri" w:hAnsi="Amiri" w:eastAsia="Amiri" w:cs="Amiri"/>
          <w:color w:val="111111"/>
          <w:sz w:val="28"/>
          <w:sz w:val="28"/>
          <w:szCs w:val="28"/>
          <w:rtl w:val="true"/>
          <w:lang w:bidi="ar-SA"/>
        </w:rPr>
        <w:t>و الاحتياط في نحو ما نحن فيه ليس بواجب و غايته الاستحباب و لا كلام فيه ظاهرا</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2586765_1280447820"/>
      <w:bookmarkStart w:id="488" w:name="_Toc181"/>
      <w:bookmarkEnd w:id="487"/>
      <w:r>
        <w:rPr>
          <w:rtl w:val="true"/>
        </w:rPr>
        <w:t>المسألة الخامسة</w:t>
      </w:r>
      <w:r>
        <w:rPr>
          <w:rtl w:val="true"/>
        </w:rPr>
        <w:t>: [</w:t>
      </w:r>
      <w:r>
        <w:rPr>
          <w:rtl w:val="true"/>
        </w:rPr>
        <w:t>الملاك في المتفرّقات وحدة المالك</w:t>
      </w:r>
      <w:r>
        <w:rPr>
          <w:rtl w:val="true"/>
        </w:rPr>
        <w:t>]</w:t>
      </w:r>
      <w:bookmarkEnd w:id="488"/>
    </w:p>
    <w:p>
      <w:pPr>
        <w:pStyle w:val="Heading6"/>
        <w:numPr>
          <w:ilvl w:val="5"/>
          <w:numId w:val="1"/>
        </w:numPr>
        <w:rPr/>
      </w:pPr>
      <w:bookmarkStart w:id="489" w:name="__RefHeading___Toc2586767_1280447820"/>
      <w:bookmarkStart w:id="490" w:name="_Toc182"/>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 xml:space="preserve">لا يعتبر في وجوب الزكاة في الثمرة و الغلّة وحدة المكان، و لا وحدة زمان الطلوع، و لا وحدة زمان البلوغ الحدّ الّذي يتعلّق به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بدوّ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لمالك واحد نخيل أو كروم أو زروع في أمكنة متعدّدة أو بساتين و مزارع مختلفة أو بلاد متباعدة ضمّ بعضها إلى بعض فإن بلغ المجموع نصابا فما زاد وجب فيه الزكاة على ما هو المعروف بين الأصحاب المصرّح به في كلام أساطينهم</w:t>
      </w:r>
      <w:r>
        <w:rPr>
          <w:rStyle w:val="FootnoteAnchor"/>
          <w:rtl w:val="true"/>
        </w:rPr>
        <w:footnoteReference w:id="2272"/>
      </w:r>
      <w:r>
        <w:rPr>
          <w:rFonts w:ascii="IRNazanin" w:hAnsi="IRNazanin" w:eastAsia="IRNazanin"/>
          <w:color w:val="111111"/>
          <w:sz w:val="28"/>
          <w:sz w:val="28"/>
          <w:szCs w:val="28"/>
          <w:rtl w:val="true"/>
          <w:lang w:bidi="fa-IR"/>
        </w:rPr>
        <w:t>و عن المنتهى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فيه خلافا</w:t>
      </w:r>
      <w:r>
        <w:rPr>
          <w:rFonts w:eastAsia="Amiri" w:cs="Amiri" w:ascii="Amiri" w:hAnsi="Amiri"/>
          <w:color w:val="111111"/>
          <w:sz w:val="28"/>
          <w:szCs w:val="28"/>
          <w:rtl w:val="true"/>
          <w:lang w:bidi="ar-SA"/>
        </w:rPr>
        <w:t>»</w:t>
      </w:r>
      <w:r>
        <w:rPr>
          <w:rStyle w:val="FootnoteAnchor"/>
          <w:rtl w:val="true"/>
        </w:rPr>
        <w:footnoteReference w:id="2273"/>
      </w:r>
      <w:r>
        <w:rPr>
          <w:rFonts w:ascii="Amiri" w:hAnsi="Amiri" w:eastAsia="Amiri" w:cs="Amiri"/>
          <w:color w:val="111111"/>
          <w:sz w:val="28"/>
          <w:sz w:val="28"/>
          <w:szCs w:val="28"/>
          <w:rtl w:val="true"/>
          <w:lang w:bidi="ar-SA"/>
        </w:rPr>
        <w:t>و عن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مجمع عليه بين المسلمين</w:t>
      </w:r>
      <w:r>
        <w:rPr>
          <w:rFonts w:eastAsia="Amiri" w:cs="Amiri" w:ascii="Amiri" w:hAnsi="Amiri"/>
          <w:color w:val="111111"/>
          <w:sz w:val="28"/>
          <w:szCs w:val="28"/>
          <w:rtl w:val="true"/>
          <w:lang w:bidi="ar-SA"/>
        </w:rPr>
        <w:t>»</w:t>
      </w:r>
      <w:r>
        <w:rPr>
          <w:rStyle w:val="FootnoteAnchor"/>
          <w:rtl w:val="true"/>
        </w:rPr>
        <w:footnoteReference w:id="2274"/>
      </w:r>
      <w:r>
        <w:rPr>
          <w:rFonts w:ascii="Amiri" w:hAnsi="Amiri" w:eastAsia="Amiri" w:cs="Amiri"/>
          <w:color w:val="111111"/>
          <w:sz w:val="28"/>
          <w:sz w:val="28"/>
          <w:szCs w:val="28"/>
          <w:rtl w:val="true"/>
          <w:lang w:bidi="ar-SA"/>
        </w:rPr>
        <w:t>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w:t>
      </w:r>
      <w:r>
        <w:rPr>
          <w:rStyle w:val="FootnoteAnchor"/>
          <w:rtl w:val="true"/>
        </w:rPr>
        <w:footnoteReference w:id="2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شيء من هذه الأربعة الأشياء شيء حتّى يبلغ خمسة أوسق</w:t>
      </w:r>
      <w:r>
        <w:rPr>
          <w:rFonts w:eastAsia="Amiri" w:cs="Amiri" w:ascii="Amiri" w:hAnsi="Amiri"/>
          <w:color w:val="111111"/>
          <w:sz w:val="28"/>
          <w:szCs w:val="28"/>
          <w:rtl w:val="true"/>
          <w:lang w:bidi="ar-SA"/>
        </w:rPr>
        <w:t>»</w:t>
      </w:r>
      <w:r>
        <w:rPr>
          <w:rStyle w:val="FootnoteAnchor"/>
          <w:rtl w:val="true"/>
        </w:rPr>
        <w:footnoteReference w:id="2276"/>
      </w:r>
      <w:r>
        <w:rPr>
          <w:rFonts w:ascii="Amiri" w:hAnsi="Amiri" w:eastAsia="Amiri" w:cs="Amiri"/>
          <w:color w:val="111111"/>
          <w:sz w:val="28"/>
          <w:sz w:val="28"/>
          <w:szCs w:val="28"/>
          <w:rtl w:val="true"/>
          <w:lang w:bidi="ar-SA"/>
        </w:rPr>
        <w:t>و غيره</w:t>
      </w:r>
      <w:r>
        <w:rPr>
          <w:rStyle w:val="FootnoteAnchor"/>
          <w:rtl w:val="true"/>
        </w:rPr>
        <w:footnoteReference w:id="2277"/>
      </w:r>
      <w:r>
        <w:rPr>
          <w:rFonts w:ascii="Amiri" w:hAnsi="Amiri" w:eastAsia="Amiri" w:cs="Amiri"/>
          <w:color w:val="111111"/>
          <w:sz w:val="28"/>
          <w:sz w:val="28"/>
          <w:szCs w:val="28"/>
          <w:rtl w:val="true"/>
          <w:lang w:bidi="ar-SA"/>
        </w:rPr>
        <w:t>من نصوص تقدير نصاب الغلاّت بخمسة أوسق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بعضها مع وحدة المكان أو تعدّده بلغ الحدّ الّذي يتعلّق الوجوب و كان نصابا اخذ منه، و يتربّص لبلوغ الباقي فإذا بلغ اخذ منه أيضا قلّ أو كثر و لا يراعى فيه النصاب و هكذا، و إن لم يكن نصابا لم يؤخذ لعدم الوجوب بل يتربّص فإذا بلغ الباقي أيضا ضمّ إلى الأوّل فبعد بلوغ المجموع النصاب اخذ منه، و هذا كلّه واضح نظرا إلى عمومات الأخبار</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2586769_1280447820"/>
      <w:bookmarkStart w:id="492" w:name="_Toc183"/>
      <w:bookmarkEnd w:id="491"/>
      <w:r>
        <w:rPr>
          <w:rtl w:val="true"/>
        </w:rPr>
        <w:t>فرعان</w:t>
      </w:r>
      <w:r>
        <w:rPr>
          <w:rtl w:val="true"/>
        </w:rPr>
        <w:t>: [</w:t>
      </w:r>
      <w:r>
        <w:rPr>
          <w:rtl w:val="true"/>
        </w:rPr>
        <w:t>في تجميع المتفرّقات</w:t>
      </w:r>
      <w:r>
        <w:rPr>
          <w:rtl w:val="true"/>
        </w:rPr>
        <w:t>]</w:t>
      </w:r>
      <w:bookmarkEnd w:id="49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اتّفقت الثمار المختلفة الأمكنة في الجودة و الرداءة تخيّر المالك في الإخراج من أيّ موضع شاء مع اتّحاد المكان و تعدّده إن لم يوجب الإخراج من غير </w:t>
      </w:r>
      <w:bookmarkStart w:id="493" w:name="pg16181_154743"/>
    </w:p>
    <w:p>
      <w:pPr>
        <w:pStyle w:val="BookText"/>
        <w:rPr/>
      </w:pPr>
      <w:bookmarkEnd w:id="493"/>
      <w:r>
        <w:rPr>
          <w:rFonts w:ascii="Amiri" w:hAnsi="Amiri" w:eastAsia="Amiri" w:cs="Amiri"/>
          <w:color w:val="111111"/>
          <w:sz w:val="28"/>
          <w:sz w:val="28"/>
          <w:szCs w:val="28"/>
          <w:rtl w:val="true"/>
          <w:lang w:bidi="ar-SA"/>
        </w:rPr>
        <w:t>بلد المال و الوجوب، و إن اختلفت لا يجزئ الرديء عن الجيّد بل اخرج من كلّ واحد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نخل يطلع في السنة مرّتين ففي ضمّ الثمرة الثانية إلى الاولى و عدمه بل لكلّ حكم نفسه خلاف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 الأوّل، و نسب إلى أكثر الأصحاب</w:t>
      </w:r>
      <w:r>
        <w:rPr>
          <w:rStyle w:val="FootnoteAnchor"/>
          <w:rtl w:val="true"/>
        </w:rPr>
        <w:footnoteReference w:id="2278"/>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كما عن الشيخ في جملة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في المبسوط</w:t>
      </w:r>
      <w:r>
        <w:rPr>
          <w:rStyle w:val="FootnoteAnchor"/>
          <w:rtl w:val="true"/>
        </w:rPr>
        <w:footnoteReference w:id="2279"/>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الوسيلة المصير إليه</w:t>
      </w:r>
      <w:r>
        <w:rPr>
          <w:rStyle w:val="FootnoteAnchor"/>
          <w:rtl w:val="true"/>
        </w:rPr>
        <w:footnoteReference w:id="2280"/>
      </w:r>
      <w:r>
        <w:rPr>
          <w:rFonts w:ascii="Amiri" w:hAnsi="Amiri" w:eastAsia="Amiri" w:cs="Amiri"/>
          <w:color w:val="111111"/>
          <w:sz w:val="28"/>
          <w:sz w:val="28"/>
          <w:szCs w:val="28"/>
          <w:rtl w:val="true"/>
          <w:lang w:bidi="ar-SA"/>
        </w:rPr>
        <w:t>و الأوّل أقرب لأنّهما ثمرة عام واحد فيتناوله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w:t>
      </w:r>
      <w:r>
        <w:rPr>
          <w:rStyle w:val="FootnoteAnchor"/>
          <w:rtl w:val="true"/>
        </w:rPr>
        <w:footnoteReference w:id="2281"/>
      </w:r>
      <w:r>
        <w:rPr>
          <w:rFonts w:ascii="Amiri" w:hAnsi="Amiri" w:eastAsia="Amiri" w:cs="Amiri"/>
          <w:color w:val="111111"/>
          <w:sz w:val="28"/>
          <w:sz w:val="28"/>
          <w:szCs w:val="28"/>
          <w:rtl w:val="true"/>
          <w:lang w:bidi="ar-SA"/>
        </w:rPr>
        <w:t>و احتجاج الشيخ على ما حكي بأنّهما في حكم ثمرة سنتين، محلّ منع بل مصادرة واضحة</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2586771_1280447820"/>
      <w:bookmarkStart w:id="495" w:name="_Toc184"/>
      <w:bookmarkEnd w:id="494"/>
      <w:r>
        <w:rPr>
          <w:rtl w:val="true"/>
        </w:rPr>
        <w:t>المسألة السادسة</w:t>
      </w:r>
      <w:r>
        <w:rPr>
          <w:rtl w:val="true"/>
        </w:rPr>
        <w:t>: [</w:t>
      </w:r>
      <w:r>
        <w:rPr>
          <w:rtl w:val="true"/>
        </w:rPr>
        <w:t>عدم كفاية الرطب للزكاة</w:t>
      </w:r>
      <w:r>
        <w:rPr>
          <w:rtl w:val="true"/>
        </w:rPr>
        <w:t>]</w:t>
      </w:r>
      <w:bookmarkEnd w:id="495"/>
    </w:p>
    <w:p>
      <w:pPr>
        <w:pStyle w:val="BookText"/>
        <w:rPr/>
      </w:pPr>
      <w:r>
        <w:rPr>
          <w:rFonts w:ascii="Amiri" w:hAnsi="Amiri" w:eastAsia="Amiri" w:cs="Amiri"/>
          <w:color w:val="111111"/>
          <w:sz w:val="28"/>
          <w:sz w:val="28"/>
          <w:szCs w:val="28"/>
          <w:rtl w:val="true"/>
          <w:lang w:bidi="ar-SA"/>
        </w:rPr>
        <w:t>لا يجوز للساعي أخذ الرطب عن التمر و العنب عن الزبيب أصالة، و لو أخذه لم يكن مجزئا كما هو المصرّح به في كلام جماعة</w:t>
      </w:r>
      <w:r>
        <w:rPr>
          <w:rStyle w:val="FootnoteAnchor"/>
          <w:rtl w:val="true"/>
        </w:rPr>
        <w:footnoteReference w:id="2282"/>
      </w:r>
      <w:r>
        <w:rPr>
          <w:rFonts w:ascii="Amiri" w:hAnsi="Amiri" w:eastAsia="Amiri" w:cs="Amiri"/>
          <w:color w:val="111111"/>
          <w:sz w:val="28"/>
          <w:sz w:val="28"/>
          <w:szCs w:val="28"/>
          <w:rtl w:val="true"/>
          <w:lang w:bidi="ar-SA"/>
        </w:rPr>
        <w:t>بل الظاهر عدم الخلاف فيه إلاّ في بعض فروض المسألة كما تعرفه، لا لنقصانه إذا جفّ بل لعدم كونه من أفراد المأمور به، فإنّ الزكاة تتعلّق بالعين فالواجب هو العشر أو نصف العشر من التمر و الزبيب، و الرطب ليس تمرا كما أنّ العنب ليس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ضعف ما عن منتهى العلاّمة من استقرابه إجزاء الرطب عن التمر إذا اخرج منه ما لو جفّ لكان بقدر الواجب تعليلا بتسمية الرطب تمرا في اللغة</w:t>
      </w:r>
      <w:r>
        <w:rPr>
          <w:rStyle w:val="FootnoteAnchor"/>
          <w:rtl w:val="true"/>
        </w:rPr>
        <w:footnoteReference w:id="2283"/>
      </w:r>
      <w:r>
        <w:rPr>
          <w:rFonts w:ascii="Amiri" w:hAnsi="Amiri" w:eastAsia="Amiri" w:cs="Amiri"/>
          <w:color w:val="111111"/>
          <w:sz w:val="28"/>
          <w:sz w:val="28"/>
          <w:szCs w:val="28"/>
          <w:rtl w:val="true"/>
          <w:lang w:bidi="ar-SA"/>
        </w:rPr>
        <w:t>لكون تعليله عليلا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أخذه قيمة كان جائزا إن سوّغنا إخراج القيمة في غير النقدين كما مرّ تحقيقه، كما أنّه يجزئ أخذ الرطب و التمر لو اخرجا عن مثلهما إن سوّغنا تعلّق الزكاة </w:t>
      </w:r>
      <w:bookmarkStart w:id="496" w:name="pg16181_154744"/>
    </w:p>
    <w:p>
      <w:pPr>
        <w:pStyle w:val="BookText"/>
        <w:rPr/>
      </w:pPr>
      <w:bookmarkEnd w:id="496"/>
      <w:r>
        <w:rPr>
          <w:rFonts w:ascii="Amiri" w:hAnsi="Amiri" w:eastAsia="Amiri" w:cs="Amiri"/>
          <w:color w:val="111111"/>
          <w:sz w:val="28"/>
          <w:sz w:val="28"/>
          <w:szCs w:val="28"/>
          <w:rtl w:val="true"/>
          <w:lang w:bidi="ar-SA"/>
        </w:rPr>
        <w:t>بهما حال الرطبيّة و التمريّة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أخذ الساعي الرطب و العنب عن التمر و الزبيب و جفّ‌، كان له بعد الجفاف أخذه عن الواجب، و إن نقص يرجع على المالك بالنقصان، و إن زاد ردّ إليه الزائد، و لو أراد المالك استرجاع الجميع و دفع بدله كان له ذلك لعدم خروج ما دفعه من الرطب و العنب عن ملكه، كما أنّه لو أراد بعد الجفاف إبقاءه عن الواجب و دفع النقصان كان له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الأحكام مع وضوحها مصرّح به في كلام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المبسوط و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أخذه الساعي كذلك وجب ردّه، فإن تلف ضمنه</w:t>
      </w:r>
      <w:r>
        <w:rPr>
          <w:rFonts w:eastAsia="Amiri" w:cs="Amiri" w:ascii="Amiri" w:hAnsi="Amiri"/>
          <w:color w:val="111111"/>
          <w:sz w:val="28"/>
          <w:szCs w:val="28"/>
          <w:rtl w:val="true"/>
          <w:lang w:bidi="ar-SA"/>
        </w:rPr>
        <w:t>»</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استشكل بعض مشايخنا ضمانه فيما لو علم الدافع بالفساد دون الساعي تعليلا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المالك هو الّذي غرّر بماله و سلّط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مع علمهما معا به</w:t>
      </w:r>
      <w:r>
        <w:rPr>
          <w:rFonts w:eastAsia="Amiri" w:cs="Amiri" w:ascii="Amiri" w:hAnsi="Amiri"/>
          <w:color w:val="111111"/>
          <w:sz w:val="28"/>
          <w:szCs w:val="28"/>
          <w:rtl w:val="true"/>
          <w:lang w:bidi="ar-SA"/>
        </w:rPr>
        <w:t>»</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الذبّ عنه بأنّ المالك في دفعه إليه و إن كان عالما بالفساد إلاّ أنّه دفعه مع العلم بالفساد على وجه كان له استرجاعه و دفع بدله، أو دفعه الصحيح بعد الجفاف مع دفع النقصان، أو استرجاع الزيادة إن كان، فلم يسلّطه عليه بحيث لو أتلفه أو تلف في يده لم يكن له الرجوع عليه، فإطلاق القول بالضمان في محلّه فتأمّل</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2586773_1280447820"/>
      <w:bookmarkStart w:id="498" w:name="_Toc185"/>
      <w:bookmarkEnd w:id="497"/>
      <w:r>
        <w:rPr>
          <w:rtl w:val="true"/>
        </w:rPr>
        <w:t>المسألة السابعة</w:t>
      </w:r>
      <w:r>
        <w:rPr>
          <w:rtl w:val="true"/>
        </w:rPr>
        <w:t>: [</w:t>
      </w:r>
      <w:r>
        <w:rPr>
          <w:rtl w:val="true"/>
        </w:rPr>
        <w:t>لو مات المالك و عليه دين</w:t>
      </w:r>
      <w:r>
        <w:rPr>
          <w:rtl w:val="true"/>
        </w:rPr>
        <w:t>]</w:t>
      </w:r>
      <w:bookmarkEnd w:id="498"/>
    </w:p>
    <w:p>
      <w:pPr>
        <w:pStyle w:val="Heading6"/>
        <w:numPr>
          <w:ilvl w:val="5"/>
          <w:numId w:val="1"/>
        </w:numPr>
        <w:rPr/>
      </w:pPr>
      <w:bookmarkStart w:id="499" w:name="__RefHeading___Toc2586775_1280447820"/>
      <w:bookmarkStart w:id="500" w:name="_Toc186"/>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لو مات المالك للنخيل أو الكروم أو الزرع و عليه دين فله باعتبار وجوب الزكاة و عدم وجوبها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موته بعد ظهور الثمرة و بلوغها الحدّ الّذي يتعلّق بها الزكاة و قضيّة الفرض أن يتعلّق وجوبها بالنصاب قبل الموت، و الدين غير مانع منه فيجب إخراجها بعد الموت من أصل المال بلا خلاف يظهر بل إجماعا كما في المدارك</w:t>
      </w:r>
      <w:r>
        <w:rPr>
          <w:rFonts w:eastAsia="Amiri" w:cs="Amiri" w:ascii="Amiri" w:hAnsi="Amiri"/>
          <w:color w:val="111111"/>
          <w:sz w:val="28"/>
          <w:szCs w:val="28"/>
          <w:rtl w:val="true"/>
          <w:lang w:bidi="ar-SA"/>
        </w:rPr>
        <w:t>.</w:t>
      </w:r>
      <w:r>
        <w:rPr>
          <w:rStyle w:val="FootnoteAnchor"/>
          <w:rtl w:val="true"/>
        </w:rPr>
        <w:footnoteReference w:id="2286"/>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الدين مستغرقا لباقي التركة بعد إخراجها و لو ضاقت التركة من أصلها أو </w:t>
      </w:r>
    </w:p>
    <w:p>
      <w:pPr>
        <w:pStyle w:val="BookText"/>
        <w:rPr/>
      </w:pPr>
      <w:r>
        <w:rPr>
          <w:rFonts w:ascii="Amiri" w:hAnsi="Amiri" w:eastAsia="Amiri" w:cs="Amiri"/>
          <w:color w:val="111111"/>
          <w:sz w:val="28"/>
          <w:sz w:val="28"/>
          <w:szCs w:val="28"/>
          <w:rtl w:val="true"/>
          <w:lang w:bidi="ar-SA"/>
        </w:rPr>
        <w:t>الباقي منها بعد إخراج الزكاة عن الدين ففي وجوب تقديم الزكاة كما عليه الأكثر</w:t>
      </w:r>
      <w:r>
        <w:rPr>
          <w:rStyle w:val="FootnoteAnchor"/>
          <w:rtl w:val="true"/>
        </w:rPr>
        <w:footnoteReference w:id="2287"/>
      </w:r>
      <w:r>
        <w:rPr>
          <w:rFonts w:ascii="IRNazanin" w:hAnsi="IRNazanin" w:eastAsia="IRNazanin"/>
          <w:color w:val="111111"/>
          <w:sz w:val="28"/>
          <w:sz w:val="28"/>
          <w:szCs w:val="28"/>
          <w:rtl w:val="true"/>
          <w:lang w:bidi="fa-IR"/>
        </w:rPr>
        <w:t>أو وقوع التحاصّ‌</w:t>
      </w:r>
      <w:r>
        <w:rPr>
          <w:rStyle w:val="FootnoteAnchor"/>
          <w:rtl w:val="true"/>
        </w:rPr>
        <w:footnoteReference w:id="2288"/>
      </w:r>
      <w:r>
        <w:rPr>
          <w:rFonts w:ascii="Amiri" w:hAnsi="Amiri" w:eastAsia="Amiri" w:cs="Amiri"/>
          <w:color w:val="111111"/>
          <w:sz w:val="28"/>
          <w:sz w:val="28"/>
          <w:szCs w:val="28"/>
          <w:rtl w:val="true"/>
          <w:lang w:bidi="ar-SA"/>
        </w:rPr>
        <w:t>و وجوب التقسيط بين أصحاب الدين و أرباب الزكاة كما عن الشيخ في المبسوط</w:t>
      </w:r>
      <w:r>
        <w:rPr>
          <w:rStyle w:val="FootnoteAnchor"/>
          <w:rtl w:val="true"/>
        </w:rPr>
        <w:footnoteReference w:id="2289"/>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 لأنّ الزكاة تجب في العين، و الدين يجب في الذمّة، و المفروض سبق تعلّقها بالثمرة في حياته قبل الموت، و هذا يوجب خروج القدر الواجب عن ملك المديون فلا يكون من تركته الّتي يتعلّق بها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المناقشة فيه بأنّ الزكاة إنّما يتعلّق بالعين ما دام المالك حيّا لا مطلقا حتّى بعد الموت،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تعلّقها بالعين حال الحياة و سقوطها بالموت ممّا لا دليل عليه، فيحكم ببقاء التعلّق بالاستصحاب، مضافا إلى استصحاب استحقاق الفقراء إيّاها، هذا مضافا إلى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أنّ وجوب إخراج العشر على المالك المستفاد من الرواية قد سقط عنه بموته، يندفع بأنّه و إن كان يسقط عن الميّت إلاّ أنّه يتوجّه خطاب الإخراج إلى الوارث، كما لو نذر اضحيّة حيوان بعينه فمات قبل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الاحتجاج لما اختاره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بأنّهما حقّان تعلّقا بهذه العين فوجب التقسيط</w:t>
      </w:r>
      <w:r>
        <w:rPr>
          <w:rFonts w:eastAsia="Amiri" w:cs="Amiri" w:ascii="Amiri" w:hAnsi="Amiri"/>
          <w:color w:val="111111"/>
          <w:sz w:val="28"/>
          <w:szCs w:val="28"/>
          <w:rtl w:val="true"/>
          <w:lang w:bidi="ar-SA"/>
        </w:rPr>
        <w:t>»</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الدين بالقدر الواجب من النصاب لسبق تعلّق الزكاة به محال، لخروجه عن ملك الميّت في حياته و عدم كونه بعد مماته جزء من تركته كسهم الشريك من المال المشترك إذا مات أحد الشريكين و عليه دين مستغرق، نعم لو عدم عين النصاب بعد تعلّق الزكاة بها حال الحياة بحيث صارت في الذمّة كانت كسائر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مات مع استغراق الديون الّتي منها الزكاة وجب التحاصّ و التقسيط بلا إشكال، بل و لا خلاف ظاهر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موته قبل ظهور الثمرة مع استغراق دينه للتركة ثمّ ظهرت </w:t>
      </w:r>
      <w:bookmarkStart w:id="501" w:name="pg16181_154746"/>
    </w:p>
    <w:p>
      <w:pPr>
        <w:pStyle w:val="BookText"/>
        <w:rPr/>
      </w:pPr>
      <w:bookmarkEnd w:id="501"/>
      <w:r>
        <w:rPr>
          <w:rFonts w:ascii="Amiri" w:hAnsi="Amiri" w:eastAsia="Amiri" w:cs="Amiri"/>
          <w:color w:val="111111"/>
          <w:sz w:val="28"/>
          <w:sz w:val="28"/>
          <w:szCs w:val="28"/>
          <w:rtl w:val="true"/>
          <w:lang w:bidi="ar-SA"/>
        </w:rPr>
        <w:t>الثمرة و بلغت الحدّ الّذي يتعلّق به الزكاة، ففي وجوب إخراج زكاتها عند بلوغها النصاب مع وحدة الوارث أو تعدّده مع بلوغ نصيب كلّ واحد أو نصيب بعضهم منها النصاب، و عدم وجوبه وجهان مبنيّان على الخلاف في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الميّت و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في حكم مال الميّت و لا تنتقل إلى الورثة، أو تنتقل إليهم‌؟</w:t>
      </w:r>
    </w:p>
    <w:p>
      <w:pPr>
        <w:pStyle w:val="BookText"/>
        <w:rPr/>
      </w:pPr>
      <w:r>
        <w:rPr>
          <w:rFonts w:ascii="Amiri" w:hAnsi="Amiri" w:eastAsia="Amiri" w:cs="Amiri"/>
          <w:color w:val="111111"/>
          <w:sz w:val="28"/>
          <w:sz w:val="28"/>
          <w:szCs w:val="28"/>
          <w:rtl w:val="true"/>
          <w:lang w:bidi="ar-SA"/>
        </w:rPr>
        <w:t>فعلى القول بعدم انتقالها إليهم و إنّها في حكم مال الميّت لا يجب زكاتها لا على الميّت لخروجه بالموت عن صلاحية توجّه الخطاب إليه، و لا على الوارث لانتفاء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بانتقالها إليه ففي وجوب الزكاة عليه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اختاره في المدارك</w:t>
      </w:r>
      <w:r>
        <w:rPr>
          <w:rStyle w:val="FootnoteAnchor"/>
          <w:rtl w:val="true"/>
        </w:rPr>
        <w:footnoteReference w:id="2292"/>
      </w:r>
      <w:r>
        <w:rPr>
          <w:rFonts w:ascii="Amiri" w:hAnsi="Amiri" w:eastAsia="Amiri" w:cs="Amiri"/>
          <w:color w:val="111111"/>
          <w:sz w:val="28"/>
          <w:sz w:val="28"/>
          <w:szCs w:val="28"/>
          <w:rtl w:val="true"/>
          <w:lang w:bidi="ar-SA"/>
        </w:rPr>
        <w:t>و وافقه بعض مشايخنا</w:t>
      </w:r>
      <w:r>
        <w:rPr>
          <w:rStyle w:val="FootnoteAnchor"/>
          <w:rtl w:val="true"/>
        </w:rPr>
        <w:footnoteReference w:id="2293"/>
      </w:r>
      <w:r>
        <w:rPr>
          <w:rFonts w:ascii="Amiri" w:hAnsi="Amiri" w:eastAsia="Amiri" w:cs="Amiri"/>
          <w:color w:val="111111"/>
          <w:sz w:val="28"/>
          <w:sz w:val="28"/>
          <w:szCs w:val="28"/>
          <w:rtl w:val="true"/>
          <w:lang w:bidi="ar-SA"/>
        </w:rPr>
        <w:t>لكون الثمرة إنّما حدثت في ملكه فتكون ملكا له فعليه الزكاة لتحقّق شروط وجوبها الّتي منها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الوجوب، و اختاره في المسالك و حاشية الشرائع محتجّا في الأوّل بما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الوارث و إن كان مالكا للتركة إلاّ أنّه محجور عليه من التصرّف فيها لتعلّق الديون بها كتعلّقها بالرهن، فشرط الوجوب و هو التمكّن من التصرّف غير موجود</w:t>
      </w:r>
      <w:r>
        <w:rPr>
          <w:rFonts w:eastAsia="Amiri" w:cs="Amiri" w:ascii="Amiri" w:hAnsi="Amiri"/>
          <w:color w:val="111111"/>
          <w:sz w:val="28"/>
          <w:szCs w:val="28"/>
          <w:rtl w:val="true"/>
          <w:lang w:bidi="ar-SA"/>
        </w:rPr>
        <w:t>»</w:t>
      </w:r>
      <w:r>
        <w:rPr>
          <w:rStyle w:val="FootnoteAnchor"/>
          <w:rtl w:val="true"/>
        </w:rPr>
        <w:footnoteReference w:id="2294"/>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الملك غير تامّ لتعلّق الدين بها</w:t>
      </w:r>
      <w:r>
        <w:rPr>
          <w:rFonts w:eastAsia="Amiri" w:cs="Amiri" w:ascii="Amiri" w:hAnsi="Amiri"/>
          <w:color w:val="111111"/>
          <w:sz w:val="28"/>
          <w:szCs w:val="28"/>
          <w:rtl w:val="true"/>
          <w:lang w:bidi="ar-SA"/>
        </w:rPr>
        <w:t>»</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بأنّه لو سلّم كون تعلّق الدين بها كتعلّق حقّ الرهانة فإنّما يتمّ ذلك في الاصول لأنّها من تركة الميّت لا في الثمرة لحدوثها في ملك الوارث و ليست جزء من التركة، كما أشار إليه في المدارك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يتعلّق بها الدين على ما قطع به الأصحاب لأنّها ليست جزء من التركة</w:t>
      </w:r>
      <w:r>
        <w:rPr>
          <w:rFonts w:eastAsia="Amiri" w:cs="Amiri" w:ascii="Amiri" w:hAnsi="Amiri"/>
          <w:color w:val="111111"/>
          <w:sz w:val="28"/>
          <w:szCs w:val="28"/>
          <w:rtl w:val="true"/>
          <w:lang w:bidi="ar-SA"/>
        </w:rPr>
        <w:t>»</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2" w:name="__RefHeading___Toc2586777_1280447820"/>
      <w:bookmarkStart w:id="503" w:name="_Toc187"/>
      <w:bookmarkEnd w:id="502"/>
      <w:r>
        <w:rPr>
          <w:rtl w:val="true"/>
        </w:rPr>
        <w:t>[</w:t>
      </w:r>
      <w:r>
        <w:rPr>
          <w:rtl w:val="true"/>
        </w:rPr>
        <w:t>الخلاف في انتقال التركة إلى الورّاث مع استيعاب الدين</w:t>
      </w:r>
      <w:r>
        <w:rPr>
          <w:rtl w:val="true"/>
        </w:rPr>
        <w:t>]</w:t>
      </w:r>
      <w:bookmarkEnd w:id="50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قد عرفت بناء الحكم في محلّ البحث على القولين في مسألة تركة المديون فينبغي صرف النظر في تحقيق تلك المسألة فنقول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الأصحاب بعد ما اتّفقوا على أنّ دين الميّت يتعلّق بتركته في الجملة، و على أنّ </w:t>
      </w:r>
    </w:p>
    <w:p>
      <w:pPr>
        <w:pStyle w:val="BookText"/>
        <w:rPr/>
      </w:pPr>
      <w:r>
        <w:rPr>
          <w:rFonts w:ascii="Amiri" w:hAnsi="Amiri" w:eastAsia="Amiri" w:cs="Amiri"/>
          <w:color w:val="111111"/>
          <w:sz w:val="28"/>
          <w:sz w:val="28"/>
          <w:szCs w:val="28"/>
          <w:rtl w:val="true"/>
          <w:lang w:bidi="ar-SA"/>
        </w:rPr>
        <w:t xml:space="preserve">التركة لا تنتقل إلى الديّان و لا إلى اللّه سبحانه، و على انتقالها إلى الورثة مع انتفاء الوصيّة 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كلام بعض مشايخنا</w:t>
      </w:r>
      <w:r>
        <w:rPr>
          <w:rStyle w:val="FootnoteAnchor"/>
          <w:rtl w:val="true"/>
        </w:rPr>
        <w:footnoteReference w:id="2297"/>
      </w:r>
      <w:r>
        <w:rPr>
          <w:rFonts w:ascii="Amiri" w:hAnsi="Amiri" w:eastAsia="Amiri" w:cs="Amiri"/>
          <w:color w:val="111111"/>
          <w:sz w:val="28"/>
          <w:sz w:val="28"/>
          <w:szCs w:val="28"/>
          <w:rtl w:val="true"/>
          <w:lang w:bidi="ar-SA"/>
        </w:rPr>
        <w:t>على كلّ من هذه الأحكام نقل الإجماع بقسميه، و عن بعضهم</w:t>
      </w:r>
      <w:r>
        <w:rPr>
          <w:rStyle w:val="FootnoteAnchor"/>
          <w:rtl w:val="true"/>
        </w:rPr>
        <w:footnoteReference w:id="2298"/>
      </w:r>
      <w:r>
        <w:rPr>
          <w:rFonts w:ascii="Amiri" w:hAnsi="Amiri" w:eastAsia="Amiri" w:cs="Amiri"/>
          <w:color w:val="111111"/>
          <w:sz w:val="28"/>
          <w:sz w:val="28"/>
          <w:szCs w:val="28"/>
          <w:rtl w:val="true"/>
          <w:lang w:bidi="ar-SA"/>
        </w:rPr>
        <w:t>أيضا 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انتقال الفاضل عن الدين مع عدم الوصيّة و على انتقال الزائد على الثلث إليهم و لو مع الوصيّة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على ما حرّره بعض مشايخنا</w:t>
      </w:r>
      <w:r>
        <w:rPr>
          <w:rStyle w:val="FootnoteAnchor"/>
          <w:rtl w:val="true"/>
        </w:rPr>
        <w:footnoteReference w:id="2299"/>
      </w:r>
      <w:r>
        <w:rPr>
          <w:rFonts w:ascii="Amiri" w:hAnsi="Amiri" w:eastAsia="Amiri" w:cs="Amiri"/>
          <w:color w:val="111111"/>
          <w:sz w:val="28"/>
          <w:sz w:val="28"/>
          <w:szCs w:val="28"/>
          <w:rtl w:val="true"/>
          <w:lang w:bidi="ar-SA"/>
        </w:rPr>
        <w:t>في انتقالها أجمع إليهم مع استيعاب الدين و انتقال ما قابل منها الدين مع عدم الاستيعاب، و عدمه، بل هي في الصورتين في حكم مال الميّت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الانتقال، و هو لجماعة</w:t>
      </w:r>
      <w:r>
        <w:rPr>
          <w:rStyle w:val="FootnoteAnchor"/>
          <w:rtl w:val="true"/>
        </w:rPr>
        <w:footnoteReference w:id="2300"/>
      </w:r>
      <w:r>
        <w:rPr>
          <w:rFonts w:ascii="Amiri" w:hAnsi="Amiri" w:eastAsia="Amiri" w:cs="Amiri"/>
          <w:color w:val="111111"/>
          <w:sz w:val="28"/>
          <w:sz w:val="28"/>
          <w:szCs w:val="28"/>
          <w:rtl w:val="true"/>
          <w:lang w:bidi="ar-SA"/>
        </w:rPr>
        <w:t>و عن المسالك و المفاتيح نسبته إلى الأكثر</w:t>
      </w:r>
      <w:r>
        <w:rPr>
          <w:rStyle w:val="FootnoteAnchor"/>
          <w:rtl w:val="true"/>
        </w:rPr>
        <w:footnoteReference w:id="2301"/>
      </w:r>
      <w:r>
        <w:rPr>
          <w:rFonts w:ascii="Amiri" w:hAnsi="Amiri" w:eastAsia="Amiri" w:cs="Amiri"/>
          <w:color w:val="111111"/>
          <w:sz w:val="28"/>
          <w:sz w:val="28"/>
          <w:szCs w:val="28"/>
          <w:rtl w:val="true"/>
          <w:lang w:bidi="ar-SA"/>
        </w:rPr>
        <w:t>و عن الحلّي في وصايا السرائر نفي الخلاف عنه</w:t>
      </w:r>
      <w:r>
        <w:rPr>
          <w:rStyle w:val="FootnoteAnchor"/>
          <w:rtl w:val="true"/>
        </w:rPr>
        <w:footnoteReference w:id="2302"/>
      </w:r>
      <w:r>
        <w:rPr>
          <w:rFonts w:ascii="Amiri" w:hAnsi="Amiri" w:eastAsia="Amiri" w:cs="Amiri"/>
          <w:color w:val="111111"/>
          <w:sz w:val="28"/>
          <w:sz w:val="28"/>
          <w:szCs w:val="28"/>
          <w:rtl w:val="true"/>
          <w:lang w:bidi="ar-SA"/>
        </w:rPr>
        <w:t>و في دينه جعله من اصول مذهبنا</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بالانتقال، و هو لجماعة آخرين</w:t>
      </w:r>
      <w:r>
        <w:rPr>
          <w:rStyle w:val="FootnoteAnchor"/>
          <w:rtl w:val="true"/>
        </w:rPr>
        <w:footnoteReference w:id="2304"/>
      </w:r>
      <w:r>
        <w:rPr>
          <w:rFonts w:ascii="Amiri" w:hAnsi="Amiri" w:eastAsia="Amiri" w:cs="Amiri"/>
          <w:color w:val="111111"/>
          <w:sz w:val="28"/>
          <w:sz w:val="28"/>
          <w:szCs w:val="28"/>
          <w:rtl w:val="true"/>
          <w:lang w:bidi="ar-SA"/>
        </w:rPr>
        <w:t>و عن بعضهم استظهار كونه المشهور، و في المحكيّ عن تذكرة العلاّمة ما ظاهره الإجماع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عندنا أنّ التركة تنتقل إلى الوارث</w:t>
      </w:r>
      <w:r>
        <w:rPr>
          <w:rFonts w:eastAsia="Amiri" w:cs="Amiri" w:ascii="Amiri" w:hAnsi="Amiri"/>
          <w:color w:val="111111"/>
          <w:sz w:val="28"/>
          <w:szCs w:val="28"/>
          <w:rtl w:val="true"/>
          <w:lang w:bidi="ar-SA"/>
        </w:rPr>
        <w:t>»</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أصحاب القولين بأساميهم شيخنا في أواخر حجر الجواهر</w:t>
      </w:r>
      <w:r>
        <w:rPr>
          <w:rStyle w:val="FootnoteAnchor"/>
          <w:rtl w:val="true"/>
        </w:rPr>
        <w:footnoteReference w:id="2306"/>
      </w:r>
      <w:r>
        <w:rPr>
          <w:rFonts w:ascii="Amiri" w:hAnsi="Amiri" w:eastAsia="Amiri" w:cs="Amiri"/>
          <w:color w:val="111111"/>
          <w:sz w:val="28"/>
          <w:sz w:val="28"/>
          <w:szCs w:val="28"/>
          <w:rtl w:val="true"/>
          <w:lang w:bidi="ar-SA"/>
        </w:rPr>
        <w:t>و معلوم أنّ النزاع إنّما هو قبل أداء الوارث و قضائه الدين من مال نفسه، و أمّا بعده فلا خلاف لأحد في انتقال التركة بأجمعها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الأوّل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Style w:val="FootnoteAnchor"/>
          <w:rtl w:val="true"/>
        </w:rPr>
        <w:footnoteReference w:id="2307"/>
      </w:r>
      <w:r>
        <w:rPr>
          <w:rFonts w:ascii="Amiri" w:hAnsi="Amiri" w:eastAsia="Amiri" w:cs="Amiri"/>
          <w:color w:val="111111"/>
          <w:sz w:val="28"/>
          <w:sz w:val="28"/>
          <w:szCs w:val="28"/>
          <w:rtl w:val="true"/>
          <w:lang w:bidi="ar-SA"/>
        </w:rPr>
        <w:t>عقيب اللام المتكرّر في الآية السابقة الظاهرة في الملك لا استقراره، فيدلّ على أنّ ملك الورثة للتركة إنّما هو بعد الدين، على معنى كون ملكهم لسهامهم من التركة مراعى بأداء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شرط صحّة الميراث و انتقاله أن يكون ما يفضل عن الدين فلا يملك الوارث إلاّ بعد قضاء الدين إلى آخره للآية الظاهرة في أنّ ملك السهام بعد الدين، لظهور اللام في الملك لا استقراره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عبّاد بن 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بسبب الاختلاف في حاله بين الصحيح و الموثّق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فرّط في إخراج زكاته في حياته فلمّا حضرته الوفاة حسب جميع ما فرّط فيه ممّا يلزمه من الزكاة ثمّ أوصى به أن يخرج ذلك فيدفع إلى من يجب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يخرج ذلك من جميع المال إنّما هو بمنزلة دين لو كان عليه، ليس للورثة شيء حتّى يؤدّوا ما أوصى به من الزكاة</w:t>
      </w:r>
      <w:r>
        <w:rPr>
          <w:rFonts w:eastAsia="Amiri" w:cs="Amiri" w:ascii="Amiri" w:hAnsi="Amiri"/>
          <w:color w:val="111111"/>
          <w:sz w:val="28"/>
          <w:szCs w:val="28"/>
          <w:rtl w:val="true"/>
          <w:lang w:bidi="ar-SA"/>
        </w:rPr>
        <w:t>»</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سليمان بن خالد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دية المقتول أنّه يرثها الورثة على كتاب اللّه و سهامهم إذا لم يكن على المقتول دين</w:t>
      </w:r>
      <w:r>
        <w:rPr>
          <w:rFonts w:eastAsia="Amiri" w:cs="Amiri" w:ascii="Amiri" w:hAnsi="Amiri"/>
          <w:color w:val="111111"/>
          <w:sz w:val="28"/>
          <w:szCs w:val="28"/>
          <w:rtl w:val="true"/>
          <w:lang w:bidi="ar-SA"/>
        </w:rPr>
        <w:t>»</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السيرة المستمرّة على تبعيّة النماء للتركة في وفاء الدين، و هو مستلزم لبقائها على حكم مال الميّت لا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اجيب عن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الإجماع على ملك الوارث للثلثين مع الوصيّة بالثلث، و الإجماع الّذي حكاه بعضهم، مع شهادة التتبّع له على ملكه للزائد على مقابل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مسوقة لبيان أنّ هذه السهام يعتبر إخراجها ممّا بقى من التركة بعد الثلث و الدين أو أحدهما لا من أصل التركة دفعا لتخيّل كونها من أصل المال، لا لبيان أنّ ملك الورثة لسهامهم لا يكون إلاّ بعد أداء الدين أو عزله عن التركة لئلاّ ينافي الإجماع المذكور، و كون السهام إنّما يعتبر إخراجها ممّا بقى من الدين لا من الأصل، لا ينافي انتقال جميع التركة إلى الورثة قبل قيامهم بأداء الدين و لو من مالهم الآخر</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دلالة الآية على مطلب المستدلّ و عدم دلالتها على اختلاف الأنظار في 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يُوصِينَ بِهٰا أَوْ دَيْنٍ‌ المتكرّر في مواضع أربع قيدا لمدلول اللام المتكرّرة و هي الملكيّة أو قيدا للسهام المذكورة في الآيات، و بعبارة اخرى هل هو من قيود الحكم و هو الملكيّة، أو من قيود موضوعه و هو كلّ واحد من السهام‌؟ ففي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رَجُلٌ يُورَثُ كَلاٰلَةً أَوِ اِمْرَأَةٌ وَ لَهُ أَخٌ أَوْ أُخْتٌ فَلِكُلِّ وٰاحِدٍ مِنْهُمَا اَلسُّدُسُ </w:t>
      </w:r>
    </w:p>
    <w:p>
      <w:pPr>
        <w:pStyle w:val="BookText"/>
        <w:rPr/>
      </w:pPr>
      <w:r>
        <w:rPr>
          <w:rFonts w:ascii="Amiri" w:hAnsi="Amiri" w:eastAsia="Amiri" w:cs="Amiri"/>
          <w:color w:val="111111"/>
          <w:sz w:val="28"/>
          <w:sz w:val="28"/>
          <w:szCs w:val="28"/>
          <w:rtl w:val="true"/>
          <w:lang w:bidi="ar-SA"/>
        </w:rPr>
        <w:t xml:space="preserve">فَإِنْ كٰانُوا أَكْثَرَ مِنْ ذٰلِكَ فَهُمْ شُرَكٰاءُ فِي اَلثُّلُثِ مِنْ بَعْدِ وَصِيَّةٍ يُوصىٰ بِهٰا أَوْ دَيْنٍ غَيْرَ مُضَارٍّ وَصِيَّةً مِنَ اَللّٰهِ وَ اَللّٰهُ 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قيد للملكيّة المستفادة من اللام و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شُرَكٰاءُ‌ أو ل‍ اَلسُّدُسُ‌ و اَلثُّلُثِ‌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هو الثاني بل هو المتعيّن، لأنّ التركيب النحوي عند التأمّل لا يتحمّل الأوّل لما قرّر من أنّ الظرف بعد المعرفة في محلّ النصب على أن يكون حالا فلا بدّ و أن يكون المعرفة مفعولا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أو فاعلا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لكونه فاعلا للظرف الأوّل أعني لكلّ واحد منهما باعتبار متعلّقه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ليكون الحال مبيّنا لهيئته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فثبت لكلّ واحد منهما السدس و إن كانوا أكثر من ذلك فهم شركاء في الثلث حال كونهما أي السدس و الثلث من بعد الوصيّة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فالمتّصف بالبعديّة هو نفس السدس و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تُوصُونَ بِهٰا أَوْ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بَعْدِ وَصِيَّةٍ يُوصِينَ بِهٰا أَوْ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Style w:val="FootnoteAnchor"/>
          <w:rtl w:val="true"/>
        </w:rPr>
        <w:footnoteReference w:id="2311"/>
      </w:r>
      <w:r>
        <w:rPr>
          <w:rFonts w:ascii="Amiri" w:hAnsi="Amiri" w:eastAsia="Amiri" w:cs="Amiri"/>
          <w:color w:val="111111"/>
          <w:sz w:val="28"/>
          <w:sz w:val="28"/>
          <w:szCs w:val="28"/>
          <w:rtl w:val="true"/>
          <w:lang w:bidi="ar-SA"/>
        </w:rPr>
        <w:t>كلّ بالقياس إلى ما قبله من السهام المقدّرة في المواضع الثلاثة، فالآية بالقياس إلى انتقال جميع التركة إلى الورثة قبل أداء الدين ساكتة نفيا و إثباتا فلا تنهض دليلا على مطلب المستدلّ‌،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صحيح عبّاد بن صهيب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للورثة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الإجماع المحكيّ على أنّهم يملكون الفاضل عن الدين غير ممكن، فلا بدّ من حمله حينئذ على نفي جواز التصرّف، أو نفي استقرار الملك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تخصيص الشيء بما يقابل الدين يوجب إلغاء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يؤدّوا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المعنى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شيء من مقابل الدين حتّى يؤدّوه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بعد التأدية غير باق ليكون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قبل التأدية و بعده ليس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التأدية من مالهم لا من التركة خلاف ظاهر آخر</w:t>
      </w:r>
      <w:r>
        <w:rPr>
          <w:rFonts w:eastAsia="Amiri" w:cs="Amiri" w:ascii="Amiri" w:hAnsi="Amiri"/>
          <w:color w:val="111111"/>
          <w:sz w:val="28"/>
          <w:szCs w:val="28"/>
          <w:rtl w:val="true"/>
          <w:lang w:bidi="ar-SA"/>
        </w:rPr>
        <w:t>.</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الإجماع على انتقال الفاضل عن الدين إليهم محصّله غير معلوم </w:t>
      </w:r>
    </w:p>
    <w:p>
      <w:pPr>
        <w:pStyle w:val="BookText"/>
        <w:rPr/>
      </w:pPr>
      <w:r>
        <w:rPr>
          <w:rFonts w:ascii="Amiri" w:hAnsi="Amiri" w:eastAsia="Amiri" w:cs="Amiri"/>
          <w:color w:val="111111"/>
          <w:sz w:val="28"/>
          <w:sz w:val="28"/>
          <w:szCs w:val="28"/>
          <w:rtl w:val="true"/>
          <w:lang w:bidi="ar-SA"/>
        </w:rPr>
        <w:t>و منقوله موهون، يكون كلماتهم بين ظاهر و صريح في وجود الخلاف في الانتقال و عدمه بالقياس إلى الفاضل أيضا، فمن الظاهرة إطلاق الدين في القواعد</w:t>
      </w:r>
      <w:r>
        <w:rPr>
          <w:rStyle w:val="FootnoteAnchor"/>
          <w:rtl w:val="true"/>
        </w:rPr>
        <w:footnoteReference w:id="2313"/>
      </w:r>
      <w:r>
        <w:rPr>
          <w:rFonts w:ascii="IRNazanin" w:hAnsi="IRNazanin" w:eastAsia="IRNazanin"/>
          <w:color w:val="111111"/>
          <w:sz w:val="28"/>
          <w:sz w:val="28"/>
          <w:szCs w:val="28"/>
          <w:rtl w:val="true"/>
          <w:lang w:bidi="fa-IR"/>
        </w:rPr>
        <w:t>و جامع المقاصد</w:t>
      </w:r>
      <w:r>
        <w:rPr>
          <w:rStyle w:val="FootnoteAnchor"/>
          <w:rtl w:val="true"/>
        </w:rPr>
        <w:footnoteReference w:id="2314"/>
      </w:r>
      <w:r>
        <w:rPr>
          <w:rFonts w:ascii="Amiri" w:hAnsi="Amiri" w:eastAsia="Amiri" w:cs="Amiri"/>
          <w:color w:val="111111"/>
          <w:sz w:val="28"/>
          <w:sz w:val="28"/>
          <w:szCs w:val="28"/>
          <w:rtl w:val="true"/>
          <w:lang w:bidi="ar-SA"/>
        </w:rPr>
        <w:t>و غيرهما فإنّه يقضي بكون الدين في كلام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في الدين المستوعب و غيره، و من الصريحة عبارة المسالك في محلّ بحثنا من باب الزكاة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قلنا بأنّ التركة على حكم مال الميّت إلى أن يوفي الدين سواء كان مستوعبا لها أم لا لا إشكال في عدم وجوب الزكاة على الوارث و إن فضل له عن الدين نصاب لعدم ملكه إيّاه عند صلاحية الوجوب</w:t>
      </w:r>
      <w:r>
        <w:rPr>
          <w:rFonts w:eastAsia="Amiri" w:cs="Amiri" w:ascii="Amiri" w:hAnsi="Amiri"/>
          <w:color w:val="111111"/>
          <w:sz w:val="28"/>
          <w:szCs w:val="28"/>
          <w:rtl w:val="true"/>
          <w:lang w:bidi="ar-SA"/>
        </w:rPr>
        <w:t>»</w:t>
      </w:r>
      <w:r>
        <w:rPr>
          <w:rStyle w:val="FootnoteAnchor"/>
          <w:rtl w:val="true"/>
        </w:rPr>
        <w:footnoteReference w:id="2315"/>
      </w:r>
      <w:r>
        <w:rPr>
          <w:rFonts w:ascii="Amiri" w:hAnsi="Amiri" w:eastAsia="Amiri" w:cs="Amiri"/>
          <w:color w:val="111111"/>
          <w:sz w:val="28"/>
          <w:sz w:val="28"/>
          <w:szCs w:val="28"/>
          <w:rtl w:val="true"/>
          <w:lang w:bidi="ar-SA"/>
        </w:rPr>
        <w:t>فإنّه يقضي بوجود القول بعدم الانتقال في الدين الغير المستوعب أيضا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عبارة الذخيرة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الدين مستوعبا للتركة و فضل لبعض الورثة أو جميعهم ما يبلغ النصاب مع بلوغ المال حدّ الوجوب قبل أداء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وجوب الزكاة عليه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عدم الوجوب، و هو مبنيّ عند القائل به على القول بعدم انتقال ما يفضل عن الدين إلى الوارث قبل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الوجوب، و هو مستقيم بناء على القول بانتقال الزائد إلى الورثة كما هو مذهب أكثر الأصحاب حتّى قيل إنّ القائل بخلافه غير معلوم</w:t>
      </w:r>
      <w:r>
        <w:rPr>
          <w:rFonts w:eastAsia="Amiri" w:cs="Amiri" w:ascii="Amiri" w:hAnsi="Amiri"/>
          <w:color w:val="111111"/>
          <w:sz w:val="28"/>
          <w:szCs w:val="28"/>
          <w:rtl w:val="true"/>
          <w:lang w:bidi="ar-SA"/>
        </w:rPr>
        <w:t>»</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مراده من القائل بنفي معلوميّة القائل بخلافه، صاحب المدارك قائلا في آخر كلامه عند شرح عبارة الشرائع</w:t>
      </w:r>
      <w:r>
        <w:rPr>
          <w:rStyle w:val="FootnoteAnchor"/>
          <w:rtl w:val="true"/>
        </w:rPr>
        <w:footnoteReference w:id="2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المالك و عليه دين</w:t>
      </w:r>
      <w:r>
        <w:rPr>
          <w:rFonts w:eastAsia="Amiri" w:cs="Amiri" w:ascii="Amiri" w:hAnsi="Amiri"/>
          <w:color w:val="111111"/>
          <w:sz w:val="28"/>
          <w:szCs w:val="28"/>
          <w:rtl w:val="true"/>
          <w:lang w:bidi="ar-SA"/>
        </w:rPr>
        <w:t>...»</w:t>
      </w:r>
      <w:r>
        <w:rPr>
          <w:rStyle w:val="FootnoteAnchor"/>
          <w:rtl w:val="true"/>
        </w:rPr>
        <w:footnoteReference w:id="2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الحمل مع بعده إنّما يتمّ إذا قلنا ببقاء التركة على حكم مال الميّت و إن لم يكن الدين محيطا بها، و المصنّف لا يقول بذلك، بل القائل به غير معلوم</w:t>
      </w:r>
      <w:r>
        <w:rPr>
          <w:rFonts w:eastAsia="Amiri" w:cs="Amiri" w:ascii="Amiri" w:hAnsi="Amiri"/>
          <w:color w:val="111111"/>
          <w:sz w:val="28"/>
          <w:szCs w:val="28"/>
          <w:rtl w:val="true"/>
          <w:lang w:bidi="ar-SA"/>
        </w:rPr>
        <w:t>»</w:t>
      </w:r>
      <w:r>
        <w:rPr>
          <w:rStyle w:val="FootnoteAnchor"/>
          <w:rtl w:val="true"/>
        </w:rPr>
        <w:footnoteReference w:id="23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كلماتهم في المقام مضطربة غاية الاضطراب، و به يتوهّن الإجماع محصّلا و منقولا، فلا مانع من الأخذ بظاهر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للورثة شيء</w:t>
      </w:r>
      <w:r>
        <w:rPr>
          <w:rFonts w:eastAsia="Amiri" w:cs="Amiri" w:ascii="Amiri" w:hAnsi="Amiri"/>
          <w:color w:val="111111"/>
          <w:sz w:val="28"/>
          <w:szCs w:val="28"/>
          <w:rtl w:val="true"/>
          <w:lang w:bidi="ar-SA"/>
        </w:rPr>
        <w:t>»</w:t>
      </w:r>
      <w:r>
        <w:rPr>
          <w:rStyle w:val="FootnoteAnchor"/>
          <w:rtl w:val="true"/>
        </w:rPr>
        <w:footnoteReference w:id="2320"/>
      </w:r>
      <w:r>
        <w:rPr>
          <w:rFonts w:ascii="Amiri" w:hAnsi="Amiri" w:eastAsia="Amiri" w:cs="Amiri"/>
          <w:color w:val="111111"/>
          <w:sz w:val="28"/>
          <w:sz w:val="28"/>
          <w:szCs w:val="28"/>
          <w:rtl w:val="true"/>
          <w:lang w:bidi="ar-SA"/>
        </w:rPr>
        <w:t>و هو عموم نفي الانتقال حتّى في الزائد على مقابل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مرجعه إلى أنّ وجود الدين و إن </w:t>
      </w:r>
    </w:p>
    <w:p>
      <w:pPr>
        <w:pStyle w:val="BookText"/>
        <w:rPr/>
      </w:pPr>
      <w:r>
        <w:rPr>
          <w:rFonts w:ascii="Amiri" w:hAnsi="Amiri" w:eastAsia="Amiri" w:cs="Amiri"/>
          <w:color w:val="111111"/>
          <w:sz w:val="28"/>
          <w:sz w:val="28"/>
          <w:szCs w:val="28"/>
          <w:rtl w:val="true"/>
          <w:lang w:bidi="ar-SA"/>
        </w:rPr>
        <w:t>لم يستوعب مانع عن انتقال التركة مطلقا إلى الورثة قبل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جواز التصرّف أو استقرار الملك في غاية البعد من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للورثة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التخصيص المذكور مع حمل التأدية على التأدية من مالهم ليس بذلك البعيد فتعيّن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صحيح سليمان أيضا بحمل المفهوم على مثل ما مرّ من نفي جواز التصرّف و نحوه بقرينة الإجماع المتقدّم</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منع الإجماع تارة، و تخصيص المفهوم على ما يقابل الدين اخرى، فالخبران واضحا الدلالة على عدم انتقال جميع التركة مع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السيرة أوّلا بمنع استقرارها على التبعيّة، و ثانيا بمنع منافاتها الانتقال، إذ كما يجب على الورثة صرف أصل التركة في وفاء الدين على القول بانتقالها إليهم، فكذلك يجوز أن يتبعها النماء في ذلك، و مرجعه إلى التبعيّة في مجرّد الحكم التكليفي، و هو لا ينافي الانتقال و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للقول الثاني أيضا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عدم بقاء المال بلا مالك، و لا يكون مالكه الغرماء للإجماع عليه بقسميه، و لا الميّت لكون الملك صفة وجوديّة لا يقوم بالمعدوم و لذا لم يملك ابتداء إذ لا فرق بين الابتداء و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يزيّفه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بالثلث مع الوصيّة و ليس ملكا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بقاء الملك بلا مالك، و لا دليل من عقل و لا نقل على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معلوميّته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مساعدة 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مردودة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مبنيّ ما عليه المحقّقون من جعل النسبة بين المال و الملك عموما من وجه لافتراق الأوّل في الحبّة من الحنطة مثلا و افتراق الثاني في ثلث الميّت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امتناع قيام الملك بالميّت فإنّ كون الملك صفة وجوديّة لا تقوم بالمعدوم مسلّم، و لكن كون الميّت معدوما ممنوع، فإنّ الموت ليس عبارة عن الانعدام، </w:t>
      </w:r>
    </w:p>
    <w:p>
      <w:pPr>
        <w:pStyle w:val="BookText"/>
        <w:rPr/>
      </w:pPr>
      <w:r>
        <w:rPr>
          <w:rFonts w:ascii="Amiri" w:hAnsi="Amiri" w:eastAsia="Amiri" w:cs="Amiri"/>
          <w:color w:val="111111"/>
          <w:sz w:val="28"/>
          <w:sz w:val="28"/>
          <w:szCs w:val="28"/>
          <w:rtl w:val="true"/>
          <w:lang w:bidi="ar-SA"/>
        </w:rPr>
        <w:t>بل عبارة عن مفارقة الروح عن البدن، و لكلّ منهما في النشأة الاخرى وجود، أمّا الروح فواضح، و أمّا البدن فلأنّه بعد خرابه يفنى لا أنّه ينعدم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الفناء و إن فسّر بالهلاك و الاضمحلال إلاّ أنّه في محصّل المعنى عبارة في خراب البدن عن تفرّق أجزائه العنصريّة و لحوق كلّ جزء بعد التفرّق بجنسه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يندفع شبهة منكري المعاد الجسماني استنادا إلى امتناع إعادة المعدوم، لوضوح الفرق بين الفناء و العدم، و الموت المستتبع لخراب البدن فناء لا أنّه 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من الصفات القائمة بالروح و لا شبهة في وجوده في نشأة الآخرة، و لئن سلّمنا أنّه يقوم به بشرط علاقته بالبدن، يجوز قيامه به أيضا لجواز تعلّقه في هذه النشأة ببدن آخر على القول بثبوت القالب المثالي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الجائز أيضا كون ثلث الميّت أيضا ملكا له، كما هو ظاهر النصوص من نحو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ثلث ماله</w:t>
      </w:r>
      <w:r>
        <w:rPr>
          <w:rFonts w:eastAsia="Amiri" w:cs="Amiri" w:ascii="Amiri" w:hAnsi="Amiri"/>
          <w:color w:val="111111"/>
          <w:sz w:val="28"/>
          <w:szCs w:val="28"/>
          <w:rtl w:val="true"/>
          <w:lang w:bidi="ar-SA"/>
        </w:rPr>
        <w:t>»</w:t>
      </w:r>
      <w:r>
        <w:rPr>
          <w:rStyle w:val="FootnoteAnchor"/>
          <w:rtl w:val="true"/>
        </w:rPr>
        <w:footnoteReference w:id="2322"/>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له إلاّ الثلث</w:t>
      </w:r>
      <w:r>
        <w:rPr>
          <w:rFonts w:eastAsia="Amiri" w:cs="Amiri" w:ascii="Amiri" w:hAnsi="Amiri"/>
          <w:color w:val="111111"/>
          <w:sz w:val="28"/>
          <w:szCs w:val="28"/>
          <w:rtl w:val="true"/>
          <w:lang w:bidi="ar-SA"/>
        </w:rPr>
        <w:t>»</w:t>
      </w:r>
      <w:r>
        <w:rPr>
          <w:rStyle w:val="FootnoteAnchor"/>
          <w:rtl w:val="true"/>
        </w:rPr>
        <w:footnoteReference w:id="2323"/>
      </w:r>
      <w:r>
        <w:rPr>
          <w:rFonts w:ascii="Amiri" w:hAnsi="Amiri" w:eastAsia="Amiri" w:cs="Amiri"/>
          <w:color w:val="111111"/>
          <w:sz w:val="28"/>
          <w:sz w:val="28"/>
          <w:szCs w:val="28"/>
          <w:rtl w:val="true"/>
          <w:lang w:bidi="ar-SA"/>
        </w:rPr>
        <w:t>و نحو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لم تنتقل إليهم لما شارك ابن الابن مثلا عمّه إذا مات أبوه بعد جدّه ثمّ حصل الإبراء من الدين، و التالى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ملازمة مشاركة ابن الابن بعد حصول الإبراء لمالكيّته من أبيه لجواز كون منشئه الاستحقاق الّذي ينتقل بالإرث، فكما أنّ عمّه يملك بعد الإبراء لأجل استحقاقه التركة فكذلك ابن أخيه أيضا يملكه لأجل الاستحقاق الّذي ورثه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الحالف مع الشاهد إنّما هو الوارث المخاصم في مال الميّت، فلو لا الانتقال إليه لساوى الغريم في عدم ثبوت مال الغير بيمينه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يجوز أن يكون ثبوت المال بيمينه مع شاهد لنحو استحقاق له في </w:t>
      </w:r>
    </w:p>
    <w:p>
      <w:pPr>
        <w:pStyle w:val="BookText"/>
        <w:rPr/>
      </w:pPr>
      <w:r>
        <w:rPr>
          <w:rFonts w:ascii="Amiri" w:hAnsi="Amiri" w:eastAsia="Amiri" w:cs="Amiri"/>
          <w:color w:val="111111"/>
          <w:sz w:val="28"/>
          <w:sz w:val="28"/>
          <w:szCs w:val="28"/>
          <w:rtl w:val="true"/>
          <w:lang w:bidi="ar-SA"/>
        </w:rPr>
        <w:t>المال ليس للغريم و لا لغيره ممّن ليس بوارث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 أنّ الورثة أحقّ بأعيان التركة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عليه الإجماع بقسميه، و من هنا حكي عن بعضهم</w:t>
      </w:r>
      <w:r>
        <w:rPr>
          <w:rStyle w:val="FootnoteAnchor"/>
          <w:rtl w:val="true"/>
        </w:rPr>
        <w:footnoteReference w:id="2324"/>
      </w:r>
      <w:r>
        <w:rPr>
          <w:rFonts w:ascii="Amiri" w:hAnsi="Amiri" w:eastAsia="Amiri" w:cs="Amiri"/>
          <w:color w:val="111111"/>
          <w:sz w:val="28"/>
          <w:sz w:val="28"/>
          <w:szCs w:val="28"/>
          <w:rtl w:val="true"/>
          <w:lang w:bidi="ar-SA"/>
        </w:rPr>
        <w:t>أنّ النزاع في القيمة لا في نفس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الأحقّية لا تلازم الملكيّة بل هي عبارة عن عدم جواز مزاحمة غيرهم في أخذ عين التركة بقيمتها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أنّ جميع تركة الميّت لوارثه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تركه الميّت لورثته</w:t>
      </w:r>
      <w:r>
        <w:rPr>
          <w:rFonts w:eastAsia="Amiri" w:cs="Amiri" w:ascii="Amiri" w:hAnsi="Amiri"/>
          <w:color w:val="111111"/>
          <w:sz w:val="28"/>
          <w:szCs w:val="28"/>
          <w:rtl w:val="true"/>
          <w:lang w:bidi="ar-SA"/>
        </w:rPr>
        <w:t>»</w:t>
      </w:r>
      <w:r>
        <w:rPr>
          <w:rStyle w:val="FootnoteAnchor"/>
          <w:rtl w:val="true"/>
        </w:rPr>
        <w:footnoteReference w:id="2325"/>
      </w:r>
      <w:r>
        <w:rPr>
          <w:rFonts w:ascii="Amiri" w:hAnsi="Amiri" w:eastAsia="Amiri" w:cs="Amiri"/>
          <w:color w:val="111111"/>
          <w:sz w:val="28"/>
          <w:sz w:val="28"/>
          <w:szCs w:val="28"/>
          <w:rtl w:val="true"/>
          <w:lang w:bidi="ar-SA"/>
        </w:rPr>
        <w:t>اعتمد عليه شيخنا في الجواهر</w:t>
      </w:r>
      <w:r>
        <w:rPr>
          <w:rStyle w:val="FootnoteAnchor"/>
          <w:rtl w:val="true"/>
        </w:rPr>
        <w:footnoteReference w:id="2326"/>
      </w:r>
      <w:r>
        <w:rPr>
          <w:rFonts w:ascii="Amiri" w:hAnsi="Amiri" w:eastAsia="Amiri" w:cs="Amiri"/>
          <w:color w:val="111111"/>
          <w:sz w:val="28"/>
          <w:sz w:val="28"/>
          <w:szCs w:val="28"/>
          <w:rtl w:val="true"/>
          <w:lang w:bidi="ar-SA"/>
        </w:rPr>
        <w:t>و لم نقف عليه في الروايات، و على تقدير وجوده و سلامة سنده قابل للتخصيص، فيخصّص بغير المديون، أو بما يفضل عن الدين كما يخصّص بالزائد على الثلث في صورة الوصيّة، و الشاهد الخبران المتقدّمان</w:t>
      </w:r>
      <w:r>
        <w:rPr>
          <w:rStyle w:val="FootnoteAnchor"/>
          <w:rtl w:val="true"/>
        </w:rPr>
        <w:footnoteReference w:id="2327"/>
      </w:r>
      <w:r>
        <w:rPr>
          <w:rFonts w:ascii="Amiri" w:hAnsi="Amiri" w:eastAsia="Amiri" w:cs="Amiri"/>
          <w:color w:val="111111"/>
          <w:sz w:val="28"/>
          <w:sz w:val="28"/>
          <w:szCs w:val="28"/>
          <w:rtl w:val="true"/>
          <w:lang w:bidi="ar-SA"/>
        </w:rPr>
        <w:t>فإنّهما لوضوح دلالتهما على عدم الانتقال مع الدين ينهضان لتخصيص العموم المذكور، و لا صارف لظهورهما بحيث أوجب التأويل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إن سلّمنا الشهرة المحكيّة في عبارة الذخيرة المتقدّمة</w:t>
      </w:r>
      <w:r>
        <w:rPr>
          <w:rStyle w:val="FootnoteAnchor"/>
          <w:rtl w:val="true"/>
        </w:rPr>
        <w:footnoteReference w:id="2328"/>
      </w:r>
      <w:r>
        <w:rPr>
          <w:rFonts w:ascii="Amiri" w:hAnsi="Amiri" w:eastAsia="Amiri" w:cs="Amiri"/>
          <w:color w:val="111111"/>
          <w:sz w:val="28"/>
          <w:sz w:val="28"/>
          <w:szCs w:val="28"/>
          <w:rtl w:val="true"/>
          <w:lang w:bidi="ar-SA"/>
        </w:rPr>
        <w:t>على انتقال ما يفضل عن الدين المعتضدة بما تقدّم</w:t>
      </w:r>
      <w:r>
        <w:rPr>
          <w:rStyle w:val="FootnoteAnchor"/>
          <w:rtl w:val="true"/>
        </w:rPr>
        <w:footnoteReference w:id="2329"/>
      </w:r>
      <w:r>
        <w:rPr>
          <w:rFonts w:ascii="Amiri" w:hAnsi="Amiri" w:eastAsia="Amiri" w:cs="Amiri"/>
          <w:color w:val="111111"/>
          <w:sz w:val="28"/>
          <w:sz w:val="28"/>
          <w:szCs w:val="28"/>
          <w:rtl w:val="true"/>
          <w:lang w:bidi="ar-SA"/>
        </w:rPr>
        <w:t>عن المدارك من عدم قائل بخلافه و الإجماع المحكيّ نقله عن بعضهم أن يخصّصا أيضا بما يقابل الدين و محصّل مضمونهما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قابل الدين مع الاستيعاب و مع عدمه لا ينتقل إلى الورثة فمع الاستيعاب لا ينتقل شيء أصلا، و مع عدمه لا ينتقل غير الفاضل، و هذا هو المختار المعوّل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ثمرات القولين ما أشار إليه شيخنا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تعلّق الدين بالنماء بناء على بقائها على حكم مال الميّت، و أمّا على الانتقال إلى الوارث فالمتّجه عدمه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تبعيّة النماء للمال في التعلّق أيضا ممنوعة</w:t>
      </w:r>
      <w:r>
        <w:rPr>
          <w:rFonts w:eastAsia="Amiri" w:cs="Amiri" w:ascii="Amiri" w:hAnsi="Amiri"/>
          <w:color w:val="111111"/>
          <w:sz w:val="28"/>
          <w:szCs w:val="28"/>
          <w:rtl w:val="true"/>
          <w:lang w:bidi="ar-SA"/>
        </w:rPr>
        <w:t>»</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 المدارك</w:t>
      </w:r>
      <w:r>
        <w:rPr>
          <w:rStyle w:val="FootnoteAnchor"/>
          <w:rtl w:val="true"/>
        </w:rPr>
        <w:footnoteReference w:id="2331"/>
      </w:r>
      <w:r>
        <w:rPr>
          <w:rFonts w:ascii="Amiri" w:hAnsi="Amiri" w:eastAsia="Amiri" w:cs="Amiri"/>
          <w:color w:val="111111"/>
          <w:sz w:val="28"/>
          <w:sz w:val="28"/>
          <w:szCs w:val="28"/>
          <w:rtl w:val="true"/>
          <w:lang w:bidi="ar-SA"/>
        </w:rPr>
        <w:t xml:space="preserve">عدم تعلّق الدين بالنماء على القول المذكور ممّا قطع </w:t>
      </w:r>
    </w:p>
    <w:p>
      <w:pPr>
        <w:pStyle w:val="BookText"/>
        <w:rPr/>
      </w:pPr>
      <w:r>
        <w:rPr>
          <w:rFonts w:ascii="Amiri" w:hAnsi="Amiri" w:eastAsia="Amiri" w:cs="Amiri"/>
          <w:color w:val="111111"/>
          <w:sz w:val="28"/>
          <w:sz w:val="28"/>
          <w:szCs w:val="28"/>
          <w:rtl w:val="true"/>
          <w:lang w:bidi="ar-SA"/>
        </w:rPr>
        <w:t>به الأصحاب و علّله بعدم كونه جزء من التركة كما عرفته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لتتمّة الكلام في المسألة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بيّنّاه من تعلّق الدين بالنماء على القول الأوّل على تقدير استيعاب الدين للتركة و النماء المتجدّد معا واضح، و أمّا على تقدير استيعابه لأصل التركة دون النماء بأن يكون التركة بانفرادها مساوية للدين ففي تعلّق الدين بالنماء عند تجدّده إشكال، منشؤه التشكيك في انتقال النماء إلى الورثة حينئذ و عدمه فإنّ فيه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النماء في الصورة المفروضة كالفاضل عن الدين من التركة فينتقل إلى الورثة، و من أنّه كما يتّبع الأصل في الملك الحقيقي فكذلك يتّبعه في الملك الحكمي، و التركة في حكم مال الميّت و كذلك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يساعد عليه أصالة عدم الانتقال كما يساعد على الأوّل أصالة عدم تعلّق الدين بالنماء، و يمكن ترجيحه على أصالة عدم الانتقال بوروده عليه لكون شكّه سببيّا فإنّ المانع من انتقال التركة و نمائها إلى الورثة إنّما هو الدين، و إذا شكّ في تعلّقه بالنماء كان ذلك الشكّ سببا للشكّ في انتقاله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المحقّق في محلّه تقديم الأصل السببي، و لا يقدح فيه قاعدة تبعيّة النماء للأصل، لأنّ القدر المسلّم منها التبعيّة في الملك لا في عدم الملك، فلا يلزم من عدم كون التركة ملكا للورثة عدم كون النماء ملكا لهم، و لا دليل على التبعيّة أيضا في كونه في حكم مال الميّت مع كونه فاضلا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يظهر الحال في النماء في الدين الغير المستوعب للتركة، فإنّ الوجه فيه أيضا على ما بيّنّاه الانتقال إلى الورثة، قضيّة لورود أصالة عدم تعلّق الدين على أصالة عدم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فوائد كونه في الصورتين ملكا لهم، وجوب الزكاة فيه عند بلوغه النصاب لو كان ثمرة النخيل أو الكروم مع اتّحاد الوارث، أو تعدّده مع بلوغ نصيب كلّ واحد أو نصيب بعضهم النصاب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بالتأمّل فيما حقّقناه يظهر أنّ ما تقدّم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في وجوب </w:t>
      </w:r>
    </w:p>
    <w:p>
      <w:pPr>
        <w:pStyle w:val="BookText"/>
        <w:rPr/>
      </w:pPr>
      <w:r>
        <w:rPr>
          <w:rFonts w:ascii="Amiri" w:hAnsi="Amiri" w:eastAsia="Amiri" w:cs="Amiri"/>
          <w:color w:val="111111"/>
          <w:sz w:val="28"/>
          <w:sz w:val="28"/>
          <w:szCs w:val="28"/>
          <w:rtl w:val="true"/>
          <w:lang w:bidi="ar-SA"/>
        </w:rPr>
        <w:t xml:space="preserve">الزكاة و عدمه في الثمرة الظاهرة بعد موت المالك على الوارث بين انتقال التركة إليه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يستقيم فيما لو كان الدين مستوعبا للتركة و الثمرة معا، و أمّا ما لو لم يستوعب الثمرة استوعب الأصل أو لا فلا فرق بين القولين في وجوب الزكاة على الوارث في الثمرة مع اجتماع شرائطها لكون الثمرة حينئذ ملكا له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الدين المستوعب للأصل و الثمرة ينزّل إطلاق كلام جماعة من الأصحاب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ذكرناه من عدم الفرق في الدين الغير المستوعب يندرج فيما أشار إليه في المدارك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المالك و عليه دين يقتضي بإطلاقه عدم الفرق في الدين بين المستوعب للتركة و غيره إلاّ أنّ الظاهر حمله على المستوعب كما ذكره في المعتبر</w:t>
      </w:r>
      <w:r>
        <w:rPr>
          <w:rStyle w:val="FootnoteAnchor"/>
          <w:rtl w:val="true"/>
        </w:rPr>
        <w:footnoteReference w:id="2332"/>
      </w:r>
      <w:r>
        <w:rPr>
          <w:rFonts w:ascii="Amiri" w:hAnsi="Amiri" w:eastAsia="Amiri" w:cs="Amiri"/>
          <w:color w:val="111111"/>
          <w:sz w:val="28"/>
          <w:sz w:val="28"/>
          <w:szCs w:val="28"/>
          <w:rtl w:val="true"/>
          <w:lang w:bidi="ar-SA"/>
        </w:rPr>
        <w:t>لأنّ الدين إذا لم يستوعب التركة ينتقل إلى الوارث ما فضل منها عن الدين عند المصنّف، بل و غيره أيضا ممّن وصل إلينا كلامه من الأصحاب، و على هذا فيجب زكاته على الوارث مع اجتماع شرائط الوجوب، خصوصا إن قلنا إنّ الوارث إنّما يمنع من التصرّف فيما قابل الدين من التركة خاصّة، كما اختاره الشارح</w:t>
      </w:r>
      <w:r>
        <w:rPr>
          <w:rStyle w:val="FootnoteAnchor"/>
          <w:rtl w:val="true"/>
        </w:rPr>
        <w:footnoteReference w:id="2333"/>
      </w:r>
      <w:r>
        <w:rPr>
          <w:rFonts w:ascii="IRNazanin" w:hAnsi="IRNazanin" w:eastAsia="IRNazanin"/>
          <w:color w:val="111111"/>
          <w:sz w:val="28"/>
          <w:sz w:val="28"/>
          <w:szCs w:val="28"/>
          <w:rtl w:val="true"/>
          <w:lang w:bidi="fa-IR"/>
        </w:rPr>
        <w:t>و جمع</w:t>
      </w:r>
      <w:r>
        <w:rPr>
          <w:rStyle w:val="FootnoteAnchor"/>
          <w:rtl w:val="true"/>
        </w:rPr>
        <w:footnoteReference w:id="2334"/>
      </w:r>
      <w:r>
        <w:rPr>
          <w:rFonts w:ascii="IRNazanin" w:hAnsi="IRNazanin" w:eastAsia="IRNazanin"/>
          <w:color w:val="111111"/>
          <w:sz w:val="28"/>
          <w:sz w:val="28"/>
          <w:szCs w:val="28"/>
          <w:rtl w:val="true"/>
          <w:lang w:bidi="fa-IR"/>
        </w:rPr>
        <w:t>من الأصحاب</w:t>
      </w:r>
      <w:r>
        <w:rPr>
          <w:rFonts w:eastAsia="IRNazanin" w:cs="IRNazanin"/>
          <w:color w:val="111111"/>
          <w:sz w:val="28"/>
          <w:szCs w:val="28"/>
          <w:rtl w:val="true"/>
          <w:lang w:bidi="fa-IR"/>
        </w:rPr>
        <w:t>»</w:t>
      </w:r>
      <w:r>
        <w:rPr>
          <w:rStyle w:val="FootnoteAnchor"/>
          <w:rtl w:val="true"/>
        </w:rPr>
        <w:footnoteReference w:id="23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موته بعد ظهور الثمرة و قبل بلوغها الحدّ الّذي يتعلّق به الوجوب ثمّ بلغت قبل أداء الدين مع كون الدين مستوعبا للتركة الّتي منها الثمرة هنا، فالوجه فيه على ما في كلام جماعة</w:t>
      </w:r>
      <w:r>
        <w:rPr>
          <w:rStyle w:val="FootnoteAnchor"/>
          <w:rtl w:val="true"/>
        </w:rPr>
        <w:footnoteReference w:id="2336"/>
      </w:r>
      <w:r>
        <w:rPr>
          <w:rFonts w:ascii="Amiri" w:hAnsi="Amiri" w:eastAsia="Amiri" w:cs="Amiri"/>
          <w:color w:val="111111"/>
          <w:sz w:val="28"/>
          <w:sz w:val="28"/>
          <w:szCs w:val="28"/>
          <w:rtl w:val="true"/>
          <w:lang w:bidi="ar-SA"/>
        </w:rPr>
        <w:t>بناء المسألة على القولين في انتقال التركة إلى الورثة، فعلى القول بعدم الانتقال لم يجب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بالانتقال ذكروا فيه وجوها أربع صار إلى كلّ وجه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مطلقا، ذهب إليه ثاني الشهيدين استنادا إلى المنع من التصرّف في التركة قبل أداء الدين</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مطلقا سواء قلنا بجواز التصرّف في التركة أو في الثمرة قبل أداء </w:t>
      </w:r>
    </w:p>
    <w:p>
      <w:pPr>
        <w:pStyle w:val="BookText"/>
        <w:rPr/>
      </w:pPr>
      <w:r>
        <w:rPr>
          <w:rFonts w:ascii="Amiri" w:hAnsi="Amiri" w:eastAsia="Amiri" w:cs="Amiri"/>
          <w:color w:val="111111"/>
          <w:sz w:val="28"/>
          <w:sz w:val="28"/>
          <w:szCs w:val="28"/>
          <w:rtl w:val="true"/>
          <w:lang w:bidi="ar-SA"/>
        </w:rPr>
        <w:t>الدين أم لا، و استقر به في الذخيرة و نسب إلى الشهيد في البيان</w:t>
      </w:r>
      <w:r>
        <w:rPr>
          <w:rStyle w:val="FootnoteAnchor"/>
          <w:rtl w:val="true"/>
        </w:rPr>
        <w:footnoteReference w:id="2338"/>
      </w:r>
      <w:r>
        <w:rPr>
          <w:rFonts w:ascii="Amiri" w:hAnsi="Amiri" w:eastAsia="Amiri" w:cs="Amiri"/>
          <w:color w:val="111111"/>
          <w:sz w:val="28"/>
          <w:sz w:val="28"/>
          <w:szCs w:val="28"/>
          <w:rtl w:val="true"/>
          <w:lang w:bidi="ar-SA"/>
        </w:rPr>
        <w:t>احتماله تعليلا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بحصول السبب و الشرط أعني إمكان التصرّف و كون تعلّق الدين هاهنا أضعف من تعلّق الرهن</w:t>
      </w:r>
      <w:r>
        <w:rPr>
          <w:rFonts w:eastAsia="Amiri" w:cs="Amiri" w:ascii="Amiri" w:hAnsi="Amiri"/>
          <w:color w:val="111111"/>
          <w:sz w:val="28"/>
          <w:szCs w:val="28"/>
          <w:rtl w:val="true"/>
          <w:lang w:bidi="ar-SA"/>
        </w:rPr>
        <w:t>»</w:t>
      </w:r>
      <w:r>
        <w:rPr>
          <w:rStyle w:val="FootnoteAnchor"/>
          <w:rtl w:val="true"/>
        </w:rPr>
        <w:footnoteReference w:id="2339"/>
      </w:r>
      <w:r>
        <w:rPr>
          <w:rFonts w:ascii="Amiri" w:hAnsi="Amiri" w:eastAsia="Amiri" w:cs="Amiri"/>
          <w:color w:val="111111"/>
          <w:sz w:val="28"/>
          <w:sz w:val="28"/>
          <w:szCs w:val="28"/>
          <w:rtl w:val="true"/>
          <w:lang w:bidi="ar-SA"/>
        </w:rPr>
        <w:t>و استدلّ هو على تقدير المنع من التصرّف في التركة حتّى الثمرة بعموم أدلّة وجوب الزكاة، و عدم ثبوت كون المنع من التصرّف مطلقا مانعا من وجوبها فإنّهم لم يحتجّوا على ذلك إلاّ ببعض الأخبار المختصّة ببعض المواد</w:t>
      </w:r>
      <w:r>
        <w:rPr>
          <w:rStyle w:val="FootnoteAnchor"/>
          <w:rtl w:val="true"/>
        </w:rPr>
        <w:footnoteReference w:id="2340"/>
      </w:r>
      <w:r>
        <w:rPr>
          <w:rFonts w:ascii="Amiri" w:hAnsi="Amiri" w:eastAsia="Amiri" w:cs="Amiri"/>
          <w:color w:val="111111"/>
          <w:sz w:val="28"/>
          <w:sz w:val="28"/>
          <w:szCs w:val="28"/>
          <w:rtl w:val="true"/>
          <w:lang w:bidi="ar-SA"/>
        </w:rPr>
        <w:t>الّتي لا تشمل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في التذكرة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للورثة مال أخرجوه من مالهم لأنّ الوجوب حصل في ملكهم، و تعلّق حقّ الغرماء بذلك لا يمنع من وجوب الزكاة كالمرهون، فإن لم يكن للورثة مال يؤدّون الزكاة احتمل سقوطها لتعلّق الدين بالعين هنا فمنع من تعلّق الزكاة و وجوبها لأنّ الزكاة تتعلّق بالعين و هي استحقاق جزء من المال فيقدّم على حقوق الغرماء</w:t>
      </w:r>
      <w:r>
        <w:rPr>
          <w:rFonts w:eastAsia="Amiri" w:cs="Amiri" w:ascii="Amiri" w:hAnsi="Amiri"/>
          <w:color w:val="111111"/>
          <w:sz w:val="28"/>
          <w:szCs w:val="28"/>
          <w:rtl w:val="true"/>
          <w:lang w:bidi="ar-SA"/>
        </w:rPr>
        <w:t>»</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فصّله في المدارك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تمكّن من التصرّف في النصاب و لو بأداء الدين من غير التركة وجبت الزكاة عليه و إلاّ فلا</w:t>
      </w:r>
      <w:r>
        <w:rPr>
          <w:rFonts w:eastAsia="Amiri" w:cs="Amiri" w:ascii="Amiri" w:hAnsi="Amiri"/>
          <w:color w:val="111111"/>
          <w:sz w:val="28"/>
          <w:szCs w:val="28"/>
          <w:rtl w:val="true"/>
          <w:lang w:bidi="ar-SA"/>
        </w:rPr>
        <w:t>»</w:t>
      </w:r>
      <w:r>
        <w:rPr>
          <w:rStyle w:val="FootnoteAnchor"/>
          <w:rtl w:val="true"/>
        </w:rPr>
        <w:footnoteReference w:id="2342"/>
      </w:r>
      <w:r>
        <w:rPr>
          <w:rFonts w:ascii="Amiri" w:hAnsi="Amiri" w:eastAsia="Amiri" w:cs="Amiri"/>
          <w:color w:val="111111"/>
          <w:sz w:val="28"/>
          <w:sz w:val="28"/>
          <w:szCs w:val="28"/>
          <w:rtl w:val="true"/>
          <w:lang w:bidi="ar-SA"/>
        </w:rPr>
        <w:t>و أدلّة هذه الأقوال غير خالية عن تجشّمات و مصادرات و مقدّمات غير ثابتة، بل الثابت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بناء المسألة على خلاف آخر في تعلّق الدين بالتركة المجمع عليه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كتعلّق الدين بالرهن‌؟ فيمنع الورثة من التصرّف فيها و إن كانت ملكا لهم، أو كتعلّق أرش الجناية برقبة الجاني‌؟ أو أنّه تعلّق مستقلّ ليس كأحد التعلّقين فلا يمنعون من التصرّف فيها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مختار الشهيد الثاني في المسالك</w:t>
      </w:r>
      <w:r>
        <w:rPr>
          <w:rStyle w:val="FootnoteAnchor"/>
          <w:rtl w:val="true"/>
        </w:rPr>
        <w:footnoteReference w:id="2343"/>
      </w:r>
      <w:r>
        <w:rPr>
          <w:rFonts w:ascii="Amiri" w:hAnsi="Amiri" w:eastAsia="Amiri" w:cs="Amiri"/>
          <w:color w:val="111111"/>
          <w:sz w:val="28"/>
          <w:sz w:val="28"/>
          <w:szCs w:val="28"/>
          <w:rtl w:val="true"/>
          <w:lang w:bidi="ar-SA"/>
        </w:rPr>
        <w:t>و الثاني مختار العلاّمة في التذكرة</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 مختار جامع المقاصد</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التعلّق في الجملة ثابت و كونه كتعلّق الرهن غير ثابت، بل عدم كون المقام من موضوع الرهن يأباه، فيشكّ في منع الورثة من التصرّف في التركة و الأصل عدم المنع، فالمقتضي لوجوبها و هو عموم الأدلّة موجود مع تحقّق شرائط الوجوب </w:t>
      </w:r>
    </w:p>
    <w:p>
      <w:pPr>
        <w:pStyle w:val="BookText"/>
        <w:rPr/>
      </w:pPr>
      <w:r>
        <w:rPr>
          <w:rFonts w:ascii="Amiri" w:hAnsi="Amiri" w:eastAsia="Amiri" w:cs="Amiri"/>
          <w:color w:val="111111"/>
          <w:sz w:val="28"/>
          <w:sz w:val="28"/>
          <w:szCs w:val="28"/>
          <w:rtl w:val="true"/>
          <w:lang w:bidi="ar-SA"/>
        </w:rPr>
        <w:t>الّتي منها الملك و التمكّن من التصرّف و المانع من وجوبها مفقود فتجب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الأصحّ أنّه لا يغرم العشر للديّان إذ لا موجب للضمان و إنّما أخرج حقّ الفقراء لتعلّقه بالعين و وجوب إخراجه فلا يستتبع ضمانا، و هذا هو معنى الاستدلال على عدم الغرامة بأنّ الوجوب قهري فهو كنقص القيمة السوقيّة و النفقة على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و استقر به الشهيد في البيان لسبق حقّ الديّان</w:t>
      </w:r>
      <w:r>
        <w:rPr>
          <w:rStyle w:val="FootnoteAnchor"/>
          <w:rtl w:val="true"/>
        </w:rPr>
        <w:footnoteReference w:id="2346"/>
      </w:r>
      <w:r>
        <w:rPr>
          <w:rFonts w:ascii="Amiri" w:hAnsi="Amiri" w:eastAsia="Amiri" w:cs="Amiri"/>
          <w:color w:val="111111"/>
          <w:sz w:val="28"/>
          <w:sz w:val="28"/>
          <w:szCs w:val="28"/>
          <w:rtl w:val="true"/>
          <w:lang w:bidi="ar-SA"/>
        </w:rPr>
        <w:t>و ضعفه ظاهر ممّا بيّنّاه لمنع تعلّق حقّهم بالعشر بعد فرض عدم منع الدين من وجوب الزكاة فالوجوب كاشف عن عدم تعلّق حقّ لهم بالعشر الواجب إخراجه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بالتغريم، الأصحّ أنّه لا يتعيّن على الوارث الإخراج من ماله لو وجد مالا يخرجه عن الواجب لفرض تعلّقه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فائدة في الإخراج من العين ثمّ الغرم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لضعف دليله و عدم مقاومته لقضيّة التعلّق بالعين المقتضي لاستحقاق أربابها حصّة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الدين الغير المستوعب للتركة بأن يفضل عنه مقدار الثمرة أو ما زاد فعلى القول بعدم الانتقال حتّى في الفاضل عن الدين فالحكم من حيث عدم وجوب الزكاة على الوارث لانتفاء الملك واضح، و على القول بالانتقال حتّى فيما يقابل الدين فالحكم أيضا من حيث وجوب الزكاة عليه لعدم منع حقّ الديّان عن جواز التصرّف و عن تعلّق الزكاة كما تقدّم أيضا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بعدم الانتقال فيما يقابله و الانتقال فيما يفضل عنه فربّما يسبق إلى الوهم وجوبها مع وحدة الوارث أو بلوغ نصيب كلّ من الثمرة النصاب أو في نصيب من بلغ نصيبه النصاب، لكون الثمرة فاضلة عن الدين مع فرض عدم منع حقّ الديّان إن قلنا بتعلّقه بالفاضل و إن كان منتقلا إلى الوارث</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بأنّه إنّما يستقيم على تقدير تخصيص ما يقابل الدين الغير المنتقل إليه بما عدى الثمرة من التركة و هو موضع منع لعدم المخصّص، و الدين مانع من انتقال مقدار ما يقابله منها على سبيل الإشاعة، فالمقام موضع إشكال و للتوقّف فيه الآن مجال</w:t>
      </w:r>
      <w:r>
        <w:rPr>
          <w:rFonts w:eastAsia="Amiri" w:cs="Amiri" w:ascii="Amiri" w:hAnsi="Amiri"/>
          <w:color w:val="111111"/>
          <w:sz w:val="28"/>
          <w:szCs w:val="28"/>
          <w:rtl w:val="true"/>
          <w:lang w:bidi="ar-SA"/>
        </w:rPr>
        <w:t xml:space="preserve">. </w:t>
      </w:r>
      <w:bookmarkStart w:id="504" w:name="pg16181_154758"/>
    </w:p>
    <w:p>
      <w:pPr>
        <w:pStyle w:val="Heading6"/>
        <w:numPr>
          <w:ilvl w:val="5"/>
          <w:numId w:val="1"/>
        </w:numPr>
        <w:rPr/>
      </w:pPr>
      <w:bookmarkStart w:id="505" w:name="__RefHeading___Toc2586779_1280447820"/>
      <w:bookmarkStart w:id="506" w:name="_Toc188"/>
      <w:bookmarkEnd w:id="504"/>
      <w:bookmarkEnd w:id="505"/>
      <w:r>
        <w:rPr>
          <w:rtl w:val="true"/>
        </w:rPr>
        <w:t>المسألة الثامنة</w:t>
      </w:r>
      <w:r>
        <w:rPr>
          <w:rtl w:val="true"/>
        </w:rPr>
        <w:t xml:space="preserve">: </w:t>
      </w:r>
      <w:r>
        <w:rPr>
          <w:rtl w:val="true"/>
        </w:rPr>
        <w:t>في أنّ الزكاة تتعلّق بالعين</w:t>
      </w:r>
      <w:bookmarkEnd w:id="506"/>
    </w:p>
    <w:p>
      <w:pPr>
        <w:pStyle w:val="Heading6"/>
        <w:numPr>
          <w:ilvl w:val="5"/>
          <w:numId w:val="1"/>
        </w:numPr>
        <w:rPr/>
      </w:pPr>
      <w:bookmarkStart w:id="507" w:name="__RefHeading___Toc2586781_1280447820"/>
      <w:bookmarkStart w:id="508" w:name="_Toc189"/>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المشهور بين الأصحاب كما في الذخيرة</w:t>
      </w:r>
      <w:r>
        <w:rPr>
          <w:rStyle w:val="FootnoteAnchor"/>
          <w:rtl w:val="true"/>
        </w:rPr>
        <w:footnoteReference w:id="2347"/>
      </w:r>
      <w:r>
        <w:rPr>
          <w:rFonts w:ascii="Amiri" w:hAnsi="Amiri" w:eastAsia="Amiri" w:cs="Amiri"/>
          <w:color w:val="111111"/>
          <w:sz w:val="28"/>
          <w:sz w:val="28"/>
          <w:szCs w:val="28"/>
          <w:rtl w:val="true"/>
          <w:lang w:bidi="ar-SA"/>
        </w:rPr>
        <w:t>و عن الكفاية</w:t>
      </w:r>
      <w:r>
        <w:rPr>
          <w:rStyle w:val="FootnoteAnchor"/>
          <w:rtl w:val="true"/>
        </w:rPr>
        <w:footnoteReference w:id="2348"/>
      </w:r>
      <w:r>
        <w:rPr>
          <w:rFonts w:ascii="Amiri" w:hAnsi="Amiri" w:eastAsia="Amiri" w:cs="Amiri"/>
          <w:color w:val="111111"/>
          <w:sz w:val="28"/>
          <w:sz w:val="28"/>
          <w:szCs w:val="28"/>
          <w:rtl w:val="true"/>
          <w:lang w:bidi="ar-SA"/>
        </w:rPr>
        <w:t>أنّ الزكاة تتعلّق بالعين، بل عن مجمع الفائدة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خلاف في تعلّقها بالعين عند أصحابنا</w:t>
      </w:r>
      <w:r>
        <w:rPr>
          <w:rFonts w:eastAsia="Amiri" w:cs="Amiri" w:ascii="Amiri" w:hAnsi="Amiri"/>
          <w:color w:val="111111"/>
          <w:sz w:val="28"/>
          <w:szCs w:val="28"/>
          <w:rtl w:val="true"/>
          <w:lang w:bidi="ar-SA"/>
        </w:rPr>
        <w:t>»</w:t>
      </w:r>
      <w:r>
        <w:rPr>
          <w:rStyle w:val="FootnoteAnchor"/>
          <w:rtl w:val="true"/>
        </w:rPr>
        <w:footnoteReference w:id="2349"/>
      </w:r>
      <w:r>
        <w:rPr>
          <w:rFonts w:ascii="Amiri" w:hAnsi="Amiri" w:eastAsia="Amiri" w:cs="Amiri"/>
          <w:color w:val="111111"/>
          <w:sz w:val="28"/>
          <w:sz w:val="28"/>
          <w:szCs w:val="28"/>
          <w:rtl w:val="true"/>
          <w:lang w:bidi="ar-SA"/>
        </w:rPr>
        <w:t>بل عن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تجب في العين عند علمائنا</w:t>
      </w:r>
      <w:r>
        <w:rPr>
          <w:rFonts w:eastAsia="Amiri" w:cs="Amiri" w:ascii="Amiri" w:hAnsi="Amiri"/>
          <w:color w:val="111111"/>
          <w:sz w:val="28"/>
          <w:szCs w:val="28"/>
          <w:rtl w:val="true"/>
          <w:lang w:bidi="ar-SA"/>
        </w:rPr>
        <w:t>»</w:t>
      </w:r>
      <w:r>
        <w:rPr>
          <w:rStyle w:val="FootnoteAnchor"/>
          <w:rtl w:val="true"/>
        </w:rPr>
        <w:footnoteReference w:id="2350"/>
      </w:r>
      <w:r>
        <w:rPr>
          <w:rFonts w:ascii="Amiri" w:hAnsi="Amiri" w:eastAsia="Amiri" w:cs="Amiri"/>
          <w:color w:val="111111"/>
          <w:sz w:val="28"/>
          <w:sz w:val="28"/>
          <w:szCs w:val="28"/>
          <w:rtl w:val="true"/>
          <w:lang w:bidi="ar-SA"/>
        </w:rPr>
        <w:t>بل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في العين لا في الذمّة ذهب إليه علماؤنا أجمع</w:t>
      </w:r>
      <w:r>
        <w:rPr>
          <w:rFonts w:eastAsia="Amiri" w:cs="Amiri" w:ascii="Amiri" w:hAnsi="Amiri"/>
          <w:color w:val="111111"/>
          <w:sz w:val="28"/>
          <w:szCs w:val="28"/>
          <w:rtl w:val="true"/>
          <w:lang w:bidi="ar-SA"/>
        </w:rPr>
        <w:t>»</w:t>
      </w:r>
      <w:r>
        <w:rPr>
          <w:rStyle w:val="FootnoteAnchor"/>
          <w:rtl w:val="true"/>
        </w:rPr>
        <w:footnoteReference w:id="2351"/>
      </w:r>
      <w:r>
        <w:rPr>
          <w:rFonts w:ascii="Amiri" w:hAnsi="Amiri" w:eastAsia="Amiri" w:cs="Amiri"/>
          <w:color w:val="111111"/>
          <w:sz w:val="28"/>
          <w:sz w:val="28"/>
          <w:szCs w:val="28"/>
          <w:rtl w:val="true"/>
          <w:lang w:bidi="ar-SA"/>
        </w:rPr>
        <w:t>بل عن 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الزكاة تتعلّق بالعين بإجماع الإماميّة</w:t>
      </w:r>
      <w:r>
        <w:rPr>
          <w:rFonts w:eastAsia="Amiri" w:cs="Amiri" w:ascii="Amiri" w:hAnsi="Amiri"/>
          <w:color w:val="111111"/>
          <w:sz w:val="28"/>
          <w:szCs w:val="28"/>
          <w:rtl w:val="true"/>
          <w:lang w:bidi="ar-SA"/>
        </w:rPr>
        <w:t>»</w:t>
      </w:r>
      <w:r>
        <w:rPr>
          <w:rStyle w:val="FootnoteAnchor"/>
          <w:rtl w:val="true"/>
        </w:rPr>
        <w:footnoteReference w:id="2352"/>
      </w:r>
      <w:r>
        <w:rPr>
          <w:rFonts w:ascii="Amiri" w:hAnsi="Amiri" w:eastAsia="Amiri" w:cs="Amiri"/>
          <w:color w:val="111111"/>
          <w:sz w:val="28"/>
          <w:sz w:val="28"/>
          <w:szCs w:val="28"/>
          <w:rtl w:val="true"/>
          <w:lang w:bidi="ar-SA"/>
        </w:rPr>
        <w:t>بل القائل بوجوبها في الذمّة في الأصحاب غير معلوم حتّى أنّ جماعة منهم المعتبر</w:t>
      </w:r>
      <w:r>
        <w:rPr>
          <w:rStyle w:val="FootnoteAnchor"/>
          <w:rtl w:val="true"/>
        </w:rPr>
        <w:footnoteReference w:id="2353"/>
      </w:r>
      <w:r>
        <w:rPr>
          <w:rFonts w:ascii="Amiri" w:hAnsi="Amiri" w:eastAsia="Amiri" w:cs="Amiri"/>
          <w:color w:val="111111"/>
          <w:sz w:val="28"/>
          <w:sz w:val="28"/>
          <w:szCs w:val="28"/>
          <w:rtl w:val="true"/>
          <w:lang w:bidi="ar-SA"/>
        </w:rPr>
        <w:t>لم ينبّهوا على وجود هذا القول في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 عن البيان</w:t>
      </w:r>
      <w:r>
        <w:rPr>
          <w:rStyle w:val="FootnoteAnchor"/>
          <w:rtl w:val="true"/>
        </w:rPr>
        <w:footnoteReference w:id="2354"/>
      </w:r>
      <w:r>
        <w:rPr>
          <w:rFonts w:ascii="Amiri" w:hAnsi="Amiri" w:eastAsia="Amiri" w:cs="Amiri"/>
          <w:color w:val="111111"/>
          <w:sz w:val="28"/>
          <w:sz w:val="28"/>
          <w:szCs w:val="28"/>
          <w:rtl w:val="true"/>
          <w:lang w:bidi="ar-SA"/>
        </w:rPr>
        <w:t>أنّه حكي عن ابن حمزة</w:t>
      </w:r>
      <w:r>
        <w:rPr>
          <w:rStyle w:val="FootnoteAnchor"/>
          <w:rtl w:val="true"/>
        </w:rPr>
        <w:footnoteReference w:id="2355"/>
      </w:r>
      <w:r>
        <w:rPr>
          <w:rFonts w:ascii="Amiri" w:hAnsi="Amiri" w:eastAsia="Amiri" w:cs="Amiri"/>
          <w:color w:val="111111"/>
          <w:sz w:val="28"/>
          <w:sz w:val="28"/>
          <w:szCs w:val="28"/>
          <w:rtl w:val="true"/>
          <w:lang w:bidi="ar-SA"/>
        </w:rPr>
        <w:t>أنّه نسب القول المذكور إلى بعض أصحابنا، و على تقدير وجود قائل به في أصحابنا لا ينبغي التأمّل في ندرته و شذوذ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كلماتهم بين ظاهرة و صريحة في عدم الفرق في القولين بين الأنعام و الأثمان و الغلاّت، نعم عن البيان احتمال وجوبها في الذمّة في النصب الخمس من الإبل، لعدم كون الواجب فيها من جنس العين</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القول بالوجوب في العين وجوه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w:t>
      </w:r>
      <w:r>
        <w:rPr>
          <w:rStyle w:val="FootnoteAnchor"/>
          <w:rtl w:val="true"/>
        </w:rPr>
        <w:footnoteReference w:id="2357"/>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ثلاثين من البقر تبيع</w:t>
      </w:r>
      <w:r>
        <w:rPr>
          <w:rFonts w:eastAsia="Amiri" w:cs="Amiri" w:ascii="Amiri" w:hAnsi="Amiri"/>
          <w:color w:val="111111"/>
          <w:sz w:val="28"/>
          <w:szCs w:val="28"/>
          <w:rtl w:val="true"/>
          <w:lang w:bidi="ar-SA"/>
        </w:rPr>
        <w:t>»</w:t>
      </w:r>
      <w:r>
        <w:rPr>
          <w:rStyle w:val="FootnoteAnchor"/>
          <w:rtl w:val="true"/>
        </w:rPr>
        <w:footnoteReference w:id="2358"/>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عشرين مثقالا من الذهب نصف مثقال</w:t>
      </w:r>
      <w:r>
        <w:rPr>
          <w:rFonts w:eastAsia="Amiri" w:cs="Amiri" w:ascii="Amiri" w:hAnsi="Amiri"/>
          <w:color w:val="111111"/>
          <w:sz w:val="28"/>
          <w:szCs w:val="28"/>
          <w:rtl w:val="true"/>
          <w:lang w:bidi="ar-SA"/>
        </w:rPr>
        <w:t>»</w:t>
      </w:r>
      <w:r>
        <w:rPr>
          <w:rStyle w:val="FootnoteAnchor"/>
          <w:rtl w:val="true"/>
        </w:rPr>
        <w:footnoteReference w:id="2359"/>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خمس من </w:t>
      </w:r>
    </w:p>
    <w:p>
      <w:pPr>
        <w:pStyle w:val="BookText"/>
        <w:rPr/>
      </w:pPr>
      <w:r>
        <w:rPr>
          <w:rFonts w:ascii="Amiri" w:hAnsi="Amiri" w:eastAsia="Amiri" w:cs="Amiri"/>
          <w:color w:val="111111"/>
          <w:sz w:val="28"/>
          <w:sz w:val="28"/>
          <w:szCs w:val="28"/>
          <w:rtl w:val="true"/>
          <w:lang w:bidi="ar-SA"/>
        </w:rPr>
        <w:t>الإبل شاة</w:t>
      </w:r>
      <w:r>
        <w:rPr>
          <w:rFonts w:eastAsia="Amiri" w:cs="Amiri" w:ascii="Amiri" w:hAnsi="Amiri"/>
          <w:color w:val="111111"/>
          <w:sz w:val="28"/>
          <w:szCs w:val="28"/>
          <w:rtl w:val="true"/>
          <w:lang w:bidi="ar-SA"/>
        </w:rPr>
        <w:t>»</w:t>
      </w:r>
      <w:r>
        <w:rPr>
          <w:rStyle w:val="FootnoteAnchor"/>
          <w:rtl w:val="true"/>
        </w:rPr>
        <w:footnoteReference w:id="2360"/>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ظاهر هذه الألفاظ وجوبها في العين لمكان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الظرفيّة و حقيقة الظرفيّة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عليه في الذخيرة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هذه المواضع غير واضحة الدلالة على المعنى الظرفي، بل استعمالها في معنى السببيّة شائع ذائع، كما 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الخطأ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من الإبل</w:t>
      </w:r>
      <w:r>
        <w:rPr>
          <w:rFonts w:eastAsia="Amiri" w:cs="Amiri" w:ascii="Amiri" w:hAnsi="Amiri"/>
          <w:color w:val="111111"/>
          <w:sz w:val="28"/>
          <w:szCs w:val="28"/>
          <w:rtl w:val="true"/>
          <w:lang w:bidi="ar-SA"/>
        </w:rPr>
        <w:t>»</w:t>
      </w:r>
      <w:r>
        <w:rPr>
          <w:rStyle w:val="FootnoteAnchor"/>
          <w:rtl w:val="true"/>
        </w:rPr>
        <w:footnoteReference w:id="23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العينين الدية</w:t>
      </w:r>
      <w:r>
        <w:rPr>
          <w:rStyle w:val="FootnoteAnchor"/>
          <w:rtl w:val="true"/>
        </w:rPr>
        <w:footnoteReference w:id="2363"/>
      </w:r>
      <w:r>
        <w:rPr>
          <w:rFonts w:ascii="Amiri" w:hAnsi="Amiri" w:eastAsia="Amiri" w:cs="Amiri"/>
          <w:color w:val="111111"/>
          <w:sz w:val="28"/>
          <w:sz w:val="28"/>
          <w:szCs w:val="28"/>
          <w:rtl w:val="true"/>
          <w:lang w:bidi="ar-SA"/>
        </w:rPr>
        <w:t>و في أحدهما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الشيء الفلاني كفّارة كذا في الأخبار الكثيرة الواردة في الكفّارات، و أمثال ذلك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من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حملها على الظرفيّة إلاّ بتأويل</w:t>
      </w:r>
      <w:r>
        <w:rPr>
          <w:rStyle w:val="FootnoteAnchor"/>
          <w:rtl w:val="true"/>
        </w:rPr>
        <w:footnoteReference w:id="2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السببيّة في اللغة و إن شاع و لا ينكر و لكن شيوعه لم يبلغ حدّ الحقيقة و وضع التعيّن و لا المجاز المشهور، بل إطلاقه في معنى الظرفيّة أكثر و أشيع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عند الإطلاق ظاهرة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بكونها حقيقة في السببيّة كما عن بعض</w:t>
      </w:r>
      <w:r>
        <w:rPr>
          <w:rStyle w:val="FootnoteAnchor"/>
          <w:rtl w:val="true"/>
        </w:rPr>
        <w:footnoteReference w:id="2365"/>
      </w:r>
      <w:r>
        <w:rPr>
          <w:rFonts w:ascii="Amiri" w:hAnsi="Amiri" w:eastAsia="Amiri" w:cs="Amiri"/>
          <w:color w:val="111111"/>
          <w:sz w:val="28"/>
          <w:sz w:val="28"/>
          <w:szCs w:val="28"/>
          <w:rtl w:val="true"/>
          <w:lang w:bidi="ar-SA"/>
        </w:rPr>
        <w:t xml:space="preserve">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معارض بما عن الفاضلين</w:t>
      </w:r>
      <w:r>
        <w:rPr>
          <w:rStyle w:val="FootnoteAnchor"/>
          <w:rtl w:val="true"/>
        </w:rPr>
        <w:footnoteReference w:id="2366"/>
      </w:r>
      <w:r>
        <w:rPr>
          <w:rFonts w:ascii="Amiri" w:hAnsi="Amiri" w:eastAsia="Amiri" w:cs="Amiri"/>
          <w:color w:val="111111"/>
          <w:sz w:val="28"/>
          <w:sz w:val="28"/>
          <w:szCs w:val="28"/>
          <w:rtl w:val="true"/>
          <w:lang w:bidi="ar-SA"/>
        </w:rPr>
        <w:t>و جماعة</w:t>
      </w:r>
      <w:r>
        <w:rPr>
          <w:rStyle w:val="FootnoteAnchor"/>
          <w:rtl w:val="true"/>
        </w:rPr>
        <w:footnoteReference w:id="2367"/>
      </w:r>
      <w:r>
        <w:rPr>
          <w:rFonts w:ascii="Amiri" w:hAnsi="Amiri" w:eastAsia="Amiri" w:cs="Amiri"/>
          <w:color w:val="111111"/>
          <w:sz w:val="28"/>
          <w:sz w:val="28"/>
          <w:szCs w:val="28"/>
          <w:rtl w:val="true"/>
          <w:lang w:bidi="ar-SA"/>
        </w:rPr>
        <w:t xml:space="preserve">من فضلاء العامّة من إنكار مجيئه لمعنى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و السقوط فلا ينبغي الإصغاء إليه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من عدم إمكان حملها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الظرفيّة إلاّ بتأويل، فلعلّه أراد من التأويل ما هو بطريق الإضمار بتقدير المقدار لداعي عدم كون الفريضة من جنس النصاب هنا، و هو الّذي ذكروه في الاصول في باب </w:t>
      </w:r>
    </w:p>
    <w:p>
      <w:pPr>
        <w:pStyle w:val="BookText"/>
        <w:rPr/>
      </w:pPr>
      <w:r>
        <w:rPr>
          <w:rFonts w:ascii="Amiri" w:hAnsi="Amiri" w:eastAsia="Amiri" w:cs="Amiri"/>
          <w:color w:val="111111"/>
          <w:sz w:val="28"/>
          <w:sz w:val="28"/>
          <w:szCs w:val="28"/>
          <w:rtl w:val="true"/>
          <w:lang w:bidi="ar-SA"/>
        </w:rPr>
        <w:t>تعارض الأحوال من دوران الأمر في الكلام بين المجاز و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فيندفع ما ذكره بأنّه لا ضير في ذلك، بل التأويل المذكور هو المتعيّن ترجيحا لحقيقة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 الأرجح في نوع هذا التعارض هو الإضمار تقديما للأظهر على الظاهر بدعوى أنّ اللفظ المحتمل فيه المجاز أظهر في حقيقته من الهيئة التركيبيّة الكلاميّة في عدم الحذف و التقدير، أو لرجحان خصوص الإضمار هنا على المجاز باعتبار استلزام المجاز هنا بإرادة السببيّة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لمجاز آخر و هو حمل قضيّة الخبر الّتي هي من الجملة الخبريّة على الإنشاء و هو وجوب مقدار الشاة بسبب خمس من الإبل بخلاف صورة الحقيقة فإنّ الجملة حينئذ محمولة على الإخبار من باب بيان الواقع، و يستفاد منه وجوب الأداء بدلالة الالتزام من دون حاجة له إلى التأويل كما يظهر وجهه بأدنى تأمّل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أنّه لا اختصاص المذكور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w:t>
      </w:r>
      <w:r>
        <w:rPr>
          <w:rStyle w:val="FootnoteAnchor"/>
          <w:rtl w:val="true"/>
        </w:rPr>
        <w:footnoteReference w:id="2368"/>
      </w:r>
      <w:r>
        <w:rPr>
          <w:rFonts w:ascii="Amiri" w:hAnsi="Amiri" w:eastAsia="Amiri" w:cs="Amiri"/>
          <w:color w:val="111111"/>
          <w:sz w:val="28"/>
          <w:sz w:val="28"/>
          <w:szCs w:val="28"/>
          <w:rtl w:val="true"/>
          <w:lang w:bidi="ar-SA"/>
        </w:rPr>
        <w:t>بل لا بدّ من ارتكابه في غيره ممّا تقدّم حتّى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أربعين شاة شاة و في ثلاثين من البقر تبيع و في ستّ و عشرين من الإبل بنت مخاض</w:t>
      </w:r>
      <w:r>
        <w:rPr>
          <w:rFonts w:eastAsia="Amiri" w:cs="Amiri" w:ascii="Amiri" w:hAnsi="Amiri"/>
          <w:color w:val="111111"/>
          <w:sz w:val="28"/>
          <w:szCs w:val="28"/>
          <w:rtl w:val="true"/>
          <w:lang w:bidi="ar-SA"/>
        </w:rPr>
        <w:t>»</w:t>
      </w:r>
      <w:r>
        <w:rPr>
          <w:rStyle w:val="FootnoteAnchor"/>
          <w:rtl w:val="true"/>
        </w:rPr>
        <w:footnoteReference w:id="2369"/>
      </w:r>
      <w:r>
        <w:rPr>
          <w:rFonts w:ascii="Amiri" w:hAnsi="Amiri" w:eastAsia="Amiri" w:cs="Amiri"/>
          <w:color w:val="111111"/>
          <w:sz w:val="28"/>
          <w:sz w:val="28"/>
          <w:szCs w:val="28"/>
          <w:rtl w:val="true"/>
          <w:lang w:bidi="ar-SA"/>
        </w:rPr>
        <w:t xml:space="preserve">خصوصا مع عدم وجود تبيع أو بنت مخاض في النصاب لثبوت الفريضة على المختار في النصاب على سبيل الإشاعة، و لا يستقيم ذلك إلاّ بإرادة الكلّ المجموعي من الشاة و التبيع و بنت المخاض و نصف الدينار، و هو ما يلتئم من أجزاء متساوية على حسب آحاد النصاب بحيث يوجد في كلّ واحد جزء، كأربعين جزء من الشاة في أربعين شاة، و ثلاثين جزء من التبيع في ثلاثين من البقر، و ستّ و عشرين من بنت مخاض في ستّ و عشرين من الإبل و هكذا، لا جزئيّا حقيقيّا معيّنا عند اللّه و لا كلّيّا اعتباريّا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يؤول إلى تخيير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تلف بعض النصاب بلا تفريط من المالك حصل النقص في الفريضة أيضا بنسبة ما تلف و هو لا يستقيم إلاّ بأن وجد في التالف جزء من الفريضة، بنسبته كجزء واحد من أربعين جزء من الشاة مثلا لو كان التالف شاة واحدة، أو جزءين لو كان شاتين، و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الظاهر أنّ الكلّ المجموعي بالمعنى الّذي ذكرناه باعتبار إشاعته و عدم وجوده مستقلاّ في الخارج ما يعبّر عنه بالمقدار، فلا بدّ من تقديره في الجميع حملا للشاة و التبيع و بنت المخاض و بنت لبون و الحقّة و الجذعة على حقائقها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ظهر ضعف ما تقدّم عن البيان من احتمال وجوبها في الذمّة في النصب الخمس من الإبل لعدم كون الواجب من جنس العين، و ضعف تعليله لعدم الفرق في كون الفريضة على الإشاعة حتّى في متّحد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الأخبار الظاهرة الدلالة على وجوبها في العين كصحيح عبد الرحمن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يزكّ إبله أو شاته عامين، فباعها على من اشتراها أن يزكّيها لما مضى‌؟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يؤخذ زكاتها و يتبع بها البائع أو يؤدّي زكاتها البائع</w:t>
      </w:r>
      <w:r>
        <w:rPr>
          <w:rFonts w:eastAsia="Amiri" w:cs="Amiri" w:ascii="Amiri" w:hAnsi="Amiri"/>
          <w:color w:val="111111"/>
          <w:sz w:val="28"/>
          <w:szCs w:val="28"/>
          <w:rtl w:val="true"/>
          <w:lang w:bidi="ar-SA"/>
        </w:rPr>
        <w:t>»</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المعزا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شرّك بين الفقراء و الأغنياء في الأموال، فليس لهم أن يصرفوا إلى غير شركائهم</w:t>
      </w:r>
      <w:r>
        <w:rPr>
          <w:rFonts w:eastAsia="Amiri" w:cs="Amiri" w:ascii="Amiri" w:hAnsi="Amiri"/>
          <w:color w:val="111111"/>
          <w:sz w:val="28"/>
          <w:szCs w:val="28"/>
          <w:rtl w:val="true"/>
          <w:lang w:bidi="ar-SA"/>
        </w:rPr>
        <w:t>»</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أو حسن بريد بن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أمير المؤمنين عليه السّلام مصدّقا من الكوفة إلى باديتها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ماله فلا تدخله إلاّ بإذنه فإنّ أكثره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المال صدعين ثمّ خيّره أيّ الصدعين شاء، فأيّهما اختار فلا تعرّض له، ثمّ اصدع الباقي صدعين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أو حسن محمّد بن خالد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عن الصدقة فقال عليه السّلام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لا يقبل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أحمل ذلك من مالي،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مصدّقك أن لا يحشر من ماء إلى ماء و لا يجمع بين متفرّق و لا يفرّق بين مجتمع فإذا دخل المال فليقسّم المال نصفين و يخيّر صاحبها أيّ القسمين شاء، فإن اختار فليدفعه إليه، فإن </w:t>
      </w:r>
    </w:p>
    <w:p>
      <w:pPr>
        <w:pStyle w:val="BookText"/>
        <w:rPr/>
      </w:pPr>
      <w:r>
        <w:rPr>
          <w:rFonts w:ascii="Amiri" w:hAnsi="Amiri" w:eastAsia="Amiri" w:cs="Amiri"/>
          <w:color w:val="111111"/>
          <w:sz w:val="28"/>
          <w:sz w:val="28"/>
          <w:szCs w:val="28"/>
          <w:rtl w:val="true"/>
          <w:lang w:bidi="ar-SA"/>
        </w:rPr>
        <w:t>تتبعت نفس صاحب الغنم من النصف الآخر منها شاة أو شاتين أو ثلاثا فليدفعها إليه ثمّ ليأخذ صدقته، فإذا أخرجها فليقوّمها في من يريد فإذا قامت على ثمن، فإن أراد صاحبها فهو أحقّ بها و إن لم يردها فليبعها</w:t>
      </w:r>
      <w:r>
        <w:rPr>
          <w:rFonts w:eastAsia="Amiri" w:cs="Amiri" w:ascii="Amiri" w:hAnsi="Amiri"/>
          <w:color w:val="111111"/>
          <w:sz w:val="28"/>
          <w:szCs w:val="28"/>
          <w:rtl w:val="true"/>
          <w:lang w:bidi="ar-SA"/>
        </w:rPr>
        <w:t>»</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المناقشة في الرواية الاولى بأنّ التخيير المستفاد منها ينافي التعلّق بالعين كما في الذخيرة</w:t>
      </w:r>
      <w:r>
        <w:rPr>
          <w:rStyle w:val="FootnoteAnchor"/>
          <w:rtl w:val="true"/>
        </w:rPr>
        <w:footnoteReference w:id="2374"/>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المنافاة بل يؤكّده فإنّ البيع في قدر الواجب لمّا لم يكن صحيحا فخيّر الإمام عليه السّلام في أداء الزكاة بين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المشتري إيّاه ممّا اشتراه ثمّ يرجع على البائع بقسطه من الثمن،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يتقبّله البائع و يدفع قيمته من ماله كما في صورة ما لو لم يبعه فإنّ البيع الفاسد وجوده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المناقشة في الرواية الثانية بما في الذخيرة أيضا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و إن تعلّقت بالذمّة لكن يجب إخراجها من الأموال الّتي تدخل تحت ملكه فيحصل الشركة بهذا الاعتبار و ذلك لا يقتضي تعلّقها بعين النصاب، و بالجملة دلالة الخبر على الشركة المصطلح عليها غير واضحة، نعم يصلح للتأييد</w:t>
      </w:r>
      <w:r>
        <w:rPr>
          <w:rFonts w:eastAsia="Amiri" w:cs="Amiri" w:ascii="Amiri" w:hAnsi="Amiri"/>
          <w:color w:val="111111"/>
          <w:sz w:val="28"/>
          <w:szCs w:val="28"/>
          <w:rtl w:val="true"/>
          <w:lang w:bidi="ar-SA"/>
        </w:rPr>
        <w:t>»</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الخبر هو الشركة في الأموال الزكويّة و صرفها إلى غيرها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إخراج للشركة عن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ظاهر لا داعي إلى ارتكابه، و المفروض عدم ثبوت حقيقة شرعيّة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أمر عرفي و على تقدير الثبوت فلا داعي إلى صرفها إلى غير معناها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بقرينة ما ستعرف ينبغي التصرّف فيها بحملها على الشركة على وجه المصرفيّة لا على وجه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الوجوه الاعتباريّة وقع الاحتجاج بها في كلام الأصحاب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مطهّرة للمال فكانت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وجبت في الذمّة لتكرّرت في النصاب الواحد بتكرّر الحول، و التالي باطل اتّفاقا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وجبت في الذمّة لم تقدّم على الدين مع بقاء عين النصاب إذا قصرت </w:t>
      </w:r>
    </w:p>
    <w:p>
      <w:pPr>
        <w:pStyle w:val="BookText"/>
        <w:rPr/>
      </w:pPr>
      <w:r>
        <w:rPr>
          <w:rFonts w:ascii="Amiri" w:hAnsi="Amiri" w:eastAsia="Amiri" w:cs="Amiri"/>
          <w:color w:val="111111"/>
          <w:sz w:val="28"/>
          <w:sz w:val="28"/>
          <w:szCs w:val="28"/>
          <w:rtl w:val="true"/>
          <w:lang w:bidi="ar-SA"/>
        </w:rPr>
        <w:t>التركة، و التالي باطل اتّفاقا 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وجبت في الذمّة لم تسقط بتلف النصاب من غير تفريط، و التالي باطل 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وجبت في الذمّة لم يجز للساعي تتبّع العين لو باعها المالك، و التالي باطل اتّفاقا 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خفاء في ضعف الكلّ و وضوح دفع الجميع،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الزكاة مطهّرة للمال لا يلازم كونها في العين، لجواز كون بلوغ العين النصاب مع اجتماع سائر شروط الوجوب سببا لوجوب قدر في الذمّة لو أدّى كان مطهّرا للعين، و بالجملة كونها مطهّرة للعين، لا يقتضي كونها جزءا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البواقي فلمنع الملازمة في الجميع، و سند المنع هو دليل بطلان اللوازم في الجميع و هو الاتّفاق إن تمّ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عدم تكرّر الزكاة في النصاب الواحد بتكرّر الحول، و تقدّم الزكاة على الدين مع قصور التركة، و سقوطها بتلف النصاب من غير تفريط، و تتبّع الساعي العين إذا باعها المالك، كلّها أحكام ثبتت بالدليل و لعلّه الاتّفاق فلا ينافي شيء منها الوجوب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منع بطلان التالي في الجميع، و سند المنع أنّ هذه الأحكام المذكورة كلّها لوازم تترتّب على كون الزكاة في العين و أنّها من فوائده، و لذا يستدلّ على كلّ في محلّ ذكره بذلك فلا بدّ في ثبوت الكلّ من الاستدلال بالتعلّق بالعين فلا بدّ من إثبات ذلك أوّلا بالدليل ثمّ الاستدلال به على تلك الأحكام و لا يمكن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ينقدح منع الاتّفاق المستدلّ به على بطلان اللوازم، لأنّه إنّما يتمّ لو كان التعلّق بالعين اتّفاقيّا، و إذ 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الوجوه المذكورة لا تنهض لإثبات التعلّق بالعين و لا يبعد كونها مؤيّدة للدليل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بالوجوب في الذمّة فلم نقف على دليله مع عدم ثبوت كون قائله من الأصحاب، نعم عن المحقّق في المعتبر</w:t>
      </w:r>
      <w:r>
        <w:rPr>
          <w:rStyle w:val="FootnoteAnchor"/>
          <w:rtl w:val="true"/>
        </w:rPr>
        <w:footnoteReference w:id="2376"/>
      </w:r>
      <w:r>
        <w:rPr>
          <w:rFonts w:ascii="Amiri" w:hAnsi="Amiri" w:eastAsia="Amiri" w:cs="Amiri"/>
          <w:color w:val="111111"/>
          <w:sz w:val="28"/>
          <w:sz w:val="28"/>
          <w:szCs w:val="28"/>
          <w:rtl w:val="true"/>
          <w:lang w:bidi="ar-SA"/>
        </w:rPr>
        <w:t xml:space="preserve">أنّه حكاه عن بعض العامّة محتجّا عليه بأنّها </w:t>
      </w:r>
    </w:p>
    <w:p>
      <w:pPr>
        <w:pStyle w:val="BookText"/>
        <w:rPr/>
      </w:pPr>
      <w:r>
        <w:rPr>
          <w:rFonts w:ascii="Amiri" w:hAnsi="Amiri" w:eastAsia="Amiri" w:cs="Amiri"/>
          <w:color w:val="111111"/>
          <w:sz w:val="28"/>
          <w:sz w:val="28"/>
          <w:szCs w:val="28"/>
          <w:rtl w:val="true"/>
          <w:lang w:bidi="ar-SA"/>
        </w:rPr>
        <w:t>لو وجبت في العين لكان للمستحقّ إلزام المالك بالأداء من العين، و لمنع المالك من التصرّف في النصاب إلاّ بعد إخراج الفرض، و الجواب عنهما منع الملازمة، لجواز أنّ الشارع أوجبها في العين العدول في الأداء إلى غير العين مثلا أو قيمة، و رخصة في التصرّف في النصاب بعد أن يضمّن الفرض على نفسه إرفاقا له و تسهيلا للأمر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حقّ المستحقّ على وجه الاستحقاق و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طريق الاستدلال على وجوبها في العين حسبما بيّنّاه يظهر أنّه بطريق الاستحقاق فيكون المستحقّ شريكا، و هو ظاهر خبري أبي المعزى و بريد بن معاوية</w:t>
      </w:r>
      <w:r>
        <w:rPr>
          <w:rStyle w:val="FootnoteAnchor"/>
          <w:rtl w:val="true"/>
        </w:rPr>
        <w:footnoteReference w:id="2377"/>
      </w:r>
      <w:r>
        <w:rPr>
          <w:rFonts w:ascii="Amiri" w:hAnsi="Amiri" w:eastAsia="Amiri" w:cs="Amiri"/>
          <w:color w:val="111111"/>
          <w:sz w:val="28"/>
          <w:sz w:val="28"/>
          <w:szCs w:val="28"/>
          <w:rtl w:val="true"/>
          <w:lang w:bidi="ar-SA"/>
        </w:rPr>
        <w:t>وفاقا لجماعة، بل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الظاهر من كلام الأصحاب حيث أطلقوا وجوبها في العين</w:t>
      </w:r>
      <w:r>
        <w:rPr>
          <w:rFonts w:eastAsia="Amiri" w:cs="Amiri" w:ascii="Amiri" w:hAnsi="Amiri"/>
          <w:color w:val="111111"/>
          <w:sz w:val="28"/>
          <w:szCs w:val="28"/>
          <w:rtl w:val="true"/>
          <w:lang w:bidi="ar-SA"/>
        </w:rPr>
        <w:t>»</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عن البيان من كونه كتعلّق الرهن أو كتعلّق أرش الجناية بالعبد فلو باعها المالك كان التزاما منه بأدائها</w:t>
      </w:r>
      <w:r>
        <w:rPr>
          <w:rStyle w:val="FootnoteAnchor"/>
          <w:rtl w:val="true"/>
        </w:rPr>
        <w:footnoteReference w:id="2379"/>
      </w:r>
      <w:r>
        <w:rPr>
          <w:rFonts w:ascii="IRNazanin" w:hAnsi="IRNazanin" w:eastAsia="IRNazanin"/>
          <w:color w:val="111111"/>
          <w:sz w:val="28"/>
          <w:sz w:val="28"/>
          <w:szCs w:val="28"/>
          <w:rtl w:val="true"/>
          <w:lang w:bidi="fa-IR"/>
        </w:rPr>
        <w:t>فواضح الضعف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الاستدلال على ضعف الشركة بالإجماع على جواز أدائها من مال آخر و هو مرجّح للتعلّق بالذمّة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معارض بالإجماع على تتبّع الساعي العين لو باعها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الدفع بما ذكرناه في دفع حجّة الوجوب في الذمّة، مع إمكان منع الملازمة، و سنده الإجماع المذكور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التمسّك لنفي الشركة بأصالة بقائه على ملكيّة المالك و عدم انتقاله إلى المستحقّ‌، فلا خفاء في ضعفه، كضعف التمسّك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انتقل إلى المستحقّ لكان الانتقال قهريّا كالإرث و الانتقال القهري في غاية الندرة فلا يلحق به موضع الشكّ بل يلحق بالغالب و هو الانتقال الإرادي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ضعف الأوّل فلأنّ الأصل مع وجود الدليل على خروجه عن ملك المالك لا حكم له، و أمّا ضعف الثاني فلأنّا لو قلنا بالانتقال فمدركه ليس قاعدة الإلحاق حتّى يقابل بنحو ما ذكر بل مدركه ظواهر أدلّة التعلّق بالعين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ربّما يشكل الحال فيما اخترناه من التعلّق على وجه الاستحقاق و الشركة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 عليه من أنّ المستحقّ للزكاة أصناف،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و من الظاهر أنّه ليس بمالك حقيقة بل لا يصحّ مالكيّته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 عليه أيضا من أنّه لو انتقل إلى المستحقّ فلا يخلو إمّا أن ينتقل إلى مستحقّ معيّن، أو إلى مستحقّ غير معيّن، أو إلى جميع المستحقّين، و 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فلعدم الدليل عليه، مع امتناع الترجيح من غير مرجّح، مضافا إلى أنّ انتقاله إلى المعيّن يقتضي وجوب صرفه إليه خاصّة و هو ينافي تخيير المالك في صرفه فى من شاء من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فالانتفاء الدليل عليه أيضا مع جواز صرفه فى من شاء، و هو أيضا ينافي الانتقال إلى 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 فلتعذّر إحصاء المستحقّين لكثرتهم فلا يمكن لكلّ منهم سهم مع أنّه يجوز الدفع إلى واحد من غير توقّف على إذن الباقين، و هذا ينافي اشتراك الجميع المقتضي لعدم جواز دفعه إلى بعضهم من دون غيره من الشركاء لحرمة التصرّف في مال الغير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الذبّ عن الإشكال الأوّل بأنّ معنى التعلّق بالعين على وجه الاستحقاق، خروج قدر الواجب ببلوغ النصاب و حول الحول مع اجتماع سائر الشرائط عن ملك المالك، ثمّ يجب عليه إخراجه و دفعه إلى المستحقّ أو إلى الإمام أو الساعي، فإذا وصل إلى المستحقّ مع كونه ممّن يصلح للمالكيّة كالفقير و المسكين و ابن السبيل و نحوهم يملكه، فما لم يصل إليه لا يكون ملكا لأحد و إن خرج عن ملك المالك، و لا امتناع فيه بل ليس بعزيز كما في ثلث الميّت بناء على أنّه لا يملك و المال الموصى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اشتراط قبول الموصى له بعد الموت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فبموت الموصي يخرج عن ملكه و يبقى بلا مالك إلى أن يلحقه القبول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للزكاة حقيقة، لا ينافي تعلّقها بالعين بالمعنى المذكور، بل قد عرفت أنّ سائر الأصناف أيضا لا يملكون ما لم يصل إلى قبضهم، غاية الأمر أنّ المالك يجب عليه بعد خروجها عن ملكه أن يصرفها في مصارفه فمن مصارفه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يملك، و من مصارفه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يملك</w:t>
      </w:r>
      <w:r>
        <w:rPr>
          <w:rFonts w:eastAsia="Amiri" w:cs="Amiri" w:ascii="Amiri" w:hAnsi="Amiri"/>
          <w:color w:val="111111"/>
          <w:sz w:val="28"/>
          <w:szCs w:val="28"/>
          <w:rtl w:val="true"/>
          <w:lang w:bidi="ar-SA"/>
        </w:rPr>
        <w:t xml:space="preserve">. </w:t>
      </w:r>
      <w:bookmarkStart w:id="509" w:name="pg16181_154766"/>
    </w:p>
    <w:p>
      <w:pPr>
        <w:pStyle w:val="BookText"/>
        <w:rPr/>
      </w:pPr>
      <w:bookmarkEnd w:id="509"/>
      <w:r>
        <w:rPr>
          <w:rFonts w:ascii="Amiri" w:hAnsi="Amiri" w:eastAsia="Amiri" w:cs="Amiri"/>
          <w:color w:val="111111"/>
          <w:sz w:val="28"/>
          <w:sz w:val="28"/>
          <w:szCs w:val="28"/>
          <w:rtl w:val="true"/>
          <w:lang w:bidi="ar-SA"/>
        </w:rPr>
        <w:t>و ممّا يكشف عن ذلك أنّهم حملوا آية الصدقة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w:t>
      </w:r>
      <w:r>
        <w:rPr>
          <w:rStyle w:val="FootnoteAnchor"/>
          <w:rtl w:val="true"/>
        </w:rPr>
        <w:footnoteReference w:id="2380"/>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اَلسَّبِيلِ‌ على بيان المصرف لا الاستحقاق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يَلْمِزُكَ فِي اَلصَّدَقٰاتِ فَإِنْ أُعْطُوا مِنْهٰا رَضُوا وَ إِنْ لَمْ يُعْطَوْا مِنْهٰا إِذٰا هُمْ يَسْخَطُونَ‌ </w:t>
      </w:r>
      <w:r>
        <w:rPr>
          <w:rStyle w:val="FootnoteAnchor"/>
          <w:rtl w:val="true"/>
        </w:rPr>
        <w:footnoteReference w:id="2381"/>
      </w:r>
      <w:r>
        <w:rPr>
          <w:rFonts w:ascii="Amiri" w:hAnsi="Amiri" w:eastAsia="Amiri" w:cs="Amiri"/>
          <w:color w:val="111111"/>
          <w:sz w:val="28"/>
          <w:sz w:val="28"/>
          <w:szCs w:val="28"/>
          <w:rtl w:val="true"/>
          <w:lang w:bidi="ar-SA"/>
        </w:rPr>
        <w:t>فإنّه نزل ردّا عليهم و ردعا لمعتقدهم أنّه صلّى اللّه عليه و آله يجور فيدلّ على أنّه صلّى اللّه عليه و آله لا يجور بل يصرفه في مصرفه، و من ثمراته أنّه لا يجب في الصرف، التوزيع و استيعاب كلّ صنف و لا استيعاب آحاد صنف 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اندفاع الإشكال الثاني أيضا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نقول بانتقاله إلى مستحقّ معيّن و لا غير معيّن و لا جميع المستحقّين، بل هناك شقّ رابع و هو خروجه عن ملك المالك، و حيث إنّ مصرفه الأصناف السبع المذكورة في الآية، يتساوى من هذه الجهة نسبته إلى الجميع و إلى آحاد كلّ صنف، و يجوز للمالك صرفه في بعض و لو واحدا من دون اشتراطه بإذن غيره و إذا صرفه فيه سقط نسبته إلى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كلّه فمعنى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شركة على وجه المصرفيّة لا أنّه شركة مالكيّة</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2586783_1280447820"/>
      <w:bookmarkStart w:id="511" w:name="_Toc190"/>
      <w:bookmarkEnd w:id="510"/>
      <w:r>
        <w:rPr>
          <w:rtl w:val="true"/>
        </w:rPr>
        <w:t>ثمّ إنّ هاهنا مسائل</w:t>
      </w:r>
      <w:r>
        <w:rPr>
          <w:rtl w:val="true"/>
        </w:rPr>
        <w:t>:</w:t>
      </w:r>
      <w:bookmarkEnd w:id="511"/>
    </w:p>
    <w:p>
      <w:pPr>
        <w:pStyle w:val="Heading6"/>
        <w:numPr>
          <w:ilvl w:val="5"/>
          <w:numId w:val="1"/>
        </w:numPr>
        <w:rPr/>
      </w:pPr>
      <w:bookmarkStart w:id="512" w:name="__RefHeading___Toc2586785_1280447820"/>
      <w:bookmarkStart w:id="513" w:name="_Toc191"/>
      <w:bookmarkEnd w:id="512"/>
      <w:r>
        <w:rPr>
          <w:rtl w:val="true"/>
        </w:rPr>
        <w:t>منها</w:t>
      </w:r>
      <w:r>
        <w:rPr>
          <w:rtl w:val="true"/>
        </w:rPr>
        <w:t xml:space="preserve">: </w:t>
      </w:r>
      <w:r>
        <w:rPr>
          <w:rtl w:val="true"/>
        </w:rPr>
        <w:t>أنّه لو تمكّن من إخراج الزكاة و إيصالها إلى المستحقّ أو الإمام أو الساعي و لم يفعل فقد فرّط،</w:t>
      </w:r>
      <w:bookmarkEnd w:id="513"/>
    </w:p>
    <w:p>
      <w:pPr>
        <w:pStyle w:val="BookText"/>
        <w:rPr/>
      </w:pPr>
      <w:r>
        <w:rPr>
          <w:rFonts w:ascii="Amiri" w:hAnsi="Amiri" w:eastAsia="Amiri" w:cs="Amiri"/>
          <w:color w:val="111111"/>
          <w:sz w:val="28"/>
          <w:sz w:val="28"/>
          <w:szCs w:val="28"/>
          <w:rtl w:val="true"/>
          <w:lang w:bidi="ar-SA"/>
        </w:rPr>
        <w:t xml:space="preserve">و حينئذ فلو تلف النصاب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الفاضلان</w:t>
      </w:r>
      <w:r>
        <w:rPr>
          <w:rStyle w:val="FootnoteAnchor"/>
          <w:rtl w:val="true"/>
        </w:rPr>
        <w:footnoteReference w:id="2382"/>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الزكاة في يده أمانة شرعيّة، لأنّ من حكم الأمانة كونها مضمونة على الأمين في صورتي التعدّي و التفريط</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2586787_1280447820"/>
      <w:bookmarkStart w:id="515" w:name="_Toc192"/>
      <w:bookmarkEnd w:id="514"/>
      <w:r>
        <w:rPr>
          <w:rtl w:val="true"/>
        </w:rPr>
        <w:t>[</w:t>
      </w:r>
      <w:r>
        <w:rPr>
          <w:rtl w:val="true"/>
        </w:rPr>
        <w:t>تعلّق الزكاة بالصداق</w:t>
      </w:r>
      <w:r>
        <w:rPr>
          <w:rtl w:val="true"/>
        </w:rPr>
        <w:t>]</w:t>
      </w:r>
      <w:bookmarkEnd w:id="51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تزوّج امرأة و أمهر لها مالا زكويّا بالغا للنصاب و أقبضها ثمّ حال عليه الحول فالزكاة واجبة عليها لتحقّق الحول في ملكها سواء طلّقها بعد الحول و بعد الدخول أو قبله أو لم يطلّقها، غاية الأمر أنّه يستقرّ لها تمام المهر بالدخول، نعم </w:t>
      </w:r>
      <w:bookmarkStart w:id="516" w:name="pg16181_154767"/>
    </w:p>
    <w:p>
      <w:pPr>
        <w:pStyle w:val="BookText"/>
        <w:rPr/>
      </w:pPr>
      <w:bookmarkEnd w:id="516"/>
      <w:r>
        <w:rPr>
          <w:rFonts w:ascii="Amiri" w:hAnsi="Amiri" w:eastAsia="Amiri" w:cs="Amiri"/>
          <w:color w:val="111111"/>
          <w:sz w:val="28"/>
          <w:sz w:val="28"/>
          <w:szCs w:val="28"/>
          <w:rtl w:val="true"/>
          <w:lang w:bidi="ar-SA"/>
        </w:rPr>
        <w:t>لو طلّقها قبل الدخول رجع إليه نصف المهر موفّرا كما في الشرائع</w:t>
      </w:r>
      <w:r>
        <w:rPr>
          <w:rStyle w:val="FootnoteAnchor"/>
          <w:rtl w:val="true"/>
        </w:rPr>
        <w:footnoteReference w:id="2383"/>
      </w:r>
      <w:r>
        <w:rPr>
          <w:rFonts w:ascii="Amiri" w:hAnsi="Amiri" w:eastAsia="Amiri" w:cs="Amiri"/>
          <w:color w:val="111111"/>
          <w:sz w:val="28"/>
          <w:sz w:val="28"/>
          <w:szCs w:val="28"/>
          <w:rtl w:val="true"/>
          <w:lang w:bidi="ar-SA"/>
        </w:rPr>
        <w:t>و غيره، و عليها الزكاة تماما لأنّها مخاطبة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اختلفوا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له نصف النصاب كملا و كان عليها الزكاة في النصف الباقي الّذي هو نصيبها</w:t>
      </w:r>
      <w:r>
        <w:rPr>
          <w:rFonts w:eastAsia="Amiri" w:cs="Amiri" w:ascii="Amiri" w:hAnsi="Amiri"/>
          <w:color w:val="111111"/>
          <w:sz w:val="28"/>
          <w:szCs w:val="28"/>
          <w:rtl w:val="true"/>
          <w:lang w:bidi="ar-SA"/>
        </w:rPr>
        <w:t>»</w:t>
      </w:r>
      <w:r>
        <w:rPr>
          <w:rStyle w:val="FootnoteAnchor"/>
          <w:rtl w:val="true"/>
        </w:rPr>
        <w:footnoteReference w:id="2384"/>
      </w:r>
      <w:r>
        <w:rPr>
          <w:rFonts w:ascii="Amiri" w:hAnsi="Amiri" w:eastAsia="Amiri" w:cs="Amiri"/>
          <w:color w:val="111111"/>
          <w:sz w:val="28"/>
          <w:sz w:val="28"/>
          <w:szCs w:val="28"/>
          <w:rtl w:val="true"/>
          <w:lang w:bidi="ar-SA"/>
        </w:rPr>
        <w:t>مستدلاّ عليه بأنّ الزوج يمكنه الرجوع بنصف المفروض فيرجع به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مٰا فَرَضْتُمْ‌ </w:t>
      </w:r>
      <w:r>
        <w:rPr>
          <w:rStyle w:val="FootnoteAnchor"/>
          <w:rtl w:val="true"/>
        </w:rPr>
        <w:footnoteReference w:id="2385"/>
      </w:r>
      <w:r>
        <w:rPr>
          <w:rFonts w:ascii="Amiri" w:hAnsi="Amiri" w:eastAsia="Amiri" w:cs="Amiri"/>
          <w:color w:val="111111"/>
          <w:sz w:val="28"/>
          <w:sz w:val="28"/>
          <w:szCs w:val="28"/>
          <w:rtl w:val="true"/>
          <w:lang w:bidi="ar-SA"/>
        </w:rPr>
        <w:t>لا بالقيمة، بخلاف ما لو تلف الكلّ فيرجع بقيمة النصف إذ لا طريق له في الرجوع بالنصف إلاّ أخذ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Style w:val="FootnoteAnchor"/>
          <w:rtl w:val="true"/>
        </w:rPr>
        <w:footnoteReference w:id="2386"/>
      </w:r>
      <w:r>
        <w:rPr>
          <w:rFonts w:ascii="Amiri" w:hAnsi="Amiri" w:eastAsia="Amiri" w:cs="Amiri"/>
          <w:color w:val="111111"/>
          <w:sz w:val="28"/>
          <w:sz w:val="28"/>
          <w:szCs w:val="28"/>
          <w:rtl w:val="true"/>
          <w:lang w:bidi="ar-SA"/>
        </w:rPr>
        <w:t>التوفير عدم نقصان نصف المهر على الزوج بسبب الزكاة و لكن لها إخراج الزكاة من عين النصاب و كان له نصف الباقي و غرامة نصف المخرج، و على هذا فهي تتخيّر بين أن تدفع إليه نصف الباقي بعد إخراج الزكاة و تغرم له نصف المخرج، و أن تدفع إليه نصف النصاب تماما و عليها الزكاة في نصيبها من النصف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الأحوط ما في المعتبر بل هو في غاية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تعيّن دفع النصف تماما إليه و إخراج الزكاة من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تلف ذلك النصف و تعذّر أخذها منها لإعسار و نحوه، كان للساعي الرجوع على الزوج في النصف الراجع إليه، لأنّ الزكاة إنّما تجب في العين و الزوج يرجع إليها بالغرامة 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طلّقها قبل الدخول في أثناء الحول انقطع الحول في النصف الراجع إليه و إذا تمّ في النصف الآخر و كان نصابا وجب فيه الزكاة و إلاّ فلا، و لو انفسخ النكاح سقط المهر كلّه، و حينئذ فإن كان قبل قبضها لا زكاة عليها جزما، و إن كان بعد قبضها و حال عليه الحول ففي الزكاة عليها إشكال كما عن المنتهى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 الوجوب</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2586789_1280447820"/>
      <w:bookmarkStart w:id="518" w:name="_Toc193"/>
      <w:bookmarkEnd w:id="517"/>
      <w:r>
        <w:rPr>
          <w:rtl w:val="true"/>
        </w:rPr>
        <w:t>[</w:t>
      </w:r>
      <w:r>
        <w:rPr>
          <w:rtl w:val="true"/>
        </w:rPr>
        <w:t>تكرّر الأحوال المتعدّدة على النصاب</w:t>
      </w:r>
      <w:r>
        <w:rPr>
          <w:rtl w:val="true"/>
        </w:rPr>
        <w:t>]</w:t>
      </w:r>
      <w:bookmarkEnd w:id="51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نصاب كأربعين شاة مثلا و حال عليه أحوال متعدّدة فإن أخرج زكاته عند انقضاء كلّ سنة من غيره تكرّرت الزكاة بتكرّر الحول عليه كما صرّح به </w:t>
      </w:r>
    </w:p>
    <w:p>
      <w:pPr>
        <w:pStyle w:val="BookText"/>
        <w:rPr/>
      </w:pPr>
      <w:r>
        <w:rPr>
          <w:rFonts w:ascii="IRNazanin" w:hAnsi="IRNazanin" w:eastAsia="IRNazanin"/>
          <w:color w:val="111111"/>
          <w:sz w:val="28"/>
          <w:sz w:val="28"/>
          <w:szCs w:val="28"/>
          <w:rtl w:val="true"/>
          <w:lang w:bidi="fa-IR"/>
        </w:rPr>
        <w:t>الفاضلان</w:t>
      </w:r>
      <w:r>
        <w:rPr>
          <w:rStyle w:val="FootnoteAnchor"/>
          <w:rtl w:val="true"/>
        </w:rPr>
        <w:footnoteReference w:id="2387"/>
      </w:r>
      <w:r>
        <w:rPr>
          <w:rFonts w:ascii="Amiri" w:hAnsi="Amiri" w:eastAsia="Amiri" w:cs="Amiri"/>
          <w:color w:val="111111"/>
          <w:sz w:val="28"/>
          <w:sz w:val="28"/>
          <w:szCs w:val="28"/>
          <w:rtl w:val="true"/>
          <w:lang w:bidi="ar-SA"/>
        </w:rPr>
        <w:t>و غيرهما، و في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الاتّفاق عليه لعدم إيماء في كتب المذكورين إلى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ذلك لبقائه في طول كلّ سنة في ملك مالكه و هو نصاب تامّ‌، فإذا حال عليه الحول في كلّ سنة يتناوله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حال عليه الحول ففيه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إطلاقهم عدم الفرق في التكرّر بين المختار من تعلّق الزكاة بالعين و القول الآخر من تعلّقها بالذمّة، نعم إن لم تخرج زكاته من غيره لم يجب فيه إلاّ زكاة حول واحد و هو الحول الأوّل على المختار لنقصان المال عن النصاب بخروج بعضه و هو مقدار الفريضة عن ملك مالكه عند حول الحول الأوّل و بقى في غيره من الأحوال ناقصا، و أمّا على القول الآخر فالظاهر تكرّر وجوب الزكاة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من ثمرات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نصابا تامّا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عنده أكثر من نصاب كتسعة و أربعين شاة مثلا و لم تخرج زكاته من غيره فعند حول كلّ حول و إن حصل النقص في النصاب على المختار بوجوب الزكاة فيه و خروج جزئه من ملك المالك، إلاّ أنّه يجبر من الزائد فبقى ثمانية و أربعون في ملكه عند تمام الحول الأوّل، و سبعة و أربعون عند تمام الحول الثاني، و ستّة و أربعون عند تمام الحول الثالث، و هكذا إلى أن يبقى أربعون عند تمام الحول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حصل النقص في أربعين من غير جبران كما لو حال عليه العاشر بدخول الحادي عشر لم يجب فيه زكاة بعد، و قضيّة الفرض عند تمام السنة العاشرة أن يجب عليه عشرة شياه في نحو المثال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عنده ستّة و عشرون من الإبل و مضى عليها حول واحد وجب عليه بنت مخاض، و إن مضى حولان وجب عليه مع بنت المخاض خمسة شياه، و إن مضى ثلاثة أحوال وجب مع ما ذكر أربعة شياه اخر، و إن مضى أربعة وجب مع ما ذكر ثلاثة شياه اخر، و إن مضى خمسة وجب مع ما ذكر شاتان اخريان، و إن مضى خمسة وجب مع ما ذكر شاة، فمجموع الشياه الواجبة عليه مع بنت المخاض بتكرّر الأحوال الستّ </w:t>
      </w:r>
    </w:p>
    <w:p>
      <w:pPr>
        <w:pStyle w:val="BookText"/>
        <w:rPr/>
      </w:pPr>
      <w:r>
        <w:rPr>
          <w:rFonts w:ascii="Amiri" w:hAnsi="Amiri" w:eastAsia="Amiri" w:cs="Amiri"/>
          <w:color w:val="111111"/>
          <w:sz w:val="28"/>
          <w:sz w:val="28"/>
          <w:szCs w:val="28"/>
          <w:rtl w:val="true"/>
          <w:lang w:bidi="ar-SA"/>
        </w:rPr>
        <w:t>خمسة عشر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معنى ما في الشرائع</w:t>
      </w:r>
      <w:r>
        <w:rPr>
          <w:rStyle w:val="FootnoteAnchor"/>
          <w:rtl w:val="true"/>
        </w:rPr>
        <w:footnoteReference w:id="2388"/>
      </w:r>
      <w:r>
        <w:rPr>
          <w:rFonts w:ascii="Amiri" w:hAnsi="Amiri" w:eastAsia="Amiri" w:cs="Amiri"/>
          <w:color w:val="111111"/>
          <w:sz w:val="28"/>
          <w:sz w:val="28"/>
          <w:szCs w:val="28"/>
          <w:rtl w:val="true"/>
          <w:lang w:bidi="ar-SA"/>
        </w:rPr>
        <w:t>و غيره من جملة من كتب العلاّمة و غيرها من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مضى عليها حولان وجب عليه بنت مخاض و خمس شياه، و إن مضى عليها ثلاث أحوال وجب عليه بنت مخاض و تسع شياه</w:t>
      </w:r>
      <w:r>
        <w:rPr>
          <w:rFonts w:eastAsia="Amiri" w:cs="Amiri" w:ascii="Amiri" w:hAnsi="Amiri"/>
          <w:color w:val="111111"/>
          <w:sz w:val="28"/>
          <w:szCs w:val="28"/>
          <w:rtl w:val="true"/>
          <w:lang w:bidi="ar-SA"/>
        </w:rPr>
        <w:t>»</w:t>
      </w:r>
      <w:r>
        <w:rPr>
          <w:rStyle w:val="FootnoteAnchor"/>
          <w:rtl w:val="true"/>
        </w:rPr>
        <w:footnoteReference w:id="2389"/>
      </w:r>
      <w:r>
        <w:rPr>
          <w:rFonts w:ascii="Amiri" w:hAnsi="Amiri" w:eastAsia="Amiri" w:cs="Amiri"/>
          <w:color w:val="111111"/>
          <w:sz w:val="28"/>
          <w:sz w:val="28"/>
          <w:szCs w:val="28"/>
          <w:rtl w:val="true"/>
          <w:lang w:bidi="ar-SA"/>
        </w:rPr>
        <w:t>و علّله في المدارك و الذخيرة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وجب عليه في الحولين بنت مخاض و خمس شياه لأنّ بنت المخاض هي الفريضة في الحول الأوّل فيبقى خمسة و عشرون و الواجب فيها خمس شياه، و في الحول الثالث ينقص من النصاب قيمة الشياه الخمس فيجب فيها أربع شياه و هكذا</w:t>
      </w:r>
      <w:r>
        <w:rPr>
          <w:rFonts w:eastAsia="Amiri" w:cs="Amiri" w:ascii="Amiri" w:hAnsi="Amiri"/>
          <w:color w:val="111111"/>
          <w:sz w:val="28"/>
          <w:szCs w:val="28"/>
          <w:rtl w:val="true"/>
          <w:lang w:bidi="ar-SA"/>
        </w:rPr>
        <w:t>»</w:t>
      </w:r>
      <w:r>
        <w:rPr>
          <w:rStyle w:val="FootnoteAnchor"/>
          <w:rtl w:val="true"/>
        </w:rPr>
        <w:footnoteReference w:id="23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السرّ في وجوب الأربع في الحول الثالث مع فرض نقصان الشياه الخمس في النصاب الخامس و هو خمسة و عشرون، إنّه يجبر ذلك النقص بالنسبة إلى النصاب الرابع و هو عشرون بما بقى من الخمسة الزائدة عليه فيستكمل عشرون للسنة الثالثة فيجب لها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المدارك ذكر و تبعه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الحكم مقيّد بما إذا كان النصاب بنات مخاض أو مشتملا عليها أو قيمة الجميع بنات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يساوي قيمة كلّ واحد قيمة بنت مخاض، إذ مع انتفاء هذه الفروض فإن كانت قيمة الجميع زائدة عن قيمة بنت المخاض أمكن أن يخرج قيمة بنت المخاض عن الحول الأوّل من جزء واحد من النصاب و يبقى منه قيمة خمس شياه عن الحول الثاني فيجب في الثالث خمس شياه أيضا، و إن كانت ناقصة عن قيمة بنت المخاض نقص النصاب في الحول الثاني عن خمس و عشرين فيجب فيه أقلّ من خمس شياه كما لا يخفى</w:t>
      </w:r>
      <w:r>
        <w:rPr>
          <w:rFonts w:eastAsia="Amiri" w:cs="Amiri" w:ascii="Amiri" w:hAnsi="Amiri"/>
          <w:color w:val="111111"/>
          <w:sz w:val="28"/>
          <w:szCs w:val="28"/>
          <w:rtl w:val="true"/>
          <w:lang w:bidi="ar-SA"/>
        </w:rPr>
        <w:t>»</w:t>
      </w:r>
      <w:r>
        <w:rPr>
          <w:rStyle w:val="FootnoteAnchor"/>
          <w:rtl w:val="true"/>
        </w:rPr>
        <w:footnoteReference w:id="23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ذكراه من التقييد حسن، و لكن يرد على ما ذكراه أخيرا على تقدير نقص النصاب في الحول الثاني عن خمس و عشرين من أنّه يجب فيه أقلّ من خمس شياه، أنّه على تقدير حصول النقص في هذا النصاب و عدم جبران له ينبغي أن يسقط فرض خمس شياه رأسا في الحول الثاني لا أن يجب فيه أقلّ من خمس شياه، و قضيّة ذلك </w:t>
      </w:r>
      <w:bookmarkStart w:id="519" w:name="pg16181_154770"/>
    </w:p>
    <w:p>
      <w:pPr>
        <w:pStyle w:val="BookText"/>
        <w:rPr/>
      </w:pPr>
      <w:bookmarkEnd w:id="519"/>
      <w:r>
        <w:rPr>
          <w:rFonts w:ascii="Amiri" w:hAnsi="Amiri" w:eastAsia="Amiri" w:cs="Amiri"/>
          <w:color w:val="111111"/>
          <w:sz w:val="28"/>
          <w:sz w:val="28"/>
          <w:szCs w:val="28"/>
          <w:rtl w:val="true"/>
          <w:lang w:bidi="ar-SA"/>
        </w:rPr>
        <w:t xml:space="preserve">أن يجب في 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لو مضى على ستّ و عشرين من الإبل 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مخاض و أربع شياه للعشرين الّذي هو النصاب الرابع لنقصان الخمسة و العشرين عن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تنزيل كلامهما على ذلك بأن يكون المراد من وجوب أقلّ من خمس شياه في الحول الثاني وجوب أربع شياه مع بنت المخاض، و ليس ببعيد</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2586791_1280447820"/>
      <w:bookmarkStart w:id="521" w:name="_Toc194"/>
      <w:bookmarkEnd w:id="520"/>
      <w:r>
        <w:rPr>
          <w:rtl w:val="true"/>
        </w:rPr>
        <w:t>[</w:t>
      </w:r>
      <w:r>
        <w:rPr>
          <w:rtl w:val="true"/>
        </w:rPr>
        <w:t>التجانس في الأنعام</w:t>
      </w:r>
      <w:r>
        <w:rPr>
          <w:rtl w:val="true"/>
        </w:rPr>
        <w:t>]</w:t>
      </w:r>
      <w:bookmarkEnd w:id="52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الضأن و المعز جنس واحد في وجوب الزكاة، و كذلك البقر و الجاموس، و العراب من الإبل بكسر العين و البخاتي بفتح الباء جمع البختي بضمّها و هي الإبل الخراسانيّة و العراب خلافها، كما صرّح به جماعة من المتأخّرين</w:t>
      </w:r>
      <w:r>
        <w:rPr>
          <w:rStyle w:val="FootnoteAnchor"/>
          <w:rtl w:val="true"/>
        </w:rPr>
        <w:footnoteReference w:id="2392"/>
      </w:r>
      <w:r>
        <w:rPr>
          <w:rFonts w:ascii="Amiri" w:hAnsi="Amiri" w:eastAsia="Amiri" w:cs="Amiri"/>
          <w:color w:val="111111"/>
          <w:sz w:val="28"/>
          <w:sz w:val="28"/>
          <w:szCs w:val="28"/>
          <w:rtl w:val="true"/>
          <w:lang w:bidi="ar-SA"/>
        </w:rPr>
        <w:t>و متأخّريهم</w:t>
      </w:r>
      <w:r>
        <w:rPr>
          <w:rStyle w:val="FootnoteAnchor"/>
          <w:rtl w:val="true"/>
        </w:rPr>
        <w:footnoteReference w:id="2393"/>
      </w:r>
      <w:r>
        <w:rPr>
          <w:rFonts w:ascii="Amiri" w:hAnsi="Amiri" w:eastAsia="Amiri" w:cs="Amiri"/>
          <w:color w:val="111111"/>
          <w:sz w:val="28"/>
          <w:sz w:val="28"/>
          <w:szCs w:val="28"/>
          <w:rtl w:val="true"/>
          <w:lang w:bidi="ar-SA"/>
        </w:rPr>
        <w:t>على وجه يظهر منهم عدم الخلاف فيه، و لذا قال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فيه خلافا</w:t>
      </w:r>
      <w:r>
        <w:rPr>
          <w:rFonts w:eastAsia="Amiri" w:cs="Amiri" w:ascii="Amiri" w:hAnsi="Amiri"/>
          <w:color w:val="111111"/>
          <w:sz w:val="28"/>
          <w:szCs w:val="28"/>
          <w:rtl w:val="true"/>
          <w:lang w:bidi="ar-SA"/>
        </w:rPr>
        <w:t>»</w:t>
      </w:r>
      <w:r>
        <w:rPr>
          <w:rStyle w:val="FootnoteAnchor"/>
          <w:rtl w:val="true"/>
        </w:rPr>
        <w:footnoteReference w:id="2394"/>
      </w:r>
      <w:r>
        <w:rPr>
          <w:rFonts w:ascii="Amiri" w:hAnsi="Amiri" w:eastAsia="Amiri" w:cs="Amiri"/>
          <w:color w:val="111111"/>
          <w:sz w:val="28"/>
          <w:sz w:val="28"/>
          <w:szCs w:val="28"/>
          <w:rtl w:val="true"/>
          <w:lang w:bidi="ar-SA"/>
        </w:rPr>
        <w:t>و عن التذكرة و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نعرف فيه خلافا</w:t>
      </w:r>
      <w:r>
        <w:rPr>
          <w:rFonts w:eastAsia="Amiri" w:cs="Amiri" w:ascii="Amiri" w:hAnsi="Amiri"/>
          <w:color w:val="111111"/>
          <w:sz w:val="28"/>
          <w:szCs w:val="28"/>
          <w:rtl w:val="true"/>
          <w:lang w:bidi="ar-SA"/>
        </w:rPr>
        <w:t>»</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المدارك ما يؤذن بدعوى الإجماع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مقطوع به في كلام الأصحاب</w:t>
      </w:r>
      <w:r>
        <w:rPr>
          <w:rFonts w:eastAsia="Amiri" w:cs="Amiri" w:ascii="Amiri" w:hAnsi="Amiri"/>
          <w:color w:val="111111"/>
          <w:sz w:val="28"/>
          <w:szCs w:val="28"/>
          <w:rtl w:val="true"/>
          <w:lang w:bidi="ar-SA"/>
        </w:rPr>
        <w:t>»</w:t>
      </w:r>
      <w:r>
        <w:rPr>
          <w:rStyle w:val="FootnoteAnchor"/>
          <w:rtl w:val="true"/>
        </w:rPr>
        <w:footnoteReference w:id="2396"/>
      </w:r>
      <w:r>
        <w:rPr>
          <w:rFonts w:ascii="Amiri" w:hAnsi="Amiri" w:eastAsia="Amiri" w:cs="Amiri"/>
          <w:color w:val="111111"/>
          <w:sz w:val="28"/>
          <w:sz w:val="28"/>
          <w:szCs w:val="28"/>
          <w:rtl w:val="true"/>
          <w:lang w:bidi="ar-SA"/>
        </w:rPr>
        <w:t>و عن الشهيد في البيان دعوى الإجماع عليه في خصوص البقر و الجاموس</w:t>
      </w:r>
      <w:r>
        <w:rPr>
          <w:rStyle w:val="FootnoteAnchor"/>
          <w:rtl w:val="true"/>
        </w:rPr>
        <w:footnoteReference w:id="2397"/>
      </w:r>
      <w:r>
        <w:rPr>
          <w:rFonts w:ascii="Amiri" w:hAnsi="Amiri" w:eastAsia="Amiri" w:cs="Amiri"/>
          <w:color w:val="111111"/>
          <w:sz w:val="28"/>
          <w:sz w:val="28"/>
          <w:szCs w:val="28"/>
          <w:rtl w:val="true"/>
          <w:lang w:bidi="ar-SA"/>
        </w:rPr>
        <w:t>كما عن المعتبر فيهما أيضا دعوى اتّفاق العلماء عليه</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فيهما أيضا ما رواه ابن بابويه في الصحيح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الجاموس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البقر</w:t>
      </w:r>
      <w:r>
        <w:rPr>
          <w:rFonts w:eastAsia="Amiri" w:cs="Amiri" w:ascii="Amiri" w:hAnsi="Amiri"/>
          <w:color w:val="111111"/>
          <w:sz w:val="28"/>
          <w:szCs w:val="28"/>
          <w:rtl w:val="true"/>
          <w:lang w:bidi="ar-SA"/>
        </w:rPr>
        <w:t>»</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فالنصاب يتحقّق بمجموع الصنفين من كلّ من الأجناس الثلاث المذكورة بلا إشكال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اتّحاد الجنس فيهما أن يتخيّر المالك في إخراج الفريضة من أيّهما شاء من النصاب المجتمع كما صرّحوا به أيضا من غير خلاف في الجملة</w:t>
      </w:r>
      <w:r>
        <w:rPr>
          <w:rFonts w:eastAsia="Amiri" w:cs="Amiri" w:ascii="Amiri" w:hAnsi="Amiri"/>
          <w:color w:val="111111"/>
          <w:sz w:val="28"/>
          <w:szCs w:val="28"/>
          <w:rtl w:val="true"/>
          <w:lang w:bidi="ar-SA"/>
        </w:rPr>
        <w:t xml:space="preserve">. </w:t>
      </w:r>
      <w:bookmarkStart w:id="522" w:name="pg16181_154771"/>
    </w:p>
    <w:p>
      <w:pPr>
        <w:pStyle w:val="BookText"/>
        <w:rPr/>
      </w:pPr>
      <w:bookmarkEnd w:id="522"/>
      <w:r>
        <w:rPr>
          <w:rFonts w:ascii="Amiri" w:hAnsi="Amiri" w:eastAsia="Amiri" w:cs="Amiri"/>
          <w:color w:val="111111"/>
          <w:sz w:val="28"/>
          <w:sz w:val="28"/>
          <w:szCs w:val="28"/>
          <w:rtl w:val="true"/>
          <w:lang w:bidi="ar-SA"/>
        </w:rPr>
        <w:t>و هل يعتبر في التخيير تساوي الصنفين في القيمة أو لا، بل هو مطلق مع التساوي و مع الاختلاف‌؟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للعلاّمة فى جملة من كتبه</w:t>
      </w:r>
      <w:r>
        <w:rPr>
          <w:rStyle w:val="FootnoteAnchor"/>
          <w:rtl w:val="true"/>
        </w:rPr>
        <w:footnoteReference w:id="2400"/>
      </w:r>
      <w:r>
        <w:rPr>
          <w:rFonts w:ascii="Amiri" w:hAnsi="Amiri" w:eastAsia="Amiri" w:cs="Amiri"/>
          <w:color w:val="111111"/>
          <w:sz w:val="28"/>
          <w:sz w:val="28"/>
          <w:szCs w:val="28"/>
          <w:rtl w:val="true"/>
          <w:lang w:bidi="ar-SA"/>
        </w:rPr>
        <w:t>و استحسنه في المعتبر</w:t>
      </w:r>
      <w:r>
        <w:rPr>
          <w:rStyle w:val="FootnoteAnchor"/>
          <w:rtl w:val="true"/>
        </w:rPr>
        <w:footnoteReference w:id="2401"/>
      </w:r>
      <w:r>
        <w:rPr>
          <w:rFonts w:ascii="Amiri" w:hAnsi="Amiri" w:eastAsia="Amiri" w:cs="Amiri"/>
          <w:color w:val="111111"/>
          <w:sz w:val="28"/>
          <w:sz w:val="28"/>
          <w:szCs w:val="28"/>
          <w:rtl w:val="true"/>
          <w:lang w:bidi="ar-SA"/>
        </w:rPr>
        <w:t>على ما حكي، و عن الكفاية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الأشهر</w:t>
      </w:r>
      <w:r>
        <w:rPr>
          <w:rFonts w:eastAsia="Amiri" w:cs="Amiri" w:ascii="Amiri" w:hAnsi="Amiri"/>
          <w:color w:val="111111"/>
          <w:sz w:val="28"/>
          <w:szCs w:val="28"/>
          <w:rtl w:val="true"/>
          <w:lang w:bidi="ar-SA"/>
        </w:rPr>
        <w:t>»</w:t>
      </w:r>
      <w:r>
        <w:rPr>
          <w:rStyle w:val="FootnoteAnchor"/>
          <w:rtl w:val="true"/>
        </w:rPr>
        <w:footnoteReference w:id="2402"/>
      </w:r>
      <w:r>
        <w:rPr>
          <w:rFonts w:ascii="Amiri" w:hAnsi="Amiri" w:eastAsia="Amiri" w:cs="Amiri"/>
          <w:color w:val="111111"/>
          <w:sz w:val="28"/>
          <w:sz w:val="28"/>
          <w:szCs w:val="28"/>
          <w:rtl w:val="true"/>
          <w:lang w:bidi="ar-SA"/>
        </w:rPr>
        <w:t>و هو الأظهر لصدق الامتثال مع الإخراج من أيّ الصنفين، لصدق اسم الشاة و الجذع و التبيع و المسنّة و بنت المخاض و غيرها عرفا و لغة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 منهم الشيخ و العلاّمة في التذكرة</w:t>
      </w:r>
      <w:r>
        <w:rPr>
          <w:rStyle w:val="FootnoteAnchor"/>
          <w:rtl w:val="true"/>
        </w:rPr>
        <w:footnoteReference w:id="2403"/>
      </w:r>
      <w:r>
        <w:rPr>
          <w:rFonts w:ascii="IRNazanin" w:hAnsi="IRNazanin" w:eastAsia="IRNazanin"/>
          <w:color w:val="111111"/>
          <w:sz w:val="28"/>
          <w:sz w:val="28"/>
          <w:szCs w:val="28"/>
          <w:rtl w:val="true"/>
          <w:lang w:bidi="fa-IR"/>
        </w:rPr>
        <w:t>و المنتهى</w:t>
      </w:r>
      <w:r>
        <w:rPr>
          <w:rStyle w:val="FootnoteAnchor"/>
          <w:rtl w:val="true"/>
        </w:rPr>
        <w:footnoteReference w:id="2404"/>
      </w:r>
      <w:r>
        <w:rPr>
          <w:rFonts w:ascii="Amiri" w:hAnsi="Amiri" w:eastAsia="Amiri" w:cs="Amiri"/>
          <w:color w:val="111111"/>
          <w:sz w:val="28"/>
          <w:sz w:val="28"/>
          <w:szCs w:val="28"/>
          <w:rtl w:val="true"/>
          <w:lang w:bidi="ar-SA"/>
        </w:rPr>
        <w:t>و الشهيدين في الدروس</w:t>
      </w:r>
      <w:r>
        <w:rPr>
          <w:rStyle w:val="FootnoteAnchor"/>
          <w:rtl w:val="true"/>
        </w:rPr>
        <w:footnoteReference w:id="2405"/>
      </w:r>
      <w:r>
        <w:rPr>
          <w:rFonts w:ascii="Amiri" w:hAnsi="Amiri" w:eastAsia="Amiri" w:cs="Amiri"/>
          <w:color w:val="111111"/>
          <w:sz w:val="28"/>
          <w:sz w:val="28"/>
          <w:szCs w:val="28"/>
          <w:rtl w:val="true"/>
          <w:lang w:bidi="ar-SA"/>
        </w:rPr>
        <w:t>و المسالك</w:t>
      </w:r>
      <w:r>
        <w:rPr>
          <w:rStyle w:val="FootnoteAnchor"/>
          <w:rtl w:val="true"/>
        </w:rPr>
        <w:footnoteReference w:id="2406"/>
      </w:r>
      <w:r>
        <w:rPr>
          <w:rFonts w:ascii="Amiri" w:hAnsi="Amiri" w:eastAsia="Amiri" w:cs="Amiri"/>
          <w:color w:val="111111"/>
          <w:sz w:val="28"/>
          <w:sz w:val="28"/>
          <w:szCs w:val="28"/>
          <w:rtl w:val="true"/>
          <w:lang w:bidi="ar-SA"/>
        </w:rPr>
        <w:t>وجوب التقسيط مع الاختلاف، فلو كان عنده عشرون بقرة و عشرون جاموسة و قيمة المسنّة من أحدهما اثنتا عشر و من الآخر خمسة عشر، أخرج مسنّة من أيّ الصنفين شاء قيمتها ثلاثة عشر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 أنّه يجب من كلّ صنف نصف مسنّة أو قيمته</w:t>
      </w:r>
      <w:r>
        <w:rPr>
          <w:rFonts w:eastAsia="Amiri" w:cs="Amiri" w:ascii="Amiri" w:hAnsi="Amiri"/>
          <w:color w:val="111111"/>
          <w:sz w:val="28"/>
          <w:szCs w:val="28"/>
          <w:rtl w:val="true"/>
          <w:lang w:bidi="ar-SA"/>
        </w:rPr>
        <w:t>»</w:t>
      </w:r>
      <w:r>
        <w:rPr>
          <w:rStyle w:val="FootnoteAnchor"/>
          <w:rtl w:val="true"/>
        </w:rPr>
        <w:footnoteReference w:id="2407"/>
      </w:r>
      <w:r>
        <w:rPr>
          <w:rFonts w:ascii="Amiri" w:hAnsi="Amiri" w:eastAsia="Amiri" w:cs="Amiri"/>
          <w:color w:val="111111"/>
          <w:sz w:val="28"/>
          <w:sz w:val="28"/>
          <w:szCs w:val="28"/>
          <w:rtl w:val="true"/>
          <w:lang w:bidi="ar-SA"/>
        </w:rPr>
        <w:t>و هذا يرجع إلى ما ذكره الجماعة، و في معناهما وجوب مسنّة مجموع قيمته نصف قيمة مسنّة من صنف و نصف قيمتها من صنف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فهذا القول أحوط و إن كان الأوّل أقوى</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2586793_1280447820"/>
      <w:bookmarkStart w:id="524" w:name="_Toc195"/>
      <w:bookmarkEnd w:id="523"/>
      <w:r>
        <w:rPr>
          <w:rtl w:val="true"/>
        </w:rPr>
        <w:t>[</w:t>
      </w:r>
      <w:r>
        <w:rPr>
          <w:rtl w:val="true"/>
        </w:rPr>
        <w:t>قبول ادّعاء المالك من دون بيّنة و يمين</w:t>
      </w:r>
      <w:r>
        <w:rPr>
          <w:rtl w:val="true"/>
        </w:rPr>
        <w:t>]</w:t>
      </w:r>
      <w:bookmarkEnd w:id="52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ادّعى المالك عدم حولان الحول على ماله، أو تلف ما ينقص النصاب بتلفه في أثناء الحول، أو إبداله في أثناء الحول، أو إخراج الزكاة، أو نقصان الخرص في الغلاّت، قبل قوله من غير بيّنة و لا يمين، كما هو المصرّح به في كلام المتأخّرين</w:t>
      </w:r>
      <w:r>
        <w:rPr>
          <w:rStyle w:val="FootnoteAnchor"/>
          <w:rtl w:val="true"/>
        </w:rPr>
        <w:footnoteReference w:id="2408"/>
      </w:r>
      <w:r>
        <w:rPr>
          <w:rFonts w:ascii="Amiri" w:hAnsi="Amiri" w:eastAsia="Amiri" w:cs="Amiri"/>
          <w:color w:val="111111"/>
          <w:sz w:val="28"/>
          <w:sz w:val="28"/>
          <w:szCs w:val="28"/>
          <w:rtl w:val="true"/>
          <w:lang w:bidi="ar-SA"/>
        </w:rPr>
        <w:t>و متأخّريهم</w:t>
      </w:r>
      <w:r>
        <w:rPr>
          <w:rStyle w:val="FootnoteAnchor"/>
          <w:rtl w:val="true"/>
        </w:rPr>
        <w:footnoteReference w:id="2409"/>
      </w:r>
      <w:r>
        <w:rPr>
          <w:rFonts w:ascii="Amiri" w:hAnsi="Amiri" w:eastAsia="Amiri" w:cs="Amiri"/>
          <w:color w:val="111111"/>
          <w:sz w:val="28"/>
          <w:sz w:val="28"/>
          <w:szCs w:val="28"/>
          <w:rtl w:val="true"/>
          <w:lang w:bidi="ar-SA"/>
        </w:rPr>
        <w:t xml:space="preserve">من غير نقل خلاف، بل الظاهر عدم الخلاف فيه و إن كانت عباراتهم مختلفة في ذكر جميع الامور المذكورة و الاقتصار على بعضها، و عن المعتبر و المنتهى </w:t>
      </w:r>
      <w:bookmarkStart w:id="525" w:name="pg16181_154772"/>
    </w:p>
    <w:p>
      <w:pPr>
        <w:pStyle w:val="BookText"/>
        <w:rPr/>
      </w:pPr>
      <w:bookmarkEnd w:id="525"/>
      <w:r>
        <w:rPr>
          <w:rFonts w:ascii="Amiri" w:hAnsi="Amiri" w:eastAsia="Amiri" w:cs="Amiri"/>
          <w:color w:val="111111"/>
          <w:sz w:val="28"/>
          <w:sz w:val="28"/>
          <w:szCs w:val="28"/>
          <w:rtl w:val="true"/>
          <w:lang w:bidi="ar-SA"/>
        </w:rPr>
        <w:t>الاستدلال بأنّ الزكاة عبادة شرعيّة فيرجع فيها إلى قوله</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العمدة في مستند الحكم ما في صحيح أو حسن بريد بن معاوية عن الصادق عليه السّلام في حديث أمير المؤمنين عليه السّلام في جملة كلام له عليه السّلام لمصدّقه الّذي أرسله إلى بادية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أرسلني إليكم وليّ اللّه لآخذ منكم حقّ اللّه تعالى في أموالكم فهل اللّه في أموالكم من حقّ فتؤدّوه إلى وليّه‌؟ فإن 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 إن أنعم لك منهم منعم فانطلق معه من غير أن تخفيفه أو تعده إلاّ خيرا</w:t>
      </w:r>
      <w:r>
        <w:rPr>
          <w:rFonts w:eastAsia="Amiri" w:cs="Amiri" w:ascii="Amiri" w:hAnsi="Amiri"/>
          <w:color w:val="111111"/>
          <w:sz w:val="28"/>
          <w:szCs w:val="28"/>
          <w:rtl w:val="true"/>
          <w:lang w:bidi="ar-SA"/>
        </w:rPr>
        <w:t>»</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لو شهد عليه شاهدان مع اجتماع شرائط قبول الشهادة و منها العدالة فيهما قبل شهادتهما فيؤخذ منه الزكاة سواء شهدا بحول الحول أو بعدم الإخراج، و لكن بحيث رجع إلى الإثبات لتعذّر أو تعسّر الاطّلاع على العدم المحض كأن يدّعي المالك إخراج شاة معيّنة في وقت معيّن و شهد الشاهدان بموت تلك الشاة في الوقت المذكور أو خروجها عن ملكه أو غير ذلك ممّا يخرجها عن الشهادة على النفي الصرف</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2586795_1280447820"/>
      <w:bookmarkStart w:id="527" w:name="_Toc196"/>
      <w:bookmarkEnd w:id="526"/>
      <w:r>
        <w:rPr>
          <w:rtl w:val="true"/>
        </w:rPr>
        <w:t>[</w:t>
      </w:r>
      <w:r>
        <w:rPr>
          <w:rtl w:val="true"/>
        </w:rPr>
        <w:t>جواز الخرص</w:t>
      </w:r>
      <w:r>
        <w:rPr>
          <w:rtl w:val="true"/>
        </w:rPr>
        <w:t>]</w:t>
      </w:r>
      <w:bookmarkEnd w:id="527"/>
    </w:p>
    <w:p>
      <w:pPr>
        <w:pStyle w:val="Heading6"/>
        <w:numPr>
          <w:ilvl w:val="5"/>
          <w:numId w:val="1"/>
        </w:numPr>
        <w:rPr/>
      </w:pPr>
      <w:bookmarkStart w:id="528" w:name="__RefHeading___Toc2586797_1280447820"/>
      <w:bookmarkStart w:id="529" w:name="_Toc197"/>
      <w:bookmarkEnd w:id="528"/>
      <w:r>
        <w:rPr>
          <w:rtl w:val="true"/>
        </w:rPr>
        <w:t>اشارة</w:t>
      </w:r>
      <w:bookmarkEnd w:id="52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الشيخين في المقنعة</w:t>
      </w:r>
      <w:r>
        <w:rPr>
          <w:rStyle w:val="FootnoteAnchor"/>
          <w:rtl w:val="true"/>
        </w:rPr>
        <w:footnoteReference w:id="2412"/>
      </w:r>
      <w:r>
        <w:rPr>
          <w:rFonts w:ascii="IRNazanin" w:hAnsi="IRNazanin" w:eastAsia="IRNazanin"/>
          <w:color w:val="111111"/>
          <w:sz w:val="28"/>
          <w:sz w:val="28"/>
          <w:szCs w:val="28"/>
          <w:rtl w:val="true"/>
          <w:lang w:bidi="fa-IR"/>
        </w:rPr>
        <w:t>و المبسوط</w:t>
      </w:r>
      <w:r>
        <w:rPr>
          <w:rStyle w:val="FootnoteAnchor"/>
          <w:rtl w:val="true"/>
        </w:rPr>
        <w:footnoteReference w:id="2413"/>
      </w:r>
      <w:r>
        <w:rPr>
          <w:rFonts w:ascii="Amiri" w:hAnsi="Amiri" w:eastAsia="Amiri" w:cs="Amiri"/>
          <w:color w:val="111111"/>
          <w:sz w:val="28"/>
          <w:sz w:val="28"/>
          <w:szCs w:val="28"/>
          <w:rtl w:val="true"/>
          <w:lang w:bidi="ar-SA"/>
        </w:rPr>
        <w:t>و الفاضلين في المعتبر</w:t>
      </w:r>
      <w:r>
        <w:rPr>
          <w:rStyle w:val="FootnoteAnchor"/>
          <w:rtl w:val="true"/>
        </w:rPr>
        <w:footnoteReference w:id="2414"/>
      </w:r>
      <w:r>
        <w:rPr>
          <w:rFonts w:ascii="IRNazanin" w:hAnsi="IRNazanin" w:eastAsia="IRNazanin"/>
          <w:color w:val="111111"/>
          <w:sz w:val="28"/>
          <w:sz w:val="28"/>
          <w:szCs w:val="28"/>
          <w:rtl w:val="true"/>
          <w:lang w:bidi="fa-IR"/>
        </w:rPr>
        <w:t>و المنتهى</w:t>
      </w:r>
      <w:r>
        <w:rPr>
          <w:rStyle w:val="FootnoteAnchor"/>
          <w:rtl w:val="true"/>
        </w:rPr>
        <w:footnoteReference w:id="2415"/>
      </w:r>
      <w:r>
        <w:rPr>
          <w:rFonts w:ascii="IRNazanin" w:hAnsi="IRNazanin" w:eastAsia="IRNazanin"/>
          <w:color w:val="111111"/>
          <w:sz w:val="28"/>
          <w:sz w:val="28"/>
          <w:szCs w:val="28"/>
          <w:rtl w:val="true"/>
          <w:lang w:bidi="fa-IR"/>
        </w:rPr>
        <w:t>و القواعد</w:t>
      </w:r>
      <w:r>
        <w:rPr>
          <w:rStyle w:val="FootnoteAnchor"/>
          <w:rtl w:val="true"/>
        </w:rPr>
        <w:footnoteReference w:id="2416"/>
      </w:r>
      <w:r>
        <w:rPr>
          <w:rFonts w:ascii="IRNazanin" w:hAnsi="IRNazanin" w:eastAsia="IRNazanin"/>
          <w:color w:val="111111"/>
          <w:sz w:val="28"/>
          <w:sz w:val="28"/>
          <w:szCs w:val="28"/>
          <w:rtl w:val="true"/>
          <w:lang w:bidi="fa-IR"/>
        </w:rPr>
        <w:t>و الإرشاد</w:t>
      </w:r>
      <w:r>
        <w:rPr>
          <w:rStyle w:val="FootnoteAnchor"/>
          <w:rtl w:val="true"/>
        </w:rPr>
        <w:footnoteReference w:id="2417"/>
      </w:r>
      <w:r>
        <w:rPr>
          <w:rFonts w:ascii="Amiri" w:hAnsi="Amiri" w:eastAsia="Amiri" w:cs="Amiri"/>
          <w:color w:val="111111"/>
          <w:sz w:val="28"/>
          <w:sz w:val="28"/>
          <w:szCs w:val="28"/>
          <w:rtl w:val="true"/>
          <w:lang w:bidi="ar-SA"/>
        </w:rPr>
        <w:t>و التحرير و الشهيد في الدروس</w:t>
      </w:r>
      <w:r>
        <w:rPr>
          <w:rStyle w:val="FootnoteAnchor"/>
          <w:rtl w:val="true"/>
        </w:rPr>
        <w:footnoteReference w:id="2418"/>
      </w:r>
      <w:r>
        <w:rPr>
          <w:rFonts w:ascii="Amiri" w:hAnsi="Amiri" w:eastAsia="Amiri" w:cs="Amiri"/>
          <w:color w:val="111111"/>
          <w:sz w:val="28"/>
          <w:sz w:val="28"/>
          <w:szCs w:val="28"/>
          <w:rtl w:val="true"/>
          <w:lang w:bidi="ar-SA"/>
        </w:rPr>
        <w:t>و البيان</w:t>
      </w:r>
      <w:r>
        <w:rPr>
          <w:rStyle w:val="FootnoteAnchor"/>
          <w:rtl w:val="true"/>
        </w:rPr>
        <w:footnoteReference w:id="2419"/>
      </w:r>
      <w:r>
        <w:rPr>
          <w:rFonts w:ascii="Amiri" w:hAnsi="Amiri" w:eastAsia="Amiri" w:cs="Amiri"/>
          <w:color w:val="111111"/>
          <w:sz w:val="28"/>
          <w:sz w:val="28"/>
          <w:szCs w:val="28"/>
          <w:rtl w:val="true"/>
          <w:lang w:bidi="ar-SA"/>
        </w:rPr>
        <w:t>و صاحبي المدارك</w:t>
      </w:r>
      <w:r>
        <w:rPr>
          <w:rStyle w:val="FootnoteAnchor"/>
          <w:rtl w:val="true"/>
        </w:rPr>
        <w:footnoteReference w:id="2420"/>
      </w:r>
      <w:r>
        <w:rPr>
          <w:rFonts w:ascii="Amiri" w:hAnsi="Amiri" w:eastAsia="Amiri" w:cs="Amiri"/>
          <w:color w:val="111111"/>
          <w:sz w:val="28"/>
          <w:sz w:val="28"/>
          <w:szCs w:val="28"/>
          <w:rtl w:val="true"/>
          <w:lang w:bidi="ar-SA"/>
        </w:rPr>
        <w:t>و الذخيرة</w:t>
      </w:r>
      <w:r>
        <w:rPr>
          <w:rStyle w:val="FootnoteAnchor"/>
          <w:rtl w:val="true"/>
        </w:rPr>
        <w:footnoteReference w:id="2421"/>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الخرص على أرباب النخيل و الكروم و تضمينهم حصّة الفقراء، و عن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اتّفاق علمائنا و أكثر العامّة</w:t>
      </w:r>
      <w:r>
        <w:rPr>
          <w:rStyle w:val="FootnoteAnchor"/>
          <w:rtl w:val="true"/>
        </w:rPr>
        <w:footnoteReference w:id="2422"/>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و عنه و عن المنتهى التمسّك بما رواه الجمهور عن غياث بن أسيد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كان يبعث على الناس من يخرص عليهم كرومهم و ثمارهم</w:t>
      </w:r>
      <w:r>
        <w:rPr>
          <w:rFonts w:eastAsia="Amiri" w:cs="Amiri" w:ascii="Amiri" w:hAnsi="Amiri"/>
          <w:color w:val="111111"/>
          <w:sz w:val="28"/>
          <w:szCs w:val="28"/>
          <w:rtl w:val="true"/>
          <w:lang w:bidi="ar-SA"/>
        </w:rPr>
        <w:t>»</w:t>
      </w:r>
      <w:r>
        <w:rPr>
          <w:rStyle w:val="FootnoteAnchor"/>
          <w:rtl w:val="true"/>
        </w:rPr>
        <w:footnoteReference w:id="2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 أيضا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خرص رسول اللّه صلّى اللّه عليه و آله على امرأة بوادي القرى حديقة لها</w:t>
      </w:r>
      <w:r>
        <w:rPr>
          <w:rFonts w:eastAsia="Amiri" w:cs="Amiri" w:ascii="Amiri" w:hAnsi="Amiri"/>
          <w:color w:val="111111"/>
          <w:sz w:val="28"/>
          <w:szCs w:val="28"/>
          <w:rtl w:val="true"/>
          <w:lang w:bidi="ar-SA"/>
        </w:rPr>
        <w:t>»</w:t>
      </w:r>
      <w:r>
        <w:rPr>
          <w:rStyle w:val="FootnoteAnchor"/>
          <w:rtl w:val="true"/>
        </w:rPr>
        <w:footnoteReference w:id="2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المرويّ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بعث رسول اللّه صلّى اللّه عليه و آله عبد اللّه بن رواحة إلى يهود فخرص عليهم النخل حين يطيب قبل أن يؤكل منه</w:t>
      </w:r>
      <w:r>
        <w:rPr>
          <w:rFonts w:eastAsia="Amiri" w:cs="Amiri" w:ascii="Amiri" w:hAnsi="Amiri"/>
          <w:color w:val="111111"/>
          <w:sz w:val="28"/>
          <w:szCs w:val="28"/>
          <w:rtl w:val="true"/>
          <w:lang w:bidi="ar-SA"/>
        </w:rPr>
        <w:t>»</w:t>
      </w:r>
      <w:r>
        <w:rPr>
          <w:rStyle w:val="FootnoteAnchor"/>
          <w:rtl w:val="true"/>
        </w:rPr>
        <w:footnoteReference w:id="2426"/>
      </w:r>
      <w:r>
        <w:rPr>
          <w:rFonts w:ascii="Amiri" w:hAnsi="Amiri" w:eastAsia="Amiri" w:cs="Amiri"/>
          <w:color w:val="111111"/>
          <w:sz w:val="28"/>
          <w:sz w:val="28"/>
          <w:szCs w:val="28"/>
          <w:rtl w:val="true"/>
          <w:lang w:bidi="ar-SA"/>
        </w:rPr>
        <w:t>و بأنّ أرباب الثمار يحتاجون إلى الأكل و التصرّف في ثمارهم فلو لم يشرع الخرص لزم الضرر</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الروايات المذكورة أخبار عاميّة غير صالحة للاستناد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قيل على خبر عبد اللّه بن رواحة من عدم كون مورده من المسألة في شيء فإنّه ورد في يهود خيبر الّذين قبّلهم النبيّ صلّى اللّه عليه و آله أرضها و نخلها بالنصف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اعتبار لا يصلح لتأسيس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يصلح للتأييد لو وجد على الحكم دليل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العمدة في المقام الاستدلال بما تقدّم في مسألة وقت وجوب الزكاة في الغلاّت من قول أبي الحسن عليه السّلام في صحيح سعد بن سعد الأشعري الوارد في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خرصه أخرج زكاته</w:t>
      </w:r>
      <w:r>
        <w:rPr>
          <w:rFonts w:eastAsia="Amiri" w:cs="Amiri" w:ascii="Amiri" w:hAnsi="Amiri"/>
          <w:color w:val="111111"/>
          <w:sz w:val="28"/>
          <w:szCs w:val="28"/>
          <w:rtl w:val="true"/>
          <w:lang w:bidi="ar-SA"/>
        </w:rPr>
        <w:t>»</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بصحيحه الآخر أيضا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الزكاة في الحنطة و الشعير و التمر و الزبيب متى يجب على صاحبها؟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صرم و إذا خرص</w:t>
      </w:r>
      <w:r>
        <w:rPr>
          <w:rFonts w:eastAsia="IRNazanin" w:cs="IRNazanin"/>
          <w:color w:val="111111"/>
          <w:sz w:val="28"/>
          <w:szCs w:val="28"/>
          <w:rtl w:val="true"/>
          <w:lang w:bidi="fa-IR"/>
        </w:rPr>
        <w:t>»</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دلالتهما على مشروعيّة الخرص واضحة كوضوح دلالة ثانيهما على عدم الفرق في المشروعيّة بين الغلاّت الأربع، و عليه فالاختلاف في جوازه في الزرع كما عن الشيخ</w:t>
      </w:r>
      <w:r>
        <w:rPr>
          <w:rStyle w:val="FootnoteAnchor"/>
          <w:rtl w:val="true"/>
        </w:rPr>
        <w:footnoteReference w:id="2430"/>
      </w:r>
      <w:bookmarkStart w:id="530" w:name="pg16181_154774"/>
    </w:p>
    <w:p>
      <w:pPr>
        <w:pStyle w:val="BookText"/>
        <w:rPr/>
      </w:pPr>
      <w:bookmarkEnd w:id="530"/>
      <w:r>
        <w:rPr>
          <w:rFonts w:ascii="Amiri" w:hAnsi="Amiri" w:eastAsia="Amiri" w:cs="Amiri"/>
          <w:color w:val="111111"/>
          <w:sz w:val="28"/>
          <w:sz w:val="28"/>
          <w:szCs w:val="28"/>
          <w:rtl w:val="true"/>
          <w:lang w:bidi="ar-SA"/>
        </w:rPr>
        <w:t>و جماعة</w:t>
      </w:r>
      <w:r>
        <w:rPr>
          <w:rStyle w:val="FootnoteAnchor"/>
          <w:rtl w:val="true"/>
        </w:rPr>
        <w:footnoteReference w:id="2431"/>
      </w:r>
      <w:r>
        <w:rPr>
          <w:rFonts w:ascii="Amiri" w:hAnsi="Amiri" w:eastAsia="Amiri" w:cs="Amiri"/>
          <w:color w:val="111111"/>
          <w:sz w:val="28"/>
          <w:sz w:val="28"/>
          <w:szCs w:val="28"/>
          <w:rtl w:val="true"/>
          <w:lang w:bidi="ar-SA"/>
        </w:rPr>
        <w:t>و عدمه كما عن ابن الجنيد</w:t>
      </w:r>
      <w:r>
        <w:rPr>
          <w:rStyle w:val="FootnoteAnchor"/>
          <w:rtl w:val="true"/>
        </w:rPr>
        <w:footnoteReference w:id="2432"/>
      </w:r>
      <w:r>
        <w:rPr>
          <w:rFonts w:ascii="Amiri" w:hAnsi="Amiri" w:eastAsia="Amiri" w:cs="Amiri"/>
          <w:color w:val="111111"/>
          <w:sz w:val="28"/>
          <w:sz w:val="28"/>
          <w:szCs w:val="28"/>
          <w:rtl w:val="true"/>
          <w:lang w:bidi="ar-SA"/>
        </w:rPr>
        <w:t>و الفاضلين في المعتبر</w:t>
      </w:r>
      <w:r>
        <w:rPr>
          <w:rStyle w:val="FootnoteAnchor"/>
          <w:rtl w:val="true"/>
        </w:rPr>
        <w:footnoteReference w:id="2433"/>
      </w:r>
      <w:r>
        <w:rPr>
          <w:rFonts w:ascii="IRNazanin" w:hAnsi="IRNazanin" w:eastAsia="IRNazanin"/>
          <w:color w:val="111111"/>
          <w:sz w:val="28"/>
          <w:sz w:val="28"/>
          <w:szCs w:val="28"/>
          <w:rtl w:val="true"/>
          <w:lang w:bidi="fa-IR"/>
        </w:rPr>
        <w:t>و المنتهى</w:t>
      </w:r>
      <w:r>
        <w:rPr>
          <w:rStyle w:val="FootnoteAnchor"/>
          <w:rtl w:val="true"/>
        </w:rPr>
        <w:footnoteReference w:id="2434"/>
      </w:r>
      <w:r>
        <w:rPr>
          <w:rFonts w:ascii="Amiri" w:hAnsi="Amiri" w:eastAsia="Amiri" w:cs="Amiri"/>
          <w:color w:val="111111"/>
          <w:sz w:val="28"/>
          <w:sz w:val="28"/>
          <w:szCs w:val="28"/>
          <w:rtl w:val="true"/>
          <w:lang w:bidi="ar-SA"/>
        </w:rPr>
        <w:t>و التحرير</w:t>
      </w:r>
      <w:r>
        <w:rPr>
          <w:rStyle w:val="FootnoteAnchor"/>
          <w:rtl w:val="true"/>
        </w:rPr>
        <w:footnoteReference w:id="2435"/>
      </w:r>
      <w:r>
        <w:rPr>
          <w:rFonts w:ascii="Amiri" w:hAnsi="Amiri" w:eastAsia="Amiri" w:cs="Amiri"/>
          <w:color w:val="111111"/>
          <w:sz w:val="28"/>
          <w:sz w:val="28"/>
          <w:szCs w:val="28"/>
          <w:rtl w:val="true"/>
          <w:lang w:bidi="ar-SA"/>
        </w:rPr>
        <w:t xml:space="preserve">ليس على ما ينبغي، فالقول بالجواز فيه هو الصحيح، من جهة النصّ الصحيح لا لما استدلّوا به من 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الاحتياج إلى الأكل منه قبل يبسه و تصفيته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لضعفه بما أشرنا إليه، كضعف احتجاج الآخرين</w:t>
      </w:r>
      <w:r>
        <w:rPr>
          <w:rStyle w:val="FootnoteAnchor"/>
          <w:rtl w:val="true"/>
        </w:rPr>
        <w:footnoteReference w:id="2436"/>
      </w:r>
      <w:r>
        <w:rPr>
          <w:rFonts w:ascii="Amiri" w:hAnsi="Amiri" w:eastAsia="Amiri" w:cs="Amiri"/>
          <w:color w:val="111111"/>
          <w:sz w:val="28"/>
          <w:sz w:val="28"/>
          <w:szCs w:val="28"/>
          <w:rtl w:val="true"/>
          <w:lang w:bidi="ar-SA"/>
        </w:rPr>
        <w:t>بأنّ الخرص نوع تخمين و عمل بالظنّ فلا يثبت إلاّ في موضع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التشبيه بالكرم قياس فاسد، مع وقوع الفرق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الزرع قد يخفى خرصه لاستتار بعضه و تبدّده و عدم اجتماعه و قلّة التطلّع على مقدار كلّ سنبلة منه، بخلاف النخل فإنّ ثمرته ظاهرة مجتمعة يتمكّن الخارص من إدراك كلّ غدق منها و كذا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الحاجة فى النخل و الكرم ماسّة الى الخرص لاحتياج أربابها إلى تناولها رطبة غالبا قبل الجذاذ و الاقتطاف، بخلاف الزرع فإنّ الحاجة إلى تناول الفريك منه قليلة جدّا</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2586799_1280447820"/>
      <w:bookmarkStart w:id="532" w:name="_Toc198"/>
      <w:bookmarkEnd w:id="531"/>
      <w:r>
        <w:rPr>
          <w:rtl w:val="true"/>
        </w:rPr>
        <w:t>في وقت الخرص</w:t>
      </w:r>
      <w:bookmarkEnd w:id="53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ربّما يشكل الحال في وقت الخرص و إن كان لا يبعد بناؤه على الأقوال الثلاث المتقدّمة</w:t>
      </w:r>
      <w:r>
        <w:rPr>
          <w:rStyle w:val="FootnoteAnchor"/>
          <w:rtl w:val="true"/>
        </w:rPr>
        <w:footnoteReference w:id="2437"/>
      </w:r>
      <w:r>
        <w:rPr>
          <w:rFonts w:ascii="Amiri" w:hAnsi="Amiri" w:eastAsia="Amiri" w:cs="Amiri"/>
          <w:color w:val="111111"/>
          <w:sz w:val="28"/>
          <w:sz w:val="28"/>
          <w:szCs w:val="28"/>
          <w:rtl w:val="true"/>
          <w:lang w:bidi="ar-SA"/>
        </w:rPr>
        <w:t>في وقت تعلّق الوجوب، فعلى المشهور من كونه بعد بدوّ الصلاح و هو انعقاد الحبّ في الحنطة و الشعير و الحصرم في الزبيب و الاصفرار أو الاحمرار في التمر يتّجه كون وقته حين بدوّ الصلاح، و على القول بكون وقت الوجوب ما بعد التسمية يتّجه كون وقته حين التسمية، و لذا قال في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فاحتمال كون الخرص حين التسمية بالتمر و الزبيب و الحنطة و الشعير على المختار في غاية القوّة</w:t>
      </w:r>
      <w:r>
        <w:rPr>
          <w:rFonts w:eastAsia="Amiri" w:cs="Amiri" w:ascii="Amiri" w:hAnsi="Amiri"/>
          <w:color w:val="111111"/>
          <w:sz w:val="28"/>
          <w:szCs w:val="28"/>
          <w:rtl w:val="true"/>
          <w:lang w:bidi="ar-SA"/>
        </w:rPr>
        <w:t xml:space="preserve">» </w:t>
      </w:r>
      <w:bookmarkStart w:id="533" w:name="pg16181_154775"/>
    </w:p>
    <w:p>
      <w:pPr>
        <w:pStyle w:val="BookText"/>
        <w:rPr/>
      </w:pPr>
      <w:bookmarkEnd w:id="533"/>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رجّحناه من كون وقت الوجوب في التمر و الزبيب حين الرطبيّة و العنبيّة و في غيرهما حين التسمية يتّجه كون الخرص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الأحوط في الجميع كونه حين بدوّ الصلاح، لأنّ الأحوط في وقت تعلّق الوجوب هو ذلك، و لما في المعتبر و المنتهى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كان يبعث الخارص ذلك الوقت</w:t>
      </w:r>
      <w:r>
        <w:rPr>
          <w:rFonts w:eastAsia="Amiri" w:cs="Amiri" w:ascii="Amiri" w:hAnsi="Amiri"/>
          <w:color w:val="111111"/>
          <w:sz w:val="28"/>
          <w:szCs w:val="28"/>
          <w:rtl w:val="true"/>
          <w:lang w:bidi="ar-SA"/>
        </w:rPr>
        <w:t>»</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الغريب أنّ الفاضلين في الكتابين مع مصيرهما في وقت الوجوب إلى كونه حين التسمية</w:t>
      </w:r>
      <w:r>
        <w:rPr>
          <w:rStyle w:val="FootnoteAnchor"/>
          <w:rtl w:val="true"/>
        </w:rPr>
        <w:footnoteReference w:id="2439"/>
      </w:r>
      <w:r>
        <w:rPr>
          <w:rFonts w:ascii="Amiri" w:hAnsi="Amiri" w:eastAsia="Amiri" w:cs="Amiri"/>
          <w:color w:val="111111"/>
          <w:sz w:val="28"/>
          <w:sz w:val="28"/>
          <w:szCs w:val="28"/>
          <w:rtl w:val="true"/>
          <w:lang w:bidi="ar-SA"/>
        </w:rPr>
        <w:t>صرّحا بكون وقت الخرص حين بدوّ الصلاح، و اللازم من كلامهما عدم جواز التصرّف للمالك في الثمرة بعد بدوّ الصلاح ما لم يحصل الخرص مع أنّهم جعلوا من فروع القول بكون وقت الوجوب حين التسمية، جواز التصرّف مطلقا، و إنّما فرّعوا عدم الجواز إلاّ بعد الخرص على القول بكون وقت الوجوب حين بدوّ الصلاح، فبين كلاميهما تهافت واضح كما تنبّه عليه غير واحد</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2586801_1280447820"/>
      <w:bookmarkStart w:id="535" w:name="_Toc199"/>
      <w:bookmarkEnd w:id="534"/>
      <w:r>
        <w:rPr>
          <w:rtl w:val="true"/>
        </w:rPr>
        <w:t>[</w:t>
      </w:r>
      <w:r>
        <w:rPr>
          <w:rtl w:val="true"/>
        </w:rPr>
        <w:t>عدد الخارصين</w:t>
      </w:r>
      <w:r>
        <w:rPr>
          <w:rtl w:val="true"/>
        </w:rPr>
        <w:t>]</w:t>
      </w:r>
      <w:bookmarkEnd w:id="53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جماعة بكفاية الواحد في الخرص</w:t>
      </w:r>
      <w:r>
        <w:rPr>
          <w:rStyle w:val="FootnoteAnchor"/>
          <w:rtl w:val="true"/>
        </w:rPr>
        <w:footnoteReference w:id="2440"/>
      </w:r>
      <w:r>
        <w:rPr>
          <w:rFonts w:ascii="Amiri" w:hAnsi="Amiri" w:eastAsia="Amiri" w:cs="Amiri"/>
          <w:color w:val="111111"/>
          <w:sz w:val="28"/>
          <w:sz w:val="28"/>
          <w:szCs w:val="28"/>
          <w:rtl w:val="true"/>
          <w:lang w:bidi="ar-SA"/>
        </w:rPr>
        <w:t>كما صرّح غير واحد منهم بكون الاثنين أفضل</w:t>
      </w:r>
      <w:r>
        <w:rPr>
          <w:rStyle w:val="FootnoteAnchor"/>
          <w:rtl w:val="true"/>
        </w:rPr>
        <w:footnoteReference w:id="2441"/>
      </w:r>
      <w:r>
        <w:rPr>
          <w:rFonts w:ascii="Amiri" w:hAnsi="Amiri" w:eastAsia="Amiri" w:cs="Amiri"/>
          <w:color w:val="111111"/>
          <w:sz w:val="28"/>
          <w:sz w:val="28"/>
          <w:szCs w:val="28"/>
          <w:rtl w:val="true"/>
          <w:lang w:bidi="ar-SA"/>
        </w:rPr>
        <w:t>و عن الشيخ التصريح بكونهما أحوط استظهارا</w:t>
      </w:r>
      <w:r>
        <w:rPr>
          <w:rStyle w:val="FootnoteAnchor"/>
          <w:rtl w:val="true"/>
        </w:rPr>
        <w:footnoteReference w:id="2442"/>
      </w:r>
      <w:r>
        <w:rPr>
          <w:rFonts w:ascii="Amiri" w:hAnsi="Amiri" w:eastAsia="Amiri" w:cs="Amiri"/>
          <w:color w:val="111111"/>
          <w:sz w:val="28"/>
          <w:sz w:val="28"/>
          <w:szCs w:val="28"/>
          <w:rtl w:val="true"/>
          <w:lang w:bidi="ar-SA"/>
        </w:rPr>
        <w:t>و ربّما ادّعي ظهور الاتّفاق على كفاية الواحد</w:t>
      </w:r>
      <w:r>
        <w:rPr>
          <w:rStyle w:val="FootnoteAnchor"/>
          <w:rtl w:val="true"/>
        </w:rPr>
        <w:footnoteReference w:id="2443"/>
      </w:r>
      <w:r>
        <w:rPr>
          <w:rFonts w:ascii="Amiri" w:hAnsi="Amiri" w:eastAsia="Amiri" w:cs="Amiri"/>
          <w:color w:val="111111"/>
          <w:sz w:val="28"/>
          <w:sz w:val="28"/>
          <w:szCs w:val="28"/>
          <w:rtl w:val="true"/>
          <w:lang w:bidi="ar-SA"/>
        </w:rPr>
        <w:t>و يحتمله إطلاق النصّ و الفتوى</w:t>
      </w:r>
      <w:r>
        <w:rPr>
          <w:rStyle w:val="FootnoteAnchor"/>
          <w:rtl w:val="true"/>
        </w:rPr>
        <w:footnoteReference w:id="2444"/>
      </w:r>
      <w:r>
        <w:rPr>
          <w:rFonts w:ascii="Amiri" w:hAnsi="Amiri" w:eastAsia="Amiri" w:cs="Amiri"/>
          <w:color w:val="111111"/>
          <w:sz w:val="28"/>
          <w:sz w:val="28"/>
          <w:szCs w:val="28"/>
          <w:rtl w:val="true"/>
          <w:lang w:bidi="ar-SA"/>
        </w:rPr>
        <w:t>و يؤيّده ما عن المعتبر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النبيّ اقتصر على خارص واحد حيث أرسل عبد اللّه بن رواحة</w:t>
      </w:r>
      <w:r>
        <w:rPr>
          <w:rStyle w:val="FootnoteAnchor"/>
          <w:rtl w:val="true"/>
        </w:rPr>
        <w:footnoteReference w:id="2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الخارص يقدّر الثمرة بحسب حدسه و اجتهاده فكان بمنزلة المفتي و الحاكم، و أنّ الأمانة </w:t>
      </w:r>
      <w:bookmarkStart w:id="536" w:name="pg16181_154776"/>
    </w:p>
    <w:p>
      <w:pPr>
        <w:pStyle w:val="BookText"/>
        <w:rPr/>
      </w:pPr>
      <w:bookmarkEnd w:id="536"/>
      <w:r>
        <w:rPr>
          <w:rFonts w:ascii="Amiri" w:hAnsi="Amiri" w:eastAsia="Amiri" w:cs="Amiri"/>
          <w:color w:val="111111"/>
          <w:sz w:val="28"/>
          <w:sz w:val="28"/>
          <w:szCs w:val="28"/>
          <w:rtl w:val="true"/>
          <w:lang w:bidi="ar-SA"/>
        </w:rPr>
        <w:t>بمعنى العدالة المعتبرة فيه يعصمه عن تطرّق التهمة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أفضليّة الاثنين بل أحوطيّتهما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شبهة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فيه كونه من أهل المعرفة بهذا الشأن، و كونه عدلا أيضا كما صرّح به غير واحد، لأنّه المتيقّن من محلّ الرخصة و مشروعيّته، مضافا إلى آية النبأ</w:t>
      </w:r>
      <w:r>
        <w:rPr>
          <w:rStyle w:val="FootnoteAnchor"/>
          <w:rtl w:val="true"/>
        </w:rPr>
        <w:footnoteReference w:id="2446"/>
      </w:r>
      <w:r>
        <w:rPr>
          <w:rFonts w:ascii="Amiri" w:hAnsi="Amiri" w:eastAsia="Amiri" w:cs="Amiri"/>
          <w:color w:val="111111"/>
          <w:sz w:val="28"/>
          <w:sz w:val="28"/>
          <w:szCs w:val="28"/>
          <w:rtl w:val="true"/>
          <w:lang w:bidi="ar-SA"/>
        </w:rPr>
        <w:t>القاضية بعدم الوثوق بقول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البيان التصريح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خرص المالك بنفسه جاز</w:t>
      </w:r>
      <w:r>
        <w:rPr>
          <w:rFonts w:eastAsia="Amiri" w:cs="Amiri" w:ascii="Amiri" w:hAnsi="Amiri"/>
          <w:color w:val="111111"/>
          <w:sz w:val="28"/>
          <w:szCs w:val="28"/>
          <w:rtl w:val="true"/>
          <w:lang w:bidi="ar-SA"/>
        </w:rPr>
        <w:t>»</w:t>
      </w:r>
      <w:r>
        <w:rPr>
          <w:rStyle w:val="FootnoteAnchor"/>
          <w:rtl w:val="true"/>
        </w:rPr>
        <w:footnoteReference w:id="2447"/>
      </w:r>
      <w:r>
        <w:rPr>
          <w:rFonts w:ascii="Amiri" w:hAnsi="Amiri" w:eastAsia="Amiri" w:cs="Amiri"/>
          <w:color w:val="111111"/>
          <w:sz w:val="28"/>
          <w:sz w:val="28"/>
          <w:szCs w:val="28"/>
          <w:rtl w:val="true"/>
          <w:lang w:bidi="ar-SA"/>
        </w:rPr>
        <w:t>و ظاهره قبول قوله فيه مطلقا، و لعلّه للاستقراء القاضي بكون مبنى الأمر في باب الزكاة على الإرفاق و سهولة الأمر عليه، و لذا قبل قوله في الإخراج و النصاب و التلف و عدم الحول و الإبدال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الأردبيلي في مجمع الفائدة نفي البعد عنه مع قوله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يكون الخرص حينئذ مع وكيل الحاكم مثل الساعي و إن لم يكن فمع العدلين أو العدول، لأنّه أحوط و أبعد من التهمة و من إضلال الشيطان و تسويل النفس</w:t>
      </w:r>
      <w:r>
        <w:rPr>
          <w:rFonts w:eastAsia="Amiri" w:cs="Amiri" w:ascii="Amiri" w:hAnsi="Amiri"/>
          <w:color w:val="111111"/>
          <w:sz w:val="28"/>
          <w:szCs w:val="28"/>
          <w:rtl w:val="true"/>
          <w:lang w:bidi="ar-SA"/>
        </w:rPr>
        <w:t>»</w:t>
      </w:r>
      <w:r>
        <w:rPr>
          <w:rStyle w:val="FootnoteAnchor"/>
          <w:rtl w:val="true"/>
        </w:rPr>
        <w:footnoteReference w:id="2448"/>
      </w:r>
      <w:r>
        <w:rPr>
          <w:rFonts w:ascii="Amiri" w:hAnsi="Amiri" w:eastAsia="Amiri" w:cs="Amiri"/>
          <w:color w:val="111111"/>
          <w:sz w:val="28"/>
          <w:sz w:val="28"/>
          <w:szCs w:val="28"/>
          <w:rtl w:val="true"/>
          <w:lang w:bidi="ar-SA"/>
        </w:rPr>
        <w:t>نعم لو تعذّر للحاجة لا يبعد جوازه عند نفسه، و حيث اكتفي بخرص نفسه سقط اعتبار العدالة، نعم المعرفة معتبرة على كلّ حال إذ لا اعتداد بقول غيره</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2586803_1280447820"/>
      <w:bookmarkStart w:id="538" w:name="_Toc200"/>
      <w:bookmarkEnd w:id="537"/>
      <w:r>
        <w:rPr>
          <w:rtl w:val="true"/>
        </w:rPr>
        <w:t>بيان كيفيّة الخرص</w:t>
      </w:r>
      <w:bookmarkEnd w:id="538"/>
    </w:p>
    <w:p>
      <w:pPr>
        <w:pStyle w:val="BookText"/>
        <w:rPr/>
      </w:pPr>
      <w:r>
        <w:rPr>
          <w:rFonts w:ascii="Amiri" w:hAnsi="Amiri" w:eastAsia="Amiri" w:cs="Amiri"/>
          <w:color w:val="111111"/>
          <w:sz w:val="28"/>
          <w:sz w:val="28"/>
          <w:szCs w:val="28"/>
          <w:rtl w:val="true"/>
          <w:lang w:bidi="ar-SA"/>
        </w:rPr>
        <w:t>و كيفيّته أن تتبّع كلّ نخلة أو كلّ كرم و يقدّر بحسب حدسه و تخمينه ما على كلّ من الرطب أو العنب، ثمّ يجمع المقدّرات ثمّ يقدّر ما يخرج من المجموع تمرا أو زبيبا لو جفّ فإن بلغ المقدّر النصاب تبيّن تعلّق الزكاة و وجوبها، ثمّ يقدّر حصّة الفقراء من الرطب و العنب بحساب العشر أو نصف العشر و هكذا يصنع في خرص الزرع مع أدنى تفاوت في التتبّع يعرفه أهل هذا الشأن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عن المعتبر و المنتهى و التحرير و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الخارص إذا عرف المقدار يخيّر الملاّك بين تركه أمانة في يدهم و بين تضمينهم حصّة الفقراء و يضمّن لهم حقّهم، فإن </w:t>
      </w:r>
    </w:p>
    <w:p>
      <w:pPr>
        <w:pStyle w:val="BookText"/>
        <w:rPr/>
      </w:pPr>
      <w:r>
        <w:rPr>
          <w:rFonts w:ascii="Amiri" w:hAnsi="Amiri" w:eastAsia="Amiri" w:cs="Amiri"/>
          <w:color w:val="111111"/>
          <w:sz w:val="28"/>
          <w:sz w:val="28"/>
          <w:szCs w:val="28"/>
          <w:rtl w:val="true"/>
          <w:lang w:bidi="ar-SA"/>
        </w:rPr>
        <w:t>اختاروا الضمان كان لهم التصرّف كيف شاءوا، و إن أبوا جعله أمانة و لم يجز لهم التصرّف بالأكل و البيع و الهبة لأنّ فيها حقّ المساكين</w:t>
      </w:r>
      <w:r>
        <w:rPr>
          <w:rFonts w:eastAsia="Amiri" w:cs="Amiri" w:ascii="Amiri" w:hAnsi="Amiri"/>
          <w:color w:val="111111"/>
          <w:sz w:val="28"/>
          <w:szCs w:val="28"/>
          <w:rtl w:val="true"/>
          <w:lang w:bidi="ar-SA"/>
        </w:rPr>
        <w:t>»</w:t>
      </w:r>
      <w:r>
        <w:rPr>
          <w:rStyle w:val="FootnoteAnchor"/>
          <w:rtl w:val="true"/>
        </w:rPr>
        <w:footnoteReference w:id="2449"/>
      </w:r>
      <w:r>
        <w:rPr>
          <w:rFonts w:ascii="Amiri" w:hAnsi="Amiri" w:eastAsia="Amiri" w:cs="Amiri"/>
          <w:color w:val="111111"/>
          <w:sz w:val="28"/>
          <w:sz w:val="28"/>
          <w:szCs w:val="28"/>
          <w:rtl w:val="true"/>
          <w:lang w:bidi="ar-SA"/>
        </w:rPr>
        <w:t>و لعلّ وجه التخيير بين الأمرين المحافظة على حقّ الفقراء عن التلف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إطلاقهم بعدم جواز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اختيار جعله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التصرّف في الجميع، و هو قضيّة التعليل أيضا كما في المال المشترك، و لكن عن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أنّ المنع عن الأكل و الهبة إنّما هو في عشر المساكين لا في تسعة أعشار المالك</w:t>
      </w:r>
      <w:r>
        <w:rPr>
          <w:rFonts w:eastAsia="Amiri" w:cs="Amiri" w:ascii="Amiri" w:hAnsi="Amiri"/>
          <w:color w:val="111111"/>
          <w:sz w:val="28"/>
          <w:szCs w:val="28"/>
          <w:rtl w:val="true"/>
          <w:lang w:bidi="ar-SA"/>
        </w:rPr>
        <w:t>»</w:t>
      </w:r>
      <w:r>
        <w:rPr>
          <w:rStyle w:val="FootnoteAnchor"/>
          <w:rtl w:val="true"/>
        </w:rPr>
        <w:footnoteReference w:id="2450"/>
      </w:r>
      <w:r>
        <w:rPr>
          <w:rFonts w:ascii="Amiri" w:hAnsi="Amiri" w:eastAsia="Amiri" w:cs="Amiri"/>
          <w:color w:val="111111"/>
          <w:sz w:val="28"/>
          <w:sz w:val="28"/>
          <w:szCs w:val="28"/>
          <w:rtl w:val="true"/>
          <w:lang w:bidi="ar-SA"/>
        </w:rPr>
        <w:t>و كأنّه أراد به أنّ مورد المنع الذاتي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يعمّه و المنع العرضي الشامل لتسعة أعشار المالك أيضا، و إلاّ فعشر الفقراء غير ممتاز عن تسعة أعشار المالك لأنّه إنّما يتعلّق بعين مجموع النصاب على سبيل الإشاعة، فتخصيص ماهيّة المنع بالعشر مع انتشاره في الجميع و إشاعته غير جيّد، إلاّ أن يراد ذلك بعد تعيين الخارص أو تعيين المالك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 التصرّف في الجميع بعد الخرص و التضمين فالظاهر أنّه محلّ وفاق بل في المحكيّ عن المنتهى التصريح بالإجماع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أكل المالك رطبا فإذا كان من بعد الخرص و التضمين جاز إجماعا، لأنّ فائدة الخرص إباحة التناول</w:t>
      </w:r>
      <w:r>
        <w:rPr>
          <w:rFonts w:eastAsia="Amiri" w:cs="Amiri" w:ascii="Amiri" w:hAnsi="Amiri"/>
          <w:color w:val="111111"/>
          <w:sz w:val="28"/>
          <w:szCs w:val="28"/>
          <w:rtl w:val="true"/>
          <w:lang w:bidi="ar-SA"/>
        </w:rPr>
        <w:t>»</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يجوز للمالك أن يضمن نصيب الفقراء بنفسه من دون تضمين الخارص‌؟</w:t>
      </w:r>
    </w:p>
    <w:p>
      <w:pPr>
        <w:pStyle w:val="BookText"/>
        <w:rPr/>
      </w:pPr>
      <w:r>
        <w:rPr>
          <w:rFonts w:ascii="Amiri" w:hAnsi="Amiri" w:eastAsia="Amiri" w:cs="Amiri"/>
          <w:color w:val="111111"/>
          <w:sz w:val="28"/>
          <w:sz w:val="28"/>
          <w:szCs w:val="28"/>
          <w:rtl w:val="true"/>
          <w:lang w:bidi="ar-SA"/>
        </w:rPr>
        <w:t>الظاهر الجواز خصوصا إذا اريد بالضمان أن يتقبّله المالك بقيمته السوقيّة، و هو الظاهر عملا بأدلّة العدول في الزكاة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بالجواز هنا أيضا في المحكيّ عن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يعني أكل المالك رطبا بعد الخرص و قبل التضمين بأن خرص عليه الخارص و لم يضمّنه جاز إذا ضمن بنصيب الفقراء، و كذا لو كان قبل الخرص إذا خرصها هو بنفسه</w:t>
      </w:r>
      <w:r>
        <w:rPr>
          <w:rFonts w:eastAsia="Amiri" w:cs="Amiri" w:ascii="Amiri" w:hAnsi="Amiri"/>
          <w:color w:val="111111"/>
          <w:sz w:val="28"/>
          <w:szCs w:val="28"/>
          <w:rtl w:val="true"/>
          <w:lang w:bidi="ar-SA"/>
        </w:rPr>
        <w:t>»</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الجواز من عبارة صاحب المدارك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تنظّر في أكثر الأحكام الّتي نقلها عن المحقّق</w:t>
      </w:r>
      <w:r>
        <w:rPr>
          <w:rStyle w:val="FootnoteAnchor"/>
          <w:rtl w:val="true"/>
        </w:rPr>
        <w:footnoteReference w:id="2453"/>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القدر المتحقّق من ذلك جواز البناء </w:t>
      </w:r>
    </w:p>
    <w:p>
      <w:pPr>
        <w:pStyle w:val="BookText"/>
        <w:rPr/>
      </w:pPr>
      <w:r>
        <w:rPr>
          <w:rFonts w:ascii="Amiri" w:hAnsi="Amiri" w:eastAsia="Amiri" w:cs="Amiri"/>
          <w:color w:val="111111"/>
          <w:sz w:val="28"/>
          <w:sz w:val="28"/>
          <w:szCs w:val="28"/>
          <w:rtl w:val="true"/>
          <w:lang w:bidi="ar-SA"/>
        </w:rPr>
        <w:t>على قدر الخرص عند عدم العلم بالمقدار، و جواز التصرّف في الثمرة بعد الضمان لأنّ ذلك فائدة الخرص، و للإجماع المنقول عليه من جماعة منهم العلاّمة في المنتهى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 المالك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حكاه من عبارة المنتهى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للأصحاب على تصريح لمعنى الضمان هنا، و ذكر المحقّق الشيخ عليّ أنّ المراد به العزم على الأداء من غيرها، و كأنّ المراد العزم على أداء الزكاة من غير ما تعلّق به التصرّف و إن كان من نفس النصاب</w:t>
      </w:r>
      <w:r>
        <w:rPr>
          <w:rFonts w:eastAsia="Amiri" w:cs="Amiri" w:ascii="Amiri" w:hAnsi="Amiri"/>
          <w:color w:val="111111"/>
          <w:sz w:val="28"/>
          <w:szCs w:val="28"/>
          <w:rtl w:val="true"/>
          <w:lang w:bidi="ar-SA"/>
        </w:rPr>
        <w:t>»</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أنّ الضمان إنّما هو لتحصيل إباحة التصرّف في نصيب الفقراء ظهر لك أنّ مراد الأصحاب من الضمان هنا ما يتضمّن إباحة التصرّف، و من المعلوم أنّه لا يباح ذلك التصرّف إلاّ بعد دخول نصيب الفقراء في ملك المالك و انتقاله إليه، و لا يتأتّى ذلك إلاّ بعد تقبّل المالك للنصيب بقيمته السوقيّة الّذي هو معاوضة جوّزها الشارع و أمضاها بمقتضى أدلّة جواز العدول إلى القيمة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أنّ هذه المعاوضة توجب اشتغال الذمّة بالقيمة و استقرارها في ذمّة المالك، فحقيقة معنى الضمان حينئذ إنّما هو جعل المالك ذمّته مشغولة بقيمة النصيب الّتي يراد بها هنا مطلق العوض الّذي يجزئ عنه الأداء من مطلق ماله، و لعلّ هذا هو مراد المحقّق الشيخ عليّ من تفسيره الضمان بالعزم على الأداء من غيرها بناء أن يراد من العزم المذكور تقبّل المالك الّذي يؤول إلى المعاوضة المذكورة فليتدبّر</w:t>
      </w:r>
      <w:r>
        <w:rPr>
          <w:rFonts w:eastAsia="Amiri" w:cs="Amiri" w:ascii="Amiri" w:hAnsi="Amiri"/>
          <w:color w:val="111111"/>
          <w:sz w:val="28"/>
          <w:szCs w:val="28"/>
          <w:rtl w:val="true"/>
          <w:lang w:bidi="ar-SA"/>
        </w:rPr>
        <w:t xml:space="preserve">. </w:t>
      </w:r>
      <w:bookmarkStart w:id="539" w:name="pg16181_154779"/>
    </w:p>
    <w:p>
      <w:pPr>
        <w:pStyle w:val="Heading5"/>
        <w:numPr>
          <w:ilvl w:val="4"/>
          <w:numId w:val="1"/>
        </w:numPr>
        <w:rPr/>
      </w:pPr>
      <w:bookmarkStart w:id="540" w:name="__RefHeading___Toc2586805_1280447820"/>
      <w:bookmarkStart w:id="541" w:name="_Toc201"/>
      <w:bookmarkEnd w:id="539"/>
      <w:bookmarkEnd w:id="540"/>
      <w:r>
        <w:rPr>
          <w:rtl w:val="true"/>
        </w:rPr>
        <w:t>ينبوع القول في مال التجارة</w:t>
      </w:r>
      <w:bookmarkEnd w:id="541"/>
    </w:p>
    <w:p>
      <w:pPr>
        <w:pStyle w:val="Heading6"/>
        <w:numPr>
          <w:ilvl w:val="5"/>
          <w:numId w:val="1"/>
        </w:numPr>
        <w:rPr/>
      </w:pPr>
      <w:bookmarkStart w:id="542" w:name="__RefHeading___Toc2586807_1280447820"/>
      <w:bookmarkStart w:id="543" w:name="_Toc202"/>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قد أشرنا في أوائل المبحث إلى ما يستحبّ فيه الزكاة و أنّه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التجارة، و ينبغي التكلّم في موضوعه و حكمه و شروطه و فروعه، أمّا الموضوع فقد عرّفه في الشرائع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الّذي ملكه بعقد معاوضة و قصد به الاكتساب عند التملّك</w:t>
      </w:r>
      <w:r>
        <w:rPr>
          <w:rFonts w:eastAsia="Amiri" w:cs="Amiri" w:ascii="Amiri" w:hAnsi="Amiri"/>
          <w:color w:val="111111"/>
          <w:sz w:val="28"/>
          <w:szCs w:val="28"/>
          <w:rtl w:val="true"/>
          <w:lang w:bidi="ar-SA"/>
        </w:rPr>
        <w:t>»</w:t>
      </w:r>
      <w:r>
        <w:rPr>
          <w:rStyle w:val="FootnoteAnchor"/>
          <w:rtl w:val="true"/>
        </w:rPr>
        <w:footnoteReference w:id="2455"/>
      </w:r>
      <w:r>
        <w:rPr>
          <w:rFonts w:ascii="Amiri" w:hAnsi="Amiri" w:eastAsia="Amiri" w:cs="Amiri"/>
          <w:color w:val="111111"/>
          <w:sz w:val="28"/>
          <w:sz w:val="28"/>
          <w:szCs w:val="28"/>
          <w:rtl w:val="true"/>
          <w:lang w:bidi="ar-SA"/>
        </w:rPr>
        <w:t>و في معناه ما في إرشاد العلاّمة و غيره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ملك بعقد معاوضة للاكتساب عند التملّك</w:t>
      </w:r>
      <w:r>
        <w:rPr>
          <w:rFonts w:eastAsia="Amiri" w:cs="Amiri" w:ascii="Amiri" w:hAnsi="Amiri"/>
          <w:color w:val="111111"/>
          <w:sz w:val="28"/>
          <w:szCs w:val="28"/>
          <w:rtl w:val="true"/>
          <w:lang w:bidi="ar-SA"/>
        </w:rPr>
        <w:t>»</w:t>
      </w:r>
      <w:r>
        <w:rPr>
          <w:rStyle w:val="FootnoteAnchor"/>
          <w:rtl w:val="true"/>
        </w:rPr>
        <w:footnoteReference w:id="2456"/>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التعريف لمال التجارة من حيث تتعلّق به الزكاة</w:t>
      </w:r>
      <w:r>
        <w:rPr>
          <w:rFonts w:eastAsia="Amiri" w:cs="Amiri" w:ascii="Amiri" w:hAnsi="Amiri"/>
          <w:color w:val="111111"/>
          <w:sz w:val="28"/>
          <w:szCs w:val="28"/>
          <w:rtl w:val="true"/>
          <w:lang w:bidi="ar-SA"/>
        </w:rPr>
        <w:t>»</w:t>
      </w:r>
      <w:r>
        <w:rPr>
          <w:rStyle w:val="FootnoteAnchor"/>
          <w:rtl w:val="true"/>
        </w:rPr>
        <w:footnoteReference w:id="2457"/>
      </w:r>
      <w:r>
        <w:rPr>
          <w:rFonts w:ascii="Amiri" w:hAnsi="Amiri" w:eastAsia="Amiri" w:cs="Amiri"/>
          <w:color w:val="111111"/>
          <w:sz w:val="28"/>
          <w:sz w:val="28"/>
          <w:szCs w:val="28"/>
          <w:rtl w:val="true"/>
          <w:lang w:bidi="ar-SA"/>
        </w:rPr>
        <w:t>و نحوه في الذخيرة</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الشرائع تفريعا على القيود المأخوذة في 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انتقل إليه بميراث أو هبة لم يزكّه و كذا لو ملكه للقنية</w:t>
      </w:r>
      <w:r>
        <w:rPr>
          <w:rStyle w:val="FootnoteAnchor"/>
          <w:rtl w:val="true"/>
        </w:rPr>
        <w:footnoteReference w:id="2459"/>
      </w:r>
      <w:r>
        <w:rPr>
          <w:rFonts w:ascii="Amiri" w:hAnsi="Amiri" w:eastAsia="Amiri" w:cs="Amiri"/>
          <w:color w:val="111111"/>
          <w:sz w:val="28"/>
          <w:sz w:val="28"/>
          <w:szCs w:val="28"/>
          <w:rtl w:val="true"/>
          <w:lang w:bidi="ar-SA"/>
        </w:rPr>
        <w:t>و كذا لو اشتراه للتجارة ثمّ نوى القنية</w:t>
      </w:r>
      <w:r>
        <w:rPr>
          <w:rFonts w:eastAsia="Amiri" w:cs="Amiri" w:ascii="Amiri" w:hAnsi="Amiri"/>
          <w:color w:val="111111"/>
          <w:sz w:val="28"/>
          <w:szCs w:val="28"/>
          <w:rtl w:val="true"/>
          <w:lang w:bidi="ar-SA"/>
        </w:rPr>
        <w:t>»</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فالمال في التعريف بمنزلة الجنس و خرج بالموصول وصلته ما ملك بغير عقد كالإرث و حيازة المباحات و إن قصد به التكسّب، أو بعقد غير معاوضة كالهبة و الصدقة و الوقف، و المراد بالمعاوضة ما تقوّم طرفاها بالمال فيخرج الصداق و عوض الخلع و الصلح عن دم العمد و إن قصد بذلك الاكتساب، و خرج بقصد الاكتساب عند التملّك ما ملك بعقد معاوضة مع عدم قصد الاكتساب إمّا مع الذهول أو قصد القنية </w:t>
      </w:r>
    </w:p>
    <w:p>
      <w:pPr>
        <w:pStyle w:val="BookText"/>
        <w:rPr/>
      </w:pPr>
      <w:r>
        <w:rPr>
          <w:rFonts w:ascii="Amiri" w:hAnsi="Amiri" w:eastAsia="Amiri" w:cs="Amiri"/>
          <w:color w:val="111111"/>
          <w:sz w:val="28"/>
          <w:sz w:val="28"/>
          <w:szCs w:val="28"/>
          <w:rtl w:val="true"/>
          <w:lang w:bidi="ar-SA"/>
        </w:rPr>
        <w:t>أو الصدقة أو نحو ذلك</w:t>
      </w:r>
      <w:r>
        <w:rPr>
          <w:rFonts w:eastAsia="Amiri" w:cs="Amiri" w:ascii="Amiri" w:hAnsi="Amiri"/>
          <w:color w:val="111111"/>
          <w:sz w:val="28"/>
          <w:szCs w:val="28"/>
          <w:rtl w:val="true"/>
          <w:lang w:bidi="ar-SA"/>
        </w:rPr>
        <w:t>»</w:t>
      </w:r>
      <w:r>
        <w:rPr>
          <w:rStyle w:val="FootnoteAnchor"/>
          <w:rtl w:val="true"/>
        </w:rPr>
        <w:footnoteReference w:id="2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على منواله في الذخيرة</w:t>
      </w:r>
      <w:r>
        <w:rPr>
          <w:rStyle w:val="FootnoteAnchor"/>
          <w:rtl w:val="true"/>
        </w:rPr>
        <w:footnoteReference w:id="2462"/>
      </w:r>
      <w:r>
        <w:rPr>
          <w:rFonts w:ascii="Amiri" w:hAnsi="Amiri" w:eastAsia="Amiri" w:cs="Amiri"/>
          <w:color w:val="111111"/>
          <w:sz w:val="28"/>
          <w:sz w:val="28"/>
          <w:szCs w:val="28"/>
          <w:rtl w:val="true"/>
          <w:lang w:bidi="ar-SA"/>
        </w:rPr>
        <w:t>كما هو دأبه و ديدنه في أكثر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ما ذكره في الشرائع أخيرا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463"/>
      </w:r>
      <w:r>
        <w:rPr>
          <w:rFonts w:ascii="Amiri" w:hAnsi="Amiri" w:eastAsia="Amiri" w:cs="Amiri"/>
          <w:color w:val="111111"/>
          <w:sz w:val="28"/>
          <w:sz w:val="28"/>
          <w:szCs w:val="28"/>
          <w:rtl w:val="true"/>
          <w:lang w:bidi="ar-SA"/>
        </w:rPr>
        <w:t>يعطي اعتبار استمرار قصد التكسّب من حين التملّك طول الحول، كما هو المصرّح به في كلام جماعة</w:t>
      </w:r>
      <w:r>
        <w:rPr>
          <w:rStyle w:val="FootnoteAnchor"/>
          <w:rtl w:val="true"/>
        </w:rPr>
        <w:footnoteReference w:id="2464"/>
      </w:r>
      <w:r>
        <w:rPr>
          <w:rFonts w:ascii="Amiri" w:hAnsi="Amiri" w:eastAsia="Amiri" w:cs="Amiri"/>
          <w:color w:val="111111"/>
          <w:sz w:val="28"/>
          <w:sz w:val="28"/>
          <w:szCs w:val="28"/>
          <w:rtl w:val="true"/>
          <w:lang w:bidi="ar-SA"/>
        </w:rPr>
        <w:t>و عن المعتبر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وفاق لخروج المال بنيّة القنية عن كونه مال التجارة</w:t>
      </w:r>
      <w:r>
        <w:rPr>
          <w:rFonts w:eastAsia="Amiri" w:cs="Amiri" w:ascii="Amiri" w:hAnsi="Amiri"/>
          <w:color w:val="111111"/>
          <w:sz w:val="28"/>
          <w:szCs w:val="28"/>
          <w:rtl w:val="true"/>
          <w:lang w:bidi="ar-SA"/>
        </w:rPr>
        <w:t>»</w:t>
      </w:r>
      <w:r>
        <w:rPr>
          <w:rStyle w:val="FootnoteAnchor"/>
          <w:rtl w:val="true"/>
        </w:rPr>
        <w:footnoteReference w:id="2465"/>
      </w:r>
      <w:r>
        <w:rPr>
          <w:rFonts w:ascii="Amiri" w:hAnsi="Amiri" w:eastAsia="Amiri" w:cs="Amiri"/>
          <w:color w:val="111111"/>
          <w:sz w:val="28"/>
          <w:sz w:val="28"/>
          <w:szCs w:val="28"/>
          <w:rtl w:val="true"/>
          <w:lang w:bidi="ar-SA"/>
        </w:rPr>
        <w:t>و لكن تفريع ذلك على التعريف غير جيّد كما تنبّه عليه في المدارك</w:t>
      </w:r>
      <w:r>
        <w:rPr>
          <w:rStyle w:val="FootnoteAnchor"/>
          <w:rtl w:val="true"/>
        </w:rPr>
        <w:footnoteReference w:id="2466"/>
      </w:r>
      <w:r>
        <w:rPr>
          <w:rFonts w:ascii="Amiri" w:hAnsi="Amiri" w:eastAsia="Amiri" w:cs="Amiri"/>
          <w:color w:val="111111"/>
          <w:sz w:val="28"/>
          <w:sz w:val="28"/>
          <w:szCs w:val="28"/>
          <w:rtl w:val="true"/>
          <w:lang w:bidi="ar-SA"/>
        </w:rPr>
        <w:t>إذ لم يؤخذ فيه قيد يقتضي تفرّعه عليه، و ليس في عبارة القيد الأخير ظهور يفيده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شروطا اخر يأتي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كون ما يستفاد من قيود التعريف و الشرط الأخير الّذي لا يستفاد منها شروطا للموضوع، و ما ذكروه بعنوان الشروط شروطا للحكم، و لعلّ ضابط الفرق بينهما الخصوص و العموم، فشروط الموضوع هي الشروط الخاصّة بمال التجارة، و شروط الحكم عامّة له و لغيره من الأجناس الزكويّة ممّا يجب فيه الزكاة أو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هذا إن تمّ بالنسبة إلى النصاب و الحول، لا يتمّ بالقياس إلى الطلب برأس المال أو زيادة لاختصاصه بمال التجارة، و لو فرّق بأنّ شروط الموضوع ما ترجع إليه من حيث صدق مال التجارة عليه و هذا لا مدخليّة له في هذا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 أنّه لا يلائم ما تقدّم عن المدارك و الذخيرة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التعريف لمال التجارة من حيث تتعلّق به الزكاة</w:t>
      </w:r>
      <w:r>
        <w:rPr>
          <w:rFonts w:eastAsia="Amiri" w:cs="Amiri" w:ascii="Amiri" w:hAnsi="Amiri"/>
          <w:color w:val="111111"/>
          <w:sz w:val="28"/>
          <w:szCs w:val="28"/>
          <w:rtl w:val="true"/>
          <w:lang w:bidi="ar-SA"/>
        </w:rPr>
        <w:t>»</w:t>
      </w:r>
      <w:r>
        <w:rPr>
          <w:rStyle w:val="FootnoteAnchor"/>
          <w:rtl w:val="true"/>
        </w:rPr>
        <w:footnoteReference w:id="2467"/>
      </w:r>
      <w:r>
        <w:rPr>
          <w:rFonts w:ascii="Amiri" w:hAnsi="Amiri" w:eastAsia="Amiri" w:cs="Amiri"/>
          <w:color w:val="111111"/>
          <w:sz w:val="28"/>
          <w:sz w:val="28"/>
          <w:szCs w:val="28"/>
          <w:rtl w:val="true"/>
          <w:lang w:bidi="ar-SA"/>
        </w:rPr>
        <w:t>فإنّ قضيّة ذلك صدق مال التجارة بحسب مفهومه العرفي بدون القيود المذكورة 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حينئذ إدراج الشرط المذكور فيما يرجع إلى مال التجارة من حيث تتعلّق به الزكاة و بالجملة عباراتهم في هذا المقام مختلّ النظام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فمقتضى الأصل فقاهة و اجتهادا أن لا يكون في مال التجارة مطلقا </w:t>
      </w:r>
    </w:p>
    <w:p>
      <w:pPr>
        <w:pStyle w:val="BookText"/>
        <w:rPr/>
      </w:pPr>
      <w:r>
        <w:rPr>
          <w:rFonts w:ascii="Amiri" w:hAnsi="Amiri" w:eastAsia="Amiri" w:cs="Amiri"/>
          <w:color w:val="111111"/>
          <w:sz w:val="28"/>
          <w:sz w:val="28"/>
          <w:szCs w:val="28"/>
          <w:rtl w:val="true"/>
          <w:lang w:bidi="ar-SA"/>
        </w:rPr>
        <w:t>زكاة إيجابا و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عدم تعرّض الشارع لجعل زكاة مطلقا، أو أنّ الأصل عدم تعرّضه لجعل حكم إيجابي و استحبابي لزكاة مال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فالحصر المستفاد من الأخبار الحاصرة للزكاة في الأجناس الثمانية المتقدّمة الّتي ليس منها مال التجارة في أكثر أنواعه، فلا بدّ في إثباتها فيه و لو استحبابا من دليل مخرج من الأصل، و حيث إنّ العمدة من دليله الأخبار فوجب في الخروج من الأصل، الاقتصار على القدر المتيقّن من مدلولها، و هو ثبوت الزكاة فيما ملك بعقد معاوضة ماليّة محضة بقصد التكسّب مع مقارنة ذلك القصد للتملّك و استمراره طول الحول، و لا يتعدّى إلى غيره ممّا ملك بغير عقد فضلا عمّا ملك بعقد غير معاوضة أو بعقد معاوضة ماليّة غير محضة أو ما لم يقارن قصد التكسّب تملّكه أو لم يستمرّ طول الحول إلاّ بدليل عامّ يقتضي ثبوتها في غير ما ذكر من القدر المتيقّن من الأنواع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أوّلا من ذكر الأخبار الواردة في هذا الباب ثمّ النظر في مفادها استعلاما لوجود نحو العموم المذكور فيها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 عند الأكثر بالحسن بإبراهيم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اشترى متاعا و كسد عليه و قد زكّى ماله قبل أن يشتري المتاع، متى يزكّيه‌؟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أمسك متاعه يبتغي به رأس ماله فليس عليه زكاة، و إن كان حبسه بعد ما يجد رأس ماله فعليه الزكاة بعد ما أمسكه بعد رأس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عن الرجل يوضع عنده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الاموال،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فليزكّها</w:t>
      </w:r>
      <w:r>
        <w:rPr>
          <w:rFonts w:eastAsia="Amiri" w:cs="Amiri" w:ascii="Amiri" w:hAnsi="Amiri"/>
          <w:color w:val="111111"/>
          <w:sz w:val="28"/>
          <w:szCs w:val="28"/>
          <w:rtl w:val="true"/>
          <w:lang w:bidi="ar-SA"/>
        </w:rPr>
        <w:t>»</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إسماعيل بن عبد 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سعيد الأعرج و أنا حاضر أسمع فقال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نكبس الزيت و السمن نطلب بها التجارة فربما مكثت عندنا السنة و السنتين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تربح به شيئا أو تجد رأس مالك فعليك فيه زكاة، و إن كنت إنّما تربّص به لأنّك لا تجد إلاّ وضيعته فليس عليك زكاة حتّى يصير ذهبا أو </w:t>
      </w:r>
    </w:p>
    <w:p>
      <w:pPr>
        <w:pStyle w:val="BookText"/>
        <w:rPr/>
      </w:pPr>
      <w:r>
        <w:rPr>
          <w:rFonts w:ascii="Amiri" w:hAnsi="Amiri" w:eastAsia="Amiri" w:cs="Amiri"/>
          <w:color w:val="111111"/>
          <w:sz w:val="28"/>
          <w:sz w:val="28"/>
          <w:szCs w:val="28"/>
          <w:rtl w:val="true"/>
          <w:lang w:bidi="ar-SA"/>
        </w:rPr>
        <w:t xml:space="preserve">فضّة، فإذا صار ذهبا أو فضّة فزكّه للسنة الّتي تتّجر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اتّجرت فيها،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أبي الربيع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بصفوان بن يحيى و هو ممّن أجمعت العصابة على تصحيح ما يصحّ عنه مع صحّة السند إليه و هو يروي عن منصور بن حازم الثقة عن أبي الربيع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في رجل اشترى متاعا فكسد عليه متاعه و قد كان زكّى ماله قبل أن يشتري به هل عليه زكاة، أو حتّى يبيعه‌؟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أمسكه ليلتمس الفضل على رأس المال فعليه الزكاة</w:t>
      </w:r>
      <w:r>
        <w:rPr>
          <w:rFonts w:eastAsia="Amiri" w:cs="Amiri" w:ascii="Amiri" w:hAnsi="Amiri"/>
          <w:color w:val="111111"/>
          <w:sz w:val="28"/>
          <w:szCs w:val="28"/>
          <w:rtl w:val="true"/>
          <w:lang w:bidi="ar-SA"/>
        </w:rPr>
        <w:t>»</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صفوان بن يحيى عن محمّد بن حكيم عن خالد بن الحجّاج الكرخي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تجارة في يدك فيها فضل ليس يمنعك من بيعها إلاّ لتزداد فضلا على فضلك فزكّه، و ما كانت من تجارة في يدك فيها نقصان فذلك شيء آخر</w:t>
      </w:r>
      <w:r>
        <w:rPr>
          <w:rFonts w:eastAsia="Amiri" w:cs="Amiri" w:ascii="Amiri" w:hAnsi="Amiri"/>
          <w:color w:val="111111"/>
          <w:sz w:val="28"/>
          <w:szCs w:val="28"/>
          <w:rtl w:val="true"/>
          <w:lang w:bidi="ar-SA"/>
        </w:rPr>
        <w:t>»</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عنده المتاع موضوعا فيمكث عنده السنة و السنتين و أكثر من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زكاة حتّى يبيعه إلاّ أن يكون أعطى به رأس ماله فيمنعه من ذلك التماس الفضل فإذا هو فعل ذلك وجبت فيه الزكاة، و إن لم يكن أعطى به رأس ماله فليس عليه زكاة حتّى يبيعه و إنّ 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حبسه فإذا هو باعه فإنّما عليه زكاة سنة واحدة</w:t>
      </w:r>
      <w:r>
        <w:rPr>
          <w:rFonts w:eastAsia="Amiri" w:cs="Amiri" w:ascii="Amiri" w:hAnsi="Amiri"/>
          <w:color w:val="111111"/>
          <w:sz w:val="28"/>
          <w:szCs w:val="28"/>
          <w:rtl w:val="true"/>
          <w:lang w:bidi="ar-SA"/>
        </w:rPr>
        <w:t>»</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بصير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تأخذنّ مالا مضاربة إلاّ مالا تزكّيه أو يزكّيه صاحبه،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 متاع في البيت موضوع فأعطيت به رأس مالك فرغبت عنه فعليك زكاته</w:t>
      </w:r>
      <w:r>
        <w:rPr>
          <w:rFonts w:eastAsia="Amiri" w:cs="Amiri" w:ascii="Amiri" w:hAnsi="Amiri"/>
          <w:color w:val="111111"/>
          <w:sz w:val="28"/>
          <w:szCs w:val="28"/>
          <w:rtl w:val="true"/>
          <w:lang w:bidi="ar-SA"/>
        </w:rPr>
        <w:t>»</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العلاء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المتاع لا اصيب به رأس المال عليّ </w:t>
      </w:r>
    </w:p>
    <w:p>
      <w:pPr>
        <w:pStyle w:val="BookText"/>
        <w:rPr/>
      </w:pPr>
      <w:r>
        <w:rPr>
          <w:rFonts w:ascii="Amiri" w:hAnsi="Amiri" w:eastAsia="Amiri" w:cs="Amiri"/>
          <w:color w:val="111111"/>
          <w:sz w:val="28"/>
          <w:sz w:val="28"/>
          <w:szCs w:val="28"/>
          <w:rtl w:val="true"/>
          <w:lang w:bidi="ar-SA"/>
        </w:rPr>
        <w:t>فيه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 سنتين ثمّ أبيعه ما ذا عليّ؟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خبره الآخر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الزكاة في الذهب إذا قرّ في يدك،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يكون عندي لا اصيب به رأس مالي عليّ فيه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أحمد بن محمّد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الرجل يكون في يده المتاع قد باد عليه و ليس يعطى به الأقلّ من رأس ماله، عليه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مكث عنده عشر سنين ثمّ باعه كم يزكّي سنة‌؟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محمّد بن مسلم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عملت به فعليك فيه الزكاة إذا حال عليه الحول</w:t>
      </w:r>
      <w:r>
        <w:rPr>
          <w:rFonts w:eastAsia="Amiri" w:cs="Amiri" w:ascii="Amiri" w:hAnsi="Amiri"/>
          <w:color w:val="111111"/>
          <w:sz w:val="28"/>
          <w:szCs w:val="28"/>
          <w:rtl w:val="true"/>
          <w:lang w:bidi="ar-SA"/>
        </w:rPr>
        <w:t>»</w:t>
      </w:r>
      <w:r>
        <w:rPr>
          <w:rStyle w:val="FootnoteAnchor"/>
          <w:rtl w:val="true"/>
        </w:rPr>
        <w:footnoteReference w:id="2477"/>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ذلك أنّه كلّ مال عمل للتجارة من حيوان و غيره فعليه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الأخبار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بعضها لاشتمالها سؤالا أو جوابا على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مورد الحكم المستفاد منها من المال أو المتاع ما كان حاصلا بعقد معاوضة ماليّة محضة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اشتمل منها على الاشتراء و الكبس فإنّ الأوّل صريح في ذلك و الثاني ظاهر فيه، و كذلك ما اشتمل منها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أنّها اطلقت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للمسبّب باسم السبب، إذ المال الموجود في اليد يحصل بسبب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ذلك زيادة اتّضاح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يمنعك من بيعها إلاّ لتزداد فضلا على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الفضل و النقصان في المال إنّما يلاحظان بالإضافة إلى رأس المال، كما أنّ ما اشتمل منها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فكسد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قصد الاكتساب باشترائه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أصرح منه في الدلالة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نطلب بها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زيادة على ذلك يدلّ على مقارنة ذلك القصد للتملّك،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فربّما مكثت عندنا السنة و السنتين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فيمكث عنده السنة و السنتين 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أمسكه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استمرار القصد المذكور طول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استظهار ذلك من سائر الأخبار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 الحكم المخالف للأصل المستفاد منها ما اشتمل على القيود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فيه كونها أو كون أكثرها أو بعضها مستفادة من كلام السائل و لا يثبت به الاعتبار، لأنّ الجواب ورد على طبق السؤال و ليس فيه عموم يشمل ما زاد على مورد السؤال، فيكون الحكم المستفاد منه مقصورا على هذا المورد و لا يتعدّاه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لمانع الاختصاص أن يتمسّك للتعميم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مال التجارة يصدق على المال المعدّ للتجارة، و هذا يتحقّق بمجرّد نيّة التجارة بالمال و لو كان ملكه حاصلا بالإرث أو الهبة أو نحو ذلك، أو لم يقارن هذه النيّة لتملّكه، كما عن المحقّق في المعتبر</w:t>
      </w:r>
      <w:r>
        <w:rPr>
          <w:rStyle w:val="FootnoteAnchor"/>
          <w:rtl w:val="true"/>
        </w:rPr>
        <w:footnoteReference w:id="2478"/>
      </w:r>
      <w:r>
        <w:rPr>
          <w:rFonts w:ascii="Amiri" w:hAnsi="Amiri" w:eastAsia="Amiri" w:cs="Amiri"/>
          <w:color w:val="111111"/>
          <w:sz w:val="28"/>
          <w:sz w:val="28"/>
          <w:szCs w:val="28"/>
          <w:rtl w:val="true"/>
          <w:lang w:bidi="ar-SA"/>
        </w:rPr>
        <w:t>و تبعه بعض مشايخنا</w:t>
      </w:r>
      <w:r>
        <w:rPr>
          <w:rStyle w:val="FootnoteAnchor"/>
          <w:rtl w:val="true"/>
        </w:rPr>
        <w:footnoteReference w:id="2479"/>
      </w:r>
      <w:r>
        <w:rPr>
          <w:rFonts w:ascii="Amiri" w:hAnsi="Amiri" w:eastAsia="Amiri" w:cs="Amiri"/>
          <w:color w:val="111111"/>
          <w:sz w:val="28"/>
          <w:sz w:val="28"/>
          <w:szCs w:val="28"/>
          <w:rtl w:val="true"/>
          <w:lang w:bidi="ar-SA"/>
        </w:rPr>
        <w:t>و يظهر الميل إليه من المدارك</w:t>
      </w:r>
      <w:r>
        <w:rPr>
          <w:rStyle w:val="FootnoteAnchor"/>
          <w:rtl w:val="true"/>
        </w:rPr>
        <w:footnoteReference w:id="2480"/>
      </w:r>
      <w:r>
        <w:rPr>
          <w:rFonts w:ascii="Amiri" w:hAnsi="Amiri" w:eastAsia="Amiri" w:cs="Amiri"/>
          <w:color w:val="111111"/>
          <w:sz w:val="28"/>
          <w:sz w:val="28"/>
          <w:szCs w:val="28"/>
          <w:rtl w:val="true"/>
          <w:lang w:bidi="ar-SA"/>
        </w:rPr>
        <w:t>و الذخيرة</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مال التجارة بهذه الإضافة لم يؤخذ عنوانا للحكم في شيء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صدقه عرفا على ما ذكر، و منع كفاية مجرّد إعداده لذلك المتحقّق بمجرّد النيّة في الصدق نظرا إلى الإضافة الّتي ليست إلاّ كالإضافة في مال المصالحة و مال الإجارة فكما أنّها فيهما تفيد كون المال حاصلا بعقد المصالحة و عقد الإجارة فكذلك في مال التجارة تفيد كونه حاصلا بالتجارة المتحقّقة ببيع أو اشتراء أو صلح</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 أن يتمسّك أيضا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عملت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 الأخير، لأنّ العمل بالمال لا يصدق بمجرّد إعداده للتجارة بل إنّما يصدق باشتراء و بيعه المقصود بهما التجارة، و لذا فسّره يونس بأنّه كلّ مال عمل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بخبر سماعة و ما بعده إلى آخر الأخبار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اعتبار مقارنة القصد للتملّك، لأنّها لو لم تكن </w:t>
      </w:r>
    </w:p>
    <w:p>
      <w:pPr>
        <w:pStyle w:val="BookText"/>
        <w:rPr/>
      </w:pPr>
      <w:r>
        <w:rPr>
          <w:rFonts w:ascii="Amiri" w:hAnsi="Amiri" w:eastAsia="Amiri" w:cs="Amiri"/>
          <w:color w:val="111111"/>
          <w:sz w:val="28"/>
          <w:sz w:val="28"/>
          <w:szCs w:val="28"/>
          <w:rtl w:val="true"/>
          <w:lang w:bidi="ar-SA"/>
        </w:rPr>
        <w:t xml:space="preserve">ظاهرة بحسب متفاهم العرف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بظاهرة في عدمها، إلاّ من جهة الإطلاق الّذي عساه يتوهّم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الإطلاق مورد حكم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الزكاة مع وجود رأس المال و نفيها مع عدم وجوده، من دون نظر مع الوجود إلى تعميم بالقياس إلى مقارنة القصد و لا إلى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الاستدلال على العموم بخبر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يعدّ موثّقا</w:t>
      </w:r>
      <w:r>
        <w:rPr>
          <w:rStyle w:val="FootnoteAnchor"/>
          <w:rtl w:val="true"/>
        </w:rPr>
        <w:footnoteReference w:id="2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الرقيق زكاة إلاّ رقيق يبتغى به التجارة، فإنّه من المال الّذي يزكّي</w:t>
      </w:r>
      <w:r>
        <w:rPr>
          <w:rFonts w:eastAsia="Amiri" w:cs="Amiri" w:ascii="Amiri" w:hAnsi="Amiri"/>
          <w:color w:val="111111"/>
          <w:sz w:val="28"/>
          <w:szCs w:val="28"/>
          <w:rtl w:val="true"/>
          <w:lang w:bidi="ar-SA"/>
        </w:rPr>
        <w:t>»</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نقله شيخنا قدّس سرّه في الجواهر</w:t>
      </w:r>
      <w:r>
        <w:rPr>
          <w:rStyle w:val="FootnoteAnchor"/>
          <w:rtl w:val="true"/>
        </w:rPr>
        <w:footnoteReference w:id="2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جرّ عليك المال فزكّه و كلّ شيء ورثته أو وهبته لك فاستقيل</w:t>
      </w:r>
      <w:r>
        <w:rPr>
          <w:rFonts w:eastAsia="Amiri" w:cs="Amiri" w:ascii="Amiri" w:hAnsi="Amiri"/>
          <w:color w:val="111111"/>
          <w:sz w:val="28"/>
          <w:szCs w:val="28"/>
          <w:rtl w:val="true"/>
          <w:lang w:bidi="ar-SA"/>
        </w:rPr>
        <w:t>»</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فإنّهما يعمّان الموروث و الموهوب و المشترى و غيرها و ما قصد بتملّكه التجارة من حين التملّك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توهّم العموم منهما بالنسبة إلى الموروث و الموهوب و غيرهما ممّا ملك بغير عقد المعاوضة الماليّة المحضة، يندفع بأنّه عموم بدوي يرتفع بالتأمّل بالقرينة الموجودة فيهما المفيدة لكون موردهما ما حصل بعقد المعاوضة لا غير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في الخبر الأوّل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رقيق يبتغى به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التجارة عبارة عن طلب الزيادة الّتي يعبّر عنها بالربح، و لا ريب أنّ الزيادة بمعنى الربح إنّما يلاحظ بالقياس إلى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الخبر الثاني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 عليك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الشيء إنّما يجرّ المال على صاحبه بنحو البيع و الصلح، و المنساق من المال يجرّه بهما إنّما هو الزيادة الّتي تنصرف في متفاهم العرف إلى ما هو بالاضافة إلى رأس المال لوضوح أنّ ما يباع بثمن المثل أو أقلّ منه لا يقال أنّه جرّ مالا، و حمله على الزيادة </w:t>
      </w:r>
      <w:bookmarkStart w:id="544" w:name="pg16181_154786"/>
    </w:p>
    <w:p>
      <w:pPr>
        <w:pStyle w:val="BookText"/>
        <w:rPr/>
      </w:pPr>
      <w:bookmarkEnd w:id="544"/>
      <w:r>
        <w:rPr>
          <w:rFonts w:ascii="Amiri" w:hAnsi="Amiri" w:eastAsia="Amiri" w:cs="Amiri"/>
          <w:color w:val="111111"/>
          <w:sz w:val="28"/>
          <w:sz w:val="28"/>
          <w:szCs w:val="28"/>
          <w:rtl w:val="true"/>
          <w:lang w:bidi="ar-SA"/>
        </w:rPr>
        <w:t>الملحوظة بالنسبة إلى ثمن المثل خلاف ما ينساق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احتمال كون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مرادا به رأس المال أو مع زيادة أو احتمال كون المراد من سوق الرواية إثبات الزكاة فيما أعطى برأس ماله أو مع زيادة فتكون على طبق ما تقدّم من الأخبار الدالّة على إناطة الزكاة بطلب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فيهما عدم الدلالة على اعتبار مقارنة قصد الاكتساب،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الدلالة على 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الدلالة من جهة توهّم الإطلاق فهي موهونة بشهرة خلافها، و إعراض الأكثر عنها، و الاتّفاق المنقول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ذهب علماؤنا و أكثر العامّة إلى اعتبار ذلك أيضا</w:t>
      </w:r>
      <w:r>
        <w:rPr>
          <w:rFonts w:eastAsia="Amiri" w:cs="Amiri" w:ascii="Amiri" w:hAnsi="Amiri"/>
          <w:color w:val="111111"/>
          <w:sz w:val="28"/>
          <w:szCs w:val="28"/>
          <w:rtl w:val="true"/>
          <w:lang w:bidi="ar-SA"/>
        </w:rPr>
        <w:t>»</w:t>
      </w:r>
      <w:r>
        <w:rPr>
          <w:rStyle w:val="FootnoteAnchor"/>
          <w:rtl w:val="true"/>
        </w:rPr>
        <w:footnoteReference w:id="2486"/>
      </w:r>
      <w:r>
        <w:rPr>
          <w:rFonts w:ascii="Amiri" w:hAnsi="Amiri" w:eastAsia="Amiri" w:cs="Amiri"/>
          <w:color w:val="111111"/>
          <w:sz w:val="28"/>
          <w:sz w:val="28"/>
          <w:szCs w:val="28"/>
          <w:rtl w:val="true"/>
          <w:lang w:bidi="ar-SA"/>
        </w:rPr>
        <w:t>و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يعتبر مقارنة هذه النيّة للتملّك كما هو المستفاد من كلام المصنّف‌؟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هو المشهور بين الأصحاب قال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وجوب الزكاة نيّة الاكتساب بها عند تملّكها، و هو اتّفاق العلماء</w:t>
      </w:r>
      <w:r>
        <w:rPr>
          <w:rFonts w:eastAsia="Amiri" w:cs="Amiri" w:ascii="Amiri" w:hAnsi="Amiri"/>
          <w:color w:val="111111"/>
          <w:sz w:val="28"/>
          <w:szCs w:val="28"/>
          <w:rtl w:val="true"/>
          <w:lang w:bidi="ar-SA"/>
        </w:rPr>
        <w:t>»</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5" w:name="__RefHeading___Toc2586809_1280447820"/>
      <w:bookmarkStart w:id="546" w:name="_Toc203"/>
      <w:bookmarkEnd w:id="545"/>
      <w:r>
        <w:rPr>
          <w:rtl w:val="true"/>
        </w:rPr>
        <w:t>[</w:t>
      </w:r>
      <w:r>
        <w:rPr>
          <w:rtl w:val="true"/>
        </w:rPr>
        <w:t>حكم الزكاة فى مال التجارة</w:t>
      </w:r>
      <w:r>
        <w:rPr>
          <w:rtl w:val="true"/>
        </w:rPr>
        <w:t>]</w:t>
      </w:r>
      <w:bookmarkEnd w:id="546"/>
    </w:p>
    <w:p>
      <w:pPr>
        <w:pStyle w:val="BookText"/>
        <w:rPr/>
      </w:pPr>
      <w:r>
        <w:rPr>
          <w:rFonts w:ascii="Amiri" w:hAnsi="Amiri" w:eastAsia="Amiri" w:cs="Amiri"/>
          <w:color w:val="111111"/>
          <w:sz w:val="28"/>
          <w:sz w:val="28"/>
          <w:szCs w:val="28"/>
          <w:rtl w:val="true"/>
          <w:lang w:bidi="ar-SA"/>
        </w:rPr>
        <w:t>و أمّا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كما في الحدائق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w:t>
      </w:r>
      <w:r>
        <w:rPr>
          <w:rStyle w:val="FootnoteAnchor"/>
          <w:rtl w:val="true"/>
        </w:rPr>
        <w:footnoteReference w:id="2488"/>
      </w:r>
      <w:r>
        <w:rPr>
          <w:rFonts w:ascii="Amiri" w:hAnsi="Amiri" w:eastAsia="Amiri" w:cs="Amiri"/>
          <w:color w:val="111111"/>
          <w:sz w:val="28"/>
          <w:sz w:val="28"/>
          <w:szCs w:val="28"/>
          <w:rtl w:val="true"/>
          <w:lang w:bidi="ar-SA"/>
        </w:rPr>
        <w:t>و نسبه في المنتهى إلى الأكثر</w:t>
      </w:r>
      <w:r>
        <w:rPr>
          <w:rStyle w:val="FootnoteAnchor"/>
          <w:rtl w:val="true"/>
        </w:rPr>
        <w:footnoteReference w:id="2489"/>
      </w:r>
      <w:r>
        <w:rPr>
          <w:rFonts w:ascii="Amiri" w:hAnsi="Amiri" w:eastAsia="Amiri" w:cs="Amiri"/>
          <w:color w:val="111111"/>
          <w:sz w:val="28"/>
          <w:sz w:val="28"/>
          <w:szCs w:val="28"/>
          <w:rtl w:val="true"/>
          <w:lang w:bidi="ar-SA"/>
        </w:rPr>
        <w:t>و في الذخيرة إلى أكثر المتقدّمين و جمهور المتأخّرين</w:t>
      </w:r>
      <w:r>
        <w:rPr>
          <w:rStyle w:val="FootnoteAnchor"/>
          <w:rtl w:val="true"/>
        </w:rPr>
        <w:footnoteReference w:id="2490"/>
      </w:r>
      <w:r>
        <w:rPr>
          <w:rFonts w:ascii="IRNazanin" w:hAnsi="IRNazanin" w:eastAsia="IRNazanin"/>
          <w:color w:val="111111"/>
          <w:sz w:val="28"/>
          <w:sz w:val="28"/>
          <w:szCs w:val="28"/>
          <w:rtl w:val="true"/>
          <w:lang w:bidi="fa-IR"/>
        </w:rPr>
        <w:t>و عن المحقّق أنّه نقل عن بعض علمائنا قولا بالوجوب</w:t>
      </w:r>
      <w:r>
        <w:rPr>
          <w:rStyle w:val="FootnoteAnchor"/>
          <w:rtl w:val="true"/>
        </w:rPr>
        <w:footnoteReference w:id="2491"/>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كلام ابن بابويه</w:t>
      </w:r>
      <w:r>
        <w:rPr>
          <w:rStyle w:val="FootnoteAnchor"/>
          <w:rtl w:val="true"/>
        </w:rPr>
        <w:footnoteReference w:id="2492"/>
      </w:r>
      <w:r>
        <w:rPr>
          <w:rFonts w:ascii="Amiri" w:hAnsi="Amiri" w:eastAsia="Amiri" w:cs="Amiri"/>
          <w:color w:val="111111"/>
          <w:sz w:val="28"/>
          <w:sz w:val="28"/>
          <w:szCs w:val="28"/>
          <w:rtl w:val="true"/>
          <w:lang w:bidi="ar-SA"/>
        </w:rPr>
        <w:t>و عن المختلف أنّه نقله عن ابن بابويه</w:t>
      </w:r>
      <w:r>
        <w:rPr>
          <w:rStyle w:val="FootnoteAnchor"/>
          <w:rtl w:val="true"/>
        </w:rPr>
        <w:footnoteReference w:id="2493"/>
      </w:r>
      <w:r>
        <w:rPr>
          <w:rFonts w:ascii="Amiri" w:hAnsi="Amiri" w:eastAsia="Amiri" w:cs="Amiri"/>
          <w:color w:val="111111"/>
          <w:sz w:val="28"/>
          <w:sz w:val="28"/>
          <w:szCs w:val="28"/>
          <w:rtl w:val="true"/>
          <w:lang w:bidi="ar-SA"/>
        </w:rPr>
        <w:t>و حكي عن ابن أبي عقيل أنّه نسبه إلى طائفة من الشيعة</w:t>
      </w:r>
      <w:r>
        <w:rPr>
          <w:rStyle w:val="FootnoteAnchor"/>
          <w:rtl w:val="true"/>
        </w:rPr>
        <w:footnoteReference w:id="2494"/>
      </w:r>
      <w:r>
        <w:rPr>
          <w:rFonts w:ascii="Amiri" w:hAnsi="Amiri" w:eastAsia="Amiri" w:cs="Amiri"/>
          <w:color w:val="111111"/>
          <w:sz w:val="28"/>
          <w:sz w:val="28"/>
          <w:szCs w:val="28"/>
          <w:rtl w:val="true"/>
          <w:lang w:bidi="ar-SA"/>
        </w:rPr>
        <w:t>و يساعد عليه ظواهر الأخبار المتقدّمة</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هناك روايات اخر صريحة في نفي الوجوب، مضافا إلى النصوص الحاصرة لما يجب فيه الزكاة في الأجناس التسع المتقدّمة</w:t>
      </w:r>
      <w:r>
        <w:rPr>
          <w:rFonts w:eastAsia="Amiri" w:cs="Amiri" w:ascii="Amiri" w:hAnsi="Amiri"/>
          <w:color w:val="111111"/>
          <w:sz w:val="28"/>
          <w:szCs w:val="28"/>
          <w:rtl w:val="true"/>
          <w:lang w:bidi="ar-SA"/>
        </w:rPr>
        <w:t>.</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ففي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قاعدا عند أبي جعفر عليه السّلام و ليس عنده غير ابنه جعفر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 أبا ذرّ و عثمان تنازعا على عهد رسول اللّه صلّى اللّه عليه و آله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من ذهب أو فضّة يدار و يعمل به و يتّجر به ففيه الزكاة إذا حال عليه الحول،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اتّجر به أو دير و عمل به فليس فيه زكاة، إنّما الزكاة فيه إذا كان ركازا أو كنزا موضوعا فإذا حال عليه الحول ففيه الزكاة فاختصما في ذلك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به أبو ذر، فقال أبو عبد اللّه عليه السّلام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إلاّ أن يخرج مثل هذا فيكفّ الناس أن يعطوا فقراءهم و مساكينهم‌؟ فقال أبوه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لا أجد منها بدّا</w:t>
      </w:r>
      <w:r>
        <w:rPr>
          <w:rFonts w:eastAsia="Amiri" w:cs="Amiri" w:ascii="Amiri" w:hAnsi="Amiri"/>
          <w:color w:val="111111"/>
          <w:sz w:val="28"/>
          <w:szCs w:val="28"/>
          <w:rtl w:val="true"/>
          <w:lang w:bidi="ar-SA"/>
        </w:rPr>
        <w:t>»</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كان له مال كثير فاشترى به متاعا ثمّ وضعه،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متاع موضوع فإذا أحببت بعته فيرجع إليّ 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منه، هل عليه فيه صدقة و هو متاع‌؟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حتّى يبيعه،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يؤدّي عنه إن باعه لما مضى إذا كان متاعا؟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الوصيفة</w:t>
      </w:r>
      <w:r>
        <w:rPr>
          <w:rStyle w:val="FootnoteAnchor"/>
          <w:rtl w:val="true"/>
        </w:rPr>
        <w:footnoteReference w:id="2499"/>
      </w:r>
      <w:r>
        <w:rPr>
          <w:rFonts w:ascii="Amiri" w:hAnsi="Amiri" w:eastAsia="Amiri" w:cs="Amiri"/>
          <w:color w:val="111111"/>
          <w:sz w:val="28"/>
          <w:sz w:val="28"/>
          <w:szCs w:val="28"/>
          <w:rtl w:val="true"/>
          <w:lang w:bidi="ar-SA"/>
        </w:rPr>
        <w:t>يثبتها عنده لتزيد و هو يريد بيعها، أعلى ثمنها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يبيعها،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باعها أ يزكّي ثمنها؟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و هو في يده</w:t>
      </w:r>
      <w:r>
        <w:rPr>
          <w:rFonts w:eastAsia="Amiri" w:cs="Amiri" w:ascii="Amiri" w:hAnsi="Amiri"/>
          <w:color w:val="111111"/>
          <w:sz w:val="28"/>
          <w:szCs w:val="28"/>
          <w:rtl w:val="true"/>
          <w:lang w:bidi="ar-SA"/>
        </w:rPr>
        <w:t>»</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عبد اللّه بن بكير و عبيد و جماعة من أصحابنا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المال المضطرب زكاة، فقال له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جعلت فداك أهلكت فقراء </w:t>
      </w:r>
    </w:p>
    <w:p>
      <w:pPr>
        <w:pStyle w:val="BookText"/>
        <w:rPr/>
      </w:pPr>
      <w:r>
        <w:rPr>
          <w:rFonts w:ascii="Amiri" w:hAnsi="Amiri" w:eastAsia="Amiri" w:cs="Amiri"/>
          <w:color w:val="111111"/>
          <w:sz w:val="28"/>
          <w:sz w:val="28"/>
          <w:szCs w:val="28"/>
          <w:rtl w:val="true"/>
          <w:lang w:bidi="ar-SA"/>
        </w:rPr>
        <w:t>أصحابك،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حقّ أراد اللّه أن يخرجه فخرج</w:t>
      </w:r>
      <w:r>
        <w:rPr>
          <w:rFonts w:eastAsia="Amiri" w:cs="Amiri" w:ascii="Amiri" w:hAnsi="Amiri"/>
          <w:color w:val="111111"/>
          <w:sz w:val="28"/>
          <w:szCs w:val="28"/>
          <w:rtl w:val="true"/>
          <w:lang w:bidi="ar-SA"/>
        </w:rPr>
        <w:t>»</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الحدائق بعد نقل هذه الروايات عقيب الأخبار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خبير بأنّ ظاهر الأخبار المتقدّمة كما عرفت هو الوجوب و صريح هذه الأخبار نفي الوجوب، و الشيخ قد جمع بين الأخبار بحمل الأخبار المتقدّمة على الاستحباب</w:t>
      </w:r>
      <w:r>
        <w:rPr>
          <w:rStyle w:val="FootnoteAnchor"/>
          <w:rtl w:val="true"/>
        </w:rPr>
        <w:footnoteReference w:id="2502"/>
      </w:r>
      <w:r>
        <w:rPr>
          <w:rFonts w:ascii="Amiri" w:hAnsi="Amiri" w:eastAsia="Amiri" w:cs="Amiri"/>
          <w:color w:val="111111"/>
          <w:sz w:val="28"/>
          <w:sz w:val="28"/>
          <w:szCs w:val="28"/>
          <w:rtl w:val="true"/>
          <w:lang w:bidi="ar-SA"/>
        </w:rPr>
        <w:t>و تبعه على ذلك الأصحاب كما هي عادتهم و قاعدتهم في جميع الأبواب، و عندي فيه توقّف لما عرفت في غير موضع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الأخبار من أحد الطرفين ما يدلّ على الاستحباب صريحا أو ظاهرا لزال الإشكال، و أمّا أنّ الاستحباب يثبت بمجرّد اختلاف الأخبار و جمعها فهو ممّا لا دليل عليه يوجب الركون إليه و كيف لا؟ و الاستحباب حكم شرعي يتوقّف على الدليل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اختلاف الأخبار ليس بدليل يوجب ذلك كما لا يخفى على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فإنّه لا يحصل الجمع بين الأخبار بما ذكروه، بل و لا يبعد حمل الروايات المتقدّمة على التقيّة حيث إنّ الوجوب مذهب أبي حنيفة</w:t>
      </w:r>
      <w:r>
        <w:rPr>
          <w:rStyle w:val="FootnoteAnchor"/>
          <w:rtl w:val="true"/>
        </w:rPr>
        <w:footnoteReference w:id="2503"/>
      </w:r>
      <w:r>
        <w:rPr>
          <w:rFonts w:ascii="Amiri" w:hAnsi="Amiri" w:eastAsia="Amiri" w:cs="Amiri"/>
          <w:color w:val="111111"/>
          <w:sz w:val="28"/>
          <w:sz w:val="28"/>
          <w:szCs w:val="28"/>
          <w:rtl w:val="true"/>
          <w:lang w:bidi="ar-SA"/>
        </w:rPr>
        <w:t>و الشافعي</w:t>
      </w:r>
      <w:r>
        <w:rPr>
          <w:rStyle w:val="FootnoteAnchor"/>
          <w:rtl w:val="true"/>
        </w:rPr>
        <w:footnoteReference w:id="2504"/>
      </w:r>
      <w:r>
        <w:rPr>
          <w:rFonts w:ascii="IRNazanin" w:hAnsi="IRNazanin" w:eastAsia="IRNazanin"/>
          <w:color w:val="111111"/>
          <w:sz w:val="28"/>
          <w:sz w:val="28"/>
          <w:szCs w:val="28"/>
          <w:rtl w:val="true"/>
          <w:lang w:bidi="fa-IR"/>
        </w:rPr>
        <w:t>و أحمد</w:t>
      </w:r>
      <w:r>
        <w:rPr>
          <w:rStyle w:val="FootnoteAnchor"/>
          <w:rtl w:val="true"/>
        </w:rPr>
        <w:footnoteReference w:id="2505"/>
      </w:r>
      <w:r>
        <w:rPr>
          <w:rFonts w:ascii="Amiri" w:hAnsi="Amiri" w:eastAsia="Amiri" w:cs="Amiri"/>
          <w:color w:val="111111"/>
          <w:sz w:val="28"/>
          <w:sz w:val="28"/>
          <w:szCs w:val="28"/>
          <w:rtl w:val="true"/>
          <w:lang w:bidi="ar-SA"/>
        </w:rPr>
        <w:t>على ما نقله في المعتبر</w:t>
      </w:r>
      <w:r>
        <w:rPr>
          <w:rStyle w:val="FootnoteAnchor"/>
          <w:rtl w:val="true"/>
        </w:rPr>
        <w:footnoteReference w:id="2506"/>
      </w:r>
      <w:r>
        <w:rPr>
          <w:rFonts w:ascii="Amiri" w:hAnsi="Amiri" w:eastAsia="Amiri" w:cs="Amiri"/>
          <w:color w:val="111111"/>
          <w:sz w:val="28"/>
          <w:sz w:val="28"/>
          <w:szCs w:val="28"/>
          <w:rtl w:val="true"/>
          <w:lang w:bidi="ar-SA"/>
        </w:rPr>
        <w:t>و في صحيحة زرارة و موثّقة ابن بكير و عبيد و جماعة من أصحابنا ما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التقريب فيما ذكرناه من الحمل على التقيّة هو أنّه لمّا كان ظاهر أوامرهم في تلك الأخبار الدالّة على ثبوت الزكاة في مال التجارة هو الوجوب المترتّب على تركه العقاب، راجع الصادق عليه السّلام أباه عليه السّلام و إسماعيل أباه عليه السّلام في نفي الزكاة عن مال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الناس إذا سمعوا بذلك لم يزكّوا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تلك الأخبار إنّما اريد بها الاستحباب كما يدّعيه الأصحاب لم يكن للمراجعة في هذين الخبرين معنى، إذ لا منافاة بين الاستحباب و عدم الوجوب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الصادق عليه السّلام 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تريد إلاّ أن يخرج من هذا فيكفّ الناس أن يعطوا </w:t>
      </w:r>
    </w:p>
    <w:p>
      <w:pPr>
        <w:pStyle w:val="BookText"/>
        <w:rPr/>
      </w:pPr>
      <w:r>
        <w:rPr>
          <w:rFonts w:ascii="Amiri" w:hAnsi="Amiri" w:eastAsia="Amiri" w:cs="Amiri"/>
          <w:color w:val="111111"/>
          <w:sz w:val="28"/>
          <w:sz w:val="28"/>
          <w:szCs w:val="28"/>
          <w:rtl w:val="true"/>
          <w:lang w:bidi="ar-SA"/>
        </w:rPr>
        <w:t>فقراءهم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أهلكت فقراء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الدلالة في كون الناس في تلك الأوقات يخرجون زكاة التجارة وجوبا و أنّهم متى سمعوا أنّها غير واجبة كفّوا عن الإعطاء و هلكت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 لا أجد منها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أراد اللّه أن يخرجه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الدلالة في أنّ الحكم الشرعي كان مخفيّا بالتقيّة تلك المدّة المديدة، و أنّ أخبارهم الّتي استفاضت بالوجوب إنّما كانت للتقيّة و على خلاف الحكم الشرعي الواقعي، و أنّهم عليهم السّلام أرادوا إظهاره في هذا الوقت لمصلحة اقتضته، و لو كان الحكم في المسألة على الاستحباب كما عليه الأصحاب لم يكن للمراجعة و لا لما وقع من الجواب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بخروج ما ذكره عن السداد و عدم انطباقه على قواعد الاجتهاد فإنّ من المحقّق أنّ التعارض بين النصّ و الظاهر صوريّ‌، و أنّ مرجّحات الدلالة مقدّمة على مرجّحات الصدور و مرجّحات جهة الصدور، و من مرجّحات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النصوصيّة، فيقدّم النصّ على الظاهر بإرجاع التأويل إلى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المتقدّمة ظاهرة في الوجوب مع احتمالها الاستحباب، و الأخبار النافية للوجوب صريحة في عدم الوجوب، و ينقلب بذلك ظهور الوجوب من الأخبار المتقدّمة إلى ظهور إرادة الاستحباب، و مرجعه إلى نهوض الأخبار النافية للوجوب قرينة على إرادة الاستحباب من الظاهرة في الوجوب، كما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المفترس، ينهض الثاني قرينة على إرادة الرجل الشجاع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فدليل الاستحباب هو نفس الأخبار النافية للوجوب لا مجرّد الاختلاف بينها و بين الأخبار الظاهرة فيه، بل نفس هذه الأخبار بعد نهوض الأخبار النافية له قرينة على إرادة خلاف الظاهر و هو الاستحباب، و حملها عليه لا ينافي ورودها مورد التقيّة لأنّ وظيفة التقيّة قد تتأدّى بإرادة خلاف الظاهر فيما له ظاهر مع إخفاء القرينة عليه و تأخير بيانه إلى وقت الحاجة و هو زمان ورود الأخبار النافية للوجوب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الأنسب بمقام العصمة في نظائر المقام هو مراعاة مصلحة التقيّة بإرادة خلاف </w:t>
      </w:r>
      <w:bookmarkStart w:id="547" w:name="pg16181_154790"/>
    </w:p>
    <w:p>
      <w:pPr>
        <w:pStyle w:val="BookText"/>
        <w:rPr/>
      </w:pPr>
      <w:bookmarkEnd w:id="547"/>
      <w:r>
        <w:rPr>
          <w:rFonts w:ascii="Amiri" w:hAnsi="Amiri" w:eastAsia="Amiri" w:cs="Amiri"/>
          <w:color w:val="111111"/>
          <w:sz w:val="28"/>
          <w:sz w:val="28"/>
          <w:szCs w:val="28"/>
          <w:rtl w:val="true"/>
          <w:lang w:bidi="ar-SA"/>
        </w:rPr>
        <w:t>الظاهر سيّما إذا كانت التقيّة قوليّة و فعليّة، فالأوّل في حقّ الإمام في مقام البيان، و الثاني في حقّ السائل في مقام العمل خصوصا إذا كان خلاف الظاهر المراد من الخطاب هو الحكم الواقعي الأوّلي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الحكم الشرعي الّذي كان مخفيّا في تلك المدّة المديدة لمصلحة التقيّة فأرادوا عليهم السّلام إظهاره في ذلك الزمان لمصلحة مقتضية، و لا يلزم من إخفائه في المدّة المذكورة إغراء بالجهل إذا كانت مصلحة التقيّة أو غيرها مقتضية له، لأنّ الإغراء بالجهل إنّما يلزم أو يقبح بتأخير البيان عن وقت الحاجة، و المدّة المديدة لقيام مصلحة التقيّة أو غيرها لم تكن وقت الحاجة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جوازه هنا أنّه لم يلزم منه مخالفة الواقع في العمل، لأنّ كلاّ من الوجوب و الاستحباب يقتضي الفعل غير أنّ الأوّل يقتضيه على وجه الحتم و الثاني لا على وجه الحتم، فما وقع في تلك المدّة بمقتضى اعتقاد الوجوب موافق لما يقتضيه الاستحباب، فما وقع منهم فيها من إخراج الزكاة من أموال تجاراتهم كان فعلا راجحا مطلوبا للشارع و هو بعد بيان عدم الوجوب أيضا باق على رجحانه و مطلوبيّته، و ما لزم من المخالفة الالتزاميّة بسبب اعتقاد الوجوب فيما هو مستحبّ في الواقع لا ضير فيه خصوصا مع تعقيبها بالبيان الرافع لها في وقت الحاجة</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2586811_1280447820"/>
      <w:bookmarkStart w:id="549" w:name="_Toc204"/>
      <w:bookmarkEnd w:id="548"/>
      <w:r>
        <w:rPr>
          <w:rtl w:val="true"/>
        </w:rPr>
        <w:t>[</w:t>
      </w:r>
      <w:r>
        <w:rPr>
          <w:rtl w:val="true"/>
        </w:rPr>
        <w:t>شروط استحباب الزكاة في مال التجارة</w:t>
      </w:r>
      <w:r>
        <w:rPr>
          <w:rtl w:val="true"/>
        </w:rPr>
        <w:t>]</w:t>
      </w:r>
      <w:bookmarkEnd w:id="549"/>
    </w:p>
    <w:p>
      <w:pPr>
        <w:pStyle w:val="Heading6"/>
        <w:numPr>
          <w:ilvl w:val="5"/>
          <w:numId w:val="1"/>
        </w:numPr>
        <w:rPr/>
      </w:pPr>
      <w:bookmarkStart w:id="550" w:name="__RefHeading___Toc2586813_1280447820"/>
      <w:bookmarkStart w:id="551" w:name="_Toc205"/>
      <w:bookmarkEnd w:id="550"/>
      <w:r>
        <w:rPr>
          <w:rtl w:val="true"/>
        </w:rPr>
        <w:t>اشارة</w:t>
      </w:r>
      <w:bookmarkEnd w:id="551"/>
    </w:p>
    <w:p>
      <w:pPr>
        <w:pStyle w:val="BookText"/>
        <w:rPr/>
      </w:pPr>
      <w:r>
        <w:rPr>
          <w:rFonts w:ascii="IRNazanin" w:hAnsi="IRNazanin" w:eastAsia="IRNazanin"/>
          <w:color w:val="111111"/>
          <w:sz w:val="28"/>
          <w:sz w:val="28"/>
          <w:szCs w:val="28"/>
          <w:rtl w:val="true"/>
          <w:lang w:bidi="fa-IR"/>
        </w:rPr>
        <w:t>و أمّا الشروط فامور</w:t>
      </w:r>
      <w:r>
        <w:rPr>
          <w:rFonts w:eastAsia="IRNazanin" w:cs="IRNazanin"/>
          <w:color w:val="111111"/>
          <w:sz w:val="28"/>
          <w:szCs w:val="28"/>
          <w:rtl w:val="true"/>
          <w:lang w:bidi="fa-IR"/>
        </w:rPr>
        <w:t>:</w:t>
      </w:r>
    </w:p>
    <w:p>
      <w:pPr>
        <w:pStyle w:val="Heading6"/>
        <w:numPr>
          <w:ilvl w:val="5"/>
          <w:numId w:val="1"/>
        </w:numPr>
        <w:rPr/>
      </w:pPr>
      <w:bookmarkStart w:id="552" w:name="__RefHeading___Toc2586815_1280447820"/>
      <w:bookmarkStart w:id="553" w:name="_Toc206"/>
      <w:bookmarkEnd w:id="552"/>
      <w:r>
        <w:rPr>
          <w:rtl w:val="true"/>
        </w:rPr>
        <w:t>منها</w:t>
      </w:r>
      <w:r>
        <w:rPr>
          <w:rtl w:val="true"/>
        </w:rPr>
        <w:t xml:space="preserve">: </w:t>
      </w:r>
      <w:r>
        <w:rPr>
          <w:rtl w:val="true"/>
        </w:rPr>
        <w:t>وجود رأس المال طول الحول</w:t>
      </w:r>
      <w:bookmarkEnd w:id="553"/>
    </w:p>
    <w:p>
      <w:pPr>
        <w:pStyle w:val="BookText"/>
        <w:rPr/>
      </w:pPr>
      <w:r>
        <w:rPr>
          <w:rFonts w:ascii="Amiri" w:hAnsi="Amiri" w:eastAsia="Amiri" w:cs="Amiri"/>
          <w:color w:val="111111"/>
          <w:sz w:val="28"/>
          <w:sz w:val="28"/>
          <w:szCs w:val="28"/>
          <w:rtl w:val="true"/>
          <w:lang w:bidi="ar-SA"/>
        </w:rPr>
        <w:t>بأن يطلب برأس ماله في تمام الحول مع زيادة أو بدونها، فلو نقص رأس المال و لو قيراطا كما في المعتبر</w:t>
      </w:r>
      <w:r>
        <w:rPr>
          <w:rStyle w:val="FootnoteAnchor"/>
          <w:rtl w:val="true"/>
        </w:rPr>
        <w:footnoteReference w:id="2508"/>
      </w:r>
      <w:r>
        <w:rPr>
          <w:rFonts w:ascii="Amiri" w:hAnsi="Amiri" w:eastAsia="Amiri" w:cs="Amiri"/>
          <w:color w:val="111111"/>
          <w:sz w:val="28"/>
          <w:sz w:val="28"/>
          <w:szCs w:val="28"/>
          <w:rtl w:val="true"/>
          <w:lang w:bidi="ar-SA"/>
        </w:rPr>
        <w:t>أو حبّة كما في المنتهى</w:t>
      </w:r>
      <w:r>
        <w:rPr>
          <w:rStyle w:val="FootnoteAnchor"/>
          <w:rtl w:val="true"/>
        </w:rPr>
        <w:footnoteReference w:id="2509"/>
      </w:r>
      <w:r>
        <w:rPr>
          <w:rFonts w:ascii="Amiri" w:hAnsi="Amiri" w:eastAsia="Amiri" w:cs="Amiri"/>
          <w:color w:val="111111"/>
          <w:sz w:val="28"/>
          <w:sz w:val="28"/>
          <w:szCs w:val="28"/>
          <w:rtl w:val="true"/>
          <w:lang w:bidi="ar-SA"/>
        </w:rPr>
        <w:t>و غيره في الحول كلّه أو في بعضه أوّلا أو وسطا أو آخرا لم يستحبّ الزكاة و إن كان ثمنه أضعاف النصاب، و حيثما بلغ رأس المال استأنف الحول بلا خلاف أجده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ذلك فقهائنا أجمع</w:t>
      </w:r>
      <w:r>
        <w:rPr>
          <w:rFonts w:eastAsia="Amiri" w:cs="Amiri" w:ascii="Amiri" w:hAnsi="Amiri"/>
          <w:color w:val="111111"/>
          <w:sz w:val="28"/>
          <w:szCs w:val="28"/>
          <w:rtl w:val="true"/>
          <w:lang w:bidi="ar-SA"/>
        </w:rPr>
        <w:t>»</w:t>
      </w:r>
      <w:r>
        <w:rPr>
          <w:rStyle w:val="FootnoteAnchor"/>
          <w:rtl w:val="true"/>
        </w:rPr>
        <w:footnoteReference w:id="2510"/>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إلى ذلك علماؤنا </w:t>
      </w:r>
      <w:bookmarkStart w:id="554" w:name="pg16181_154791"/>
    </w:p>
    <w:p>
      <w:pPr>
        <w:pStyle w:val="BookText"/>
        <w:rPr/>
      </w:pPr>
      <w:bookmarkEnd w:id="554"/>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w:t>
      </w:r>
      <w:r>
        <w:rPr>
          <w:rStyle w:val="FootnoteAnchor"/>
          <w:rtl w:val="true"/>
        </w:rPr>
        <w:footnoteReference w:id="2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علمائنا أجمع</w:t>
      </w:r>
      <w:r>
        <w:rPr>
          <w:rFonts w:eastAsia="Amiri" w:cs="Amiri" w:ascii="Amiri" w:hAnsi="Amiri"/>
          <w:color w:val="111111"/>
          <w:sz w:val="28"/>
          <w:szCs w:val="28"/>
          <w:rtl w:val="true"/>
          <w:lang w:bidi="ar-SA"/>
        </w:rPr>
        <w:t>»</w:t>
      </w:r>
      <w:r>
        <w:rPr>
          <w:rStyle w:val="FootnoteAnchor"/>
          <w:rtl w:val="true"/>
        </w:rPr>
        <w:footnoteReference w:id="2512"/>
      </w:r>
      <w:r>
        <w:rPr>
          <w:rFonts w:ascii="Amiri" w:hAnsi="Amiri" w:eastAsia="Amiri" w:cs="Amiri"/>
          <w:color w:val="111111"/>
          <w:sz w:val="28"/>
          <w:sz w:val="28"/>
          <w:szCs w:val="28"/>
          <w:rtl w:val="true"/>
          <w:lang w:bidi="ar-SA"/>
        </w:rPr>
        <w:t>و قال في موضع آخر منها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نقص في الانتهاء بأن كان قد اشترى بنصاب ثمّ نقص السعر عند انتهاء الحول أو في الوسط بأن كان قد اشترى بنصاب ثمّ نقص السعر في أثناء الحول ثمّ ارتفع السعر في آخره فلا زكاة عند علمائنا</w:t>
      </w:r>
      <w:r>
        <w:rPr>
          <w:rFonts w:eastAsia="Amiri" w:cs="Amiri" w:ascii="Amiri" w:hAnsi="Amiri"/>
          <w:color w:val="111111"/>
          <w:sz w:val="28"/>
          <w:szCs w:val="28"/>
          <w:rtl w:val="true"/>
          <w:lang w:bidi="ar-SA"/>
        </w:rPr>
        <w:t>»</w:t>
      </w:r>
      <w:r>
        <w:rPr>
          <w:rStyle w:val="FootnoteAnchor"/>
          <w:rtl w:val="true"/>
        </w:rPr>
        <w:footnoteReference w:id="2513"/>
      </w:r>
      <w:r>
        <w:rPr>
          <w:rFonts w:ascii="Amiri" w:hAnsi="Amiri" w:eastAsia="Amiri" w:cs="Amiri"/>
          <w:color w:val="111111"/>
          <w:sz w:val="28"/>
          <w:sz w:val="28"/>
          <w:szCs w:val="28"/>
          <w:rtl w:val="true"/>
          <w:lang w:bidi="ar-SA"/>
        </w:rPr>
        <w:t>و عن ظاهر الغنية أيضا الإجماع عليه</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هذه الإجماعات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النصوص المتقدّمة</w:t>
      </w:r>
      <w:r>
        <w:rPr>
          <w:rStyle w:val="FootnoteAnchor"/>
          <w:rtl w:val="true"/>
        </w:rPr>
        <w:footnoteReference w:id="2515"/>
      </w:r>
      <w:r>
        <w:rPr>
          <w:rFonts w:ascii="Amiri" w:hAnsi="Amiri" w:eastAsia="Amiri" w:cs="Amiri"/>
          <w:color w:val="111111"/>
          <w:sz w:val="28"/>
          <w:sz w:val="28"/>
          <w:szCs w:val="28"/>
          <w:rtl w:val="true"/>
          <w:lang w:bidi="ar-SA"/>
        </w:rPr>
        <w:t>خصوصا قوله عليه السّلام في صحيح إسماعيل بن عبد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تربح به شيئا أو تجد رأس مالك فعليك فيه زكاة، و إن كنت إنّما تربّص به لأنّك لا تجد إلاّ وضيعته فليس عليك زكاة</w:t>
      </w:r>
      <w:r>
        <w:rPr>
          <w:rFonts w:eastAsia="Amiri" w:cs="Amiri" w:ascii="Amiri" w:hAnsi="Amiri"/>
          <w:color w:val="111111"/>
          <w:sz w:val="28"/>
          <w:szCs w:val="28"/>
          <w:rtl w:val="true"/>
          <w:lang w:bidi="ar-SA"/>
        </w:rPr>
        <w:t>»</w:t>
      </w:r>
      <w:r>
        <w:rPr>
          <w:rStyle w:val="FootnoteAnchor"/>
          <w:rtl w:val="true"/>
        </w:rPr>
        <w:footnoteReference w:id="2516"/>
      </w:r>
      <w:r>
        <w:rPr>
          <w:rFonts w:ascii="Amiri" w:hAnsi="Amiri" w:eastAsia="Amiri" w:cs="Amiri"/>
          <w:color w:val="111111"/>
          <w:sz w:val="28"/>
          <w:sz w:val="28"/>
          <w:szCs w:val="28"/>
          <w:rtl w:val="true"/>
          <w:lang w:bidi="ar-SA"/>
        </w:rPr>
        <w:t>و لو كان فيها قصور من حيث عدم وضوح دلالتها على اعتبار وجوده طول الحول كان مجبورا بفهم الأصحاب و إجماعات الباب</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2586817_1280447820"/>
      <w:bookmarkStart w:id="556" w:name="_Toc207"/>
      <w:bookmarkEnd w:id="555"/>
      <w:r>
        <w:rPr>
          <w:rtl w:val="true"/>
        </w:rPr>
        <w:t>[</w:t>
      </w:r>
      <w:r>
        <w:rPr>
          <w:rtl w:val="true"/>
        </w:rPr>
        <w:t>شرط الحول</w:t>
      </w:r>
      <w:r>
        <w:rPr>
          <w:rtl w:val="true"/>
        </w:rPr>
        <w:t>]</w:t>
      </w:r>
      <w:bookmarkEnd w:id="556"/>
    </w:p>
    <w:p>
      <w:pPr>
        <w:pStyle w:val="Heading6"/>
        <w:numPr>
          <w:ilvl w:val="5"/>
          <w:numId w:val="1"/>
        </w:numPr>
        <w:rPr/>
      </w:pPr>
      <w:bookmarkStart w:id="557" w:name="__RefHeading___Toc2586819_1280447820"/>
      <w:bookmarkStart w:id="558" w:name="_Toc208"/>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 على معنى مضيّ الحول على مال التجارة من حين التكسّب به و تملّكه للتجارة بلا خلاف أجده، 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اتّفاق علماء الإسلام</w:t>
      </w:r>
      <w:r>
        <w:rPr>
          <w:rFonts w:eastAsia="Amiri" w:cs="Amiri" w:ascii="Amiri" w:hAnsi="Amiri"/>
          <w:color w:val="111111"/>
          <w:sz w:val="28"/>
          <w:szCs w:val="28"/>
          <w:rtl w:val="true"/>
          <w:lang w:bidi="ar-SA"/>
        </w:rPr>
        <w:t>»</w:t>
      </w:r>
      <w:r>
        <w:rPr>
          <w:rStyle w:val="FootnoteAnchor"/>
          <w:rtl w:val="true"/>
        </w:rPr>
        <w:footnoteReference w:id="2517"/>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قول علماء الإسلام</w:t>
      </w:r>
      <w:r>
        <w:rPr>
          <w:rFonts w:eastAsia="Amiri" w:cs="Amiri" w:ascii="Amiri" w:hAnsi="Amiri"/>
          <w:color w:val="111111"/>
          <w:sz w:val="28"/>
          <w:szCs w:val="28"/>
          <w:rtl w:val="true"/>
          <w:lang w:bidi="ar-SA"/>
        </w:rPr>
        <w:t>»</w:t>
      </w:r>
      <w:r>
        <w:rPr>
          <w:rStyle w:val="FootnoteAnchor"/>
          <w:rtl w:val="true"/>
        </w:rPr>
        <w:footnoteReference w:id="2518"/>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الحول في تعلّق زكاة التجارة إجماعا</w:t>
      </w:r>
      <w:r>
        <w:rPr>
          <w:rFonts w:eastAsia="Amiri" w:cs="Amiri" w:ascii="Amiri" w:hAnsi="Amiri"/>
          <w:color w:val="111111"/>
          <w:sz w:val="28"/>
          <w:szCs w:val="28"/>
          <w:rtl w:val="true"/>
          <w:lang w:bidi="ar-SA"/>
        </w:rPr>
        <w:t>»</w:t>
      </w:r>
      <w:r>
        <w:rPr>
          <w:rStyle w:val="FootnoteAnchor"/>
          <w:rtl w:val="true"/>
        </w:rPr>
        <w:footnoteReference w:id="2519"/>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الشرط مجمع عليه بين الأصحاب</w:t>
      </w:r>
      <w:r>
        <w:rPr>
          <w:rFonts w:eastAsia="Amiri" w:cs="Amiri" w:ascii="Amiri" w:hAnsi="Amiri"/>
          <w:color w:val="111111"/>
          <w:sz w:val="28"/>
          <w:szCs w:val="28"/>
          <w:rtl w:val="true"/>
          <w:lang w:bidi="ar-SA"/>
        </w:rPr>
        <w:t>»</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أيضا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في الحسن عن محمّد 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الرجل توضع عنده الأموال يعمل بها،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حال عليها الحول فليزكّها</w:t>
      </w:r>
      <w:r>
        <w:rPr>
          <w:rFonts w:eastAsia="Amiri" w:cs="Amiri" w:ascii="Amiri" w:hAnsi="Amiri"/>
          <w:color w:val="111111"/>
          <w:sz w:val="28"/>
          <w:szCs w:val="28"/>
          <w:rtl w:val="true"/>
          <w:lang w:bidi="ar-SA"/>
        </w:rPr>
        <w:t>»</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مسلم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عملت به فعليك فيه الزكاة إذا حال عليه الحول</w:t>
      </w:r>
      <w:r>
        <w:rPr>
          <w:rFonts w:eastAsia="Amiri" w:cs="Amiri" w:ascii="Amiri" w:hAnsi="Amiri"/>
          <w:color w:val="111111"/>
          <w:sz w:val="28"/>
          <w:szCs w:val="28"/>
          <w:rtl w:val="true"/>
          <w:lang w:bidi="ar-SA"/>
        </w:rPr>
        <w:t>»</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الشرائع بعد ذكر هذا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بدّ من وجود ما يعتبر في الزكاة من </w:t>
      </w:r>
      <w:bookmarkStart w:id="559" w:name="pg16181_154792"/>
    </w:p>
    <w:p>
      <w:pPr>
        <w:pStyle w:val="BookText"/>
        <w:rPr/>
      </w:pPr>
      <w:bookmarkEnd w:id="559"/>
      <w:r>
        <w:rPr>
          <w:rFonts w:ascii="IRNazanin" w:hAnsi="IRNazanin" w:eastAsia="IRNazanin"/>
          <w:color w:val="111111"/>
          <w:sz w:val="28"/>
          <w:sz w:val="28"/>
          <w:szCs w:val="28"/>
          <w:rtl w:val="true"/>
          <w:lang w:bidi="fa-IR"/>
        </w:rPr>
        <w:t>أوّل الحول إلى آخره</w:t>
      </w:r>
      <w:r>
        <w:rPr>
          <w:rFonts w:eastAsia="IRNazanin" w:cs="IRNazanin"/>
          <w:color w:val="111111"/>
          <w:sz w:val="28"/>
          <w:szCs w:val="28"/>
          <w:rtl w:val="true"/>
          <w:lang w:bidi="fa-IR"/>
        </w:rPr>
        <w:t>»</w:t>
      </w:r>
      <w:r>
        <w:rPr>
          <w:rStyle w:val="FootnoteAnchor"/>
          <w:rtl w:val="true"/>
        </w:rPr>
        <w:footnoteReference w:id="2523"/>
      </w:r>
      <w:r>
        <w:rPr>
          <w:rFonts w:ascii="Amiri" w:hAnsi="Amiri" w:eastAsia="Amiri" w:cs="Amiri"/>
          <w:color w:val="111111"/>
          <w:sz w:val="28"/>
          <w:sz w:val="28"/>
          <w:szCs w:val="28"/>
          <w:rtl w:val="true"/>
          <w:lang w:bidi="ar-SA"/>
        </w:rPr>
        <w:t>يعني يعتبر وجود سائر شرائط الزكاة في تمام الحول، و لذا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يندرج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من وجود ما يعتبر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العامّة و الخاصّة</w:t>
      </w:r>
      <w:r>
        <w:rPr>
          <w:rFonts w:eastAsia="Amiri" w:cs="Amiri" w:ascii="Amiri" w:hAnsi="Amiri"/>
          <w:color w:val="111111"/>
          <w:sz w:val="28"/>
          <w:szCs w:val="28"/>
          <w:rtl w:val="true"/>
          <w:lang w:bidi="ar-SA"/>
        </w:rPr>
        <w:t>»</w:t>
      </w:r>
      <w:r>
        <w:rPr>
          <w:rStyle w:val="FootnoteAnchor"/>
          <w:rtl w:val="true"/>
        </w:rPr>
        <w:footnoteReference w:id="2524"/>
      </w:r>
      <w:r>
        <w:rPr>
          <w:rFonts w:ascii="Amiri" w:hAnsi="Amiri" w:eastAsia="Amiri" w:cs="Amiri"/>
          <w:color w:val="111111"/>
          <w:sz w:val="28"/>
          <w:sz w:val="28"/>
          <w:szCs w:val="28"/>
          <w:rtl w:val="true"/>
          <w:lang w:bidi="ar-SA"/>
        </w:rPr>
        <w:t>و هو ظاهر غيره بل صريح كثير من العبارات بالنسبة إلى بعض الشروط كالشرط المتقدّم المصرّح بوجوده طول الحول أو في الحول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فيه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عملت به فعليك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بحسب اللفظ مطلقا إلاّ أنّ المراد من هذا اللفظ المطلق جمعا بينه و بين الأدلّة المثبتة للشروط الخاصّة و العامّة هو المقيّد بما قصد بتملّكه بعقد المعاوضة التجارة و طلب برأس ماله و كان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على الموضوع المقيّد بحسب المعنى، و هكذا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حال عليها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الأوّل، فيدلّ على اعتبار مضيّ الحول على المال الجامع للشرائط و وجود الشرائط في الحول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ظهر اعتبار بقاء عين السلعة و المتاع طول الحول كما في المال، لأنّ 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 لا يتناول الإبدال بل هو كالصريح في اعتبار حولان الحول على الأعيان</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2586821_1280447820"/>
      <w:bookmarkStart w:id="561" w:name="_Toc209"/>
      <w:bookmarkEnd w:id="560"/>
      <w:r>
        <w:rPr>
          <w:rtl w:val="true"/>
        </w:rPr>
        <w:t>[</w:t>
      </w:r>
      <w:r>
        <w:rPr>
          <w:rtl w:val="true"/>
        </w:rPr>
        <w:t>لو تبدّلت الأعيان في أثناء الحول سقطت الزكاة</w:t>
      </w:r>
      <w:r>
        <w:rPr>
          <w:rtl w:val="true"/>
        </w:rPr>
        <w:t>]</w:t>
      </w:r>
      <w:bookmarkEnd w:id="56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تبدلّت الأعيان في أثناء الحول بغيرها سقطت الزكاة و إن بلغ القيمة النصاب، و لا بدّ من استيناف الحول من حين تجدّد الإبدال وفاقا للصدوق</w:t>
      </w:r>
      <w:r>
        <w:rPr>
          <w:rStyle w:val="FootnoteAnchor"/>
          <w:rtl w:val="true"/>
        </w:rPr>
        <w:footnoteReference w:id="2525"/>
      </w:r>
      <w:r>
        <w:rPr>
          <w:rFonts w:ascii="Amiri" w:hAnsi="Amiri" w:eastAsia="Amiri" w:cs="Amiri"/>
          <w:color w:val="111111"/>
          <w:sz w:val="28"/>
          <w:sz w:val="28"/>
          <w:szCs w:val="28"/>
          <w:rtl w:val="true"/>
          <w:lang w:bidi="ar-SA"/>
        </w:rPr>
        <w:t>و المفيد</w:t>
      </w:r>
      <w:r>
        <w:rPr>
          <w:rStyle w:val="FootnoteAnchor"/>
          <w:rtl w:val="true"/>
        </w:rPr>
        <w:footnoteReference w:id="2526"/>
      </w:r>
      <w:r>
        <w:rPr>
          <w:rFonts w:ascii="Amiri" w:hAnsi="Amiri" w:eastAsia="Amiri" w:cs="Amiri"/>
          <w:color w:val="111111"/>
          <w:sz w:val="28"/>
          <w:sz w:val="28"/>
          <w:szCs w:val="28"/>
          <w:rtl w:val="true"/>
          <w:lang w:bidi="ar-SA"/>
        </w:rPr>
        <w:t>و المحقّق و غيره و عن المعتبر الاستدلال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مال يثبت فيه الزكاة فيعتبر بقاؤه كغيره و بأنّه مع التبدّل يكون الثانية غير الاولى فلا تجب فيها الزكاة لأنّه لا زكاة في مال حتّى يحول عليه الحول</w:t>
      </w:r>
      <w:r>
        <w:rPr>
          <w:rFonts w:eastAsia="Amiri" w:cs="Amiri" w:ascii="Amiri" w:hAnsi="Amiri"/>
          <w:color w:val="111111"/>
          <w:sz w:val="28"/>
          <w:szCs w:val="28"/>
          <w:rtl w:val="true"/>
          <w:lang w:bidi="ar-SA"/>
        </w:rPr>
        <w:t>»</w:t>
      </w:r>
      <w:r>
        <w:rPr>
          <w:rStyle w:val="FootnoteAnchor"/>
          <w:rtl w:val="true"/>
        </w:rPr>
        <w:footnoteReference w:id="2527"/>
      </w:r>
      <w:r>
        <w:rPr>
          <w:rFonts w:ascii="Amiri" w:hAnsi="Amiri" w:eastAsia="Amiri" w:cs="Amiri"/>
          <w:color w:val="111111"/>
          <w:sz w:val="28"/>
          <w:sz w:val="28"/>
          <w:szCs w:val="28"/>
          <w:rtl w:val="true"/>
          <w:lang w:bidi="ar-SA"/>
        </w:rPr>
        <w:t>خلافا للعلاّمة</w:t>
      </w:r>
      <w:r>
        <w:rPr>
          <w:rStyle w:val="FootnoteAnchor"/>
          <w:rtl w:val="true"/>
        </w:rPr>
        <w:footnoteReference w:id="2528"/>
      </w:r>
      <w:r>
        <w:rPr>
          <w:rFonts w:ascii="IRNazanin" w:hAnsi="IRNazanin" w:eastAsia="IRNazanin"/>
          <w:color w:val="111111"/>
          <w:sz w:val="28"/>
          <w:sz w:val="28"/>
          <w:szCs w:val="28"/>
          <w:rtl w:val="true"/>
          <w:lang w:bidi="fa-IR"/>
        </w:rPr>
        <w:t>و ولده</w:t>
      </w:r>
      <w:r>
        <w:rPr>
          <w:rStyle w:val="FootnoteAnchor"/>
          <w:rtl w:val="true"/>
        </w:rPr>
        <w:footnoteReference w:id="2529"/>
      </w:r>
      <w:r>
        <w:rPr>
          <w:rFonts w:ascii="Amiri" w:hAnsi="Amiri" w:eastAsia="Amiri" w:cs="Amiri"/>
          <w:color w:val="111111"/>
          <w:sz w:val="28"/>
          <w:sz w:val="28"/>
          <w:szCs w:val="28"/>
          <w:rtl w:val="true"/>
          <w:lang w:bidi="ar-SA"/>
        </w:rPr>
        <w:t>و من تأخّر عنهما على ما حكاه في المدارك و غيره</w:t>
      </w:r>
      <w:r>
        <w:rPr>
          <w:rStyle w:val="FootnoteAnchor"/>
          <w:rtl w:val="true"/>
        </w:rPr>
        <w:footnoteReference w:id="2530"/>
      </w:r>
      <w:r>
        <w:rPr>
          <w:rFonts w:ascii="Amiri" w:hAnsi="Amiri" w:eastAsia="Amiri" w:cs="Amiri"/>
          <w:color w:val="111111"/>
          <w:sz w:val="28"/>
          <w:sz w:val="28"/>
          <w:szCs w:val="28"/>
          <w:rtl w:val="true"/>
          <w:lang w:bidi="ar-SA"/>
        </w:rPr>
        <w:t>و عن العلاّمة و ولده دعوى الإجماع عليه، و هو ضعيف و الإجماع المدّعى موهون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الشيخ التفصيل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بادل ذهبا بذهب أو فضّة بفضّة لم ينقطع الحول، و ينقطع لو بادل بغير جنسها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الدنانير و الدراهم، و لم يفرّقوا بين تبدّل الأعيان و بقائها فيحمل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يدفعه ما أورده عليه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و إن وجبت في الدراهم و الدنانير فإنّها لا تجب مطلقا بل الحول معتبر فيهما إجماعا</w:t>
      </w:r>
      <w:r>
        <w:rPr>
          <w:rFonts w:eastAsia="Amiri" w:cs="Amiri" w:ascii="Amiri" w:hAnsi="Amiri"/>
          <w:color w:val="111111"/>
          <w:sz w:val="28"/>
          <w:szCs w:val="28"/>
          <w:rtl w:val="true"/>
          <w:lang w:bidi="ar-SA"/>
        </w:rPr>
        <w:t>»</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اشترى عرضا للتجارة بدراهم أو دنانير لا ينقطع حول الدراهم بل يبني حول العرض على حول الأصل</w:t>
      </w:r>
      <w:r>
        <w:rPr>
          <w:rFonts w:eastAsia="Amiri" w:cs="Amiri" w:ascii="Amiri" w:hAnsi="Amiri"/>
          <w:color w:val="111111"/>
          <w:sz w:val="28"/>
          <w:szCs w:val="28"/>
          <w:rtl w:val="true"/>
          <w:lang w:bidi="ar-SA"/>
        </w:rPr>
        <w:t>»</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حكاه في المنتهى</w:t>
      </w:r>
      <w:r>
        <w:rPr>
          <w:rStyle w:val="FootnoteAnchor"/>
          <w:rtl w:val="true"/>
        </w:rPr>
        <w:footnoteReference w:id="2533"/>
      </w:r>
      <w:r>
        <w:rPr>
          <w:rFonts w:ascii="Amiri" w:hAnsi="Amiri" w:eastAsia="Amiri" w:cs="Amiri"/>
          <w:color w:val="111111"/>
          <w:sz w:val="28"/>
          <w:sz w:val="28"/>
          <w:szCs w:val="28"/>
          <w:rtl w:val="true"/>
          <w:lang w:bidi="ar-SA"/>
        </w:rPr>
        <w:t>و يظهر منه الميل إليه، و نقله أيضا عن أبي حنيفة</w:t>
      </w:r>
      <w:r>
        <w:rPr>
          <w:rStyle w:val="FootnoteAnchor"/>
          <w:rtl w:val="true"/>
        </w:rPr>
        <w:footnoteReference w:id="2534"/>
      </w:r>
      <w:r>
        <w:rPr>
          <w:rFonts w:ascii="Amiri" w:hAnsi="Amiri" w:eastAsia="Amiri" w:cs="Amiri"/>
          <w:color w:val="111111"/>
          <w:sz w:val="28"/>
          <w:sz w:val="28"/>
          <w:szCs w:val="28"/>
          <w:rtl w:val="true"/>
          <w:lang w:bidi="ar-SA"/>
        </w:rPr>
        <w:t>و الشافعي</w:t>
      </w:r>
      <w:r>
        <w:rPr>
          <w:rStyle w:val="FootnoteAnchor"/>
          <w:rtl w:val="true"/>
        </w:rPr>
        <w:footnoteReference w:id="2535"/>
      </w:r>
      <w:r>
        <w:rPr>
          <w:rFonts w:ascii="IRNazanin" w:hAnsi="IRNazanin" w:eastAsia="IRNazanin"/>
          <w:color w:val="111111"/>
          <w:sz w:val="28"/>
          <w:sz w:val="28"/>
          <w:szCs w:val="28"/>
          <w:rtl w:val="true"/>
          <w:lang w:bidi="fa-IR"/>
        </w:rPr>
        <w:t>و أحمد</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احتجّوا بأنّ العلّة في إيجاب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إنّما يثبت في مال التجارة بالتقليب و المبادلة فلو كان ذلك يقطع الحول لكان السبب الّذي وجبت به فيه الزكاة لأجله مانعا، و لأنّ المعتبر في زكاة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تثبت فيها فكانا كالمال الواحد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فيهما من الضعف ما لا يخفى، لأنّ الحول شرط لا محالة و مقتضا شرطيّته عدم كون النموّ علّة تامّة، فهو معتبر من باب المقتضي و هو مع مصادفة انتفاء الشرط لا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الحول غير متحقّق لا بالنسبة إلى الأصل و لا بالنسبة إلى القيمة، أمّا الأوّل فلفرض عدم بقائه إلى آخر الحول، و أمّا الثاني فلعدم وجود السلعة من ابتداء الحول و المعتبر قيمته، هذا مع تطرّق المنع إلى علّيّة النموّ لعدم الدلالة عليه، و غاية ما يسلّم أنّه معتبر من باب الحكمة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 التجارة لما كان معرضا للنموّ ثبتت فيه الزكاة و لذا يثبت مع طلب رأس المال من دون زيادة، فالعلّة شيء آخر مشتمل على أجزاء و من أجزائه الحول</w:t>
      </w:r>
      <w:r>
        <w:rPr>
          <w:rFonts w:eastAsia="Amiri" w:cs="Amiri" w:ascii="Amiri" w:hAnsi="Amiri"/>
          <w:color w:val="111111"/>
          <w:sz w:val="28"/>
          <w:szCs w:val="28"/>
          <w:rtl w:val="true"/>
          <w:lang w:bidi="ar-SA"/>
        </w:rPr>
        <w:t xml:space="preserve">. </w:t>
      </w:r>
      <w:bookmarkStart w:id="562" w:name="pg16181_154794"/>
    </w:p>
    <w:p>
      <w:pPr>
        <w:pStyle w:val="Heading6"/>
        <w:numPr>
          <w:ilvl w:val="5"/>
          <w:numId w:val="1"/>
        </w:numPr>
        <w:rPr/>
      </w:pPr>
      <w:bookmarkStart w:id="563" w:name="__RefHeading___Toc2586823_1280447820"/>
      <w:bookmarkStart w:id="564" w:name="_Toc210"/>
      <w:bookmarkEnd w:id="562"/>
      <w:bookmarkEnd w:id="563"/>
      <w:r>
        <w:rPr>
          <w:rtl w:val="true"/>
        </w:rPr>
        <w:t>[</w:t>
      </w:r>
      <w:r>
        <w:rPr>
          <w:rtl w:val="true"/>
        </w:rPr>
        <w:t>بلوغ قيمة مال التجارة بأحد النقدين نصابا</w:t>
      </w:r>
      <w:r>
        <w:rPr>
          <w:rtl w:val="true"/>
        </w:rPr>
        <w:t>]</w:t>
      </w:r>
      <w:bookmarkEnd w:id="564"/>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قيمته بأحد النقدين الذهب و الفضّة نصابا، أمّا اعتبار النصاب فالظاهر كما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ممّا لا خلاف فيه</w:t>
      </w:r>
      <w:r>
        <w:rPr>
          <w:rFonts w:eastAsia="Amiri" w:cs="Amiri" w:ascii="Amiri" w:hAnsi="Amiri"/>
          <w:color w:val="111111"/>
          <w:sz w:val="28"/>
          <w:szCs w:val="28"/>
          <w:rtl w:val="true"/>
          <w:lang w:bidi="ar-SA"/>
        </w:rPr>
        <w:t>»</w:t>
      </w:r>
      <w:r>
        <w:rPr>
          <w:rStyle w:val="FootnoteAnchor"/>
          <w:rtl w:val="true"/>
        </w:rPr>
        <w:footnoteReference w:id="2537"/>
      </w: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علماء الإسلام</w:t>
      </w:r>
      <w:r>
        <w:rPr>
          <w:rFonts w:eastAsia="Amiri" w:cs="Amiri" w:ascii="Amiri" w:hAnsi="Amiri"/>
          <w:color w:val="111111"/>
          <w:sz w:val="28"/>
          <w:szCs w:val="28"/>
          <w:rtl w:val="true"/>
          <w:lang w:bidi="ar-SA"/>
        </w:rPr>
        <w:t>»</w:t>
      </w:r>
      <w:r>
        <w:rPr>
          <w:rStyle w:val="FootnoteAnchor"/>
          <w:rtl w:val="true"/>
        </w:rPr>
        <w:footnoteReference w:id="2538"/>
      </w:r>
      <w:r>
        <w:rPr>
          <w:rFonts w:ascii="Amiri" w:hAnsi="Amiri" w:eastAsia="Amiri" w:cs="Amiri"/>
          <w:color w:val="111111"/>
          <w:sz w:val="28"/>
          <w:sz w:val="28"/>
          <w:szCs w:val="28"/>
          <w:rtl w:val="true"/>
          <w:lang w:bidi="ar-SA"/>
        </w:rPr>
        <w:t>و في المنتهى</w:t>
      </w:r>
      <w:r>
        <w:rPr>
          <w:rStyle w:val="FootnoteAnchor"/>
          <w:rtl w:val="true"/>
        </w:rPr>
        <w:footnoteReference w:id="2539"/>
      </w:r>
      <w:r>
        <w:rPr>
          <w:rFonts w:ascii="Amiri" w:hAnsi="Amiri" w:eastAsia="Amiri" w:cs="Amiri"/>
          <w:color w:val="111111"/>
          <w:sz w:val="28"/>
          <w:sz w:val="28"/>
          <w:szCs w:val="28"/>
          <w:rtl w:val="true"/>
          <w:lang w:bidi="ar-SA"/>
        </w:rPr>
        <w:t>كما عن كشف الالتباس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علماء الإسلام</w:t>
      </w:r>
      <w:r>
        <w:rPr>
          <w:rFonts w:eastAsia="Amiri" w:cs="Amiri" w:ascii="Amiri" w:hAnsi="Amiri"/>
          <w:color w:val="111111"/>
          <w:sz w:val="28"/>
          <w:szCs w:val="28"/>
          <w:rtl w:val="true"/>
          <w:lang w:bidi="ar-SA"/>
        </w:rPr>
        <w:t>»</w:t>
      </w:r>
      <w:r>
        <w:rPr>
          <w:rStyle w:val="FootnoteAnchor"/>
          <w:rtl w:val="true"/>
        </w:rPr>
        <w:footnoteReference w:id="254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ملك دون النصاب و حال عليه الحول لم تثبت الزكاة إجماعا</w:t>
      </w:r>
      <w:r>
        <w:rPr>
          <w:rFonts w:eastAsia="Amiri" w:cs="Amiri" w:ascii="Amiri" w:hAnsi="Amiri"/>
          <w:color w:val="111111"/>
          <w:sz w:val="28"/>
          <w:szCs w:val="28"/>
          <w:rtl w:val="true"/>
          <w:lang w:bidi="ar-SA"/>
        </w:rPr>
        <w:t>»</w:t>
      </w:r>
      <w:r>
        <w:rPr>
          <w:rStyle w:val="FootnoteAnchor"/>
          <w:rtl w:val="true"/>
        </w:rPr>
        <w:footnoteReference w:id="2541"/>
      </w:r>
      <w:r>
        <w:rPr>
          <w:rFonts w:ascii="Amiri" w:hAnsi="Amiri" w:eastAsia="Amiri" w:cs="Amiri"/>
          <w:color w:val="111111"/>
          <w:sz w:val="28"/>
          <w:sz w:val="28"/>
          <w:szCs w:val="28"/>
          <w:rtl w:val="true"/>
          <w:lang w:bidi="ar-SA"/>
        </w:rPr>
        <w:t>و عن النهاية أيضا الإجماع عليه</w:t>
      </w:r>
      <w:r>
        <w:rPr>
          <w:rStyle w:val="FootnoteAnchor"/>
          <w:rtl w:val="true"/>
        </w:rPr>
        <w:footnoteReference w:id="2542"/>
      </w:r>
      <w:r>
        <w:rPr>
          <w:rFonts w:ascii="Amiri" w:hAnsi="Amiri" w:eastAsia="Amiri" w:cs="Amiri"/>
          <w:color w:val="111111"/>
          <w:sz w:val="28"/>
          <w:sz w:val="28"/>
          <w:szCs w:val="28"/>
          <w:rtl w:val="true"/>
          <w:lang w:bidi="ar-SA"/>
        </w:rPr>
        <w:t>و بهذه الإجماعات و غيرها يقيّد الروايات المطلقة الدالّة بإطلاقها على زكاة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النصوص تعرّض لبيان هذا الشرط صراحة و لا ظهورا عدى ما في خبر إسحاق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كون النصاب هنا نصاب أحد النقدين في القيمة ففي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فيه</w:t>
      </w:r>
      <w:r>
        <w:rPr>
          <w:rFonts w:eastAsia="Amiri" w:cs="Amiri" w:ascii="Amiri" w:hAnsi="Amiri"/>
          <w:color w:val="111111"/>
          <w:sz w:val="28"/>
          <w:szCs w:val="28"/>
          <w:rtl w:val="true"/>
          <w:lang w:bidi="ar-SA"/>
        </w:rPr>
        <w:t>»</w:t>
      </w:r>
      <w:r>
        <w:rPr>
          <w:rStyle w:val="FootnoteAnchor"/>
          <w:rtl w:val="true"/>
        </w:rPr>
        <w:footnoteReference w:id="2543"/>
      </w: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الحكم ممّا لا إشكال فيه بعد عدم ظهور خلاف فيه</w:t>
      </w:r>
      <w:r>
        <w:rPr>
          <w:rFonts w:eastAsia="Amiri" w:cs="Amiri" w:ascii="Amiri" w:hAnsi="Amiri"/>
          <w:color w:val="111111"/>
          <w:sz w:val="28"/>
          <w:szCs w:val="28"/>
          <w:rtl w:val="true"/>
          <w:lang w:bidi="ar-SA"/>
        </w:rPr>
        <w:t>»</w:t>
      </w:r>
      <w:r>
        <w:rPr>
          <w:rStyle w:val="FootnoteAnchor"/>
          <w:rtl w:val="true"/>
        </w:rPr>
        <w:footnoteReference w:id="2544"/>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متّفق عليه بين الخاصّة و العامّة</w:t>
      </w:r>
      <w:r>
        <w:rPr>
          <w:rFonts w:eastAsia="Amiri" w:cs="Amiri" w:ascii="Amiri" w:hAnsi="Amiri"/>
          <w:color w:val="111111"/>
          <w:sz w:val="28"/>
          <w:szCs w:val="28"/>
          <w:rtl w:val="true"/>
          <w:lang w:bidi="ar-SA"/>
        </w:rPr>
        <w:t>»</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نجد في النصوص أيضا دلالة واضحة عليه إلاّ أنّ صاحب المدارك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من الروايات أنّ هذه الزكاة بعينها زكاة النقدين فيعتبر فيها نصابهما و يتساويان في قدر المخرج</w:t>
      </w:r>
      <w:r>
        <w:rPr>
          <w:rFonts w:eastAsia="Amiri" w:cs="Amiri" w:ascii="Amiri" w:hAnsi="Amiri"/>
          <w:color w:val="111111"/>
          <w:sz w:val="28"/>
          <w:szCs w:val="28"/>
          <w:rtl w:val="true"/>
          <w:lang w:bidi="ar-SA"/>
        </w:rPr>
        <w:t>»</w:t>
      </w:r>
      <w:r>
        <w:rPr>
          <w:rStyle w:val="FootnoteAnchor"/>
          <w:rtl w:val="true"/>
        </w:rPr>
        <w:footnoteReference w:id="25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نقف على ما ادّعاه من ظهور الروايات سوى محتمل خبر إسحاق بن عمّار أو ظهوره عن أبي 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و مائة درهم و تسعة عشر دينارا، عليها في الزكاة شيء؟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الذهب و الفضّة فبلغ ذلك مائتي درهم ففيها الزكاة لأنّ عين المال الدراهم، و كلّما خلا الدراهم من ذهب أو متاع فهو عرض مردود إلى الدراهم في الزكاة و الديات</w:t>
      </w:r>
      <w:r>
        <w:rPr>
          <w:rFonts w:eastAsia="Amiri" w:cs="Amiri" w:ascii="Amiri" w:hAnsi="Amiri"/>
          <w:color w:val="111111"/>
          <w:sz w:val="28"/>
          <w:szCs w:val="28"/>
          <w:rtl w:val="true"/>
          <w:lang w:bidi="ar-SA"/>
        </w:rPr>
        <w:t>»</w:t>
      </w:r>
      <w:r>
        <w:rPr>
          <w:rStyle w:val="FootnoteAnchor"/>
          <w:rtl w:val="true"/>
        </w:rPr>
        <w:footnoteReference w:id="2547"/>
      </w: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بلوغ المجموع </w:t>
      </w:r>
    </w:p>
    <w:p>
      <w:pPr>
        <w:pStyle w:val="BookText"/>
        <w:rPr/>
      </w:pPr>
      <w:r>
        <w:rPr>
          <w:rFonts w:ascii="Amiri" w:hAnsi="Amiri" w:eastAsia="Amiri" w:cs="Amiri"/>
          <w:color w:val="111111"/>
          <w:sz w:val="28"/>
          <w:sz w:val="28"/>
          <w:szCs w:val="28"/>
          <w:rtl w:val="true"/>
          <w:lang w:bidi="ar-SA"/>
        </w:rPr>
        <w:t xml:space="preserve">من الذهب و الفضّة المجتمعين، و هذا بملاحظة عدم اعتبار الانضمام في نصاب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يعتبر بلوغ كلّ منهما بانفراده 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ينطبق على زكاة النقدين بل إنّما ينطبق على زكاة مال التجارة، فيكون المراد من الذهب و الفضّة و الدرهم و الدينار في مورد الرواية سؤالا و جوابا مال التجارة، فيكون المراد من بلوغ مجموعهما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قيمة المجموع، لأنّ بلوغ العين مائتي درهم مع الاختلاف في الجنس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عين المال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أصل المال الّذي يتعلّق به زكاة مال التجارة هو الدراهم من حيث كونها قيمة فيعتبر نصابها، و هذا يدلّ على مذهب الشيخ في زكاة مال التجارة على ما سيأتي من تعلّقها بالقيمة لا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ما ذكرناه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انطباق مورد الرواية على زكاة مال التجارة، و إنّ نصابه يعتبر في القيمة، بل زكاته أيضا تتعلّق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كلّما خلا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فإنّه يفيد حكما عامّا في مال التجارة بجميع فروضه على طريقة القاعدة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روي مرسلا عن إسحاق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عرض فهو مردود إلى الدراهم و الدنانير</w:t>
      </w:r>
      <w:r>
        <w:rPr>
          <w:rFonts w:eastAsia="Amiri" w:cs="Amiri" w:ascii="Amiri" w:hAnsi="Amiri"/>
          <w:color w:val="111111"/>
          <w:sz w:val="28"/>
          <w:szCs w:val="28"/>
          <w:rtl w:val="true"/>
          <w:lang w:bidi="ar-SA"/>
        </w:rPr>
        <w:t>»</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w:t>
      </w:r>
      <w:r>
        <w:rPr>
          <w:rStyle w:val="FootnoteAnchor"/>
          <w:rtl w:val="true"/>
        </w:rPr>
        <w:footnoteReference w:id="2549"/>
      </w:r>
      <w:r>
        <w:rPr>
          <w:rFonts w:ascii="Amiri" w:hAnsi="Amiri" w:eastAsia="Amiri" w:cs="Amiri"/>
          <w:color w:val="111111"/>
          <w:sz w:val="28"/>
          <w:sz w:val="28"/>
          <w:szCs w:val="28"/>
          <w:rtl w:val="true"/>
          <w:lang w:bidi="ar-SA"/>
        </w:rPr>
        <w:t>احتجاجه به على ما اختاره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الزكاة هنا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الفاضلين</w:t>
      </w:r>
      <w:r>
        <w:rPr>
          <w:rStyle w:val="FootnoteAnchor"/>
          <w:rtl w:val="true"/>
        </w:rPr>
        <w:footnoteReference w:id="2550"/>
      </w:r>
      <w:r>
        <w:rPr>
          <w:rFonts w:ascii="Amiri" w:hAnsi="Amiri" w:eastAsia="Amiri" w:cs="Amiri"/>
          <w:color w:val="111111"/>
          <w:sz w:val="28"/>
          <w:sz w:val="28"/>
          <w:szCs w:val="28"/>
          <w:rtl w:val="true"/>
          <w:lang w:bidi="ar-SA"/>
        </w:rPr>
        <w:t>و غيرهما كون الرواية باعتبار السند متلقّاة بالقبول حيث لم يقدح فيه أحد، نعم إنّما قدح المحقّق في المعتبر</w:t>
      </w:r>
      <w:r>
        <w:rPr>
          <w:rStyle w:val="FootnoteAnchor"/>
          <w:rtl w:val="true"/>
        </w:rPr>
        <w:footnoteReference w:id="2551"/>
      </w:r>
      <w:r>
        <w:rPr>
          <w:rFonts w:ascii="Amiri" w:hAnsi="Amiri" w:eastAsia="Amiri" w:cs="Amiri"/>
          <w:color w:val="111111"/>
          <w:sz w:val="28"/>
          <w:sz w:val="28"/>
          <w:szCs w:val="28"/>
          <w:rtl w:val="true"/>
          <w:lang w:bidi="ar-SA"/>
        </w:rPr>
        <w:t>في دلالتها، و عليه فالرواية معتبرة بعد اعتبار سندها و وضوح دلالتها فتكون حجّة مستقلّة لا مؤيّدة فقط و إن افتقر وضوح دلالتها إلى انضمامها بالخبر الأوّل</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ذكرناه ظهر مستند الأصحاب في جزمهم بكون نصاب مال التجارة يعتبر في القيمة، و إنّ المعتبر فيها بلوغها نصاب أحد النقدين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يؤيّده أيضا صحيحة أحمد بن محمّد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 السّلام </w:t>
      </w:r>
    </w:p>
    <w:p>
      <w:pPr>
        <w:pStyle w:val="BookText"/>
        <w:rPr/>
      </w:pPr>
      <w:r>
        <w:rPr>
          <w:rFonts w:ascii="Amiri" w:hAnsi="Amiri" w:eastAsia="Amiri" w:cs="Amiri"/>
          <w:color w:val="111111"/>
          <w:sz w:val="28"/>
          <w:sz w:val="28"/>
          <w:szCs w:val="28"/>
          <w:rtl w:val="true"/>
          <w:lang w:bidi="ar-SA"/>
        </w:rPr>
        <w:t>عمّا اخرج من المعدن من قليل أو كثير هل فيه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2553"/>
      </w:r>
      <w:r>
        <w:rPr>
          <w:rFonts w:ascii="Amiri" w:hAnsi="Amiri" w:eastAsia="Amiri" w:cs="Amiri"/>
          <w:color w:val="111111"/>
          <w:sz w:val="28"/>
          <w:sz w:val="28"/>
          <w:szCs w:val="28"/>
          <w:rtl w:val="true"/>
          <w:lang w:bidi="ar-SA"/>
        </w:rPr>
        <w:t>بناء على أن يكون الموصول كناية عن جنس ما يكون في مثله الزكاة، أو عن كلّ ما يكون في مثله الزكاة لا عن خصوص الدنانير المتّخذة ممّا خرج من المعدن، فيتناول بإطلاقه أو بعمومه مطلق مال التجارة المتّخذة ممّا خرج من المعدن،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قضيّة كون المعتبر في مال التجارة نصاب أحد النقدين فتوى و نصّا عدم اعتبار نصاب غيرهما، كما صرّح في المدارك ناقلا له عن جماعة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يعتبر نصاب غيرهما من الأموال قطعا</w:t>
      </w:r>
      <w:r>
        <w:rPr>
          <w:rFonts w:eastAsia="Amiri" w:cs="Amiri" w:ascii="Amiri" w:hAnsi="Amiri"/>
          <w:color w:val="111111"/>
          <w:sz w:val="28"/>
          <w:szCs w:val="28"/>
          <w:rtl w:val="true"/>
          <w:lang w:bidi="ar-SA"/>
        </w:rPr>
        <w:t>»</w:t>
      </w:r>
      <w:r>
        <w:rPr>
          <w:rStyle w:val="FootnoteAnchor"/>
          <w:rtl w:val="true"/>
        </w:rPr>
        <w:footnoteReference w:id="2554"/>
      </w:r>
      <w:r>
        <w:rPr>
          <w:rFonts w:ascii="Amiri" w:hAnsi="Amiri" w:eastAsia="Amiri" w:cs="Amiri"/>
          <w:color w:val="111111"/>
          <w:sz w:val="28"/>
          <w:sz w:val="28"/>
          <w:szCs w:val="28"/>
          <w:rtl w:val="true"/>
          <w:lang w:bidi="ar-SA"/>
        </w:rPr>
        <w:t>كما صرّح به جماعة منهم العلاّمة في التذكرة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النصاب المعتبر في قيمة مال التجارة هنا هو أحد النقدين الذهب و الفضّة دون غيرهما، فلو اشترى بأحد النصب في المواشي مال التجارة و قصر الثمن عن نصاب أحد النقدين ثمّ حال الحول كذلك فلا زكاة، و لو قصر الثمن عن زكاة المواشي بأن اشترى بأربع من الإبل متاع التجارة و كانت قيمة الثمن أو السلعة تبلغ نصابا من أحد النقدين تعلّقت الزكاة به</w:t>
      </w:r>
      <w:r>
        <w:rPr>
          <w:rFonts w:eastAsia="Amiri" w:cs="Amiri" w:ascii="Amiri" w:hAnsi="Amiri"/>
          <w:color w:val="111111"/>
          <w:sz w:val="28"/>
          <w:szCs w:val="28"/>
          <w:rtl w:val="true"/>
          <w:lang w:bidi="ar-SA"/>
        </w:rPr>
        <w:t>»</w:t>
      </w:r>
      <w:r>
        <w:rPr>
          <w:rStyle w:val="FootnoteAnchor"/>
          <w:rtl w:val="true"/>
        </w:rPr>
        <w:footnoteReference w:id="25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قضيّة اعتبار أحد النقدين في زكاة مال التجارة، أن يقوّم السلعة و متاع التجارة بأحدهما مطلقا وفاقا لإطلاق الشرائع</w:t>
      </w:r>
      <w:r>
        <w:rPr>
          <w:rStyle w:val="FootnoteAnchor"/>
          <w:rtl w:val="true"/>
        </w:rPr>
        <w:footnoteReference w:id="2556"/>
      </w:r>
      <w:r>
        <w:rPr>
          <w:rFonts w:ascii="IRNazanin" w:hAnsi="IRNazanin" w:eastAsia="IRNazanin"/>
          <w:color w:val="111111"/>
          <w:sz w:val="28"/>
          <w:sz w:val="28"/>
          <w:szCs w:val="28"/>
          <w:rtl w:val="true"/>
          <w:lang w:bidi="fa-IR"/>
        </w:rPr>
        <w:t>و الإرشاد</w:t>
      </w:r>
      <w:r>
        <w:rPr>
          <w:rStyle w:val="FootnoteAnchor"/>
          <w:rtl w:val="true"/>
        </w:rPr>
        <w:footnoteReference w:id="2557"/>
      </w:r>
      <w:r>
        <w:rPr>
          <w:rFonts w:ascii="IRNazanin" w:hAnsi="IRNazanin" w:eastAsia="IRNazanin"/>
          <w:color w:val="111111"/>
          <w:sz w:val="28"/>
          <w:sz w:val="28"/>
          <w:szCs w:val="28"/>
          <w:rtl w:val="true"/>
          <w:lang w:bidi="fa-IR"/>
        </w:rPr>
        <w:t>و القواعد</w:t>
      </w:r>
      <w:r>
        <w:rPr>
          <w:rStyle w:val="FootnoteAnchor"/>
          <w:rtl w:val="true"/>
        </w:rPr>
        <w:footnoteReference w:id="2558"/>
      </w:r>
      <w:r>
        <w:rPr>
          <w:rFonts w:ascii="Amiri" w:hAnsi="Amiri" w:eastAsia="Amiri" w:cs="Amiri"/>
          <w:color w:val="111111"/>
          <w:sz w:val="28"/>
          <w:sz w:val="28"/>
          <w:szCs w:val="28"/>
          <w:rtl w:val="true"/>
          <w:lang w:bidi="ar-SA"/>
        </w:rPr>
        <w:t>و غيرهما، و رجّحه بعض مشايخنا</w:t>
      </w:r>
      <w:r>
        <w:rPr>
          <w:rStyle w:val="FootnoteAnchor"/>
          <w:rtl w:val="true"/>
        </w:rPr>
        <w:footnoteReference w:id="2559"/>
      </w:r>
      <w:r>
        <w:rPr>
          <w:rFonts w:ascii="IRNazanin" w:hAnsi="IRNazanin" w:eastAsia="IRNazanin"/>
          <w:color w:val="111111"/>
          <w:sz w:val="28"/>
          <w:sz w:val="28"/>
          <w:szCs w:val="28"/>
          <w:rtl w:val="true"/>
          <w:lang w:bidi="fa-IR"/>
        </w:rPr>
        <w:t>عملا بإطلاق ما تقدّم</w:t>
      </w:r>
      <w:r>
        <w:rPr>
          <w:rStyle w:val="FootnoteAnchor"/>
          <w:rtl w:val="true"/>
        </w:rPr>
        <w:footnoteReference w:id="2560"/>
      </w:r>
      <w:r>
        <w:rPr>
          <w:rFonts w:ascii="Amiri" w:hAnsi="Amiri" w:eastAsia="Amiri" w:cs="Amiri"/>
          <w:color w:val="111111"/>
          <w:sz w:val="28"/>
          <w:sz w:val="28"/>
          <w:szCs w:val="28"/>
          <w:rtl w:val="true"/>
          <w:lang w:bidi="ar-SA"/>
        </w:rPr>
        <w:t>من الأخبار خصوصا قوله عليه السّلام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إسحاق</w:t>
      </w:r>
      <w:r>
        <w:rPr>
          <w:rStyle w:val="FootnoteAnchor"/>
          <w:rtl w:val="true"/>
        </w:rPr>
        <w:footnoteReference w:id="2561"/>
      </w:r>
      <w:r>
        <w:rPr>
          <w:rFonts w:ascii="Amiri" w:hAnsi="Amiri" w:eastAsia="Amiri" w:cs="Amiri"/>
          <w:color w:val="111111"/>
          <w:sz w:val="28"/>
          <w:sz w:val="28"/>
          <w:szCs w:val="28"/>
          <w:rtl w:val="true"/>
          <w:lang w:bidi="ar-SA"/>
        </w:rPr>
        <w:t>بناء على ما عرفت من أنّ المراد به بلوغ قيمة المجموع لعدم تعقّل بلوغ العين مع اختلاف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كلّما خلا الدراهم من ذهب أو متاع فهو عرض مردود إلى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 العرض إلى الدراهم لا يكون إلاّ بالتقويم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إطلاقهما يتناول ما لو كان الثمن المشترى به الذهب و الفضّة أو الذهب أو المتاع من أحد النقدين أو عروضا، و ما لو كان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أحد </w:t>
      </w:r>
    </w:p>
    <w:p>
      <w:pPr>
        <w:pStyle w:val="BookText"/>
        <w:rPr/>
      </w:pPr>
      <w:r>
        <w:rPr>
          <w:rFonts w:ascii="Amiri" w:hAnsi="Amiri" w:eastAsia="Amiri" w:cs="Amiri"/>
          <w:color w:val="111111"/>
          <w:sz w:val="28"/>
          <w:sz w:val="28"/>
          <w:szCs w:val="28"/>
          <w:rtl w:val="true"/>
          <w:lang w:bidi="ar-SA"/>
        </w:rPr>
        <w:t xml:space="preserve">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 ما وقع به التقويم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Style w:val="FootnoteAnchor"/>
          <w:rtl w:val="true"/>
        </w:rPr>
        <w:footnoteReference w:id="25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عين المال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يدلّ عليه، و معناه أنّ أصل المال الّذي يلاحظ في زكاة التجارة هو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الدراهم بالذكر لعلّه لكونه أحد فردي النقد أو لأنّه المتعارف المعهود في زمن الصدور أو غير ذلك، مع أنّ إثبات الشيء لا ينفي ما عداه، مع ما في المرسلة المتقدّمة</w:t>
      </w:r>
      <w:r>
        <w:rPr>
          <w:rStyle w:val="FootnoteAnchor"/>
          <w:rtl w:val="true"/>
        </w:rPr>
        <w:footnoteReference w:id="2563"/>
      </w:r>
      <w:r>
        <w:rPr>
          <w:rFonts w:ascii="Amiri" w:hAnsi="Amiri" w:eastAsia="Amiri" w:cs="Amiri"/>
          <w:color w:val="111111"/>
          <w:sz w:val="28"/>
          <w:sz w:val="28"/>
          <w:szCs w:val="28"/>
          <w:rtl w:val="true"/>
          <w:lang w:bidi="ar-SA"/>
        </w:rPr>
        <w:t>من ذكر النقدين معا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عرض فهو مردود إلى الدراهم و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صاحب المدارك استشكل إطلاق الحكم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على إطلاقه، و الأصحّ أنّ الثمن إن كان من أحد النقدين وجب تقويم السلعة بما وقع الشراء به كما صرّح به المصنّف في المعتبر</w:t>
      </w:r>
      <w:r>
        <w:rPr>
          <w:rStyle w:val="FootnoteAnchor"/>
          <w:rtl w:val="true"/>
        </w:rPr>
        <w:footnoteReference w:id="2564"/>
      </w:r>
      <w:r>
        <w:rPr>
          <w:rFonts w:ascii="Amiri" w:hAnsi="Amiri" w:eastAsia="Amiri" w:cs="Amiri"/>
          <w:color w:val="111111"/>
          <w:sz w:val="28"/>
          <w:sz w:val="28"/>
          <w:szCs w:val="28"/>
          <w:rtl w:val="true"/>
          <w:lang w:bidi="ar-SA"/>
        </w:rPr>
        <w:t>و العلاّمة</w:t>
      </w:r>
      <w:r>
        <w:rPr>
          <w:rStyle w:val="FootnoteAnchor"/>
          <w:rtl w:val="true"/>
        </w:rPr>
        <w:footnoteReference w:id="2565"/>
      </w:r>
      <w:r>
        <w:rPr>
          <w:rFonts w:ascii="Amiri" w:hAnsi="Amiri" w:eastAsia="Amiri" w:cs="Amiri"/>
          <w:color w:val="111111"/>
          <w:sz w:val="28"/>
          <w:sz w:val="28"/>
          <w:szCs w:val="28"/>
          <w:rtl w:val="true"/>
          <w:lang w:bidi="ar-SA"/>
        </w:rPr>
        <w:t>و من تأخّر</w:t>
      </w:r>
      <w:r>
        <w:rPr>
          <w:rStyle w:val="FootnoteAnchor"/>
          <w:rtl w:val="true"/>
        </w:rPr>
        <w:footnoteReference w:id="2566"/>
      </w:r>
      <w:r>
        <w:rPr>
          <w:rFonts w:ascii="Amiri" w:hAnsi="Amiri" w:eastAsia="Amiri" w:cs="Amiri"/>
          <w:color w:val="111111"/>
          <w:sz w:val="28"/>
          <w:sz w:val="28"/>
          <w:szCs w:val="28"/>
          <w:rtl w:val="true"/>
          <w:lang w:bidi="ar-SA"/>
        </w:rPr>
        <w:t>عنه، لأنّ نصاب العرض مبنيّ على ما اشترى به فيجب اعتباره به كما لو لم يشتر به شيئا، 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تربح به شيئا أو تجد مالك فعليك زكاته</w:t>
      </w:r>
      <w:r>
        <w:rPr>
          <w:rFonts w:eastAsia="Amiri" w:cs="Amiri" w:ascii="Amiri" w:hAnsi="Amiri"/>
          <w:color w:val="111111"/>
          <w:sz w:val="28"/>
          <w:szCs w:val="28"/>
          <w:rtl w:val="true"/>
          <w:lang w:bidi="ar-SA"/>
        </w:rPr>
        <w:t>»</w:t>
      </w:r>
      <w:r>
        <w:rPr>
          <w:rStyle w:val="FootnoteAnchor"/>
          <w:rtl w:val="true"/>
        </w:rPr>
        <w:footnoteReference w:id="2567"/>
      </w:r>
      <w:r>
        <w:rPr>
          <w:rFonts w:ascii="Amiri" w:hAnsi="Amiri" w:eastAsia="Amiri" w:cs="Amiri"/>
          <w:color w:val="111111"/>
          <w:sz w:val="28"/>
          <w:sz w:val="28"/>
          <w:szCs w:val="28"/>
          <w:rtl w:val="true"/>
          <w:lang w:bidi="ar-SA"/>
        </w:rPr>
        <w:t>و رأس المال إنّما يعلم بعد التقويم بما وقع به الشراء، و لو وقع الشراء بالنقدين وجب التقويم بهما، و لو بلغ أحدهما النصاب زكّاه دون الآخر، و لو كان الثمن عروضا قوّم بالنقد الغالب، و اعتبر بلوغ النصاب و وجود رأس المال في الحول به خاصّة، و لو تساوى النقدان كان له التقويم بأيّهما شاء، و يكفي في استحباب الزكاة بلوغ القيمة النصاب بأحدهما و كذا وجود رأس المال</w:t>
      </w:r>
      <w:r>
        <w:rPr>
          <w:rStyle w:val="FootnoteAnchor"/>
          <w:rtl w:val="true"/>
        </w:rPr>
        <w:footnoteReference w:id="25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ما في الذخيرة</w:t>
      </w:r>
      <w:r>
        <w:rPr>
          <w:rStyle w:val="FootnoteAnchor"/>
          <w:rtl w:val="true"/>
        </w:rPr>
        <w:footnoteReference w:id="2569"/>
      </w:r>
      <w:r>
        <w:rPr>
          <w:rFonts w:ascii="Amiri" w:hAnsi="Amiri" w:eastAsia="Amiri" w:cs="Amiri"/>
          <w:color w:val="111111"/>
          <w:sz w:val="28"/>
          <w:sz w:val="28"/>
          <w:szCs w:val="28"/>
          <w:rtl w:val="true"/>
          <w:lang w:bidi="ar-SA"/>
        </w:rPr>
        <w:t>و قد تبعا في اختيار التفصيل المذكور الشهيدين في الدروس</w:t>
      </w:r>
      <w:r>
        <w:rPr>
          <w:rStyle w:val="FootnoteAnchor"/>
          <w:rtl w:val="true"/>
        </w:rPr>
        <w:footnoteReference w:id="2570"/>
      </w:r>
      <w:r>
        <w:rPr>
          <w:rFonts w:ascii="Amiri" w:hAnsi="Amiri" w:eastAsia="Amiri" w:cs="Amiri"/>
          <w:color w:val="111111"/>
          <w:sz w:val="28"/>
          <w:sz w:val="28"/>
          <w:szCs w:val="28"/>
          <w:rtl w:val="true"/>
          <w:lang w:bidi="ar-SA"/>
        </w:rPr>
        <w:t>و المسالك</w:t>
      </w:r>
      <w:r>
        <w:rPr>
          <w:rStyle w:val="FootnoteAnchor"/>
          <w:rtl w:val="true"/>
        </w:rPr>
        <w:footnoteReference w:id="2571"/>
      </w:r>
      <w:r>
        <w:rPr>
          <w:rFonts w:ascii="Amiri" w:hAnsi="Amiri" w:eastAsia="Amiri" w:cs="Amiri"/>
          <w:color w:val="111111"/>
          <w:sz w:val="28"/>
          <w:sz w:val="28"/>
          <w:szCs w:val="28"/>
          <w:rtl w:val="true"/>
          <w:lang w:bidi="ar-SA"/>
        </w:rPr>
        <w:t>و نسب إلى الشيخ في المبسوط</w:t>
      </w:r>
      <w:r>
        <w:rPr>
          <w:rStyle w:val="FootnoteAnchor"/>
          <w:rtl w:val="true"/>
        </w:rPr>
        <w:footnoteReference w:id="2572"/>
      </w:r>
      <w:r>
        <w:rPr>
          <w:rFonts w:ascii="IRNazanin" w:hAnsi="IRNazanin" w:eastAsia="IRNazanin"/>
          <w:color w:val="111111"/>
          <w:sz w:val="28"/>
          <w:sz w:val="28"/>
          <w:szCs w:val="28"/>
          <w:rtl w:val="true"/>
          <w:lang w:bidi="fa-IR"/>
        </w:rPr>
        <w:t>و الخلاف</w:t>
      </w:r>
      <w:r>
        <w:rPr>
          <w:rStyle w:val="FootnoteAnchor"/>
          <w:rtl w:val="true"/>
        </w:rPr>
        <w:footnoteReference w:id="2573"/>
      </w:r>
      <w:r>
        <w:rPr>
          <w:rFonts w:ascii="Amiri" w:hAnsi="Amiri" w:eastAsia="Amiri" w:cs="Amiri"/>
          <w:color w:val="111111"/>
          <w:sz w:val="28"/>
          <w:sz w:val="28"/>
          <w:szCs w:val="28"/>
          <w:rtl w:val="true"/>
          <w:lang w:bidi="ar-SA"/>
        </w:rPr>
        <w:t>و أنت خبير بضعف هذا القول و خلوّه عن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الاحتجاج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نصاب العرض مبنيّ على ما اشترى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و إن وجّهناه بأنّ المراد به بناء حول العروض على حول الثمن الّذي اشتريت به إذا كان من أحد النقدين، و هذا يقتضي وجوب اعتبار نصابهما به لما عرفت من ضعف القول بالبناء، و إنّ الصحيح استئناف الحول من حين اشتراء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عن صاحبي المدارك و الذخيرة و غيرهما أنّهم خالفوا الشيخ في هذا القول بمصيرهم إلى القول بالاستئناف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 الاحتجاج المذكور بينهما تهافت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اريد من الاحتجاج مجرّد ابتناء نصاب العروض على نصاب الثمن المشترى به المفروض كونه أحد النقدين في الاعتبار الشرعي، على معنى أنّ الشارع لم يعتبر للعروض من حيث كونه محلاّ للتجارة نصابا بالخصوص، بل جعل نصابه نصاب الثمن المفروض كونه أحد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بنى نصاب العروض على نصاب الثمن المفروض من حيث كونه أحد النقدين لا من حيث كونه ثمنا اشتري به العروض، و دعوى البناء عليه من هذه الحيثيّة لا غير أوّل المسألة، بل لا تخلو عن مصادرة بل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الاحتجاج المذكور الاحتجاج الثاني، إذ ليس المراد من وجود رأس المال في متاع التجارة وجود عينه بل وجود مقداره، و لا ريب أنّه يعلم بالتقويم مطلقا و لا يتوقّف العلم به على التقويم بخصوص ما وقع الشراء به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قضيّة القول المختار صحّة ما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ما سبق من أنّ متاع التجارة يقوّم بالدراهم و الدنانير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إذا كانت السلعة تبلغ النصاب بأحد النقدين دون الآخر تعلّقت بها الزكاة لحصول ما يسمّى نصابا</w:t>
      </w:r>
      <w:r>
        <w:rPr>
          <w:rFonts w:eastAsia="Amiri" w:cs="Amiri" w:ascii="Amiri" w:hAnsi="Amiri"/>
          <w:color w:val="111111"/>
          <w:sz w:val="28"/>
          <w:szCs w:val="28"/>
          <w:rtl w:val="true"/>
          <w:lang w:bidi="ar-SA"/>
        </w:rPr>
        <w:t>»</w:t>
      </w:r>
      <w:r>
        <w:rPr>
          <w:rStyle w:val="FootnoteAnchor"/>
          <w:rtl w:val="true"/>
        </w:rPr>
        <w:footnoteReference w:id="2574"/>
      </w:r>
      <w:r>
        <w:rPr>
          <w:rFonts w:ascii="Amiri" w:hAnsi="Amiri" w:eastAsia="Amiri" w:cs="Amiri"/>
          <w:color w:val="111111"/>
          <w:sz w:val="28"/>
          <w:sz w:val="28"/>
          <w:szCs w:val="28"/>
          <w:rtl w:val="true"/>
          <w:lang w:bidi="ar-SA"/>
        </w:rPr>
        <w:t>فإنّه جيّد خصوصا إذا كان المبلغ نصاب الدراهم لا الدنانير سواء وافق الثمن المشترى به أو لا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بما بيّنّاه ضعف ما في المدارك من الاعتراض على إطلاق هذه العبارة أيضا بنحو ما سبق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إنّما يتمّ إذا كان الثمن عروضا و تساوى النقدان و إلاّ وجب التقويم بالنقد الّذي وقع به الشراء أو بالنقد الغالب خاصّة</w:t>
      </w:r>
      <w:r>
        <w:rPr>
          <w:rFonts w:eastAsia="Amiri" w:cs="Amiri" w:ascii="Amiri" w:hAnsi="Amiri"/>
          <w:color w:val="111111"/>
          <w:sz w:val="28"/>
          <w:szCs w:val="28"/>
          <w:rtl w:val="true"/>
          <w:lang w:bidi="ar-SA"/>
        </w:rPr>
        <w:t>»</w:t>
      </w:r>
      <w:r>
        <w:rPr>
          <w:rStyle w:val="FootnoteAnchor"/>
          <w:rtl w:val="true"/>
        </w:rPr>
        <w:footnoteReference w:id="2575"/>
      </w:r>
      <w:r>
        <w:rPr>
          <w:rFonts w:ascii="Amiri" w:hAnsi="Amiri" w:eastAsia="Amiri" w:cs="Amiri"/>
          <w:color w:val="111111"/>
          <w:sz w:val="28"/>
          <w:sz w:val="28"/>
          <w:szCs w:val="28"/>
          <w:rtl w:val="true"/>
          <w:lang w:bidi="ar-SA"/>
        </w:rPr>
        <w:t xml:space="preserve">و نحوه ما في </w:t>
      </w:r>
    </w:p>
    <w:p>
      <w:pPr>
        <w:pStyle w:val="BookText"/>
        <w:rPr/>
      </w:pPr>
      <w:r>
        <w:rPr>
          <w:rFonts w:ascii="Amiri" w:hAnsi="Amiri" w:eastAsia="Amiri" w:cs="Amiri"/>
          <w:color w:val="111111"/>
          <w:sz w:val="28"/>
          <w:sz w:val="28"/>
          <w:szCs w:val="28"/>
          <w:rtl w:val="true"/>
          <w:lang w:bidi="ar-SA"/>
        </w:rPr>
        <w:t>الذخيرة</w:t>
      </w:r>
      <w:r>
        <w:rPr>
          <w:rStyle w:val="FootnoteAnchor"/>
          <w:rtl w:val="true"/>
        </w:rPr>
        <w:footnoteReference w:id="2576"/>
      </w:r>
      <w:r>
        <w:rPr>
          <w:rFonts w:ascii="Amiri" w:hAnsi="Amiri" w:eastAsia="Amiri" w:cs="Amiri"/>
          <w:color w:val="111111"/>
          <w:sz w:val="28"/>
          <w:sz w:val="28"/>
          <w:szCs w:val="28"/>
          <w:rtl w:val="true"/>
          <w:lang w:bidi="ar-SA"/>
        </w:rPr>
        <w:t>أيضا، و قد تبعا في ذلك أيضا صاحب المسالك</w:t>
      </w:r>
      <w:r>
        <w:rPr>
          <w:rStyle w:val="FootnoteAnchor"/>
          <w:rtl w:val="true"/>
        </w:rPr>
        <w:footnoteReference w:id="2577"/>
      </w:r>
      <w:r>
        <w:rPr>
          <w:rFonts w:ascii="Amiri" w:hAnsi="Amiri" w:eastAsia="Amiri" w:cs="Amiri"/>
          <w:color w:val="111111"/>
          <w:sz w:val="28"/>
          <w:sz w:val="28"/>
          <w:szCs w:val="28"/>
          <w:rtl w:val="true"/>
          <w:lang w:bidi="ar-SA"/>
        </w:rPr>
        <w:t>فإنّ اعتبار التقويم بالنقد الغالب أو تساوي النقدين فيما لو كان الثمن عروضا، و بما وقع الشراء به فيما لو كان نقدا تقييد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يشكل الحال في فرض التخلّف بين نصابي النقدين بملاحظة ما سبق</w:t>
      </w:r>
      <w:r>
        <w:rPr>
          <w:rStyle w:val="FootnoteAnchor"/>
          <w:rtl w:val="true"/>
        </w:rPr>
        <w:footnoteReference w:id="2578"/>
      </w:r>
      <w:r>
        <w:rPr>
          <w:rFonts w:ascii="Amiri" w:hAnsi="Amiri" w:eastAsia="Amiri" w:cs="Amiri"/>
          <w:color w:val="111111"/>
          <w:sz w:val="28"/>
          <w:sz w:val="28"/>
          <w:szCs w:val="28"/>
          <w:rtl w:val="true"/>
          <w:lang w:bidi="ar-SA"/>
        </w:rPr>
        <w:t>في مباحث زكاة النقدين من أنّ دينارا بحسب القيمة كان يساوي عشرة دراهم، و عشرين دينارا تساوي مائتي درهما، و قضيّة ذلك بلوغ القيمة النصاب بكلّ من النقدين لا بأحدهما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يسهل الذبّ عنه بأنّ ما سبق من التساوي إنّما هو بحسب العرف القديم أعني عرف زمن الصدور و ما يقاربه، و يجوز الاختلاف بين الأزمنة في قيمة الذهب و الفضّة ارتفاعا و انخفاضا كما في أعصارنا هذه، فإنّ عشرين دينارا يعادل خمسة عشر مثقالا صيرفيّا</w:t>
      </w:r>
      <w:r>
        <w:rPr>
          <w:rStyle w:val="FootnoteAnchor"/>
          <w:rtl w:val="true"/>
        </w:rPr>
        <w:footnoteReference w:id="2579"/>
      </w:r>
      <w:r>
        <w:rPr>
          <w:rFonts w:ascii="Amiri" w:hAnsi="Amiri" w:eastAsia="Amiri" w:cs="Amiri"/>
          <w:color w:val="111111"/>
          <w:sz w:val="28"/>
          <w:sz w:val="28"/>
          <w:szCs w:val="28"/>
          <w:rtl w:val="true"/>
          <w:lang w:bidi="ar-SA"/>
        </w:rPr>
        <w:t>ذهبا و قيمته تعادل إحدى و عشرين تومانا</w:t>
      </w:r>
      <w:r>
        <w:rPr>
          <w:rStyle w:val="FootnoteAnchor"/>
          <w:rtl w:val="true"/>
        </w:rPr>
        <w:footnoteReference w:id="2580"/>
      </w:r>
      <w:r>
        <w:rPr>
          <w:rFonts w:ascii="Amiri" w:hAnsi="Amiri" w:eastAsia="Amiri" w:cs="Amiri"/>
          <w:color w:val="111111"/>
          <w:sz w:val="28"/>
          <w:sz w:val="28"/>
          <w:szCs w:val="28"/>
          <w:rtl w:val="true"/>
          <w:lang w:bidi="ar-SA"/>
        </w:rPr>
        <w:t>و مائتا درهم تعادل مائة مثقالا و خمسة مثاقيل صيرفيّة و قيمته تعادل عشرة تومان إلاّ نصف عشر تومان، و مفروض المسألة حينئذ ما إذا بلغ قيمة السلعة ذلك المبلغ و ما فوقه ما لم يبلغ إحدى و عشرين تومانا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 جماعة من الأصحاب و منهم الفاضل في التذكرة</w:t>
      </w:r>
      <w:r>
        <w:rPr>
          <w:rStyle w:val="FootnoteAnchor"/>
          <w:rtl w:val="true"/>
        </w:rPr>
        <w:footnoteReference w:id="2581"/>
      </w:r>
      <w:r>
        <w:rPr>
          <w:rFonts w:ascii="IRNazanin" w:hAnsi="IRNazanin" w:eastAsia="IRNazanin"/>
          <w:color w:val="111111"/>
          <w:sz w:val="28"/>
          <w:sz w:val="28"/>
          <w:szCs w:val="28"/>
          <w:rtl w:val="true"/>
          <w:lang w:bidi="fa-IR"/>
        </w:rPr>
        <w:t>و المنتهى</w:t>
      </w:r>
      <w:r>
        <w:rPr>
          <w:rStyle w:val="FootnoteAnchor"/>
          <w:rtl w:val="true"/>
        </w:rPr>
        <w:footnoteReference w:id="2582"/>
      </w:r>
      <w:r>
        <w:rPr>
          <w:rFonts w:ascii="Amiri" w:hAnsi="Amiri" w:eastAsia="Amiri" w:cs="Amiri"/>
          <w:color w:val="111111"/>
          <w:sz w:val="28"/>
          <w:sz w:val="28"/>
          <w:szCs w:val="28"/>
          <w:rtl w:val="true"/>
          <w:lang w:bidi="ar-SA"/>
        </w:rPr>
        <w:t>و صاحب المدارك</w:t>
      </w:r>
      <w:r>
        <w:rPr>
          <w:rStyle w:val="FootnoteAnchor"/>
          <w:rtl w:val="true"/>
        </w:rPr>
        <w:footnoteReference w:id="2583"/>
      </w:r>
      <w:r>
        <w:rPr>
          <w:rFonts w:ascii="Amiri" w:hAnsi="Amiri" w:eastAsia="Amiri" w:cs="Amiri"/>
          <w:color w:val="111111"/>
          <w:sz w:val="28"/>
          <w:sz w:val="28"/>
          <w:szCs w:val="28"/>
          <w:rtl w:val="true"/>
          <w:lang w:bidi="ar-SA"/>
        </w:rPr>
        <w:t>و الذخيرة</w:t>
      </w:r>
      <w:r>
        <w:rPr>
          <w:rStyle w:val="FootnoteAnchor"/>
          <w:rtl w:val="true"/>
        </w:rPr>
        <w:footnoteReference w:id="2584"/>
      </w:r>
      <w:r>
        <w:rPr>
          <w:rFonts w:ascii="Amiri" w:hAnsi="Amiri" w:eastAsia="Amiri" w:cs="Amiri"/>
          <w:color w:val="111111"/>
          <w:sz w:val="28"/>
          <w:sz w:val="28"/>
          <w:szCs w:val="28"/>
          <w:rtl w:val="true"/>
          <w:lang w:bidi="ar-SA"/>
        </w:rPr>
        <w:t>في الزيادة على النصاب الأوّل اشتراط بلوغها النصاب الثاني، أعني أربعة في الذهب و أربعين في الفضّة فلا زكاة في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إطلاق الفاضلين في الشرائع و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ثاني الشهيدين أنّه ذكر في حواشي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 يقف على دليل يدلّ </w:t>
      </w:r>
      <w:bookmarkStart w:id="565" w:name="pg16181_154800"/>
    </w:p>
    <w:p>
      <w:pPr>
        <w:pStyle w:val="BookText"/>
        <w:rPr/>
      </w:pPr>
      <w:bookmarkEnd w:id="565"/>
      <w:r>
        <w:rPr>
          <w:rFonts w:ascii="Amiri" w:hAnsi="Amiri" w:eastAsia="Amiri" w:cs="Amiri"/>
          <w:color w:val="111111"/>
          <w:sz w:val="28"/>
          <w:sz w:val="28"/>
          <w:szCs w:val="28"/>
          <w:rtl w:val="true"/>
          <w:lang w:bidi="ar-SA"/>
        </w:rPr>
        <w:t>على اعتبار النصاب الثاني هنا، و إنّ العامّة</w:t>
      </w:r>
      <w:r>
        <w:rPr>
          <w:rStyle w:val="FootnoteAnchor"/>
          <w:rtl w:val="true"/>
        </w:rPr>
        <w:footnoteReference w:id="2586"/>
      </w:r>
      <w:r>
        <w:rPr>
          <w:rFonts w:ascii="Amiri" w:hAnsi="Amiri" w:eastAsia="Amiri" w:cs="Amiri"/>
          <w:color w:val="111111"/>
          <w:sz w:val="28"/>
          <w:sz w:val="28"/>
          <w:szCs w:val="28"/>
          <w:rtl w:val="true"/>
          <w:lang w:bidi="ar-SA"/>
        </w:rPr>
        <w:t>صرّحوا باعتبار الأوّل خاصّة</w:t>
      </w:r>
      <w:r>
        <w:rPr>
          <w:rFonts w:eastAsia="Amiri" w:cs="Amiri" w:ascii="Amiri" w:hAnsi="Amiri"/>
          <w:color w:val="111111"/>
          <w:sz w:val="28"/>
          <w:szCs w:val="28"/>
          <w:rtl w:val="true"/>
          <w:lang w:bidi="ar-SA"/>
        </w:rPr>
        <w:t>»</w:t>
      </w:r>
      <w:r>
        <w:rPr>
          <w:rStyle w:val="FootnoteAnchor"/>
          <w:rtl w:val="true"/>
        </w:rPr>
        <w:footnoteReference w:id="2587"/>
      </w:r>
      <w:r>
        <w:rPr>
          <w:rFonts w:ascii="Amiri" w:hAnsi="Amiri" w:eastAsia="Amiri" w:cs="Amiri"/>
          <w:color w:val="111111"/>
          <w:sz w:val="28"/>
          <w:sz w:val="28"/>
          <w:szCs w:val="28"/>
          <w:rtl w:val="true"/>
          <w:lang w:bidi="ar-SA"/>
        </w:rPr>
        <w:t>و اعترض عليه في المدارك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على اعتبار الأوّل هو بعينه الدليل على اعتبار الثاني و الجمهور إنّما لم يعتبروا النصاب الثاني هنا لعدم اعتبارهم له في زكاة النقدين</w:t>
      </w:r>
      <w:r>
        <w:rPr>
          <w:rFonts w:eastAsia="Amiri" w:cs="Amiri" w:ascii="Amiri" w:hAnsi="Amiri"/>
          <w:color w:val="111111"/>
          <w:sz w:val="28"/>
          <w:szCs w:val="28"/>
          <w:rtl w:val="true"/>
          <w:lang w:bidi="ar-SA"/>
        </w:rPr>
        <w:t>»</w:t>
      </w:r>
      <w:r>
        <w:rPr>
          <w:rStyle w:val="FootnoteAnchor"/>
          <w:rtl w:val="true"/>
        </w:rPr>
        <w:footnoteReference w:id="2588"/>
      </w:r>
      <w:r>
        <w:rPr>
          <w:rFonts w:ascii="Amiri" w:hAnsi="Amiri" w:eastAsia="Amiri" w:cs="Amiri"/>
          <w:color w:val="111111"/>
          <w:sz w:val="28"/>
          <w:sz w:val="28"/>
          <w:szCs w:val="28"/>
          <w:rtl w:val="true"/>
          <w:lang w:bidi="ar-SA"/>
        </w:rPr>
        <w:t>و الظاهر أنّ مراده من الدليل الجاري في النصابين هو ما تقدّم منه من دعوى ظهور الروايات في أنّ هذه الزكاة بعينها زكاة النقدين فيعتبر فيها نصابها و يتساويان في قدر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دليل ذلك قوله عليه السّلام في خبر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كلّما خلا الدراهم من ذهب أو متاع فهو عرض مردود إلى الدراهم في الزكاة و الديات</w:t>
      </w:r>
      <w:r>
        <w:rPr>
          <w:rFonts w:eastAsia="Amiri" w:cs="Amiri" w:ascii="Amiri" w:hAnsi="Amiri"/>
          <w:color w:val="111111"/>
          <w:sz w:val="28"/>
          <w:szCs w:val="28"/>
          <w:rtl w:val="true"/>
          <w:lang w:bidi="ar-SA"/>
        </w:rPr>
        <w:t>»</w:t>
      </w:r>
      <w:r>
        <w:rPr>
          <w:rStyle w:val="FootnoteAnchor"/>
          <w:rtl w:val="true"/>
        </w:rPr>
        <w:footnoteReference w:id="2589"/>
      </w:r>
      <w:r>
        <w:rPr>
          <w:rFonts w:ascii="Amiri" w:hAnsi="Amiri" w:eastAsia="Amiri" w:cs="Amiri"/>
          <w:color w:val="111111"/>
          <w:sz w:val="28"/>
          <w:sz w:val="28"/>
          <w:szCs w:val="28"/>
          <w:rtl w:val="true"/>
          <w:lang w:bidi="ar-SA"/>
        </w:rPr>
        <w:t xml:space="preserve">فإنّه بإطلاقه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وروده في معرض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زكاة مال التجارة بحسب القيمة كزكاة الدراهم في جميع الأحكام من اعتبار النصابين و القدر المخرج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ذكره في الذخيرة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 التعويل في اعتبار النصاب الأوّل على الإجماع كان الحكم منوطا بالقدر المتيقّن فيلزم اعتبار النصاب الثاني لعدم تحقّق الاجماع في القدر الناقص منه</w:t>
      </w:r>
      <w:r>
        <w:rPr>
          <w:rFonts w:eastAsia="Amiri" w:cs="Amiri" w:ascii="Amiri" w:hAnsi="Amiri"/>
          <w:color w:val="111111"/>
          <w:sz w:val="28"/>
          <w:szCs w:val="28"/>
          <w:rtl w:val="true"/>
          <w:lang w:bidi="ar-SA"/>
        </w:rPr>
        <w:t>»</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6" w:name="__RefHeading___Toc2586825_1280447820"/>
      <w:bookmarkStart w:id="567" w:name="_Toc211"/>
      <w:bookmarkEnd w:id="566"/>
      <w:r>
        <w:rPr>
          <w:rtl w:val="true"/>
        </w:rPr>
        <w:t>[</w:t>
      </w:r>
      <w:r>
        <w:rPr>
          <w:rtl w:val="true"/>
        </w:rPr>
        <w:t>زكاة مال التجارة تتعلّق بالقيمة لا بالعين</w:t>
      </w:r>
      <w:r>
        <w:rPr>
          <w:rtl w:val="true"/>
        </w:rPr>
        <w:t>]</w:t>
      </w:r>
      <w:bookmarkEnd w:id="56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عن الشيخ و أتباعه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زكاة مال التجارة تتعلّق بقيمة المتاع لا بعينه</w:t>
      </w:r>
      <w:r>
        <w:rPr>
          <w:rFonts w:eastAsia="Amiri" w:cs="Amiri" w:ascii="Amiri" w:hAnsi="Amiri"/>
          <w:color w:val="111111"/>
          <w:sz w:val="28"/>
          <w:szCs w:val="28"/>
          <w:rtl w:val="true"/>
          <w:lang w:bidi="ar-SA"/>
        </w:rPr>
        <w:t>»</w:t>
      </w:r>
      <w:r>
        <w:rPr>
          <w:rStyle w:val="FootnoteAnchor"/>
          <w:rtl w:val="true"/>
        </w:rPr>
        <w:footnoteReference w:id="2591"/>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بين الأصحاب نقلا و تحصيلا</w:t>
      </w:r>
      <w:r>
        <w:rPr>
          <w:rFonts w:eastAsia="Amiri" w:cs="Amiri" w:ascii="Amiri" w:hAnsi="Amiri"/>
          <w:color w:val="111111"/>
          <w:sz w:val="28"/>
          <w:szCs w:val="28"/>
          <w:rtl w:val="true"/>
          <w:lang w:bidi="ar-SA"/>
        </w:rPr>
        <w:t>»</w:t>
      </w:r>
      <w:r>
        <w:rPr>
          <w:rStyle w:val="FootnoteAnchor"/>
          <w:rtl w:val="true"/>
        </w:rPr>
        <w:footnoteReference w:id="2592"/>
      </w:r>
      <w:r>
        <w:rPr>
          <w:rFonts w:ascii="Amiri" w:hAnsi="Amiri" w:eastAsia="Amiri" w:cs="Amiri"/>
          <w:color w:val="111111"/>
          <w:sz w:val="28"/>
          <w:sz w:val="28"/>
          <w:szCs w:val="28"/>
          <w:rtl w:val="true"/>
          <w:lang w:bidi="ar-SA"/>
        </w:rPr>
        <w:t>و عن المفاتيح نسبته إلى أصحابنا</w:t>
      </w:r>
      <w:r>
        <w:rPr>
          <w:rStyle w:val="FootnoteAnchor"/>
          <w:rtl w:val="true"/>
        </w:rPr>
        <w:footnoteReference w:id="2593"/>
      </w:r>
      <w:r>
        <w:rPr>
          <w:rFonts w:ascii="Amiri" w:hAnsi="Amiri" w:eastAsia="Amiri" w:cs="Amiri"/>
          <w:color w:val="111111"/>
          <w:sz w:val="28"/>
          <w:sz w:val="28"/>
          <w:szCs w:val="28"/>
          <w:rtl w:val="true"/>
          <w:lang w:bidi="ar-SA"/>
        </w:rPr>
        <w:t>و هو يؤذن بدعوى الإجماع،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عبارة المنتهى</w:t>
      </w:r>
      <w:r>
        <w:rPr>
          <w:rStyle w:val="FootnoteAnchor"/>
          <w:rtl w:val="true"/>
        </w:rPr>
        <w:footnoteReference w:id="2594"/>
      </w:r>
      <w:r>
        <w:rPr>
          <w:rFonts w:ascii="Amiri" w:hAnsi="Amiri" w:eastAsia="Amiri" w:cs="Amiri"/>
          <w:color w:val="111111"/>
          <w:sz w:val="28"/>
          <w:sz w:val="28"/>
          <w:szCs w:val="28"/>
          <w:rtl w:val="true"/>
          <w:lang w:bidi="ar-SA"/>
        </w:rPr>
        <w:t>تشعر بدعوى الإجماع عليه</w:t>
      </w:r>
      <w:r>
        <w:rPr>
          <w:rStyle w:val="FootnoteAnchor"/>
          <w:rtl w:val="true"/>
        </w:rPr>
        <w:footnoteReference w:id="2595"/>
      </w:r>
      <w:r>
        <w:rPr>
          <w:rFonts w:ascii="Amiri" w:hAnsi="Amiri" w:eastAsia="Amiri" w:cs="Amiri"/>
          <w:color w:val="111111"/>
          <w:sz w:val="28"/>
          <w:sz w:val="28"/>
          <w:szCs w:val="28"/>
          <w:rtl w:val="true"/>
          <w:lang w:bidi="ar-SA"/>
        </w:rPr>
        <w:t>و في المعتبر عن أبي حنيفة</w:t>
      </w:r>
      <w:r>
        <w:rPr>
          <w:rStyle w:val="FootnoteAnchor"/>
          <w:rtl w:val="true"/>
        </w:rPr>
        <w:footnoteReference w:id="2596"/>
      </w:r>
      <w:r>
        <w:rPr>
          <w:rFonts w:ascii="Amiri" w:hAnsi="Amiri" w:eastAsia="Amiri" w:cs="Amiri"/>
          <w:color w:val="111111"/>
          <w:sz w:val="28"/>
          <w:sz w:val="28"/>
          <w:szCs w:val="28"/>
          <w:rtl w:val="true"/>
          <w:lang w:bidi="ar-SA"/>
        </w:rPr>
        <w:t xml:space="preserve">من العامّة أنّه ذهب إلى تعلّقها بالعين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 منها فهو الواجب و إن عدل إلى القيمة فقد أخرج بدل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قاله أبو حنيفة أنسب بالمذهب</w:t>
      </w:r>
      <w:r>
        <w:rPr>
          <w:rStyle w:val="FootnoteAnchor"/>
          <w:rtl w:val="true"/>
        </w:rPr>
        <w:footnoteReference w:id="2597"/>
      </w:r>
      <w:r>
        <w:rPr>
          <w:rFonts w:ascii="Amiri" w:hAnsi="Amiri" w:eastAsia="Amiri" w:cs="Amiri"/>
          <w:color w:val="111111"/>
          <w:sz w:val="28"/>
          <w:sz w:val="28"/>
          <w:szCs w:val="28"/>
          <w:rtl w:val="true"/>
          <w:lang w:bidi="ar-SA"/>
        </w:rPr>
        <w:t>و عن التذكرة أنّه نفى البأس عن هذا القول</w:t>
      </w:r>
      <w:r>
        <w:rPr>
          <w:rStyle w:val="FootnoteAnchor"/>
          <w:rtl w:val="true"/>
        </w:rPr>
        <w:footnoteReference w:id="2598"/>
      </w:r>
      <w:r>
        <w:rPr>
          <w:rFonts w:ascii="Amiri" w:hAnsi="Amiri" w:eastAsia="Amiri" w:cs="Amiri"/>
          <w:color w:val="111111"/>
          <w:sz w:val="28"/>
          <w:sz w:val="28"/>
          <w:szCs w:val="28"/>
          <w:rtl w:val="true"/>
          <w:lang w:bidi="ar-SA"/>
        </w:rPr>
        <w:t>و استحسنه في المدارك</w:t>
      </w:r>
      <w:r>
        <w:rPr>
          <w:rStyle w:val="FootnoteAnchor"/>
          <w:rtl w:val="true"/>
        </w:rPr>
        <w:footnoteReference w:id="2599"/>
      </w:r>
      <w:r>
        <w:rPr>
          <w:rFonts w:ascii="Amiri" w:hAnsi="Amiri" w:eastAsia="Amiri" w:cs="Amiri"/>
          <w:color w:val="111111"/>
          <w:sz w:val="28"/>
          <w:sz w:val="28"/>
          <w:szCs w:val="28"/>
          <w:rtl w:val="true"/>
          <w:lang w:bidi="ar-SA"/>
        </w:rPr>
        <w:t>و عن المفاتيح أنّه أصحّ‌</w:t>
      </w:r>
      <w:r>
        <w:rPr>
          <w:rStyle w:val="FootnoteAnchor"/>
          <w:rtl w:val="true"/>
        </w:rPr>
        <w:footnoteReference w:id="2600"/>
      </w:r>
      <w:r>
        <w:rPr>
          <w:rFonts w:ascii="Amiri" w:hAnsi="Amiri" w:eastAsia="Amiri" w:cs="Amiri"/>
          <w:color w:val="111111"/>
          <w:sz w:val="28"/>
          <w:sz w:val="28"/>
          <w:szCs w:val="28"/>
          <w:rtl w:val="true"/>
          <w:lang w:bidi="ar-SA"/>
        </w:rPr>
        <w:t>و في الذخيرة أنّ المسألة عندي محلّ تردّد</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القيمة هاهنا ما يقدّر معادلا للمتاع من أحد النقدين، و إنّما سمّي قيمة لأنّه في المعاملة يقاوم المتاع و يقوم مقامه، و إنّما كونها من أحد النقدين لما اعتبر في زكاة المتاع بلوغ قيمته نصاب أحد النقدين، و لذا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التجارة تتعلّق بقيمة المتاع لا بعينه و يقوّم بالدراهم أو الدنانير</w:t>
      </w:r>
      <w:r>
        <w:rPr>
          <w:rFonts w:eastAsia="Amiri" w:cs="Amiri" w:ascii="Amiri" w:hAnsi="Amiri"/>
          <w:color w:val="111111"/>
          <w:sz w:val="28"/>
          <w:szCs w:val="28"/>
          <w:rtl w:val="true"/>
          <w:lang w:bidi="ar-SA"/>
        </w:rPr>
        <w:t>»</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كان مبنى التقويم على الفرض و التقدير بملاحظة صلاحية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نظر أهل الخبرة مع كون القيمة المقدّرة معدومة حال وجود المتاع لأنّها إنّما تتحقّق في الخارج بعد بيع المتاع لا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تعلّق الزكاة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إخراج القدر المخصوص،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ربع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 القيمة المقدّرة أعني جنس الدراهم أو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هو المشهور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هذه الزكاة بالقيمة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ذلك، ظاهر خبر إسحاق بن عمّار المتقدّم</w:t>
      </w:r>
      <w:r>
        <w:rPr>
          <w:rStyle w:val="FootnoteAnchor"/>
          <w:rtl w:val="true"/>
        </w:rPr>
        <w:footnoteReference w:id="2603"/>
      </w:r>
      <w:r>
        <w:rPr>
          <w:rFonts w:ascii="Amiri" w:hAnsi="Amiri" w:eastAsia="Amiri" w:cs="Amiri"/>
          <w:color w:val="111111"/>
          <w:sz w:val="28"/>
          <w:sz w:val="28"/>
          <w:szCs w:val="28"/>
          <w:rtl w:val="true"/>
          <w:lang w:bidi="ar-SA"/>
        </w:rPr>
        <w:t>في مواضع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العدول عن تثنية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إرجاعا له إلى الذهب و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تذكيره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إرجاعا له إلى المجموع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الإفراد و التأنيث دلالة واضحة على اعتبار عوده إلى الدراهم المدلول عليه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 ذلك 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طريقة المرجع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عين المال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بالتوجيه المتقدّم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كلّما خلا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كما تقدّم</w:t>
      </w:r>
      <w:r>
        <w:rPr>
          <w:rStyle w:val="FootnoteAnchor"/>
          <w:rtl w:val="true"/>
        </w:rPr>
        <w:footnoteReference w:id="2604"/>
      </w:r>
      <w:r>
        <w:rPr>
          <w:rFonts w:ascii="Amiri" w:hAnsi="Amiri" w:eastAsia="Amiri" w:cs="Amiri"/>
          <w:color w:val="111111"/>
          <w:sz w:val="28"/>
          <w:sz w:val="28"/>
          <w:szCs w:val="28"/>
          <w:rtl w:val="true"/>
          <w:lang w:bidi="ar-SA"/>
        </w:rPr>
        <w:t>الإشارة إليه، فإنّ الردّ إلى الدراهم في الزكاة ممّا لا معنى له إلاّ الرجوع في أحكام زكاة العرض من النصاب و قدر المال المخرج و قدره إلى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الجميع أو يدلّ على المطلب استقراء </w:t>
      </w:r>
      <w:bookmarkStart w:id="568" w:name="pg16181_154802"/>
    </w:p>
    <w:p>
      <w:pPr>
        <w:pStyle w:val="BookText"/>
        <w:rPr/>
      </w:pPr>
      <w:bookmarkEnd w:id="568"/>
      <w:r>
        <w:rPr>
          <w:rFonts w:ascii="Amiri" w:hAnsi="Amiri" w:eastAsia="Amiri" w:cs="Amiri"/>
          <w:color w:val="111111"/>
          <w:sz w:val="28"/>
          <w:sz w:val="28"/>
          <w:szCs w:val="28"/>
          <w:rtl w:val="true"/>
          <w:lang w:bidi="ar-SA"/>
        </w:rPr>
        <w:t>الأجناس الزكويّة، و أقسام ما يجب فيه، و ما يستحبّ فيه الزكاة المفيد للملازمة بين محلّ النصاب و متعلّق الزكاة، إن عينا فعين، و إن قيمة فقيمة و لم يوجد فيها ما يعتبر النصاب في العين و الزكاة في القيمة، و لا ما يعكس فيه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ينظر احتجاج الشيخ بأنّ النصاب معتبر بالقيمة و ما اعتبر النصاب منه وجبت الزكاة فيه كسائر الأموال، كما ينظر إلى الوجه السابق احتجاجه الآخر بما رواه عن إسحاق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كلّ عرض فهو مردود إلى الدراهم و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بيّنّاه من التقرير و التوجيه يندفع عنه ما أورده المحقّق في المعتبر عليهما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تمسّك الشيخ ضعيف، أمّا قوله النصاب معتبر بالقيمة قلنا مسلّم لكن ليعلم بلوغها القدر المعلوم و لا نسلّم أنّه لوجوب الإخراج منها، و أمّا الرواية فغير دالّة على موضع النزاع لأنّها دالّة على أنّ الأمتعة تقوّم بالدراهم و الدنانير و لا يلزم من ذلك إخراج زكاتها منها</w:t>
      </w:r>
      <w:r>
        <w:rPr>
          <w:rFonts w:eastAsia="Amiri" w:cs="Amiri" w:ascii="Amiri" w:hAnsi="Amiri"/>
          <w:color w:val="111111"/>
          <w:sz w:val="28"/>
          <w:szCs w:val="28"/>
          <w:rtl w:val="true"/>
          <w:lang w:bidi="ar-SA"/>
        </w:rPr>
        <w:t>»</w:t>
      </w:r>
      <w:r>
        <w:rPr>
          <w:rStyle w:val="FootnoteAnchor"/>
          <w:rtl w:val="true"/>
        </w:rPr>
        <w:footnoteReference w:id="2605"/>
      </w:r>
      <w:r>
        <w:rPr>
          <w:rFonts w:ascii="Amiri" w:hAnsi="Amiri" w:eastAsia="Amiri" w:cs="Amiri"/>
          <w:color w:val="111111"/>
          <w:sz w:val="28"/>
          <w:sz w:val="28"/>
          <w:szCs w:val="28"/>
          <w:rtl w:val="true"/>
          <w:lang w:bidi="ar-SA"/>
        </w:rPr>
        <w:t>و يظهر وجه الاندفاع بالتأمّل فيما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الخلاف على القول باستحباب هذه الزكاة لا يظهر له فائدة مهمّة عدى ما حكي عن الشهيد رحمه اللّه في حاشية القواعد 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الزكاة تتعلّق بقيمة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تظهر الفائدة في مثل من عنده مائتا قفيز من حنطة تساوي مائتي درهم، ثمّ تزيد بعد الحول ثلاثمائة درهم فإن قلنا تتعلّق بالعين أخرج خمسة أقفزة أو قيمتها سبعة دراهم و نصفا، و إن قلنا بالقيمة أخرج خمسة دراهم أو بقيمتها حنطة</w:t>
      </w:r>
      <w:r>
        <w:rPr>
          <w:rFonts w:eastAsia="Amiri" w:cs="Amiri" w:ascii="Amiri" w:hAnsi="Amiri"/>
          <w:color w:val="111111"/>
          <w:sz w:val="28"/>
          <w:szCs w:val="28"/>
          <w:rtl w:val="true"/>
          <w:lang w:bidi="ar-SA"/>
        </w:rPr>
        <w:t>»</w:t>
      </w:r>
      <w:r>
        <w:rPr>
          <w:rStyle w:val="FootnoteAnchor"/>
          <w:rtl w:val="true"/>
        </w:rPr>
        <w:footnoteReference w:id="26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569" w:name="__RefHeading___Toc2586827_1280447820"/>
      <w:bookmarkStart w:id="570" w:name="_Toc212"/>
      <w:bookmarkEnd w:id="569"/>
      <w:r>
        <w:rPr>
          <w:rtl w:val="true"/>
        </w:rPr>
        <w:t>[</w:t>
      </w:r>
      <w:r>
        <w:rPr>
          <w:rtl w:val="true"/>
        </w:rPr>
        <w:t>فوائد تعلّق الزكاة بالقيمة</w:t>
      </w:r>
      <w:r>
        <w:rPr>
          <w:rtl w:val="true"/>
        </w:rPr>
        <w:t>]</w:t>
      </w:r>
      <w:bookmarkEnd w:id="570"/>
    </w:p>
    <w:p>
      <w:pPr>
        <w:pStyle w:val="BookText"/>
        <w:rPr/>
      </w:pPr>
      <w:r>
        <w:rPr>
          <w:rFonts w:ascii="Amiri" w:hAnsi="Amiri" w:eastAsia="Amiri" w:cs="Amiri"/>
          <w:color w:val="111111"/>
          <w:sz w:val="28"/>
          <w:sz w:val="28"/>
          <w:szCs w:val="28"/>
          <w:rtl w:val="true"/>
          <w:lang w:bidi="ar-SA"/>
        </w:rPr>
        <w:t>نعم على القول بوجوبها ربّما ذكر فوائد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كلام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تظهر فائدة الخلاف في جواز بيع السلعة بعد الحول و قبل إخراج الزكاة أو ضمانها فيجوز على الأوّل كما نصّ عليه في المنتهى</w:t>
      </w:r>
      <w:r>
        <w:rPr>
          <w:rStyle w:val="FootnoteAnchor"/>
          <w:rtl w:val="true"/>
        </w:rPr>
        <w:footnoteReference w:id="2607"/>
      </w:r>
      <w:r>
        <w:rPr>
          <w:rFonts w:ascii="Amiri" w:hAnsi="Amiri" w:eastAsia="Amiri" w:cs="Amiri"/>
          <w:color w:val="111111"/>
          <w:sz w:val="28"/>
          <w:sz w:val="28"/>
          <w:szCs w:val="28"/>
          <w:rtl w:val="true"/>
          <w:lang w:bidi="ar-SA"/>
        </w:rPr>
        <w:t>لأنّها إنّما تتعلّق بالقيمة دون الثاني</w:t>
      </w:r>
      <w:r>
        <w:rPr>
          <w:rFonts w:eastAsia="Amiri" w:cs="Amiri" w:ascii="Amiri" w:hAnsi="Amiri"/>
          <w:color w:val="111111"/>
          <w:sz w:val="28"/>
          <w:szCs w:val="28"/>
          <w:rtl w:val="true"/>
          <w:lang w:bidi="ar-SA"/>
        </w:rPr>
        <w:t>»</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ثاني الشهيدين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تظهر فائدة الخلاف أيضا فيما لو زادت القيمة بعد </w:t>
      </w:r>
      <w:bookmarkStart w:id="571" w:name="pg16181_154803"/>
    </w:p>
    <w:p>
      <w:pPr>
        <w:pStyle w:val="BookText"/>
        <w:rPr/>
      </w:pPr>
      <w:bookmarkEnd w:id="571"/>
      <w:r>
        <w:rPr>
          <w:rFonts w:ascii="Amiri" w:hAnsi="Amiri" w:eastAsia="Amiri" w:cs="Amiri"/>
          <w:color w:val="111111"/>
          <w:sz w:val="28"/>
          <w:sz w:val="28"/>
          <w:szCs w:val="28"/>
          <w:rtl w:val="true"/>
          <w:lang w:bidi="ar-SA"/>
        </w:rPr>
        <w:t>الحول فعلى المشهور يخرج ربع عشر القيمة الاولى، و على الثاني ربع عشر الزيادة أيضا و في التحاصّ و عدمه لو قصرت التركة</w:t>
      </w:r>
      <w:r>
        <w:rPr>
          <w:rFonts w:eastAsia="Amiri" w:cs="Amiri" w:ascii="Amiri" w:hAnsi="Amiri"/>
          <w:color w:val="111111"/>
          <w:sz w:val="28"/>
          <w:szCs w:val="28"/>
          <w:rtl w:val="true"/>
          <w:lang w:bidi="ar-SA"/>
        </w:rPr>
        <w:t>»</w:t>
      </w:r>
      <w:r>
        <w:rPr>
          <w:rStyle w:val="FootnoteAnchor"/>
          <w:rtl w:val="true"/>
        </w:rPr>
        <w:footnoteReference w:id="26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 راجع إلى ما عرفت عن الشهيد في حواشي القواعد، و إخراج ربع عشر الزيادة أيضا على التعلّق بالعين مبنيّ على العدول في إخراج الزكاة إلى القيمة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فناقشه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التعلّق بالقيمة غير الوجوب في الذمّة فيتّجه القول بتقديم الزكاة على القول بالوجوب و إن قلنا إنّها تتعلّق بالقيمة كما اختاره في الدروس</w:t>
      </w:r>
      <w:r>
        <w:rPr>
          <w:rStyle w:val="FootnoteAnchor"/>
          <w:rtl w:val="true"/>
        </w:rPr>
        <w:footnoteReference w:id="2610"/>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التعلّق بالقيمة إنّما يتحقّق بعد بيع عروض التجارة أمّا قبله فلا، و هو بعيد جدّا</w:t>
      </w:r>
      <w:r>
        <w:rPr>
          <w:rFonts w:eastAsia="Amiri" w:cs="Amiri" w:ascii="Amiri" w:hAnsi="Amiri"/>
          <w:color w:val="111111"/>
          <w:sz w:val="28"/>
          <w:szCs w:val="28"/>
          <w:rtl w:val="true"/>
          <w:lang w:bidi="ar-SA"/>
        </w:rPr>
        <w:t>»</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التعلّق بالقيمة و الوجوب في الذمّة و إن كانا يتغايران مفهوما بالعموم و الخصوص فإنّ ما في الذمّة أعمّ من المثل و القيمة إلاّ أنّ التعلّق بالقيمة المقدّرة هاهنا على ما أوضحناه ممّا لا محصّل له إلاّ استقرار القدر المخصوص من أحد النقدين في الذمّة، ففائدة التحاصّ على القول بوجوب هذه الزكاة مع التعلّق بالقيمة في محلّها، و المناقشة المذكورة في غير محلّها</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2586829_1280447820"/>
      <w:bookmarkStart w:id="573" w:name="_Toc213"/>
      <w:bookmarkEnd w:id="572"/>
      <w:r>
        <w:rPr>
          <w:rtl w:val="true"/>
        </w:rPr>
        <w:t>مسائل</w:t>
      </w:r>
      <w:r>
        <w:rPr>
          <w:rtl w:val="true"/>
        </w:rPr>
        <w:t>:</w:t>
      </w:r>
      <w:bookmarkEnd w:id="573"/>
    </w:p>
    <w:p>
      <w:pPr>
        <w:pStyle w:val="Heading6"/>
        <w:numPr>
          <w:ilvl w:val="5"/>
          <w:numId w:val="1"/>
        </w:numPr>
        <w:rPr/>
      </w:pPr>
      <w:bookmarkStart w:id="574" w:name="__RefHeading___Toc2586831_1280447820"/>
      <w:bookmarkStart w:id="575" w:name="_Toc214"/>
      <w:bookmarkEnd w:id="574"/>
      <w:r>
        <w:rPr>
          <w:rtl w:val="true"/>
        </w:rPr>
        <w:t>المسألة الاولى</w:t>
      </w:r>
      <w:r>
        <w:rPr>
          <w:rtl w:val="true"/>
        </w:rPr>
        <w:t>: [</w:t>
      </w:r>
      <w:r>
        <w:rPr>
          <w:rtl w:val="true"/>
        </w:rPr>
        <w:t>التجارة في النصب و اجتماع الزكاتين</w:t>
      </w:r>
      <w:r>
        <w:rPr>
          <w:rtl w:val="true"/>
        </w:rPr>
        <w:t>]</w:t>
      </w:r>
      <w:bookmarkEnd w:id="575"/>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أحد النصب الزكويّة للتجارة مثل أربعين شاة أو ثلاثين بقرة، سقطت زكاة التجارة و وجبت زكاة المال و لا تجتمع الزكاتان و يشكل ذلك على القول بوجوب زكاة التجارة،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الزكاتان هذه وجوبا و هذه استحبابا</w:t>
      </w:r>
      <w:r>
        <w:rPr>
          <w:rFonts w:eastAsia="Amiri" w:cs="Amiri" w:ascii="Amiri" w:hAnsi="Amiri"/>
          <w:color w:val="111111"/>
          <w:sz w:val="28"/>
          <w:szCs w:val="28"/>
          <w:rtl w:val="true"/>
          <w:lang w:bidi="ar-SA"/>
        </w:rPr>
        <w:t>»</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 عند شرح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القول بالاجتماع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القائل، و قد نقل المصنّف في المعتبر الإجماع على خلافه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زكاة العين و زكاة التجارة في مال واحد اتّفاقا</w:t>
      </w:r>
      <w:r>
        <w:rPr>
          <w:rFonts w:eastAsia="Amiri" w:cs="Amiri" w:ascii="Amiri" w:hAnsi="Amiri"/>
          <w:color w:val="111111"/>
          <w:sz w:val="28"/>
          <w:szCs w:val="28"/>
          <w:rtl w:val="true"/>
          <w:lang w:bidi="ar-SA"/>
        </w:rPr>
        <w:t>»</w:t>
      </w:r>
      <w:r>
        <w:rPr>
          <w:rStyle w:val="FootnoteAnchor"/>
          <w:rtl w:val="true"/>
        </w:rPr>
        <w:footnoteReference w:id="2613"/>
      </w:r>
      <w:r>
        <w:rPr>
          <w:rFonts w:ascii="Amiri" w:hAnsi="Amiri" w:eastAsia="Amiri" w:cs="Amiri"/>
          <w:color w:val="111111"/>
          <w:sz w:val="28"/>
          <w:sz w:val="28"/>
          <w:szCs w:val="28"/>
          <w:rtl w:val="true"/>
          <w:lang w:bidi="ar-SA"/>
        </w:rPr>
        <w:t>و نحوه قال العلاّمة في التذكرة و المنتهى</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الأصل في ذلك قول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ثنيا في</w:t>
      </w:r>
      <w:r>
        <w:rPr>
          <w:rStyle w:val="FootnoteAnchor"/>
          <w:rtl w:val="true"/>
        </w:rPr>
        <w:footnoteReference w:id="2615"/>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r>
        <w:rPr>
          <w:rStyle w:val="FootnoteAnchor"/>
          <w:rtl w:val="true"/>
        </w:rPr>
        <w:footnoteReference w:id="2616"/>
      </w:r>
      <w:r>
        <w:rPr>
          <w:rFonts w:ascii="Amiri" w:hAnsi="Amiri" w:eastAsia="Amiri" w:cs="Amiri"/>
          <w:color w:val="111111"/>
          <w:sz w:val="28"/>
          <w:sz w:val="28"/>
          <w:szCs w:val="28"/>
          <w:rtl w:val="true"/>
          <w:lang w:bidi="ar-SA"/>
        </w:rPr>
        <w:t>و قول الصادق عليه السّلام في حسنة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يزكّى المال من وجهين في عام واحد</w:t>
      </w:r>
      <w:r>
        <w:rPr>
          <w:rFonts w:eastAsia="Amiri" w:cs="Amiri" w:ascii="Amiri" w:hAnsi="Amiri"/>
          <w:color w:val="111111"/>
          <w:sz w:val="28"/>
          <w:szCs w:val="28"/>
          <w:rtl w:val="true"/>
          <w:lang w:bidi="ar-SA"/>
        </w:rPr>
        <w:t>»</w:t>
      </w:r>
      <w:r>
        <w:rPr>
          <w:rStyle w:val="FootnoteAnchor"/>
          <w:rtl w:val="true"/>
        </w:rPr>
        <w:footnoteReference w:id="2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قلنا باستحباب زكاة التجارة وجب القول بسقوطها، لأنّ الواجب مقدّم على الندب، و إن قلنا بالوجوب قال الشيخ في الخلاف و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الزكاة العينيّة دون التجارة لأنّ وجوبها متّفق عليه و لأنّها تتعلّق بالعين فكانت أولى</w:t>
      </w:r>
      <w:r>
        <w:rPr>
          <w:rFonts w:eastAsia="Amiri" w:cs="Amiri" w:ascii="Amiri" w:hAnsi="Amiri"/>
          <w:color w:val="111111"/>
          <w:sz w:val="28"/>
          <w:szCs w:val="28"/>
          <w:rtl w:val="true"/>
          <w:lang w:bidi="ar-SA"/>
        </w:rPr>
        <w:t>»</w:t>
      </w:r>
      <w:r>
        <w:rPr>
          <w:rStyle w:val="FootnoteAnchor"/>
          <w:rtl w:val="true"/>
        </w:rPr>
        <w:footnoteReference w:id="2618"/>
      </w: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زكاة التجارة لأنّها أحظّ للفقراء لتقويمها بالنقدين و عدم اختصاصها بعين دون عين</w:t>
      </w:r>
      <w:r>
        <w:rPr>
          <w:rFonts w:eastAsia="Amiri" w:cs="Amiri" w:ascii="Amiri" w:hAnsi="Amiri"/>
          <w:color w:val="111111"/>
          <w:sz w:val="28"/>
          <w:szCs w:val="28"/>
          <w:rtl w:val="true"/>
          <w:lang w:bidi="ar-SA"/>
        </w:rPr>
        <w:t>»</w:t>
      </w:r>
      <w:r>
        <w:rPr>
          <w:rStyle w:val="FootnoteAnchor"/>
          <w:rtl w:val="true"/>
        </w:rPr>
        <w:footnoteReference w:id="2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الحجّتان ضعيفتان، أمّا الاتّفاق على الوجوب فهو مسلّم و لكن القائل بوجوب زكاة التجارة يوجبها كما يوجب زكاة المال فلم يكن عنده رجحان، و أمّا كونها مختصّة بالعين فهو موضع المنع و لو سلّم لم يكن في ذلك رجحان لاحتمال كون ما يلزم القيمة أولى، و أمّا كونه أحظّ للفقراء فلا نسلّم وجوب مراعاة الأحظّ للمساكين، و لم لا تجب مراعاة الأحظّ للمالك‌؟ لأنّ الصدقة عفو المال و مواساة فلا تكون سببا لإضرار المالك و لا موجبة للتحكّم في ماله</w:t>
      </w:r>
      <w:r>
        <w:rPr>
          <w:rFonts w:eastAsia="Amiri" w:cs="Amiri" w:ascii="Amiri" w:hAnsi="Amiri"/>
          <w:color w:val="111111"/>
          <w:sz w:val="28"/>
          <w:szCs w:val="28"/>
          <w:rtl w:val="true"/>
          <w:lang w:bidi="ar-SA"/>
        </w:rPr>
        <w:t>»</w:t>
      </w:r>
      <w:r>
        <w:rPr>
          <w:rStyle w:val="FootnoteAnchor"/>
          <w:rtl w:val="true"/>
        </w:rPr>
        <w:footnoteReference w:id="2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الشارح قولا في المسألة بتخيير المالك في إخراج أيّهما شاء لتساويهما في الوجوب، و امتناع الجمع بينهما، و عدم المرجّح لأحدهما</w:t>
      </w:r>
      <w:r>
        <w:rPr>
          <w:rStyle w:val="FootnoteAnchor"/>
          <w:rtl w:val="true"/>
        </w:rPr>
        <w:footnoteReference w:id="2621"/>
      </w:r>
      <w:r>
        <w:rPr>
          <w:rFonts w:ascii="Amiri" w:hAnsi="Amiri" w:eastAsia="Amiri" w:cs="Amiri"/>
          <w:color w:val="111111"/>
          <w:sz w:val="28"/>
          <w:sz w:val="28"/>
          <w:szCs w:val="28"/>
          <w:rtl w:val="true"/>
          <w:lang w:bidi="ar-SA"/>
        </w:rPr>
        <w:t>و الأصحّ ما ذكره الشيخ من تقديم العينيّة لانتفاء الدليل على ثبوت زكاة التجارة مع وجوب العينيّة، فإنّ الروايات المتضمّنة لثبوت هذه الزكاة لا تعطي ذلك كما يظهر للمتتبّع</w:t>
      </w:r>
      <w:r>
        <w:rPr>
          <w:rFonts w:eastAsia="Amiri" w:cs="Amiri" w:ascii="Amiri" w:hAnsi="Amiri"/>
          <w:color w:val="111111"/>
          <w:sz w:val="28"/>
          <w:szCs w:val="28"/>
          <w:rtl w:val="true"/>
          <w:lang w:bidi="ar-SA"/>
        </w:rPr>
        <w:t>»</w:t>
      </w:r>
      <w:r>
        <w:rPr>
          <w:rStyle w:val="FootnoteAnchor"/>
          <w:rtl w:val="true"/>
        </w:rPr>
        <w:footnoteReference w:id="26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هو هذا القول أعني وجوب زكاة العينيّة و سقوط زكاة التجارة على القولين باستحبابها و وجوبها معا، لوجود الدليل على ثبوت الاولى و عدم وجوده على </w:t>
      </w:r>
    </w:p>
    <w:p>
      <w:pPr>
        <w:pStyle w:val="BookText"/>
        <w:rPr/>
      </w:pPr>
      <w:r>
        <w:rPr>
          <w:rFonts w:ascii="Amiri" w:hAnsi="Amiri" w:eastAsia="Amiri" w:cs="Amiri"/>
          <w:color w:val="111111"/>
          <w:sz w:val="28"/>
          <w:sz w:val="28"/>
          <w:szCs w:val="28"/>
          <w:rtl w:val="true"/>
          <w:lang w:bidi="ar-SA"/>
        </w:rPr>
        <w:t>ثبوت الثانية كما ذكره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النصوص المستفيضة المقتضية لزكاة العينيّة في الأجناس التسع المتقدّمة باعتبار عمومها الأحوالي ظاهر الشمول لصورتي ما لو عرضها التجارة و ما لم تعرضها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هذه النصوص بانضمام حسنة أو صحيحة الفضلاء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 محمّد بن مسلم و أبي بصير و بريد بن معاوية العجلي و 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و أبي عبد اللّه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الزكاة مع الصلاة في الأموال و سنّها رسول اللّه صلّى اللّه عليه و آله في تسعة أشياء و عفا عمّا سواهنّ في الذهب و الفضّة و الإبل و البقر و الغنم و الحنطة و الشعير و التمر و الزبيب، و عفا رسول اللّه صلّى اللّه عليه و آله عمّا سوى ذلك</w:t>
      </w:r>
      <w:r>
        <w:rPr>
          <w:rFonts w:eastAsia="Amiri" w:cs="Amiri" w:ascii="Amiri" w:hAnsi="Amiri"/>
          <w:color w:val="111111"/>
          <w:sz w:val="28"/>
          <w:szCs w:val="28"/>
          <w:rtl w:val="true"/>
          <w:lang w:bidi="ar-SA"/>
        </w:rPr>
        <w:t>»</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عبد اللّه عليه السّلام في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رسول اللّه صلّى اللّه عليه و آله مناديه فنادى في الناس أنّ اللّه تبارك و تعالى فرض عليكم الزكاة كما فرض عليكم الصلاة، فرض اللّه عليكم من الذهب و الفضّة و الإبل و البقر و الغنم و من الحنطة و الشعير و التمر و الزبيب، و نادى فيهم بذلك في شهر رمضان و عفا لهم عمّا سوى ذلك</w:t>
      </w:r>
      <w:r>
        <w:rPr>
          <w:rFonts w:eastAsia="Amiri" w:cs="Amiri" w:ascii="Amiri" w:hAnsi="Amiri"/>
          <w:color w:val="111111"/>
          <w:sz w:val="28"/>
          <w:szCs w:val="28"/>
          <w:rtl w:val="true"/>
          <w:lang w:bidi="ar-SA"/>
        </w:rPr>
        <w:t>»</w:t>
      </w:r>
      <w:r>
        <w:rPr>
          <w:rStyle w:val="FootnoteAnchor"/>
          <w:rtl w:val="true"/>
        </w:rPr>
        <w:footnoteReference w:id="2624"/>
      </w:r>
      <w:r>
        <w:rPr>
          <w:rFonts w:ascii="Amiri" w:hAnsi="Amiri" w:eastAsia="Amiri" w:cs="Amiri"/>
          <w:color w:val="111111"/>
          <w:sz w:val="28"/>
          <w:sz w:val="28"/>
          <w:szCs w:val="28"/>
          <w:rtl w:val="true"/>
          <w:lang w:bidi="ar-SA"/>
        </w:rPr>
        <w:t>واضح الدلالة على أنّه لم يعف الزكاة عن هذه التسع بحال من الحالات حتّى حال عروض التجارة لها أو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مفاد أدلّة زكاة التجارة من الروايات و غيرها بعد مراعاة الجمع و الضمّ إلى نصوص زكاة العينيّة الّتي منها الخبران المذكوران، هو أنّ كلّ مال و متاع عرضته التجارة ممّا عفى زكاة العينيّة عنه يستحبّ أو يجب الزكاة في قيمته بحيث لو لا عروض التجارة لها لم يستحبّ أو لم يجب الزكاة في عينه و لا قيمته، و هذا كما ترى لا يتناول شيئا من أجناس زكاة العينيّة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عموم في أدلّة زكاة التجارة بحيث يشمل أجناس الزكاة العينيّة </w:t>
      </w:r>
      <w:bookmarkStart w:id="576" w:name="pg16181_154806"/>
    </w:p>
    <w:p>
      <w:pPr>
        <w:pStyle w:val="BookText"/>
        <w:rPr/>
      </w:pPr>
      <w:bookmarkEnd w:id="576"/>
      <w:r>
        <w:rPr>
          <w:rFonts w:ascii="Amiri" w:hAnsi="Amiri" w:eastAsia="Amiri" w:cs="Amiri"/>
          <w:color w:val="111111"/>
          <w:sz w:val="28"/>
          <w:sz w:val="28"/>
          <w:szCs w:val="28"/>
          <w:rtl w:val="true"/>
          <w:lang w:bidi="ar-SA"/>
        </w:rPr>
        <w:t>من غير فرق فيه بين القول باستحباب زكاة التجارة و القول بوجوبها، و لو سلّم العموم فغايته بملاحظة دليل نفي اجتماع زكاتين في مال واحد من النص و الإجماع إرجاع التخصيص إلى أحد العامّين بإخراج محلّ الاجتماع من عموم أدلّة زكاة التجارة أو من عموم أدلّة زكاة العينيّة، و يتعيّن الأوّل لكون المسألة من تعارض الأحوال برجوعها إلى تعارض التخصيصين، و الضابط في الترجيح فيها على 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الأظهر المقتضي لإرجاع التأويل إلى غير الأظهر، و لذا يقدّم تخصيص الأقلّ على تخصيص الأكثر و تخصيص أكثر أفرادا من العامّين على تخصيص أقلّها و تخصيص العامّ المخصّص على تخصيص غير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نصوص زكاة العينيّة أظهر دلالة على العموم من أخبار زكاة التجارة بلا فرق في ذلك أيضا بين القولين بناء على أنّ مستندهما هذه الأخبار غير أنّ القائل بالوجوب يأخذ بظواهرها و أهل القول بالاستحباب يأوّلونها بالاستحباب جمعا بينها و بين أخبار اخر نافية لزكاة التجارة رأسا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ما اخترناه أنّه إن عاوض الزكوي بمثله كأربعين سائمة بأربعين سائمة للتجارة في أثناء الحول استأنف الحول للعينيّة و يسقط عنه العينيّة و التجارة معا، أمّا السقوط فلانقطاع الحول بتبديل المال و لو بجنسه في كلّ من العينيّة و التجارة و اشتراط وجود المال طول الحول في وجوب الزكاة في كلّ منهما على ما تقدّم تحقيقه، و أمّا استئناف الحول للعينيّة لا للتجارة فلما اخترناه هنا من تقديم العينيّة على التجارة و عدم اجتماعها معها في مال واحد من غير فرق في ذلك بين كون الأوّل مأخوذا للتجارة أو للقنية</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2586833_1280447820"/>
      <w:bookmarkStart w:id="578" w:name="_Toc215"/>
      <w:bookmarkEnd w:id="577"/>
      <w:r>
        <w:rPr>
          <w:rtl w:val="true"/>
        </w:rPr>
        <w:t>المسألة الثانية</w:t>
      </w:r>
      <w:r>
        <w:rPr>
          <w:rtl w:val="true"/>
        </w:rPr>
        <w:t>: [</w:t>
      </w:r>
      <w:r>
        <w:rPr>
          <w:rtl w:val="true"/>
        </w:rPr>
        <w:t>الزكاة في مال المضاربة و ربحها</w:t>
      </w:r>
      <w:r>
        <w:rPr>
          <w:rtl w:val="true"/>
        </w:rPr>
        <w:t>]</w:t>
      </w:r>
      <w:bookmarkEnd w:id="578"/>
    </w:p>
    <w:p>
      <w:pPr>
        <w:pStyle w:val="Heading6"/>
        <w:numPr>
          <w:ilvl w:val="5"/>
          <w:numId w:val="1"/>
        </w:numPr>
        <w:rPr/>
      </w:pPr>
      <w:bookmarkStart w:id="579" w:name="__RefHeading___Toc2586835_1280447820"/>
      <w:bookmarkStart w:id="580" w:name="_Toc216"/>
      <w:bookmarkEnd w:id="579"/>
      <w:r>
        <w:rPr>
          <w:rtl w:val="true"/>
        </w:rPr>
        <w:t>اشارة</w:t>
      </w:r>
      <w:bookmarkEnd w:id="58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في مال المضاربة الربح كانت زكاة الأصل على ربّ المال لانفراده بملكه و زكاة الربح بينهما تضمّ حصّة المالك إلى ماله و يخرج منه الزكاة لأنّ رأس ماله زكاة</w:t>
      </w:r>
      <w:r>
        <w:rPr>
          <w:rStyle w:val="FootnoteAnchor"/>
          <w:rtl w:val="true"/>
        </w:rPr>
        <w:footnoteReference w:id="2625"/>
      </w:r>
      <w:r>
        <w:rPr>
          <w:rFonts w:ascii="Amiri" w:hAnsi="Amiri" w:eastAsia="Amiri" w:cs="Amiri"/>
          <w:color w:val="111111"/>
          <w:sz w:val="28"/>
          <w:sz w:val="28"/>
          <w:szCs w:val="28"/>
          <w:rtl w:val="true"/>
          <w:lang w:bidi="ar-SA"/>
        </w:rPr>
        <w:t>و لا يستحبّ في حصّة الساعي الزكاة إلاّ أن يكون نصابا</w:t>
      </w:r>
      <w:r>
        <w:rPr>
          <w:rFonts w:eastAsia="Amiri" w:cs="Amiri" w:ascii="Amiri" w:hAnsi="Amiri"/>
          <w:color w:val="111111"/>
          <w:sz w:val="28"/>
          <w:szCs w:val="28"/>
          <w:rtl w:val="true"/>
          <w:lang w:bidi="ar-SA"/>
        </w:rPr>
        <w:t>»</w:t>
      </w:r>
      <w:r>
        <w:rPr>
          <w:rStyle w:val="FootnoteAnchor"/>
          <w:rtl w:val="true"/>
        </w:rPr>
        <w:footnoteReference w:id="26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المراد بالأصل هنا ما قابل من العروض قيمته قدر رأس المال، و بالربح ما زاد قيمته منه على رأس المال و انضمام الحصّة من الربح إلى الأصل في إخراج الزكاة لأنّ المجموع منهما مال واحد لمالك واحد، و بضابطة ما تقدّم</w:t>
      </w:r>
      <w:r>
        <w:rPr>
          <w:rStyle w:val="FootnoteAnchor"/>
          <w:rtl w:val="true"/>
        </w:rPr>
        <w:footnoteReference w:id="2627"/>
      </w:r>
      <w:r>
        <w:rPr>
          <w:rFonts w:ascii="Amiri" w:hAnsi="Amiri" w:eastAsia="Amiri" w:cs="Amiri"/>
          <w:color w:val="111111"/>
          <w:sz w:val="28"/>
          <w:sz w:val="28"/>
          <w:szCs w:val="28"/>
          <w:rtl w:val="true"/>
          <w:lang w:bidi="ar-SA"/>
        </w:rPr>
        <w:t>من أنّ زكاة التجارة تتعلّق بقيمة المتاع لا بعينه، يتعلّق الزكاة هنا بقيمة المجموع، و لكن اعتبار الانضمام على وجه يخرج الزكاة من الحصّة أيضا بحسبها مبنيّ على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بلوغ المجموع النصاب الأوّل دون الأصل وحده، أو بلوغ الحصّة النصاب الثاني على تقدير بلوغ الأصل النصاب الأوّل إذ لو لا أحد الأمرين لم يتّجه الحكم بإخراج الزكاة رأسا أو بإخراجها عن المجموع، و العبارة المذكورة قاصرة عن إفادة ذلك، و العلّة المذكورة فيها غير تامّة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 الحال في إثبات الزكاة على العامل في حصّته من الربح لعدم وضوح دليله، فإنّ خطاب زكاة مال التجارة بمقتضى ظاهر نصوصه يتوجّه إلى ربّ المال و مالك الأصل، و العامل ليس بمالك له، غير أنّه لم نقف على مستشكل و لا متأمّل فيه عدى صاحب الذخيرة حيث إنّه بعد ما ذكر كون زكاة حصّة العامل عليه بعد استجماعها الشرائط و نسبه إلى جماعة من الأصحاب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تأمّل لعدم عموم الأدلّة على ثبوت زكاة التجارة على وجه يشمل محلّ البحث</w:t>
      </w:r>
      <w:r>
        <w:rPr>
          <w:rFonts w:eastAsia="Amiri" w:cs="Amiri" w:ascii="Amiri" w:hAnsi="Amiri"/>
          <w:color w:val="111111"/>
          <w:sz w:val="28"/>
          <w:szCs w:val="28"/>
          <w:rtl w:val="true"/>
          <w:lang w:bidi="ar-SA"/>
        </w:rPr>
        <w:t>»</w:t>
      </w:r>
      <w:r>
        <w:rPr>
          <w:rStyle w:val="FootnoteAnchor"/>
          <w:rtl w:val="true"/>
        </w:rPr>
        <w:footnoteReference w:id="26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بأنّ مبنى المسألة في كلام الأصحاب على أنّ العامل يملك الحصّة بظهور الربح فيها و لا معنى لظهوره إلاّ ارتفاع قيمة المتاع إلى أن يزيد على رأس المال، و القيمة قبل أن ينضّ المتاع أمر موهوم غير قابل لأن يملك فلا محلّ لملكه إلاّ ما قابل قيمته من المتاع الحصّة من الزائد على رأس المال، و هو المراد من الحصّة المملوكة له في كلام الأصحاب، و تصويره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ارتفعت قيمة العروض فرأس المال منه ما قابل</w:t>
      </w:r>
      <w:r>
        <w:rPr>
          <w:rStyle w:val="FootnoteAnchor"/>
          <w:rtl w:val="true"/>
        </w:rPr>
        <w:footnoteReference w:id="2629"/>
      </w:r>
      <w:r>
        <w:rPr>
          <w:rFonts w:ascii="Amiri" w:hAnsi="Amiri" w:eastAsia="Amiri" w:cs="Amiri"/>
          <w:color w:val="111111"/>
          <w:sz w:val="28"/>
          <w:sz w:val="28"/>
          <w:szCs w:val="28"/>
          <w:rtl w:val="true"/>
          <w:lang w:bidi="ar-SA"/>
        </w:rPr>
        <w:t>قيمته رأس المال و الزائد ربح، و حصّة العامل تعتبر من الزائد و يملكها ملكا متزلزلا يتوقّف استقراره بإنضاض جميع المال أو إنضاض قدر رأس المال مطلقا أو مع الفسخ و القسمة أو أحدهما على ما يستفاد من عبارة المسالك</w:t>
      </w:r>
      <w:r>
        <w:rPr>
          <w:rFonts w:eastAsia="Amiri" w:cs="Amiri" w:ascii="Amiri" w:hAnsi="Amiri"/>
          <w:color w:val="111111"/>
          <w:sz w:val="28"/>
          <w:szCs w:val="28"/>
          <w:rtl w:val="true"/>
          <w:lang w:bidi="ar-SA"/>
        </w:rPr>
        <w:t>.</w:t>
      </w:r>
      <w:r>
        <w:rPr>
          <w:rStyle w:val="FootnoteAnchor"/>
          <w:rtl w:val="true"/>
        </w:rPr>
        <w:footnoteReference w:id="2630"/>
      </w:r>
      <w:bookmarkStart w:id="581" w:name="pg16181_154808"/>
    </w:p>
    <w:p>
      <w:pPr>
        <w:pStyle w:val="Heading6"/>
        <w:numPr>
          <w:ilvl w:val="5"/>
          <w:numId w:val="1"/>
        </w:numPr>
        <w:rPr/>
      </w:pPr>
      <w:bookmarkStart w:id="582" w:name="__RefHeading___Toc2586837_1280447820"/>
      <w:bookmarkStart w:id="583" w:name="_Toc217"/>
      <w:bookmarkEnd w:id="581"/>
      <w:bookmarkEnd w:id="582"/>
      <w:r>
        <w:rPr>
          <w:rtl w:val="true"/>
        </w:rPr>
        <w:t>[</w:t>
      </w:r>
      <w:r>
        <w:rPr>
          <w:rtl w:val="true"/>
        </w:rPr>
        <w:t>المنساق من نصوص زكاة التجارة</w:t>
      </w:r>
      <w:r>
        <w:rPr>
          <w:rtl w:val="true"/>
        </w:rPr>
        <w:t>]</w:t>
      </w:r>
      <w:bookmarkEnd w:id="583"/>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المنساق من نصوص زكاة التجارة و لو بانضمام فهم الأصحاب الجابر لقصور دلالتها إنّ وجود مال التجارة بشرائطه المتقدّمة سبب لتعلّق الزكاة بقيمته، فإن اختصّ المال بواحد كان هو المخاطب بإخراجها، و إن كان بين اثنين كما في المال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منهما مخاطبا بالإخراج في حصّته، و يندرج فيه حصّة العامل إذا حال عليها الحول من حين ظهور الربح و بلغ قيمتها النصاب الأوّل و لا يكفي البلوغ النصاب الثاني وحده لأنّ اعتباره مترتّب على وجود النصاب الأوّل لمالكه، كما أشار إليه في المسالك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حصّة المالك بلوغ النصاب الثاني لوجود الأوّل عنده و في حصّة العامل بلوغ النصاب الأوّل إذ ليس له سواها، نعم لو فرض أنّه يتّجر مع مال المضاربة بماله أيضا و كان نصابا كانت حصّته من الربح كحصّة المالك، و لو قصر المال الأوّل عن النصاب ضمّ إليه الربح فيهما</w:t>
      </w:r>
      <w:r>
        <w:rPr>
          <w:rFonts w:eastAsia="Amiri" w:cs="Amiri" w:ascii="Amiri" w:hAnsi="Amiri"/>
          <w:color w:val="111111"/>
          <w:sz w:val="28"/>
          <w:szCs w:val="28"/>
          <w:rtl w:val="true"/>
          <w:lang w:bidi="ar-SA"/>
        </w:rPr>
        <w:t>»</w:t>
      </w:r>
      <w:r>
        <w:rPr>
          <w:rStyle w:val="FootnoteAnchor"/>
          <w:rtl w:val="true"/>
        </w:rPr>
        <w:footnoteReference w:id="26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اشترط في المدارك في حصّة العامل مع ما ذكر 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متمكّنا من التصرّف فيها و لو بالتمكّن من القسمة</w:t>
      </w:r>
      <w:r>
        <w:rPr>
          <w:rFonts w:eastAsia="Amiri" w:cs="Amiri" w:ascii="Amiri" w:hAnsi="Amiri"/>
          <w:color w:val="111111"/>
          <w:sz w:val="28"/>
          <w:szCs w:val="28"/>
          <w:rtl w:val="true"/>
          <w:lang w:bidi="ar-SA"/>
        </w:rPr>
        <w:t>»</w:t>
      </w:r>
      <w:r>
        <w:rPr>
          <w:rStyle w:val="FootnoteAnchor"/>
          <w:rtl w:val="true"/>
        </w:rPr>
        <w:footnoteReference w:id="2632"/>
      </w:r>
      <w:r>
        <w:rPr>
          <w:rFonts w:ascii="Amiri" w:hAnsi="Amiri" w:eastAsia="Amiri" w:cs="Amiri"/>
          <w:color w:val="111111"/>
          <w:sz w:val="28"/>
          <w:sz w:val="28"/>
          <w:szCs w:val="28"/>
          <w:rtl w:val="true"/>
          <w:lang w:bidi="ar-SA"/>
        </w:rPr>
        <w:t>و ردّ بعدم منع الزكاة كما في المال المشترك مع كون نصيب كلّ منهما نصابا، ثمّ إنّ هذا كلّه بالنسبة إليه لو قلنا إنّه يملك الحصّة، و أمّا لو قلنا إنّه يستحقّ اجرة المثل فالزكاة كلّها على المالك لأنّ الاجرة دين و الدين لا يمنع الزكاة</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2586839_1280447820"/>
      <w:bookmarkStart w:id="585" w:name="_Toc218"/>
      <w:bookmarkEnd w:id="584"/>
      <w:r>
        <w:rPr>
          <w:rtl w:val="true"/>
        </w:rPr>
        <w:t>[</w:t>
      </w:r>
      <w:r>
        <w:rPr>
          <w:rtl w:val="true"/>
        </w:rPr>
        <w:t>معنى كون الربح وقاية الرأس المال</w:t>
      </w:r>
      <w:r>
        <w:rPr>
          <w:rtl w:val="true"/>
        </w:rPr>
        <w:t>]</w:t>
      </w:r>
      <w:bookmarkEnd w:id="585"/>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قال في الشرائع تفريعا على ملك العامل للحصّة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يخرج قبل أن ينضّ المال‌؟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وقاية لرأس المال،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استحقاق الفقراء له أخرجه عن كونه وقاية، و هو أشبه</w:t>
      </w:r>
      <w:r>
        <w:rPr>
          <w:rFonts w:eastAsia="Amiri" w:cs="Amiri" w:ascii="Amiri" w:hAnsi="Amiri"/>
          <w:color w:val="111111"/>
          <w:sz w:val="28"/>
          <w:szCs w:val="28"/>
          <w:rtl w:val="true"/>
          <w:lang w:bidi="ar-SA"/>
        </w:rPr>
        <w:t>»</w:t>
      </w:r>
      <w:r>
        <w:rPr>
          <w:rStyle w:val="FootnoteAnchor"/>
          <w:rtl w:val="true"/>
        </w:rPr>
        <w:footnoteReference w:id="2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تحويل المال عينا بعد أن كان متاعا، و قد يعبّر عن العين بالدراهم أو الدنانير كما في الذخيرة</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القول بالنفي منقول عن الشيخ في ظاهر المبسوط</w:t>
      </w:r>
      <w:r>
        <w:rPr>
          <w:rStyle w:val="FootnoteAnchor"/>
          <w:rtl w:val="true"/>
        </w:rPr>
        <w:footnoteReference w:id="2635"/>
      </w:r>
      <w:r>
        <w:rPr>
          <w:rFonts w:ascii="Amiri" w:hAnsi="Amiri" w:eastAsia="Amiri" w:cs="Amiri"/>
          <w:color w:val="111111"/>
          <w:sz w:val="28"/>
          <w:sz w:val="28"/>
          <w:szCs w:val="28"/>
          <w:rtl w:val="true"/>
          <w:lang w:bidi="ar-SA"/>
        </w:rPr>
        <w:t>و التحرير</w:t>
      </w:r>
      <w:r>
        <w:rPr>
          <w:rStyle w:val="FootnoteAnchor"/>
          <w:rtl w:val="true"/>
        </w:rPr>
        <w:footnoteReference w:id="2636"/>
      </w:r>
      <w:r>
        <w:rPr>
          <w:rFonts w:ascii="IRNazanin" w:hAnsi="IRNazanin" w:eastAsia="IRNazanin"/>
          <w:color w:val="111111"/>
          <w:sz w:val="28"/>
          <w:sz w:val="28"/>
          <w:szCs w:val="28"/>
          <w:rtl w:val="true"/>
          <w:lang w:bidi="fa-IR"/>
        </w:rPr>
        <w:t>و الموجز</w:t>
      </w:r>
      <w:r>
        <w:rPr>
          <w:rStyle w:val="FootnoteAnchor"/>
          <w:rtl w:val="true"/>
        </w:rPr>
        <w:footnoteReference w:id="2637"/>
      </w:r>
      <w:r>
        <w:rPr>
          <w:rFonts w:ascii="Amiri" w:hAnsi="Amiri" w:eastAsia="Amiri" w:cs="Amiri"/>
          <w:color w:val="111111"/>
          <w:sz w:val="28"/>
          <w:sz w:val="28"/>
          <w:szCs w:val="28"/>
          <w:rtl w:val="true"/>
          <w:lang w:bidi="ar-SA"/>
        </w:rPr>
        <w:t>و كشفه</w:t>
      </w:r>
      <w:r>
        <w:rPr>
          <w:rStyle w:val="FootnoteAnchor"/>
          <w:rtl w:val="true"/>
        </w:rPr>
        <w:footnoteReference w:id="2638"/>
      </w:r>
      <w:r>
        <w:rPr>
          <w:rFonts w:ascii="Amiri" w:hAnsi="Amiri" w:eastAsia="Amiri" w:cs="Amiri"/>
          <w:color w:val="111111"/>
          <w:sz w:val="28"/>
          <w:sz w:val="28"/>
          <w:szCs w:val="28"/>
          <w:rtl w:val="true"/>
          <w:lang w:bidi="ar-SA"/>
        </w:rPr>
        <w:t>و العليّين</w:t>
      </w:r>
      <w:r>
        <w:rPr>
          <w:rStyle w:val="FootnoteAnchor"/>
          <w:rtl w:val="true"/>
        </w:rPr>
        <w:footnoteReference w:id="2639"/>
      </w:r>
      <w:r>
        <w:rPr>
          <w:rFonts w:ascii="Amiri" w:hAnsi="Amiri" w:eastAsia="Amiri" w:cs="Amiri"/>
          <w:color w:val="111111"/>
          <w:sz w:val="28"/>
          <w:sz w:val="28"/>
          <w:szCs w:val="28"/>
          <w:rtl w:val="true"/>
          <w:lang w:bidi="ar-SA"/>
        </w:rPr>
        <w:t>و غيرهم، و القول بالإثبات عنه في المبسوط</w:t>
      </w:r>
      <w:r>
        <w:rPr>
          <w:rStyle w:val="FootnoteAnchor"/>
          <w:rtl w:val="true"/>
        </w:rPr>
        <w:footnoteReference w:id="2640"/>
      </w:r>
      <w:r>
        <w:rPr>
          <w:rFonts w:ascii="IRNazanin" w:hAnsi="IRNazanin" w:eastAsia="IRNazanin"/>
          <w:color w:val="111111"/>
          <w:sz w:val="28"/>
          <w:sz w:val="28"/>
          <w:szCs w:val="28"/>
          <w:rtl w:val="true"/>
          <w:lang w:bidi="fa-IR"/>
        </w:rPr>
        <w:t>و الخلاف</w:t>
      </w:r>
      <w:r>
        <w:rPr>
          <w:rStyle w:val="FootnoteAnchor"/>
          <w:rtl w:val="true"/>
        </w:rPr>
        <w:footnoteReference w:id="2641"/>
      </w:r>
      <w:r>
        <w:rPr>
          <w:rFonts w:ascii="Amiri" w:hAnsi="Amiri" w:eastAsia="Amiri" w:cs="Amiri"/>
          <w:color w:val="111111"/>
          <w:sz w:val="28"/>
          <w:sz w:val="28"/>
          <w:szCs w:val="28"/>
          <w:rtl w:val="true"/>
          <w:lang w:bidi="ar-SA"/>
        </w:rPr>
        <w:t>و عن الفاضلين في الشرائع</w:t>
      </w:r>
      <w:r>
        <w:rPr>
          <w:rStyle w:val="FootnoteAnchor"/>
          <w:rtl w:val="true"/>
        </w:rPr>
        <w:footnoteReference w:id="2642"/>
      </w:r>
      <w:r>
        <w:rPr>
          <w:rFonts w:ascii="IRNazanin" w:hAnsi="IRNazanin" w:eastAsia="IRNazanin"/>
          <w:color w:val="111111"/>
          <w:sz w:val="28"/>
          <w:sz w:val="28"/>
          <w:szCs w:val="28"/>
          <w:rtl w:val="true"/>
          <w:lang w:bidi="fa-IR"/>
        </w:rPr>
        <w:t>و المعتبر</w:t>
      </w:r>
      <w:r>
        <w:rPr>
          <w:rStyle w:val="FootnoteAnchor"/>
          <w:rtl w:val="true"/>
        </w:rPr>
        <w:footnoteReference w:id="2643"/>
      </w:r>
      <w:r>
        <w:rPr>
          <w:rFonts w:ascii="IRNazanin" w:hAnsi="IRNazanin" w:eastAsia="IRNazanin"/>
          <w:color w:val="111111"/>
          <w:sz w:val="28"/>
          <w:sz w:val="28"/>
          <w:szCs w:val="28"/>
          <w:rtl w:val="true"/>
          <w:lang w:bidi="fa-IR"/>
        </w:rPr>
        <w:t>و الإرشاد</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معنى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 وقاية لرأس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حصل في متاع التجارة وضيعة بمعنى النقص و الخسران احتسب من الربح إكمالا لرأس المال و حفظا له عن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منع الوقاية أنّها حقّ للمالك تعلّق بالربح و استحقاقه لها مانع عن استقلال العامل بالإخراج منه، و قضيّة ذلك أنّه لا يجوز له تعجيل الإخراج من عين مال القراض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دليل المجوّز بأنّ إذن الشارع في إخراج ذلك القدر أخرجه عن الوقاية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إثبات إذن الشارع و لا دليل عليه سوى ما ذكر و هو عين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القول المذكور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الزكاة من المؤن الّتي تلزم المال كاجرة الدلاّل و الوزّان و أرش جناية العبد و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في المدارك</w:t>
      </w:r>
      <w:r>
        <w:rPr>
          <w:rStyle w:val="FootnoteAnchor"/>
          <w:rtl w:val="true"/>
        </w:rPr>
        <w:footnoteReference w:id="2645"/>
      </w:r>
      <w:r>
        <w:rPr>
          <w:rFonts w:ascii="Amiri" w:hAnsi="Amiri" w:eastAsia="Amiri" w:cs="Amiri"/>
          <w:color w:val="111111"/>
          <w:sz w:val="28"/>
          <w:sz w:val="28"/>
          <w:szCs w:val="28"/>
          <w:rtl w:val="true"/>
          <w:lang w:bidi="ar-SA"/>
        </w:rPr>
        <w:t>على القول بالوجوب، و تأمّل فيه صاحب الذخيرة</w:t>
      </w:r>
      <w:r>
        <w:rPr>
          <w:rStyle w:val="FootnoteAnchor"/>
          <w:rtl w:val="true"/>
        </w:rPr>
        <w:footnoteReference w:id="2646"/>
      </w:r>
      <w:r>
        <w:rPr>
          <w:rFonts w:ascii="Amiri" w:hAnsi="Amiri" w:eastAsia="Amiri" w:cs="Amiri"/>
          <w:color w:val="111111"/>
          <w:sz w:val="28"/>
          <w:sz w:val="28"/>
          <w:szCs w:val="28"/>
          <w:rtl w:val="true"/>
          <w:lang w:bidi="ar-SA"/>
        </w:rPr>
        <w:t>و لعلّ وجهه وضوح الفرق بين المقامين، فإنّ الربح إنّما يعتبر بعد إخراج الحقوق المذكورة فلا ينافي ثبوتها لكونه وقاية، و الزكاة على تقدير جواز إخراجها تتعلّق بالربح فينافي حقّ الوقاية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يرد على الوجهين معا أيضا إنّ سبق استحقاق المالك من جهة الوقاية كما هو المفروض، بملاحظة أنّ الزكاة لا يتعلّق إلاّ بعد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حقّ الوقاية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تعلّق استحقاق الفقراء</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هاهنا إشكال آخر و هو أنّ فرض المسألة و النزاع فيها إن كان على تقدير </w:t>
      </w:r>
      <w:bookmarkStart w:id="586" w:name="pg16181_154810"/>
    </w:p>
    <w:p>
      <w:pPr>
        <w:pStyle w:val="BookText"/>
        <w:rPr/>
      </w:pPr>
      <w:bookmarkEnd w:id="586"/>
      <w:r>
        <w:rPr>
          <w:rFonts w:ascii="Amiri" w:hAnsi="Amiri" w:eastAsia="Amiri" w:cs="Amiri"/>
          <w:color w:val="111111"/>
          <w:sz w:val="28"/>
          <w:sz w:val="28"/>
          <w:szCs w:val="28"/>
          <w:rtl w:val="true"/>
          <w:lang w:bidi="ar-SA"/>
        </w:rPr>
        <w:t>إذن المالك مطلقا في الإخراج فهو يقتضي سقوط حقّه، أو مع تضمين العامل لمقدار الزكاة لو حصل الخسران فهو لا ينافي استحقاقه، و على التقديرين لا يتّجه الاستدلال على المنع بحقّ الوقاية و إن كان على تقدير عدم إذنه، فالاحتجاج على المنع بالشركة المانعة في المال المشترك من تصرّف أحد الشريكين بدون إذن الشريك الآخر أولى من الاحتجاج بحقّ الوقاية، و احتمال أنّ الشركة ممّا ألغاها الشارع هنا يحتاج إلى دليل و لا دليل عليه و إلاّ كان حقّ الوقاية أيضا ملغى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العلاّمة في القواعد</w:t>
      </w:r>
      <w:r>
        <w:rPr>
          <w:rStyle w:val="FootnoteAnchor"/>
          <w:rtl w:val="true"/>
        </w:rPr>
        <w:footnoteReference w:id="2647"/>
      </w:r>
      <w:r>
        <w:rPr>
          <w:rFonts w:ascii="Amiri" w:hAnsi="Amiri" w:eastAsia="Amiri" w:cs="Amiri"/>
          <w:color w:val="111111"/>
          <w:sz w:val="28"/>
          <w:sz w:val="28"/>
          <w:szCs w:val="28"/>
          <w:rtl w:val="true"/>
          <w:lang w:bidi="ar-SA"/>
        </w:rPr>
        <w:t>أنّه جمع بين تعجيل الإخراج و جعل الربح وقاية بضمان العامل مقدار الزكاة لو احتيج إلى إتمام المال كما في ضمان المرأة زكاة المهر لو طلّقت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الشهيد في الدروس الاعتراض عليه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مستحدث مع أنّ فيه تغريرا بمال المالك لو اعسر العامل</w:t>
      </w:r>
      <w:r>
        <w:rPr>
          <w:rFonts w:eastAsia="Amiri" w:cs="Amiri" w:ascii="Amiri" w:hAnsi="Amiri"/>
          <w:color w:val="111111"/>
          <w:sz w:val="28"/>
          <w:szCs w:val="28"/>
          <w:rtl w:val="true"/>
          <w:lang w:bidi="ar-SA"/>
        </w:rPr>
        <w:t>»</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اجيب عنه بأنّ إمكان الإعسار أو ثبوته بالقوّة لا يزيل حقّ الإخراج الثابت بالفعل</w:t>
      </w:r>
      <w:r>
        <w:rPr>
          <w:rFonts w:eastAsia="Amiri" w:cs="Amiri" w:ascii="Amiri" w:hAnsi="Amiri"/>
          <w:color w:val="111111"/>
          <w:sz w:val="28"/>
          <w:szCs w:val="28"/>
          <w:rtl w:val="true"/>
          <w:lang w:bidi="ar-SA"/>
        </w:rPr>
        <w:t>»</w:t>
      </w:r>
      <w:r>
        <w:rPr>
          <w:rStyle w:val="FootnoteAnchor"/>
          <w:rtl w:val="true"/>
        </w:rPr>
        <w:footnoteReference w:id="2649"/>
      </w:r>
      <w:r>
        <w:rPr>
          <w:rFonts w:ascii="Amiri" w:hAnsi="Amiri" w:eastAsia="Amiri" w:cs="Amiri"/>
          <w:color w:val="111111"/>
          <w:sz w:val="28"/>
          <w:sz w:val="28"/>
          <w:szCs w:val="28"/>
          <w:rtl w:val="true"/>
          <w:lang w:bidi="ar-SA"/>
        </w:rPr>
        <w:t>و ردّ بأنّه حسن إن ثبت ثبوت الحقّ المذكور فعلا و هو أوّل الدعوى</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مبنى الخلاف في المسألة كما يظهر من الاحتجاجات و النقوض و الإبرامات على القول بوجوب زكاة التجارة و القول بتعلّقها بعين المال لا قيمته و القولان كلاهما خلاف التحقيق فلا ضرورة قضت بزيادة النظر و البحث فيها، و أمّا على القول المختار من الاستحباب و التعلّق بالقيمة فلا إشكال لبقاء صفة الوقاية مع عدم تعيّن الاخراج و لا من العين مع التأدية من مال آخر غير مال المضاربة</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2586841_1280447820"/>
      <w:bookmarkStart w:id="588" w:name="_Toc219"/>
      <w:bookmarkEnd w:id="587"/>
      <w:r>
        <w:rPr>
          <w:rtl w:val="true"/>
        </w:rPr>
        <w:t>المسألة الثالثة</w:t>
      </w:r>
      <w:r>
        <w:rPr>
          <w:rtl w:val="true"/>
        </w:rPr>
        <w:t>: [</w:t>
      </w:r>
      <w:r>
        <w:rPr>
          <w:rtl w:val="true"/>
        </w:rPr>
        <w:t>الدين لا يمنع الزكاة</w:t>
      </w:r>
      <w:r>
        <w:rPr>
          <w:rtl w:val="true"/>
        </w:rPr>
        <w:t>]</w:t>
      </w:r>
      <w:bookmarkEnd w:id="58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لا يمنع من زكاة التجارة و لو لم يكن للمالك وفاء إلاّ منه، نصّ عليه الفاضلان</w:t>
      </w:r>
      <w:r>
        <w:rPr>
          <w:rStyle w:val="FootnoteAnchor"/>
          <w:rtl w:val="true"/>
        </w:rPr>
        <w:footnoteReference w:id="2651"/>
      </w:r>
      <w:r>
        <w:rPr>
          <w:rFonts w:ascii="Amiri" w:hAnsi="Amiri" w:eastAsia="Amiri" w:cs="Amiri"/>
          <w:color w:val="111111"/>
          <w:sz w:val="28"/>
          <w:sz w:val="28"/>
          <w:szCs w:val="28"/>
          <w:rtl w:val="true"/>
          <w:lang w:bidi="ar-SA"/>
        </w:rPr>
        <w:t>و الشهيدان</w:t>
      </w:r>
      <w:r>
        <w:rPr>
          <w:rStyle w:val="FootnoteAnchor"/>
          <w:rtl w:val="true"/>
        </w:rPr>
        <w:footnoteReference w:id="2652"/>
      </w:r>
      <w:r>
        <w:rPr>
          <w:rFonts w:ascii="Amiri" w:hAnsi="Amiri" w:eastAsia="Amiri" w:cs="Amiri"/>
          <w:color w:val="111111"/>
          <w:sz w:val="28"/>
          <w:sz w:val="28"/>
          <w:szCs w:val="28"/>
          <w:rtl w:val="true"/>
          <w:lang w:bidi="ar-SA"/>
        </w:rPr>
        <w:t>و غيرهما و عن التذكرة و ظاهر الخلاف الإجماع عليه</w:t>
      </w:r>
      <w:r>
        <w:rPr>
          <w:rStyle w:val="FootnoteAnchor"/>
          <w:rtl w:val="true"/>
        </w:rPr>
        <w:footnoteReference w:id="2653"/>
      </w:r>
      <w:r>
        <w:rPr>
          <w:rFonts w:ascii="IRNazanin" w:hAnsi="IRNazanin" w:eastAsia="IRNazanin"/>
          <w:color w:val="111111"/>
          <w:sz w:val="28"/>
          <w:sz w:val="28"/>
          <w:szCs w:val="28"/>
          <w:rtl w:val="true"/>
          <w:lang w:bidi="fa-IR"/>
        </w:rPr>
        <w:t xml:space="preserve">و من </w:t>
      </w:r>
      <w:bookmarkStart w:id="589" w:name="pg16181_154811"/>
    </w:p>
    <w:p>
      <w:pPr>
        <w:pStyle w:val="BookText"/>
        <w:rPr/>
      </w:pPr>
      <w:bookmarkEnd w:id="589"/>
      <w:r>
        <w:rPr>
          <w:rFonts w:ascii="Amiri" w:hAnsi="Amiri" w:eastAsia="Amiri" w:cs="Amiri"/>
          <w:color w:val="111111"/>
          <w:sz w:val="28"/>
          <w:sz w:val="28"/>
          <w:szCs w:val="28"/>
          <w:rtl w:val="true"/>
          <w:lang w:bidi="ar-SA"/>
        </w:rPr>
        <w:t>هنا ذكر في المدارك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الأصحاب</w:t>
      </w:r>
      <w:r>
        <w:rPr>
          <w:rFonts w:eastAsia="Amiri" w:cs="Amiri" w:ascii="Amiri" w:hAnsi="Amiri"/>
          <w:color w:val="111111"/>
          <w:sz w:val="28"/>
          <w:szCs w:val="28"/>
          <w:rtl w:val="true"/>
          <w:lang w:bidi="ar-SA"/>
        </w:rPr>
        <w:t>»</w:t>
      </w:r>
      <w:r>
        <w:rPr>
          <w:rStyle w:val="FootnoteAnchor"/>
          <w:rtl w:val="true"/>
        </w:rPr>
        <w:footnoteReference w:id="2654"/>
      </w:r>
      <w:r>
        <w:rPr>
          <w:rFonts w:ascii="Amiri" w:hAnsi="Amiri" w:eastAsia="Amiri" w:cs="Amiri"/>
          <w:color w:val="111111"/>
          <w:sz w:val="28"/>
          <w:sz w:val="28"/>
          <w:szCs w:val="28"/>
          <w:rtl w:val="true"/>
          <w:lang w:bidi="ar-SA"/>
        </w:rPr>
        <w:t>و علّلوه بأنّ متعلّق الدين الذمّة، و متعلّق زكاة التجارة العين أو القيمة على الخلاف المتقدّم</w:t>
      </w:r>
      <w:r>
        <w:rPr>
          <w:rStyle w:val="FootnoteAnchor"/>
          <w:rtl w:val="true"/>
        </w:rPr>
        <w:footnoteReference w:id="2655"/>
      </w:r>
      <w:r>
        <w:rPr>
          <w:rFonts w:ascii="Amiri" w:hAnsi="Amiri" w:eastAsia="Amiri" w:cs="Amiri"/>
          <w:color w:val="111111"/>
          <w:sz w:val="28"/>
          <w:sz w:val="28"/>
          <w:szCs w:val="28"/>
          <w:rtl w:val="true"/>
          <w:lang w:bidi="ar-SA"/>
        </w:rPr>
        <w:t>فلا 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عليل، و العمدة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التذكرة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يتأكّد إخراج زكاة التجارة للمديون مع المضايقة لأنّه نفل يضرّ بالفرض</w:t>
      </w:r>
      <w:r>
        <w:rPr>
          <w:rFonts w:eastAsia="Amiri" w:cs="Amiri" w:ascii="Amiri" w:hAnsi="Amiri"/>
          <w:color w:val="111111"/>
          <w:sz w:val="28"/>
          <w:szCs w:val="28"/>
          <w:rtl w:val="true"/>
          <w:lang w:bidi="ar-SA"/>
        </w:rPr>
        <w:t>»</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زكاة المال لأنّها تتعلّق بالعين، و هذا واضح و عليه مبنيّ ما تقدّم من مسألة التحاصّ‌</w:t>
      </w:r>
      <w:r>
        <w:rPr>
          <w:rStyle w:val="FootnoteAnchor"/>
          <w:rtl w:val="true"/>
        </w:rPr>
        <w:footnoteReference w:id="2657"/>
      </w:r>
      <w:r>
        <w:rPr>
          <w:rFonts w:ascii="Amiri" w:hAnsi="Amiri" w:eastAsia="Amiri" w:cs="Amiri"/>
          <w:color w:val="111111"/>
          <w:sz w:val="28"/>
          <w:sz w:val="28"/>
          <w:szCs w:val="28"/>
          <w:rtl w:val="true"/>
          <w:lang w:bidi="ar-SA"/>
        </w:rPr>
        <w:t>و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الدين لا يمنع الزكاة سواء كان للمالك مال سوى النصاب أو لم يكن، و سواء استوعب الدين النصاب أو لم يستوعبه، و سواء كانت أموال الزكاة ظاهرة كالنعم و الحرث أو باطنة كالذهب و الفضّة و عليه علماؤنا أجمع</w:t>
      </w:r>
      <w:r>
        <w:rPr>
          <w:rFonts w:eastAsia="Amiri" w:cs="Amiri" w:ascii="Amiri" w:hAnsi="Amiri"/>
          <w:color w:val="111111"/>
          <w:sz w:val="28"/>
          <w:szCs w:val="28"/>
          <w:rtl w:val="true"/>
          <w:lang w:bidi="ar-SA"/>
        </w:rPr>
        <w:t>»</w:t>
      </w:r>
      <w:r>
        <w:rPr>
          <w:rStyle w:val="FootnoteAnchor"/>
          <w:rtl w:val="true"/>
        </w:rPr>
        <w:footnoteReference w:id="2658"/>
      </w:r>
      <w:r>
        <w:rPr>
          <w:rFonts w:ascii="Amiri" w:hAnsi="Amiri" w:eastAsia="Amiri" w:cs="Amiri"/>
          <w:color w:val="111111"/>
          <w:sz w:val="28"/>
          <w:sz w:val="28"/>
          <w:szCs w:val="28"/>
          <w:rtl w:val="true"/>
          <w:lang w:bidi="ar-SA"/>
        </w:rPr>
        <w:t>و في المدارك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مقطوع به في كلام الأصحاب مدّعى عليه الإجماع</w:t>
      </w:r>
      <w:r>
        <w:rPr>
          <w:rFonts w:eastAsia="Amiri" w:cs="Amiri" w:ascii="Amiri" w:hAnsi="Amiri"/>
          <w:color w:val="111111"/>
          <w:sz w:val="28"/>
          <w:szCs w:val="28"/>
          <w:rtl w:val="true"/>
          <w:lang w:bidi="ar-SA"/>
        </w:rPr>
        <w:t>»</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عليه بصحيح زرارة عن أبي جعفر عليه السّلام و خبر ضريس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له مال موضوع حتّى يحول عليه الحول فإنه يزكّيه و إن كان عليه من الدين مثله و أكثر منه، فليزكّ ما في يده</w:t>
      </w:r>
      <w:r>
        <w:rPr>
          <w:rFonts w:eastAsia="Amiri" w:cs="Amiri" w:ascii="Amiri" w:hAnsi="Amiri"/>
          <w:color w:val="111111"/>
          <w:sz w:val="28"/>
          <w:szCs w:val="28"/>
          <w:rtl w:val="true"/>
          <w:lang w:bidi="ar-SA"/>
        </w:rPr>
        <w:t>»</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0" w:name="__RefHeading___Toc2586843_1280447820"/>
      <w:bookmarkStart w:id="591" w:name="_Toc220"/>
      <w:bookmarkEnd w:id="590"/>
      <w:r>
        <w:rPr>
          <w:rtl w:val="true"/>
        </w:rPr>
        <w:t>المسألة الرابعة</w:t>
      </w:r>
      <w:r>
        <w:rPr>
          <w:rtl w:val="true"/>
        </w:rPr>
        <w:t>: [</w:t>
      </w:r>
      <w:r>
        <w:rPr>
          <w:rtl w:val="true"/>
        </w:rPr>
        <w:t>الزكاة في نماء العقارات و الخيول السائمة</w:t>
      </w:r>
      <w:r>
        <w:rPr>
          <w:rtl w:val="true"/>
        </w:rPr>
        <w:t>]</w:t>
      </w:r>
      <w:bookmarkEnd w:id="591"/>
    </w:p>
    <w:p>
      <w:pPr>
        <w:pStyle w:val="BookText"/>
        <w:rPr/>
      </w:pPr>
      <w:r>
        <w:rPr>
          <w:rFonts w:ascii="Amiri" w:hAnsi="Amiri" w:eastAsia="Amiri" w:cs="Amiri"/>
          <w:color w:val="111111"/>
          <w:sz w:val="28"/>
          <w:sz w:val="28"/>
          <w:szCs w:val="28"/>
          <w:rtl w:val="true"/>
          <w:lang w:bidi="ar-SA"/>
        </w:rPr>
        <w:t>قال في الشرائع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العقار المتّخذة للنماء يستحبّ الزكاة في حاصله</w:t>
      </w:r>
      <w:r>
        <w:rPr>
          <w:rFonts w:eastAsia="Amiri" w:cs="Amiri" w:ascii="Amiri" w:hAnsi="Amiri"/>
          <w:color w:val="111111"/>
          <w:sz w:val="28"/>
          <w:szCs w:val="28"/>
          <w:rtl w:val="true"/>
          <w:lang w:bidi="ar-SA"/>
        </w:rPr>
        <w:t>»</w:t>
      </w:r>
      <w:r>
        <w:rPr>
          <w:rStyle w:val="FootnoteAnchor"/>
          <w:rtl w:val="true"/>
        </w:rPr>
        <w:footnoteReference w:id="2661"/>
      </w:r>
      <w:r>
        <w:rPr>
          <w:rFonts w:ascii="Amiri" w:hAnsi="Amiri" w:eastAsia="Amiri" w:cs="Amiri"/>
          <w:color w:val="111111"/>
          <w:sz w:val="28"/>
          <w:sz w:val="28"/>
          <w:szCs w:val="28"/>
          <w:rtl w:val="true"/>
          <w:lang w:bidi="ar-SA"/>
        </w:rPr>
        <w:t>و في كلام جماعة أنّ العقار لغة الأرض، و المراد هنا ما يعمّ البساتين و الخانات و الحمّامات و نحو ذلك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نسبه في المدارك إلى تصريح الأصحاب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الزكاة في حاصلها مقطوع به في كلامهم، و لم أقف على مستنده و قد ذكره العلاّمة في التذكرة و المنتهى</w:t>
      </w:r>
      <w:r>
        <w:rPr>
          <w:rStyle w:val="FootnoteAnchor"/>
          <w:rtl w:val="true"/>
        </w:rPr>
        <w:footnoteReference w:id="2662"/>
      </w:r>
      <w:r>
        <w:rPr>
          <w:rFonts w:ascii="Amiri" w:hAnsi="Amiri" w:eastAsia="Amiri" w:cs="Amiri"/>
          <w:color w:val="111111"/>
          <w:sz w:val="28"/>
          <w:sz w:val="28"/>
          <w:szCs w:val="28"/>
          <w:rtl w:val="true"/>
          <w:lang w:bidi="ar-SA"/>
        </w:rPr>
        <w:t>مجرّدا عن الدليل، ثمّ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يشترط فيه الحول و لا النصاب للعموم</w:t>
      </w:r>
      <w:r>
        <w:rPr>
          <w:rFonts w:eastAsia="Amiri" w:cs="Amiri" w:ascii="Amiri" w:hAnsi="Amiri"/>
          <w:color w:val="111111"/>
          <w:sz w:val="28"/>
          <w:szCs w:val="28"/>
          <w:rtl w:val="true"/>
          <w:lang w:bidi="ar-SA"/>
        </w:rPr>
        <w:t>»</w:t>
      </w:r>
      <w:r>
        <w:rPr>
          <w:rStyle w:val="FootnoteAnchor"/>
          <w:rtl w:val="true"/>
        </w:rPr>
        <w:footnoteReference w:id="2663"/>
      </w:r>
    </w:p>
    <w:p>
      <w:pPr>
        <w:pStyle w:val="BookText"/>
        <w:rPr/>
      </w:pPr>
      <w:r>
        <w:rPr>
          <w:rFonts w:ascii="Amiri" w:hAnsi="Amiri" w:eastAsia="Amiri" w:cs="Amiri"/>
          <w:color w:val="111111"/>
          <w:sz w:val="28"/>
          <w:sz w:val="28"/>
          <w:szCs w:val="28"/>
          <w:rtl w:val="true"/>
          <w:lang w:bidi="ar-SA"/>
        </w:rPr>
        <w:t>و استقرب الشهيد في البيان</w:t>
      </w:r>
      <w:r>
        <w:rPr>
          <w:rStyle w:val="FootnoteAnchor"/>
          <w:rtl w:val="true"/>
        </w:rPr>
        <w:footnoteReference w:id="2664"/>
      </w:r>
      <w:r>
        <w:rPr>
          <w:rFonts w:ascii="Amiri" w:hAnsi="Amiri" w:eastAsia="Amiri" w:cs="Amiri"/>
          <w:color w:val="111111"/>
          <w:sz w:val="28"/>
          <w:sz w:val="28"/>
          <w:szCs w:val="28"/>
          <w:rtl w:val="true"/>
          <w:lang w:bidi="ar-SA"/>
        </w:rPr>
        <w:t>اعتبارهما، و لا بأس به اقتصارا فيما خالف الأصل على موضع الوفاق إن تمّ‌، و على هذا فإنّما يثبت الاستحباب فيه إذا كان الحاصل عرضا غير زكوي، أمّا لو كان نقدا فإنّ الزكاة تجب فيه مع اجتماع الشرائط و يسقط الاستحباب</w:t>
      </w:r>
      <w:r>
        <w:rPr>
          <w:rStyle w:val="FootnoteAnchor"/>
          <w:rtl w:val="true"/>
        </w:rPr>
        <w:footnoteReference w:id="266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يجعل ذلك من زكاة التجارة فيعتبر فيها ما يعتبر في زكاة التجارة من الحول و النصاب و القدر المخرج،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التجارة عرفا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أعمّ من التكسّب بنقل العين و استنمائها، فإنّ الاسترباح له طريقان في العرف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الأعيان،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باستنمائها مع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هذا الاعتبار من المحكيّ من عبارة المصابيح للسيّد الطباطبائي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تعرّضهم لذكر قدر هذه الزكاة و وقت الإخراج و كيفيّته أصلا قرينة على كونها كزكاة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 كالفاضل</w:t>
      </w:r>
      <w:r>
        <w:rPr>
          <w:rStyle w:val="FootnoteAnchor"/>
          <w:rtl w:val="true"/>
        </w:rPr>
        <w:footnoteReference w:id="2666"/>
      </w:r>
      <w:r>
        <w:rPr>
          <w:rFonts w:ascii="Amiri" w:hAnsi="Amiri" w:eastAsia="Amiri" w:cs="Amiri"/>
          <w:color w:val="111111"/>
          <w:sz w:val="28"/>
          <w:sz w:val="28"/>
          <w:szCs w:val="28"/>
          <w:rtl w:val="true"/>
          <w:lang w:bidi="ar-SA"/>
        </w:rPr>
        <w:t>و الشهيد</w:t>
      </w:r>
      <w:r>
        <w:rPr>
          <w:rStyle w:val="FootnoteAnchor"/>
          <w:rtl w:val="true"/>
        </w:rPr>
        <w:footnoteReference w:id="2667"/>
      </w:r>
      <w:r>
        <w:rPr>
          <w:rFonts w:ascii="Amiri" w:hAnsi="Amiri" w:eastAsia="Amiri" w:cs="Amiri"/>
          <w:color w:val="111111"/>
          <w:sz w:val="28"/>
          <w:sz w:val="28"/>
          <w:szCs w:val="28"/>
          <w:rtl w:val="true"/>
          <w:lang w:bidi="ar-SA"/>
        </w:rPr>
        <w:t>و أبي العباس</w:t>
      </w:r>
      <w:r>
        <w:rPr>
          <w:rStyle w:val="FootnoteAnchor"/>
          <w:rtl w:val="true"/>
        </w:rPr>
        <w:footnoteReference w:id="2668"/>
      </w:r>
      <w:r>
        <w:rPr>
          <w:rFonts w:ascii="Amiri" w:hAnsi="Amiri" w:eastAsia="Amiri" w:cs="Amiri"/>
          <w:color w:val="111111"/>
          <w:sz w:val="28"/>
          <w:sz w:val="28"/>
          <w:szCs w:val="28"/>
          <w:rtl w:val="true"/>
          <w:lang w:bidi="ar-SA"/>
        </w:rPr>
        <w:t>و الصيمري</w:t>
      </w:r>
      <w:r>
        <w:rPr>
          <w:rStyle w:val="FootnoteAnchor"/>
          <w:rtl w:val="true"/>
        </w:rPr>
        <w:footnoteReference w:id="2669"/>
      </w:r>
      <w:r>
        <w:rPr>
          <w:rFonts w:ascii="Amiri" w:hAnsi="Amiri" w:eastAsia="Amiri" w:cs="Amiri"/>
          <w:color w:val="111111"/>
          <w:sz w:val="28"/>
          <w:sz w:val="28"/>
          <w:szCs w:val="28"/>
          <w:rtl w:val="true"/>
          <w:lang w:bidi="ar-SA"/>
        </w:rPr>
        <w:t>و المحقّق الثاني</w:t>
      </w:r>
      <w:r>
        <w:rPr>
          <w:rStyle w:val="FootnoteAnchor"/>
          <w:rtl w:val="true"/>
        </w:rPr>
        <w:footnoteReference w:id="2670"/>
      </w:r>
      <w:r>
        <w:rPr>
          <w:rFonts w:ascii="Amiri" w:hAnsi="Amiri" w:eastAsia="Amiri" w:cs="Amiri"/>
          <w:color w:val="111111"/>
          <w:sz w:val="28"/>
          <w:sz w:val="28"/>
          <w:szCs w:val="28"/>
          <w:rtl w:val="true"/>
          <w:lang w:bidi="ar-SA"/>
        </w:rPr>
        <w:t>و غيرهم التعرّض لكون المخرج هنا ربع العشر كزكاة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 نصوص زكاة التجارة لما نحن فيه تأمّل واضح، و لكنّ الحكم لمّا كان من السنن فالخطب فيه سهل، لكفاية فتوى الفقيه فيه خصوصا إذا كانت من جماعة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ظاهرهم اختصاص هذا القسم بكون حاصل العقار من غير الأجناس الزكويّة، و أمّا ما كان حاصله منها فيعتبر فيه ما يعتبر في زكاة المال فيجب عند اجتماع شروط وجوبها، و أمّا مع عدم اجتماعها ففي الاستحباب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الدليل و الأصل يقتضي عدمه، و من اندراجه في عموم الفتوى في زكاة حاصل العقار إن لم نعتبر فيها الحول و النصاب</w:t>
      </w:r>
      <w:r>
        <w:rPr>
          <w:rFonts w:eastAsia="Amiri" w:cs="Amiri" w:ascii="Amiri" w:hAnsi="Amiri"/>
          <w:color w:val="111111"/>
          <w:sz w:val="28"/>
          <w:szCs w:val="28"/>
          <w:rtl w:val="true"/>
          <w:lang w:bidi="ar-SA"/>
        </w:rPr>
        <w:t xml:space="preserve">. </w:t>
      </w:r>
      <w:bookmarkStart w:id="592" w:name="pg16181_154813"/>
    </w:p>
    <w:p>
      <w:pPr>
        <w:pStyle w:val="Heading6"/>
        <w:numPr>
          <w:ilvl w:val="5"/>
          <w:numId w:val="1"/>
        </w:numPr>
        <w:rPr/>
      </w:pPr>
      <w:bookmarkStart w:id="593" w:name="__RefHeading___Toc2586845_1280447820"/>
      <w:bookmarkStart w:id="594" w:name="_Toc221"/>
      <w:bookmarkEnd w:id="592"/>
      <w:bookmarkEnd w:id="593"/>
      <w:r>
        <w:rPr>
          <w:rtl w:val="true"/>
        </w:rPr>
        <w:t>المسألة الخامسة</w:t>
      </w:r>
      <w:r>
        <w:rPr>
          <w:rtl w:val="true"/>
        </w:rPr>
        <w:t xml:space="preserve">: </w:t>
      </w:r>
      <w:r>
        <w:rPr>
          <w:rtl w:val="true"/>
        </w:rPr>
        <w:t>قال في الشرائع</w:t>
      </w:r>
      <w:r>
        <w:rPr>
          <w:rtl w:val="true"/>
        </w:rPr>
        <w:t>: «</w:t>
      </w:r>
      <w:r>
        <w:rPr>
          <w:rtl w:val="true"/>
        </w:rPr>
        <w:t>الخيل إذا كانت إناثا سائمة و حال عليها الحول ففي العتاق عن كلّ فرس ديناران،</w:t>
      </w:r>
      <w:bookmarkEnd w:id="594"/>
    </w:p>
    <w:p>
      <w:pPr>
        <w:pStyle w:val="BookText"/>
        <w:rPr/>
      </w:pPr>
      <w:r>
        <w:rPr>
          <w:rFonts w:ascii="Amiri" w:hAnsi="Amiri" w:eastAsia="Amiri" w:cs="Amiri"/>
          <w:color w:val="111111"/>
          <w:sz w:val="28"/>
          <w:sz w:val="28"/>
          <w:szCs w:val="28"/>
          <w:rtl w:val="true"/>
          <w:lang w:bidi="ar-SA"/>
        </w:rPr>
        <w:t>و في البرازين عن كلّ فرس دينار استحبابا</w:t>
      </w:r>
      <w:r>
        <w:rPr>
          <w:rFonts w:eastAsia="Amiri" w:cs="Amiri" w:ascii="Amiri" w:hAnsi="Amiri"/>
          <w:color w:val="111111"/>
          <w:sz w:val="28"/>
          <w:szCs w:val="28"/>
          <w:rtl w:val="true"/>
          <w:lang w:bidi="ar-SA"/>
        </w:rPr>
        <w:t>»</w:t>
      </w:r>
      <w:r>
        <w:rPr>
          <w:rStyle w:val="FootnoteAnchor"/>
          <w:rtl w:val="true"/>
        </w:rPr>
        <w:footnoteReference w:id="2671"/>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بالفرس العتيق الّذي أبواه عربيّان كريمان، و البرزون بكسر الباء خلافه، و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أجمع علماؤنا على استحباب الزكاة في الخيل بشروط ثلاثة السوم و الانوثة و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ما رواه الشيخ في الحسن عن زرارة و محمّد بن مسلم عنهما جميعا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أمير المؤمنين عليه السّلام على الخيل العتاق الراعية في كلّ فرس في كلّ عام دينارين، و جعل على البرازين دينارا</w:t>
      </w:r>
      <w:r>
        <w:rPr>
          <w:rFonts w:eastAsia="Amiri" w:cs="Amiri" w:ascii="Amiri" w:hAnsi="Amiri"/>
          <w:color w:val="111111"/>
          <w:sz w:val="28"/>
          <w:szCs w:val="28"/>
          <w:rtl w:val="true"/>
          <w:lang w:bidi="ar-SA"/>
        </w:rPr>
        <w:t>»</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كما يدلّ على الشروط الثلاثة يدلّ على عدم اعتبار النصاب هنا، و لعلّ دلالته على الحكم و هو الاستحباب بواسطة ظهور وضع أمير المؤمنين عليه السّلام فيه، و لو كان فيه قصور ينجبر بفهم الأصحاب</w:t>
      </w:r>
      <w:r>
        <w:rPr>
          <w:rFonts w:eastAsia="Amiri" w:cs="Amiri" w:ascii="Amiri" w:hAnsi="Amiri"/>
          <w:color w:val="111111"/>
          <w:sz w:val="28"/>
          <w:szCs w:val="28"/>
          <w:rtl w:val="true"/>
          <w:lang w:bidi="ar-SA"/>
        </w:rPr>
        <w:t xml:space="preserve">. </w:t>
      </w:r>
      <w:bookmarkStart w:id="595" w:name="pg16181_154814"/>
    </w:p>
    <w:p>
      <w:pPr>
        <w:pStyle w:val="Heading4"/>
        <w:numPr>
          <w:ilvl w:val="3"/>
          <w:numId w:val="1"/>
        </w:numPr>
        <w:rPr/>
      </w:pPr>
      <w:bookmarkStart w:id="596" w:name="__RefHeading___Toc2586847_1280447820"/>
      <w:bookmarkStart w:id="597" w:name="_Toc222"/>
      <w:bookmarkEnd w:id="595"/>
      <w:bookmarkEnd w:id="596"/>
      <w:r>
        <w:rPr>
          <w:rtl w:val="true"/>
        </w:rPr>
        <w:t xml:space="preserve">المبحث الثالث </w:t>
      </w:r>
      <w:r>
        <w:rPr>
          <w:rtl w:val="true"/>
        </w:rPr>
        <w:t>[</w:t>
      </w:r>
      <w:r>
        <w:rPr>
          <w:rtl w:val="true"/>
        </w:rPr>
        <w:t>أصناف المستحقّين للزكاة</w:t>
      </w:r>
      <w:r>
        <w:rPr>
          <w:rtl w:val="true"/>
        </w:rPr>
        <w:t>]</w:t>
      </w:r>
      <w:bookmarkEnd w:id="597"/>
    </w:p>
    <w:p>
      <w:pPr>
        <w:pStyle w:val="Heading5"/>
        <w:numPr>
          <w:ilvl w:val="4"/>
          <w:numId w:val="1"/>
        </w:numPr>
        <w:rPr/>
      </w:pPr>
      <w:bookmarkStart w:id="598" w:name="__RefHeading___Toc2586849_1280447820"/>
      <w:bookmarkStart w:id="599" w:name="_Toc223"/>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في من يصرف إليه الزكاة، المعبّر عنه في كلام الأصحاب بالمستحقّ الّذي تعرّض سبحانه و تعالى لبيان أصنافه 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اَللّٰهِ وَ اَللّٰهُ عَلِيمٌ حَكِيمٌ‌ </w:t>
      </w:r>
      <w:r>
        <w:rPr>
          <w:rStyle w:val="FootnoteAnchor"/>
          <w:rtl w:val="true"/>
        </w:rPr>
        <w:footnoteReference w:id="2674"/>
      </w:r>
      <w:r>
        <w:rPr>
          <w:rFonts w:ascii="Amiri" w:hAnsi="Amiri" w:eastAsia="Amiri" w:cs="Amiri"/>
          <w:color w:val="111111"/>
          <w:sz w:val="28"/>
          <w:sz w:val="28"/>
          <w:szCs w:val="28"/>
          <w:rtl w:val="true"/>
          <w:lang w:bidi="ar-SA"/>
        </w:rPr>
        <w:t>و لا خلاف في أنّ أصناف المستحقّ هم المذكورون في الآية، و في المحكيّ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خلاف فيه بين المسلمين</w:t>
      </w:r>
      <w:r>
        <w:rPr>
          <w:rFonts w:eastAsia="Amiri" w:cs="Amiri" w:ascii="Amiri" w:hAnsi="Amiri"/>
          <w:color w:val="111111"/>
          <w:sz w:val="28"/>
          <w:szCs w:val="28"/>
          <w:rtl w:val="true"/>
          <w:lang w:bidi="ar-SA"/>
        </w:rPr>
        <w:t>»</w:t>
      </w:r>
      <w:r>
        <w:rPr>
          <w:rStyle w:val="FootnoteAnchor"/>
          <w:rtl w:val="true"/>
        </w:rPr>
        <w:footnoteReference w:id="2675"/>
      </w:r>
      <w:r>
        <w:rPr>
          <w:rFonts w:ascii="Amiri" w:hAnsi="Amiri" w:eastAsia="Amiri" w:cs="Amiri"/>
          <w:color w:val="111111"/>
          <w:sz w:val="28"/>
          <w:sz w:val="28"/>
          <w:szCs w:val="28"/>
          <w:rtl w:val="true"/>
          <w:lang w:bidi="ar-SA"/>
        </w:rPr>
        <w:t>بعد ما صرّح بالإجماع عليه في صدر العبارة، و نحوه الإجماع المحكيّ عنه في التذكرة</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التعرّض لبيان تفصيل الأصناف المذكورة و ما يتعلّق بكلّ واحد من الأحكام</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2586851_1280447820"/>
      <w:bookmarkStart w:id="601" w:name="_Toc224"/>
      <w:bookmarkEnd w:id="600"/>
      <w:r>
        <w:rPr>
          <w:rtl w:val="true"/>
        </w:rPr>
        <w:t>الصنف الأوّل و الثاني</w:t>
      </w:r>
      <w:r>
        <w:rPr>
          <w:rtl w:val="true"/>
        </w:rPr>
        <w:t xml:space="preserve">: </w:t>
      </w:r>
      <w:r>
        <w:rPr>
          <w:rtl w:val="true"/>
        </w:rPr>
        <w:t>الفقراء و المساكين،</w:t>
      </w:r>
      <w:bookmarkEnd w:id="601"/>
    </w:p>
    <w:p>
      <w:pPr>
        <w:pStyle w:val="Heading6"/>
        <w:numPr>
          <w:ilvl w:val="5"/>
          <w:numId w:val="1"/>
        </w:numPr>
        <w:rPr/>
      </w:pPr>
      <w:bookmarkStart w:id="602" w:name="__RefHeading___Toc2586853_1280447820"/>
      <w:bookmarkStart w:id="603" w:name="_Toc225"/>
      <w:bookmarkEnd w:id="602"/>
      <w:r>
        <w:rPr>
          <w:rtl w:val="true"/>
        </w:rPr>
        <w:t>اشارة</w:t>
      </w:r>
      <w:bookmarkEnd w:id="60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المشهور الّذي عليه الأكثر من كونهما متغايرين و إنّ المسكين أسوأ حالا من الفقير، لأنّ الفقير هو المحتاج المتعفّف الّذي لا يسأل، و المسكين هو المحتاج الّذي يسأل لشدّة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الأصحّ عملا بعدّة من الروايات المعتضدة بالشهرة، و نصّ كثير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للشرائع</w:t>
      </w:r>
      <w:r>
        <w:rPr>
          <w:rStyle w:val="FootnoteAnchor"/>
          <w:rtl w:val="true"/>
        </w:rPr>
        <w:footnoteReference w:id="2677"/>
      </w:r>
      <w:r>
        <w:rPr>
          <w:rFonts w:ascii="Amiri" w:hAnsi="Amiri" w:eastAsia="Amiri" w:cs="Amiri"/>
          <w:color w:val="111111"/>
          <w:sz w:val="28"/>
          <w:sz w:val="28"/>
          <w:szCs w:val="28"/>
          <w:rtl w:val="true"/>
          <w:lang w:bidi="ar-SA"/>
        </w:rPr>
        <w:t xml:space="preserve">فجعل الأشبه كونهما </w:t>
      </w:r>
    </w:p>
    <w:p>
      <w:pPr>
        <w:pStyle w:val="BookText"/>
        <w:rPr/>
      </w:pPr>
      <w:r>
        <w:rPr>
          <w:rFonts w:ascii="Amiri" w:hAnsi="Amiri" w:eastAsia="Amiri" w:cs="Amiri"/>
          <w:color w:val="111111"/>
          <w:sz w:val="28"/>
          <w:sz w:val="28"/>
          <w:szCs w:val="28"/>
          <w:rtl w:val="true"/>
          <w:lang w:bidi="ar-SA"/>
        </w:rPr>
        <w:t>بمعنى واحد على معنى كونهما مترادفين،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جماعة منهم المصنّف</w:t>
      </w:r>
      <w:r>
        <w:rPr>
          <w:rFonts w:eastAsia="Amiri" w:cs="Amiri" w:ascii="Amiri" w:hAnsi="Amiri"/>
          <w:color w:val="111111"/>
          <w:sz w:val="28"/>
          <w:szCs w:val="28"/>
          <w:rtl w:val="true"/>
          <w:lang w:bidi="ar-SA"/>
        </w:rPr>
        <w:t>»</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يترتّب على الإطناب في تحقيق هذا المقام فائدة مهمّة، كما نصّ عليه جماعة</w:t>
      </w:r>
      <w:r>
        <w:rPr>
          <w:rStyle w:val="FootnoteAnchor"/>
          <w:rtl w:val="true"/>
        </w:rPr>
        <w:footnoteReference w:id="2679"/>
      </w:r>
      <w:r>
        <w:rPr>
          <w:rFonts w:ascii="Amiri" w:hAnsi="Amiri" w:eastAsia="Amiri" w:cs="Amiri"/>
          <w:color w:val="111111"/>
          <w:sz w:val="28"/>
          <w:sz w:val="28"/>
          <w:szCs w:val="28"/>
          <w:rtl w:val="true"/>
          <w:lang w:bidi="ar-SA"/>
        </w:rPr>
        <w:t xml:space="preserve">تعليلا بأنّه حيثما ذكر أحدهما منفردا في الخطاب دخل في إطلاق لفظه الآخر كما في آية الكفّارة فَكَفّٰارَتُهُ إِطْعٰامُ عَشَرَةِ مَسٰاكِينَ مِنْ أَوْسَطِ مٰا تُطْعِمُونَ أَهْلِيكُمْ أَوْ كِسْوَتُهُمْ أَوْ تَحْرِيرُ رَقَبَةٍ‌ </w:t>
      </w:r>
      <w:r>
        <w:rPr>
          <w:rStyle w:val="FootnoteAnchor"/>
          <w:rtl w:val="true"/>
        </w:rPr>
        <w:footnoteReference w:id="2680"/>
      </w:r>
      <w:r>
        <w:rPr>
          <w:rFonts w:ascii="Amiri" w:hAnsi="Amiri" w:eastAsia="Amiri" w:cs="Amiri"/>
          <w:color w:val="111111"/>
          <w:sz w:val="28"/>
          <w:sz w:val="28"/>
          <w:szCs w:val="28"/>
          <w:rtl w:val="true"/>
          <w:lang w:bidi="ar-SA"/>
        </w:rPr>
        <w:t>حيث تعلّق فيها الحكم بالمساكين و دخل فيه الفقير، 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خلاف</w:t>
      </w:r>
      <w:r>
        <w:rPr>
          <w:rFonts w:eastAsia="Amiri" w:cs="Amiri" w:ascii="Amiri" w:hAnsi="Amiri"/>
          <w:color w:val="111111"/>
          <w:sz w:val="28"/>
          <w:szCs w:val="28"/>
          <w:rtl w:val="true"/>
          <w:lang w:bidi="ar-SA"/>
        </w:rPr>
        <w:t>»</w:t>
      </w:r>
      <w:r>
        <w:rPr>
          <w:rStyle w:val="FootnoteAnchor"/>
          <w:rtl w:val="true"/>
        </w:rPr>
        <w:footnoteReference w:id="2681"/>
      </w:r>
      <w:r>
        <w:rPr>
          <w:rFonts w:ascii="Amiri" w:hAnsi="Amiri" w:eastAsia="Amiri" w:cs="Amiri"/>
          <w:color w:val="111111"/>
          <w:sz w:val="28"/>
          <w:sz w:val="28"/>
          <w:szCs w:val="28"/>
          <w:rtl w:val="true"/>
          <w:lang w:bidi="ar-SA"/>
        </w:rPr>
        <w:t>و في الروضة و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Style w:val="FootnoteAnchor"/>
          <w:rtl w:val="true"/>
        </w:rPr>
        <w:footnoteReference w:id="2682"/>
      </w:r>
      <w:r>
        <w:rPr>
          <w:rFonts w:ascii="Amiri" w:hAnsi="Amiri" w:eastAsia="Amiri" w:cs="Amiri"/>
          <w:color w:val="111111"/>
          <w:sz w:val="28"/>
          <w:sz w:val="28"/>
          <w:szCs w:val="28"/>
          <w:rtl w:val="true"/>
          <w:lang w:bidi="ar-SA"/>
        </w:rPr>
        <w:t>و إنّما الخلاف فيما لو اجتمعا، و لم يجتمعا إلاّ في آية الزكاة، و المفروض اشتراكهما في استحقاق تناولها و إن كان قد يظهر في بعض الموارد النادرة كما لو نذر أو أوصى أو وقف للأسوإ حالا منهما فإنّه لا يدخل فيه الآخر حينئذ بخلاف العكس، هذا على ما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غير جيّد بل المتّجه عدم دخول كلّ منهما في الآخر و إن كان أسوأ حالا من المنذور له لأنّ اللفظ لا يتناوله كما هو المفروض</w:t>
      </w:r>
      <w:r>
        <w:rPr>
          <w:rFonts w:eastAsia="Amiri" w:cs="Amiri" w:ascii="Amiri" w:hAnsi="Amiri"/>
          <w:color w:val="111111"/>
          <w:sz w:val="28"/>
          <w:szCs w:val="28"/>
          <w:rtl w:val="true"/>
          <w:lang w:bidi="ar-SA"/>
        </w:rPr>
        <w:t>»</w:t>
      </w:r>
      <w:r>
        <w:rPr>
          <w:rStyle w:val="FootnoteAnchor"/>
          <w:rtl w:val="true"/>
        </w:rPr>
        <w:footnoteReference w:id="2683"/>
      </w:r>
      <w:r>
        <w:rPr>
          <w:rFonts w:ascii="Amiri" w:hAnsi="Amiri" w:eastAsia="Amiri" w:cs="Amiri"/>
          <w:color w:val="111111"/>
          <w:sz w:val="28"/>
          <w:sz w:val="28"/>
          <w:szCs w:val="28"/>
          <w:rtl w:val="true"/>
          <w:lang w:bidi="ar-SA"/>
        </w:rPr>
        <w:t>و الظاهر أنّ مبناه على القول بالتغاير على كونه على وجه التباين كما يفصح عنه دوران الأمر فيهما بين الإثبات و النفي بالنظر إلى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مجمع الفائدة من التأمّل في كون ما ذكر فائدة نظرا إلى ما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النذر و غيره إنّما علّق صريحا بالأسوإ فيعطي كلّ من تيقّن كونه أسوأ سواء سمّي بالفقير أو بالمسكين</w:t>
      </w:r>
      <w:r>
        <w:rPr>
          <w:rFonts w:eastAsia="Amiri" w:cs="Amiri" w:ascii="Amiri" w:hAnsi="Amiri"/>
          <w:color w:val="111111"/>
          <w:sz w:val="28"/>
          <w:szCs w:val="28"/>
          <w:rtl w:val="true"/>
          <w:lang w:bidi="ar-SA"/>
        </w:rPr>
        <w:t>»</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أرادوا ممّا ذكروه من الفائدة ما لو تعلّق الحكم في النذر و الوصيّة و الوقف بعنوان الأسوأ فتعيّن إجراؤه فيه سواء سمّي فقيرا أو مسكينا فلا يترتّب نحو هذه الفائدة أيضا على البحث في تحقيق معنى اللفظين، و ليس كما توهّم </w:t>
      </w:r>
    </w:p>
    <w:p>
      <w:pPr>
        <w:pStyle w:val="BookText"/>
        <w:rPr/>
      </w:pPr>
      <w:r>
        <w:rPr>
          <w:rFonts w:ascii="Amiri" w:hAnsi="Amiri" w:eastAsia="Amiri" w:cs="Amiri"/>
          <w:color w:val="111111"/>
          <w:sz w:val="28"/>
          <w:sz w:val="28"/>
          <w:szCs w:val="28"/>
          <w:rtl w:val="true"/>
          <w:lang w:bidi="ar-SA"/>
        </w:rPr>
        <w:t xml:space="preserve">بل المراد تعلّقه بأحد العنوانين يكون في الواقع أسوأ حالا من الآخر فيفيد معرفة كون ما تعلّق به الحكم من العنوان المعيّن سواء كان هو الفقير أو المسكين، هو الأسوأ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عدم دخول الآخر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مناقشة اخرى تتوجّه إلى ما ذكره الجماعة من أنّه إذا انفرد كلّ منهما دخل الآخر في إطلاق لفظه كما تنبّه عليها صاحب المدارك و تبعه الذخيرة</w:t>
      </w:r>
      <w:r>
        <w:rPr>
          <w:rStyle w:val="FootnoteAnchor"/>
          <w:rtl w:val="true"/>
        </w:rPr>
        <w:footnoteReference w:id="2685"/>
      </w:r>
      <w:r>
        <w:rPr>
          <w:rFonts w:ascii="Amiri" w:hAnsi="Amiri" w:eastAsia="Amiri" w:cs="Amiri"/>
          <w:color w:val="111111"/>
          <w:sz w:val="28"/>
          <w:sz w:val="28"/>
          <w:szCs w:val="28"/>
          <w:rtl w:val="true"/>
          <w:lang w:bidi="ar-SA"/>
        </w:rPr>
        <w:t>حيث تنظّر فيما حكاه عن جدّه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الفقراء و المساكين متى ذكر أحدهما خاصّة دخل فيه الآخر بغير خلاف</w:t>
      </w:r>
      <w:r>
        <w:rPr>
          <w:rFonts w:eastAsia="Amiri" w:cs="Amiri" w:ascii="Amiri" w:hAnsi="Amiri"/>
          <w:color w:val="111111"/>
          <w:sz w:val="28"/>
          <w:szCs w:val="28"/>
          <w:rtl w:val="true"/>
          <w:lang w:bidi="ar-SA"/>
        </w:rPr>
        <w:t>»</w:t>
      </w:r>
      <w:r>
        <w:rPr>
          <w:rStyle w:val="FootnoteAnchor"/>
          <w:rtl w:val="true"/>
        </w:rPr>
        <w:footnoteReference w:id="268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مشكل جدّا بعد ثبوت التغاير لأنّ إطلاق لفظ أحدهما و إرادة الآخر مجاز لا يصار إليه إلاّ مع القرينة و مع انتفائها يجب حمل اللفظ على حقيقته</w:t>
      </w:r>
      <w:r>
        <w:rPr>
          <w:rFonts w:eastAsia="Amiri" w:cs="Amiri" w:ascii="Amiri" w:hAnsi="Amiri"/>
          <w:color w:val="111111"/>
          <w:sz w:val="28"/>
          <w:szCs w:val="28"/>
          <w:rtl w:val="true"/>
          <w:lang w:bidi="ar-SA"/>
        </w:rPr>
        <w:t>»</w:t>
      </w:r>
      <w:r>
        <w:rPr>
          <w:rStyle w:val="FootnoteAnchor"/>
          <w:rtl w:val="true"/>
        </w:rPr>
        <w:footnoteReference w:id="2687"/>
      </w:r>
      <w:r>
        <w:rPr>
          <w:rFonts w:ascii="Amiri" w:hAnsi="Amiri" w:eastAsia="Amiri" w:cs="Amiri"/>
          <w:color w:val="111111"/>
          <w:sz w:val="28"/>
          <w:sz w:val="28"/>
          <w:szCs w:val="28"/>
          <w:rtl w:val="true"/>
          <w:lang w:bidi="ar-SA"/>
        </w:rPr>
        <w:t>و أشار إليه أيضا الشهيد رحمه اللّه فيما حكي عن بيانه حيث إنّه بعد أن نقل عن الشيخ</w:t>
      </w:r>
      <w:r>
        <w:rPr>
          <w:rStyle w:val="FootnoteAnchor"/>
          <w:rtl w:val="true"/>
        </w:rPr>
        <w:footnoteReference w:id="2688"/>
      </w:r>
      <w:r>
        <w:rPr>
          <w:rFonts w:ascii="Amiri" w:hAnsi="Amiri" w:eastAsia="Amiri" w:cs="Amiri"/>
          <w:color w:val="111111"/>
          <w:sz w:val="28"/>
          <w:sz w:val="28"/>
          <w:szCs w:val="28"/>
          <w:rtl w:val="true"/>
          <w:lang w:bidi="ar-SA"/>
        </w:rPr>
        <w:t>و الراوندي</w:t>
      </w:r>
      <w:r>
        <w:rPr>
          <w:rStyle w:val="FootnoteAnchor"/>
          <w:rtl w:val="true"/>
        </w:rPr>
        <w:footnoteReference w:id="2689"/>
      </w:r>
      <w:r>
        <w:rPr>
          <w:rFonts w:ascii="IRNazanin" w:hAnsi="IRNazanin" w:eastAsia="IRNazanin"/>
          <w:color w:val="111111"/>
          <w:sz w:val="28"/>
          <w:sz w:val="28"/>
          <w:szCs w:val="28"/>
          <w:rtl w:val="true"/>
          <w:lang w:bidi="fa-IR"/>
        </w:rPr>
        <w:t>و الفاضل</w:t>
      </w:r>
      <w:r>
        <w:rPr>
          <w:rStyle w:val="FootnoteAnchor"/>
          <w:rtl w:val="true"/>
        </w:rPr>
        <w:footnoteReference w:id="2690"/>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كلّ منهما في إطلاق لفظ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أرادوا به حقيقة ففيه منع و يوافقون على أنّهما إذا اجتمعا كما في الآية يحتاج إلى فصل مميّز</w:t>
      </w:r>
      <w:r>
        <w:rPr>
          <w:rFonts w:eastAsia="Amiri" w:cs="Amiri" w:ascii="Amiri" w:hAnsi="Amiri"/>
          <w:color w:val="111111"/>
          <w:sz w:val="28"/>
          <w:szCs w:val="28"/>
          <w:rtl w:val="true"/>
          <w:lang w:bidi="ar-SA"/>
        </w:rPr>
        <w:t>»</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 ما ذكروه على وجه يندفع به الإشكال المذكور بأنّ مقتضى القاعدة و الأصل اللفظي في هذين اللفظين عدم دخول معنى أحدهما في إطلاق لفظ الآخر انفرد كلّ منهما في الخطاب أو اجتمعا، إلاّ أنّه يحمل كلّ منهما حيثما انفرد على إرادة ما يعمّ معنى الآخر لقرينة كشف عنها الإجماع أو النصّ كما هو الحال في آية الكفّارة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كان فالعمدة في المقام هو بيان ما به يستحقّ هذان الصنفان للزكاة و يحلّ لكلّ منهما تناولها، وحدّه على ما يستفاد من مطاوي كلماتهم و تضاعيف بياناتهم صراحة و ظهورا من غير 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عنه بالفقر، فالغنى مانع من الزكاة و الغنيّ من يحرم عليه تناولها، و هذا شامل للصنفين و معتبر فيهما معا و لا خلاف في هذا القدر</w:t>
      </w:r>
      <w:r>
        <w:rPr>
          <w:rFonts w:eastAsia="Amiri" w:cs="Amiri" w:ascii="Amiri" w:hAnsi="Amiri"/>
          <w:color w:val="111111"/>
          <w:sz w:val="28"/>
          <w:szCs w:val="28"/>
          <w:rtl w:val="true"/>
          <w:lang w:bidi="ar-SA"/>
        </w:rPr>
        <w:t xml:space="preserve">. </w:t>
      </w:r>
      <w:bookmarkStart w:id="604" w:name="pg16181_154817"/>
    </w:p>
    <w:p>
      <w:pPr>
        <w:pStyle w:val="BookText"/>
        <w:rPr/>
      </w:pPr>
      <w:bookmarkEnd w:id="604"/>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الأصل فيه عدم الغنى الشامل للمعنيين إذا تحقّق استحقّ صاحبه الزكاة بلا خلاف</w:t>
      </w:r>
      <w:r>
        <w:rPr>
          <w:rFonts w:eastAsia="Amiri" w:cs="Amiri" w:ascii="Amiri" w:hAnsi="Amiri"/>
          <w:color w:val="111111"/>
          <w:sz w:val="28"/>
          <w:szCs w:val="28"/>
          <w:rtl w:val="true"/>
          <w:lang w:bidi="ar-SA"/>
        </w:rPr>
        <w:t>»</w:t>
      </w:r>
      <w:r>
        <w:rPr>
          <w:rStyle w:val="FootnoteAnchor"/>
          <w:rtl w:val="true"/>
        </w:rPr>
        <w:footnoteReference w:id="2692"/>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الضابط في الاستحقاق من ليس بغني</w:t>
      </w:r>
      <w:r>
        <w:rPr>
          <w:rFonts w:eastAsia="Amiri" w:cs="Amiri" w:ascii="Amiri" w:hAnsi="Amiri"/>
          <w:color w:val="111111"/>
          <w:sz w:val="28"/>
          <w:szCs w:val="28"/>
          <w:rtl w:val="true"/>
          <w:lang w:bidi="ar-SA"/>
        </w:rPr>
        <w:t>»</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من الروايات صريحا ما رواه الشيخ عن هارون بن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لغنيّ و لا لذي مرّة سويّ‌،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694"/>
      </w:r>
      <w:r>
        <w:rPr>
          <w:rFonts w:ascii="Amiri" w:hAnsi="Amiri" w:eastAsia="Amiri" w:cs="Amiri"/>
          <w:color w:val="111111"/>
          <w:sz w:val="28"/>
          <w:sz w:val="28"/>
          <w:szCs w:val="28"/>
          <w:rtl w:val="true"/>
          <w:lang w:bidi="ar-SA"/>
        </w:rPr>
        <w:t>و ما أرسله الفاضلان في المعتبر و المنتهى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الصدقة لغنيّ و لا لقويّ مكتسب</w:t>
      </w:r>
      <w:r>
        <w:rPr>
          <w:rFonts w:eastAsia="Amiri" w:cs="Amiri" w:ascii="Amiri" w:hAnsi="Amiri"/>
          <w:color w:val="111111"/>
          <w:sz w:val="28"/>
          <w:szCs w:val="28"/>
          <w:rtl w:val="true"/>
          <w:lang w:bidi="ar-SA"/>
        </w:rPr>
        <w:t>»</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5" w:name="__RefHeading___Toc2586855_1280447820"/>
      <w:bookmarkStart w:id="606" w:name="_Toc226"/>
      <w:bookmarkEnd w:id="605"/>
      <w:r>
        <w:rPr>
          <w:rtl w:val="true"/>
        </w:rPr>
        <w:t>[</w:t>
      </w:r>
      <w:r>
        <w:rPr>
          <w:rtl w:val="true"/>
        </w:rPr>
        <w:t>كلمات الأصحاب فى ما يتحقّق به الغنى</w:t>
      </w:r>
      <w:r>
        <w:rPr>
          <w:rtl w:val="true"/>
        </w:rPr>
        <w:t>]</w:t>
      </w:r>
      <w:bookmarkEnd w:id="606"/>
    </w:p>
    <w:p>
      <w:pPr>
        <w:pStyle w:val="BookText"/>
        <w:rPr/>
      </w:pPr>
      <w:r>
        <w:rPr>
          <w:rFonts w:ascii="Amiri" w:hAnsi="Amiri" w:eastAsia="Amiri" w:cs="Amiri"/>
          <w:color w:val="111111"/>
          <w:sz w:val="28"/>
          <w:sz w:val="28"/>
          <w:szCs w:val="28"/>
          <w:rtl w:val="true"/>
          <w:lang w:bidi="ar-SA"/>
        </w:rPr>
        <w:t xml:space="preserve">و قد اختلف الأصحاب فيما به 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استحقاقها، فعن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 من ملك نصابا تجب فيه الزكاة أو قيمته</w:t>
      </w:r>
      <w:r>
        <w:rPr>
          <w:rFonts w:eastAsia="Amiri" w:cs="Amiri" w:ascii="Amiri" w:hAnsi="Amiri"/>
          <w:color w:val="111111"/>
          <w:sz w:val="28"/>
          <w:szCs w:val="28"/>
          <w:rtl w:val="true"/>
          <w:lang w:bidi="ar-SA"/>
        </w:rPr>
        <w:t>»</w:t>
      </w:r>
      <w:r>
        <w:rPr>
          <w:rStyle w:val="FootnoteAnchor"/>
          <w:rtl w:val="true"/>
        </w:rPr>
        <w:footnoteReference w:id="2696"/>
      </w:r>
      <w:r>
        <w:rPr>
          <w:rFonts w:ascii="Amiri" w:hAnsi="Amiri" w:eastAsia="Amiri" w:cs="Amiri"/>
          <w:color w:val="111111"/>
          <w:sz w:val="28"/>
          <w:sz w:val="28"/>
          <w:szCs w:val="28"/>
          <w:rtl w:val="true"/>
          <w:lang w:bidi="ar-SA"/>
        </w:rPr>
        <w:t>و قد جعله في المبسوط قولا لغيره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نصابا تجب فيه الزكاة كان غنيّا تحرم عليه الصدقة، و ذلك قول أبي حنيفة</w:t>
      </w:r>
      <w:r>
        <w:rPr>
          <w:rFonts w:eastAsia="Amiri" w:cs="Amiri" w:ascii="Amiri" w:hAnsi="Amiri"/>
          <w:color w:val="111111"/>
          <w:sz w:val="28"/>
          <w:szCs w:val="28"/>
          <w:rtl w:val="true"/>
          <w:lang w:bidi="ar-SA"/>
        </w:rPr>
        <w:t>»</w:t>
      </w:r>
      <w:r>
        <w:rPr>
          <w:rStyle w:val="FootnoteAnchor"/>
          <w:rtl w:val="true"/>
        </w:rPr>
        <w:footnoteReference w:id="2697"/>
      </w:r>
      <w:r>
        <w:rPr>
          <w:rFonts w:ascii="Amiri" w:hAnsi="Amiri" w:eastAsia="Amiri" w:cs="Amiri"/>
          <w:color w:val="111111"/>
          <w:sz w:val="28"/>
          <w:sz w:val="28"/>
          <w:szCs w:val="28"/>
          <w:rtl w:val="true"/>
          <w:lang w:bidi="ar-SA"/>
        </w:rPr>
        <w:t>و قد اختار فيه قولا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 الّذي يحرم عليه أخذ الصدقة باعتبار الفقر، هو أن يكون قادرا على كفايته و كفاية من تلزم كفايته على الدوام، فإن كان مكتفيا بصنعة و كانت صنعته تردّ عليه كفايته و كفاية من تلزمه نفقته حرمت عليه، و إن كانت لا تردّ عليه حلّ له ذلك</w:t>
      </w:r>
      <w:r>
        <w:rPr>
          <w:rFonts w:eastAsia="Amiri" w:cs="Amiri" w:ascii="Amiri" w:hAnsi="Amiri"/>
          <w:color w:val="111111"/>
          <w:sz w:val="28"/>
          <w:szCs w:val="28"/>
          <w:rtl w:val="true"/>
          <w:lang w:bidi="ar-SA"/>
        </w:rPr>
        <w:t>»</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مراده من القدرة على الكفاية على الدوام، القدرة عليها طول السنة احترازا عن القدرة عليها في بعض أيّام السنة دون بعض أو في بعض شهوره دون بعض فإنّه ليس من الغنى المانع إجماعا كالإجماع على عدم اعتبار القدرة عليها طول مدّة العمر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بيّنّاه ينطبق ما عن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الظاهر أنّ مراده بالدوام هنا مئونة </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أنّ صاحب المدارك استبعده، و تبعه في الذخيرة ففسّراه بما لا يتحمّله العبارة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لعلّ المراد به أن يكون له ما تحصل به الكفاية عادة من صنعة أو ضيعة أو مال يتعيّش به أو نحو ذلك</w:t>
      </w:r>
      <w:r>
        <w:rPr>
          <w:rFonts w:eastAsia="Amiri" w:cs="Amiri" w:ascii="Amiri" w:hAnsi="Amiri"/>
          <w:color w:val="111111"/>
          <w:sz w:val="28"/>
          <w:szCs w:val="28"/>
          <w:rtl w:val="true"/>
          <w:lang w:bidi="ar-SA"/>
        </w:rPr>
        <w:t>»</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كما ترى في كمال البعد، و لا بعد فيما ذكره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 من ملك من الأموال ما يكون قدر كفايته لمئونة طول سنته على الاقتصاد فإنّه يحرم عليه أخذ الزكاة سواء كانت نصابا أو أقلّ من نصاب أو أكثر من النصاب فإن لم يكن كفايته سنة فلا يحرم عليه أخذ الزكاة</w:t>
      </w:r>
      <w:r>
        <w:rPr>
          <w:rFonts w:eastAsia="Amiri" w:cs="Amiri" w:ascii="Amiri" w:hAnsi="Amiri"/>
          <w:color w:val="111111"/>
          <w:sz w:val="28"/>
          <w:szCs w:val="28"/>
          <w:rtl w:val="true"/>
          <w:lang w:bidi="ar-SA"/>
        </w:rPr>
        <w:t>»</w:t>
      </w:r>
      <w:r>
        <w:rPr>
          <w:rStyle w:val="FootnoteAnchor"/>
          <w:rtl w:val="true"/>
        </w:rPr>
        <w:footnoteReference w:id="2701"/>
      </w:r>
      <w:r>
        <w:rPr>
          <w:rFonts w:ascii="Amiri" w:hAnsi="Amiri" w:eastAsia="Amiri" w:cs="Amiri"/>
          <w:color w:val="111111"/>
          <w:sz w:val="28"/>
          <w:sz w:val="28"/>
          <w:szCs w:val="28"/>
          <w:rtl w:val="true"/>
          <w:lang w:bidi="ar-SA"/>
        </w:rPr>
        <w:t>و هذا يوافق ما عرفته عن المبسوط و اختاره في المنتهى</w:t>
      </w:r>
      <w:r>
        <w:rPr>
          <w:rStyle w:val="FootnoteAnchor"/>
          <w:rtl w:val="true"/>
        </w:rPr>
        <w:footnoteReference w:id="2702"/>
      </w:r>
      <w:r>
        <w:rPr>
          <w:rFonts w:ascii="Amiri" w:hAnsi="Amiri" w:eastAsia="Amiri" w:cs="Amiri"/>
          <w:color w:val="111111"/>
          <w:sz w:val="28"/>
          <w:sz w:val="28"/>
          <w:szCs w:val="28"/>
          <w:rtl w:val="true"/>
          <w:lang w:bidi="ar-SA"/>
        </w:rPr>
        <w:t>و في معناه ما في المعتبر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الغنى ما يحصل به الكفاية</w:t>
      </w:r>
      <w:r>
        <w:rPr>
          <w:rFonts w:eastAsia="Amiri" w:cs="Amiri" w:ascii="Amiri" w:hAnsi="Amiri"/>
          <w:color w:val="111111"/>
          <w:sz w:val="28"/>
          <w:szCs w:val="28"/>
          <w:rtl w:val="true"/>
          <w:lang w:bidi="ar-SA"/>
        </w:rPr>
        <w:t>»</w:t>
      </w:r>
      <w:r>
        <w:rPr>
          <w:rStyle w:val="FootnoteAnchor"/>
          <w:rtl w:val="true"/>
        </w:rPr>
        <w:footnoteReference w:id="2703"/>
      </w:r>
      <w:r>
        <w:rPr>
          <w:rFonts w:ascii="Amiri" w:hAnsi="Amiri" w:eastAsia="Amiri" w:cs="Amiri"/>
          <w:color w:val="111111"/>
          <w:sz w:val="28"/>
          <w:sz w:val="28"/>
          <w:szCs w:val="28"/>
          <w:rtl w:val="true"/>
          <w:lang w:bidi="ar-SA"/>
        </w:rPr>
        <w:t>و مفهوم ما في الشرائع في تفسير الفقراء و المساكين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الّذين تقصر أموالهم عن مئونة سنتهم</w:t>
      </w:r>
      <w:r>
        <w:rPr>
          <w:rFonts w:eastAsia="Amiri" w:cs="Amiri" w:ascii="Amiri" w:hAnsi="Amiri"/>
          <w:color w:val="111111"/>
          <w:sz w:val="28"/>
          <w:szCs w:val="28"/>
          <w:rtl w:val="true"/>
          <w:lang w:bidi="ar-SA"/>
        </w:rPr>
        <w:t>»</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حكاه في المعتبر</w:t>
      </w:r>
      <w:r>
        <w:rPr>
          <w:rStyle w:val="FootnoteAnchor"/>
          <w:rtl w:val="true"/>
        </w:rPr>
        <w:footnoteReference w:id="2705"/>
      </w:r>
      <w:r>
        <w:rPr>
          <w:rFonts w:ascii="Amiri" w:hAnsi="Amiri" w:eastAsia="Amiri" w:cs="Amiri"/>
          <w:color w:val="111111"/>
          <w:sz w:val="28"/>
          <w:sz w:val="28"/>
          <w:szCs w:val="28"/>
          <w:rtl w:val="true"/>
          <w:lang w:bidi="ar-SA"/>
        </w:rPr>
        <w:t>عن الشيخ في باب قسم الصدقات</w:t>
      </w:r>
      <w:r>
        <w:rPr>
          <w:rStyle w:val="FootnoteAnchor"/>
          <w:rtl w:val="true"/>
        </w:rPr>
        <w:footnoteReference w:id="2706"/>
      </w:r>
      <w:r>
        <w:rPr>
          <w:rFonts w:ascii="Amiri" w:hAnsi="Amiri" w:eastAsia="Amiri" w:cs="Amiri"/>
          <w:color w:val="111111"/>
          <w:sz w:val="28"/>
          <w:sz w:val="28"/>
          <w:szCs w:val="28"/>
          <w:rtl w:val="true"/>
          <w:lang w:bidi="ar-SA"/>
        </w:rPr>
        <w:t>و نسبه في المدارك إلى عامّة المتأخّرين، و لكنّه ناقش في إطلاقه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هذا الإطلاق مناف لما صرّح به الأصحاب كالشيخ</w:t>
      </w:r>
      <w:r>
        <w:rPr>
          <w:rStyle w:val="FootnoteAnchor"/>
          <w:rtl w:val="true"/>
        </w:rPr>
        <w:footnoteReference w:id="2707"/>
      </w:r>
      <w:r>
        <w:rPr>
          <w:rFonts w:ascii="Amiri" w:hAnsi="Amiri" w:eastAsia="Amiri" w:cs="Amiri"/>
          <w:color w:val="111111"/>
          <w:sz w:val="28"/>
          <w:sz w:val="28"/>
          <w:szCs w:val="28"/>
          <w:rtl w:val="true"/>
          <w:lang w:bidi="ar-SA"/>
        </w:rPr>
        <w:t>و المصنّف في النافع</w:t>
      </w:r>
      <w:r>
        <w:rPr>
          <w:rStyle w:val="FootnoteAnchor"/>
          <w:rtl w:val="true"/>
        </w:rPr>
        <w:footnoteReference w:id="2708"/>
      </w:r>
      <w:r>
        <w:rPr>
          <w:rFonts w:ascii="Amiri" w:hAnsi="Amiri" w:eastAsia="Amiri" w:cs="Amiri"/>
          <w:color w:val="111111"/>
          <w:sz w:val="28"/>
          <w:sz w:val="28"/>
          <w:szCs w:val="28"/>
          <w:rtl w:val="true"/>
          <w:lang w:bidi="ar-SA"/>
        </w:rPr>
        <w:t>و العلاّمة</w:t>
      </w:r>
      <w:r>
        <w:rPr>
          <w:rStyle w:val="FootnoteAnchor"/>
          <w:rtl w:val="true"/>
        </w:rPr>
        <w:footnoteReference w:id="2709"/>
      </w:r>
      <w:r>
        <w:rPr>
          <w:rFonts w:ascii="Amiri" w:hAnsi="Amiri" w:eastAsia="Amiri" w:cs="Amiri"/>
          <w:color w:val="111111"/>
          <w:sz w:val="28"/>
          <w:sz w:val="28"/>
          <w:szCs w:val="28"/>
          <w:rtl w:val="true"/>
          <w:lang w:bidi="ar-SA"/>
        </w:rPr>
        <w:t>و غيرهم من جواز تناول الزكاة لمن كان له مال يتعيّش به أو ضيعة يستغلّها إذا كان بحيث يعجز عن استنماء الكفاية، إذ مقتضاه أنّ من كان كذلك كان فقيرا و إن كان بحيث لو أنفق رأس المال المملوك له لكفاه طول سنته</w:t>
      </w:r>
      <w:r>
        <w:rPr>
          <w:rFonts w:eastAsia="Amiri" w:cs="Amiri" w:ascii="Amiri" w:hAnsi="Amiri"/>
          <w:color w:val="111111"/>
          <w:sz w:val="28"/>
          <w:szCs w:val="28"/>
          <w:rtl w:val="true"/>
          <w:lang w:bidi="ar-SA"/>
        </w:rPr>
        <w:t>»</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تبعه في هذه المناقشة صاحب الذخيرة كما تبعه في اختيار المذهب حيث ذكر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المعتمد أنّ من كان له مال يتّجر به أو ضيعة يستغلّها فإن كفاه الربح أو الغلّة له و لعياله لم يجز له أخذ الزكاة و إن لم يكفه جاز له ذلك، و لا يكلّف الإنفاق من رأس المال و لا من ثمر الضيعة، و من لم يكن له ذلك اعتبر فيه قصور أمواله عن مئونة السنة له و لعياله</w:t>
      </w:r>
      <w:r>
        <w:rPr>
          <w:rFonts w:eastAsia="Amiri" w:cs="Amiri" w:ascii="Amiri" w:hAnsi="Amiri"/>
          <w:color w:val="111111"/>
          <w:sz w:val="28"/>
          <w:szCs w:val="28"/>
          <w:rtl w:val="true"/>
          <w:lang w:bidi="ar-SA"/>
        </w:rPr>
        <w:t>»</w:t>
      </w:r>
      <w:r>
        <w:rPr>
          <w:rStyle w:val="FootnoteAnchor"/>
          <w:rtl w:val="true"/>
        </w:rPr>
        <w:footnoteReference w:id="2711"/>
      </w:r>
      <w:r>
        <w:rPr>
          <w:rFonts w:ascii="Amiri" w:hAnsi="Amiri" w:eastAsia="Amiri" w:cs="Amiri"/>
          <w:color w:val="111111"/>
          <w:sz w:val="28"/>
          <w:sz w:val="28"/>
          <w:szCs w:val="28"/>
          <w:rtl w:val="true"/>
          <w:lang w:bidi="ar-SA"/>
        </w:rPr>
        <w:t>و قال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w:t>
      </w:r>
      <w:r>
        <w:rPr>
          <w:rStyle w:val="FootnoteAnchor"/>
          <w:rtl w:val="true"/>
        </w:rPr>
        <w:footnoteReference w:id="2712"/>
      </w:r>
      <w:r>
        <w:rPr>
          <w:rFonts w:ascii="Amiri" w:hAnsi="Amiri" w:eastAsia="Amiri" w:cs="Amiri"/>
          <w:color w:val="111111"/>
          <w:sz w:val="28"/>
          <w:sz w:val="28"/>
          <w:szCs w:val="28"/>
          <w:rtl w:val="true"/>
          <w:lang w:bidi="ar-SA"/>
        </w:rPr>
        <w:t>و ذكر ذلك بعين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الشرائع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يقدر على اكتساب ما يموّن به عياله لا تحلّ له لأنّه كالغنيّ و كذا ذو الصنعة، و لو قصرت عن كفايته جاز أن يتناولها</w:t>
      </w:r>
      <w:r>
        <w:rPr>
          <w:rFonts w:eastAsia="Amiri" w:cs="Amiri" w:ascii="Amiri" w:hAnsi="Amiri"/>
          <w:color w:val="111111"/>
          <w:sz w:val="28"/>
          <w:szCs w:val="28"/>
          <w:rtl w:val="true"/>
          <w:lang w:bidi="ar-SA"/>
        </w:rPr>
        <w:t>»</w:t>
      </w:r>
      <w:r>
        <w:rPr>
          <w:rStyle w:val="FootnoteAnchor"/>
          <w:rtl w:val="true"/>
        </w:rPr>
        <w:footnoteReference w:id="2713"/>
      </w:r>
      <w:r>
        <w:rPr>
          <w:rFonts w:ascii="Amiri" w:hAnsi="Amiri" w:eastAsia="Amiri" w:cs="Amiri"/>
          <w:color w:val="111111"/>
          <w:sz w:val="28"/>
          <w:sz w:val="28"/>
          <w:szCs w:val="28"/>
          <w:rtl w:val="true"/>
          <w:lang w:bidi="ar-SA"/>
        </w:rPr>
        <w:t>و ظاهره كظاهر غيره بل صريح غير واحد إنّ القادر على الاكتساب و ذا الحرفة و الصنعة ليس بغنيّ و لكنّه في حكم الغنيّ و ملحق به في عدم حلّية تناول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صاحب المدارك مع أنّه في باب زكاة الفطر عند بيان ما يتحقّق به الغنى المقتضي لوجوب هذه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الأصحّ أنّه ملك قوت السنة فعلا أو قوّة لأنّ من لم يملك ذلك تحلّ له الزكاة</w:t>
      </w:r>
      <w:r>
        <w:rPr>
          <w:rFonts w:eastAsia="Amiri" w:cs="Amiri" w:ascii="Amiri" w:hAnsi="Amiri"/>
          <w:color w:val="111111"/>
          <w:sz w:val="28"/>
          <w:szCs w:val="28"/>
          <w:rtl w:val="true"/>
          <w:lang w:bidi="ar-SA"/>
        </w:rPr>
        <w:t>»</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الذخيرة في هذا المقام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الأصحّ أنّ الغنيّ من ملك قوت السنة له و لعياله فعلا أو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جماعة من الأصحاب منهم الفاضلان</w:t>
      </w:r>
      <w:r>
        <w:rPr>
          <w:rFonts w:eastAsia="Amiri" w:cs="Amiri" w:ascii="Amiri" w:hAnsi="Amiri"/>
          <w:color w:val="111111"/>
          <w:sz w:val="28"/>
          <w:szCs w:val="28"/>
          <w:rtl w:val="true"/>
          <w:lang w:bidi="ar-SA"/>
        </w:rPr>
        <w:t>»</w:t>
      </w:r>
      <w:r>
        <w:rPr>
          <w:rStyle w:val="FootnoteAnchor"/>
          <w:rtl w:val="true"/>
        </w:rPr>
        <w:footnoteReference w:id="2715"/>
      </w:r>
      <w:r>
        <w:rPr>
          <w:rFonts w:ascii="Amiri" w:hAnsi="Amiri" w:eastAsia="Amiri" w:cs="Amiri"/>
          <w:color w:val="111111"/>
          <w:sz w:val="28"/>
          <w:sz w:val="28"/>
          <w:szCs w:val="28"/>
          <w:rtl w:val="true"/>
          <w:lang w:bidi="ar-SA"/>
        </w:rPr>
        <w:t>و في معناهما ما في المنتهى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الغنى الموجب للفطرة من ملك قوت سنة له و لعياله أو يكون ذا كسب أو صنعة تقوم بأوده</w:t>
      </w:r>
      <w:r>
        <w:rPr>
          <w:rStyle w:val="FootnoteAnchor"/>
          <w:rtl w:val="true"/>
        </w:rPr>
        <w:footnoteReference w:id="2716"/>
      </w:r>
      <w:r>
        <w:rPr>
          <w:rFonts w:ascii="Amiri" w:hAnsi="Amiri" w:eastAsia="Amiri" w:cs="Amiri"/>
          <w:color w:val="111111"/>
          <w:sz w:val="28"/>
          <w:sz w:val="28"/>
          <w:szCs w:val="28"/>
          <w:rtl w:val="true"/>
          <w:lang w:bidi="ar-SA"/>
        </w:rPr>
        <w:t>و أود عياله سنة</w:t>
      </w:r>
      <w:r>
        <w:rPr>
          <w:rFonts w:eastAsia="Amiri" w:cs="Amiri" w:ascii="Amiri" w:hAnsi="Amiri"/>
          <w:color w:val="111111"/>
          <w:sz w:val="28"/>
          <w:szCs w:val="28"/>
          <w:rtl w:val="true"/>
          <w:lang w:bidi="ar-SA"/>
        </w:rPr>
        <w:t>»</w:t>
      </w:r>
      <w:r>
        <w:rPr>
          <w:rStyle w:val="FootnoteAnchor"/>
          <w:rtl w:val="true"/>
        </w:rPr>
        <w:footnoteReference w:id="2717"/>
      </w:r>
      <w:r>
        <w:rPr>
          <w:rFonts w:ascii="Amiri" w:hAnsi="Amiri" w:eastAsia="Amiri" w:cs="Amiri"/>
          <w:color w:val="111111"/>
          <w:sz w:val="28"/>
          <w:sz w:val="28"/>
          <w:szCs w:val="28"/>
          <w:rtl w:val="true"/>
          <w:lang w:bidi="ar-SA"/>
        </w:rPr>
        <w:t>و يقرب منه ما في المعتبر</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ظاهرهم هنا اندراج المكتسب و ذي الصنعة في الغنيّ‌، و احتمال التغاير بين الغنى المعتبر في زكاة الفطر و الغنى المعتبر في زكاة المال فيه ما لا يخفى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الإنصاف أنّ الغنى بحسب العرف مقول بالتشكيك و لم يعلم له من جهة العرف معنى يكون جامعا و مانعا، و كذلك بحسب اللغة، لأنّه إن اريد بها أصل اللغة فلا كاشف </w:t>
      </w:r>
      <w:bookmarkStart w:id="607" w:name="pg16181_154820"/>
    </w:p>
    <w:p>
      <w:pPr>
        <w:pStyle w:val="BookText"/>
        <w:rPr/>
      </w:pPr>
      <w:bookmarkEnd w:id="607"/>
      <w:r>
        <w:rPr>
          <w:rFonts w:ascii="Amiri" w:hAnsi="Amiri" w:eastAsia="Amiri" w:cs="Amiri"/>
          <w:color w:val="111111"/>
          <w:sz w:val="28"/>
          <w:sz w:val="28"/>
          <w:szCs w:val="28"/>
          <w:rtl w:val="true"/>
          <w:lang w:bidi="ar-SA"/>
        </w:rPr>
        <w:t>له إلاّ العرف و قد عرفت حاله، و إن اريد بها المعاني المودعة في كتب اللغة فلم نقف فيها أيضا على ما يشفي العليل و يروي الغليل حتّى أنّ صاحب القاموس في مادّة الغنى ذكر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ضدّ الفقر</w:t>
      </w:r>
      <w:r>
        <w:rPr>
          <w:rFonts w:eastAsia="Amiri" w:cs="Amiri" w:ascii="Amiri" w:hAnsi="Amiri"/>
          <w:color w:val="111111"/>
          <w:sz w:val="28"/>
          <w:szCs w:val="28"/>
          <w:rtl w:val="true"/>
          <w:lang w:bidi="ar-SA"/>
        </w:rPr>
        <w:t>»</w:t>
      </w:r>
      <w:r>
        <w:rPr>
          <w:rStyle w:val="FootnoteAnchor"/>
          <w:rtl w:val="true"/>
        </w:rPr>
        <w:footnoteReference w:id="2719"/>
      </w:r>
      <w:r>
        <w:rPr>
          <w:rFonts w:ascii="Amiri" w:hAnsi="Amiri" w:eastAsia="Amiri" w:cs="Amiri"/>
          <w:color w:val="111111"/>
          <w:sz w:val="28"/>
          <w:sz w:val="28"/>
          <w:szCs w:val="28"/>
          <w:rtl w:val="true"/>
          <w:lang w:bidi="ar-SA"/>
        </w:rPr>
        <w:t>و لم يشرحه، و كأنّه بضابطة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الأشياء تعرف بأضدادها أحال معرفته إلى معرفة الفقر، و لكنّه في مادّة الفقر ذكر أيضا أنّه ضدّ الغنى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قدره أن يكون له ما يكفي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كما ترى ليس بجامع و لا مانع، و لا يدرى أنّ الأصحاب على اختلاف كلماتهم و أقوالهم فيه أرادوا بيان معناه عرفا أو لغة، و أيّا ما كان فلا شاهد لشيء ممّا ذكروه في عرف و لا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 مرادهم بيان الغنى الشرعي، دون ذلك خرط القتاد، لعدم ثبوت وضع شرعي لهذا اللفظ، و لم نقف منهم على من ادّعاه صريحا، فلا بدّ في استعلامه من التأمّل في مساق الأخبار الواردة عن أهل بيت العصمة عليهم السّلام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مجموع ما ورد في الباب بعد التأمّل التامّ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الغنيّ من عنده من مال أو ربح تجارة أو غلّة ضيعة أو نماء عقار أو مواش أو غيرهما، أو حاصل الاكتساب بواسطة حرفة أو صنعة و لو قوّة من الكفاية الماليّة في مئونة نفسه و عياله و لو سنة، فالفقير من ليس عنده الكفاية الماليّة بشيء من الوجوه المذكورة سواء لم يكن عنده شيء أصلا و هو المسكين، أو كان شيء يسير لا ينهض بكفايته في مئونة السنة له و لعياله</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2586857_1280447820"/>
      <w:bookmarkStart w:id="609" w:name="_Toc227"/>
      <w:bookmarkEnd w:id="608"/>
      <w:r>
        <w:rPr>
          <w:rtl w:val="true"/>
        </w:rPr>
        <w:t>[</w:t>
      </w:r>
      <w:r>
        <w:rPr>
          <w:rtl w:val="true"/>
        </w:rPr>
        <w:t>الغنى في مساق الأخبار</w:t>
      </w:r>
      <w:r>
        <w:rPr>
          <w:rtl w:val="true"/>
        </w:rPr>
        <w:t>]</w:t>
      </w:r>
      <w:bookmarkEnd w:id="60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الأخبار الواردة في الباب فكثيرة كصحيح أبي بصير 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الزكاة صاحب السبعمائة إذا لم يجد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السبعمائة تجب عليه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زكاته صدقة على عياله و لا يأخذها إلاّ أن يكون إذا اعتمد على السبعمائة أنفذها في أقلّ من سنة فهذا يأخذها، و لا تحلّ الزكاة لمن كان محترفا و عنده ما تجب فيه الزكاة أن يأخذ الزكاة</w:t>
      </w:r>
      <w:r>
        <w:rPr>
          <w:rFonts w:eastAsia="Amiri" w:cs="Amiri" w:ascii="Amiri" w:hAnsi="Amiri"/>
          <w:color w:val="111111"/>
          <w:sz w:val="28"/>
          <w:szCs w:val="28"/>
          <w:rtl w:val="true"/>
          <w:lang w:bidi="ar-SA"/>
        </w:rPr>
        <w:t>»</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المرويّ عن العلل في الصحيح عن محمّد بن مسلم و غيره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 الزكاة لمن له سبعمائة درهم إذا لم يكن له حرفة و يخرج زكاتها منها و يشتري منها بالبعض قوتا لعياله و يعطي البقيّة أصحابه، و لا تحلّ الزكاة لمن له خمسون درهما و له حرفة يقوّت بها عياله</w:t>
      </w:r>
      <w:r>
        <w:rPr>
          <w:rFonts w:eastAsia="Amiri" w:cs="Amiri" w:ascii="Amiri" w:hAnsi="Amiri"/>
          <w:color w:val="111111"/>
          <w:sz w:val="28"/>
          <w:szCs w:val="28"/>
          <w:rtl w:val="true"/>
          <w:lang w:bidi="ar-SA"/>
        </w:rPr>
        <w:t>»</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المروي عنه أيضا في الضعيف عن عليّ 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السائل و عنده قوت يوم أ يحلّ له أن يسأل، و أن يعطى شيئا من قبل أن يسأل يحلّ له أن يقبله‌؟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و عنده قوت شهر ما يكفيه لسنة من الزكاة لأنّها إنّما هي من سنة إلى سنة</w:t>
      </w:r>
      <w:r>
        <w:rPr>
          <w:rFonts w:eastAsia="Amiri" w:cs="Amiri" w:ascii="Amiri" w:hAnsi="Amiri"/>
          <w:color w:val="111111"/>
          <w:sz w:val="28"/>
          <w:szCs w:val="28"/>
          <w:rtl w:val="true"/>
          <w:lang w:bidi="ar-SA"/>
        </w:rPr>
        <w:t>»</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المرويّ عن معاني الأخبار في الصحيح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لغنيّ و لا لذي مرّة سويّ و لا لمحترف و لا لقويّ‌،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يأخذها و هو يقدر على أن يكفّ نفسه عنها</w:t>
      </w:r>
      <w:r>
        <w:rPr>
          <w:rFonts w:eastAsia="Amiri" w:cs="Amiri" w:ascii="Amiri" w:hAnsi="Amiri"/>
          <w:color w:val="111111"/>
          <w:sz w:val="28"/>
          <w:szCs w:val="28"/>
          <w:rtl w:val="true"/>
          <w:lang w:bidi="ar-SA"/>
        </w:rPr>
        <w:t>»</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المرويّ عن المقنعة عن يونس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الزكاة على من عنده قوت السنة، و يجب الفطرة على من عنده قوت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سنّة مؤكّدة على من قبل الزكاة لفقره، و فضيلة لمن قبل الفطرة لمسكنته دون السنّة المؤكّدة و الفريضة</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يكون له ثلاثمائة درهم أو أربعمائة درهم و له عيال و هو يحترف فلا يصيب نفقته فيها أ يكبّ فيأكلها و لا يأخذ الزكاة أو يأخذ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ينظر إلى فضلها فيقوت بها نفسه و من وسعه ذلك من عياله و يأخذ البقيّة من الزكاة و يتصرّف بهذه لا ينفقها</w:t>
      </w:r>
      <w:r>
        <w:rPr>
          <w:rFonts w:eastAsia="Amiri" w:cs="Amiri" w:ascii="Amiri" w:hAnsi="Amiri"/>
          <w:color w:val="111111"/>
          <w:sz w:val="28"/>
          <w:szCs w:val="28"/>
          <w:rtl w:val="true"/>
          <w:lang w:bidi="ar-SA"/>
        </w:rPr>
        <w:t>»</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هارون بن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النبيّ صلّى اللّه عليه و آله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تحلّ الصدقة لغنيّ و لا لذي مرّة سويّ‌،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لغنيّ‌،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ثلاثمائة درهم في بضاعة و له عيال فإن أقبل عليها أكلها عياله و لم يكتفوا بربحها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ما يفضل منها فيأكل هو و من يسعه ذلك و ليأخذ لمن لم يسعه من عياله</w:t>
      </w:r>
      <w:r>
        <w:rPr>
          <w:rFonts w:eastAsia="Amiri" w:cs="Amiri" w:ascii="Amiri" w:hAnsi="Amiri"/>
          <w:color w:val="111111"/>
          <w:sz w:val="28"/>
          <w:szCs w:val="28"/>
          <w:rtl w:val="true"/>
          <w:lang w:bidi="ar-SA"/>
        </w:rPr>
        <w:t>»</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حسن زرارة و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صحيحهما عن أبي عبد اللّه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لمن كان عنده أربعون درهما يحول عليها الحول عنده أن يأخذها، و إن أخذها أخذها حراما</w:t>
      </w:r>
      <w:r>
        <w:rPr>
          <w:rFonts w:eastAsia="Amiri" w:cs="Amiri" w:ascii="Amiri" w:hAnsi="Amiri"/>
          <w:color w:val="111111"/>
          <w:sz w:val="28"/>
          <w:szCs w:val="28"/>
          <w:rtl w:val="true"/>
          <w:lang w:bidi="ar-SA"/>
        </w:rPr>
        <w:t>»</w:t>
      </w:r>
      <w:r>
        <w:rPr>
          <w:rStyle w:val="FootnoteAnchor"/>
          <w:rtl w:val="true"/>
        </w:rPr>
        <w:footnoteReference w:id="2727"/>
      </w:r>
      <w:r>
        <w:rPr>
          <w:rFonts w:ascii="Amiri" w:hAnsi="Amiri" w:eastAsia="Amiri" w:cs="Amiri"/>
          <w:color w:val="111111"/>
          <w:sz w:val="28"/>
          <w:sz w:val="28"/>
          <w:szCs w:val="28"/>
          <w:rtl w:val="true"/>
          <w:lang w:bidi="ar-SA"/>
        </w:rPr>
        <w:t>فإنّ حولان الحول على هذا المال عنده يكشف عن عدم احتياجه إليه في مئونة سنته، و لا يكون إلاّ بأن يكون عنده مال آخر كفاه في مئونته و هو الوجه في حرمة أخذ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له ثمانمائة درهم و هو رجل خفاف و له عيال كثير أ له أن يأخذ من الزكاة‌؟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يربح في دراهمه ما يقوت به عياله و يفضل‌؟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يفضل عن القوت مقدار نصف القوت فلا يأخذ الزكاة، و إن كان أقلّ من نصف القوت أخذ الزكاة،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في ماله زكاة تلزمه‌؟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بها على عياله في طعامهم و شرابهم و كسوتهم و إن بقي منها شيء يناوله غيرهم، و ما أخذ من الزكاة فضّه على عياله حتّى يلحقهم بالناس</w:t>
      </w:r>
      <w:r>
        <w:rPr>
          <w:rFonts w:eastAsia="Amiri" w:cs="Amiri" w:ascii="Amiri" w:hAnsi="Amiri"/>
          <w:color w:val="111111"/>
          <w:sz w:val="28"/>
          <w:szCs w:val="28"/>
          <w:rtl w:val="true"/>
          <w:lang w:bidi="ar-SA"/>
        </w:rPr>
        <w:t>»</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أن يكون اعتبار نصف القوت مع القوت في هذا الحديث ليصرف في بقيّة المئونة من كسوة و نحوها إذ ليس بداخل في القوت، أو ليصرف في قوت صاحب المال إذ ليس بداخل في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إشارة إلى جواز اعتبار التوسعة في الجملة و عدم لزوم المضايقة بالاقتصار على أقلّ الكفاية</w:t>
      </w:r>
      <w:r>
        <w:rPr>
          <w:rFonts w:eastAsia="Amiri" w:cs="Amiri" w:ascii="Amiri" w:hAnsi="Amiri"/>
          <w:color w:val="111111"/>
          <w:sz w:val="28"/>
          <w:szCs w:val="28"/>
          <w:rtl w:val="true"/>
          <w:lang w:bidi="ar-SA"/>
        </w:rPr>
        <w:t>»</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إسماعيل بن عبد العزيز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أنا و أبو بصير على </w:t>
      </w:r>
    </w:p>
    <w:p>
      <w:pPr>
        <w:pStyle w:val="BookText"/>
        <w:rPr/>
      </w:pPr>
      <w:r>
        <w:rPr>
          <w:rFonts w:ascii="Amiri" w:hAnsi="Amiri" w:eastAsia="Amiri" w:cs="Amiri"/>
          <w:color w:val="111111"/>
          <w:sz w:val="28"/>
          <w:sz w:val="28"/>
          <w:szCs w:val="28"/>
          <w:rtl w:val="true"/>
          <w:lang w:bidi="ar-SA"/>
        </w:rPr>
        <w:t>أبي عبد اللّه عليه السّلام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صديقا و هو رجل صدوق يدين اللّه بما تدين 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أبا محمّد الّذي تزكّيه‌؟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صبيح،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الوليد بن صبيح، ما له يا أبا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له دار تسوى أربعة آلاف درهم و له جارية و له غلام يستقي على الجمل كلّ يوم ما بين الدرهمين إلى الأربعة سوى علف الجمل و له عيال، أ له أن يأخذ من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هذه العروض‌؟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فتأمرني أن آمره ببيع داره و هي عزّه و مسقط رأسه‌؟ أو ببيع جاريته الّتي تقيه الحرّ و البرد و تصون وجهه و وجه عياله‌؟ أو آمره أن يبيع غلامه أو جمله و هو معيشته و قوته‌؟ بل يأخذ الزكاة فهي له حلال و لا يبيع داره و لا غلامه و لا جمله</w:t>
      </w:r>
      <w:r>
        <w:rPr>
          <w:rFonts w:eastAsia="Amiri" w:cs="Amiri" w:ascii="Amiri" w:hAnsi="Amiri"/>
          <w:color w:val="111111"/>
          <w:sz w:val="28"/>
          <w:szCs w:val="28"/>
          <w:rtl w:val="true"/>
          <w:lang w:bidi="ar-SA"/>
        </w:rPr>
        <w:t>»</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الزكاة هل تصلح لصاحب الدار و الخادم‌؟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يكون داره دار غلّة فخرج له من غلّتها دراهم ما يكفيه لنفسه و عياله، فإن لم يكن الغلّة تكفيه لنفسه و لعياله في طعامهم و كسوتهم و حاجتهم من غير إسراف فقد حلّت له الزكاة، فإن كانت غلّتها تكفيه فلا</w:t>
      </w:r>
      <w:r>
        <w:rPr>
          <w:rFonts w:eastAsia="Amiri" w:cs="Amiri" w:ascii="Amiri" w:hAnsi="Amiri"/>
          <w:color w:val="111111"/>
          <w:sz w:val="28"/>
          <w:szCs w:val="28"/>
          <w:rtl w:val="true"/>
          <w:lang w:bidi="ar-SA"/>
        </w:rPr>
        <w:t>»</w:t>
      </w:r>
      <w:r>
        <w:rPr>
          <w:rStyle w:val="FootnoteAnchor"/>
          <w:rtl w:val="true"/>
        </w:rPr>
        <w:footnoteReference w:id="2731"/>
      </w:r>
      <w:r>
        <w:rPr>
          <w:rFonts w:ascii="Amiri" w:hAnsi="Amiri" w:eastAsia="Amiri" w:cs="Amiri"/>
          <w:color w:val="111111"/>
          <w:sz w:val="28"/>
          <w:sz w:val="28"/>
          <w:szCs w:val="28"/>
          <w:rtl w:val="true"/>
          <w:lang w:bidi="ar-SA"/>
        </w:rPr>
        <w:t>و خصوصيّة الدار بالنسبة إلى الغلّة الكافية و غير الكافية غير معتبرة لظهور الإجماع على عدم الفصل كما أشار إليه في الذخيرة</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سماعة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تحلّ الزكاة لصاحب السبعمائة و تحرم على صاحب الخمسين درهما،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هذا؟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صاحب السبعمائة له عيال كثير فلو قسّمها بينهم لم تكفه فليعف عنها نفسه و ليأخذها لعياله، و أمّا صاحب الخمسين فإنّه يحرم عليه إذا كان وحده و هو محترف يعمل بها و هو </w:t>
      </w:r>
      <w:bookmarkStart w:id="610" w:name="pg16181_154824"/>
    </w:p>
    <w:p>
      <w:pPr>
        <w:pStyle w:val="BookText"/>
        <w:rPr/>
      </w:pPr>
      <w:bookmarkEnd w:id="610"/>
      <w:r>
        <w:rPr>
          <w:rFonts w:ascii="Amiri" w:hAnsi="Amiri" w:eastAsia="Amiri" w:cs="Amiri"/>
          <w:color w:val="111111"/>
          <w:sz w:val="28"/>
          <w:sz w:val="28"/>
          <w:szCs w:val="28"/>
          <w:rtl w:val="true"/>
          <w:lang w:bidi="ar-SA"/>
        </w:rPr>
        <w:t>يصيب منها ما يكفيه إن شاء اللّه</w:t>
      </w:r>
      <w:r>
        <w:rPr>
          <w:rFonts w:eastAsia="Amiri" w:cs="Amiri" w:ascii="Amiri" w:hAnsi="Amiri"/>
          <w:color w:val="111111"/>
          <w:sz w:val="28"/>
          <w:szCs w:val="28"/>
          <w:rtl w:val="true"/>
          <w:lang w:bidi="ar-SA"/>
        </w:rPr>
        <w:t>»</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حسن زرارة أو صحيحه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لمحترف و لا لذي مرّة سويّ قويّ فتنزّهوا عنها</w:t>
      </w:r>
      <w:r>
        <w:rPr>
          <w:rFonts w:eastAsia="Amiri" w:cs="Amiri" w:ascii="Amiri" w:hAnsi="Amiri"/>
          <w:color w:val="111111"/>
          <w:sz w:val="28"/>
          <w:szCs w:val="28"/>
          <w:rtl w:val="true"/>
          <w:lang w:bidi="ar-SA"/>
        </w:rPr>
        <w:t>»</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عبد الرحمن بن الحجّاج عن أبي الحسن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أبوه أو عمّه أو أخوه يكفيه مئونته أ يأخذ من الزكاة فيوسّع به إن كانوا لا يسعون عليه في كلّ ما يحتاج إليه‌؟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735"/>
      </w:r>
      <w:r>
        <w:rPr>
          <w:rFonts w:ascii="Amiri" w:hAnsi="Amiri" w:eastAsia="Amiri" w:cs="Amiri"/>
          <w:color w:val="111111"/>
          <w:sz w:val="28"/>
          <w:sz w:val="28"/>
          <w:szCs w:val="28"/>
          <w:rtl w:val="true"/>
          <w:lang w:bidi="ar-SA"/>
        </w:rPr>
        <w:t>إلى غير ذلك ممّا يقف عليه المتتبّع و إنّما أكثرنا في إيراد الروايات طلبا للتواتر معنى و قد حصل و هو الباعث على إيراد الضعاف و غيرها ممّا 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كثيرة تذكر في طيّ مسائل</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2586859_1280447820"/>
      <w:bookmarkStart w:id="612" w:name="_Toc228"/>
      <w:bookmarkEnd w:id="611"/>
      <w:r>
        <w:rPr>
          <w:rtl w:val="true"/>
        </w:rPr>
        <w:t>[</w:t>
      </w:r>
      <w:r>
        <w:rPr>
          <w:rtl w:val="true"/>
        </w:rPr>
        <w:t>مسائل</w:t>
      </w:r>
      <w:r>
        <w:rPr>
          <w:rtl w:val="true"/>
        </w:rPr>
        <w:t>]</w:t>
      </w:r>
      <w:bookmarkEnd w:id="612"/>
    </w:p>
    <w:p>
      <w:pPr>
        <w:pStyle w:val="Heading6"/>
        <w:numPr>
          <w:ilvl w:val="5"/>
          <w:numId w:val="1"/>
        </w:numPr>
        <w:rPr/>
      </w:pPr>
      <w:bookmarkStart w:id="613" w:name="__RefHeading___Toc2586861_1280447820"/>
      <w:bookmarkStart w:id="614" w:name="_Toc229"/>
      <w:bookmarkEnd w:id="613"/>
      <w:r>
        <w:rPr>
          <w:rtl w:val="true"/>
        </w:rPr>
        <w:t>الاولى</w:t>
      </w:r>
      <w:r>
        <w:rPr>
          <w:rtl w:val="true"/>
        </w:rPr>
        <w:t>: [</w:t>
      </w:r>
      <w:r>
        <w:rPr>
          <w:rtl w:val="true"/>
        </w:rPr>
        <w:t>جواز أخذ الزكاة لمن يقصر عن كفايته</w:t>
      </w:r>
      <w:r>
        <w:rPr>
          <w:rtl w:val="true"/>
        </w:rPr>
        <w:t>]</w:t>
      </w:r>
      <w:bookmarkEnd w:id="614"/>
    </w:p>
    <w:p>
      <w:pPr>
        <w:pStyle w:val="BookText"/>
        <w:rPr/>
      </w:pPr>
      <w:r>
        <w:rPr>
          <w:rFonts w:ascii="Amiri" w:hAnsi="Amiri" w:eastAsia="Amiri" w:cs="Amiri"/>
          <w:color w:val="111111"/>
          <w:sz w:val="28"/>
          <w:sz w:val="28"/>
          <w:szCs w:val="28"/>
          <w:rtl w:val="true"/>
          <w:lang w:bidi="ar-SA"/>
        </w:rPr>
        <w:t>من كان له مال تجارة يتعيّش بربحها أو ضيعة يتعيّش بغلّتها و لكن لا يكفيه الربح أو الغلّة في مئونة السنة يحلّ له أخذ الزكاة و لا يكلّف بإنفاق رأس المال و لا ببيع الضيعة و إنفاق ثمنها و إن كانا بحيث يكفيانه في مئونة السنة أو أزيد، وفاقا لصاحب المدارك ناسبا له إلى تصريح الأصحاب</w:t>
      </w:r>
      <w:r>
        <w:rPr>
          <w:rStyle w:val="FootnoteAnchor"/>
          <w:rtl w:val="true"/>
        </w:rPr>
        <w:footnoteReference w:id="2736"/>
      </w:r>
      <w:r>
        <w:rPr>
          <w:rFonts w:ascii="Amiri" w:hAnsi="Amiri" w:eastAsia="Amiri" w:cs="Amiri"/>
          <w:color w:val="111111"/>
          <w:sz w:val="28"/>
          <w:sz w:val="28"/>
          <w:szCs w:val="28"/>
          <w:rtl w:val="true"/>
          <w:lang w:bidi="ar-SA"/>
        </w:rPr>
        <w:t>مؤذنا بدعوى الإجماع عليه، و يدلّ عليه إطلاق أكثر ما تقدّم و خصوص جملة منها و لا سيّما صحيح معاوية بن وهب فراجع و تدبّر</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2586863_1280447820"/>
      <w:bookmarkStart w:id="616" w:name="_Toc230"/>
      <w:bookmarkEnd w:id="615"/>
      <w:r>
        <w:rPr>
          <w:rtl w:val="true"/>
        </w:rPr>
        <w:t>الثانية</w:t>
      </w:r>
      <w:r>
        <w:rPr>
          <w:rtl w:val="true"/>
        </w:rPr>
        <w:t xml:space="preserve">: </w:t>
      </w:r>
      <w:r>
        <w:rPr>
          <w:rtl w:val="true"/>
        </w:rPr>
        <w:t>لو كان له مال معدّ للإنفاق من جنس أحد النقدين أو غيرهما</w:t>
      </w:r>
      <w:bookmarkEnd w:id="61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مأكول أو ممّا يباع و يتعيّش بثمنه أو حصل له ما يموّن عياله و نفسه باكتساب أو صنعة أو اجرة عقار أو دابّة أو غيرها ممّا يدخل فيه الإجارة، اعتبر في حلّ الزكاة له، قصوره و عدم </w:t>
      </w:r>
      <w:bookmarkStart w:id="617" w:name="pg16181_154825"/>
    </w:p>
    <w:p>
      <w:pPr>
        <w:pStyle w:val="BookText"/>
        <w:rPr/>
      </w:pPr>
      <w:bookmarkEnd w:id="617"/>
      <w:r>
        <w:rPr>
          <w:rFonts w:ascii="Amiri" w:hAnsi="Amiri" w:eastAsia="Amiri" w:cs="Amiri"/>
          <w:color w:val="111111"/>
          <w:sz w:val="28"/>
          <w:sz w:val="28"/>
          <w:szCs w:val="28"/>
          <w:rtl w:val="true"/>
          <w:lang w:bidi="ar-SA"/>
        </w:rPr>
        <w:t>كفايته في الجميع في مئونة السنة له و لعياله، كما صرّح به جماعة</w:t>
      </w:r>
      <w:r>
        <w:rPr>
          <w:rStyle w:val="FootnoteAnchor"/>
          <w:rtl w:val="true"/>
        </w:rPr>
        <w:footnoteReference w:id="2737"/>
      </w:r>
      <w:r>
        <w:rPr>
          <w:rFonts w:ascii="Amiri" w:hAnsi="Amiri" w:eastAsia="Amiri" w:cs="Amiri"/>
          <w:color w:val="111111"/>
          <w:sz w:val="28"/>
          <w:sz w:val="28"/>
          <w:szCs w:val="28"/>
          <w:rtl w:val="true"/>
          <w:lang w:bidi="ar-SA"/>
        </w:rPr>
        <w:t>عملا بالنصوص المتقدّمة و لزم منه أنّه مع الكفاية و عدم القصور لا يحلّ عملا بما ذكر أيضا</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2586865_1280447820"/>
      <w:bookmarkStart w:id="619" w:name="_Toc231"/>
      <w:bookmarkEnd w:id="618"/>
      <w:r>
        <w:rPr>
          <w:rtl w:val="true"/>
        </w:rPr>
        <w:t>الثالثة</w:t>
      </w:r>
      <w:r>
        <w:rPr>
          <w:rtl w:val="true"/>
        </w:rPr>
        <w:t>: [</w:t>
      </w:r>
      <w:r>
        <w:rPr>
          <w:rtl w:val="true"/>
        </w:rPr>
        <w:t>شرط حلّيّة الزكاة للمكتسب</w:t>
      </w:r>
      <w:r>
        <w:rPr>
          <w:rtl w:val="true"/>
        </w:rPr>
        <w:t>]</w:t>
      </w:r>
      <w:bookmarkEnd w:id="619"/>
    </w:p>
    <w:p>
      <w:pPr>
        <w:pStyle w:val="BookText"/>
        <w:rPr/>
      </w:pPr>
      <w:r>
        <w:rPr>
          <w:rFonts w:ascii="Amiri" w:hAnsi="Amiri" w:eastAsia="Amiri" w:cs="Amiri"/>
          <w:color w:val="111111"/>
          <w:sz w:val="28"/>
          <w:sz w:val="28"/>
          <w:szCs w:val="28"/>
          <w:rtl w:val="true"/>
          <w:lang w:bidi="ar-SA"/>
        </w:rPr>
        <w:t>قد عرفت أنّه يشترط في حلّ الزكاة للمكتسب و ذي الصنعة قصور ما حصل له من المال عن مئونة السنة، و عن الشيخ أنّه حكى في الخلاف عن بعض أصحابنا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 دفع الزكاة إلى المكتسب من غير اشتراط القصور</w:t>
      </w:r>
      <w:r>
        <w:rPr>
          <w:rFonts w:eastAsia="Amiri" w:cs="Amiri" w:ascii="Amiri" w:hAnsi="Amiri"/>
          <w:color w:val="111111"/>
          <w:sz w:val="28"/>
          <w:szCs w:val="28"/>
          <w:rtl w:val="true"/>
          <w:lang w:bidi="ar-SA"/>
        </w:rPr>
        <w:t>»</w:t>
      </w:r>
      <w:r>
        <w:rPr>
          <w:rStyle w:val="FootnoteAnchor"/>
          <w:rtl w:val="true"/>
        </w:rPr>
        <w:footnoteReference w:id="2738"/>
      </w:r>
      <w:r>
        <w:rPr>
          <w:rFonts w:ascii="Amiri" w:hAnsi="Amiri" w:eastAsia="Amiri" w:cs="Amiri"/>
          <w:color w:val="111111"/>
          <w:sz w:val="28"/>
          <w:sz w:val="28"/>
          <w:szCs w:val="28"/>
          <w:rtl w:val="true"/>
          <w:lang w:bidi="ar-SA"/>
        </w:rPr>
        <w:t>و عن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استدلّ له بأنّه غير مالك النصاب و لا لقدر الكفاية فجاز له الأخذ من الصدقة كالفقير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الفقير محتاج إليها بخلاف صورة النزاع</w:t>
      </w:r>
      <w:r>
        <w:rPr>
          <w:rFonts w:eastAsia="Amiri" w:cs="Amiri" w:ascii="Amiri" w:hAnsi="Amiri"/>
          <w:color w:val="111111"/>
          <w:sz w:val="28"/>
          <w:szCs w:val="28"/>
          <w:rtl w:val="true"/>
          <w:lang w:bidi="ar-SA"/>
        </w:rPr>
        <w:t>»</w:t>
      </w:r>
      <w:r>
        <w:rPr>
          <w:rStyle w:val="FootnoteAnchor"/>
          <w:rtl w:val="true"/>
        </w:rPr>
        <w:footnoteReference w:id="2739"/>
      </w:r>
      <w:r>
        <w:rPr>
          <w:rFonts w:ascii="Amiri" w:hAnsi="Amiri" w:eastAsia="Amiri" w:cs="Amiri"/>
          <w:color w:val="111111"/>
          <w:sz w:val="28"/>
          <w:sz w:val="28"/>
          <w:szCs w:val="28"/>
          <w:rtl w:val="true"/>
          <w:lang w:bidi="ar-SA"/>
        </w:rPr>
        <w:t>و استحسنه في المدارك</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ردّ هذا القول ما تقدّم في النصوص المعتبرة و غيرها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لا تحلّ لمحترف</w:t>
      </w:r>
      <w:r>
        <w:rPr>
          <w:rFonts w:eastAsia="Amiri" w:cs="Amiri" w:ascii="Amiri" w:hAnsi="Amiri"/>
          <w:color w:val="111111"/>
          <w:sz w:val="28"/>
          <w:szCs w:val="28"/>
          <w:rtl w:val="true"/>
          <w:lang w:bidi="ar-SA"/>
        </w:rPr>
        <w:t>»</w:t>
      </w:r>
      <w:r>
        <w:rPr>
          <w:rStyle w:val="FootnoteAnchor"/>
          <w:rtl w:val="true"/>
        </w:rPr>
        <w:footnoteReference w:id="2741"/>
      </w:r>
      <w:r>
        <w:rPr>
          <w:rFonts w:ascii="Amiri" w:hAnsi="Amiri" w:eastAsia="Amiri" w:cs="Amiri"/>
          <w:color w:val="111111"/>
          <w:sz w:val="28"/>
          <w:sz w:val="28"/>
          <w:szCs w:val="28"/>
          <w:rtl w:val="true"/>
          <w:lang w:bidi="ar-SA"/>
        </w:rPr>
        <w:t>كما يكفي في تضعيف دليله كونه اجتهادا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يعتبر في منع ذي الكسب الكافي في مئونة السنة عن تناول الزكاة تشاغله بالفعل على الكسب و تلبّسه بالعمل فعلا، أو يكفي فيه مجرّد قدرته عليه‌؟ فلا يحلّ له تناولها لمجرّد قدرته على الكسب الكافي و إن لم يتشاغل به فعلا، و رجع الكلام إلى أنّه مع القدرة المذكورة يكلّف بالكسب و تحصيل ما يموّن به عياله و لا يعطى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ذي الحرفة و ذي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من الأصحاب على من تعرّض لتحقيق هذا المقام صريحا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لجماعة منهم عبارات ربّما يستشمّ منها كفاية مجرّد القدرة على الكسب، </w:t>
      </w:r>
    </w:p>
    <w:p>
      <w:pPr>
        <w:pStyle w:val="BookText"/>
        <w:rPr/>
      </w:pPr>
      <w:r>
        <w:rPr>
          <w:rFonts w:ascii="Amiri" w:hAnsi="Amiri" w:eastAsia="Amiri" w:cs="Amiri"/>
          <w:color w:val="111111"/>
          <w:sz w:val="28"/>
          <w:sz w:val="28"/>
          <w:szCs w:val="28"/>
          <w:rtl w:val="true"/>
          <w:lang w:bidi="ar-SA"/>
        </w:rPr>
        <w:t>كعبارة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يقدر على اكتساب ما يموّن به عياله لا تحلّ له لأنّه كالغنيّ و كذا ذو الصنعة، و لو قصرت عن كفايته جاز أن يتناولها</w:t>
      </w:r>
      <w:r>
        <w:rPr>
          <w:rFonts w:eastAsia="Amiri" w:cs="Amiri" w:ascii="Amiri" w:hAnsi="Amiri"/>
          <w:color w:val="111111"/>
          <w:sz w:val="28"/>
          <w:szCs w:val="28"/>
          <w:rtl w:val="true"/>
          <w:lang w:bidi="ar-SA"/>
        </w:rPr>
        <w:t>»</w:t>
      </w:r>
      <w:r>
        <w:rPr>
          <w:rStyle w:val="FootnoteAnchor"/>
          <w:rtl w:val="true"/>
        </w:rPr>
        <w:footnoteReference w:id="2742"/>
      </w:r>
      <w:r>
        <w:rPr>
          <w:rFonts w:ascii="Amiri" w:hAnsi="Amiri" w:eastAsia="Amiri" w:cs="Amiri"/>
          <w:color w:val="111111"/>
          <w:sz w:val="28"/>
          <w:sz w:val="28"/>
          <w:szCs w:val="28"/>
          <w:rtl w:val="true"/>
          <w:lang w:bidi="ar-SA"/>
        </w:rPr>
        <w:t>و عبارة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قادرا على التكسّب بما فيه كفايته، حرمت عليه الزكاة</w:t>
      </w:r>
      <w:r>
        <w:rPr>
          <w:rFonts w:eastAsia="Amiri" w:cs="Amiri" w:ascii="Amiri" w:hAnsi="Amiri"/>
          <w:color w:val="111111"/>
          <w:sz w:val="28"/>
          <w:szCs w:val="28"/>
          <w:rtl w:val="true"/>
          <w:lang w:bidi="ar-SA"/>
        </w:rPr>
        <w:t>»</w:t>
      </w:r>
      <w:r>
        <w:rPr>
          <w:rStyle w:val="FootnoteAnchor"/>
          <w:rtl w:val="true"/>
        </w:rPr>
        <w:footnoteReference w:id="2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عبارة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يمنع القادر على تكسّب المؤنة بصنعة أو غيرها</w:t>
      </w:r>
      <w:r>
        <w:rPr>
          <w:rFonts w:eastAsia="Amiri" w:cs="Amiri" w:ascii="Amiri" w:hAnsi="Amiri"/>
          <w:color w:val="111111"/>
          <w:sz w:val="28"/>
          <w:szCs w:val="28"/>
          <w:rtl w:val="true"/>
          <w:lang w:bidi="ar-SA"/>
        </w:rPr>
        <w:t>»</w:t>
      </w:r>
      <w:r>
        <w:rPr>
          <w:rStyle w:val="FootnoteAnchor"/>
          <w:rtl w:val="true"/>
        </w:rPr>
        <w:footnoteReference w:id="2744"/>
      </w:r>
      <w:r>
        <w:rPr>
          <w:rFonts w:ascii="Amiri" w:hAnsi="Amiri" w:eastAsia="Amiri" w:cs="Amiri"/>
          <w:color w:val="111111"/>
          <w:sz w:val="28"/>
          <w:sz w:val="28"/>
          <w:szCs w:val="28"/>
          <w:rtl w:val="true"/>
          <w:lang w:bidi="ar-SA"/>
        </w:rPr>
        <w:t>و عبارة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القادر على تكسّب المؤنة بصنعة أو غيرها ليس بفقير و إن كان معه خمسون درهما</w:t>
      </w:r>
      <w:r>
        <w:rPr>
          <w:rFonts w:eastAsia="Amiri" w:cs="Amiri" w:ascii="Amiri" w:hAnsi="Amiri"/>
          <w:color w:val="111111"/>
          <w:sz w:val="28"/>
          <w:szCs w:val="28"/>
          <w:rtl w:val="true"/>
          <w:lang w:bidi="ar-SA"/>
        </w:rPr>
        <w:t>»</w:t>
      </w:r>
      <w:r>
        <w:rPr>
          <w:rStyle w:val="FootnoteAnchor"/>
          <w:rtl w:val="true"/>
        </w:rPr>
        <w:footnoteReference w:id="2745"/>
      </w:r>
      <w:r>
        <w:rPr>
          <w:rFonts w:ascii="Amiri" w:hAnsi="Amiri" w:eastAsia="Amiri" w:cs="Amiri"/>
          <w:color w:val="111111"/>
          <w:sz w:val="28"/>
          <w:sz w:val="28"/>
          <w:szCs w:val="28"/>
          <w:rtl w:val="true"/>
          <w:lang w:bidi="ar-SA"/>
        </w:rPr>
        <w:t>و عبارة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لا يكون ممّن يمكنه الاكتساب لما 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الاجماع المتكرّر و طريقة الاحتياط</w:t>
      </w:r>
      <w:r>
        <w:rPr>
          <w:rFonts w:eastAsia="Amiri" w:cs="Amiri" w:ascii="Amiri" w:hAnsi="Amiri"/>
          <w:color w:val="111111"/>
          <w:sz w:val="28"/>
          <w:szCs w:val="28"/>
          <w:rtl w:val="true"/>
          <w:lang w:bidi="ar-SA"/>
        </w:rPr>
        <w:t>»</w:t>
      </w:r>
      <w:r>
        <w:rPr>
          <w:rStyle w:val="FootnoteAnchor"/>
          <w:rtl w:val="true"/>
        </w:rPr>
        <w:footnoteReference w:id="2746"/>
      </w:r>
      <w:r>
        <w:rPr>
          <w:rFonts w:ascii="Amiri" w:hAnsi="Amiri" w:eastAsia="Amiri" w:cs="Amiri"/>
          <w:color w:val="111111"/>
          <w:sz w:val="28"/>
          <w:sz w:val="28"/>
          <w:szCs w:val="28"/>
          <w:rtl w:val="true"/>
          <w:lang w:bidi="ar-SA"/>
        </w:rPr>
        <w:t>و عبارة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لا يقدر على الاكتساب الحلال بقدر ما يقوم بأودته و سدّ خلّته</w:t>
      </w:r>
      <w:r>
        <w:rPr>
          <w:rFonts w:eastAsia="Amiri" w:cs="Amiri" w:ascii="Amiri" w:hAnsi="Amiri"/>
          <w:color w:val="111111"/>
          <w:sz w:val="28"/>
          <w:szCs w:val="28"/>
          <w:rtl w:val="true"/>
          <w:lang w:bidi="ar-SA"/>
        </w:rPr>
        <w:t>»</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ذلك ممّا ذكره في المدارك و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فروع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الاكتساب و الصنعة كونهما لا يقين بحاله لما في التكليف بغير المعتاد من الحرج و الضرر المنفيّين بالآية</w:t>
      </w:r>
      <w:r>
        <w:rPr>
          <w:rStyle w:val="FootnoteAnchor"/>
          <w:rtl w:val="true"/>
        </w:rPr>
        <w:footnoteReference w:id="2748"/>
      </w:r>
      <w:r>
        <w:rPr>
          <w:rFonts w:ascii="Amiri" w:hAnsi="Amiri" w:eastAsia="Amiri" w:cs="Amiri"/>
          <w:color w:val="111111"/>
          <w:sz w:val="28"/>
          <w:sz w:val="28"/>
          <w:szCs w:val="28"/>
          <w:rtl w:val="true"/>
          <w:lang w:bidi="ar-SA"/>
        </w:rPr>
        <w:t>و الرواية</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0"/>
      </w:r>
      <w:r>
        <w:rPr>
          <w:rFonts w:ascii="Amiri" w:hAnsi="Amiri" w:eastAsia="Amiri" w:cs="Amiri"/>
          <w:color w:val="111111"/>
          <w:sz w:val="28"/>
          <w:sz w:val="28"/>
          <w:szCs w:val="28"/>
          <w:rtl w:val="true"/>
          <w:lang w:bidi="ar-SA"/>
        </w:rPr>
        <w:t>و وجه الظهور أنّه لو كان المدار في منع الزكاة على التشاغل الفعلي بما يحصل به قدر الكفاية فلا يتفاوت فيه الحال بين ما لو كان الكسب المتشاغل به لائقا بحاله أو غير لائق و يلغو التعليل بأنّ في التكليف بغير المعتاد من الحرج و الضرر المنفيّين كما لا يخفى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ذلك أيضا ممّا ذكره في الكتابين</w:t>
      </w:r>
      <w:r>
        <w:rPr>
          <w:rStyle w:val="FootnoteAnchor"/>
          <w:rtl w:val="true"/>
        </w:rPr>
        <w:footnoteReference w:id="2751"/>
      </w:r>
      <w:r>
        <w:rPr>
          <w:rFonts w:ascii="Amiri" w:hAnsi="Amiri" w:eastAsia="Amiri" w:cs="Amiri"/>
          <w:color w:val="111111"/>
          <w:sz w:val="28"/>
          <w:sz w:val="28"/>
          <w:szCs w:val="28"/>
          <w:rtl w:val="true"/>
          <w:lang w:bidi="ar-SA"/>
        </w:rPr>
        <w:t>كما في المنتهى و عن نهاية الأحكام و التحرير و غيرها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التكسّب يمنعه عن التفقّه في الدين فالوجه جواز أخذها لأنّه مأمور بالتفقّه في الدين إذا كان من أهله</w:t>
      </w:r>
      <w:r>
        <w:rPr>
          <w:rFonts w:eastAsia="Amiri" w:cs="Amiri" w:ascii="Amiri" w:hAnsi="Amiri"/>
          <w:color w:val="111111"/>
          <w:sz w:val="28"/>
          <w:szCs w:val="28"/>
          <w:rtl w:val="true"/>
          <w:lang w:bidi="ar-SA"/>
        </w:rPr>
        <w:t>»</w:t>
      </w:r>
      <w:r>
        <w:rPr>
          <w:rStyle w:val="FootnoteAnchor"/>
          <w:rtl w:val="true"/>
        </w:rPr>
        <w:footnoteReference w:id="2752"/>
      </w:r>
      <w:r>
        <w:rPr>
          <w:rFonts w:ascii="Amiri" w:hAnsi="Amiri" w:eastAsia="Amiri" w:cs="Amiri"/>
          <w:color w:val="111111"/>
          <w:sz w:val="28"/>
          <w:sz w:val="28"/>
          <w:szCs w:val="28"/>
          <w:rtl w:val="true"/>
          <w:lang w:bidi="ar-SA"/>
        </w:rPr>
        <w:t xml:space="preserve">و وجه الظهور أنّ قضيّة إناطة المنع و الجواز بالتشاغل و عدمه فعلا هو جواز أخذها بترك التشاغل و لو لصارف </w:t>
      </w:r>
    </w:p>
    <w:p>
      <w:pPr>
        <w:pStyle w:val="BookText"/>
        <w:rPr/>
      </w:pPr>
      <w:r>
        <w:rPr>
          <w:rFonts w:ascii="Amiri" w:hAnsi="Amiri" w:eastAsia="Amiri" w:cs="Amiri"/>
          <w:color w:val="111111"/>
          <w:sz w:val="28"/>
          <w:sz w:val="28"/>
          <w:szCs w:val="28"/>
          <w:rtl w:val="true"/>
          <w:lang w:bidi="ar-SA"/>
        </w:rPr>
        <w:t>نفساني، و يلغو إناطة الجواز بمنع التفقّه في الدين و تعليله بأنّه مأمور به إذا كان من أهله،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عبارة المدارك و الذخيرة كون إناطة المنع بمجرّد القدرة مشهورة لقولهما في شرح عبارة الشرائع و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w:t>
      </w:r>
      <w:r>
        <w:rPr>
          <w:rFonts w:eastAsia="Amiri" w:cs="Amiri" w:ascii="Amiri" w:hAnsi="Amiri"/>
          <w:color w:val="111111"/>
          <w:sz w:val="28"/>
          <w:szCs w:val="28"/>
          <w:rtl w:val="true"/>
          <w:lang w:bidi="ar-SA"/>
        </w:rPr>
        <w:t>»</w:t>
      </w:r>
      <w:r>
        <w:rPr>
          <w:rStyle w:val="FootnoteAnchor"/>
          <w:rtl w:val="true"/>
        </w:rPr>
        <w:footnoteReference w:id="2753"/>
      </w:r>
      <w:r>
        <w:rPr>
          <w:rFonts w:ascii="Amiri" w:hAnsi="Amiri" w:eastAsia="Amiri" w:cs="Amiri"/>
          <w:color w:val="111111"/>
          <w:sz w:val="28"/>
          <w:sz w:val="28"/>
          <w:szCs w:val="28"/>
          <w:rtl w:val="true"/>
          <w:lang w:bidi="ar-SA"/>
        </w:rPr>
        <w:t>كما في الأوّل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بين الأصحاب</w:t>
      </w:r>
      <w:r>
        <w:rPr>
          <w:rFonts w:eastAsia="Amiri" w:cs="Amiri" w:ascii="Amiri" w:hAnsi="Amiri"/>
          <w:color w:val="111111"/>
          <w:sz w:val="28"/>
          <w:szCs w:val="28"/>
          <w:rtl w:val="true"/>
          <w:lang w:bidi="ar-SA"/>
        </w:rPr>
        <w:t>»</w:t>
      </w:r>
      <w:r>
        <w:rPr>
          <w:rStyle w:val="FootnoteAnchor"/>
          <w:rtl w:val="true"/>
        </w:rPr>
        <w:footnoteReference w:id="2754"/>
      </w:r>
      <w:r>
        <w:rPr>
          <w:rFonts w:ascii="Amiri" w:hAnsi="Amiri" w:eastAsia="Amiri" w:cs="Amiri"/>
          <w:color w:val="111111"/>
          <w:sz w:val="28"/>
          <w:sz w:val="28"/>
          <w:szCs w:val="28"/>
          <w:rtl w:val="true"/>
          <w:lang w:bidi="ar-SA"/>
        </w:rPr>
        <w:t>كما في الثاني، بل في المحكيّ عن مفتاح الكرامة في شرح عبارة القواعد</w:t>
      </w:r>
      <w:r>
        <w:rPr>
          <w:rStyle w:val="FootnoteAnchor"/>
          <w:rtl w:val="true"/>
        </w:rPr>
        <w:footnoteReference w:id="27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لا خلاف فيه</w:t>
      </w:r>
      <w:r>
        <w:rPr>
          <w:rFonts w:eastAsia="Amiri" w:cs="Amiri" w:ascii="Amiri" w:hAnsi="Amiri"/>
          <w:color w:val="111111"/>
          <w:sz w:val="28"/>
          <w:szCs w:val="28"/>
          <w:rtl w:val="true"/>
          <w:lang w:bidi="ar-SA"/>
        </w:rPr>
        <w:t>»</w:t>
      </w:r>
      <w:r>
        <w:rPr>
          <w:rStyle w:val="FootnoteAnchor"/>
          <w:rtl w:val="true"/>
        </w:rPr>
        <w:footnoteReference w:id="2756"/>
      </w:r>
      <w:r>
        <w:rPr>
          <w:rFonts w:ascii="Amiri" w:hAnsi="Amiri" w:eastAsia="Amiri" w:cs="Amiri"/>
          <w:color w:val="111111"/>
          <w:sz w:val="28"/>
          <w:sz w:val="28"/>
          <w:szCs w:val="28"/>
          <w:rtl w:val="true"/>
          <w:lang w:bidi="ar-SA"/>
        </w:rPr>
        <w:t>كما في تخليص التلخيص</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لجماعة عبارات اخر ظاهرة في إناطة الأمر بالتشاغل و التلبّس الفعلي مثل عبارة نهاية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أن يعطى الزكاة لمحترف يقدر على اكتساب ما يقوم بأوده و أود عياله، فإن كانت حرفته لا تقوم به جاز أن يأخذ ما يتّسع به على أهله، و من ملك خمسين درهما يقدر أن يتعيّش بها بقدر ما يحتاج إليه في نفقته لم يجز له أن يأخذ الزكاة، و إن كان سبعمائة و هو لا يحسن أن يتعيّش بها جاز له أن يقبل الزكاة و يخرج ما يجب عليه فيما يملكه من الزكاة ليتّسع به على عياله</w:t>
      </w:r>
      <w:r>
        <w:rPr>
          <w:rFonts w:eastAsia="Amiri" w:cs="Amiri" w:ascii="Amiri" w:hAnsi="Amiri"/>
          <w:color w:val="111111"/>
          <w:sz w:val="28"/>
          <w:szCs w:val="28"/>
          <w:rtl w:val="true"/>
          <w:lang w:bidi="ar-SA"/>
        </w:rPr>
        <w:t>»</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عبارة التحرير</w:t>
      </w:r>
      <w:r>
        <w:rPr>
          <w:rStyle w:val="FootnoteAnchor"/>
          <w:rtl w:val="true"/>
        </w:rPr>
        <w:footnoteReference w:id="2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ذا كسب يكتسبه حرم عليه أخذها، و لو كان كسبه يمنعه من التفقّه في الدين فالأقرب عندي جواز أخذها، و لو كان معه ما يموّن به عياله و نفسه بعض السنة جاز أن يتناولها من غير تقدير، و قيل لا يتجاوز</w:t>
      </w:r>
      <w:r>
        <w:rPr>
          <w:rFonts w:eastAsia="Amiri" w:cs="Amiri" w:ascii="Amiri" w:hAnsi="Amiri"/>
          <w:color w:val="111111"/>
          <w:sz w:val="28"/>
          <w:szCs w:val="28"/>
          <w:rtl w:val="true"/>
          <w:lang w:bidi="ar-SA"/>
        </w:rPr>
        <w:t>»</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عبارة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يمنع من يكتفي بكسبه و لو ملك خمسين كما لا يمنع من لا يكتفي به و لو ملك سبعمائة، و كذا ذو الصنعة و الضيعة</w:t>
      </w:r>
      <w:r>
        <w:rPr>
          <w:rFonts w:eastAsia="Amiri" w:cs="Amiri" w:ascii="Amiri" w:hAnsi="Amiri"/>
          <w:color w:val="111111"/>
          <w:sz w:val="28"/>
          <w:szCs w:val="28"/>
          <w:rtl w:val="true"/>
          <w:lang w:bidi="ar-SA"/>
        </w:rPr>
        <w:t>»</w:t>
      </w:r>
      <w:r>
        <w:rPr>
          <w:rStyle w:val="FootnoteAnchor"/>
          <w:rtl w:val="true"/>
        </w:rPr>
        <w:footnoteReference w:id="2761"/>
      </w:r>
      <w:r>
        <w:rPr>
          <w:rFonts w:ascii="Amiri" w:hAnsi="Amiri" w:eastAsia="Amiri" w:cs="Amiri"/>
          <w:color w:val="111111"/>
          <w:sz w:val="28"/>
          <w:sz w:val="28"/>
          <w:szCs w:val="28"/>
          <w:rtl w:val="true"/>
          <w:lang w:bidi="ar-SA"/>
        </w:rPr>
        <w:t>و عبارة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يعطى ذو الحرفة و الصنعة إذا قصرتا عن حاجته أو شغلاه عن طلب العلم على الأقوى</w:t>
      </w:r>
      <w:r>
        <w:rPr>
          <w:rFonts w:eastAsia="Amiri" w:cs="Amiri" w:ascii="Amiri" w:hAnsi="Amiri"/>
          <w:color w:val="111111"/>
          <w:sz w:val="28"/>
          <w:szCs w:val="28"/>
          <w:rtl w:val="true"/>
          <w:lang w:bidi="ar-SA"/>
        </w:rPr>
        <w:t>»</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إرجاع عبارات الأوّلين</w:t>
      </w:r>
      <w:r>
        <w:rPr>
          <w:rStyle w:val="FootnoteAnchor"/>
          <w:rtl w:val="true"/>
        </w:rPr>
        <w:footnoteReference w:id="2763"/>
      </w:r>
      <w:r>
        <w:rPr>
          <w:rFonts w:ascii="Amiri" w:hAnsi="Amiri" w:eastAsia="Amiri" w:cs="Amiri"/>
          <w:color w:val="111111"/>
          <w:sz w:val="28"/>
          <w:sz w:val="28"/>
          <w:szCs w:val="28"/>
          <w:rtl w:val="true"/>
          <w:lang w:bidi="ar-SA"/>
        </w:rPr>
        <w:t xml:space="preserve">أيضا إلى مؤدّى ظاهر هذه العبارات بحمل القدرة على الاكتساب على ما يستتبع الاكتساب فعلا، بقرينة ما في الشرائع في تعليل </w:t>
      </w:r>
    </w:p>
    <w:p>
      <w:pPr>
        <w:pStyle w:val="BookText"/>
        <w:rPr/>
      </w:pPr>
      <w:r>
        <w:rPr>
          <w:rFonts w:ascii="Amiri" w:hAnsi="Amiri" w:eastAsia="Amiri" w:cs="Amiri"/>
          <w:color w:val="111111"/>
          <w:sz w:val="28"/>
          <w:sz w:val="28"/>
          <w:szCs w:val="28"/>
          <w:rtl w:val="true"/>
          <w:lang w:bidi="ar-SA"/>
        </w:rPr>
        <w:t xml:space="preserve">منع القادر على الاكتساب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التشبيه لا يستقيم إلاّ مع حصول ما يكفي في مئونة السنة مضافا إلى قوله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قصرت عن كفايته جاز أن يتناولها</w:t>
      </w:r>
      <w:r>
        <w:rPr>
          <w:rFonts w:eastAsia="Amiri" w:cs="Amiri" w:ascii="Amiri" w:hAnsi="Amiri"/>
          <w:color w:val="111111"/>
          <w:sz w:val="28"/>
          <w:szCs w:val="28"/>
          <w:rtl w:val="true"/>
          <w:lang w:bidi="ar-SA"/>
        </w:rPr>
        <w:t>»</w:t>
      </w:r>
      <w:r>
        <w:rPr>
          <w:rStyle w:val="FootnoteAnchor"/>
          <w:rtl w:val="true"/>
        </w:rPr>
        <w:footnoteReference w:id="2764"/>
      </w:r>
      <w:r>
        <w:rPr>
          <w:rFonts w:ascii="Amiri" w:hAnsi="Amiri" w:eastAsia="Amiri" w:cs="Amiri"/>
          <w:color w:val="111111"/>
          <w:sz w:val="28"/>
          <w:sz w:val="28"/>
          <w:szCs w:val="28"/>
          <w:rtl w:val="true"/>
          <w:lang w:bidi="ar-SA"/>
        </w:rPr>
        <w:t>و نظير ذلك من القرائن في كلامهم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يقف عليه المتتبّع من الإشارات و غيرها ممّا ينساق منها إناطة الأمر وجودا و عدما بحصول قدر الكفاية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أيضا ما ربّما يستظهر من بعضهم</w:t>
      </w:r>
      <w:r>
        <w:rPr>
          <w:rStyle w:val="FootnoteAnchor"/>
          <w:rtl w:val="true"/>
        </w:rPr>
        <w:footnoteReference w:id="2765"/>
      </w:r>
      <w:r>
        <w:rPr>
          <w:rFonts w:ascii="Amiri" w:hAnsi="Amiri" w:eastAsia="Amiri" w:cs="Amiri"/>
          <w:color w:val="111111"/>
          <w:sz w:val="28"/>
          <w:sz w:val="28"/>
          <w:szCs w:val="28"/>
          <w:rtl w:val="true"/>
          <w:lang w:bidi="ar-SA"/>
        </w:rPr>
        <w:t>من الإجماع على جواز إعطاء ذي الصنعة إذا أعرض عنها و ترك التكسّب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الجميع سيرة المسلمين قديما و حديثا حيث لا يراعون في إعطاء الزكوات و أخذها مجرّد القدرة على الاكتساب، بل يعطونها و يأخذونها عند عدم وجود قدر الكفاية و لو مع القدرة على اكتسابه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الغضّ عن جميع ذلك فالمتّبع هو الدليل و هو يساعد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مجرّد القدرة مع انتفاء الفعليّة و إناطة المنع و عدمه بما حصل بالكسب من قدر الكفاية و عدمه، و هو بعد إطلاق جملة كثيرة من النصوص المتقدّمة</w:t>
      </w:r>
      <w:r>
        <w:rPr>
          <w:rStyle w:val="FootnoteAnchor"/>
          <w:rtl w:val="true"/>
        </w:rPr>
        <w:footnoteReference w:id="2766"/>
      </w:r>
      <w:r>
        <w:rPr>
          <w:rFonts w:ascii="Amiri" w:hAnsi="Amiri" w:eastAsia="Amiri" w:cs="Amiri"/>
          <w:color w:val="111111"/>
          <w:sz w:val="28"/>
          <w:sz w:val="28"/>
          <w:szCs w:val="28"/>
          <w:rtl w:val="true"/>
          <w:lang w:bidi="ar-SA"/>
        </w:rPr>
        <w:t>ظواهر غير واحد منها بل نصوصيّة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محمّد بن مسلم المرويّة عن العلل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 الزكاة لمن له سبعمائة درهم إذا لم يكن له 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تحلّ الزكاة لمن له خمسون درهما و له حرفة يقوت بها عياله</w:t>
      </w:r>
      <w:r>
        <w:rPr>
          <w:rFonts w:eastAsia="Amiri" w:cs="Amiri" w:ascii="Amiri" w:hAnsi="Amiri"/>
          <w:color w:val="111111"/>
          <w:sz w:val="28"/>
          <w:szCs w:val="28"/>
          <w:rtl w:val="true"/>
          <w:lang w:bidi="ar-SA"/>
        </w:rPr>
        <w:t>»</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صاحب الخمسين فإنّه يحرم عليه إذا كان وحده و هو محترف يعمل بها و هو يصيب منها ما يكفيه ان شاء اللّه</w:t>
      </w:r>
      <w:r>
        <w:rPr>
          <w:rFonts w:eastAsia="Amiri" w:cs="Amiri" w:ascii="Amiri" w:hAnsi="Amiri"/>
          <w:color w:val="111111"/>
          <w:sz w:val="28"/>
          <w:szCs w:val="28"/>
          <w:rtl w:val="true"/>
          <w:lang w:bidi="ar-SA"/>
        </w:rPr>
        <w:t>»</w:t>
      </w:r>
      <w:r>
        <w:rPr>
          <w:rStyle w:val="FootnoteAnchor"/>
          <w:rtl w:val="true"/>
        </w:rPr>
        <w:footnoteReference w:id="2768"/>
      </w:r>
      <w:r>
        <w:rPr>
          <w:rFonts w:ascii="Amiri" w:hAnsi="Amiri" w:eastAsia="Amiri" w:cs="Amiri"/>
          <w:color w:val="111111"/>
          <w:sz w:val="28"/>
          <w:sz w:val="28"/>
          <w:szCs w:val="28"/>
          <w:rtl w:val="true"/>
          <w:lang w:bidi="ar-SA"/>
        </w:rPr>
        <w:t>و هو ظاهر قوله عليه السّلام في صحيح أبي بصير أو 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 الزكاة لمن كان محترفا و عنده ما تجب فيه الزكاة أن يأخذ الزكاة</w:t>
      </w:r>
      <w:r>
        <w:rPr>
          <w:rFonts w:eastAsia="Amiri" w:cs="Amiri" w:ascii="Amiri" w:hAnsi="Amiri"/>
          <w:color w:val="111111"/>
          <w:sz w:val="28"/>
          <w:szCs w:val="28"/>
          <w:rtl w:val="true"/>
          <w:lang w:bidi="ar-SA"/>
        </w:rPr>
        <w:t>.»</w:t>
      </w:r>
      <w:r>
        <w:rPr>
          <w:rStyle w:val="FootnoteAnchor"/>
          <w:rtl w:val="true"/>
        </w:rPr>
        <w:footnoteReference w:id="2769"/>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في صحيح زرارة المرويّ عن معاني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له أن يأخذها و هو </w:t>
      </w:r>
      <w:bookmarkStart w:id="620" w:name="pg16181_154829"/>
    </w:p>
    <w:p>
      <w:pPr>
        <w:pStyle w:val="BookText"/>
        <w:rPr/>
      </w:pPr>
      <w:bookmarkEnd w:id="620"/>
      <w:r>
        <w:rPr>
          <w:rFonts w:ascii="Amiri" w:hAnsi="Amiri" w:eastAsia="Amiri" w:cs="Amiri"/>
          <w:color w:val="111111"/>
          <w:sz w:val="28"/>
          <w:sz w:val="28"/>
          <w:szCs w:val="28"/>
          <w:rtl w:val="true"/>
          <w:lang w:bidi="ar-SA"/>
        </w:rPr>
        <w:t>يقدر على أن يكفّ نفسه عنها</w:t>
      </w:r>
      <w:r>
        <w:rPr>
          <w:rFonts w:eastAsia="Amiri" w:cs="Amiri" w:ascii="Amiri" w:hAnsi="Amiri"/>
          <w:color w:val="111111"/>
          <w:sz w:val="28"/>
          <w:szCs w:val="28"/>
          <w:rtl w:val="true"/>
          <w:lang w:bidi="ar-SA"/>
        </w:rPr>
        <w:t>»</w:t>
      </w:r>
      <w:r>
        <w:rPr>
          <w:rStyle w:val="FootnoteAnchor"/>
          <w:rtl w:val="true"/>
        </w:rPr>
        <w:footnoteReference w:id="2770"/>
      </w:r>
      <w:r>
        <w:rPr>
          <w:rFonts w:ascii="Amiri" w:hAnsi="Amiri" w:eastAsia="Amiri" w:cs="Amiri"/>
          <w:color w:val="111111"/>
          <w:sz w:val="28"/>
          <w:sz w:val="28"/>
          <w:szCs w:val="28"/>
          <w:rtl w:val="true"/>
          <w:lang w:bidi="ar-SA"/>
        </w:rPr>
        <w:t>فإنّ القدرة على كفّ النفس عن الزكاة أخصّ من القدرة على الاكتساب لأنّها إنّما تحصل بوجود قدر الكفاية بسبب الاكتساب و لو متدرّجا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المحترف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لمحترف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من اتّخذ قوته على الحرفة وسيلة لكسب المال على ما حقّقناه في مباحث المشتقّ من الاصول</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ظهر عدم منافاة قوله عليه السّلام في صحيح زرارة أو 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الصدقة لا تحلّ لمحترف و لا لذي مرّة سويّ قويّ فتنزّهوا عنها</w:t>
      </w:r>
      <w:r>
        <w:rPr>
          <w:rFonts w:eastAsia="Amiri" w:cs="Amiri" w:ascii="Amiri" w:hAnsi="Amiri"/>
          <w:color w:val="111111"/>
          <w:sz w:val="28"/>
          <w:szCs w:val="28"/>
          <w:rtl w:val="true"/>
          <w:lang w:bidi="ar-SA"/>
        </w:rPr>
        <w:t>»</w:t>
      </w:r>
      <w:r>
        <w:rPr>
          <w:rStyle w:val="FootnoteAnchor"/>
          <w:rtl w:val="true"/>
        </w:rPr>
        <w:footnoteReference w:id="2772"/>
      </w:r>
      <w:r>
        <w:rPr>
          <w:rFonts w:ascii="Amiri" w:hAnsi="Amiri" w:eastAsia="Amiri" w:cs="Amiri"/>
          <w:color w:val="111111"/>
          <w:sz w:val="28"/>
          <w:sz w:val="28"/>
          <w:szCs w:val="28"/>
          <w:rtl w:val="true"/>
          <w:lang w:bidi="ar-SA"/>
        </w:rPr>
        <w:t>لما ادّعيناه من الظهور، لأنّه أيضا بالتقريب المذكور ظاهر فيه لا أنّه مخالف له، فليتدبّر</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2586867_1280447820"/>
      <w:bookmarkStart w:id="622" w:name="_Toc232"/>
      <w:bookmarkEnd w:id="621"/>
      <w:r>
        <w:rPr>
          <w:rtl w:val="true"/>
        </w:rPr>
        <w:t>الرابعة</w:t>
      </w:r>
      <w:r>
        <w:rPr>
          <w:rtl w:val="true"/>
        </w:rPr>
        <w:t>: [</w:t>
      </w:r>
      <w:r>
        <w:rPr>
          <w:rtl w:val="true"/>
        </w:rPr>
        <w:t>إعطاء الزكاة للفقراء و إن كان لهم الدار و الخادم</w:t>
      </w:r>
      <w:r>
        <w:rPr>
          <w:rtl w:val="true"/>
        </w:rPr>
        <w:t>]</w:t>
      </w:r>
      <w:bookmarkEnd w:id="622"/>
    </w:p>
    <w:p>
      <w:pPr>
        <w:pStyle w:val="BookText"/>
        <w:rPr/>
      </w:pPr>
      <w:r>
        <w:rPr>
          <w:rFonts w:ascii="Amiri" w:hAnsi="Amiri" w:eastAsia="Amiri" w:cs="Amiri"/>
          <w:color w:val="111111"/>
          <w:sz w:val="28"/>
          <w:sz w:val="28"/>
          <w:szCs w:val="28"/>
          <w:rtl w:val="true"/>
          <w:lang w:bidi="ar-SA"/>
        </w:rPr>
        <w:t>يعطى الفقير من الزكاة و إن كان له دار يسكنها أو خادم يخدمه كما نصّ عليه في الشرائع مقيّدا له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لا غنى له عنهما</w:t>
      </w:r>
      <w:r>
        <w:rPr>
          <w:rFonts w:eastAsia="Amiri" w:cs="Amiri" w:ascii="Amiri" w:hAnsi="Amiri"/>
          <w:color w:val="111111"/>
          <w:sz w:val="28"/>
          <w:szCs w:val="28"/>
          <w:rtl w:val="true"/>
          <w:lang w:bidi="ar-SA"/>
        </w:rPr>
        <w:t>»</w:t>
      </w:r>
      <w:r>
        <w:rPr>
          <w:rStyle w:val="FootnoteAnchor"/>
          <w:rtl w:val="true"/>
        </w:rPr>
        <w:footnoteReference w:id="2773"/>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يتحقّق عدم الغنى في الدار باحتياجه إلى السكنى و إن حصل له غيرها ببذل أو استئجار، و في الخادم بكون المخدوم من عادته ذلك أو باحتياجه إليه، و يلحق بهما فرس الركوب و ثياب التجمّل نصّ عليه في التذكرة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في ذلك كلّه خلافا</w:t>
      </w:r>
      <w:r>
        <w:rPr>
          <w:rStyle w:val="FootnoteAnchor"/>
          <w:rtl w:val="true"/>
        </w:rPr>
        <w:footnoteReference w:id="2774"/>
      </w:r>
      <w:r>
        <w:rPr>
          <w:rFonts w:ascii="Amiri" w:hAnsi="Amiri" w:eastAsia="Amiri" w:cs="Amiri"/>
          <w:color w:val="111111"/>
          <w:sz w:val="28"/>
          <w:sz w:val="28"/>
          <w:szCs w:val="28"/>
          <w:rtl w:val="true"/>
          <w:lang w:bidi="ar-SA"/>
        </w:rPr>
        <w:t>و ينبغي أن يلحق بذلك كلّما يحتاج إليه من الآلات اللائقة بحاله و كتب العلم لمسيس الحاجة إلى ذلك كلّه و عدم الخروج بملكه عن حدّ الفقر إلى الغنى</w:t>
      </w:r>
      <w:r>
        <w:rPr>
          <w:rFonts w:eastAsia="Amiri" w:cs="Amiri" w:ascii="Amiri" w:hAnsi="Amiri"/>
          <w:color w:val="111111"/>
          <w:sz w:val="28"/>
          <w:szCs w:val="28"/>
          <w:rtl w:val="true"/>
          <w:lang w:bidi="ar-SA"/>
        </w:rPr>
        <w:t>»</w:t>
      </w:r>
      <w:r>
        <w:rPr>
          <w:rStyle w:val="FootnoteAnchor"/>
          <w:rtl w:val="true"/>
        </w:rPr>
        <w:footnoteReference w:id="277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بين الأصحاب في أنّ دار السكنى و الخادم و فرس الركوب لا تمنع من أخذ الزكاة مع الحاجة إليها</w:t>
      </w:r>
      <w:r>
        <w:rPr>
          <w:rFonts w:eastAsia="Amiri" w:cs="Amiri" w:ascii="Amiri" w:hAnsi="Amiri"/>
          <w:color w:val="111111"/>
          <w:sz w:val="28"/>
          <w:szCs w:val="28"/>
          <w:rtl w:val="true"/>
          <w:lang w:bidi="ar-SA"/>
        </w:rPr>
        <w:t>»</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 هذا الباب عدّة روايات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بن عبد العزيز المتقدّم</w:t>
      </w:r>
      <w:r>
        <w:rPr>
          <w:rStyle w:val="FootnoteAnchor"/>
          <w:rtl w:val="true"/>
        </w:rPr>
        <w:footnoteReference w:id="2777"/>
      </w:r>
      <w:r>
        <w:rPr>
          <w:rFonts w:ascii="Amiri" w:hAnsi="Amiri" w:eastAsia="Amiri" w:cs="Amiri"/>
          <w:color w:val="111111"/>
          <w:sz w:val="28"/>
          <w:sz w:val="28"/>
          <w:szCs w:val="28"/>
          <w:rtl w:val="true"/>
          <w:lang w:bidi="ar-SA"/>
        </w:rPr>
        <w:t>و موثّقة سماعة المتقدّمة</w:t>
      </w:r>
      <w:r>
        <w:rPr>
          <w:rStyle w:val="FootnoteAnchor"/>
          <w:rtl w:val="true"/>
        </w:rPr>
        <w:footnoteReference w:id="2778"/>
      </w:r>
      <w:r>
        <w:rPr>
          <w:rFonts w:ascii="Amiri" w:hAnsi="Amiri" w:eastAsia="Amiri" w:cs="Amiri"/>
          <w:color w:val="111111"/>
          <w:sz w:val="28"/>
          <w:sz w:val="28"/>
          <w:szCs w:val="28"/>
          <w:rtl w:val="true"/>
          <w:lang w:bidi="ar-SA"/>
        </w:rPr>
        <w:t>في دار الغلّة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خبر عمر بن اذينة عن غير واحد عن أبي جعفر عليه السّلام و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سئلا عن الرجل له دار و خادم أو عبد يقبل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الدار و الخادم ليسا بمال</w:t>
      </w:r>
      <w:r>
        <w:rPr>
          <w:rFonts w:eastAsia="Amiri" w:cs="Amiri" w:ascii="Amiri" w:hAnsi="Amiri"/>
          <w:color w:val="111111"/>
          <w:sz w:val="28"/>
          <w:szCs w:val="28"/>
          <w:rtl w:val="true"/>
          <w:lang w:bidi="ar-SA"/>
        </w:rPr>
        <w:t>»</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سعيد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الزكاة لصاحب الدار و الخادم لأنّ أبا عبد اللّه عليه السّلام لم يكن يرى الدار و الخادم شيئا</w:t>
      </w:r>
      <w:r>
        <w:rPr>
          <w:rFonts w:eastAsia="Amiri" w:cs="Amiri" w:ascii="Amiri" w:hAnsi="Amiri"/>
          <w:color w:val="111111"/>
          <w:sz w:val="28"/>
          <w:szCs w:val="28"/>
          <w:rtl w:val="true"/>
          <w:lang w:bidi="ar-SA"/>
        </w:rPr>
        <w:t>»</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عليّ بن جعفر عن أخيه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الزكاة أ يعطاها من له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له الدار و العبد فإنّ الدار ليس يعدّها بمال</w:t>
      </w:r>
      <w:r>
        <w:rPr>
          <w:rFonts w:eastAsia="Amiri" w:cs="Amiri" w:ascii="Amiri" w:hAnsi="Amiri"/>
          <w:color w:val="111111"/>
          <w:sz w:val="28"/>
          <w:szCs w:val="28"/>
          <w:rtl w:val="true"/>
          <w:lang w:bidi="ar-SA"/>
        </w:rPr>
        <w:t>»</w:t>
      </w:r>
      <w:r>
        <w:rPr>
          <w:rStyle w:val="FootnoteAnchor"/>
          <w:rtl w:val="true"/>
        </w:rPr>
        <w:footnoteReference w:id="2781"/>
      </w:r>
      <w:r>
        <w:rPr>
          <w:rFonts w:ascii="Amiri" w:hAnsi="Amiri" w:eastAsia="Amiri" w:cs="Amiri"/>
          <w:color w:val="111111"/>
          <w:sz w:val="28"/>
          <w:sz w:val="28"/>
          <w:szCs w:val="28"/>
          <w:rtl w:val="true"/>
          <w:lang w:bidi="ar-SA"/>
        </w:rPr>
        <w:t>و نفي المال عن الدار و الخادم في خبر عمر بن اذينة إنّما اريد به نفي الاعتداد بهما في الغنى المانع من الزكاة، و كذلك قوله في الخبر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الدار ليس يعدّها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إلاّ من جهة مسيس الحاجة إليهما في انتظام المعاش، و التعليل يفيد عموم الحكم لكلّ ما يحتاج إليه من فرس الركوب و لباس التجمّل و كتب العلم و غيرها من الآلات كما فهمه صاحب المدارك</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يشير إليه أيضا قوله عليه السّلام في خبر إسماعيل بن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ببيع جاريته الّتي تقيه الحرّ و البرد و يصون وجهه و وجه عياله أو آمره أن يبيع غلامه و جمله و هي معيشته و قوته</w:t>
      </w:r>
      <w:r>
        <w:rPr>
          <w:rFonts w:eastAsia="Amiri" w:cs="Amiri" w:ascii="Amiri" w:hAnsi="Amiri"/>
          <w:color w:val="111111"/>
          <w:sz w:val="28"/>
          <w:szCs w:val="28"/>
          <w:rtl w:val="true"/>
          <w:lang w:bidi="ar-SA"/>
        </w:rPr>
        <w:t>»</w:t>
      </w:r>
      <w:r>
        <w:rPr>
          <w:rStyle w:val="FootnoteAnchor"/>
          <w:rtl w:val="true"/>
        </w:rPr>
        <w:footnoteReference w:id="2783"/>
      </w:r>
      <w:r>
        <w:rPr>
          <w:rFonts w:ascii="Amiri" w:hAnsi="Amiri" w:eastAsia="Amiri" w:cs="Amiri"/>
          <w:color w:val="111111"/>
          <w:sz w:val="28"/>
          <w:sz w:val="28"/>
          <w:szCs w:val="28"/>
          <w:rtl w:val="true"/>
          <w:lang w:bidi="ar-SA"/>
        </w:rPr>
        <w:t>بل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فتأمرني أن آمره ببيع داره و هي عزّه و مسقط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عدم منع الشيء إذا اتّخذه لمجرّد حفظ العزّ إذا كان من أهل العزّة و الشرف و من عادة أبناء نوعه اتّخاذ ذلك الشيء بهذا الاعتبار، فيتعدّى الحكم إلى غير الدار من الفرس و الخادم و نحوهما و إن لم يكن هناك حاجة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صاحب الحدائق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الظاهر من فحاوي هذه الأخبار أنّ الحكم في ذلك مرتّب على أحوال الناس و ما هم عليه من الرفعة و الضعة، فمن كان من أهل الشرف و الرفعة الّذين جرت عادتهم بالبيوت الواسعة و الخدم و الخيل و نحو ذلك </w:t>
      </w:r>
      <w:bookmarkStart w:id="623" w:name="pg16181_154831"/>
    </w:p>
    <w:p>
      <w:pPr>
        <w:pStyle w:val="BookText"/>
        <w:rPr/>
      </w:pPr>
      <w:bookmarkEnd w:id="623"/>
      <w:r>
        <w:rPr>
          <w:rFonts w:ascii="Amiri" w:hAnsi="Amiri" w:eastAsia="Amiri" w:cs="Amiri"/>
          <w:color w:val="111111"/>
          <w:sz w:val="28"/>
          <w:sz w:val="28"/>
          <w:szCs w:val="28"/>
          <w:rtl w:val="true"/>
          <w:lang w:bidi="ar-SA"/>
        </w:rPr>
        <w:t>من ثياب التجمّل بين الناس و الفروش و الأسباب فإنّ ذلك لا يمنع من أخذ الزكاة من حيث هذه الأشياء و لم يكلّف ببيعها و الاقتصار على أقلّ ما يجزئ به من ذلك</w:t>
      </w:r>
      <w:r>
        <w:rPr>
          <w:rFonts w:eastAsia="Amiri" w:cs="Amiri" w:ascii="Amiri" w:hAnsi="Amiri"/>
          <w:color w:val="111111"/>
          <w:sz w:val="28"/>
          <w:szCs w:val="28"/>
          <w:rtl w:val="true"/>
          <w:lang w:bidi="ar-SA"/>
        </w:rPr>
        <w:t>»</w:t>
      </w:r>
      <w:r>
        <w:rPr>
          <w:rStyle w:val="FootnoteAnchor"/>
          <w:rtl w:val="true"/>
        </w:rPr>
        <w:footnoteReference w:id="27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فالرخصة في أخذ الزكاة مع وجود هذه الأشياء تنوط بأحد الأمرين على حدّ منع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العادة لأجل الشرف و العزّة، و من الاحتياج إليها في انتظام أمر المعيشة، كما يظهر فهم ذلك من صاحب المدارك في عبارته المتقدّمة</w:t>
      </w:r>
      <w:r>
        <w:rPr>
          <w:rStyle w:val="FootnoteAnchor"/>
          <w:rtl w:val="true"/>
        </w:rPr>
        <w:footnoteReference w:id="2785"/>
      </w:r>
      <w:r>
        <w:rPr>
          <w:rFonts w:ascii="Amiri" w:hAnsi="Amiri" w:eastAsia="Amiri" w:cs="Amiri"/>
          <w:color w:val="111111"/>
          <w:sz w:val="28"/>
          <w:sz w:val="28"/>
          <w:szCs w:val="28"/>
          <w:rtl w:val="true"/>
          <w:lang w:bidi="ar-SA"/>
        </w:rPr>
        <w:t>فمن اتّخذ شيئا ممّا ذكر اقتراحا من دون أن يكون هناك عادة و لا حاجة و كان بحيث لو باعه كفاه ثمنه في مئونته لا يحلّ له أخذ الزكاة بل يكلّف ببيع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دار السكنى تزيد عن حاجته بحيث يكفيه قيمة الزيادة حولا و أمكنه بيعها منفردة فالأظهر خروجه بذلك عن حدّ الفقر، أمّا لو كانت حاجته تندفع بأقلّ منها قيمة فالأظهر أنّه لا يكلّف ببيعها و شراء الأدون لإطلاق النصّ‌، و لما في التكليف بذلك من العسر و المشقّة، و به قطع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العبد و الفرس، و لو فقدت هذه المذكورات استثني له أثمانها مع الحاجة إليها، و لا يبعد إلحاق ما يحتاج إليه في التزويج بذلك مع الحاجة إليه</w:t>
      </w:r>
      <w:r>
        <w:rPr>
          <w:rFonts w:eastAsia="Amiri" w:cs="Amiri" w:ascii="Amiri" w:hAnsi="Amiri"/>
          <w:color w:val="111111"/>
          <w:sz w:val="28"/>
          <w:szCs w:val="28"/>
          <w:rtl w:val="true"/>
          <w:lang w:bidi="ar-SA"/>
        </w:rPr>
        <w:t>»</w:t>
      </w:r>
      <w:r>
        <w:rPr>
          <w:rStyle w:val="FootnoteAnchor"/>
          <w:rtl w:val="true"/>
        </w:rPr>
        <w:footnoteReference w:id="2786"/>
      </w:r>
      <w:r>
        <w:rPr>
          <w:rFonts w:ascii="Amiri" w:hAnsi="Amiri" w:eastAsia="Amiri" w:cs="Amiri"/>
          <w:color w:val="111111"/>
          <w:sz w:val="28"/>
          <w:sz w:val="28"/>
          <w:szCs w:val="28"/>
          <w:rtl w:val="true"/>
          <w:lang w:bidi="ar-SA"/>
        </w:rPr>
        <w:t>انتهى و كلّ هذا حسن جيّد</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2586869_1280447820"/>
      <w:bookmarkStart w:id="625" w:name="_Toc233"/>
      <w:bookmarkEnd w:id="624"/>
      <w:r>
        <w:rPr>
          <w:rtl w:val="true"/>
        </w:rPr>
        <w:t>الخامسة</w:t>
      </w:r>
      <w:r>
        <w:rPr>
          <w:rtl w:val="true"/>
        </w:rPr>
        <w:t>: [</w:t>
      </w:r>
      <w:r>
        <w:rPr>
          <w:rtl w:val="true"/>
        </w:rPr>
        <w:t>جواز إعطاء الفقير مقدار ما يغنيه</w:t>
      </w:r>
      <w:r>
        <w:rPr>
          <w:rtl w:val="true"/>
        </w:rPr>
        <w:t>]</w:t>
      </w:r>
      <w:bookmarkEnd w:id="62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الأكثر في ذي الكسب القاصر أنّ ما يعطى من الزكاة لا يتقدّر بقدر بل يجوز أن يعطى ما يغنيه و يزيد على غناه كغير المكتسب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الشرائع</w:t>
      </w:r>
      <w:r>
        <w:rPr>
          <w:rStyle w:val="FootnoteAnchor"/>
          <w:rtl w:val="true"/>
        </w:rPr>
        <w:footnoteReference w:id="2787"/>
      </w:r>
      <w:r>
        <w:rPr>
          <w:rFonts w:ascii="Amiri" w:hAnsi="Amiri" w:eastAsia="Amiri" w:cs="Amiri"/>
          <w:color w:val="111111"/>
          <w:sz w:val="28"/>
          <w:sz w:val="28"/>
          <w:szCs w:val="28"/>
          <w:rtl w:val="true"/>
          <w:lang w:bidi="ar-SA"/>
        </w:rPr>
        <w:t>و جماعة</w:t>
      </w:r>
      <w:r>
        <w:rPr>
          <w:rStyle w:val="FootnoteAnchor"/>
          <w:rtl w:val="true"/>
        </w:rPr>
        <w:footnoteReference w:id="27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 الكسب القاصر ليس له أن يأخذ ما يزيد عن كفايته حولا</w:t>
      </w:r>
      <w:r>
        <w:rPr>
          <w:rFonts w:eastAsia="Amiri" w:cs="Amiri" w:ascii="Amiri" w:hAnsi="Amiri"/>
          <w:color w:val="111111"/>
          <w:sz w:val="28"/>
          <w:szCs w:val="28"/>
          <w:rtl w:val="true"/>
          <w:lang w:bidi="ar-SA"/>
        </w:rPr>
        <w:t>»</w:t>
      </w:r>
      <w:r>
        <w:rPr>
          <w:rStyle w:val="FootnoteAnchor"/>
          <w:rtl w:val="true"/>
        </w:rPr>
        <w:footnoteReference w:id="2789"/>
      </w:r>
      <w:r>
        <w:rPr>
          <w:rFonts w:ascii="Amiri" w:hAnsi="Amiri" w:eastAsia="Amiri" w:cs="Amiri"/>
          <w:color w:val="111111"/>
          <w:sz w:val="28"/>
          <w:sz w:val="28"/>
          <w:szCs w:val="28"/>
          <w:rtl w:val="true"/>
          <w:lang w:bidi="ar-SA"/>
        </w:rPr>
        <w:t>ثمّ قال أيضا في شرح عبارة الشرائع المتكفّلة لبيان هذا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 أنّ ظاهر عبارة المصنّف و غيرها يقتضي أنّ محلّ الخلاف ذو الكسب القاصر و ربّما ظهر من كلام </w:t>
      </w:r>
    </w:p>
    <w:p>
      <w:pPr>
        <w:pStyle w:val="BookText"/>
        <w:rPr/>
      </w:pPr>
      <w:r>
        <w:rPr>
          <w:rFonts w:ascii="Amiri" w:hAnsi="Amiri" w:eastAsia="Amiri" w:cs="Amiri"/>
          <w:color w:val="111111"/>
          <w:sz w:val="28"/>
          <w:sz w:val="28"/>
          <w:szCs w:val="28"/>
          <w:rtl w:val="true"/>
          <w:lang w:bidi="ar-SA"/>
        </w:rPr>
        <w:t>العلاّمة في موضع من المنتهى تحقّق الخلاف في غيره أيضا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معه ما يقصر عن مئونته و مئونة عياله حولا جاز له أخذ الزكاة لأنّه محتاج،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زائدا عن تتمّة المؤنة حولا، و ليس بالوجه</w:t>
      </w:r>
      <w:r>
        <w:rPr>
          <w:rStyle w:val="FootnoteAnchor"/>
          <w:rtl w:val="true"/>
        </w:rPr>
        <w:footnoteReference w:id="2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قال في موضع آخر من المنتهى</w:t>
      </w:r>
      <w:r>
        <w:rPr>
          <w:rStyle w:val="FootnoteAnchor"/>
          <w:rtl w:val="true"/>
        </w:rPr>
        <w:footnoteReference w:id="2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يعطى الفقير ما يغنيه و ما يزيد على غناه و هو قول علمائنا أجمع</w:t>
      </w:r>
      <w:r>
        <w:rPr>
          <w:rFonts w:eastAsia="Amiri" w:cs="Amiri" w:ascii="Amiri" w:hAnsi="Amiri"/>
          <w:color w:val="111111"/>
          <w:sz w:val="28"/>
          <w:szCs w:val="28"/>
          <w:rtl w:val="true"/>
          <w:lang w:bidi="ar-SA"/>
        </w:rPr>
        <w:t>»</w:t>
      </w:r>
      <w:r>
        <w:rPr>
          <w:rStyle w:val="FootnoteAnchor"/>
          <w:rtl w:val="true"/>
        </w:rPr>
        <w:footnoteReference w:id="27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طريق المسألتين من جهة النصوص على القول بجواز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إعطاء ما يغنيه و ما زاد على 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هو إطلاق النصوص المجوّزة لإعطاء ما يغنيه فالأولى جعلهما مع غير المكتسب الّذي لا مال عنده أصلا عنوانا واحدا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 المحتاج إلى الزكاة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ذا الكسب القاصر أو ذا المال القاصر أو غيرهما ممّن لا كسب له و 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جواز إعطائه من الزكاة ما زاد على كفاية سنة دفعة، و مرجعه إلى جواز إعطاء ما يصير به غنيّا دائما أو إلى مدّة أو إلى سنة، و هذا هو معنى قول المحقّق في موضع آخر من الشرائع</w:t>
      </w:r>
      <w:r>
        <w:rPr>
          <w:rStyle w:val="FootnoteAnchor"/>
          <w:rtl w:val="true"/>
        </w:rPr>
        <w:footnoteReference w:id="2793"/>
      </w:r>
      <w:r>
        <w:rPr>
          <w:rFonts w:ascii="Amiri" w:hAnsi="Amiri" w:eastAsia="Amiri" w:cs="Amiri"/>
          <w:color w:val="111111"/>
          <w:sz w:val="28"/>
          <w:sz w:val="28"/>
          <w:szCs w:val="28"/>
          <w:rtl w:val="true"/>
          <w:lang w:bidi="ar-SA"/>
        </w:rPr>
        <w:t>و في النافع</w:t>
      </w:r>
      <w:r>
        <w:rPr>
          <w:rStyle w:val="FootnoteAnchor"/>
          <w:rtl w:val="true"/>
        </w:rPr>
        <w:footnoteReference w:id="2794"/>
      </w:r>
      <w:r>
        <w:rPr>
          <w:rFonts w:ascii="IRNazanin" w:hAnsi="IRNazanin" w:eastAsia="IRNazanin"/>
          <w:color w:val="111111"/>
          <w:sz w:val="28"/>
          <w:sz w:val="28"/>
          <w:szCs w:val="28"/>
          <w:rtl w:val="true"/>
          <w:lang w:bidi="fa-IR"/>
        </w:rPr>
        <w:t>و المعتبر</w:t>
      </w:r>
      <w:r>
        <w:rPr>
          <w:rStyle w:val="FootnoteAnchor"/>
          <w:rtl w:val="true"/>
        </w:rPr>
        <w:footnoteReference w:id="2795"/>
      </w:r>
      <w:r>
        <w:rPr>
          <w:rFonts w:ascii="Amiri" w:hAnsi="Amiri" w:eastAsia="Amiri" w:cs="Amiri"/>
          <w:color w:val="111111"/>
          <w:sz w:val="28"/>
          <w:sz w:val="28"/>
          <w:szCs w:val="28"/>
          <w:rtl w:val="true"/>
          <w:lang w:bidi="ar-SA"/>
        </w:rPr>
        <w:t>و نحوه ما في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للأكثر</w:t>
      </w:r>
      <w:r>
        <w:rPr>
          <w:rFonts w:eastAsia="Amiri" w:cs="Amiri" w:ascii="Amiri" w:hAnsi="Amiri"/>
          <w:color w:val="111111"/>
          <w:sz w:val="28"/>
          <w:szCs w:val="28"/>
          <w:rtl w:val="true"/>
          <w:lang w:bidi="ar-SA"/>
        </w:rPr>
        <w:t>»</w:t>
      </w:r>
      <w:r>
        <w:rPr>
          <w:rStyle w:val="FootnoteAnchor"/>
          <w:rtl w:val="true"/>
        </w:rPr>
        <w:footnoteReference w:id="2796"/>
      </w:r>
      <w:r>
        <w:rPr>
          <w:rFonts w:ascii="Amiri" w:hAnsi="Amiri" w:eastAsia="Amiri" w:cs="Amiri"/>
          <w:color w:val="111111"/>
          <w:sz w:val="28"/>
          <w:sz w:val="28"/>
          <w:szCs w:val="28"/>
          <w:rtl w:val="true"/>
          <w:lang w:bidi="ar-SA"/>
        </w:rPr>
        <w:t>و ربّما يؤدّي مؤدّاه ما رواه الكليني في الحسن أو الصحيح عن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المصدّق‌؟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الإمام و لا تقدّر له بشيء</w:t>
      </w:r>
      <w:r>
        <w:rPr>
          <w:rFonts w:eastAsia="Amiri" w:cs="Amiri" w:ascii="Amiri" w:hAnsi="Amiri"/>
          <w:color w:val="111111"/>
          <w:sz w:val="28"/>
          <w:szCs w:val="28"/>
          <w:rtl w:val="true"/>
          <w:lang w:bidi="ar-SA"/>
        </w:rPr>
        <w:t>»</w:t>
      </w:r>
      <w:r>
        <w:rPr>
          <w:rStyle w:val="FootnoteAnchor"/>
          <w:rtl w:val="true"/>
        </w:rPr>
        <w:footnoteReference w:id="279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إنّه لا حدّ للأكثر إذا كان دفعة فهو قول علمائنا أجمع</w:t>
      </w:r>
      <w:r>
        <w:rPr>
          <w:rFonts w:eastAsia="Amiri" w:cs="Amiri" w:ascii="Amiri" w:hAnsi="Amiri"/>
          <w:color w:val="111111"/>
          <w:sz w:val="28"/>
          <w:szCs w:val="28"/>
          <w:rtl w:val="true"/>
          <w:lang w:bidi="ar-SA"/>
        </w:rPr>
        <w:t>»</w:t>
      </w:r>
      <w:r>
        <w:rPr>
          <w:rStyle w:val="FootnoteAnchor"/>
          <w:rtl w:val="true"/>
        </w:rPr>
        <w:footnoteReference w:id="2798"/>
      </w:r>
      <w:r>
        <w:rPr>
          <w:rFonts w:ascii="Amiri" w:hAnsi="Amiri" w:eastAsia="Amiri" w:cs="Amiri"/>
          <w:color w:val="111111"/>
          <w:sz w:val="28"/>
          <w:sz w:val="28"/>
          <w:szCs w:val="28"/>
          <w:rtl w:val="true"/>
          <w:lang w:bidi="ar-SA"/>
        </w:rPr>
        <w:t>و قد سبق نحوه عن منتهى العلاّمة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الفتوى المذكورة و معقد الإجماعين و غيرهما بملاحظة الخلاف في ذي الكسب القاصر و ذي المال القاصر حسبما عرفت منزّل على غيرهما ممّن لا كسب له و 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 كان فالمختار ما عرفت من جواز إعطاء ما يوجب الغنى و ما يزيد عليه عملا بعدّة من المعتبرة الشامل إطلاقها لجميع الصور </w:t>
      </w:r>
    </w:p>
    <w:p>
      <w:pPr>
        <w:pStyle w:val="BookText"/>
        <w:rPr/>
      </w:pP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سعيد بن غزوان على طريق الشيخ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كم يعطى الرجل الواحد من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من الزكاة حتّى تغنيه</w:t>
      </w:r>
      <w:r>
        <w:rPr>
          <w:rFonts w:eastAsia="Amiri" w:cs="Amiri" w:ascii="Amiri" w:hAnsi="Amiri"/>
          <w:color w:val="111111"/>
          <w:sz w:val="28"/>
          <w:szCs w:val="28"/>
          <w:rtl w:val="true"/>
          <w:lang w:bidi="ar-SA"/>
        </w:rPr>
        <w:t>»</w:t>
      </w:r>
      <w:r>
        <w:rPr>
          <w:rStyle w:val="FootnoteAnchor"/>
          <w:rtl w:val="true"/>
        </w:rPr>
        <w:footnoteReference w:id="2799"/>
      </w:r>
      <w:r>
        <w:rPr>
          <w:rFonts w:ascii="Amiri" w:hAnsi="Amiri" w:eastAsia="Amiri" w:cs="Amiri"/>
          <w:color w:val="111111"/>
          <w:sz w:val="28"/>
          <w:sz w:val="28"/>
          <w:szCs w:val="28"/>
          <w:rtl w:val="true"/>
          <w:lang w:bidi="ar-SA"/>
        </w:rPr>
        <w:t>و نحوه ما في صحيحه أو حسنه بإبراهيم بن هاشم على طريق الكليني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تعطيه من الزكاة ما تغنيه</w:t>
      </w:r>
      <w:r>
        <w:rPr>
          <w:rFonts w:eastAsia="Amiri" w:cs="Amiri" w:ascii="Amiri" w:hAnsi="Amiri"/>
          <w:color w:val="111111"/>
          <w:sz w:val="28"/>
          <w:szCs w:val="28"/>
          <w:rtl w:val="true"/>
          <w:lang w:bidi="ar-SA"/>
        </w:rPr>
        <w:t>.»</w:t>
      </w:r>
      <w:r>
        <w:rPr>
          <w:rStyle w:val="FootnoteAnchor"/>
          <w:rtl w:val="true"/>
        </w:rPr>
        <w:footnoteReference w:id="2800"/>
      </w:r>
    </w:p>
    <w:p>
      <w:pPr>
        <w:pStyle w:val="BookText"/>
        <w:rPr/>
      </w:pPr>
      <w:r>
        <w:rPr>
          <w:rFonts w:ascii="Amiri" w:hAnsi="Amiri" w:eastAsia="Amiri" w:cs="Amiri"/>
          <w:color w:val="111111"/>
          <w:sz w:val="28"/>
          <w:sz w:val="28"/>
          <w:szCs w:val="28"/>
          <w:rtl w:val="true"/>
          <w:lang w:bidi="ar-SA"/>
        </w:rPr>
        <w:t>و موثّق إسحاق بن عمّار عن أبي الحسن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الرجل من الزكاة ثمانين درهما،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زده،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اعطيه مائة،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أغنه إن قدرت على أن تغنيه</w:t>
      </w:r>
      <w:r>
        <w:rPr>
          <w:rFonts w:eastAsia="Amiri" w:cs="Amiri" w:ascii="Amiri" w:hAnsi="Amiri"/>
          <w:color w:val="111111"/>
          <w:sz w:val="28"/>
          <w:szCs w:val="28"/>
          <w:rtl w:val="true"/>
          <w:lang w:bidi="ar-SA"/>
        </w:rPr>
        <w:t>.»</w:t>
      </w:r>
      <w:r>
        <w:rPr>
          <w:rStyle w:val="FootnoteAnchor"/>
          <w:rtl w:val="true"/>
        </w:rPr>
        <w:footnoteReference w:id="2801"/>
      </w:r>
    </w:p>
    <w:p>
      <w:pPr>
        <w:pStyle w:val="BookText"/>
        <w:rPr/>
      </w:pPr>
      <w:r>
        <w:rPr>
          <w:rFonts w:ascii="Amiri" w:hAnsi="Amiri" w:eastAsia="Amiri" w:cs="Amiri"/>
          <w:color w:val="111111"/>
          <w:sz w:val="28"/>
          <w:sz w:val="28"/>
          <w:szCs w:val="28"/>
          <w:rtl w:val="true"/>
          <w:lang w:bidi="ar-SA"/>
        </w:rPr>
        <w:t>و خبر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الرجل من الزكاة مائة درهم،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أربعمائة،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تغنيه</w:t>
      </w:r>
      <w:r>
        <w:rPr>
          <w:rFonts w:eastAsia="Amiri" w:cs="Amiri" w:ascii="Amiri" w:hAnsi="Amiri"/>
          <w:color w:val="111111"/>
          <w:sz w:val="28"/>
          <w:szCs w:val="28"/>
          <w:rtl w:val="true"/>
          <w:lang w:bidi="ar-SA"/>
        </w:rPr>
        <w:t>.»</w:t>
      </w:r>
      <w:r>
        <w:rPr>
          <w:rStyle w:val="FootnoteAnchor"/>
          <w:rtl w:val="true"/>
        </w:rPr>
        <w:footnoteReference w:id="2802"/>
      </w:r>
    </w:p>
    <w:p>
      <w:pPr>
        <w:pStyle w:val="BookText"/>
        <w:rPr/>
      </w:pPr>
      <w:r>
        <w:rPr>
          <w:rFonts w:ascii="Amiri" w:hAnsi="Amiri" w:eastAsia="Amiri" w:cs="Amiri"/>
          <w:color w:val="111111"/>
          <w:sz w:val="28"/>
          <w:sz w:val="28"/>
          <w:szCs w:val="28"/>
          <w:rtl w:val="true"/>
          <w:lang w:bidi="ar-SA"/>
        </w:rPr>
        <w:t>و موثّق عمّار بن موسى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كم تعطي الرجل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أعطيت فأغنه</w:t>
      </w:r>
      <w:r>
        <w:rPr>
          <w:rFonts w:eastAsia="Amiri" w:cs="Amiri" w:ascii="Amiri" w:hAnsi="Amiri"/>
          <w:color w:val="111111"/>
          <w:sz w:val="28"/>
          <w:szCs w:val="28"/>
          <w:rtl w:val="true"/>
          <w:lang w:bidi="ar-SA"/>
        </w:rPr>
        <w:t>.»</w:t>
      </w:r>
      <w:r>
        <w:rPr>
          <w:rStyle w:val="FootnoteAnchor"/>
          <w:rtl w:val="true"/>
        </w:rPr>
        <w:footnoteReference w:id="2803"/>
      </w:r>
    </w:p>
    <w:p>
      <w:pPr>
        <w:pStyle w:val="BookText"/>
        <w:rPr/>
      </w:pPr>
      <w:r>
        <w:rPr>
          <w:rFonts w:ascii="Amiri" w:hAnsi="Amiri" w:eastAsia="Amiri" w:cs="Amiri"/>
          <w:color w:val="111111"/>
          <w:sz w:val="28"/>
          <w:sz w:val="28"/>
          <w:szCs w:val="28"/>
          <w:rtl w:val="true"/>
          <w:lang w:bidi="ar-SA"/>
        </w:rPr>
        <w:t>و في الصحيح عن ابن أبي عمير عن زياد بن مروان عن أبي الحسن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ألف درهم</w:t>
      </w:r>
      <w:r>
        <w:rPr>
          <w:rFonts w:eastAsia="Amiri" w:cs="Amiri" w:ascii="Amiri" w:hAnsi="Amiri"/>
          <w:color w:val="111111"/>
          <w:sz w:val="28"/>
          <w:szCs w:val="28"/>
          <w:rtl w:val="true"/>
          <w:lang w:bidi="ar-SA"/>
        </w:rPr>
        <w:t>.»</w:t>
      </w:r>
      <w:r>
        <w:rPr>
          <w:rStyle w:val="FootnoteAnchor"/>
          <w:rtl w:val="true"/>
        </w:rPr>
        <w:footnoteReference w:id="280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المرسل المرويّ عن معاني الأخبار عن بشر بن بشّار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المؤمن الّذي يعطى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المؤمن ثلاثة آلاف،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عشرة آلاف و يعطى الفاجر بقدر، لأنّ المؤمن ينفقها في طاعة اللّه </w:t>
      </w:r>
    </w:p>
    <w:p>
      <w:pPr>
        <w:pStyle w:val="BookText"/>
        <w:rPr/>
      </w:pPr>
      <w:r>
        <w:rPr>
          <w:rFonts w:ascii="Amiri" w:hAnsi="Amiri" w:eastAsia="Amiri" w:cs="Amiri"/>
          <w:color w:val="111111"/>
          <w:sz w:val="28"/>
          <w:sz w:val="28"/>
          <w:szCs w:val="28"/>
          <w:rtl w:val="true"/>
          <w:lang w:bidi="ar-SA"/>
        </w:rPr>
        <w:t>و الفاجر في معصية اللّه</w:t>
      </w:r>
      <w:r>
        <w:rPr>
          <w:rFonts w:eastAsia="Amiri" w:cs="Amiri" w:ascii="Amiri" w:hAnsi="Amiri"/>
          <w:color w:val="111111"/>
          <w:sz w:val="28"/>
          <w:szCs w:val="28"/>
          <w:rtl w:val="true"/>
          <w:lang w:bidi="ar-SA"/>
        </w:rPr>
        <w:t>»</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الشهيد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ورد في الحديث من الإغناء بالصدقة محمول على غير المكتسب</w:t>
      </w:r>
      <w:r>
        <w:rPr>
          <w:rFonts w:eastAsia="Amiri" w:cs="Amiri" w:ascii="Amiri" w:hAnsi="Amiri"/>
          <w:color w:val="111111"/>
          <w:sz w:val="28"/>
          <w:szCs w:val="28"/>
          <w:rtl w:val="true"/>
          <w:lang w:bidi="ar-SA"/>
        </w:rPr>
        <w:t>»</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ردّه في المدارك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الحمل ممكن إلاّ أنّه يتوقّف على وجود المعارض و لم نقف على نصّ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الحمل المذكور تخصيص في الأخبار العامّة بإطلاقاتها للمكتسب و لغيره فلا بدّ له من شاهد و لم نقف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أشعر به مفهوم قوله عليه السّلام في صحيحة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 البقيّة من الزكاة</w:t>
      </w:r>
      <w:r>
        <w:rPr>
          <w:rFonts w:eastAsia="Amiri" w:cs="Amiri" w:ascii="Amiri" w:hAnsi="Amiri"/>
          <w:color w:val="111111"/>
          <w:sz w:val="28"/>
          <w:szCs w:val="28"/>
          <w:rtl w:val="true"/>
          <w:lang w:bidi="ar-SA"/>
        </w:rPr>
        <w:t>»</w:t>
      </w:r>
      <w:r>
        <w:rPr>
          <w:rStyle w:val="FootnoteAnchor"/>
          <w:rtl w:val="true"/>
        </w:rPr>
        <w:footnoteReference w:id="2807"/>
      </w:r>
      <w:r>
        <w:rPr>
          <w:rFonts w:ascii="Amiri" w:hAnsi="Amiri" w:eastAsia="Amiri" w:cs="Amiri"/>
          <w:color w:val="111111"/>
          <w:sz w:val="28"/>
          <w:sz w:val="28"/>
          <w:szCs w:val="28"/>
          <w:rtl w:val="true"/>
          <w:lang w:bidi="ar-SA"/>
        </w:rPr>
        <w:t>لكنّها غير صريحة في المنع من الزائد</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أراد من الصراحة المنفيّة ما يعمّ الظهور فإنّها غير ظاهرة أيضا في المنع من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يتوهّم الدلالة على المنع من النصوص المصرّحة بإعطاء الفقراء من الزكاة ما يكتفون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رواه الكليني في الصحيح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شيخا من أصحابنا يقال له عمر سأل عيسى بن أعين و هو محتاج، فقال له عيسى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عندي من الزكاة و لكن لا اعطيك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رأيتك اشتريت لحما و تمرا،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ربحت درهما فاشتريت بدانقين لحما و بدانقين تمرا ثمّ رجعت بدانقين 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أبو عبد اللّه عليه السّلام يده على جبهته ساعة ثمّ رفع رأسه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نظر في أموال الأغنياء ثمّ نظر في الفقراء فجعل في أموال الأغنياء ما يكتفون به و لو لم يكفهم لزادهم، بل يعطيه ما يأكل و يشرب و يكتسي و يتزوّج و يتصدّق و يحجّ‌</w:t>
      </w:r>
      <w:r>
        <w:rPr>
          <w:rFonts w:eastAsia="Amiri" w:cs="Amiri" w:ascii="Amiri" w:hAnsi="Amiri"/>
          <w:color w:val="111111"/>
          <w:sz w:val="28"/>
          <w:szCs w:val="28"/>
          <w:rtl w:val="true"/>
          <w:lang w:bidi="ar-SA"/>
        </w:rPr>
        <w:t>.»</w:t>
      </w:r>
      <w:r>
        <w:rPr>
          <w:rStyle w:val="FootnoteAnchor"/>
          <w:rtl w:val="true"/>
        </w:rPr>
        <w:footnoteReference w:id="2809"/>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على المنع من الزائد مع احتمال إرادة ما يكتفي به في مدّة العمر لا خصوص السنة، مع أنّ الخبر و نحوه مسوق لبيان حكمة الجعل و التشريع فلا نظر فيه إلى المنع و التجويز عموما أو خصوصا</w:t>
      </w:r>
      <w:r>
        <w:rPr>
          <w:rFonts w:eastAsia="Amiri" w:cs="Amiri" w:ascii="Amiri" w:hAnsi="Amiri"/>
          <w:color w:val="111111"/>
          <w:sz w:val="28"/>
          <w:szCs w:val="28"/>
          <w:rtl w:val="true"/>
          <w:lang w:bidi="ar-SA"/>
        </w:rPr>
        <w:t xml:space="preserve">. </w:t>
      </w:r>
      <w:bookmarkStart w:id="626" w:name="pg16181_154835"/>
    </w:p>
    <w:p>
      <w:pPr>
        <w:pStyle w:val="BookText"/>
        <w:rPr/>
      </w:pPr>
      <w:bookmarkEnd w:id="626"/>
      <w:r>
        <w:rPr>
          <w:rFonts w:ascii="Amiri" w:hAnsi="Amiri" w:eastAsia="Amiri" w:cs="Amiri"/>
          <w:color w:val="111111"/>
          <w:sz w:val="28"/>
          <w:sz w:val="28"/>
          <w:szCs w:val="28"/>
          <w:rtl w:val="true"/>
          <w:lang w:bidi="ar-SA"/>
        </w:rPr>
        <w:t>نعم في المرويّ عن قرب الأسناد عن الحسن بن ظريف عن الحسين بن علوان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المستدين من الصدقة و الزكاة دينهم كلّ ما بلغ إذا استدانوا في غير إسراف، فأمّا الفقراء فلا يزاد أحدهم على خمسين درهما و لا يعطى له أحد خمسون درهما أو عدلها من الذهب</w:t>
      </w:r>
      <w:r>
        <w:rPr>
          <w:rFonts w:eastAsia="Amiri" w:cs="Amiri" w:ascii="Amiri" w:hAnsi="Amiri"/>
          <w:color w:val="111111"/>
          <w:sz w:val="28"/>
          <w:szCs w:val="28"/>
          <w:rtl w:val="true"/>
          <w:lang w:bidi="ar-SA"/>
        </w:rPr>
        <w:t>»</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محمول على حصول الكفاية في السنة بذلك فلا يعطى بعدها مرّة اخرى، و أمّا إعطاء ما زاد دفعة فلا بأس</w:t>
      </w:r>
      <w:r>
        <w:rPr>
          <w:rFonts w:eastAsia="Amiri" w:cs="Amiri" w:ascii="Amiri" w:hAnsi="Amiri"/>
          <w:color w:val="111111"/>
          <w:sz w:val="28"/>
          <w:szCs w:val="28"/>
          <w:rtl w:val="true"/>
          <w:lang w:bidi="ar-SA"/>
        </w:rPr>
        <w:t>»</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حمل بعيد، و الأولى في منع نهوضه لمعارضة ما مرّ القدح في سنده بحسين بن علوان المنسوب بالعامّية الغير المصرّح بتوثيقه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المناقشة في دلالة ما تقدّم بالنظر إلى احتمال أن يراد من الإغناء فيها القدر الكافي منه في المنع من أخذ الزكاة و هو قدر الكفاية في مئونة السنة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الّذي يعدّ صاحبه في العرف و العادة من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المعتضد بفهم الأصحاب، و يؤيّده إطلاق المائة و الخمسمائة و الألف، و خصوص خبر</w:t>
      </w:r>
      <w:r>
        <w:rPr>
          <w:rStyle w:val="FootnoteAnchor"/>
          <w:rtl w:val="true"/>
        </w:rPr>
        <w:footnoteReference w:id="2812"/>
      </w:r>
      <w:r>
        <w:rPr>
          <w:rFonts w:ascii="IRNazanin" w:hAnsi="IRNazanin" w:eastAsia="IRNazanin"/>
          <w:color w:val="111111"/>
          <w:sz w:val="28"/>
          <w:sz w:val="28"/>
          <w:szCs w:val="28"/>
          <w:rtl w:val="true"/>
          <w:lang w:bidi="fa-IR"/>
        </w:rPr>
        <w:t>بشر بن بشار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التمسّك للمنع مطلقا أو في خصوص ذي الكسب القاصر بطريقة الاحتياط و أصالة الاشتغال، يدفعه ورود أصل البراءة عليه إن اريد به ما هو بالقياس إلى الآخذ، و الإطلاق إن اريد به ما هو بالقياس إلى الدافع بل الآخذ أيضا</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2586871_1280447820"/>
      <w:bookmarkStart w:id="628" w:name="_Toc234"/>
      <w:bookmarkEnd w:id="627"/>
      <w:r>
        <w:rPr>
          <w:rtl w:val="true"/>
        </w:rPr>
        <w:t>السادسة</w:t>
      </w:r>
      <w:r>
        <w:rPr>
          <w:rtl w:val="true"/>
        </w:rPr>
        <w:t>: [</w:t>
      </w:r>
      <w:r>
        <w:rPr>
          <w:rtl w:val="true"/>
        </w:rPr>
        <w:t>من ادّعى الفقر طلبا للزكاة</w:t>
      </w:r>
      <w:r>
        <w:rPr>
          <w:rtl w:val="true"/>
        </w:rPr>
        <w:t>]</w:t>
      </w:r>
      <w:bookmarkEnd w:id="628"/>
    </w:p>
    <w:p>
      <w:pPr>
        <w:pStyle w:val="Heading6"/>
        <w:numPr>
          <w:ilvl w:val="5"/>
          <w:numId w:val="1"/>
        </w:numPr>
        <w:rPr/>
      </w:pPr>
      <w:bookmarkStart w:id="629" w:name="__RefHeading___Toc2586873_1280447820"/>
      <w:bookmarkStart w:id="630" w:name="_Toc235"/>
      <w:bookmarkEnd w:id="629"/>
      <w:r>
        <w:rPr>
          <w:rtl w:val="true"/>
        </w:rPr>
        <w:t>اشارة</w:t>
      </w:r>
      <w:bookmarkEnd w:id="63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ادّعى الفقر طلبا للزكاة فإن عرف صدقه أو كذبه عومل على حسب ما عرف منه فيعطى إن عرف صدقه و يمنع إن عرف كذبه قولا واحدا، و إن جهل الأمران و احتمل الصدق و الكذب معا فعبارات الأصحاب فيه مختلفة و إن كانت متّفقة على جواز إعطائه في الجملة، فعن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رجل إلى الإمام أو الساعي </w:t>
      </w:r>
    </w:p>
    <w:p>
      <w:pPr>
        <w:pStyle w:val="BookText"/>
        <w:rPr/>
      </w:pPr>
      <w:r>
        <w:rPr>
          <w:rFonts w:ascii="Amiri" w:hAnsi="Amiri" w:eastAsia="Amiri" w:cs="Amiri"/>
          <w:color w:val="111111"/>
          <w:sz w:val="28"/>
          <w:sz w:val="28"/>
          <w:szCs w:val="28"/>
          <w:rtl w:val="true"/>
          <w:lang w:bidi="ar-SA"/>
        </w:rPr>
        <w:t>و ذكر أنّه لا مال له و لا كسب و سأله أن يعطيه شيئا من الزكاة فإن عرف الإمام صدقه أعطاه، و إن عرف كذبه لم يعطه، و إن جهل حاله نظر فإن كان جلدا</w:t>
      </w:r>
      <w:r>
        <w:rPr>
          <w:rStyle w:val="FootnoteAnchor"/>
          <w:rtl w:val="true"/>
        </w:rPr>
        <w:footnoteReference w:id="2813"/>
      </w:r>
      <w:r>
        <w:rPr>
          <w:rFonts w:ascii="Amiri" w:hAnsi="Amiri" w:eastAsia="Amiri" w:cs="Amiri"/>
          <w:color w:val="111111"/>
          <w:sz w:val="28"/>
          <w:sz w:val="28"/>
          <w:szCs w:val="28"/>
          <w:rtl w:val="true"/>
          <w:lang w:bidi="ar-SA"/>
        </w:rPr>
        <w:t>في الظاهر أعطاه،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يحلف لأنّه يدّعي أمرا يخالف الظاهر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يحلف، 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ضعيفا في الظاهر فإنّه يعطيه من الصدقة و لا يحلفه، لأنّ الظاهر موافق لما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هذا السائل أنّه يحتاج إلى الصدقة لأجل عياله فهل يقبل قوله‌؟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قوله بلا بيّنة،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قوله إلاّ ببيّنة لأنّه لا يتعذّر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من لا يعرف له أصل مال، فأمّا إذا عرف له أصل مال فادّعى أنّه تلف و أنّه محتاج لا يقبل قوله إلاّ ببيّنة، لأنّ الأصل بقاء المال</w:t>
      </w:r>
      <w:r>
        <w:rPr>
          <w:rFonts w:eastAsia="Amiri" w:cs="Amiri" w:ascii="Amiri" w:hAnsi="Amiri"/>
          <w:color w:val="111111"/>
          <w:sz w:val="28"/>
          <w:szCs w:val="28"/>
          <w:rtl w:val="true"/>
          <w:lang w:bidi="ar-SA"/>
        </w:rPr>
        <w:t>»</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اعترض العلاّمة في المختلف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نقله من القول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استظهر كون قائله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مراد الشيخ بالقائل من الجمهور و صيرورته إلى القول الثاني ليس بجيّد، لأنّ قوله مقبول عملا بظاهر العدالة المستند إلى أصل الإسلام</w:t>
      </w:r>
      <w:r>
        <w:rPr>
          <w:rFonts w:eastAsia="Amiri" w:cs="Amiri" w:ascii="Amiri" w:hAnsi="Amiri"/>
          <w:color w:val="111111"/>
          <w:sz w:val="28"/>
          <w:szCs w:val="28"/>
          <w:rtl w:val="true"/>
          <w:lang w:bidi="ar-SA"/>
        </w:rPr>
        <w:t>»</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 أنّه جعل القول المذكور أحوط و هو ليس اختيارا له و لا ريب في أحوطيّته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ادّعى الفقر عومل بما عهد من حاله، و إن جهل عومل بدعواه و لم يكلّف يمينا، و لو ادّعى حاجة عياله ففي القبول من دون إحلافه تردّد، أشبهه القبول لأنّه مسلم ادّعى ممكنا و لم يظهر ما ينافي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عرف له مال و ادّعى ذهابه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 البيّنة لأنّه ادّعى خلاف الظاهر، و الأشبه أنّه لا يكلّف ببيّنة تعويلا على ظهور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البحث في العبد لو ادّعى العتق أو الكتابة</w:t>
      </w:r>
      <w:r>
        <w:rPr>
          <w:rFonts w:eastAsia="Amiri" w:cs="Amiri" w:ascii="Amiri" w:hAnsi="Amiri"/>
          <w:color w:val="111111"/>
          <w:sz w:val="28"/>
          <w:szCs w:val="28"/>
          <w:rtl w:val="true"/>
          <w:lang w:bidi="ar-SA"/>
        </w:rPr>
        <w:t>»</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 أنّ الشيخ استند في التكليف بالبيّنة إلى الأصل لا إلى الظاهر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يعطى من ادّعى الفقر إذا لم يعلم كذبه سواء كان قويّا قادرا على التكسّب أو لا، و يقبل قوله من غير يمين سواء كان شيخا ضعيفا أو شابّا ضعيف البنية أو زمنا أو كان سليما قويّ البنية جلدا، و هو أحد وجهي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يحلف إن كان قويّا في بنيته ظاهرة الاكتساب لأنّ ظاهره يخالف ما قال</w:t>
      </w:r>
      <w:r>
        <w:rPr>
          <w:rFonts w:eastAsia="Amiri" w:cs="Amiri" w:ascii="Amiri" w:hAnsi="Amiri"/>
          <w:color w:val="111111"/>
          <w:sz w:val="28"/>
          <w:szCs w:val="28"/>
          <w:rtl w:val="true"/>
          <w:lang w:bidi="ar-SA"/>
        </w:rPr>
        <w:t xml:space="preserve">. </w:t>
      </w:r>
      <w:bookmarkStart w:id="631" w:name="pg16181_154837"/>
    </w:p>
    <w:p>
      <w:pPr>
        <w:pStyle w:val="BookText"/>
        <w:rPr/>
      </w:pPr>
      <w:bookmarkEnd w:id="631"/>
      <w:r>
        <w:rPr>
          <w:rFonts w:ascii="Amiri" w:hAnsi="Amiri" w:eastAsia="Amiri" w:cs="Amiri"/>
          <w:color w:val="111111"/>
          <w:sz w:val="28"/>
          <w:sz w:val="28"/>
          <w:szCs w:val="28"/>
          <w:rtl w:val="true"/>
          <w:lang w:bidi="ar-SA"/>
        </w:rPr>
        <w:t>و ليس بجيّد لأنّه مسلم ادّعى ممكنا و لم يظهر ما ينافي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عرف له مال و ادّعى ذهابه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 البيّنة لأنّه ادّعى خلاف الظاهر و الأصل البقاء</w:t>
      </w:r>
      <w:r>
        <w:rPr>
          <w:rStyle w:val="FootnoteAnchor"/>
          <w:rtl w:val="true"/>
        </w:rPr>
        <w:footnoteReference w:id="2817"/>
      </w:r>
      <w:r>
        <w:rPr>
          <w:rFonts w:ascii="Amiri" w:hAnsi="Amiri" w:eastAsia="Amiri" w:cs="Amiri"/>
          <w:color w:val="111111"/>
          <w:sz w:val="28"/>
          <w:sz w:val="28"/>
          <w:szCs w:val="28"/>
          <w:rtl w:val="true"/>
          <w:lang w:bidi="ar-SA"/>
        </w:rPr>
        <w:t>و به قال الشافعي</w:t>
      </w:r>
      <w:r>
        <w:rPr>
          <w:rStyle w:val="FootnoteAnchor"/>
          <w:rtl w:val="true"/>
        </w:rPr>
        <w:footnoteReference w:id="2818"/>
      </w:r>
      <w:r>
        <w:rPr>
          <w:rFonts w:ascii="Amiri" w:hAnsi="Amiri" w:eastAsia="Amiri" w:cs="Amiri"/>
          <w:color w:val="111111"/>
          <w:sz w:val="28"/>
          <w:sz w:val="28"/>
          <w:szCs w:val="28"/>
          <w:rtl w:val="true"/>
          <w:lang w:bidi="ar-SA"/>
        </w:rPr>
        <w:t>و الأقرب أنّه لا يكلّف بيّنة تعويلا على صحّة إخبار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البحث في العبد لو ادّعى العتق أو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ادّعى حاجة عياله فالوجه القبول من غير يمين لأنّه مسلم ادّعى أمرا ممكنا و لم يظهر ما ينافي دعواه، و يحتمل الإحلاف لإمكان إقامة البيّنة على دعواه</w:t>
      </w:r>
      <w:r>
        <w:rPr>
          <w:rFonts w:eastAsia="Amiri" w:cs="Amiri" w:ascii="Amiri" w:hAnsi="Amiri"/>
          <w:color w:val="111111"/>
          <w:sz w:val="28"/>
          <w:szCs w:val="28"/>
          <w:rtl w:val="true"/>
          <w:lang w:bidi="ar-SA"/>
        </w:rPr>
        <w:t>»</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2" w:name="__RefHeading___Toc2586875_1280447820"/>
      <w:bookmarkStart w:id="633" w:name="_Toc236"/>
      <w:bookmarkEnd w:id="632"/>
      <w:r>
        <w:rPr>
          <w:rtl w:val="true"/>
        </w:rPr>
        <w:t>[</w:t>
      </w:r>
      <w:r>
        <w:rPr>
          <w:rtl w:val="true"/>
        </w:rPr>
        <w:t>مطالبة البيّنة ممّن ادّعى الفقر</w:t>
      </w:r>
      <w:r>
        <w:rPr>
          <w:rtl w:val="true"/>
        </w:rPr>
        <w:t>]</w:t>
      </w:r>
      <w:bookmarkEnd w:id="633"/>
    </w:p>
    <w:p>
      <w:p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ادّعى شخص الفقر فإن عرف كذبه منع، و إن عرف صدقه اعطي، و إن لم يعلم حاله قبلت دعواه و لم يكلّف بيّنة و لا يمينا لأنّه يدّعي الأصل و هو عدم المال و الأصل عدالة المسلم فكان قوله مقبولا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عرف أنّ له مالا و ادّعى تلفه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 بيّنة على التلف لأنّ الأصل بقاء المال، و الأقرب أنّه لا يكلّف بيّنة عملا بعدالته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ادّعى المريض أو الشيخ أو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ضعيف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الحركة و الاكتساب، قبل قوله إجماعا، لأنّه يدّعي ما يشهد له الظاهر بصدقه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قويّ البنية جلدا فادّعى العجز عن الاكتساب فالأقرب قبول قوله من غير يمين، عملا بعدالته، و لأنّ النبيّ صلّى اللّه عليه و آله</w:t>
      </w:r>
      <w:r>
        <w:rPr>
          <w:rStyle w:val="FootnoteAnchor"/>
          <w:rtl w:val="true"/>
        </w:rPr>
        <w:footnoteReference w:id="2820"/>
      </w:r>
      <w:r>
        <w:rPr>
          <w:rFonts w:ascii="Amiri" w:hAnsi="Amiri" w:eastAsia="Amiri" w:cs="Amiri"/>
          <w:color w:val="111111"/>
          <w:sz w:val="28"/>
          <w:sz w:val="28"/>
          <w:szCs w:val="28"/>
          <w:rtl w:val="true"/>
          <w:lang w:bidi="ar-SA"/>
        </w:rPr>
        <w:t>أعطى الرجلين اللذين سألاه و لم يحلفهما،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لأنّه يدّعي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ادّعى عيالا يعجز عن مئونتهم فالأقرب أيضا قبول قوله من غير يمين كما يقبل قوله إنّه غير 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 بالبيّنة لإمكانها</w:t>
      </w:r>
      <w:r>
        <w:rPr>
          <w:rFonts w:eastAsia="Amiri" w:cs="Amiri" w:ascii="Amiri" w:hAnsi="Amiri"/>
          <w:color w:val="111111"/>
          <w:sz w:val="28"/>
          <w:szCs w:val="28"/>
          <w:rtl w:val="true"/>
          <w:lang w:bidi="ar-SA"/>
        </w:rPr>
        <w:t>»</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 بعد نقل جملة من العبارات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المسألة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اتّفاق الأصحاب ظاهرا على جواز الدفع إلى مدّعي الفقر إذا لم يعلم له أصل مال من </w:t>
      </w:r>
    </w:p>
    <w:p>
      <w:pPr>
        <w:pStyle w:val="BookText"/>
        <w:rPr/>
      </w:pPr>
      <w:r>
        <w:rPr>
          <w:rFonts w:ascii="Amiri" w:hAnsi="Amiri" w:eastAsia="Amiri" w:cs="Amiri"/>
          <w:color w:val="111111"/>
          <w:sz w:val="28"/>
          <w:sz w:val="28"/>
          <w:szCs w:val="28"/>
          <w:rtl w:val="true"/>
          <w:lang w:bidi="ar-SA"/>
        </w:rPr>
        <w:t>غير تكليف له ببيّنة و لا يمين، و ورود بعض الأخبار بذلك و إن ضعف سندها، و كون الدعوى موافقة للأصل، و استلزام التكليف بإقامة البيّنة على الفقر الحرج و العسر في أكثر الموارد، مع خلوّ الأخبار من ذلك بل ورود الأمر بإعطاء السائل و لو كان على ظهر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الشرط اتّصاف المدفوع إليه بأحد الأوصاف الثمانية فلا بدّ من تحقّق الشرط كما في نظائره، و الاحتياط يقتضي عدم الاكتفاء بمجرّد الدعوى إلاّ مع عدالة المدّعي أو الظنّ الغالب بصدقه</w:t>
      </w:r>
      <w:r>
        <w:rPr>
          <w:rFonts w:eastAsia="Amiri" w:cs="Amiri" w:ascii="Amiri" w:hAnsi="Amiri"/>
          <w:color w:val="111111"/>
          <w:sz w:val="28"/>
          <w:szCs w:val="28"/>
          <w:rtl w:val="true"/>
          <w:lang w:bidi="ar-SA"/>
        </w:rPr>
        <w:t>»</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أكثر ما تقدّم و أورد جملة كلام في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أنّ تحصيل العلم بالفقر غير معتبر و إلاّ لزم حرمان أكثر الفقراء، و انتفاؤه معلوم من عادة الأئمّة عليهم السّلام و كذا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يكفي الظنّ الحاصل من الأمارات أو من دعواه مطلقا أو إذا كان أمينا مطلقا أو عند تعذّر البيّنة أم لا، بل يحتاج إلى البيّنة مطلقا، أو في بعض صور المسألة، أو يحتاج إلى الحلف كذلك لي فيه توقّف إلى أن يفتح اللّه عليّ طريق معرفته</w:t>
      </w:r>
      <w:r>
        <w:rPr>
          <w:rFonts w:eastAsia="Amiri" w:cs="Amiri" w:ascii="Amiri" w:hAnsi="Amiri"/>
          <w:color w:val="111111"/>
          <w:sz w:val="28"/>
          <w:szCs w:val="28"/>
          <w:rtl w:val="true"/>
          <w:lang w:bidi="ar-SA"/>
        </w:rPr>
        <w:t>.»</w:t>
      </w:r>
      <w:r>
        <w:rPr>
          <w:rStyle w:val="FootnoteAnchor"/>
          <w:rtl w:val="true"/>
        </w:rPr>
        <w:footnoteReference w:id="28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الإشكال أنّ دفع الزكاة إلى مستحقّها واجب، و معلوم أنّ شغل الذمّة اليقيني يستدعي المبرئ اليقيني، و هو الدفع إلى من علم فقره بالعلم العقلي أو الشرعي، و من العلم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الفقر مع البيّنة مطلقا، أو اليمين كذلك، أو البيّنة فيما إذا خالفت الدعوى الأصل كدعوى الحاجة لأجل العيال أو لأجل ذهاب المال و تلفه، و اليمين مع موافقة الأصل كدعوى عدم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البيّنة أو اليمين علما شرعيّا في نحو المقام، يحتاج إلى دليل، و ليس بموجود، و لا عموم في الأخبار الواردة فيهما بحيث يشمل المقام و نظائره لأنّك إذا تتبّعتها و لاحظتها بعين الإنصاف لوجدتها مخصوصة بموضع المعارضة المتحقّقة بالدعوى و الإنكار في مقابلها و لا معارضة و لا إنكار فيما نحن فيه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إثبات حجّيتهما في خصوص المقام إجماع العلماء على قبول الدعوى مع أحدهما مطلقا أو على التفصيل المشار إليه، و ليس علينا تكلّف إثبات </w:t>
      </w:r>
    </w:p>
    <w:p>
      <w:pPr>
        <w:pStyle w:val="BookText"/>
        <w:rPr/>
      </w:pPr>
      <w:r>
        <w:rPr>
          <w:rFonts w:ascii="Amiri" w:hAnsi="Amiri" w:eastAsia="Amiri" w:cs="Amiri"/>
          <w:color w:val="111111"/>
          <w:sz w:val="28"/>
          <w:sz w:val="28"/>
          <w:szCs w:val="28"/>
          <w:rtl w:val="true"/>
          <w:lang w:bidi="ar-SA"/>
        </w:rPr>
        <w:t>عموم في الأخبار المشار إليها و لا إثبات دليل عام، فإنّ المعلوم من طريقتهم بملاحظة عباراتهم المتقدّمة و غيرها من كلماتهم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لأحد و لا خلاف بينهم في القبول في الصورة المذكورة، بل ظاهر كلماتهم يعطي إجماع الفريقين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الخلاف في بعض صور المسألة إنّما هو في قبول الدعوى المجرّدة أو لزوم طلب البيّنة من المدّعي أو إحلافه، بل ظاهر عباراتهم كون القول باللزوم و عدم القبول على خلاف المشهور، بل قد عرفت عن مختلف</w:t>
      </w:r>
      <w:r>
        <w:rPr>
          <w:rStyle w:val="FootnoteAnchor"/>
          <w:rtl w:val="true"/>
        </w:rPr>
        <w:footnoteReference w:id="2824"/>
      </w:r>
      <w:r>
        <w:rPr>
          <w:rFonts w:ascii="Amiri" w:hAnsi="Amiri" w:eastAsia="Amiri" w:cs="Amiri"/>
          <w:color w:val="111111"/>
          <w:sz w:val="28"/>
          <w:sz w:val="28"/>
          <w:szCs w:val="28"/>
          <w:rtl w:val="true"/>
          <w:lang w:bidi="ar-SA"/>
        </w:rPr>
        <w:t>العلاّمة في بعض الصور كونه من الجمهور، بل لم يظهر في أصحابنا من اعتبر أحد الأمرين إلاّ الشيخ في المبسوط</w:t>
      </w:r>
      <w:r>
        <w:rPr>
          <w:rStyle w:val="FootnoteAnchor"/>
          <w:rtl w:val="true"/>
        </w:rPr>
        <w:footnoteReference w:id="2825"/>
      </w:r>
      <w:r>
        <w:rPr>
          <w:rFonts w:ascii="Amiri" w:hAnsi="Amiri" w:eastAsia="Amiri" w:cs="Amiri"/>
          <w:color w:val="111111"/>
          <w:sz w:val="28"/>
          <w:sz w:val="28"/>
          <w:szCs w:val="28"/>
          <w:rtl w:val="true"/>
          <w:lang w:bidi="ar-SA"/>
        </w:rPr>
        <w:t>حيث اعتبر البيّنة في صورة دعوى تلف المال و جعلها أحوط في صورة دعوى الحاجة لأجل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كلّه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جهل حاله فالمشهور بل ظاهرهم الاتّفاق عليه أنّه يصدّق في دعواه و لا يكلّف يمينا و لا بيّنة، كما يظهر من المعتبر</w:t>
      </w:r>
      <w:r>
        <w:rPr>
          <w:rStyle w:val="FootnoteAnchor"/>
          <w:rtl w:val="true"/>
        </w:rPr>
        <w:footnoteReference w:id="2826"/>
      </w:r>
      <w:r>
        <w:rPr>
          <w:rFonts w:ascii="IRNazanin" w:hAnsi="IRNazanin" w:eastAsia="IRNazanin"/>
          <w:color w:val="111111"/>
          <w:sz w:val="28"/>
          <w:sz w:val="28"/>
          <w:szCs w:val="28"/>
          <w:rtl w:val="true"/>
          <w:lang w:bidi="fa-IR"/>
        </w:rPr>
        <w:t>و المنتهى</w:t>
      </w:r>
      <w:r>
        <w:rPr>
          <w:rStyle w:val="FootnoteAnchor"/>
          <w:rtl w:val="true"/>
        </w:rPr>
        <w:footnoteReference w:id="2827"/>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Style w:val="FootnoteAnchor"/>
          <w:rtl w:val="true"/>
        </w:rPr>
        <w:footnoteReference w:id="2828"/>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الأظهر عندي هو القول المشهور، و يدلّ عليه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في جملة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الأصحاب على الحكم المذكور من غير أن يظهر مخالف و إلاّ لنقل خلافه</w:t>
      </w:r>
      <w:r>
        <w:rPr>
          <w:rFonts w:eastAsia="Amiri" w:cs="Amiri" w:ascii="Amiri" w:hAnsi="Amiri"/>
          <w:color w:val="111111"/>
          <w:sz w:val="28"/>
          <w:szCs w:val="28"/>
          <w:rtl w:val="true"/>
          <w:lang w:bidi="ar-SA"/>
        </w:rPr>
        <w:t>»</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عن منتهى</w:t>
      </w:r>
      <w:r>
        <w:rPr>
          <w:rStyle w:val="FootnoteAnchor"/>
          <w:rtl w:val="true"/>
        </w:rPr>
        <w:footnoteReference w:id="2830"/>
      </w:r>
      <w:r>
        <w:rPr>
          <w:rFonts w:ascii="Amiri" w:hAnsi="Amiri" w:eastAsia="Amiri" w:cs="Amiri"/>
          <w:color w:val="111111"/>
          <w:sz w:val="28"/>
          <w:sz w:val="28"/>
          <w:szCs w:val="28"/>
          <w:rtl w:val="true"/>
          <w:lang w:bidi="ar-SA"/>
        </w:rPr>
        <w:t>العلاّمة نقل الإجماع على قبول الدعوى فيما شهد بها الظاهر كدعوى المريض أو الشيخ أو الشابّ الّذي هو ضعيف البنية عن العجز عن الحركة و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التتبّع يشرف الفقيه على القطع بالإجماع على القبول في دعوى ما وافق الأصل كعدم وجود المال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كلّه فلا ينبغي التأمّل في قبولها في هذه الصورة عملا مع ما ذكر بأصالة عدم وجود المال فإنّ معناها وجوب ترتيب آثار عدم وجوده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دفع الزكاة إليه، و كونه مبرئا لذمّة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جواز القبول و الدفع و لو مع شهادة الظاهر بخلافه قوله عليه السّلام في صحيحة أبي بصير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يعطيه ما يأكل و يشرب </w:t>
      </w:r>
      <w:bookmarkStart w:id="634" w:name="pg16181_154840"/>
    </w:p>
    <w:p>
      <w:pPr>
        <w:pStyle w:val="BookText"/>
        <w:rPr/>
      </w:pPr>
      <w:bookmarkEnd w:id="634"/>
      <w:r>
        <w:rPr>
          <w:rFonts w:ascii="Amiri" w:hAnsi="Amiri" w:eastAsia="Amiri" w:cs="Amiri"/>
          <w:color w:val="111111"/>
          <w:sz w:val="28"/>
          <w:sz w:val="28"/>
          <w:szCs w:val="28"/>
          <w:rtl w:val="true"/>
          <w:lang w:bidi="ar-SA"/>
        </w:rPr>
        <w:t>و يكتسي و يتزوّج و يتصدّق و يحجّ‌</w:t>
      </w:r>
      <w:r>
        <w:rPr>
          <w:rFonts w:eastAsia="Amiri" w:cs="Amiri" w:ascii="Amiri" w:hAnsi="Amiri"/>
          <w:color w:val="111111"/>
          <w:sz w:val="28"/>
          <w:szCs w:val="28"/>
          <w:rtl w:val="true"/>
          <w:lang w:bidi="ar-SA"/>
        </w:rPr>
        <w:t>»</w:t>
      </w:r>
      <w:r>
        <w:rPr>
          <w:rStyle w:val="FootnoteAnchor"/>
          <w:rtl w:val="true"/>
        </w:rPr>
        <w:footnoteReference w:id="2831"/>
      </w:r>
      <w:r>
        <w:rPr>
          <w:rFonts w:ascii="Amiri" w:hAnsi="Amiri" w:eastAsia="Amiri" w:cs="Amiri"/>
          <w:color w:val="111111"/>
          <w:sz w:val="28"/>
          <w:sz w:val="28"/>
          <w:szCs w:val="28"/>
          <w:rtl w:val="true"/>
          <w:lang w:bidi="ar-SA"/>
        </w:rPr>
        <w:t>يعني يعطي السائل، و إطلاقه ينفي لزوم طلب البيّنة و الإحلاف، و سياق الرواية يقضي بكون الحكم على الوجه الكلّي الغير المختصّ بموردها الخاصّ بل يتناول ما لو ادّعى الحاجة لأجل عياله و ما شهد الظاهر بخلافه خصوصا مع ملاحظة أنّ مورد الرواية من هذا القبيل في نظر عيسى بن أعين فإنّه إنّما منع السائل من الزكاة لأنّه رآه اشترى لحما و تمرا، و كأنّه استظهر من اشترائه اللحم و التمر عدم فقره و حاجته إلى الزكاة و أمره الإمام عليه السّلام مع هذه الحالة بإعطائه لمجرّد سؤاله و دعواه الحاجة</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2586877_1280447820"/>
      <w:bookmarkStart w:id="636" w:name="_Toc237"/>
      <w:bookmarkEnd w:id="635"/>
      <w:r>
        <w:rPr>
          <w:rtl w:val="true"/>
        </w:rPr>
        <w:t>[</w:t>
      </w:r>
      <w:r>
        <w:rPr>
          <w:rtl w:val="true"/>
        </w:rPr>
        <w:t>مطالبة البيّنة و اليمين يلزم حرمان أكثر الفقراء</w:t>
      </w:r>
      <w:r>
        <w:rPr>
          <w:rtl w:val="true"/>
        </w:rPr>
        <w:t>]</w:t>
      </w:r>
      <w:bookmarkEnd w:id="636"/>
    </w:p>
    <w:p>
      <w:pPr>
        <w:pStyle w:val="BookText"/>
        <w:rPr/>
      </w:pPr>
      <w:r>
        <w:rPr>
          <w:rFonts w:ascii="Amiri" w:hAnsi="Amiri" w:eastAsia="Amiri" w:cs="Amiri"/>
          <w:color w:val="111111"/>
          <w:sz w:val="28"/>
          <w:sz w:val="28"/>
          <w:szCs w:val="28"/>
          <w:rtl w:val="true"/>
          <w:lang w:bidi="ar-SA"/>
        </w:rPr>
        <w:t>و يدلّ عليه أيضا في جميع صور المسألة حتّى دعوى الحاجة لأجل العيال أو ذهاب المال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جواز القبول و توقّف على البيّنة أو اليمين لزم حرمان أكثر الفقراء مع ما بهم من الاستحقاق الواقعي، لما فيهم من عزّة النفس الّتي يشقّ معها عليهم كشف سريرتهم لغيرهم ليطّلع على حاجته أو أنّه من أهل السؤال أو تحمّل المنّة من غيرهم ليشهد لهم بالفقر، كما يشقّ عليهم تحمّل اليمين خصوصا مع سبق الغنى عليهم و كان حاجتهم لأجل ذهاب أموالهم و يكرهون من إشاعة حالتهم فيتثبّطون</w:t>
      </w:r>
      <w:r>
        <w:rPr>
          <w:rStyle w:val="FootnoteAnchor"/>
          <w:rtl w:val="true"/>
        </w:rPr>
        <w:footnoteReference w:id="2832"/>
      </w:r>
      <w:r>
        <w:rPr>
          <w:rFonts w:ascii="Amiri" w:hAnsi="Amiri" w:eastAsia="Amiri" w:cs="Amiri"/>
          <w:color w:val="111111"/>
          <w:sz w:val="28"/>
          <w:sz w:val="28"/>
          <w:szCs w:val="28"/>
          <w:rtl w:val="true"/>
          <w:lang w:bidi="ar-SA"/>
        </w:rPr>
        <w:t>لأجل هذه المشاقّ و المكاره عن السؤال و استدعاء الزكاة، و يلزم من ذلك عليهم الضرر من جهات شتّى، و ربّما يفضي ذلك إلى تلف النفس بل النفوس و هتك العرض و ارتكاب الأعمال القبيحة و الأفعال المحرّمة، و كلّ ذلك منفيّ بعموم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Style w:val="FootnoteAnchor"/>
          <w:rtl w:val="true"/>
        </w:rPr>
        <w:footnoteReference w:id="2833"/>
      </w:r>
      <w:r>
        <w:rPr>
          <w:rFonts w:ascii="Amiri" w:hAnsi="Amiri" w:eastAsia="Amiri" w:cs="Amiri"/>
          <w:color w:val="111111"/>
          <w:sz w:val="28"/>
          <w:sz w:val="28"/>
          <w:szCs w:val="28"/>
          <w:rtl w:val="true"/>
          <w:lang w:bidi="ar-SA"/>
        </w:rPr>
        <w:t>و عمومات نفي</w:t>
      </w:r>
      <w:r>
        <w:rPr>
          <w:rStyle w:val="FootnoteAnchor"/>
          <w:rtl w:val="true"/>
        </w:rPr>
        <w:footnoteReference w:id="2834"/>
      </w:r>
      <w:r>
        <w:rPr>
          <w:rFonts w:ascii="IRNazanin" w:hAnsi="IRNazanin" w:eastAsia="IRNazanin"/>
          <w:color w:val="111111"/>
          <w:sz w:val="28"/>
          <w:sz w:val="28"/>
          <w:szCs w:val="28"/>
          <w:rtl w:val="true"/>
          <w:lang w:bidi="fa-IR"/>
        </w:rPr>
        <w:t>العسر و الحرج هذا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الجميع أنّ طلب البيّنة من المدّعي أو إحلافه في الدعوى السليمة عن </w:t>
      </w:r>
      <w:bookmarkStart w:id="637" w:name="pg16181_154841"/>
    </w:p>
    <w:p>
      <w:pPr>
        <w:pStyle w:val="BookText"/>
        <w:rPr/>
      </w:pPr>
      <w:bookmarkEnd w:id="637"/>
      <w:r>
        <w:rPr>
          <w:rFonts w:ascii="Amiri" w:hAnsi="Amiri" w:eastAsia="Amiri" w:cs="Amiri"/>
          <w:color w:val="111111"/>
          <w:sz w:val="28"/>
          <w:sz w:val="28"/>
          <w:szCs w:val="28"/>
          <w:rtl w:val="true"/>
          <w:lang w:bidi="ar-SA"/>
        </w:rPr>
        <w:t>المعارض إذلال للمؤمن، و هو منهيّ عنه في رواية أبي بصير الآتية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رواية عبد الرحمن العرزمي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الحسن و الحسين عليهما السّلام و هما جالسان على الصفا 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إلاّ في دين موجع</w:t>
      </w:r>
      <w:r>
        <w:rPr>
          <w:rStyle w:val="FootnoteAnchor"/>
          <w:rtl w:val="true"/>
        </w:rPr>
        <w:footnoteReference w:id="2835"/>
      </w:r>
      <w:r>
        <w:rPr>
          <w:rFonts w:ascii="IRNazanin" w:hAnsi="IRNazanin" w:eastAsia="IRNazanin"/>
          <w:color w:val="111111"/>
          <w:sz w:val="28"/>
          <w:sz w:val="28"/>
          <w:szCs w:val="28"/>
          <w:rtl w:val="true"/>
          <w:lang w:bidi="fa-IR"/>
        </w:rPr>
        <w:t>أو غرم مفظع</w:t>
      </w:r>
      <w:r>
        <w:rPr>
          <w:rStyle w:val="FootnoteAnchor"/>
          <w:rtl w:val="true"/>
        </w:rPr>
        <w:footnoteReference w:id="2836"/>
      </w:r>
      <w:r>
        <w:rPr>
          <w:rFonts w:ascii="IRNazanin" w:hAnsi="IRNazanin" w:eastAsia="IRNazanin"/>
          <w:color w:val="111111"/>
          <w:sz w:val="28"/>
          <w:sz w:val="28"/>
          <w:szCs w:val="28"/>
          <w:rtl w:val="true"/>
          <w:lang w:bidi="fa-IR"/>
        </w:rPr>
        <w:t>أو فقر مدقع</w:t>
      </w:r>
      <w:r>
        <w:rPr>
          <w:rStyle w:val="FootnoteAnchor"/>
          <w:rtl w:val="true"/>
        </w:rPr>
        <w:footnoteReference w:id="2837"/>
      </w:r>
      <w:r>
        <w:rPr>
          <w:rFonts w:ascii="Amiri" w:hAnsi="Amiri" w:eastAsia="Amiri" w:cs="Amiri"/>
          <w:color w:val="111111"/>
          <w:sz w:val="28"/>
          <w:sz w:val="28"/>
          <w:szCs w:val="28"/>
          <w:rtl w:val="true"/>
          <w:lang w:bidi="ar-SA"/>
        </w:rPr>
        <w:t>ففيك شيء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8" w:name="__RefHeading___Toc2586879_1280447820"/>
      <w:bookmarkStart w:id="639" w:name="_Toc238"/>
      <w:bookmarkEnd w:id="638"/>
      <w:r>
        <w:rPr>
          <w:rtl w:val="true"/>
        </w:rPr>
        <w:t>السابعة</w:t>
      </w:r>
      <w:r>
        <w:rPr>
          <w:rtl w:val="true"/>
        </w:rPr>
        <w:t>: [</w:t>
      </w:r>
      <w:r>
        <w:rPr>
          <w:rtl w:val="true"/>
        </w:rPr>
        <w:t>لا يجب إعلام الفقير بأنّ المدفوع إليه من وجه الزكاة</w:t>
      </w:r>
      <w:r>
        <w:rPr>
          <w:rtl w:val="true"/>
        </w:rPr>
        <w:t>]</w:t>
      </w:r>
      <w:bookmarkEnd w:id="639"/>
    </w:p>
    <w:p>
      <w:pPr>
        <w:pStyle w:val="BookText"/>
        <w:rPr/>
      </w:pPr>
      <w:r>
        <w:rPr>
          <w:rFonts w:ascii="Amiri" w:hAnsi="Amiri" w:eastAsia="Amiri" w:cs="Amiri"/>
          <w:color w:val="111111"/>
          <w:sz w:val="28"/>
          <w:sz w:val="28"/>
          <w:szCs w:val="28"/>
          <w:rtl w:val="true"/>
          <w:lang w:bidi="ar-SA"/>
        </w:rPr>
        <w:t>لا يجب إعلام الفقير المستحقّ للزكاة بأنّ المدفوع إليه من وجه الزكاة لو كان مترفّعا يستحيي من قبولها على هذا الوجه فيجوز دفعها على وجه الصلة، كما هو المصرّح به في كلام جماعة من أساطين</w:t>
      </w:r>
      <w:r>
        <w:rPr>
          <w:rStyle w:val="FootnoteAnchor"/>
          <w:rtl w:val="true"/>
        </w:rPr>
        <w:footnoteReference w:id="2839"/>
      </w:r>
      <w:r>
        <w:rPr>
          <w:rFonts w:ascii="Amiri" w:hAnsi="Amiri" w:eastAsia="Amiri" w:cs="Amiri"/>
          <w:color w:val="111111"/>
          <w:sz w:val="28"/>
          <w:sz w:val="28"/>
          <w:szCs w:val="28"/>
          <w:rtl w:val="true"/>
          <w:lang w:bidi="ar-SA"/>
        </w:rPr>
        <w:t>الطائفة، و عن تذكرة العلاّمة أنّه لا يعرف فيه خلافا</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فيه من النصوص ما رواه الصدوق بإسناده الصحيح عن عاصم بن حميد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أصحابنا يستحيي أن يأخذ من الزكاة فاعطيه من الزكاة و لا اسمّي له أنّها من الزكاة،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و لا تسمّ و لا تذلّ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 عن عدّة من أصحابنا عن سهل بن زياد عن أحمد بن محمّد بن أبي نصر عن عاصم بن حميد عن أبي بصير، و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المفيد في المقنعة مرسلا</w:t>
      </w:r>
      <w:r>
        <w:rPr>
          <w:rFonts w:eastAsia="Amiri" w:cs="Amiri" w:ascii="Amiri" w:hAnsi="Amiri"/>
          <w:color w:val="111111"/>
          <w:sz w:val="28"/>
          <w:szCs w:val="28"/>
          <w:rtl w:val="true"/>
          <w:lang w:bidi="ar-SA"/>
        </w:rPr>
        <w:t>»</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الرواية ضعيفة السند باشتراك الراوي بين </w:t>
      </w:r>
    </w:p>
    <w:p>
      <w:pPr>
        <w:pStyle w:val="BookText"/>
        <w:rPr/>
      </w:pPr>
      <w:r>
        <w:rPr>
          <w:rFonts w:ascii="Amiri" w:hAnsi="Amiri" w:eastAsia="Amiri" w:cs="Amiri"/>
          <w:color w:val="111111"/>
          <w:sz w:val="28"/>
          <w:sz w:val="28"/>
          <w:szCs w:val="28"/>
          <w:rtl w:val="true"/>
          <w:lang w:bidi="ar-SA"/>
        </w:rPr>
        <w:t>الثقة و الضعيف</w:t>
      </w:r>
      <w:r>
        <w:rPr>
          <w:rFonts w:eastAsia="Amiri" w:cs="Amiri" w:ascii="Amiri" w:hAnsi="Amiri"/>
          <w:color w:val="111111"/>
          <w:sz w:val="28"/>
          <w:szCs w:val="28"/>
          <w:rtl w:val="true"/>
          <w:lang w:bidi="ar-SA"/>
        </w:rPr>
        <w:t>»</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تنبّه عليه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عاصم بن حميد عنه قرينة على أنّه المرادي الّذي وصفه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الجليل القدر</w:t>
      </w:r>
      <w:r>
        <w:rPr>
          <w:rFonts w:eastAsia="Amiri" w:cs="Amiri" w:ascii="Amiri" w:hAnsi="Amiri"/>
          <w:color w:val="111111"/>
          <w:sz w:val="28"/>
          <w:szCs w:val="28"/>
          <w:rtl w:val="true"/>
          <w:lang w:bidi="ar-SA"/>
        </w:rPr>
        <w:t>»</w:t>
      </w:r>
      <w:r>
        <w:rPr>
          <w:rStyle w:val="FootnoteAnchor"/>
          <w:rtl w:val="true"/>
        </w:rPr>
        <w:footnoteReference w:id="2843"/>
      </w:r>
      <w:r>
        <w:rPr>
          <w:rFonts w:ascii="Amiri" w:hAnsi="Amiri" w:eastAsia="Amiri" w:cs="Amiri"/>
          <w:color w:val="111111"/>
          <w:sz w:val="28"/>
          <w:sz w:val="28"/>
          <w:szCs w:val="28"/>
          <w:rtl w:val="true"/>
          <w:lang w:bidi="ar-SA"/>
        </w:rPr>
        <w:t>فالرواية حينئذ على طريق الصدوق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عدم الصحّة التفاتا إلى الاختلاف في حال المرادي فهي معتبرة كالصحيحة بالمرادي، لكونه ممّن أجمعت العصابة على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طعنه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فهي معارضة بما رواه الكليني في الحسن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محتاجا نبعث إليه بالصدقة فلا يقبلها على وجه الصدقة يأخذه من ذلك زمام و استحياء و انقباض أ فنعطيها إيّاه على غير ذلك الوجه و هي منّا صدقة‌؟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كانت زكاة فله أن يقبلها، فإن لم يقبلها على وجه الزكاة فلا تعطها إيّاه، و ما ينبغي له أن يستحيي بما فرض اللّه عزّ و جلّ إنّما هي فريضة اللّه فلا يستحيي منها</w:t>
      </w:r>
      <w:r>
        <w:rPr>
          <w:rFonts w:eastAsia="Amiri" w:cs="Amiri" w:ascii="Amiri" w:hAnsi="Amiri"/>
          <w:color w:val="111111"/>
          <w:sz w:val="28"/>
          <w:szCs w:val="28"/>
          <w:rtl w:val="true"/>
          <w:lang w:bidi="ar-SA"/>
        </w:rPr>
        <w:t>»</w:t>
      </w:r>
      <w:r>
        <w:rPr>
          <w:rStyle w:val="FootnoteAnchor"/>
          <w:rtl w:val="true"/>
        </w:rPr>
        <w:footnoteReference w:id="284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حملها على الكراهة</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الوسائل بعد ذكر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محمول على احتمال كون الامتناع لعدم الاحتياج و انتفاء الاستحقاق، أو على عدم وجوب الإخفاء</w:t>
      </w:r>
      <w:r>
        <w:rPr>
          <w:rFonts w:eastAsia="Amiri" w:cs="Amiri" w:ascii="Amiri" w:hAnsi="Amiri"/>
          <w:color w:val="111111"/>
          <w:sz w:val="28"/>
          <w:szCs w:val="28"/>
          <w:rtl w:val="true"/>
          <w:lang w:bidi="ar-SA"/>
        </w:rPr>
        <w:t>»</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الأظهر عندي في تأويلها هو حمل قوله عليه السّلام في الجواب</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الإضراب عن الكلام السابق لا على نفي إعطائها إيّاه على غير ذلك الوجه كما وقع في سؤال السائل، و يكون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لما هو الأولى في هذا المقام فبيّن أنّها إذا كانت زكاة فله أن يقبلها و لا ينبغي له أن يستحيي من قبولها و هي حقّ فرضه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يقبلها على هذا الوجه فلا تلزمه بها و تعطيها إيّاه على وجه الزكاة، و يفهم منه جواز الإعطاء لا على الوجه المذكور، فجواب السؤال إنّما علم من المفهوم و إلاّ فمنطوق الخبر إنّما سيق في الكلام على ذلك المستحقّ و أنّه ينبغي له كذا و لا ينبغي </w:t>
      </w:r>
    </w:p>
    <w:p>
      <w:pPr>
        <w:pStyle w:val="BookText"/>
        <w:rPr/>
      </w:pPr>
      <w:r>
        <w:rPr>
          <w:rFonts w:ascii="Amiri" w:hAnsi="Amiri" w:eastAsia="Amiri" w:cs="Amiri"/>
          <w:color w:val="111111"/>
          <w:sz w:val="28"/>
          <w:sz w:val="28"/>
          <w:szCs w:val="28"/>
          <w:rtl w:val="true"/>
          <w:lang w:bidi="ar-SA"/>
        </w:rPr>
        <w:t>له كذا</w:t>
      </w:r>
      <w:r>
        <w:rPr>
          <w:rFonts w:eastAsia="Amiri" w:cs="Amiri" w:ascii="Amiri" w:hAnsi="Amiri"/>
          <w:color w:val="111111"/>
          <w:sz w:val="28"/>
          <w:szCs w:val="28"/>
          <w:rtl w:val="true"/>
          <w:lang w:bidi="ar-SA"/>
        </w:rPr>
        <w:t>»</w:t>
      </w:r>
      <w:r>
        <w:rPr>
          <w:rStyle w:val="FootnoteAnchor"/>
          <w:rtl w:val="true"/>
        </w:rPr>
        <w:footnoteReference w:id="28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تبعه في ذلك التأويل شيخنا في الجواهر</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التأويل لمجرّد رفع المعارضة الظاهريّة بين الخبرين حسن إلاّ أنّ دلالة الجواب بالمفهوم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إعطائها لا على وجه الزكاة موضع منع، بل الإنصاف أنّه على هذا التوجيه ساكت عن ذلك نفيا و إثباتا فمقصود السائل على هذا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التأويل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السائل إنّما سأل عن جواز إعطاء ما هو من الزكاة لا على وجه الزكاة، و معناه إعطاؤها لا بداعي كونه زكاة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الداعي إلى العمل أو عن عنوان العبادة الّذي يجب قصده في النيّة المعتبرة في صحّة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إعطاء ما هو من الزكاة لا بداعي كونه زكاة أو لا بداعي الأمر بإعطائها على أنّها زكاة، إخلال في نيّة العبادة فتبطل سواء نوى وجها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إعطاؤها بداعي كونها صلة أو هديّة، أو لا؟ فقوله عليه السّلام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إعطائها على النحو المذكور و تنبيه على بطلانه و عدم كونه مجزئا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يقبلها على وجه الزكاة فلا تعطيها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تعطها لا بداعي الزكاة، و هذا لا ينافي مؤدّى الخبر الأوّل و هو إعطاؤها إيّاه و قصد في النيّة داعي الزكاة،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للمستحقّ كونها زكاة لئلاّ تعتريه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ظاهر في صورة جهل المستحقّ بكون ما يعطيه المالك من غير تسمية له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عدم وجوب إعلام المستحقّ بكونه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الثاني ظاهر في صورة علم المستحقّ بكون ما يعطيه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بداعي الزكاة بل بداع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و يعطيها المالك لا بداعي الزكاة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ما بيّنّاه يرجع ما أفاده شيخنا في الجواهر في الجمع بين الخبرين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حمل الحسن المذكور على عدم الاجتزاء بقبض المستحقّ مصرّحا باشتراط كونه لا على وجه الزكاة، بل على وجه الصلة أو الهبة أو استيفاء دين يزعمه على الدافع أو نحو ذلك و أنّه إن كانت الزكاة فهو غير قابل لها، بخلاف الصحيح الأوّل فإنّ أقصاه إيصال الزكاة له من دون تسميتها له و لم يكن قد قبضها مشترطا في قبضه عدم كونها زكاة، بل أقصاه عدم تشخيص قصده بكونها زكاة الحاصل من عدم تسميتها </w:t>
      </w:r>
      <w:bookmarkStart w:id="640" w:name="pg16181_154844"/>
    </w:p>
    <w:p>
      <w:pPr>
        <w:pStyle w:val="BookText"/>
        <w:rPr/>
      </w:pPr>
      <w:bookmarkEnd w:id="640"/>
      <w:r>
        <w:rPr>
          <w:rFonts w:ascii="Amiri" w:hAnsi="Amiri" w:eastAsia="Amiri" w:cs="Amiri"/>
          <w:color w:val="111111"/>
          <w:sz w:val="28"/>
          <w:sz w:val="28"/>
          <w:szCs w:val="28"/>
          <w:rtl w:val="true"/>
          <w:lang w:bidi="ar-SA"/>
        </w:rPr>
        <w:t>له، و لا دليل على اشتراطه بل إطلاق الأدلّة يقتضي عدمه خصوصا بناء على أنّها في الذمّة أو صارت فيها بالعارض لأنّها كالدين يكفي فيه نيّة الدافع، و كذا بناء على كونها في العين فإنّه يكفي نيّته و قبض المستحقّ بعنوان التملّك، لإطلاق الأدلّة و صدق امتثال الأمر بالإيتاء و معلوميّة كون الزكاة ليست من قسم العقود المعتبر مطابقة قبولها و لو فعلا لإيجابها، بل هي أشبه شيء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قبض المستحقّ إنّما هو لتحقيق امتثال الدافع فيما أمر به من الإيتاء و إلاّ فهو ممّا لا ربط له بالدفع، فمع حصول كلّ من الدفع و القبض يتمّ الامتثال و إن لم يقصد القابض كونها زكاة، بل الظاهر الاجتزاء بذلك و إن كذب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زكاة إلاّ أنّ القابض لم يقبضها على أنّها ليست زكاة بل نوى التملّك المطلق الّذي يجامع كونها زكاة في الواقع، لأنّ الإثم الحاصل للدافع بالكذب في إخباره لا يقدح في صدق الامتثال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صدق الامتثال للدافع لو حصل القبض من القبض بنيّة أنّها ليست زكاة، لأنّ المفروض أنّ كونها زكاة يتشخّص بنيّة الدافع، و لا مدخليّة لنيّة القابض في هذا التشخيص و لا يقدح مخالفتها لنيّة الدافع المتحقّقة في الواقع في تحقّق تلك النيّة، و لا دليل على اشتراط مطابقة النيّتين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التملّك المتحقّق في ضمن نيّة الخلاف إن اعتبرناه في التملّك كاف في حصول الملك للقابض، و إلاّ فلا دليل على اشتراط قصد التملّك منه في حصول الملك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المنساق من الحسن أو الصحيح المذكور</w:t>
      </w:r>
      <w:r>
        <w:rPr>
          <w:rStyle w:val="FootnoteAnchor"/>
          <w:rtl w:val="true"/>
        </w:rPr>
        <w:footnoteReference w:id="2850"/>
      </w:r>
      <w:r>
        <w:rPr>
          <w:rFonts w:ascii="Amiri" w:hAnsi="Amiri" w:eastAsia="Amiri" w:cs="Amiri"/>
          <w:color w:val="111111"/>
          <w:sz w:val="28"/>
          <w:sz w:val="28"/>
          <w:szCs w:val="28"/>
          <w:rtl w:val="true"/>
          <w:lang w:bidi="ar-SA"/>
        </w:rPr>
        <w:t>كراهة الامتناع من قبول الزكاة للمستحقّ لو دفع إليه على وجه الزكاة، بل المستفاد من ظاهر بعض الروايات حرمته كما رواه الكليني بعدّة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تارك الزكاة و قد وجبت له، مثل مانعها و قد وجبت عليه</w:t>
      </w:r>
      <w:r>
        <w:rPr>
          <w:rFonts w:eastAsia="Amiri" w:cs="Amiri" w:ascii="Amiri" w:hAnsi="Amiri"/>
          <w:color w:val="111111"/>
          <w:sz w:val="28"/>
          <w:szCs w:val="28"/>
          <w:rtl w:val="true"/>
          <w:lang w:bidi="ar-SA"/>
        </w:rPr>
        <w:t>»</w:t>
      </w:r>
      <w:r>
        <w:rPr>
          <w:rStyle w:val="FootnoteAnchor"/>
          <w:rtl w:val="true"/>
        </w:rPr>
        <w:footnoteReference w:id="2851"/>
      </w:r>
      <w:r>
        <w:rPr>
          <w:rFonts w:ascii="Amiri" w:hAnsi="Amiri" w:eastAsia="Amiri" w:cs="Amiri"/>
          <w:color w:val="111111"/>
          <w:sz w:val="28"/>
          <w:sz w:val="28"/>
          <w:szCs w:val="28"/>
          <w:rtl w:val="true"/>
          <w:lang w:bidi="ar-SA"/>
        </w:rPr>
        <w:t>و قضيّة الجمع بين الروايات حمل ذلك على شدّة الكراهة</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2586881_1280447820"/>
      <w:bookmarkStart w:id="642" w:name="_Toc239"/>
      <w:bookmarkEnd w:id="641"/>
      <w:r>
        <w:rPr>
          <w:rtl w:val="true"/>
        </w:rPr>
        <w:t>الثامنة</w:t>
      </w:r>
      <w:r>
        <w:rPr>
          <w:rtl w:val="true"/>
        </w:rPr>
        <w:t>: [</w:t>
      </w:r>
      <w:r>
        <w:rPr>
          <w:rtl w:val="true"/>
        </w:rPr>
        <w:t>لو بان الفقير غنيّا ارتجعت الزكاة</w:t>
      </w:r>
      <w:r>
        <w:rPr>
          <w:rtl w:val="true"/>
        </w:rPr>
        <w:t>]</w:t>
      </w:r>
      <w:bookmarkEnd w:id="642"/>
    </w:p>
    <w:p>
      <w:pPr>
        <w:pStyle w:val="Heading6"/>
        <w:numPr>
          <w:ilvl w:val="5"/>
          <w:numId w:val="1"/>
        </w:numPr>
        <w:rPr/>
      </w:pPr>
      <w:bookmarkStart w:id="643" w:name="__RefHeading___Toc2586883_1280447820"/>
      <w:bookmarkStart w:id="644" w:name="_Toc240"/>
      <w:bookmarkEnd w:id="643"/>
      <w:r>
        <w:rPr>
          <w:rtl w:val="true"/>
        </w:rPr>
        <w:t>اشارة</w:t>
      </w:r>
      <w:bookmarkEnd w:id="64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دفعها إليه على أنّه فقير فبان غنيّا ارتجعت مع التمكّن، فإن تعذّرت كانت ثابتة في ذمّة الآخذ و لم يلزم الدافع ضمانها سواء كان الدافع المالك أو </w:t>
      </w:r>
      <w:bookmarkStart w:id="645" w:name="pg16181_154845"/>
    </w:p>
    <w:p>
      <w:pPr>
        <w:pStyle w:val="BookText"/>
        <w:rPr/>
      </w:pPr>
      <w:bookmarkEnd w:id="645"/>
      <w:r>
        <w:rPr>
          <w:rFonts w:ascii="Amiri" w:hAnsi="Amiri" w:eastAsia="Amiri" w:cs="Amiri"/>
          <w:color w:val="111111"/>
          <w:sz w:val="28"/>
          <w:sz w:val="28"/>
          <w:szCs w:val="28"/>
          <w:rtl w:val="true"/>
          <w:lang w:bidi="ar-SA"/>
        </w:rPr>
        <w:t>الإمام أو الساعي</w:t>
      </w:r>
      <w:r>
        <w:rPr>
          <w:rFonts w:eastAsia="Amiri" w:cs="Amiri" w:ascii="Amiri" w:hAnsi="Amiri"/>
          <w:color w:val="111111"/>
          <w:sz w:val="28"/>
          <w:szCs w:val="28"/>
          <w:rtl w:val="true"/>
          <w:lang w:bidi="ar-SA"/>
        </w:rPr>
        <w:t>»</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فظاهر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تعليلاتهم الآتية لعدم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الدفع حاصلا بالطريق المشروع لمعرفة الفقير و إحراز فقره كالقطع بالفقر أو الظنّ به إن قلنا بجواز التعويل عليه هنا، و دعوى الآخذ للفقر مطلقا أو مع البيّنة أو اليمين إن قلنا باشتراط انضمام أحدهما إلى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لو دفعها لمجرّد احتمال الفقر أو ظنّه إن لم نقل بحجّيّته أو اعتمادا على خبر من لا يصحّ التعويل عليه كالصبيّ و الفاسق و ما يجري مجراه فظاهرهم الإجماع على ضمان الدافع حيث تعذّر ارتجاعها و عدم خروجه عن عهدة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فما سمعته من عبارة الشرائع يتضمّن مسألتين</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2586885_1280447820"/>
      <w:bookmarkStart w:id="647" w:name="_Toc241"/>
      <w:bookmarkEnd w:id="646"/>
      <w:r>
        <w:rPr>
          <w:rtl w:val="true"/>
        </w:rPr>
        <w:t>[</w:t>
      </w:r>
      <w:r>
        <w:rPr>
          <w:rtl w:val="true"/>
        </w:rPr>
        <w:t>مسالتان</w:t>
      </w:r>
      <w:r>
        <w:rPr>
          <w:rtl w:val="true"/>
        </w:rPr>
        <w:t>]</w:t>
      </w:r>
      <w:bookmarkEnd w:id="647"/>
    </w:p>
    <w:p>
      <w:pPr>
        <w:pStyle w:val="Heading6"/>
        <w:numPr>
          <w:ilvl w:val="5"/>
          <w:numId w:val="1"/>
        </w:numPr>
        <w:rPr/>
      </w:pPr>
      <w:bookmarkStart w:id="648" w:name="__RefHeading___Toc2586887_1280447820"/>
      <w:bookmarkStart w:id="649" w:name="_Toc242"/>
      <w:bookmarkEnd w:id="648"/>
      <w:r>
        <w:rPr>
          <w:rtl w:val="true"/>
        </w:rPr>
        <w:t>إحداهما</w:t>
      </w:r>
      <w:r>
        <w:rPr>
          <w:rtl w:val="true"/>
        </w:rPr>
        <w:t>: [</w:t>
      </w:r>
      <w:r>
        <w:rPr>
          <w:rtl w:val="true"/>
        </w:rPr>
        <w:t>وجوب ارتجاع الزكاة مع إمكانه</w:t>
      </w:r>
      <w:r>
        <w:rPr>
          <w:rtl w:val="true"/>
        </w:rPr>
        <w:t>]</w:t>
      </w:r>
      <w:bookmarkEnd w:id="649"/>
    </w:p>
    <w:p>
      <w:pPr>
        <w:pStyle w:val="BookText"/>
        <w:rPr/>
      </w:pPr>
      <w:r>
        <w:rPr>
          <w:rFonts w:ascii="Amiri" w:hAnsi="Amiri" w:eastAsia="Amiri" w:cs="Amiri"/>
          <w:color w:val="111111"/>
          <w:sz w:val="28"/>
          <w:sz w:val="28"/>
          <w:szCs w:val="28"/>
          <w:rtl w:val="true"/>
          <w:lang w:bidi="ar-SA"/>
        </w:rPr>
        <w:t>وجوب ارتجاعها مع إمكانه، و ظاهرهم الإجماع عليه مع علم الآخذ بأنّها زكاة، علم أنّها لا تحلّ لغير الفقير أو جهله، و علّلوه</w:t>
      </w:r>
      <w:r>
        <w:rPr>
          <w:rStyle w:val="FootnoteAnchor"/>
          <w:rtl w:val="true"/>
        </w:rPr>
        <w:footnoteReference w:id="2853"/>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أخذه عاص محض فيتعلّق به وجوب الردّ مع بقاء العين و المثل أو القيمة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هذا البيان يفيد وجوب الردّ على الآخذ و لا يدلّ على وجوب الاسترداد على الدافع، و ظاهر التعبير بالارتجاع وجوبه عليه أيضا و الدليل قاصر عن إفادته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يدلّ على عدم وجوبه أيضا ما تمسّك به القائلون</w:t>
      </w:r>
      <w:r>
        <w:rPr>
          <w:rStyle w:val="FootnoteAnchor"/>
          <w:rtl w:val="true"/>
        </w:rPr>
        <w:footnoteReference w:id="2854"/>
      </w:r>
      <w:r>
        <w:rPr>
          <w:rFonts w:ascii="Amiri" w:hAnsi="Amiri" w:eastAsia="Amiri" w:cs="Amiri"/>
          <w:color w:val="111111"/>
          <w:sz w:val="28"/>
          <w:sz w:val="28"/>
          <w:szCs w:val="28"/>
          <w:rtl w:val="true"/>
          <w:lang w:bidi="ar-SA"/>
        </w:rPr>
        <w:t>بعدم وجوب الإعادة عليه مع عدم إمكان الارتجاع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دفعها إلى من ظاهره الفقر دفعا مشروعا فيحصل الامتثال و لا يستعقب الإعادة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حصول الامتثال المسقط لوجوب الإعادة لا يتفاوت فيه الحال بين إمكان ارتجاعها من الآخذ و عدم إمكانه، و هو يقضي بعدم وجوب الاسترداد على الدافع و إن وجب الردّ على الآخذ</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القول بعدم الامتثال و عدم خروجه عن عهدة التكليف بذلك الدفع، فدليل </w:t>
      </w:r>
    </w:p>
    <w:p>
      <w:pPr>
        <w:pStyle w:val="BookText"/>
        <w:rPr/>
      </w:pPr>
      <w:r>
        <w:rPr>
          <w:rFonts w:ascii="Amiri" w:hAnsi="Amiri" w:eastAsia="Amiri" w:cs="Amiri"/>
          <w:color w:val="111111"/>
          <w:sz w:val="28"/>
          <w:sz w:val="28"/>
          <w:szCs w:val="28"/>
          <w:rtl w:val="true"/>
          <w:lang w:bidi="ar-SA"/>
        </w:rPr>
        <w:t>وجوب الاسترداد عليه واضح،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الامتثال المقتضي لوجوب إيتاء الزكاة لمستحقّها الّذي لا يتمّ إلاّ بارتجاع ما دفعه أو بدفع غيره، فكلماتهم في هذا المقام متهافتة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انتفاء علم الآخذ فظاهر إطلاق عبارة الشرائع كما سمعته وجوب ارتجاعها أيضا، و عن المعتبر القطع بعدم جواز الارتجاع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الظاهر أنّها صدقة</w:t>
      </w:r>
      <w:r>
        <w:rPr>
          <w:rFonts w:eastAsia="Amiri" w:cs="Amiri" w:ascii="Amiri" w:hAnsi="Amiri"/>
          <w:color w:val="111111"/>
          <w:sz w:val="28"/>
          <w:szCs w:val="28"/>
          <w:rtl w:val="true"/>
          <w:lang w:bidi="ar-SA"/>
        </w:rPr>
        <w:t>»</w:t>
      </w:r>
      <w:r>
        <w:rPr>
          <w:rStyle w:val="FootnoteAnchor"/>
          <w:rtl w:val="true"/>
        </w:rPr>
        <w:footnoteReference w:id="2855"/>
      </w:r>
      <w:r>
        <w:rPr>
          <w:rFonts w:ascii="Amiri" w:hAnsi="Amiri" w:eastAsia="Amiri" w:cs="Amiri"/>
          <w:color w:val="111111"/>
          <w:sz w:val="28"/>
          <w:sz w:val="28"/>
          <w:szCs w:val="28"/>
          <w:rtl w:val="true"/>
          <w:lang w:bidi="ar-SA"/>
        </w:rPr>
        <w:t>أي مندوبة، و استجوده صاحب المدارك</w:t>
      </w:r>
      <w:r>
        <w:rPr>
          <w:rStyle w:val="FootnoteAnchor"/>
          <w:rtl w:val="true"/>
        </w:rPr>
        <w:footnoteReference w:id="2856"/>
      </w:r>
      <w:r>
        <w:rPr>
          <w:rFonts w:ascii="Amiri" w:hAnsi="Amiri" w:eastAsia="Amiri" w:cs="Amiri"/>
          <w:color w:val="111111"/>
          <w:sz w:val="28"/>
          <w:sz w:val="28"/>
          <w:szCs w:val="28"/>
          <w:rtl w:val="true"/>
          <w:lang w:bidi="ar-SA"/>
        </w:rPr>
        <w:t>إذا ظهر كونها كذلك أي كونها صدقة، و اختلف كلام العلاّمة في كتابيه المنتهى و التذكرة ففي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للمالك الرجوع لأنّ دفعه محتمل للوجوب و التطوّع</w:t>
      </w:r>
      <w:r>
        <w:rPr>
          <w:rFonts w:eastAsia="Amiri" w:cs="Amiri" w:ascii="Amiri" w:hAnsi="Amiri"/>
          <w:color w:val="111111"/>
          <w:sz w:val="28"/>
          <w:szCs w:val="28"/>
          <w:rtl w:val="true"/>
          <w:lang w:bidi="ar-SA"/>
        </w:rPr>
        <w:t>»</w:t>
      </w:r>
      <w:r>
        <w:rPr>
          <w:rStyle w:val="FootnoteAnchor"/>
          <w:rtl w:val="true"/>
        </w:rPr>
        <w:footnoteReference w:id="2857"/>
      </w:r>
      <w:r>
        <w:rPr>
          <w:rFonts w:ascii="Amiri" w:hAnsi="Amiri" w:eastAsia="Amiri" w:cs="Amiri"/>
          <w:color w:val="111111"/>
          <w:sz w:val="28"/>
          <w:sz w:val="28"/>
          <w:szCs w:val="28"/>
          <w:rtl w:val="true"/>
          <w:lang w:bidi="ar-SA"/>
        </w:rPr>
        <w:t>و استقرب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الارتجاع لفساد الدفع لأنّه أبصر بنيّته</w:t>
      </w:r>
      <w:r>
        <w:rPr>
          <w:rFonts w:eastAsia="Amiri" w:cs="Amiri" w:ascii="Amiri" w:hAnsi="Amiri"/>
          <w:color w:val="111111"/>
          <w:sz w:val="28"/>
          <w:szCs w:val="28"/>
          <w:rtl w:val="true"/>
          <w:lang w:bidi="ar-SA"/>
        </w:rPr>
        <w:t>»</w:t>
      </w:r>
      <w:r>
        <w:rPr>
          <w:rStyle w:val="FootnoteAnchor"/>
          <w:rtl w:val="true"/>
        </w:rPr>
        <w:footnoteReference w:id="2858"/>
      </w:r>
      <w:r>
        <w:rPr>
          <w:rFonts w:ascii="Amiri" w:hAnsi="Amiri" w:eastAsia="Amiri" w:cs="Amiri"/>
          <w:color w:val="111111"/>
          <w:sz w:val="28"/>
          <w:sz w:val="28"/>
          <w:szCs w:val="28"/>
          <w:rtl w:val="true"/>
          <w:lang w:bidi="ar-SA"/>
        </w:rPr>
        <w:t>و استجوده في المدارك بشرط بقاء العين و انتفاء القرائن الدالّة على كونها صدقة</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هو جواز الارتجاع بل وجوبه لأنّها مال الغير وصل إلى يد غير مستحقّه فوجب على من أوصلها إليه استرجاعها منه ليوصلها إلى مستحقّها، و ظهور كونها صدقة مندوبة أو احتمالها في نظر الآخذ لا ينفيه لأنّ أقصاه حلّ الأخذ له و التصرّف له فيها ما لم ينكشف الفساد على طريقة الحكم الظاهري المجعول للجاهل ما دام جاهلا لا على حدّ الحكم الواقعي المجعول للواقعة من حيث هي فيكون كمال الغير الواصل إلى يد أحد باعتقاد أنّه لنفسه، أو باعتقاد الإباحة أو احتمالها إذا كان مستنده في الأخذ و التصرّف أصل الإباحة ثمّ انكشف فساد الاعتقاد و الاحتمال بتبيّن كونه مال الغير فكما يجب عليه ردّه مع بقاء العين و ردّ مثله أو قيمته مع تلفها فكذا يجب على الدافع استرداده و إيصاله إلى مستحقّه كما لو دفع مال الغير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أنّه في دفع الزكاة هو الّذي سلّط الآخذ على أخذ ماله و التصرّف فيه و إتلافه فلا يملك الرجوع عليه و مطالبته و لا على تغريمه المثل أو القيمة في صورة تلف العين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يندفع بأنّه لم يسلّطه على ماله بل سلّطه على الزكاة الّتي هي مال المستحقّ فلا يملكها الآخذ فتستقرّ في ذمّته حتّى مع التلف، و لذا ذكر في الشرائع على تقدير </w:t>
      </w:r>
      <w:bookmarkStart w:id="650" w:name="pg16181_154847"/>
    </w:p>
    <w:p>
      <w:pPr>
        <w:pStyle w:val="BookText"/>
        <w:rPr/>
      </w:pPr>
      <w:bookmarkEnd w:id="650"/>
      <w:r>
        <w:rPr>
          <w:rFonts w:ascii="Amiri" w:hAnsi="Amiri" w:eastAsia="Amiri" w:cs="Amiri"/>
          <w:color w:val="111111"/>
          <w:sz w:val="28"/>
          <w:sz w:val="28"/>
          <w:szCs w:val="28"/>
          <w:rtl w:val="true"/>
          <w:lang w:bidi="ar-SA"/>
        </w:rPr>
        <w:t>تعذّر الارتجاع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كانت ثابتة في ذمّة الآخذ</w:t>
      </w:r>
      <w:r>
        <w:rPr>
          <w:rFonts w:eastAsia="Amiri" w:cs="Amiri" w:ascii="Amiri" w:hAnsi="Amiri"/>
          <w:color w:val="111111"/>
          <w:sz w:val="28"/>
          <w:szCs w:val="28"/>
          <w:rtl w:val="true"/>
          <w:lang w:bidi="ar-SA"/>
        </w:rPr>
        <w:t>»</w:t>
      </w:r>
      <w:r>
        <w:rPr>
          <w:rStyle w:val="FootnoteAnchor"/>
          <w:rtl w:val="true"/>
        </w:rPr>
        <w:footnoteReference w:id="2860"/>
      </w:r>
      <w:r>
        <w:rPr>
          <w:rFonts w:ascii="IRNazanin" w:hAnsi="IRNazanin" w:eastAsia="IRNazanin"/>
          <w:color w:val="111111"/>
          <w:sz w:val="28"/>
          <w:sz w:val="28"/>
          <w:szCs w:val="28"/>
          <w:rtl w:val="true"/>
          <w:lang w:bidi="fa-IR"/>
        </w:rPr>
        <w:t>فإنّه الموافق لقواعد الضمان</w:t>
      </w:r>
      <w:r>
        <w:rPr>
          <w:rStyle w:val="FootnoteAnchor"/>
          <w:rtl w:val="true"/>
        </w:rPr>
        <w:footnoteReference w:id="2861"/>
      </w:r>
      <w:r>
        <w:rPr>
          <w:rFonts w:ascii="Amiri" w:hAnsi="Amiri" w:eastAsia="Amiri" w:cs="Amiri"/>
          <w:color w:val="111111"/>
          <w:sz w:val="28"/>
          <w:sz w:val="28"/>
          <w:szCs w:val="28"/>
          <w:rtl w:val="true"/>
          <w:lang w:bidi="ar-SA"/>
        </w:rPr>
        <w:t>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r>
        <w:rPr>
          <w:rStyle w:val="FootnoteAnchor"/>
          <w:rtl w:val="true"/>
        </w:rPr>
        <w:footnoteReference w:id="2862"/>
      </w:r>
      <w:r>
        <w:rPr>
          <w:rFonts w:ascii="Amiri" w:hAnsi="Amiri" w:eastAsia="Amiri" w:cs="Amiri"/>
          <w:color w:val="111111"/>
          <w:sz w:val="28"/>
          <w:sz w:val="28"/>
          <w:szCs w:val="28"/>
          <w:rtl w:val="true"/>
          <w:lang w:bidi="ar-SA"/>
        </w:rPr>
        <w:t>من غير فرق فيه بين صور العلم أو الجهل بالموضوع أو الحكم إذا لم يمكن ارتجاعها</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2586889_1280447820"/>
      <w:bookmarkStart w:id="652" w:name="_Toc243"/>
      <w:bookmarkEnd w:id="651"/>
      <w:r>
        <w:rPr>
          <w:rtl w:val="true"/>
        </w:rPr>
        <w:t>و اخراهما</w:t>
      </w:r>
      <w:r>
        <w:rPr>
          <w:rtl w:val="true"/>
        </w:rPr>
        <w:t xml:space="preserve">: </w:t>
      </w:r>
      <w:r>
        <w:rPr>
          <w:rtl w:val="true"/>
        </w:rPr>
        <w:t>عدم لزوم ضمانها على الدافع</w:t>
      </w:r>
      <w:bookmarkEnd w:id="652"/>
    </w:p>
    <w:p>
      <w:pPr>
        <w:pStyle w:val="BookText"/>
        <w:rPr/>
      </w:pPr>
      <w:r>
        <w:rPr>
          <w:rFonts w:ascii="Amiri" w:hAnsi="Amiri" w:eastAsia="Amiri" w:cs="Amiri"/>
          <w:color w:val="111111"/>
          <w:sz w:val="28"/>
          <w:sz w:val="28"/>
          <w:szCs w:val="28"/>
          <w:rtl w:val="true"/>
          <w:lang w:bidi="ar-SA"/>
        </w:rPr>
        <w:t>أي عدم وجوب إعادتها عليه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القول في ذلك أنّ الدافع إن كان الإمام عليه السّلام أو نائبه ففي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خلافا في الإجزاء و عدم الضمان</w:t>
      </w:r>
      <w:r>
        <w:rPr>
          <w:rFonts w:eastAsia="Amiri" w:cs="Amiri" w:ascii="Amiri" w:hAnsi="Amiri"/>
          <w:color w:val="111111"/>
          <w:sz w:val="28"/>
          <w:szCs w:val="28"/>
          <w:rtl w:val="true"/>
          <w:lang w:bidi="ar-SA"/>
        </w:rPr>
        <w:t>»</w:t>
      </w:r>
      <w:r>
        <w:rPr>
          <w:rStyle w:val="FootnoteAnchor"/>
          <w:rtl w:val="true"/>
        </w:rPr>
        <w:footnoteReference w:id="2863"/>
      </w:r>
      <w:r>
        <w:rPr>
          <w:rFonts w:ascii="Amiri" w:hAnsi="Amiri" w:eastAsia="Amiri" w:cs="Amiri"/>
          <w:color w:val="111111"/>
          <w:sz w:val="28"/>
          <w:sz w:val="28"/>
          <w:szCs w:val="28"/>
          <w:rtl w:val="true"/>
          <w:lang w:bidi="ar-SA"/>
        </w:rPr>
        <w:t>و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خلاف فيه بين العلماء</w:t>
      </w:r>
      <w:r>
        <w:rPr>
          <w:rFonts w:eastAsia="Amiri" w:cs="Amiri" w:ascii="Amiri" w:hAnsi="Amiri"/>
          <w:color w:val="111111"/>
          <w:sz w:val="28"/>
          <w:szCs w:val="28"/>
          <w:rtl w:val="true"/>
          <w:lang w:bidi="ar-SA"/>
        </w:rPr>
        <w:t>»</w:t>
      </w:r>
      <w:r>
        <w:rPr>
          <w:rStyle w:val="FootnoteAnchor"/>
          <w:rtl w:val="true"/>
        </w:rPr>
        <w:footnoteReference w:id="2864"/>
      </w:r>
      <w:r>
        <w:rPr>
          <w:rFonts w:ascii="Amiri" w:hAnsi="Amiri" w:eastAsia="Amiri" w:cs="Amiri"/>
          <w:color w:val="111111"/>
          <w:sz w:val="28"/>
          <w:sz w:val="28"/>
          <w:szCs w:val="28"/>
          <w:rtl w:val="true"/>
          <w:lang w:bidi="ar-SA"/>
        </w:rPr>
        <w:t>و علّلوه بأنّ المالك خرج من العهدة بالدفع إلى الإمام أو نائبه و الدافع خرج من العهدة بالدفع إلى من يظهر منه الفقر، و إيجاب الإعادة تكليف جديد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الدافع فعل المأمور به و هو الدفع إلى من يظهر منه الفقر إذ الاطّلاع على الباطن متعذّر، و امتثال الأمر يقتضي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فيما إذا كان الدافع هو المالك</w:t>
      </w:r>
      <w:r>
        <w:rPr>
          <w:rFonts w:eastAsia="Amiri" w:cs="Amiri" w:ascii="Amiri" w:hAnsi="Amiri"/>
          <w:color w:val="111111"/>
          <w:sz w:val="28"/>
          <w:szCs w:val="28"/>
          <w:rtl w:val="true"/>
          <w:lang w:bidi="ar-SA"/>
        </w:rPr>
        <w:t>»</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أقوالهم في محلّ الخلاف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لا ضمان عليه، كما عن جماعة من الأصحاب منهم الشيخ</w:t>
      </w:r>
      <w:r>
        <w:rPr>
          <w:rStyle w:val="FootnoteAnchor"/>
          <w:rtl w:val="true"/>
        </w:rPr>
        <w:footnoteReference w:id="2866"/>
      </w:r>
      <w:r>
        <w:rPr>
          <w:rFonts w:ascii="Amiri" w:hAnsi="Amiri" w:eastAsia="Amiri" w:cs="Amiri"/>
          <w:color w:val="111111"/>
          <w:sz w:val="28"/>
          <w:sz w:val="28"/>
          <w:szCs w:val="28"/>
          <w:rtl w:val="true"/>
          <w:lang w:bidi="ar-SA"/>
        </w:rPr>
        <w:t>و عليه المحقّق في الشرائع</w:t>
      </w:r>
      <w:r>
        <w:rPr>
          <w:rStyle w:val="FootnoteAnchor"/>
          <w:rtl w:val="true"/>
        </w:rPr>
        <w:footnoteReference w:id="2867"/>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ضامن و يجب عليه الإعادة، و عليه المفيد و أبو الصلاح</w:t>
      </w:r>
      <w:r>
        <w:rPr>
          <w:rStyle w:val="FootnoteAnchor"/>
          <w:rtl w:val="true"/>
        </w:rPr>
        <w:footnoteReference w:id="2868"/>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استقربه المحقّق و العلاّمة في المعتبر و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سقوط الضمان مع الاجتهاد و ثبوته بدونه</w:t>
      </w:r>
      <w:r>
        <w:rPr>
          <w:rFonts w:eastAsia="Amiri" w:cs="Amiri" w:ascii="Amiri" w:hAnsi="Amiri"/>
          <w:color w:val="111111"/>
          <w:sz w:val="28"/>
          <w:szCs w:val="28"/>
          <w:rtl w:val="true"/>
          <w:lang w:bidi="ar-SA"/>
        </w:rPr>
        <w:t>.»</w:t>
      </w:r>
      <w:r>
        <w:rPr>
          <w:rStyle w:val="FootnoteAnchor"/>
          <w:rtl w:val="true"/>
        </w:rPr>
        <w:footnoteReference w:id="2869"/>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عدم الإجزاء في الأمر الظاهري و الأمر الظاهري الشرعي المستفاد من دليل اعتبار الظنّ أو الأمارة الشرعيّة على ما حقّقناه في الأصول</w:t>
      </w:r>
      <w:r>
        <w:rPr>
          <w:rStyle w:val="FootnoteAnchor"/>
          <w:rtl w:val="true"/>
        </w:rPr>
        <w:footnoteReference w:id="2870"/>
      </w:r>
      <w:r>
        <w:rPr>
          <w:rFonts w:ascii="IRNazanin" w:hAnsi="IRNazanin" w:eastAsia="IRNazanin"/>
          <w:color w:val="111111"/>
          <w:sz w:val="28"/>
          <w:sz w:val="28"/>
          <w:szCs w:val="28"/>
          <w:rtl w:val="true"/>
          <w:lang w:bidi="fa-IR"/>
        </w:rPr>
        <w:t>من</w:t>
      </w:r>
      <w:r>
        <w:rPr>
          <w:rStyle w:val="FootnoteAnchor"/>
          <w:rtl w:val="true"/>
        </w:rPr>
        <w:footnoteReference w:id="2871"/>
      </w:r>
      <w:r>
        <w:rPr>
          <w:rFonts w:ascii="Amiri" w:hAnsi="Amiri" w:eastAsia="Amiri" w:cs="Amiri"/>
          <w:color w:val="111111"/>
          <w:sz w:val="28"/>
          <w:sz w:val="28"/>
          <w:szCs w:val="28"/>
          <w:rtl w:val="true"/>
          <w:lang w:bidi="ar-SA"/>
        </w:rPr>
        <w:t xml:space="preserve">عدم الإجزاء و الضمان و وجوب الإعادة، فإنّ طريق دفع المالك على ما أشرنا إليه </w:t>
      </w:r>
    </w:p>
    <w:p>
      <w:pPr>
        <w:pStyle w:val="BookText"/>
        <w:rPr/>
      </w:pPr>
      <w:r>
        <w:rPr>
          <w:rFonts w:ascii="Amiri" w:hAnsi="Amiri" w:eastAsia="Amiri" w:cs="Amiri"/>
          <w:color w:val="111111"/>
          <w:sz w:val="28"/>
          <w:sz w:val="28"/>
          <w:szCs w:val="28"/>
          <w:rtl w:val="true"/>
          <w:lang w:bidi="ar-SA"/>
        </w:rPr>
        <w:t xml:space="preserve">في عنوان المسألة إمّا القطع بفقر الآخذ فيندرج بذلك دفعه في المأمور به الظاهري العقلي، أو الظنّ بالفقر أو دعواه مع البيّنة أو اليمين، أو بدونهما فيندرج في المأمور به الظاهري الشرعي، و قد برهنّا في الاصول أنّه لا يفيد شيء منهما الإجزاء لا لأنّ الامتثال حاصل و هو غير مجز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لانكشاف عدم حصول الامتثال من أصله، فالمأتيّ به غير مأمور به و المأمور به غير مأتيّ به، و هو بعد باق في عهدة المكلّف و يجب عليه الخروج عن العهدة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الأصل في جميع العبادات من غير فرق فيه بين العمليّة و الماليّة و بهذا الأصل نحكم في كلّ مورد تبيّن الاختلال في المأتيّ به بالإعادة فيما يمكن إعادته و القضاء فيما ثبت في نوعه القضاء، إلاّ ما خرج منه بدليل دالّ على الإجزاء و سقوط الإعادة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في خصوص المقام أو يدلّ عليه ما رواه الكليني و الشيخ عنه عن ابن أبي عمير عن الحسين بن عثمان في الصحيح عمّن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في رجل يعطي زكاة ماله رجلا و هو يرى أنّه معسر فوجده موسرا،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تجزئ عنه</w:t>
      </w:r>
      <w:r>
        <w:rPr>
          <w:rFonts w:eastAsia="Amiri" w:cs="Amiri" w:ascii="Amiri" w:hAnsi="Amiri"/>
          <w:color w:val="111111"/>
          <w:sz w:val="28"/>
          <w:szCs w:val="28"/>
          <w:rtl w:val="true"/>
          <w:lang w:bidi="ar-SA"/>
        </w:rPr>
        <w:t>»</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فما احتجّ به الموجبون</w:t>
      </w:r>
      <w:r>
        <w:rPr>
          <w:rStyle w:val="FootnoteAnchor"/>
          <w:rtl w:val="true"/>
        </w:rPr>
        <w:footnoteReference w:id="2873"/>
      </w:r>
      <w:r>
        <w:rPr>
          <w:rFonts w:ascii="Amiri" w:hAnsi="Amiri" w:eastAsia="Amiri" w:cs="Amiri"/>
          <w:color w:val="111111"/>
          <w:sz w:val="28"/>
          <w:sz w:val="28"/>
          <w:szCs w:val="28"/>
          <w:rtl w:val="true"/>
          <w:lang w:bidi="ar-SA"/>
        </w:rPr>
        <w:t>للإعادة مضافا إلى الرواية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دفعها إلى غير مستحقّها فلا تقع مجزية كالدين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في ردّه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الدفع كان إلى المستحقّ بحسب الظاهر و إن كان غير مستحقّ بحسب الواقع فيكون مجزئا، لأنّ التكليف منوط بالاستحقاق الظاهري</w:t>
      </w:r>
      <w:r>
        <w:rPr>
          <w:rFonts w:eastAsia="Amiri" w:cs="Amiri" w:ascii="Amiri" w:hAnsi="Amiri"/>
          <w:color w:val="111111"/>
          <w:sz w:val="28"/>
          <w:szCs w:val="28"/>
          <w:rtl w:val="true"/>
          <w:lang w:bidi="ar-SA"/>
        </w:rPr>
        <w:t>»</w:t>
      </w:r>
      <w:r>
        <w:rPr>
          <w:rStyle w:val="FootnoteAnchor"/>
          <w:rtl w:val="true"/>
        </w:rPr>
        <w:footnoteReference w:id="2874"/>
      </w:r>
      <w:r>
        <w:rPr>
          <w:rFonts w:ascii="Amiri" w:hAnsi="Amiri" w:eastAsia="Amiri" w:cs="Amiri"/>
          <w:color w:val="111111"/>
          <w:sz w:val="28"/>
          <w:sz w:val="28"/>
          <w:szCs w:val="28"/>
          <w:rtl w:val="true"/>
          <w:lang w:bidi="ar-SA"/>
        </w:rPr>
        <w:t>واضح الضعف، لأنّ الاستحقاق الظاهري إنّما يكفي في الحكم بامتثال التكليف المقتضي للإجزاء ما لم ينكشف الخلاف، و مع انكشافه انكشف عدم الامتثال و بقاء التكليف في العهدة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بعدم وجوب الإعادة لا حجّة له سوى أنّه دفعها إلى من ظاهره الفقر دفعا مشروعا فيحصل الامتثال و لا يستعقب الإعادة للأصل و فقد حجّة واضحة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يظهر الجواب عنه بملاحظة ما عرفت من منع حصول الامتثال بعد انكشاف الخلاف، و حينئذ فالإعادة لا تحتاج إلى حجّة اخرى غير الأمر الأوّل الباقي في عهدة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المفصّلين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أمين على الزكاة فيجب عليه الاجتهاد و الاستظهار في دفعها إلى مستحقّها فبدونه يجب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 الشيخ عنه عن عبيد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بإبراهيم بن هاشم بل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يمنع درهما في حقّ اللّه إلاّ أنفق اثنين في غير حقّه، و ما من رجل يمنع حقّا من ماله إلاّ طوّقه اللّه عزّ و جلّ به حيّة من نار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عارف أدّى الزكاة إلى غير أهلها زمانا هل عليه أن يؤدّيها ثانية إلى أهلها إذا علمهم‌؟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لم يعرف لها أهلها فلم يؤدّها، أو لم يعلم أنّها عليه فعلم بعد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يؤدّيها إلى أهلها لما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لم يعلم أهلها فدفعها إلى من ليس هو لها بأهل و قد كان طلب و اجتهد ثمّ علم بعد، سوء ما 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يؤدّيها مرّة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الكافي و التهذيب بعد نقل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زرارة مثله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اجتهد فقد برئ، و إن قصّر في الاجتهاد و الطلب فلا</w:t>
      </w:r>
      <w:r>
        <w:rPr>
          <w:rFonts w:eastAsia="Amiri" w:cs="Amiri" w:ascii="Amiri" w:hAnsi="Amiri"/>
          <w:color w:val="111111"/>
          <w:sz w:val="28"/>
          <w:szCs w:val="28"/>
          <w:rtl w:val="true"/>
          <w:lang w:bidi="ar-SA"/>
        </w:rPr>
        <w:t>.»</w:t>
      </w:r>
      <w:r>
        <w:rPr>
          <w:rStyle w:val="FootnoteAnchor"/>
          <w:rtl w:val="true"/>
        </w:rPr>
        <w:footnoteReference w:id="2875"/>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 الأوّل في المدارك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بالاجتهاد القدر المسوّغ لجواز الدفع و لو بسؤال الفقير فلا ريب في اعتباره إلاّ أنّ مثل ذلك لا يسمّى اجتهادا و مع ذلك فيرجع هذا التفصيل بهذا الاعتبار إلى ما أطلقه الشيخ في المبسوط</w:t>
      </w:r>
      <w:r>
        <w:rPr>
          <w:rStyle w:val="FootnoteAnchor"/>
          <w:rtl w:val="true"/>
        </w:rPr>
        <w:footnoteReference w:id="2876"/>
      </w:r>
      <w:r>
        <w:rPr>
          <w:rFonts w:ascii="Amiri" w:hAnsi="Amiri" w:eastAsia="Amiri" w:cs="Amiri"/>
          <w:color w:val="111111"/>
          <w:sz w:val="28"/>
          <w:sz w:val="28"/>
          <w:szCs w:val="28"/>
          <w:rtl w:val="true"/>
          <w:lang w:bidi="ar-SA"/>
        </w:rPr>
        <w:t>من انتفاء الضمان مطلقا، و إن اريد به البحث عن حال المستحقّ زيادة على ذلك كما هو المتبادر من لفظ الاجتهاد فهو غير واجب إجماعا على ما نقله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الروايتين بأنّ موردهما خلاف محلّ النزاع و لكنّهما تدلاّن بالفحوى على انتفاء الضمان مع الاجتهاد في محلّ </w:t>
      </w:r>
    </w:p>
    <w:p>
      <w:pPr>
        <w:pStyle w:val="BookText"/>
        <w:rPr/>
      </w:pPr>
      <w:r>
        <w:rPr>
          <w:rFonts w:ascii="Amiri" w:hAnsi="Amiri" w:eastAsia="Amiri" w:cs="Amiri"/>
          <w:color w:val="111111"/>
          <w:sz w:val="28"/>
          <w:sz w:val="28"/>
          <w:szCs w:val="28"/>
          <w:rtl w:val="true"/>
          <w:lang w:bidi="ar-SA"/>
        </w:rPr>
        <w:t>النزاع، و أمّا الضمان مع انتفاء الاجتهاد فلا دلالة لهما عليه في المتنازع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كيفما كان فينبغي القطع بسقوط الضمان مع الاجتهاد لتحقّق الامتثال و فحوى الروايتين، و إنّما يحصل التردّد مع استناد الدفع إلى مجرّد الدعوى من كون الدفع مشروعا فلا يستعقب الإعادة و عدم وصول الحقّ إلى مستحقّه، و لعلّ الأوّل أرجح</w:t>
      </w:r>
      <w:r>
        <w:rPr>
          <w:rFonts w:eastAsia="Amiri" w:cs="Amiri" w:ascii="Amiri" w:hAnsi="Amiri"/>
          <w:color w:val="111111"/>
          <w:sz w:val="28"/>
          <w:szCs w:val="28"/>
          <w:rtl w:val="true"/>
          <w:lang w:bidi="ar-SA"/>
        </w:rPr>
        <w:t>»</w:t>
      </w:r>
      <w:r>
        <w:rPr>
          <w:rStyle w:val="FootnoteAnchor"/>
          <w:rtl w:val="true"/>
        </w:rPr>
        <w:footnoteReference w:id="28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تحقّق الامتثال بناء على القاعدة المتقدّمة</w:t>
      </w:r>
      <w:r>
        <w:rPr>
          <w:rStyle w:val="FootnoteAnchor"/>
          <w:rtl w:val="true"/>
        </w:rPr>
        <w:footnoteReference w:id="2878"/>
      </w:r>
      <w:r>
        <w:rPr>
          <w:rFonts w:ascii="Amiri" w:hAnsi="Amiri" w:eastAsia="Amiri" w:cs="Amiri"/>
          <w:color w:val="111111"/>
          <w:sz w:val="28"/>
          <w:sz w:val="28"/>
          <w:szCs w:val="28"/>
          <w:rtl w:val="true"/>
          <w:lang w:bidi="ar-SA"/>
        </w:rPr>
        <w:t>مع الاجتهاد و بدونه، و دعوى القطع به غير مسموعة، كما أنّ دعوى دلالة الروايتين بالفحوى عليه ممنوعة، فإنّ مورد الروايتين بمقتضى ظاهر سياقهما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المدفوع إليه غير الأهل بمعنى المخالف، و كون الاجتهاد كافيا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الدفع إلى الفقير المخالف الّذي ليس من أهل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الامتثال مع الجهل بحال المدفوع إليه و مسقطا للإعادة، لا يلازم كونه مع الدفع إلى غير الفقير من أهل الولاية أيضا كذلك إلاّ بالقياس الباطل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بناء العمل على الروايتين في موردهما يقضي بكون الإيمان المعدود من شروط المستحقّ شرطا علميّا، و لا يلزم من ذلك كون الفقر الّذي هو العمدة من شروطه أيضا شرطا علميّا، مع أنّ الأصل في الشروط كونها واقعيّة إلاّ ما خرج بالدليل الدالّ على العلميّة، فتوهّم الفحوى ليس إلاّ قياسا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فالأصحّ في محلّ النزاع هو ما عرفت من عدم الامتثال المقتضي لعدم سقوط الإعادة، عملا بالقاعدة المحكّمة المتقنة المعتضدة بالرواية المرسلة</w:t>
      </w:r>
      <w:r>
        <w:rPr>
          <w:rStyle w:val="FootnoteAnchor"/>
          <w:rtl w:val="true"/>
        </w:rPr>
        <w:footnoteReference w:id="2879"/>
      </w:r>
      <w:r>
        <w:rPr>
          <w:rFonts w:ascii="IRNazanin" w:hAnsi="IRNazanin" w:eastAsia="IRNazanin"/>
          <w:color w:val="111111"/>
          <w:sz w:val="28"/>
          <w:sz w:val="28"/>
          <w:szCs w:val="28"/>
          <w:rtl w:val="true"/>
          <w:lang w:bidi="fa-IR"/>
        </w:rPr>
        <w:t>مع عدم وضوح المخرج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في الشرائع بعد العبارة المتقدّمة</w:t>
      </w:r>
      <w:r>
        <w:rPr>
          <w:rStyle w:val="FootnoteAnchor"/>
          <w:rtl w:val="true"/>
        </w:rPr>
        <w:footnoteReference w:id="2880"/>
      </w:r>
      <w:r>
        <w:rPr>
          <w:rFonts w:ascii="Amiri" w:hAnsi="Amiri" w:eastAsia="Amiri" w:cs="Amiri"/>
          <w:color w:val="111111"/>
          <w:sz w:val="28"/>
          <w:sz w:val="28"/>
          <w:szCs w:val="28"/>
          <w:rtl w:val="true"/>
          <w:lang w:bidi="ar-SA"/>
        </w:rPr>
        <w:t>في صدر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بان أنّ المدفوع إليه كافر أو فاسق أو ممّن تجب نفقته أو هاشمي و كان الدافع من غير قبيله</w:t>
      </w:r>
      <w:r>
        <w:rPr>
          <w:rFonts w:eastAsia="Amiri" w:cs="Amiri" w:ascii="Amiri" w:hAnsi="Amiri"/>
          <w:color w:val="111111"/>
          <w:sz w:val="28"/>
          <w:szCs w:val="28"/>
          <w:rtl w:val="true"/>
          <w:lang w:bidi="ar-SA"/>
        </w:rPr>
        <w:t>»</w:t>
      </w:r>
      <w:r>
        <w:rPr>
          <w:rStyle w:val="FootnoteAnchor"/>
          <w:rtl w:val="true"/>
        </w:rPr>
        <w:footnoteReference w:id="2881"/>
      </w:r>
      <w:r>
        <w:rPr>
          <w:rFonts w:ascii="Amiri" w:hAnsi="Amiri" w:eastAsia="Amiri" w:cs="Amiri"/>
          <w:color w:val="111111"/>
          <w:sz w:val="28"/>
          <w:sz w:val="28"/>
          <w:szCs w:val="28"/>
          <w:rtl w:val="true"/>
          <w:lang w:bidi="ar-SA"/>
        </w:rPr>
        <w:t>و ذكر الفاسق هنا مبنيّ على اعتبار العدالة في مستحقّ الزكاة و سيأتي الكلام فيه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قطع الشيخ</w:t>
      </w:r>
      <w:r>
        <w:rPr>
          <w:rStyle w:val="FootnoteAnchor"/>
          <w:rtl w:val="true"/>
        </w:rPr>
        <w:footnoteReference w:id="2882"/>
      </w:r>
      <w:r>
        <w:rPr>
          <w:rFonts w:ascii="Amiri" w:hAnsi="Amiri" w:eastAsia="Amiri" w:cs="Amiri"/>
          <w:color w:val="111111"/>
          <w:sz w:val="28"/>
          <w:sz w:val="28"/>
          <w:szCs w:val="28"/>
          <w:rtl w:val="true"/>
          <w:lang w:bidi="ar-SA"/>
        </w:rPr>
        <w:t>و أكثر الأصحاب</w:t>
      </w:r>
      <w:r>
        <w:rPr>
          <w:rStyle w:val="FootnoteAnchor"/>
          <w:rtl w:val="true"/>
        </w:rPr>
        <w:footnoteReference w:id="2883"/>
      </w:r>
      <w:r>
        <w:rPr>
          <w:rFonts w:ascii="Amiri" w:hAnsi="Amiri" w:eastAsia="Amiri" w:cs="Amiri"/>
          <w:color w:val="111111"/>
          <w:sz w:val="28"/>
          <w:sz w:val="28"/>
          <w:szCs w:val="28"/>
          <w:rtl w:val="true"/>
          <w:lang w:bidi="ar-SA"/>
        </w:rPr>
        <w:t xml:space="preserve">بعدم لزوم الإعادة في </w:t>
      </w:r>
    </w:p>
    <w:p>
      <w:pPr>
        <w:pStyle w:val="BookText"/>
        <w:rPr/>
      </w:pPr>
      <w:r>
        <w:rPr>
          <w:rFonts w:ascii="Amiri" w:hAnsi="Amiri" w:eastAsia="Amiri" w:cs="Amiri"/>
          <w:color w:val="111111"/>
          <w:sz w:val="28"/>
          <w:sz w:val="28"/>
          <w:szCs w:val="28"/>
          <w:rtl w:val="true"/>
          <w:lang w:bidi="ar-SA"/>
        </w:rPr>
        <w:t>جميع هذه الصور</w:t>
      </w:r>
      <w:r>
        <w:rPr>
          <w:rFonts w:eastAsia="Amiri" w:cs="Amiri" w:ascii="Amiri" w:hAnsi="Amiri"/>
          <w:color w:val="111111"/>
          <w:sz w:val="28"/>
          <w:szCs w:val="28"/>
          <w:rtl w:val="true"/>
          <w:lang w:bidi="ar-SA"/>
        </w:rPr>
        <w:t>»</w:t>
      </w:r>
      <w:r>
        <w:rPr>
          <w:rStyle w:val="FootnoteAnchor"/>
          <w:rtl w:val="true"/>
        </w:rPr>
        <w:footnoteReference w:id="2884"/>
      </w:r>
      <w:r>
        <w:rPr>
          <w:rFonts w:ascii="Amiri" w:hAnsi="Amiri" w:eastAsia="Amiri" w:cs="Amiri"/>
          <w:color w:val="111111"/>
          <w:sz w:val="28"/>
          <w:sz w:val="28"/>
          <w:szCs w:val="28"/>
          <w:rtl w:val="true"/>
          <w:lang w:bidi="ar-SA"/>
        </w:rPr>
        <w:t>و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قطع به الأصحاب كالشيخ و من تبعه، عدم الإعادة في جميع هذه الصور</w:t>
      </w:r>
      <w:r>
        <w:rPr>
          <w:rFonts w:eastAsia="Amiri" w:cs="Amiri" w:ascii="Amiri" w:hAnsi="Amiri"/>
          <w:color w:val="111111"/>
          <w:sz w:val="28"/>
          <w:szCs w:val="28"/>
          <w:rtl w:val="true"/>
          <w:lang w:bidi="ar-SA"/>
        </w:rPr>
        <w:t>»</w:t>
      </w:r>
      <w:r>
        <w:rPr>
          <w:rStyle w:val="FootnoteAnchor"/>
          <w:rtl w:val="true"/>
        </w:rPr>
        <w:footnoteReference w:id="2885"/>
      </w:r>
      <w:r>
        <w:rPr>
          <w:rFonts w:ascii="Amiri" w:hAnsi="Amiri" w:eastAsia="Amiri" w:cs="Amiri"/>
          <w:color w:val="111111"/>
          <w:sz w:val="28"/>
          <w:sz w:val="28"/>
          <w:szCs w:val="28"/>
          <w:rtl w:val="true"/>
          <w:lang w:bidi="ar-SA"/>
        </w:rPr>
        <w:t xml:space="preserve">و عن المعتبر الاستدلال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 واجب فيكتفي في شرطه بالظاهر تعليقا للوجوب على الشرط الممكن فلم يضمن لعدم العدوان في التسليم المشروع</w:t>
      </w:r>
      <w:r>
        <w:rPr>
          <w:rFonts w:eastAsia="Amiri" w:cs="Amiri" w:ascii="Amiri" w:hAnsi="Amiri"/>
          <w:color w:val="111111"/>
          <w:sz w:val="28"/>
          <w:szCs w:val="28"/>
          <w:rtl w:val="true"/>
          <w:lang w:bidi="ar-SA"/>
        </w:rPr>
        <w:t>.»</w:t>
      </w:r>
      <w:r>
        <w:rPr>
          <w:rStyle w:val="FootnoteAnchor"/>
          <w:rtl w:val="true"/>
        </w:rPr>
        <w:footnoteReference w:id="28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إجماعا كما هو ظاهر المحكيّ عن مختلف العلاّمة من الإجماع على الإجزاء في الصور المذكورة</w:t>
      </w:r>
      <w:r>
        <w:rPr>
          <w:rStyle w:val="FootnoteAnchor"/>
          <w:rtl w:val="true"/>
        </w:rPr>
        <w:footnoteReference w:id="2887"/>
      </w:r>
      <w:r>
        <w:rPr>
          <w:rFonts w:ascii="Amiri" w:hAnsi="Amiri" w:eastAsia="Amiri" w:cs="Amiri"/>
          <w:color w:val="111111"/>
          <w:sz w:val="28"/>
          <w:sz w:val="28"/>
          <w:szCs w:val="28"/>
          <w:rtl w:val="true"/>
          <w:lang w:bidi="ar-SA"/>
        </w:rPr>
        <w:t>فلا كلام و إلاّ فما تقدّم من القاعدة المحكّمة مطّردة في الجميع و لا مخرج عنها و الإجماع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 عن العلاّمة محتمل لإرادة الاتّفاق من الخصم، كما احتمله بعض مشايخنا تعليلا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ذكره في الردّ على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حكى عنه الفرق بين الفقير و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يمكن منعه بالتتبّع حتّى عند المتأخّرين فإنّ ظاهر الدروس</w:t>
      </w:r>
      <w:r>
        <w:rPr>
          <w:rStyle w:val="FootnoteAnchor"/>
          <w:rtl w:val="true"/>
        </w:rPr>
        <w:footnoteReference w:id="2888"/>
      </w:r>
      <w:r>
        <w:rPr>
          <w:rFonts w:ascii="Amiri" w:hAnsi="Amiri" w:eastAsia="Amiri" w:cs="Amiri"/>
          <w:color w:val="111111"/>
          <w:sz w:val="28"/>
          <w:sz w:val="28"/>
          <w:szCs w:val="28"/>
          <w:rtl w:val="true"/>
          <w:lang w:bidi="ar-SA"/>
        </w:rPr>
        <w:t>و غيره</w:t>
      </w:r>
      <w:r>
        <w:rPr>
          <w:rStyle w:val="FootnoteAnchor"/>
          <w:rtl w:val="true"/>
        </w:rPr>
        <w:footnoteReference w:id="2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جعل المدار على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سائر الشروط، و عن الفاضلان</w:t>
      </w:r>
      <w:r>
        <w:rPr>
          <w:rStyle w:val="FootnoteAnchor"/>
          <w:rtl w:val="true"/>
        </w:rPr>
        <w:footnoteReference w:id="2890"/>
      </w:r>
      <w:r>
        <w:rPr>
          <w:rFonts w:ascii="Amiri" w:hAnsi="Amiri" w:eastAsia="Amiri" w:cs="Amiri"/>
          <w:color w:val="111111"/>
          <w:sz w:val="28"/>
          <w:sz w:val="28"/>
          <w:szCs w:val="28"/>
          <w:rtl w:val="true"/>
          <w:lang w:bidi="ar-SA"/>
        </w:rPr>
        <w:t>أنّهما استثنيا من ذلك ما لو ظهر المدفوع إليه عبدا للمالك فأوجبا فيه الإعادة مطلقا لأنّ المال لم يخرج عن ملك المالك بذلك فيجري مجرى عزلها من غير تسليم</w:t>
      </w:r>
      <w:r>
        <w:rPr>
          <w:rFonts w:eastAsia="Amiri" w:cs="Amiri" w:ascii="Amiri" w:hAnsi="Amiri"/>
          <w:color w:val="111111"/>
          <w:sz w:val="28"/>
          <w:szCs w:val="28"/>
          <w:rtl w:val="true"/>
          <w:lang w:bidi="ar-SA"/>
        </w:rPr>
        <w:t>»</w:t>
      </w:r>
      <w:r>
        <w:rPr>
          <w:rStyle w:val="FootnoteAnchor"/>
          <w:rtl w:val="true"/>
        </w:rPr>
        <w:footnoteReference w:id="2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استشكله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ذلك بعينه آت في سائر الصور فإنّ غير المستحقّ لا يملك الزكاة في نفس الأمر سواء كان عبد المالك أو غيره</w:t>
      </w:r>
      <w:r>
        <w:rPr>
          <w:rFonts w:eastAsia="Amiri" w:cs="Amiri" w:ascii="Amiri" w:hAnsi="Amiri"/>
          <w:color w:val="111111"/>
          <w:sz w:val="28"/>
          <w:szCs w:val="28"/>
          <w:rtl w:val="true"/>
          <w:lang w:bidi="ar-SA"/>
        </w:rPr>
        <w:t>»</w:t>
      </w:r>
      <w:r>
        <w:rPr>
          <w:rStyle w:val="FootnoteAnchor"/>
          <w:rtl w:val="true"/>
        </w:rPr>
        <w:footnoteReference w:id="2892"/>
      </w:r>
      <w:r>
        <w:rPr>
          <w:rFonts w:ascii="Amiri" w:hAnsi="Amiri" w:eastAsia="Amiri" w:cs="Amiri"/>
          <w:color w:val="111111"/>
          <w:sz w:val="28"/>
          <w:sz w:val="28"/>
          <w:szCs w:val="28"/>
          <w:rtl w:val="true"/>
          <w:lang w:bidi="ar-SA"/>
        </w:rPr>
        <w:t>و يدفعه وضوح الفرق بين عدم خروج المدفوع عن ملك المالك و بين عدم دخوله في ملك المدفوع إليه، و الثابت في سائر الصور هو الثاني و هو لا ينافي خروجه عن ملك المالك، و المقصود من الاستدلال في محلّ النزاع هو الأوّل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فيه بملاحظة أنّ ما في يد العبد من الأموال ملك للسيّد فيد العبد حينئذ في كلّ ما وصل إليه بمنزلة يد السيّد، و ظاهر أنّ الشخص لا يملك ثانيا ملك نفسه أو أنّه لا يملك من نفسه، و هذا هو معنى ما ذكره بعض مشايخنا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المراد بعدم الخروج </w:t>
      </w:r>
      <w:bookmarkStart w:id="653" w:name="pg16181_154852"/>
    </w:p>
    <w:p>
      <w:pPr>
        <w:pStyle w:val="BookText"/>
        <w:rPr/>
      </w:pPr>
      <w:bookmarkEnd w:id="653"/>
      <w:r>
        <w:rPr>
          <w:rFonts w:ascii="Amiri" w:hAnsi="Amiri" w:eastAsia="Amiri" w:cs="Amiri"/>
          <w:color w:val="111111"/>
          <w:sz w:val="28"/>
          <w:sz w:val="28"/>
          <w:szCs w:val="28"/>
          <w:rtl w:val="true"/>
          <w:lang w:bidi="ar-SA"/>
        </w:rPr>
        <w:t>عن ملك المالك أنّ المال وقع في يد مالكه فهذا كما لو عزله و جعله في صندوق و نحوه</w:t>
      </w:r>
      <w:r>
        <w:rPr>
          <w:rFonts w:eastAsia="Amiri" w:cs="Amiri" w:ascii="Amiri" w:hAnsi="Amiri"/>
          <w:color w:val="111111"/>
          <w:sz w:val="28"/>
          <w:szCs w:val="28"/>
          <w:rtl w:val="true"/>
          <w:lang w:bidi="ar-SA"/>
        </w:rPr>
        <w:t>»</w:t>
      </w:r>
      <w:r>
        <w:rPr>
          <w:rStyle w:val="FootnoteAnchor"/>
          <w:rtl w:val="true"/>
        </w:rPr>
        <w:footnoteReference w:id="2893"/>
      </w:r>
      <w:r>
        <w:rPr>
          <w:rFonts w:ascii="Amiri" w:hAnsi="Amiri" w:eastAsia="Amiri" w:cs="Amiri"/>
          <w:color w:val="111111"/>
          <w:sz w:val="28"/>
          <w:sz w:val="28"/>
          <w:szCs w:val="28"/>
          <w:rtl w:val="true"/>
          <w:lang w:bidi="ar-SA"/>
        </w:rPr>
        <w:t>فالفرق في غاية الوضوح إلاّ أنّ الوجه في الجميع عدم الفرق في عدم الإجزاء، لعدم تحقّق الامتثال بحسب الواقع وفاقا لشيخنا المذكور و صاحب الحدائق</w:t>
      </w:r>
      <w:r>
        <w:rPr>
          <w:rFonts w:eastAsia="Amiri" w:cs="Amiri" w:ascii="Amiri" w:hAnsi="Amiri"/>
          <w:color w:val="111111"/>
          <w:sz w:val="28"/>
          <w:szCs w:val="28"/>
          <w:rtl w:val="true"/>
          <w:lang w:bidi="ar-SA"/>
        </w:rPr>
        <w:t>.</w:t>
      </w:r>
      <w:r>
        <w:rPr>
          <w:rStyle w:val="FootnoteAnchor"/>
          <w:rtl w:val="true"/>
        </w:rPr>
        <w:footnoteReference w:id="2894"/>
      </w:r>
    </w:p>
    <w:p>
      <w:pPr>
        <w:pStyle w:val="Heading5"/>
        <w:numPr>
          <w:ilvl w:val="4"/>
          <w:numId w:val="1"/>
        </w:numPr>
        <w:rPr/>
      </w:pPr>
      <w:bookmarkStart w:id="654" w:name="__RefHeading___Toc2586891_1280447820"/>
      <w:bookmarkStart w:id="655" w:name="_Toc244"/>
      <w:bookmarkEnd w:id="654"/>
      <w:r>
        <w:rPr>
          <w:rtl w:val="true"/>
        </w:rPr>
        <w:t>الصنف الثالث العاملون عليها</w:t>
      </w:r>
      <w:r>
        <w:rPr>
          <w:rtl w:val="true"/>
        </w:rPr>
        <w:t>:</w:t>
      </w:r>
      <w:bookmarkEnd w:id="655"/>
    </w:p>
    <w:p>
      <w:pPr>
        <w:pStyle w:val="BookText"/>
        <w:rPr/>
      </w:pP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جباة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 المنتهى</w:t>
      </w:r>
      <w:r>
        <w:rPr>
          <w:rStyle w:val="FootnoteAnchor"/>
          <w:rtl w:val="true"/>
        </w:rPr>
        <w:footnoteReference w:id="28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w:t>
      </w:r>
      <w:r>
        <w:rPr>
          <w:rStyle w:val="FootnoteAnchor"/>
          <w:rtl w:val="true"/>
        </w:rPr>
        <w:footnoteReference w:id="28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السعاة لتحصيلها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الإرشاد</w:t>
      </w:r>
      <w:r>
        <w:rPr>
          <w:rStyle w:val="FootnoteAnchor"/>
          <w:rtl w:val="true"/>
        </w:rPr>
        <w:footnoteReference w:id="28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الساعون في جبايتها و تحصيلها بأخذ و كتابة و حساب و حفظ و قسمة و نحو ذلك، كما في المدارك و الذخيرة</w:t>
      </w:r>
      <w:r>
        <w:rPr>
          <w:rStyle w:val="FootnoteAnchor"/>
          <w:rtl w:val="true"/>
        </w:rPr>
        <w:footnoteReference w:id="2898"/>
      </w:r>
      <w:r>
        <w:rPr>
          <w:rFonts w:ascii="Amiri" w:hAnsi="Amiri" w:eastAsia="Amiri" w:cs="Amiri"/>
          <w:color w:val="111111"/>
          <w:sz w:val="28"/>
          <w:sz w:val="28"/>
          <w:szCs w:val="28"/>
          <w:rtl w:val="true"/>
          <w:lang w:bidi="ar-SA"/>
        </w:rPr>
        <w:t>، و عن تفسير عليّ بن إبراهيم نقلا عن العالم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العاملين عليها هم السعاة و الجباة في أخذها و جمعها و حفظها حتّى يؤدّوها إلى من يقسّمها</w:t>
      </w:r>
      <w:r>
        <w:rPr>
          <w:rFonts w:eastAsia="Amiri" w:cs="Amiri" w:ascii="Amiri" w:hAnsi="Amiri"/>
          <w:color w:val="111111"/>
          <w:sz w:val="28"/>
          <w:szCs w:val="28"/>
          <w:rtl w:val="true"/>
          <w:lang w:bidi="ar-SA"/>
        </w:rPr>
        <w:t>»</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استحقاقهم</w:t>
      </w:r>
      <w:r>
        <w:rPr>
          <w:rFonts w:eastAsia="Amiri" w:cs="Amiri" w:ascii="Amiri" w:hAnsi="Amiri"/>
          <w:color w:val="111111"/>
          <w:sz w:val="28"/>
          <w:szCs w:val="28"/>
          <w:rtl w:val="true"/>
          <w:lang w:bidi="ar-SA"/>
        </w:rPr>
        <w:t>»</w:t>
      </w:r>
      <w:r>
        <w:rPr>
          <w:rStyle w:val="FootnoteAnchor"/>
          <w:rtl w:val="true"/>
        </w:rPr>
        <w:footnoteReference w:id="2900"/>
      </w:r>
      <w:r>
        <w:rPr>
          <w:rFonts w:ascii="Amiri" w:hAnsi="Amiri" w:eastAsia="Amiri" w:cs="Amiri"/>
          <w:color w:val="111111"/>
          <w:sz w:val="28"/>
          <w:sz w:val="28"/>
          <w:szCs w:val="28"/>
          <w:rtl w:val="true"/>
          <w:lang w:bidi="ar-SA"/>
        </w:rPr>
        <w:t>و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بين أصحابنا في استحقاق هؤلاء سهما من الزكاة و إن كانوا أغنياء، و إليه ذهب أكثر العامّة</w:t>
      </w:r>
      <w:r>
        <w:rPr>
          <w:rFonts w:eastAsia="Amiri" w:cs="Amiri" w:ascii="Amiri" w:hAnsi="Amiri"/>
          <w:color w:val="111111"/>
          <w:sz w:val="28"/>
          <w:szCs w:val="28"/>
          <w:rtl w:val="true"/>
          <w:lang w:bidi="ar-SA"/>
        </w:rPr>
        <w:t>»</w:t>
      </w:r>
      <w:r>
        <w:rPr>
          <w:rStyle w:val="FootnoteAnchor"/>
          <w:rtl w:val="true"/>
        </w:rPr>
        <w:footnoteReference w:id="2901"/>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أجمع علماؤنا و أكثر العامّة</w:t>
      </w:r>
      <w:r>
        <w:rPr>
          <w:rStyle w:val="FootnoteAnchor"/>
          <w:rtl w:val="true"/>
        </w:rPr>
        <w:footnoteReference w:id="2902"/>
      </w:r>
      <w:r>
        <w:rPr>
          <w:rFonts w:ascii="Amiri" w:hAnsi="Amiri" w:eastAsia="Amiri" w:cs="Amiri"/>
          <w:color w:val="111111"/>
          <w:sz w:val="28"/>
          <w:sz w:val="28"/>
          <w:szCs w:val="28"/>
          <w:rtl w:val="true"/>
          <w:lang w:bidi="ar-SA"/>
        </w:rPr>
        <w:t>على استحقاق هؤلاء نصيبا من الزكاة و إن كانوا أغنياء</w:t>
      </w:r>
      <w:r>
        <w:rPr>
          <w:rFonts w:eastAsia="Amiri" w:cs="Amiri" w:ascii="Amiri" w:hAnsi="Amiri"/>
          <w:color w:val="111111"/>
          <w:sz w:val="28"/>
          <w:szCs w:val="28"/>
          <w:rtl w:val="true"/>
          <w:lang w:bidi="ar-SA"/>
        </w:rPr>
        <w:t>»</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الآية و الرواية مثل ما رواه الكليني عن زرارة و محمّد بن مسلم في الحسن بإبراهيم بن هاشم بل الصحيح قالا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اَللّٰهِ‌ </w:t>
      </w:r>
      <w:r>
        <w:rPr>
          <w:rStyle w:val="FootnoteAnchor"/>
          <w:rtl w:val="true"/>
        </w:rPr>
        <w:footnoteReference w:id="2904"/>
      </w:r>
      <w:r>
        <w:rPr>
          <w:rFonts w:ascii="Amiri" w:hAnsi="Amiri" w:eastAsia="Amiri" w:cs="Amiri"/>
          <w:color w:val="111111"/>
          <w:sz w:val="28"/>
          <w:sz w:val="28"/>
          <w:szCs w:val="28"/>
          <w:rtl w:val="true"/>
          <w:lang w:bidi="ar-SA"/>
        </w:rPr>
        <w:t>أ كلّ هؤلاء يعطى و إن كان لا يعرف‌؟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يعطي هؤلاء جميعا لأنّهم يقرّون له بالطاعة</w:t>
      </w:r>
      <w:r>
        <w:rPr>
          <w:rFonts w:eastAsia="Amiri" w:cs="Amiri" w:ascii="Amiri" w:hAnsi="Amiri"/>
          <w:color w:val="111111"/>
          <w:sz w:val="28"/>
          <w:szCs w:val="28"/>
          <w:rtl w:val="true"/>
          <w:lang w:bidi="ar-SA"/>
        </w:rPr>
        <w:t>»</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حنيفة أنّه يعطى عوضا و اجرة لأنّه لا يعطى إلاّ مع العمل و لو فرّقها المالك أو الإمام لم يكن له نصيب، و لأنّه يأخذها مع الغنى و الصدقة لا تحلّ لغنيّ‌</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إعطائهم إلاّ مع العمل لا ينافي استحقاقهم لأنّهم إنّما يستحقّونه بشرط العمل لا أنّها عوض عن عملهم، و لذا لا يعتبر فيها تقدير العمل و لا تعيين المدّة و لا تقدير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إنّما يستحقّونها باعتبار العمل لا باعتبار الفقر، فلا ينافي غناهم لاستحقاقهم، كما أنّ ابن السبيل كذلك فإنّه يعطى و إن كان غنيّا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قد عرفت أنّ العامل إنّما يستحقّ السهم لعمله لا مطلقا، تعرف أنّه لو أخلّ بالعمل لم يستحقّ شيئا، و منه</w:t>
      </w:r>
      <w:r>
        <w:rPr>
          <w:rStyle w:val="FootnoteAnchor"/>
          <w:rtl w:val="true"/>
        </w:rPr>
        <w:footnoteReference w:id="2907"/>
      </w:r>
      <w:r>
        <w:rPr>
          <w:rFonts w:ascii="Amiri" w:hAnsi="Amiri" w:eastAsia="Amiri" w:cs="Amiri"/>
          <w:color w:val="111111"/>
          <w:sz w:val="28"/>
          <w:sz w:val="28"/>
          <w:szCs w:val="28"/>
          <w:rtl w:val="true"/>
          <w:lang w:bidi="ar-SA"/>
        </w:rPr>
        <w:t>ما لو دفعها المالك بنفسه إلى الفقير أو إلى الإمام فسقط بذلك حقّ العامل، كما نصّ عليه في المنتهى و التذكرة</w:t>
      </w:r>
      <w:r>
        <w:rPr>
          <w:rStyle w:val="FootnoteAnchor"/>
          <w:rtl w:val="true"/>
        </w:rPr>
        <w:footnoteReference w:id="2908"/>
      </w:r>
      <w:r>
        <w:rPr>
          <w:rFonts w:ascii="Amiri" w:hAnsi="Amiri" w:eastAsia="Amiri" w:cs="Amiri"/>
          <w:color w:val="111111"/>
          <w:sz w:val="28"/>
          <w:sz w:val="28"/>
          <w:szCs w:val="28"/>
          <w:rtl w:val="true"/>
          <w:lang w:bidi="ar-SA"/>
        </w:rPr>
        <w:t>و في المنتهى أيضا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فرّقها الإمام بنفسه لم يكن له أخذ شيء منها، لأنّ استحقاق سهمه من الخمس لما يفعله من المصالح و هذا منها</w:t>
      </w:r>
      <w:r>
        <w:rPr>
          <w:rFonts w:eastAsia="Amiri" w:cs="Amiri" w:ascii="Amiri" w:hAnsi="Amiri"/>
          <w:color w:val="111111"/>
          <w:sz w:val="28"/>
          <w:szCs w:val="28"/>
          <w:rtl w:val="true"/>
          <w:lang w:bidi="ar-SA"/>
        </w:rPr>
        <w:t>»</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تولّى الإمام أو الوالي من قبله قسمتها لم يستحقّ منها شيئا، لأنّه يأخذ رزقه من بيت المال لأنّه يتولّى امور المسلمين، و هذا من جملة المصالح</w:t>
      </w:r>
      <w:r>
        <w:rPr>
          <w:rFonts w:eastAsia="Amiri" w:cs="Amiri" w:ascii="Amiri" w:hAnsi="Amiri"/>
          <w:color w:val="111111"/>
          <w:sz w:val="28"/>
          <w:szCs w:val="28"/>
          <w:rtl w:val="true"/>
          <w:lang w:bidi="ar-SA"/>
        </w:rPr>
        <w:t>»</w:t>
      </w:r>
      <w:r>
        <w:rPr>
          <w:rStyle w:val="FootnoteAnchor"/>
          <w:rtl w:val="true"/>
        </w:rPr>
        <w:footnoteReference w:id="2910"/>
      </w: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الإمام مخيّر بين أن يقدّر لهم جعالة مقدّرة، أو اجرة عن مدّة مقدّرة</w:t>
      </w:r>
      <w:r>
        <w:rPr>
          <w:rFonts w:eastAsia="Amiri" w:cs="Amiri" w:ascii="Amiri" w:hAnsi="Amiri"/>
          <w:color w:val="111111"/>
          <w:sz w:val="28"/>
          <w:szCs w:val="28"/>
          <w:rtl w:val="true"/>
          <w:lang w:bidi="ar-SA"/>
        </w:rPr>
        <w:t>»</w:t>
      </w:r>
      <w:r>
        <w:rPr>
          <w:rStyle w:val="FootnoteAnchor"/>
          <w:rtl w:val="true"/>
        </w:rPr>
        <w:footnoteReference w:id="2911"/>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جواز الأمرين مع ثالث و هو عدم التعيين و إعطائهم ما يراه الإمام كباقي الأصناف</w:t>
      </w:r>
      <w:r>
        <w:rPr>
          <w:rFonts w:eastAsia="Amiri" w:cs="Amiri" w:ascii="Amiri" w:hAnsi="Amiri"/>
          <w:color w:val="111111"/>
          <w:sz w:val="28"/>
          <w:szCs w:val="28"/>
          <w:rtl w:val="true"/>
          <w:lang w:bidi="ar-SA"/>
        </w:rPr>
        <w:t>»</w:t>
      </w:r>
      <w:r>
        <w:rPr>
          <w:rStyle w:val="FootnoteAnchor"/>
          <w:rtl w:val="true"/>
        </w:rPr>
        <w:footnoteReference w:id="2912"/>
      </w:r>
      <w:r>
        <w:rPr>
          <w:rFonts w:ascii="Amiri" w:hAnsi="Amiri" w:eastAsia="Amiri" w:cs="Amiri"/>
          <w:color w:val="111111"/>
          <w:sz w:val="28"/>
          <w:sz w:val="28"/>
          <w:szCs w:val="28"/>
          <w:rtl w:val="true"/>
          <w:lang w:bidi="ar-SA"/>
        </w:rPr>
        <w:t>و في المنتهى ذكر الوجوه الثلاث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للإمام أن يقدّر له اجرة معلومة عن مدّة معيّنة، أو يجعل له جعالة، أو يجعل له نصيبا من الصدقات</w:t>
      </w:r>
      <w:r>
        <w:rPr>
          <w:rFonts w:eastAsia="Amiri" w:cs="Amiri" w:ascii="Amiri" w:hAnsi="Amiri"/>
          <w:color w:val="111111"/>
          <w:sz w:val="28"/>
          <w:szCs w:val="28"/>
          <w:rtl w:val="true"/>
          <w:lang w:bidi="ar-SA"/>
        </w:rPr>
        <w:t>»</w:t>
      </w:r>
      <w:r>
        <w:rPr>
          <w:rStyle w:val="FootnoteAnchor"/>
          <w:rtl w:val="true"/>
        </w:rPr>
        <w:footnoteReference w:id="2913"/>
      </w:r>
      <w:r>
        <w:rPr>
          <w:rFonts w:ascii="Amiri" w:hAnsi="Amiri" w:eastAsia="Amiri" w:cs="Amiri"/>
          <w:color w:val="111111"/>
          <w:sz w:val="28"/>
          <w:sz w:val="28"/>
          <w:szCs w:val="28"/>
          <w:rtl w:val="true"/>
          <w:lang w:bidi="ar-SA"/>
        </w:rPr>
        <w:t>و المرويّ من هذه الوجوه هو الأخير لحسنة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ما يعطى المصدّق‌؟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الإمام و لا يقدّر له شيء</w:t>
      </w:r>
      <w:r>
        <w:rPr>
          <w:rFonts w:eastAsia="Amiri" w:cs="Amiri" w:ascii="Amiri" w:hAnsi="Amiri"/>
          <w:color w:val="111111"/>
          <w:sz w:val="28"/>
          <w:szCs w:val="28"/>
          <w:rtl w:val="true"/>
          <w:lang w:bidi="ar-SA"/>
        </w:rPr>
        <w:t>»</w:t>
      </w:r>
      <w:r>
        <w:rPr>
          <w:rStyle w:val="FootnoteAnchor"/>
          <w:rtl w:val="true"/>
        </w:rPr>
        <w:footnoteReference w:id="2914"/>
      </w:r>
      <w:r>
        <w:rPr>
          <w:rFonts w:ascii="Amiri" w:hAnsi="Amiri" w:eastAsia="Amiri" w:cs="Amiri"/>
          <w:color w:val="111111"/>
          <w:sz w:val="28"/>
          <w:sz w:val="28"/>
          <w:szCs w:val="28"/>
          <w:rtl w:val="true"/>
          <w:lang w:bidi="ar-SA"/>
        </w:rPr>
        <w:t>فهذا هو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ذكر </w:t>
      </w:r>
    </w:p>
    <w:p>
      <w:pPr>
        <w:pStyle w:val="BookText"/>
        <w:rPr/>
      </w:pP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أنّه لا يشترط تقدير الاجرة أو السهم لأنّ له نصيبا يفرضه تعالى فلا يشترط في استعماله غيره، و لقول الصادق عليه السّلام</w:t>
      </w:r>
      <w:r>
        <w:rPr>
          <w:rStyle w:val="FootnoteAnchor"/>
          <w:rtl w:val="true"/>
        </w:rPr>
        <w:footnoteReference w:id="2915"/>
      </w:r>
      <w:r>
        <w:rPr>
          <w:rFonts w:ascii="Amiri" w:hAnsi="Amiri" w:eastAsia="Amiri" w:cs="Amiri"/>
          <w:color w:val="111111"/>
          <w:sz w:val="28"/>
          <w:sz w:val="28"/>
          <w:szCs w:val="28"/>
          <w:rtl w:val="true"/>
          <w:lang w:bidi="ar-SA"/>
        </w:rPr>
        <w:t>ثمّ ذكر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 بعد ما ذكر تخيير الإمام بين أن يستأجره لمدّة معلومة أو يعقد له جعالة فإذا عمل ما شرط عليه فإن كان اجرة مثله أقلّ كان الفاضل من الثمن من الصدقة مردودا على أهل السهام، و إن كان السهم أقلّ من اجرته جاز للإمام أن يعطيه الباقي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بعيد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أن يعطيه من باقي الصدقة و يقسّم الفاضل عن اجرته بين باقي المستحقّين لأنّ الفاضل لمّا ردّ عليهم كان الناقص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نحوه عن الشهيد في البيان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عيّن له اجرة فقصر السهم عن اجرته أتمّه الإمام من بيت المال و من باقي السهام، و لو زاد نصيبه عن اجرته فهو لباقي المستحقّين</w:t>
      </w:r>
      <w:r>
        <w:rPr>
          <w:rFonts w:eastAsia="Amiri" w:cs="Amiri" w:ascii="Amiri" w:hAnsi="Amiri"/>
          <w:color w:val="111111"/>
          <w:sz w:val="28"/>
          <w:szCs w:val="28"/>
          <w:rtl w:val="true"/>
          <w:lang w:bidi="ar-SA"/>
        </w:rPr>
        <w:t>»</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يستكمل فيهم أربع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 الإيمان و العدالة و الفقه و لو اقتصر على ما يحتاج إليه فيه جاز، و أن لا يكون هاشميّا، و في اعتبار الحرّيّة تردّد</w:t>
      </w:r>
      <w:r>
        <w:rPr>
          <w:rFonts w:eastAsia="Amiri" w:cs="Amiri" w:ascii="Amiri" w:hAnsi="Amiri"/>
          <w:color w:val="111111"/>
          <w:sz w:val="28"/>
          <w:szCs w:val="28"/>
          <w:rtl w:val="true"/>
          <w:lang w:bidi="ar-SA"/>
        </w:rPr>
        <w:t>»</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عدم الخلاف في اعتبار الثلاث الاولى، و في اعتبار الفقه خلاف، فعن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عدم اعتباره</w:t>
      </w:r>
      <w:r>
        <w:rPr>
          <w:rStyle w:val="FootnoteAnchor"/>
          <w:rtl w:val="true"/>
        </w:rPr>
        <w:footnoteReference w:id="2918"/>
      </w:r>
      <w:r>
        <w:rPr>
          <w:rFonts w:ascii="Amiri" w:hAnsi="Amiri" w:eastAsia="Amiri" w:cs="Amiri"/>
          <w:color w:val="111111"/>
          <w:sz w:val="28"/>
          <w:sz w:val="28"/>
          <w:szCs w:val="28"/>
          <w:rtl w:val="true"/>
          <w:lang w:bidi="ar-SA"/>
        </w:rPr>
        <w:t>و عن البيان استحسانه</w:t>
      </w:r>
      <w:r>
        <w:rPr>
          <w:rStyle w:val="FootnoteAnchor"/>
          <w:rtl w:val="true"/>
        </w:rPr>
        <w:footnoteReference w:id="2919"/>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البأس</w:t>
      </w:r>
      <w:r>
        <w:rPr>
          <w:rStyle w:val="FootnoteAnchor"/>
          <w:rtl w:val="true"/>
        </w:rPr>
        <w:footnoteReference w:id="2920"/>
      </w:r>
      <w:r>
        <w:rPr>
          <w:rFonts w:ascii="Amiri" w:hAnsi="Amiri" w:eastAsia="Amiri" w:cs="Amiri"/>
          <w:color w:val="111111"/>
          <w:sz w:val="28"/>
          <w:sz w:val="28"/>
          <w:szCs w:val="28"/>
          <w:rtl w:val="true"/>
          <w:lang w:bidi="ar-SA"/>
        </w:rPr>
        <w:t>و لا يخلو عن وجه، لأنّ معرفة المسائل المتعلّقة بالعمالة حسبما يحتاج إليه بالتقليد أيضا ممكن، و لو اريد بالفقه ما يعمّ ذلك كان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انتفاء الهاشميّة إنّما يعتبر من حيث عدم استحقاقهم النصيب لكونه من الزكاة فلو تبرّع الهاشمي بالعمل أو استأجره المالك باجرة من غير الزكاة فالظاهر عدم البأس به كما نصّ على جوازه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النصّ الوارد فيه أيضا هو المنع من أخذ النصيب ففي صحيح العيص بن القسم عن الصادق عليه السّلام قال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اناسا من بني هاشم أتوا رسول اللّه صلّى اللّه عليه و آله فسألوه أن يستعملهم على صدقات </w:t>
      </w:r>
      <w:bookmarkStart w:id="656" w:name="pg16181_154855"/>
    </w:p>
    <w:p>
      <w:pPr>
        <w:pStyle w:val="BookText"/>
        <w:rPr/>
      </w:pPr>
      <w:bookmarkEnd w:id="656"/>
      <w:r>
        <w:rPr>
          <w:rFonts w:ascii="Amiri" w:hAnsi="Amiri" w:eastAsia="Amiri" w:cs="Amiri"/>
          <w:color w:val="111111"/>
          <w:sz w:val="28"/>
          <w:sz w:val="28"/>
          <w:szCs w:val="28"/>
          <w:rtl w:val="true"/>
          <w:lang w:bidi="ar-SA"/>
        </w:rPr>
        <w:t>المواشي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هذا السهم الّذي جعله اللّه عزّ و جلّ للعاملين عليها فنحن أولى به،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 الصدقة لا تحلّ لي و لا لكم و لكن قد وعدت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قد وعدها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ظنّكم يا بني عبد المطلّب إذا أخذت بحلقة باب الجنّة أ تروني موثرا عليكم غيركم</w:t>
      </w:r>
      <w:r>
        <w:rPr>
          <w:rFonts w:eastAsia="Amiri" w:cs="Amiri" w:ascii="Amiri" w:hAnsi="Amiri"/>
          <w:color w:val="111111"/>
          <w:sz w:val="28"/>
          <w:szCs w:val="28"/>
          <w:rtl w:val="true"/>
          <w:lang w:bidi="ar-SA"/>
        </w:rPr>
        <w:t>»</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في الحرّية أيضا عدم الاعتبار وفاقا للعلاّمة في المختلف و مال إليه في المعتبر</w:t>
      </w:r>
      <w:r>
        <w:rPr>
          <w:rStyle w:val="FootnoteAnchor"/>
          <w:rtl w:val="true"/>
        </w:rPr>
        <w:footnoteReference w:id="2922"/>
      </w:r>
      <w:r>
        <w:rPr>
          <w:rFonts w:ascii="Amiri" w:hAnsi="Amiri" w:eastAsia="Amiri" w:cs="Amiri"/>
          <w:color w:val="111111"/>
          <w:sz w:val="28"/>
          <w:sz w:val="28"/>
          <w:szCs w:val="28"/>
          <w:rtl w:val="true"/>
          <w:lang w:bidi="ar-SA"/>
        </w:rPr>
        <w:t>على ما حكي، و نفى عنه البأس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لحصول الغرض بعمل المملوك</w:t>
      </w:r>
      <w:r>
        <w:rPr>
          <w:rFonts w:eastAsia="Amiri" w:cs="Amiri" w:ascii="Amiri" w:hAnsi="Amiri"/>
          <w:color w:val="111111"/>
          <w:sz w:val="28"/>
          <w:szCs w:val="28"/>
          <w:rtl w:val="true"/>
          <w:lang w:bidi="ar-SA"/>
        </w:rPr>
        <w:t>»</w:t>
      </w:r>
      <w:r>
        <w:rPr>
          <w:rStyle w:val="FootnoteAnchor"/>
          <w:rtl w:val="true"/>
        </w:rPr>
        <w:footnoteReference w:id="2923"/>
      </w:r>
      <w:r>
        <w:rPr>
          <w:rFonts w:ascii="Amiri" w:hAnsi="Amiri" w:eastAsia="Amiri" w:cs="Amiri"/>
          <w:color w:val="111111"/>
          <w:sz w:val="28"/>
          <w:sz w:val="28"/>
          <w:szCs w:val="28"/>
          <w:rtl w:val="true"/>
          <w:lang w:bidi="ar-SA"/>
        </w:rPr>
        <w:t>إذا استعمله بإذن مولاه، و لا ينافيه كون العامل يستحقّ نصيبا من الزكاة و المملوك لا يملك، لأنّ عمل العبد كعمل المولى فيعود النصيب إلى المولى و يملكه باعتبار أنّه كأنّه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مكاتبا فالظاهر عدم الخلاف في جواز عمالته، لأنّه صالح للتكسّب و الملك كما في المدارك</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2586893_1280447820"/>
      <w:bookmarkStart w:id="658" w:name="_Toc245"/>
      <w:bookmarkEnd w:id="657"/>
      <w:r>
        <w:rPr>
          <w:rtl w:val="true"/>
        </w:rPr>
        <w:t>الصنف الرابع المؤلّفة قلوبهم</w:t>
      </w:r>
      <w:r>
        <w:rPr>
          <w:rtl w:val="true"/>
        </w:rPr>
        <w:t>:</w:t>
      </w:r>
      <w:bookmarkEnd w:id="658"/>
    </w:p>
    <w:p>
      <w:pPr>
        <w:pStyle w:val="BookText"/>
        <w:rPr/>
      </w:pPr>
      <w:r>
        <w:rPr>
          <w:rFonts w:ascii="Amiri" w:hAnsi="Amiri" w:eastAsia="Amiri" w:cs="Amiri"/>
          <w:color w:val="111111"/>
          <w:sz w:val="28"/>
          <w:sz w:val="28"/>
          <w:szCs w:val="28"/>
          <w:rtl w:val="true"/>
          <w:lang w:bidi="ar-SA"/>
        </w:rPr>
        <w:t>و لا خلاف في أنّ لهم سهما من الزكاة، و قد نصّ القرآن بذلك</w:t>
      </w:r>
      <w:r>
        <w:rPr>
          <w:rStyle w:val="FootnoteAnchor"/>
          <w:rtl w:val="true"/>
        </w:rPr>
        <w:footnoteReference w:id="2925"/>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العلماء كافّة على أنّ للمؤلّفة قلوبهم سهما من الزكاة</w:t>
      </w:r>
      <w:r>
        <w:rPr>
          <w:rFonts w:eastAsia="Amiri" w:cs="Amiri" w:ascii="Amiri" w:hAnsi="Amiri"/>
          <w:color w:val="111111"/>
          <w:sz w:val="28"/>
          <w:szCs w:val="28"/>
          <w:rtl w:val="true"/>
          <w:lang w:bidi="ar-SA"/>
        </w:rPr>
        <w:t>»</w:t>
      </w:r>
      <w:r>
        <w:rPr>
          <w:rStyle w:val="FootnoteAnchor"/>
          <w:rtl w:val="true"/>
        </w:rPr>
        <w:footnoteReference w:id="2926"/>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استحقاقهم ثابت بالنصّ و الإجماع</w:t>
      </w:r>
      <w:r>
        <w:rPr>
          <w:rFonts w:eastAsia="IRNazanin" w:cs="IRNazanin"/>
          <w:color w:val="111111"/>
          <w:sz w:val="28"/>
          <w:szCs w:val="28"/>
          <w:rtl w:val="true"/>
          <w:lang w:bidi="fa-IR"/>
        </w:rPr>
        <w:t>»</w:t>
      </w:r>
      <w:r>
        <w:rPr>
          <w:rStyle w:val="FootnoteAnchor"/>
          <w:rtl w:val="true"/>
        </w:rPr>
        <w:footnoteReference w:id="2927"/>
      </w:r>
      <w:r>
        <w:rPr>
          <w:rFonts w:ascii="Amiri" w:hAnsi="Amiri" w:eastAsia="Amiri" w:cs="Amiri"/>
          <w:color w:val="111111"/>
          <w:sz w:val="28"/>
          <w:sz w:val="28"/>
          <w:szCs w:val="28"/>
          <w:rtl w:val="true"/>
          <w:lang w:bidi="ar-SA"/>
        </w:rPr>
        <w:t>و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خلافا بين العلماء في أنّ للمؤلّفة قلوبهم سهما من الزكاة، و الإجماع عليه منقول</w:t>
      </w:r>
      <w:r>
        <w:rPr>
          <w:rFonts w:eastAsia="Amiri" w:cs="Amiri" w:ascii="Amiri" w:hAnsi="Amiri"/>
          <w:color w:val="111111"/>
          <w:sz w:val="28"/>
          <w:szCs w:val="28"/>
          <w:rtl w:val="true"/>
          <w:lang w:bidi="ar-SA"/>
        </w:rPr>
        <w:t>»</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الخلاف في مقامين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هذا السهم بالكفّار أو شموله للمسلمين أيضا؟ فعن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المؤلّفة قلوبهم عندنا هم الكفّار الّذين يستمالون بشيء من مال الصدقات إلى الإسلام و يتألّفون ليستعان بهم على قتال أهل الشرك و لا يعرف علماؤنا مؤلّفة أهل الإسلام</w:t>
      </w:r>
      <w:r>
        <w:rPr>
          <w:rFonts w:eastAsia="Amiri" w:cs="Amiri" w:ascii="Amiri" w:hAnsi="Amiri"/>
          <w:color w:val="111111"/>
          <w:sz w:val="28"/>
          <w:szCs w:val="28"/>
          <w:rtl w:val="true"/>
          <w:lang w:bidi="ar-SA"/>
        </w:rPr>
        <w:t>»</w:t>
      </w:r>
      <w:r>
        <w:rPr>
          <w:rStyle w:val="FootnoteAnchor"/>
          <w:rtl w:val="true"/>
        </w:rPr>
        <w:footnoteReference w:id="2929"/>
      </w:r>
      <w:r>
        <w:rPr>
          <w:rFonts w:ascii="Amiri" w:hAnsi="Amiri" w:eastAsia="Amiri" w:cs="Amiri"/>
          <w:color w:val="111111"/>
          <w:sz w:val="28"/>
          <w:sz w:val="28"/>
          <w:szCs w:val="28"/>
          <w:rtl w:val="true"/>
          <w:lang w:bidi="ar-SA"/>
        </w:rPr>
        <w:t xml:space="preserve">و نسبه في الذخيرة و المدارك إلى المحقّق و جماعة من </w:t>
      </w:r>
    </w:p>
    <w:p>
      <w:pPr>
        <w:pStyle w:val="BookText"/>
        <w:rPr/>
      </w:pPr>
      <w:r>
        <w:rPr>
          <w:rFonts w:ascii="IRNazanin" w:hAnsi="IRNazanin" w:eastAsia="IRNazanin"/>
          <w:color w:val="111111"/>
          <w:sz w:val="28"/>
          <w:sz w:val="28"/>
          <w:szCs w:val="28"/>
          <w:rtl w:val="true"/>
          <w:lang w:bidi="fa-IR"/>
        </w:rPr>
        <w:t>الأصحاب</w:t>
      </w:r>
      <w:r>
        <w:rPr>
          <w:rStyle w:val="FootnoteAnchor"/>
          <w:rtl w:val="true"/>
        </w:rPr>
        <w:footnoteReference w:id="2930"/>
      </w:r>
      <w:r>
        <w:rPr>
          <w:rFonts w:ascii="Amiri" w:hAnsi="Amiri" w:eastAsia="Amiri" w:cs="Amiri"/>
          <w:color w:val="111111"/>
          <w:sz w:val="28"/>
          <w:sz w:val="28"/>
          <w:szCs w:val="28"/>
          <w:rtl w:val="true"/>
          <w:lang w:bidi="ar-SA"/>
        </w:rPr>
        <w:t>إلاّ أنّ المحقّق في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الكفّار الذين يستمالون للجهاد و لا نعرف مؤلّفة غيرهم</w:t>
      </w:r>
      <w:r>
        <w:rPr>
          <w:rFonts w:eastAsia="Amiri" w:cs="Amiri" w:ascii="Amiri" w:hAnsi="Amiri"/>
          <w:color w:val="111111"/>
          <w:sz w:val="28"/>
          <w:szCs w:val="28"/>
          <w:rtl w:val="true"/>
          <w:lang w:bidi="ar-SA"/>
        </w:rPr>
        <w:t>»</w:t>
      </w:r>
      <w:r>
        <w:rPr>
          <w:rStyle w:val="FootnoteAnchor"/>
          <w:rtl w:val="true"/>
        </w:rPr>
        <w:footnoteReference w:id="2931"/>
      </w:r>
      <w:r>
        <w:rPr>
          <w:rFonts w:ascii="IRNazanin" w:hAnsi="IRNazanin" w:eastAsia="IRNazanin"/>
          <w:color w:val="111111"/>
          <w:sz w:val="28"/>
          <w:sz w:val="28"/>
          <w:szCs w:val="28"/>
          <w:rtl w:val="true"/>
          <w:lang w:bidi="fa-IR"/>
        </w:rPr>
        <w:t>و نحوه عن الخلاف</w:t>
      </w:r>
      <w:r>
        <w:rPr>
          <w:rStyle w:val="FootnoteAnchor"/>
          <w:rtl w:val="true"/>
        </w:rPr>
        <w:footnoteReference w:id="2932"/>
      </w:r>
      <w:r>
        <w:rPr>
          <w:rFonts w:ascii="IRNazanin" w:hAnsi="IRNazanin" w:eastAsia="IRNazanin"/>
          <w:color w:val="111111"/>
          <w:sz w:val="28"/>
          <w:sz w:val="28"/>
          <w:szCs w:val="28"/>
          <w:rtl w:val="true"/>
          <w:lang w:bidi="fa-IR"/>
        </w:rPr>
        <w:t>و المصباح</w:t>
      </w:r>
      <w:r>
        <w:rPr>
          <w:rStyle w:val="FootnoteAnchor"/>
          <w:rtl w:val="true"/>
        </w:rPr>
        <w:footnoteReference w:id="2933"/>
      </w:r>
      <w:r>
        <w:rPr>
          <w:rFonts w:ascii="Amiri" w:hAnsi="Amiri" w:eastAsia="Amiri" w:cs="Amiri"/>
          <w:color w:val="111111"/>
          <w:sz w:val="28"/>
          <w:sz w:val="28"/>
          <w:szCs w:val="28"/>
          <w:rtl w:val="true"/>
          <w:lang w:bidi="ar-SA"/>
        </w:rPr>
        <w:t>و الوسيلة</w:t>
      </w:r>
      <w:r>
        <w:rPr>
          <w:rStyle w:val="FootnoteAnchor"/>
          <w:rtl w:val="true"/>
        </w:rPr>
        <w:footnoteReference w:id="2934"/>
      </w:r>
      <w:r>
        <w:rPr>
          <w:rFonts w:ascii="IRNazanin" w:hAnsi="IRNazanin" w:eastAsia="IRNazanin"/>
          <w:color w:val="111111"/>
          <w:sz w:val="28"/>
          <w:sz w:val="28"/>
          <w:szCs w:val="28"/>
          <w:rtl w:val="true"/>
          <w:lang w:bidi="fa-IR"/>
        </w:rPr>
        <w:t>و الإرشاد</w:t>
      </w:r>
      <w:r>
        <w:rPr>
          <w:rStyle w:val="FootnoteAnchor"/>
          <w:rtl w:val="true"/>
        </w:rPr>
        <w:footnoteReference w:id="2935"/>
      </w:r>
      <w:r>
        <w:rPr>
          <w:rFonts w:ascii="Amiri" w:hAnsi="Amiri" w:eastAsia="Amiri" w:cs="Amiri"/>
          <w:color w:val="111111"/>
          <w:sz w:val="28"/>
          <w:sz w:val="28"/>
          <w:szCs w:val="28"/>
          <w:rtl w:val="true"/>
          <w:lang w:bidi="ar-SA"/>
        </w:rPr>
        <w:t>فلم يذكروا الاستمالة إلى الإسلام، و لعلّ المراد من عبارة المبسوط الاستمالة إلى الإسلام لمجرّد الجهاد مع المسلمين لأهل الشرك لا لقبول الإسلام فيكون معنى الجميع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الكلّ إلى ما عن الاقتصاد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قوم كفّار لهم ميل إلى الإسلام يستعان بهم على قتال أهل الحرب، و عن بعضهم أنّه فسّره بالمنافقين</w:t>
      </w:r>
      <w:r>
        <w:rPr>
          <w:rFonts w:eastAsia="Amiri" w:cs="Amiri" w:ascii="Amiri" w:hAnsi="Amiri"/>
          <w:color w:val="111111"/>
          <w:sz w:val="28"/>
          <w:szCs w:val="28"/>
          <w:rtl w:val="true"/>
          <w:lang w:bidi="ar-SA"/>
        </w:rPr>
        <w:t>»</w:t>
      </w:r>
      <w:r>
        <w:rPr>
          <w:rStyle w:val="FootnoteAnchor"/>
          <w:rtl w:val="true"/>
        </w:rPr>
        <w:footnoteReference w:id="2936"/>
      </w:r>
      <w:r>
        <w:rPr>
          <w:rFonts w:ascii="Amiri" w:hAnsi="Amiri" w:eastAsia="Amiri" w:cs="Amiri"/>
          <w:color w:val="111111"/>
          <w:sz w:val="28"/>
          <w:sz w:val="28"/>
          <w:szCs w:val="28"/>
          <w:rtl w:val="true"/>
          <w:lang w:bidi="ar-SA"/>
        </w:rPr>
        <w:t>و لعلّ المراد به ابن الجنيد لأنّه فسّره 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أظهر الدين بلسانه و أعان المسلمين و إمامهم بيده و كان معهم إلاّ قلبه</w:t>
      </w:r>
      <w:r>
        <w:rPr>
          <w:rFonts w:eastAsia="Amiri" w:cs="Amiri" w:ascii="Amiri" w:hAnsi="Amiri"/>
          <w:color w:val="111111"/>
          <w:sz w:val="28"/>
          <w:szCs w:val="28"/>
          <w:rtl w:val="true"/>
          <w:lang w:bidi="ar-SA"/>
        </w:rPr>
        <w:t>»</w:t>
      </w:r>
      <w:r>
        <w:rPr>
          <w:rStyle w:val="FootnoteAnchor"/>
          <w:rtl w:val="true"/>
        </w:rPr>
        <w:footnoteReference w:id="2937"/>
      </w:r>
      <w:r>
        <w:rPr>
          <w:rFonts w:ascii="Amiri" w:hAnsi="Amiri" w:eastAsia="Amiri" w:cs="Amiri"/>
          <w:color w:val="111111"/>
          <w:sz w:val="28"/>
          <w:sz w:val="28"/>
          <w:szCs w:val="28"/>
          <w:rtl w:val="true"/>
          <w:lang w:bidi="ar-SA"/>
        </w:rPr>
        <w:t>و يمكن إرجاع ذلك أيضا إلى قول الشيخ و من تبعه</w:t>
      </w:r>
      <w:r>
        <w:rPr>
          <w:rStyle w:val="FootnoteAnchor"/>
          <w:rtl w:val="true"/>
        </w:rPr>
        <w:footnoteReference w:id="2938"/>
      </w:r>
      <w:r>
        <w:rPr>
          <w:rFonts w:ascii="Amiri" w:hAnsi="Amiri" w:eastAsia="Amiri" w:cs="Amiri"/>
          <w:color w:val="111111"/>
          <w:sz w:val="28"/>
          <w:sz w:val="28"/>
          <w:szCs w:val="28"/>
          <w:rtl w:val="true"/>
          <w:lang w:bidi="ar-SA"/>
        </w:rPr>
        <w:t>بناء على أن يكون المراد من الكافر أعمّ ممّن يكون كافرا في الظاهر و الباطن و من يكون كافرا في الباطن كالمنافق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فالكلمات المذكورة صراحة و ظهورا تعطي الاختصاص بالكفّار، 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أنّه المشهور</w:t>
      </w:r>
      <w:r>
        <w:rPr>
          <w:rStyle w:val="FootnoteAnchor"/>
          <w:rtl w:val="true"/>
        </w:rPr>
        <w:footnoteReference w:id="2939"/>
      </w:r>
      <w:r>
        <w:rPr>
          <w:rFonts w:ascii="Amiri" w:hAnsi="Amiri" w:eastAsia="Amiri" w:cs="Amiri"/>
          <w:color w:val="111111"/>
          <w:sz w:val="28"/>
          <w:sz w:val="28"/>
          <w:szCs w:val="28"/>
          <w:rtl w:val="true"/>
          <w:lang w:bidi="ar-SA"/>
        </w:rPr>
        <w:t>و عبارة المبسوط تؤذن بدعوى الإجماع عليه، و عن الغنية نفي الخلاف عنه</w:t>
      </w:r>
      <w:r>
        <w:rPr>
          <w:rStyle w:val="FootnoteAnchor"/>
          <w:rtl w:val="true"/>
        </w:rPr>
        <w:footnoteReference w:id="2940"/>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مقابل هذا القول ما نقل عن المفيد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المؤلّفة قلوبهم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و مشركون</w:t>
      </w:r>
      <w:r>
        <w:rPr>
          <w:rFonts w:eastAsia="Amiri" w:cs="Amiri" w:ascii="Amiri" w:hAnsi="Amiri"/>
          <w:color w:val="111111"/>
          <w:sz w:val="28"/>
          <w:szCs w:val="28"/>
          <w:rtl w:val="true"/>
          <w:lang w:bidi="ar-SA"/>
        </w:rPr>
        <w:t>»</w:t>
      </w:r>
      <w:r>
        <w:rPr>
          <w:rStyle w:val="FootnoteAnchor"/>
          <w:rtl w:val="true"/>
        </w:rPr>
        <w:footnoteReference w:id="2941"/>
      </w:r>
      <w:r>
        <w:rPr>
          <w:rFonts w:ascii="Amiri" w:hAnsi="Amiri" w:eastAsia="Amiri" w:cs="Amiri"/>
          <w:color w:val="111111"/>
          <w:sz w:val="28"/>
          <w:sz w:val="28"/>
          <w:szCs w:val="28"/>
          <w:rtl w:val="true"/>
          <w:lang w:bidi="ar-SA"/>
        </w:rPr>
        <w:t>و هو ظاهر المحكيّ عن الحلبي في إشارة السبق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المستعان بهم في الجهاد و إن كانوا كفّارا</w:t>
      </w:r>
      <w:r>
        <w:rPr>
          <w:rFonts w:eastAsia="Amiri" w:cs="Amiri" w:ascii="Amiri" w:hAnsi="Amiri"/>
          <w:color w:val="111111"/>
          <w:sz w:val="28"/>
          <w:szCs w:val="28"/>
          <w:rtl w:val="true"/>
          <w:lang w:bidi="ar-SA"/>
        </w:rPr>
        <w:t>»</w:t>
      </w:r>
      <w:r>
        <w:rPr>
          <w:rStyle w:val="FootnoteAnchor"/>
          <w:rtl w:val="true"/>
        </w:rPr>
        <w:footnoteReference w:id="2942"/>
      </w:r>
      <w:r>
        <w:rPr>
          <w:rFonts w:ascii="Amiri" w:hAnsi="Amiri" w:eastAsia="Amiri" w:cs="Amiri"/>
          <w:color w:val="111111"/>
          <w:sz w:val="28"/>
          <w:sz w:val="28"/>
          <w:szCs w:val="28"/>
          <w:rtl w:val="true"/>
          <w:lang w:bidi="ar-SA"/>
        </w:rPr>
        <w:t>و نحوه ما في النافع</w:t>
      </w:r>
      <w:r>
        <w:rPr>
          <w:rStyle w:val="FootnoteAnchor"/>
          <w:rtl w:val="true"/>
        </w:rPr>
        <w:footnoteReference w:id="2943"/>
      </w:r>
      <w:r>
        <w:rPr>
          <w:rFonts w:ascii="Amiri" w:hAnsi="Amiri" w:eastAsia="Amiri" w:cs="Amiri"/>
          <w:color w:val="111111"/>
          <w:sz w:val="28"/>
          <w:sz w:val="28"/>
          <w:szCs w:val="28"/>
          <w:rtl w:val="true"/>
          <w:lang w:bidi="ar-SA"/>
        </w:rPr>
        <w:t>و عزي إلى المعتبر</w:t>
      </w:r>
      <w:r>
        <w:rPr>
          <w:rStyle w:val="FootnoteAnchor"/>
          <w:rtl w:val="true"/>
        </w:rPr>
        <w:footnoteReference w:id="2944"/>
      </w:r>
      <w:r>
        <w:rPr>
          <w:rFonts w:ascii="Amiri" w:hAnsi="Amiri" w:eastAsia="Amiri" w:cs="Amiri"/>
          <w:color w:val="111111"/>
          <w:sz w:val="28"/>
          <w:sz w:val="28"/>
          <w:szCs w:val="28"/>
          <w:rtl w:val="true"/>
          <w:lang w:bidi="ar-SA"/>
        </w:rPr>
        <w:t>و التذكرة</w:t>
      </w:r>
      <w:r>
        <w:rPr>
          <w:rStyle w:val="FootnoteAnchor"/>
          <w:rtl w:val="true"/>
        </w:rPr>
        <w:footnoteReference w:id="2945"/>
      </w:r>
      <w:r>
        <w:rPr>
          <w:rFonts w:ascii="Amiri" w:hAnsi="Amiri" w:eastAsia="Amiri" w:cs="Amiri"/>
          <w:color w:val="111111"/>
          <w:sz w:val="28"/>
          <w:sz w:val="28"/>
          <w:szCs w:val="28"/>
          <w:rtl w:val="true"/>
          <w:lang w:bidi="ar-SA"/>
        </w:rPr>
        <w:t>و قيل</w:t>
      </w:r>
      <w:r>
        <w:rPr>
          <w:rStyle w:val="FootnoteAnchor"/>
          <w:rtl w:val="true"/>
        </w:rPr>
        <w:footnoteReference w:id="2946"/>
      </w:r>
      <w:r>
        <w:rPr>
          <w:rFonts w:ascii="Amiri" w:hAnsi="Amiri" w:eastAsia="Amiri" w:cs="Amiri"/>
          <w:color w:val="111111"/>
          <w:sz w:val="28"/>
          <w:sz w:val="28"/>
          <w:szCs w:val="28"/>
          <w:rtl w:val="true"/>
          <w:lang w:bidi="ar-SA"/>
        </w:rPr>
        <w:t>مال إليه جماعة من المتأخّرين</w:t>
      </w:r>
      <w:r>
        <w:rPr>
          <w:rStyle w:val="FootnoteAnchor"/>
          <w:rtl w:val="true"/>
        </w:rPr>
        <w:footnoteReference w:id="2947"/>
      </w:r>
      <w:r>
        <w:rPr>
          <w:rFonts w:ascii="Amiri" w:hAnsi="Amiri" w:eastAsia="Amiri" w:cs="Amiri"/>
          <w:color w:val="111111"/>
          <w:sz w:val="28"/>
          <w:sz w:val="28"/>
          <w:szCs w:val="28"/>
          <w:rtl w:val="true"/>
          <w:lang w:bidi="ar-SA"/>
        </w:rPr>
        <w:t xml:space="preserve">بل هو صريح الحلّي في </w:t>
      </w:r>
    </w:p>
    <w:p>
      <w:pPr>
        <w:pStyle w:val="BookText"/>
        <w:rPr/>
      </w:pPr>
      <w:r>
        <w:rPr>
          <w:rFonts w:ascii="Amiri" w:hAnsi="Amiri" w:eastAsia="Amiri" w:cs="Amiri"/>
          <w:color w:val="111111"/>
          <w:sz w:val="28"/>
          <w:sz w:val="28"/>
          <w:szCs w:val="28"/>
          <w:rtl w:val="true"/>
          <w:lang w:bidi="ar-SA"/>
        </w:rPr>
        <w:t>السرائر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المؤلّفة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مؤلّفة الكفر، و مؤلّفة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المؤلّفة ضرب واحد و هم مؤلّفة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مذهب شيخنا المفيد و هو الصحيح</w:t>
      </w:r>
      <w:r>
        <w:rPr>
          <w:rFonts w:eastAsia="Amiri" w:cs="Amiri" w:ascii="Amiri" w:hAnsi="Amiri"/>
          <w:color w:val="111111"/>
          <w:sz w:val="28"/>
          <w:szCs w:val="28"/>
          <w:rtl w:val="true"/>
          <w:lang w:bidi="ar-SA"/>
        </w:rPr>
        <w:t>»</w:t>
      </w:r>
      <w:r>
        <w:rPr>
          <w:rStyle w:val="FootnoteAnchor"/>
          <w:rtl w:val="true"/>
        </w:rPr>
        <w:footnoteReference w:id="2948"/>
      </w:r>
      <w:r>
        <w:rPr>
          <w:rFonts w:ascii="Amiri" w:hAnsi="Amiri" w:eastAsia="Amiri" w:cs="Amiri"/>
          <w:color w:val="111111"/>
          <w:sz w:val="28"/>
          <w:sz w:val="28"/>
          <w:szCs w:val="28"/>
          <w:rtl w:val="true"/>
          <w:lang w:bidi="ar-SA"/>
        </w:rPr>
        <w:t>هكذا نقله العلاّمة في المختلف و استقربه استنادا إلى عموم كونها مؤلّفة، و ما في خبر زرارة و محمّد بن مسلم الآتي 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المؤلّفة قلوبهم و سهم الرقاب عامّ و الباقي خاصّ‌</w:t>
      </w:r>
      <w:r>
        <w:rPr>
          <w:rFonts w:eastAsia="Amiri" w:cs="Amiri" w:ascii="Amiri" w:hAnsi="Amiri"/>
          <w:color w:val="111111"/>
          <w:sz w:val="28"/>
          <w:szCs w:val="28"/>
          <w:rtl w:val="true"/>
          <w:lang w:bidi="ar-SA"/>
        </w:rPr>
        <w:t>»</w:t>
      </w:r>
      <w:r>
        <w:rPr>
          <w:rStyle w:val="FootnoteAnchor"/>
          <w:rtl w:val="true"/>
        </w:rPr>
        <w:footnoteReference w:id="29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يكون عامّا لو تناول القسمين</w:t>
      </w:r>
      <w:r>
        <w:rPr>
          <w:rFonts w:eastAsia="Amiri" w:cs="Amiri" w:ascii="Amiri" w:hAnsi="Amiri"/>
          <w:color w:val="111111"/>
          <w:sz w:val="28"/>
          <w:szCs w:val="28"/>
          <w:rtl w:val="true"/>
          <w:lang w:bidi="ar-SA"/>
        </w:rPr>
        <w:t>»</w:t>
      </w:r>
      <w:r>
        <w:rPr>
          <w:rStyle w:val="FootnoteAnchor"/>
          <w:rtl w:val="true"/>
        </w:rPr>
        <w:footnoteReference w:id="2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شاع نقل هذا القول أيضا عن الشافعي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المؤلّفة قسمة أوّلية إلى قسمين مشركين و مسلمين، ثمّ جعل المشركين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المشركين لهم شرف و طاعة في الناس و حسن نيّة في الإسلام يعطون استمالة لقلوبهم و ترغيبا لهم في الإسلام مثل صفوان بن اميّة و غيره،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مشركون لهم قوّة و شوكة و طاعة إذا أعطاهم الإمام كفّوا شرّهم من المسلمين فهؤلاء كان النبيّ صلّى اللّه عليه و آله يعطيهم استكفافا لشرّهم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المسلمين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لهم شرف و سداد و لهم نظراء من الكفّار إذا اعطوا نظر إليهم نظراؤهم فرغبوا في الإسلام فهؤلاء أعطاهم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لهم شرف و طاعة أسلموا و في نيّاتهم ضعف أعطاهم النبيّ صلّى اللّه عليه و آله ليقوّي 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من الأعراب في طرف من بلاد الإسلام و بإزائهم قوم من المشركين إن أعطاهم الإمام قاتلوا عن المسلمين و إن لم يعطوا لم يقاتلوا و احتاج الإمام إلى مئونة في تجهيز الجيوش إليهم فهؤلاء يعطون و يتألّفون ليقاتلوا المشركين و يدفعونهم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قوم من الأعراب في طرف من بلاد الإسلام بإزائهم قوم من أهل الصدقات إن أعطاهم الإمام جبوا الصدقات و حملوها إلى الإمام و إن لم يعطهم لم يجبوها و احتاج الإمام في إنفاذ من يجبوها إلى مئونة كثيرة فيجوز أن يعطيهم لأنّ فيه مصلحة</w:t>
      </w:r>
      <w:r>
        <w:rPr>
          <w:rFonts w:eastAsia="Amiri" w:cs="Amiri" w:ascii="Amiri" w:hAnsi="Amiri"/>
          <w:color w:val="111111"/>
          <w:sz w:val="28"/>
          <w:szCs w:val="28"/>
          <w:rtl w:val="true"/>
          <w:lang w:bidi="ar-SA"/>
        </w:rPr>
        <w:t>»</w:t>
      </w:r>
      <w:r>
        <w:rPr>
          <w:rStyle w:val="FootnoteAnchor"/>
          <w:rtl w:val="true"/>
        </w:rPr>
        <w:footnoteReference w:id="2951"/>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حواشي القواعد للشهيد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 التأليف متحقّق في الجميع إلاّ أنّ المؤلّفة قلوبهم زمن النبيّ صلّى اللّه عليه و آله الّذين كان يعطيهم من الزكاة و غيرها زيادة على غيرهم، ما كانوا كفّارا بل مسلمين ضعيفي العقائد أشرافا في قومهم كأبي سفيان و الأقرع بن حابس و عيينة بن حصين و نظائرهم، و هم معلومون مضبوطون بالعدد بين العلماء</w:t>
      </w:r>
      <w:r>
        <w:rPr>
          <w:rFonts w:eastAsia="Amiri" w:cs="Amiri" w:ascii="Amiri" w:hAnsi="Amiri"/>
          <w:color w:val="111111"/>
          <w:sz w:val="28"/>
          <w:szCs w:val="28"/>
          <w:rtl w:val="true"/>
          <w:lang w:bidi="ar-SA"/>
        </w:rPr>
        <w:t>»</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التأليف فيما عدى الصنف الثاني منع واضح، فصدق المؤلّفة قلوبهم على الجميع محلّ منع، لعدم صدق المشتقّ مع انتفاء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أنّ النبيّ صلّى اللّه عليه و آله كان يعطي الجميع من الصدقة فلا نسلّم أنّه يعطيهم من سهم المؤلّفة، لجواز كونه إنّما يعطي ما عدى الأخير من سهم سبيل اللّه و الأخير من سهم العمالة، كما احتمله هو في البيان</w:t>
      </w:r>
      <w:r>
        <w:rPr>
          <w:rStyle w:val="FootnoteAnchor"/>
          <w:rtl w:val="true"/>
        </w:rPr>
        <w:footnoteReference w:id="2953"/>
      </w:r>
      <w:r>
        <w:rPr>
          <w:rFonts w:ascii="Amiri" w:hAnsi="Amiri" w:eastAsia="Amiri" w:cs="Amiri"/>
          <w:color w:val="111111"/>
          <w:sz w:val="28"/>
          <w:sz w:val="28"/>
          <w:szCs w:val="28"/>
          <w:rtl w:val="true"/>
          <w:lang w:bidi="ar-SA"/>
        </w:rPr>
        <w:t>و الشهيد الثاني في روض الجنان</w:t>
      </w:r>
      <w:r>
        <w:rPr>
          <w:rStyle w:val="FootnoteAnchor"/>
          <w:rtl w:val="true"/>
        </w:rPr>
        <w:footnoteReference w:id="2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بيّنّاه يظهر تطرّق المنع إلى اندراج الصنف الثاني من صنفي المشركين في المؤلّفة و منع كون ما أعطاهم من سهم المؤلّفة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ما في عبارة المجمع للشيخ الطريحي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المؤلّفة قلوبهم أي المستمالة قلوبهم بالمودّة و الإحسان و كان النبيّ صلّى اللّه عليه و آله يعطي المؤلّفة قلوبهم من الصدقات و كانوا من أشراف العرب، فمنهم من كان يعطيه دفعا لأذاه، و منهم من كان يعطيه طمعا في إسلامه و إسلام أتباعه، و منهم من كان يعطيه ليثبت على إسلامه لقرب عهده بالجاهليّة</w:t>
      </w:r>
      <w:r>
        <w:rPr>
          <w:rFonts w:eastAsia="Amiri" w:cs="Amiri" w:ascii="Amiri" w:hAnsi="Amiri"/>
          <w:color w:val="111111"/>
          <w:sz w:val="28"/>
          <w:szCs w:val="28"/>
          <w:rtl w:val="true"/>
          <w:lang w:bidi="ar-SA"/>
        </w:rPr>
        <w:t>»</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يستشمّ من عبارة المفيد المحكيّة عن كتاب الإشراف، اختصاصه بقوم من المسلمين قائلا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الداخلون في الإيمان على وجه يخاف عليهم معه مفارقته فيتألّفهم الإمام بقسط من الزكاة لتطيب نفوسهم بما صاروا إليه و يقيمون عليه فيألفون و يزيل عنهم بذلك دواعي الارتياب</w:t>
      </w:r>
      <w:r>
        <w:rPr>
          <w:rFonts w:eastAsia="Amiri" w:cs="Amiri" w:ascii="Amiri" w:hAnsi="Amiri"/>
          <w:color w:val="111111"/>
          <w:sz w:val="28"/>
          <w:szCs w:val="28"/>
          <w:rtl w:val="true"/>
          <w:lang w:bidi="ar-SA"/>
        </w:rPr>
        <w:t>»</w:t>
      </w:r>
      <w:r>
        <w:rPr>
          <w:rStyle w:val="FootnoteAnchor"/>
          <w:rtl w:val="true"/>
        </w:rPr>
        <w:footnoteReference w:id="2956"/>
      </w:r>
      <w:r>
        <w:rPr>
          <w:rFonts w:ascii="Amiri" w:hAnsi="Amiri" w:eastAsia="Amiri" w:cs="Amiri"/>
          <w:color w:val="111111"/>
          <w:sz w:val="28"/>
          <w:sz w:val="28"/>
          <w:szCs w:val="28"/>
          <w:rtl w:val="true"/>
          <w:lang w:bidi="ar-SA"/>
        </w:rPr>
        <w:t>و اختاره صريحا صاحب الحدائق فإنّه بعد ما نقل طائفة من الأخبار الواردة في المؤلّفة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هذه الأخبار كما ترى كلّها ظاهرة في أنّ المؤلّفة قوم مسلمون قد أقرّوا بالإسلام و دخلوا فيه لكنّه لم يستقرّ في قلوبهم و لم يثبت ثبوتا راسخا فأمر اللّه تعالى نبيّه بتألّفهم بالمال لكي تقوّى عزائمهم و تشتدّ </w:t>
      </w:r>
    </w:p>
    <w:p>
      <w:pPr>
        <w:pStyle w:val="BookText"/>
        <w:rPr/>
      </w:pPr>
      <w:r>
        <w:rPr>
          <w:rFonts w:ascii="IRNazanin" w:hAnsi="IRNazanin" w:eastAsia="IRNazanin"/>
          <w:color w:val="111111"/>
          <w:sz w:val="28"/>
          <w:sz w:val="28"/>
          <w:szCs w:val="28"/>
          <w:rtl w:val="true"/>
          <w:lang w:bidi="fa-IR"/>
        </w:rPr>
        <w:t>قلوبهم على البناء</w:t>
      </w:r>
      <w:r>
        <w:rPr>
          <w:rStyle w:val="FootnoteAnchor"/>
          <w:rtl w:val="true"/>
        </w:rPr>
        <w:footnoteReference w:id="2957"/>
      </w:r>
      <w:r>
        <w:rPr>
          <w:rFonts w:ascii="Amiri" w:hAnsi="Amiri" w:eastAsia="Amiri" w:cs="Amiri"/>
          <w:color w:val="111111"/>
          <w:sz w:val="28"/>
          <w:sz w:val="28"/>
          <w:szCs w:val="28"/>
          <w:rtl w:val="true"/>
          <w:lang w:bidi="ar-SA"/>
        </w:rPr>
        <w:t>على هذا الدين، فالتأليف إنّما هو لأجل البقاء على الدين و الثبات عليه لا لما زعموه من الجهاد كفّارا كانوا أو مسلمين و أنّهم يتألّفون بهذا السهم لأجل الجهاد</w:t>
      </w:r>
      <w:r>
        <w:rPr>
          <w:rFonts w:eastAsia="Amiri" w:cs="Amiri" w:ascii="Amiri" w:hAnsi="Amiri"/>
          <w:color w:val="111111"/>
          <w:sz w:val="28"/>
          <w:szCs w:val="28"/>
          <w:rtl w:val="true"/>
          <w:lang w:bidi="ar-SA"/>
        </w:rPr>
        <w:t>»</w:t>
      </w:r>
      <w:r>
        <w:rPr>
          <w:rStyle w:val="FootnoteAnchor"/>
          <w:rtl w:val="true"/>
        </w:rPr>
        <w:footnoteReference w:id="29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الأخبار المتعلّقة بالمقام فهي صحيحة زرارة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 وَ اَلْمُؤَلَّفَةِ قُلُوبُهُمْ‌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وحّدوا اللّه عزّ و جلّ و خلعوا عبادة من يعبد من دون اللّه، و شهدوا أن لا إله إلاّ اللّه و أنّ محمّدا رسول اللّه صلّى اللّه عليه و آله و هم في ذلك شكّاك في بعض ما جاء به محمّد صلّى اللّه عليه و آله فأمر اللّه نبيّه أن يتألّفهم بالمال و العطاء لكي يحسن إسلامهم و يثبتوا على دينهم الّذي دخلوا فيه و أقرّوا به، فإنّ رسول اللّه صلّى اللّه عليه و آله يوم حنين تألّف رؤساء العرب من قريش و مضر منهم أبو سفيان بن حرب و عيينة بن حصين الفزاري و أشباههم من الناس، فغضبت الأنصار و اجتمعت إلى سعد بن عبادة فانطلق بهم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أ تأذن لي بالكلام‌؟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الأمر في هذه الأموال الّتي قسّمت بين قومك شيئا أنزله اللّه رضينا و إن كان غير ذلك لم نرض،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كلّكم على قول سيّدكم سعد؟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اللّه و رسوله، ثمّ قالوا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قوله و رأيه، فحطّ</w:t>
      </w:r>
      <w:r>
        <w:rPr>
          <w:rStyle w:val="FootnoteAnchor"/>
          <w:rtl w:val="true"/>
        </w:rPr>
        <w:footnoteReference w:id="2959"/>
      </w:r>
      <w:r>
        <w:rPr>
          <w:rFonts w:ascii="Amiri" w:hAnsi="Amiri" w:eastAsia="Amiri" w:cs="Amiri"/>
          <w:color w:val="111111"/>
          <w:sz w:val="28"/>
          <w:sz w:val="28"/>
          <w:szCs w:val="28"/>
          <w:rtl w:val="true"/>
          <w:lang w:bidi="ar-SA"/>
        </w:rPr>
        <w:t>اللّه فورهم و فرض للمؤلّفة قلوبهم سهما في القرآن</w:t>
      </w:r>
      <w:r>
        <w:rPr>
          <w:rFonts w:eastAsia="Amiri" w:cs="Amiri" w:ascii="Amiri" w:hAnsi="Amiri"/>
          <w:color w:val="111111"/>
          <w:sz w:val="28"/>
          <w:szCs w:val="28"/>
          <w:rtl w:val="true"/>
          <w:lang w:bidi="ar-SA"/>
        </w:rPr>
        <w:t>»</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صحيحته الاخرى أيضا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المؤلّفة قلوبهم قوم وحّدوا اللّه و خلعوا عبادة من دون اللّه و لم تدخل المعرفة قلوبهم أنّ محمّدا رسول اللّه، و كان رسول اللّه صلّى اللّه عليه و آله يتألّفهم و يعرّفهم و يعلّمهم</w:t>
      </w:r>
      <w:r>
        <w:rPr>
          <w:rFonts w:eastAsia="Amiri" w:cs="Amiri" w:ascii="Amiri" w:hAnsi="Amiri"/>
          <w:color w:val="111111"/>
          <w:sz w:val="28"/>
          <w:szCs w:val="28"/>
          <w:rtl w:val="true"/>
          <w:lang w:bidi="ar-SA"/>
        </w:rPr>
        <w:t>»</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مرسلة موسى بن بكير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كانت المؤلّفة قلوبهم قطّ أكثر منهم اليوم، و هم قوم وحّدوا اللّه و خرجوا من الشرك و لم تدخل معرفة محمّد صلّى اللّه عليه و آله قلوبهم و ما جاء به، فتألّفهم رسول اللّه صلّى اللّه عليه و آله و تألّفهم المؤمنين بعد رسول اللّه لكي ما يعرفوا</w:t>
      </w:r>
      <w:r>
        <w:rPr>
          <w:rFonts w:eastAsia="Amiri" w:cs="Amiri" w:ascii="Amiri" w:hAnsi="Amiri"/>
          <w:color w:val="111111"/>
          <w:sz w:val="28"/>
          <w:szCs w:val="28"/>
          <w:rtl w:val="true"/>
          <w:lang w:bidi="ar-SA"/>
        </w:rPr>
        <w:t>»</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حديث عن عليّ بن إبراهيم في تفسيره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المؤلّفة قلوبهم قوم وحّدوا اللّه و لم تدخل المعرفة قلوبهم أنّ محمّدا رسول اللّه، فكان رسول اللّه صلّى اللّه عليه و آله يتألّفهم و يعلّمهم كيما يعرفوا فجعل اللّه لهم نصيبا في الصدقات لكي يعرفوا و يرغبوا</w:t>
      </w:r>
      <w:r>
        <w:rPr>
          <w:rFonts w:eastAsia="Amiri" w:cs="Amiri" w:ascii="Amiri" w:hAnsi="Amiri"/>
          <w:color w:val="111111"/>
          <w:sz w:val="28"/>
          <w:szCs w:val="28"/>
          <w:rtl w:val="true"/>
          <w:lang w:bidi="ar-SA"/>
        </w:rPr>
        <w:t>.»</w:t>
      </w:r>
      <w:r>
        <w:rPr>
          <w:rStyle w:val="FootnoteAnchor"/>
          <w:rtl w:val="true"/>
        </w:rPr>
        <w:footnoteReference w:id="2963"/>
      </w:r>
    </w:p>
    <w:p>
      <w:pPr>
        <w:pStyle w:val="BookText"/>
        <w:rPr/>
      </w:pPr>
      <w:r>
        <w:rPr>
          <w:rFonts w:ascii="Amiri" w:hAnsi="Amiri" w:eastAsia="Amiri" w:cs="Amiri"/>
          <w:color w:val="111111"/>
          <w:sz w:val="28"/>
          <w:sz w:val="28"/>
          <w:szCs w:val="28"/>
          <w:rtl w:val="true"/>
          <w:lang w:bidi="ar-SA"/>
        </w:rPr>
        <w:t xml:space="preserve">و المرسلة المرويّة عن دعائم الإسلام عن جعفر بن محمّد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اَلْمُؤَلَّفَةِ‌ قوم يتألّفون على الإسلام من رؤساء القبائل كان رسول اللّه صلّى اللّه عليه و آله يعطيهم ليتألّفهم، و يكون ذلك في كلّ زمان إذا احتاج إلى ذلك الإمام فعله</w:t>
      </w:r>
      <w:r>
        <w:rPr>
          <w:rFonts w:eastAsia="Amiri" w:cs="Amiri" w:ascii="Amiri" w:hAnsi="Amiri"/>
          <w:color w:val="111111"/>
          <w:sz w:val="28"/>
          <w:szCs w:val="28"/>
          <w:rtl w:val="true"/>
          <w:lang w:bidi="ar-SA"/>
        </w:rPr>
        <w:t>»</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زرارة و محمّد بن مسلم في الصحيح أنّهما قالا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قول اللّه تعالى إِنَّمَا اَلصَّدَقٰاتُ‌</w:t>
      </w:r>
      <w:r>
        <w:rPr>
          <w:rFonts w:eastAsia="Amiri" w:cs="Amiri" w:ascii="Amiri" w:hAnsi="Amiri"/>
          <w:color w:val="111111"/>
          <w:sz w:val="28"/>
          <w:szCs w:val="28"/>
          <w:rtl w:val="true"/>
          <w:lang w:bidi="ar-SA"/>
        </w:rPr>
        <w:t xml:space="preserve">... </w:t>
      </w:r>
      <w:r>
        <w:rPr>
          <w:rStyle w:val="FootnoteAnchor"/>
          <w:rtl w:val="true"/>
        </w:rPr>
        <w:footnoteReference w:id="2965"/>
      </w:r>
      <w:r>
        <w:rPr>
          <w:rFonts w:ascii="Amiri" w:hAnsi="Amiri" w:eastAsia="Amiri" w:cs="Amiri"/>
          <w:color w:val="111111"/>
          <w:sz w:val="28"/>
          <w:sz w:val="28"/>
          <w:szCs w:val="28"/>
          <w:rtl w:val="true"/>
          <w:lang w:bidi="ar-SA"/>
        </w:rPr>
        <w:t>إلى آخر الآية أ كلّ هؤلاء يعطى و إن كان لا يعرف‌؟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يعطي هؤلاء جميعا لأنّهم يقرّون له بالطاعة،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كانوا لا يعرفون‌؟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لو كان يعطي من يعرف دون من لا يعرف لم يوجد لها موضع، و إنّما يعطي من لا يعرف ليرغب في الدين فيثبت عليه، فأمّا اليوم فلا تعطها أنت و أصحابك إلاّ من يعرف، فمن وجدت في هؤلاء المسلمين عارفا فأعطه دون الناس،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المؤلّفة و سهم الرقاب عامّ و الباقي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الروايات كما ترى كلّها متقاربة العبارات متطابقة المضامين، و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التأليف إنّما كان لغرض إلقاء معرفة النبيّ صلّى اللّه عليه و آله أو معرفة ما جاء به من فرائض اللّه في قلب من لا يعرفه أو يشكّ فيه أو في بعض ما جاء به، فيكون محلّه الكفّار الّذين كفرهم باعتبار ما يرجع إلى النبيّ صلّى اللّه عليه و آله مع دخولهم في دين الإسلام باعتبار ما يرجع إلى معرفة اللّه سبحانه و توحيده و خلعهم الشرك عن أنفسهم و خروجهم من عبادة غيره تعالى لعدم انحصار الكفر في الشرك باللّه أو في كفر الجحود للنبيّ صلّى اللّه عليه و آله و وصفهم بكونهم مسلمين لو سلّم فإنّما هو لمجرّد ما ذكر من التوحيد و خلع الشرك و عبادة غير اللّه تعالى</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يستفاد من الخبر الأخير أنّ من لا يعرف الّذي يعطى من سهم المؤلّفة أعمّ ممّن لا يعرف النبيّ و من لا يعرف الوصيّ بعده بناء على أن يكون المراد من الإمام الّذي </w:t>
      </w:r>
    </w:p>
    <w:p>
      <w:pPr>
        <w:pStyle w:val="BookText"/>
        <w:rPr/>
      </w:pPr>
      <w:r>
        <w:rPr>
          <w:rFonts w:ascii="Amiri" w:hAnsi="Amiri" w:eastAsia="Amiri" w:cs="Amiri"/>
          <w:color w:val="111111"/>
          <w:sz w:val="28"/>
          <w:sz w:val="28"/>
          <w:szCs w:val="28"/>
          <w:rtl w:val="true"/>
          <w:lang w:bidi="ar-SA"/>
        </w:rPr>
        <w:t xml:space="preserve">يعطيهم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الرئيس المطاع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كان أو وصيّا، و يكون اللام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يقرّون له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كما هو الظاهر، و لقرينة اللام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ليرغب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يكون حاصل المراد أنّ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من لا يعرفه بالنبوّة أو الوصاية لأن يفضيه إلى معرفته و يقرّ له بالطاعة و ليرغب في دين اللّه الّذي جاء به النبيّ صلّى اللّه عليه و آله المتضمّن لوجوب الولاية للأئمّة عليهم السّلام فيكون المؤلّفة قلوبهم أعمّ من الكافر و المسلم بهذا المعنى، و هو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سهم المؤلّفة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اليوم فلا تعطها أنت و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إعطاء المؤلّفة بالمعنى الأعمّ من وظائف النبيّ صلّى اللّه عليه و آله و الوصيّ عليه السّلام بعده دون غيرهما ممّن يتولّى إعطاء الزكاة، فهذا يدلّ على سقوط هذا السهم في أزمنة الغيبة،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تأليف الكفّار الغير الموحّدين لأجل الاستعانة بهم على الجهاد مع المشركين و قتال أهل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ذكره الشيخ في المبسوط</w:t>
      </w:r>
      <w:r>
        <w:rPr>
          <w:rStyle w:val="FootnoteAnchor"/>
          <w:rtl w:val="true"/>
        </w:rPr>
        <w:footnoteReference w:id="2967"/>
      </w:r>
      <w:r>
        <w:rPr>
          <w:rFonts w:ascii="IRNazanin" w:hAnsi="IRNazanin" w:eastAsia="IRNazanin"/>
          <w:color w:val="111111"/>
          <w:sz w:val="28"/>
          <w:sz w:val="28"/>
          <w:szCs w:val="28"/>
          <w:rtl w:val="true"/>
          <w:lang w:bidi="fa-IR"/>
        </w:rPr>
        <w:t>و من وافقه</w:t>
      </w:r>
      <w:r>
        <w:rPr>
          <w:rStyle w:val="FootnoteAnchor"/>
          <w:rtl w:val="true"/>
        </w:rPr>
        <w:footnoteReference w:id="2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فأخبار الباب قاصرة الدلالة عليه، فإن كان إجماع كما كان يشعر به عبارة المبسوط</w:t>
      </w:r>
      <w:r>
        <w:rPr>
          <w:rStyle w:val="FootnoteAnchor"/>
          <w:rtl w:val="true"/>
        </w:rPr>
        <w:footnoteReference w:id="2969"/>
      </w:r>
      <w:r>
        <w:rPr>
          <w:rFonts w:ascii="Amiri" w:hAnsi="Amiri" w:eastAsia="Amiri" w:cs="Amiri"/>
          <w:color w:val="111111"/>
          <w:sz w:val="28"/>
          <w:sz w:val="28"/>
          <w:szCs w:val="28"/>
          <w:rtl w:val="true"/>
          <w:lang w:bidi="ar-SA"/>
        </w:rPr>
        <w:t>و نفي الخلاف المحكيّ عن الغنية</w:t>
      </w:r>
      <w:r>
        <w:rPr>
          <w:rStyle w:val="FootnoteAnchor"/>
          <w:rtl w:val="true"/>
        </w:rPr>
        <w:footnoteReference w:id="2970"/>
      </w:r>
      <w:r>
        <w:rPr>
          <w:rFonts w:ascii="IRNazanin" w:hAnsi="IRNazanin" w:eastAsia="IRNazanin"/>
          <w:color w:val="111111"/>
          <w:sz w:val="28"/>
          <w:sz w:val="28"/>
          <w:szCs w:val="28"/>
          <w:rtl w:val="true"/>
          <w:lang w:bidi="fa-IR"/>
        </w:rPr>
        <w:t>و الإجماع المنقول عن الخلاف</w:t>
      </w:r>
      <w:r>
        <w:rPr>
          <w:rStyle w:val="FootnoteAnchor"/>
          <w:rtl w:val="true"/>
        </w:rPr>
        <w:footnoteReference w:id="2971"/>
      </w:r>
      <w:r>
        <w:rPr>
          <w:rFonts w:ascii="Amiri" w:hAnsi="Amiri" w:eastAsia="Amiri" w:cs="Amiri"/>
          <w:color w:val="111111"/>
          <w:sz w:val="28"/>
          <w:sz w:val="28"/>
          <w:szCs w:val="28"/>
          <w:rtl w:val="true"/>
          <w:lang w:bidi="ar-SA"/>
        </w:rPr>
        <w:t>و يعضده الشهرة المحكيّة، و إلاّ فللبحث فيه 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يسهّل الخطب في ذلك أنّ أصل هذا البحث قليل الثمرة كما في كلام جماعة</w:t>
      </w:r>
      <w:r>
        <w:rPr>
          <w:rStyle w:val="FootnoteAnchor"/>
          <w:rtl w:val="true"/>
        </w:rPr>
        <w:footnoteReference w:id="2972"/>
      </w:r>
      <w:r>
        <w:rPr>
          <w:rFonts w:ascii="Amiri" w:hAnsi="Amiri" w:eastAsia="Amiri" w:cs="Amiri"/>
          <w:color w:val="111111"/>
          <w:sz w:val="28"/>
          <w:sz w:val="28"/>
          <w:szCs w:val="28"/>
          <w:rtl w:val="true"/>
          <w:lang w:bidi="ar-SA"/>
        </w:rPr>
        <w:t xml:space="preserve">لجواز الدفع إليهم لأجل الفائدة المذكورة من سهم المصالح و سبيل اللّه لا من سهم المؤلّفة، و لذا ذكر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عن الشافعي ما تقدّم من تقسيمه المؤلّفة إلى قسمي المشركين و أقسام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جواز الدفع إلى جميع هذه الأقسام من الزكاة، لكن مع عدم تحقيق التأليف يكون الدفع من سهم المصالح أو من سهم العاملين</w:t>
      </w:r>
      <w:r>
        <w:rPr>
          <w:rFonts w:eastAsia="Amiri" w:cs="Amiri" w:ascii="Amiri" w:hAnsi="Amiri"/>
          <w:color w:val="111111"/>
          <w:sz w:val="28"/>
          <w:szCs w:val="28"/>
          <w:rtl w:val="true"/>
          <w:lang w:bidi="ar-SA"/>
        </w:rPr>
        <w:t>.»</w:t>
      </w:r>
      <w:r>
        <w:rPr>
          <w:rStyle w:val="FootnoteAnchor"/>
          <w:rtl w:val="true"/>
        </w:rPr>
        <w:footnoteReference w:id="2973"/>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Style w:val="FootnoteAnchor"/>
          <w:rtl w:val="true"/>
        </w:rPr>
        <w:footnoteReference w:id="2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سهم المؤلّفة بعد النبيّ صلّى اللّه عليه و آله فعن ابن بابويه في الفقيه أنّه </w:t>
      </w:r>
      <w:bookmarkStart w:id="659" w:name="pg16181_154862"/>
    </w:p>
    <w:p>
      <w:pPr>
        <w:pStyle w:val="BookText"/>
        <w:rPr/>
      </w:pPr>
      <w:bookmarkEnd w:id="659"/>
      <w:r>
        <w:rPr>
          <w:rFonts w:ascii="Amiri" w:hAnsi="Amiri" w:eastAsia="Amiri" w:cs="Amiri"/>
          <w:color w:val="111111"/>
          <w:sz w:val="28"/>
          <w:sz w:val="28"/>
          <w:szCs w:val="28"/>
          <w:rtl w:val="true"/>
          <w:lang w:bidi="ar-SA"/>
        </w:rPr>
        <w:t>يسقط</w:t>
      </w:r>
      <w:r>
        <w:rPr>
          <w:rStyle w:val="FootnoteAnchor"/>
          <w:rtl w:val="true"/>
        </w:rPr>
        <w:footnoteReference w:id="2975"/>
      </w:r>
      <w:r>
        <w:rPr>
          <w:rFonts w:ascii="Amiri" w:hAnsi="Amiri" w:eastAsia="Amiri" w:cs="Amiri"/>
          <w:color w:val="111111"/>
          <w:sz w:val="28"/>
          <w:sz w:val="28"/>
          <w:szCs w:val="28"/>
          <w:rtl w:val="true"/>
          <w:lang w:bidi="ar-SA"/>
        </w:rPr>
        <w:t>و عزي إلى النهاية</w:t>
      </w:r>
      <w:r>
        <w:rPr>
          <w:rStyle w:val="FootnoteAnchor"/>
          <w:rtl w:val="true"/>
        </w:rPr>
        <w:footnoteReference w:id="2976"/>
      </w:r>
      <w:r>
        <w:rPr>
          <w:rFonts w:ascii="Amiri" w:hAnsi="Amiri" w:eastAsia="Amiri" w:cs="Amiri"/>
          <w:color w:val="111111"/>
          <w:sz w:val="28"/>
          <w:sz w:val="28"/>
          <w:szCs w:val="28"/>
          <w:rtl w:val="true"/>
          <w:lang w:bidi="ar-SA"/>
        </w:rPr>
        <w:t>و الوسيلة</w:t>
      </w:r>
      <w:r>
        <w:rPr>
          <w:rStyle w:val="FootnoteAnchor"/>
          <w:rtl w:val="true"/>
        </w:rPr>
        <w:footnoteReference w:id="2977"/>
      </w:r>
      <w:r>
        <w:rPr>
          <w:rFonts w:ascii="Amiri" w:hAnsi="Amiri" w:eastAsia="Amiri" w:cs="Amiri"/>
          <w:color w:val="111111"/>
          <w:sz w:val="28"/>
          <w:sz w:val="28"/>
          <w:szCs w:val="28"/>
          <w:rtl w:val="true"/>
          <w:lang w:bidi="ar-SA"/>
        </w:rPr>
        <w:t>أيضا،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لبعض العامّة</w:t>
      </w:r>
      <w:r>
        <w:rPr>
          <w:rStyle w:val="FootnoteAnchor"/>
          <w:rtl w:val="true"/>
        </w:rPr>
        <w:footnoteReference w:id="2978"/>
      </w:r>
      <w:r>
        <w:rPr>
          <w:rFonts w:ascii="Amiri" w:hAnsi="Amiri" w:eastAsia="Amiri" w:cs="Amiri"/>
          <w:color w:val="111111"/>
          <w:sz w:val="28"/>
          <w:sz w:val="28"/>
          <w:szCs w:val="28"/>
          <w:rtl w:val="true"/>
          <w:lang w:bidi="ar-SA"/>
        </w:rPr>
        <w:t>و علّلوه بأنّه سبحانه أعزّ الدين و قوّى شوكته فلا يحتاج إلى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بقاؤه لأنّ النبيّ صلّى اللّه عليه و آله كان يعتمد التأليف إلى حين وفاته و لا نسخ بعده</w:t>
      </w:r>
      <w:r>
        <w:rPr>
          <w:rFonts w:eastAsia="Amiri" w:cs="Amiri" w:ascii="Amiri" w:hAnsi="Amiri"/>
          <w:color w:val="111111"/>
          <w:sz w:val="28"/>
          <w:szCs w:val="28"/>
          <w:rtl w:val="true"/>
          <w:lang w:bidi="ar-SA"/>
        </w:rPr>
        <w:t>»</w:t>
      </w:r>
      <w:r>
        <w:rPr>
          <w:rStyle w:val="FootnoteAnchor"/>
          <w:rtl w:val="true"/>
        </w:rPr>
        <w:footnoteReference w:id="2979"/>
      </w:r>
      <w:r>
        <w:rPr>
          <w:rFonts w:ascii="Amiri" w:hAnsi="Amiri" w:eastAsia="Amiri" w:cs="Amiri"/>
          <w:color w:val="111111"/>
          <w:sz w:val="28"/>
          <w:sz w:val="28"/>
          <w:szCs w:val="28"/>
          <w:rtl w:val="true"/>
          <w:lang w:bidi="ar-SA"/>
        </w:rPr>
        <w:t>و هذا أيضا استدلال ضعيف، إذ لا يلزم كون السقوط من باب النسخ لثبوت الواسطة بين البقاء و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يسقط في زمن غيبة الإمام عليه السّلام دون زمن حضوره، لأنّ الغرض من التأليف إنّما يكون للجهاد الساقط في زمان غيبة الإمام</w:t>
      </w:r>
      <w:r>
        <w:rPr>
          <w:rFonts w:eastAsia="Amiri" w:cs="Amiri" w:ascii="Amiri" w:hAnsi="Amiri"/>
          <w:color w:val="111111"/>
          <w:sz w:val="28"/>
          <w:szCs w:val="28"/>
          <w:rtl w:val="true"/>
          <w:lang w:bidi="ar-SA"/>
        </w:rPr>
        <w:t>»</w:t>
      </w:r>
      <w:r>
        <w:rPr>
          <w:rStyle w:val="FootnoteAnchor"/>
          <w:rtl w:val="true"/>
        </w:rPr>
        <w:footnoteReference w:id="2980"/>
      </w:r>
      <w:r>
        <w:rPr>
          <w:rFonts w:ascii="Amiri" w:hAnsi="Amiri" w:eastAsia="Amiri" w:cs="Amiri"/>
          <w:color w:val="111111"/>
          <w:sz w:val="28"/>
          <w:sz w:val="28"/>
          <w:szCs w:val="28"/>
          <w:rtl w:val="true"/>
          <w:lang w:bidi="ar-SA"/>
        </w:rPr>
        <w:t>و هذا التعليل و إن كان عليلا لعدم انحصار الغرض في الجهاد لما عرفت، و لكنّ القول المذكور قويّ بالنظر إلى النصّ الدالّ على كون التأليف و إعطاء سهم المؤلّفة من وظائف الإمام عليه السّلام المطاع نبيّا كان أو وصيّا كخبر زرارة و محمّد على ما بيّنّاه</w:t>
      </w:r>
      <w:r>
        <w:rPr>
          <w:rStyle w:val="FootnoteAnchor"/>
          <w:rtl w:val="true"/>
        </w:rPr>
        <w:footnoteReference w:id="2981"/>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Heading5"/>
        <w:numPr>
          <w:ilvl w:val="4"/>
          <w:numId w:val="1"/>
        </w:numPr>
        <w:rPr/>
      </w:pPr>
      <w:bookmarkStart w:id="660" w:name="__RefHeading___Toc2586895_1280447820"/>
      <w:bookmarkStart w:id="661" w:name="_Toc246"/>
      <w:bookmarkEnd w:id="660"/>
      <w:r>
        <w:rPr>
          <w:rtl w:val="true"/>
        </w:rPr>
        <w:t>الصنف الخامس جهة الرقاب</w:t>
      </w:r>
      <w:r>
        <w:rPr>
          <w:rtl w:val="true"/>
        </w:rPr>
        <w:t>:</w:t>
      </w:r>
      <w:bookmarkEnd w:id="66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المعبّر عنها في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اَلرِّقٰابِ‌ </w:t>
      </w:r>
      <w:r>
        <w:rPr>
          <w:rStyle w:val="FootnoteAnchor"/>
          <w:rtl w:val="true"/>
        </w:rPr>
        <w:footnoteReference w:id="2982"/>
      </w:r>
      <w:r>
        <w:rPr>
          <w:rFonts w:ascii="Amiri" w:hAnsi="Amiri" w:eastAsia="Amiri" w:cs="Amiri"/>
          <w:color w:val="111111"/>
          <w:sz w:val="28"/>
          <w:sz w:val="28"/>
          <w:szCs w:val="28"/>
          <w:rtl w:val="true"/>
          <w:lang w:bidi="ar-SA"/>
        </w:rPr>
        <w:t xml:space="preserve">و إنّما عدل هنا عن اللام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في الرقاب يصرف في فكّ رقبتهم و إزالة رقّيتهم، لا أنّه يعطونهم يتصرّفون فيه كيف شاءوا بخلاف الأصناف الأربع السابقة، فالرقاب جهة لصرف المال لا أنّهم يملكونه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الغارمون و ما بعده، فإنّ المال يصرف في قضاء ديونهم، لا أنّه يصرف إليهم حتّى يتصرّفوا فيه كيف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نقله في المدارك</w:t>
      </w:r>
      <w:r>
        <w:rPr>
          <w:rStyle w:val="FootnoteAnchor"/>
          <w:rtl w:val="true"/>
        </w:rPr>
        <w:footnoteReference w:id="2983"/>
      </w:r>
      <w:r>
        <w:rPr>
          <w:rFonts w:ascii="Amiri" w:hAnsi="Amiri" w:eastAsia="Amiri" w:cs="Amiri"/>
          <w:color w:val="111111"/>
          <w:sz w:val="28"/>
          <w:sz w:val="28"/>
          <w:szCs w:val="28"/>
          <w:rtl w:val="true"/>
          <w:lang w:bidi="ar-SA"/>
        </w:rPr>
        <w:t>و غيره عن جمع من المفسّرين</w:t>
      </w:r>
      <w:r>
        <w:rPr>
          <w:rStyle w:val="FootnoteAnchor"/>
          <w:rtl w:val="true"/>
        </w:rPr>
        <w:footnoteReference w:id="2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تكريرها في سبيل اللّه للتأكيد،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ليدلّ على فضل ترجيح لهذين على الرقاب و الغارمين</w:t>
      </w:r>
      <w:r>
        <w:rPr>
          <w:rFonts w:eastAsia="Amiri" w:cs="Amiri" w:ascii="Amiri" w:hAnsi="Amiri"/>
          <w:color w:val="111111"/>
          <w:sz w:val="28"/>
          <w:szCs w:val="28"/>
          <w:rtl w:val="true"/>
          <w:lang w:bidi="ar-SA"/>
        </w:rPr>
        <w:t>»</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الصنف مع أنّه نصّ عليه في الكتاب أجمع عليه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الرقاب من جملة الأصناف المعدودة في القرآن و أجمع المسلمون عليه، و اختلفوا في المراد فالمشهور عند علمائنا أنّ المراد به 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المكاتبون يعطون من الصدقة ليدفعوه في كتابتهم، و العبيد تحت الشدّة يشترون و يعتقون،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اَلرِّقٰابِ‌ </w:t>
      </w:r>
      <w:r>
        <w:rPr>
          <w:rStyle w:val="FootnoteAnchor"/>
          <w:rtl w:val="true"/>
        </w:rPr>
        <w:footnoteReference w:id="2986"/>
      </w:r>
      <w:r>
        <w:rPr>
          <w:rFonts w:ascii="Amiri" w:hAnsi="Amiri" w:eastAsia="Amiri" w:cs="Amiri"/>
          <w:color w:val="111111"/>
          <w:sz w:val="28"/>
          <w:sz w:val="28"/>
          <w:szCs w:val="28"/>
          <w:rtl w:val="true"/>
          <w:lang w:bidi="ar-SA"/>
        </w:rPr>
        <w:t>و هو شامل لهما، فإنّ المراد إزالة رقّيته</w:t>
      </w:r>
      <w:r>
        <w:rPr>
          <w:rFonts w:eastAsia="Amiri" w:cs="Amiri" w:ascii="Amiri" w:hAnsi="Amiri"/>
          <w:color w:val="111111"/>
          <w:sz w:val="28"/>
          <w:szCs w:val="28"/>
          <w:rtl w:val="true"/>
          <w:lang w:bidi="ar-SA"/>
        </w:rPr>
        <w:t>»</w:t>
      </w:r>
      <w:r>
        <w:rPr>
          <w:rStyle w:val="FootnoteAnchor"/>
          <w:rtl w:val="true"/>
        </w:rPr>
        <w:footnoteReference w:id="2987"/>
      </w:r>
      <w:r>
        <w:rPr>
          <w:rFonts w:ascii="Amiri" w:hAnsi="Amiri" w:eastAsia="Amiri" w:cs="Amiri"/>
          <w:color w:val="111111"/>
          <w:sz w:val="28"/>
          <w:sz w:val="28"/>
          <w:szCs w:val="28"/>
          <w:rtl w:val="true"/>
          <w:lang w:bidi="ar-SA"/>
        </w:rPr>
        <w:t>انتهى و نسبته إلى الشهرة إنّما هو بالإضافة إلى الحصر المتضمّن لنفي ما عدى الصنفين لا بالإضافة إلى إثباتهما، فإنّ كون الصنف الأوّل مرادا من الآية ممّا أجمع عليه الفريقان العامّة و الخاصّة، كما أنّ دخول ثانيهما في المراد منها ممّا أجمع عليه أصحابنا، و الإجماعات المستفادة من عباراتهم صراحة و ظهورا في حدّ الاستفاضة، و وافقهم على ذلك أكثر العامّة لأنّ المخالف منهم فيه أبو حنيفة</w:t>
      </w:r>
      <w:r>
        <w:rPr>
          <w:rStyle w:val="FootnoteAnchor"/>
          <w:rtl w:val="true"/>
        </w:rPr>
        <w:footnoteReference w:id="2988"/>
      </w:r>
      <w:r>
        <w:rPr>
          <w:rFonts w:ascii="Amiri" w:hAnsi="Amiri" w:eastAsia="Amiri" w:cs="Amiri"/>
          <w:color w:val="111111"/>
          <w:sz w:val="28"/>
          <w:sz w:val="28"/>
          <w:szCs w:val="28"/>
          <w:rtl w:val="true"/>
          <w:lang w:bidi="ar-SA"/>
        </w:rPr>
        <w:t>و الشافعي</w:t>
      </w:r>
      <w:r>
        <w:rPr>
          <w:rStyle w:val="FootnoteAnchor"/>
          <w:rtl w:val="true"/>
        </w:rPr>
        <w:footnoteReference w:id="2989"/>
      </w:r>
      <w:r>
        <w:rPr>
          <w:rFonts w:ascii="Amiri" w:hAnsi="Amiri" w:eastAsia="Amiri" w:cs="Amiri"/>
          <w:color w:val="111111"/>
          <w:sz w:val="28"/>
          <w:sz w:val="28"/>
          <w:szCs w:val="28"/>
          <w:rtl w:val="true"/>
          <w:lang w:bidi="ar-SA"/>
        </w:rPr>
        <w:t>كما في كلام جماعة منهم المحقّق في المعتبر قائلا على ما 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الرقاب و يدخل فيه المكاتبون و العبيد إذا كانوا في ضرّ و شدّة، و حكي عن أبي حنيفة و الشافعي الاختصاص بالمكاتبين</w:t>
      </w:r>
      <w:r>
        <w:rPr>
          <w:rFonts w:eastAsia="Amiri" w:cs="Amiri" w:ascii="Amiri" w:hAnsi="Amiri"/>
          <w:color w:val="111111"/>
          <w:sz w:val="28"/>
          <w:szCs w:val="28"/>
          <w:rtl w:val="true"/>
          <w:lang w:bidi="ar-SA"/>
        </w:rPr>
        <w:t>»</w:t>
      </w:r>
      <w:r>
        <w:rPr>
          <w:rStyle w:val="FootnoteAnchor"/>
          <w:rtl w:val="true"/>
        </w:rPr>
        <w:footnoteReference w:id="29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جواز الدفع من هذا السهم إلى المكاتبين و العبيد إذا كانوا في ضرّ و شدّة فهو قول علمائنا و أكثر العامّة</w:t>
      </w:r>
      <w:r>
        <w:rPr>
          <w:rStyle w:val="FootnoteAnchor"/>
          <w:rtl w:val="true"/>
        </w:rPr>
        <w:footnoteReference w:id="29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2"/>
      </w:r>
      <w:r>
        <w:rPr>
          <w:rFonts w:ascii="Amiri" w:hAnsi="Amiri" w:eastAsia="Amiri" w:cs="Amiri"/>
          <w:color w:val="111111"/>
          <w:sz w:val="28"/>
          <w:sz w:val="28"/>
          <w:szCs w:val="28"/>
          <w:rtl w:val="true"/>
          <w:lang w:bidi="ar-SA"/>
        </w:rPr>
        <w:t>فإنّ تخصيصه الحكم بأكثر العامّة إنّما هو بالقياس إلى العبيد إذا كانوا في ضرّ و شدّة لا المكاتبين إذ لا خلاف عندهم فيه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مقابل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النسبة إليه بالإضافة إلى نفي ما عدى الصنفين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المحقّق في الشرائع و المعتبر حيث جعل أصناف الرقاب الداخلة في الآية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ثالثها العبد يشترى و يعتق و إن لم يكن في شدّة لكن بشرط عدم </w:t>
      </w:r>
    </w:p>
    <w:p>
      <w:pPr>
        <w:pStyle w:val="BookText"/>
        <w:rPr/>
      </w:pPr>
      <w:r>
        <w:rPr>
          <w:rFonts w:ascii="IRNazanin" w:hAnsi="IRNazanin" w:eastAsia="IRNazanin"/>
          <w:color w:val="111111"/>
          <w:sz w:val="28"/>
          <w:sz w:val="28"/>
          <w:szCs w:val="28"/>
          <w:rtl w:val="true"/>
          <w:lang w:bidi="fa-IR"/>
        </w:rPr>
        <w:t>المستحق</w:t>
      </w:r>
      <w:r>
        <w:rPr>
          <w:rFonts w:eastAsia="IRNazanin" w:cs="IRNazanin"/>
          <w:color w:val="111111"/>
          <w:sz w:val="28"/>
          <w:szCs w:val="28"/>
          <w:rtl w:val="true"/>
          <w:lang w:bidi="fa-IR"/>
        </w:rPr>
        <w:t>»</w:t>
      </w:r>
      <w:r>
        <w:rPr>
          <w:rStyle w:val="FootnoteAnchor"/>
          <w:rtl w:val="true"/>
        </w:rPr>
        <w:footnoteReference w:id="2993"/>
      </w:r>
      <w:r>
        <w:rPr>
          <w:rFonts w:ascii="Amiri" w:hAnsi="Amiri" w:eastAsia="Amiri" w:cs="Amiri"/>
          <w:color w:val="111111"/>
          <w:sz w:val="28"/>
          <w:sz w:val="28"/>
          <w:szCs w:val="28"/>
          <w:rtl w:val="true"/>
          <w:lang w:bidi="ar-SA"/>
        </w:rPr>
        <w:t>بل ظاهر عبارته المحكيّة عن المعتبر كونه إجماع علمائنا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يوجد مستحقّ جاز شراء العبد من الزكاة و عتقه و إن لم يكن في ضرّ، و عليه فقهاء الأصحاب</w:t>
      </w:r>
      <w:r>
        <w:rPr>
          <w:rFonts w:eastAsia="Amiri" w:cs="Amiri" w:ascii="Amiri" w:hAnsi="Amiri"/>
          <w:color w:val="111111"/>
          <w:sz w:val="28"/>
          <w:szCs w:val="28"/>
          <w:rtl w:val="true"/>
          <w:lang w:bidi="ar-SA"/>
        </w:rPr>
        <w:t>»</w:t>
      </w:r>
      <w:r>
        <w:rPr>
          <w:rStyle w:val="FootnoteAnchor"/>
          <w:rtl w:val="true"/>
        </w:rPr>
        <w:footnoteReference w:id="29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أضاف في الشرائع إلى الثلاثة رابعا و تردّد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رابع و هو من وجب عليه كفّارة و لم يجد فإنّه يعتق عنه، و فيه تردّد</w:t>
      </w:r>
      <w:r>
        <w:rPr>
          <w:rFonts w:eastAsia="Amiri" w:cs="Amiri" w:ascii="Amiri" w:hAnsi="Amiri"/>
          <w:color w:val="111111"/>
          <w:sz w:val="28"/>
          <w:szCs w:val="28"/>
          <w:rtl w:val="true"/>
          <w:lang w:bidi="ar-SA"/>
        </w:rPr>
        <w:t>»</w:t>
      </w:r>
      <w:r>
        <w:rPr>
          <w:rStyle w:val="FootnoteAnchor"/>
          <w:rtl w:val="true"/>
        </w:rPr>
        <w:footnoteReference w:id="2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بالرواية ما أورده عليّ بن إبراهيم في تفسيره مرسلا عن العالم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الرقاب قوم لزمتهم كفّارات في قتل الخطأ و في الظهار و في الأيمان و في قتل الصيد في الحرم و ليس عندهم ما يكفّرون به و هم مؤمنون، فجعل اللّه لهم سهما في الصدقات ليكفّر عنهم</w:t>
      </w:r>
      <w:r>
        <w:rPr>
          <w:rFonts w:eastAsia="Amiri" w:cs="Amiri" w:ascii="Amiri" w:hAnsi="Amiri"/>
          <w:color w:val="111111"/>
          <w:sz w:val="28"/>
          <w:szCs w:val="28"/>
          <w:rtl w:val="true"/>
          <w:lang w:bidi="ar-SA"/>
        </w:rPr>
        <w:t>»</w:t>
      </w:r>
      <w:r>
        <w:rPr>
          <w:rStyle w:val="FootnoteAnchor"/>
          <w:rtl w:val="true"/>
        </w:rPr>
        <w:footnoteReference w:id="2996"/>
      </w:r>
      <w:r>
        <w:rPr>
          <w:rFonts w:ascii="Amiri" w:hAnsi="Amiri" w:eastAsia="Amiri" w:cs="Amiri"/>
          <w:color w:val="111111"/>
          <w:sz w:val="28"/>
          <w:sz w:val="28"/>
          <w:szCs w:val="28"/>
          <w:rtl w:val="true"/>
          <w:lang w:bidi="ar-SA"/>
        </w:rPr>
        <w:t>و وجه تردّده على ما فهمه صاحب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وضوح إسناد الرواية، لأنّ عليّ بن إبراهيم أوردها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w:t>
      </w:r>
      <w:r>
        <w:rPr>
          <w:rFonts w:eastAsia="Amiri" w:cs="Amiri" w:ascii="Amiri" w:hAnsi="Amiri"/>
          <w:color w:val="111111"/>
          <w:sz w:val="28"/>
          <w:szCs w:val="28"/>
          <w:rtl w:val="true"/>
          <w:lang w:bidi="ar-SA"/>
        </w:rPr>
        <w:t>»</w:t>
      </w:r>
      <w:r>
        <w:rPr>
          <w:rStyle w:val="FootnoteAnchor"/>
          <w:rtl w:val="true"/>
        </w:rPr>
        <w:footnoteReference w:id="2997"/>
      </w:r>
      <w:r>
        <w:rPr>
          <w:rFonts w:ascii="Amiri" w:hAnsi="Amiri" w:eastAsia="Amiri" w:cs="Amiri"/>
          <w:color w:val="111111"/>
          <w:sz w:val="28"/>
          <w:sz w:val="28"/>
          <w:szCs w:val="28"/>
          <w:rtl w:val="true"/>
          <w:lang w:bidi="ar-SA"/>
        </w:rPr>
        <w:t>و يمكن جبر هذا الضعف بما في عبارتي المبسوط و التذكرة من ظهور كونها ممّا أجمع الأصحاب على روايته، ففي عبارة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أصحابنا أنّ من وجب عليه عتق رقبة في كفّارة و لا يقدر على ذلك جاز أن يعتق</w:t>
      </w:r>
      <w:r>
        <w:rPr>
          <w:rFonts w:eastAsia="Amiri" w:cs="Amiri" w:ascii="Amiri" w:hAnsi="Amiri"/>
          <w:color w:val="111111"/>
          <w:sz w:val="28"/>
          <w:szCs w:val="28"/>
          <w:rtl w:val="true"/>
          <w:lang w:bidi="ar-SA"/>
        </w:rPr>
        <w:t>»</w:t>
      </w:r>
      <w:r>
        <w:rPr>
          <w:rStyle w:val="FootnoteAnchor"/>
          <w:rtl w:val="true"/>
        </w:rPr>
        <w:footnoteReference w:id="2998"/>
      </w:r>
      <w:r>
        <w:rPr>
          <w:rFonts w:ascii="Amiri" w:hAnsi="Amiri" w:eastAsia="Amiri" w:cs="Amiri"/>
          <w:color w:val="111111"/>
          <w:sz w:val="28"/>
          <w:sz w:val="28"/>
          <w:szCs w:val="28"/>
          <w:rtl w:val="true"/>
          <w:lang w:bidi="ar-SA"/>
        </w:rPr>
        <w:t>و في عبارة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علماؤنا ثالثا و هو من وجب عليه كفّارة عتق في ظهار و شبهه و لم يجد ما يعتق جاز أن يعطى من الزكاة ما يشتري به رقبة و يعتقها في كفّارته، لرواية عليّ بن إبراهيم</w:t>
      </w:r>
      <w:r>
        <w:rPr>
          <w:rFonts w:eastAsia="Amiri" w:cs="Amiri" w:ascii="Amiri" w:hAnsi="Amiri"/>
          <w:color w:val="111111"/>
          <w:sz w:val="28"/>
          <w:szCs w:val="28"/>
          <w:rtl w:val="true"/>
          <w:lang w:bidi="ar-SA"/>
        </w:rPr>
        <w:t>...»</w:t>
      </w:r>
      <w:r>
        <w:rPr>
          <w:rStyle w:val="FootnoteAnchor"/>
          <w:rtl w:val="true"/>
        </w:rPr>
        <w:footnoteReference w:id="2999"/>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يشكل ذلك بعدم ظهور عامل بها حتى أنّ الشيخ الّذي قد عرفت عبارته لم يعمل بها، لأنّه قال بعد العبارة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الأحوط عندي أن يعطى ثمن الرقبة لكونه فقيرا فيشتري هو و يعتق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المعتبر جواز إعطائه من سهم الغارمين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القصد بذلك إبراء ذمّة المكفّر ممّا في عهدته</w:t>
      </w:r>
      <w:r>
        <w:rPr>
          <w:rFonts w:eastAsia="Amiri" w:cs="Amiri" w:ascii="Amiri" w:hAnsi="Amiri"/>
          <w:color w:val="111111"/>
          <w:sz w:val="28"/>
          <w:szCs w:val="28"/>
          <w:rtl w:val="true"/>
          <w:lang w:bidi="ar-SA"/>
        </w:rPr>
        <w:t>»</w:t>
      </w:r>
      <w:r>
        <w:rPr>
          <w:rStyle w:val="FootnoteAnchor"/>
          <w:rtl w:val="true"/>
        </w:rPr>
        <w:footnoteReference w:id="3000"/>
      </w:r>
      <w:r>
        <w:rPr>
          <w:rFonts w:ascii="Amiri" w:hAnsi="Amiri" w:eastAsia="Amiri" w:cs="Amiri"/>
          <w:color w:val="111111"/>
          <w:sz w:val="28"/>
          <w:sz w:val="28"/>
          <w:szCs w:val="28"/>
          <w:rtl w:val="true"/>
          <w:lang w:bidi="ar-SA"/>
        </w:rPr>
        <w:t>و استجوده في المدارك تعليلا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في معنى الغرم</w:t>
      </w:r>
      <w:r>
        <w:rPr>
          <w:rFonts w:eastAsia="Amiri" w:cs="Amiri" w:ascii="Amiri" w:hAnsi="Amiri"/>
          <w:color w:val="111111"/>
          <w:sz w:val="28"/>
          <w:szCs w:val="28"/>
          <w:rtl w:val="true"/>
          <w:lang w:bidi="ar-SA"/>
        </w:rPr>
        <w:t>»</w:t>
      </w:r>
      <w:r>
        <w:rPr>
          <w:rStyle w:val="FootnoteAnchor"/>
          <w:rtl w:val="true"/>
        </w:rPr>
        <w:footnoteReference w:id="3001"/>
      </w:r>
      <w:r>
        <w:rPr>
          <w:rFonts w:ascii="Amiri" w:hAnsi="Amiri" w:eastAsia="Amiri" w:cs="Amiri"/>
          <w:color w:val="111111"/>
          <w:sz w:val="28"/>
          <w:sz w:val="28"/>
          <w:szCs w:val="28"/>
          <w:rtl w:val="true"/>
          <w:lang w:bidi="ar-SA"/>
        </w:rPr>
        <w:t>فالقول الرابع لم يتحقّق قائله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هاهنا قول آخر يكون هو رابع الأقوال، و هو جواز الإعتاق من الزكاة مطلقا أي من غير اشتراط الضرورة و لا عدم المستحقّ و كذلك شراء الأب منها، استجوده في المدارك بعد ما نسبه إلى العلاّمة في القواعد</w:t>
      </w:r>
      <w:r>
        <w:rPr>
          <w:rStyle w:val="FootnoteAnchor"/>
          <w:rtl w:val="true"/>
        </w:rPr>
        <w:footnoteReference w:id="30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قوّاه ولده في الشرح</w:t>
      </w:r>
      <w:r>
        <w:rPr>
          <w:rStyle w:val="FootnoteAnchor"/>
          <w:rtl w:val="true"/>
        </w:rPr>
        <w:footnoteReference w:id="3003"/>
      </w:r>
      <w:r>
        <w:rPr>
          <w:rFonts w:ascii="Amiri" w:hAnsi="Amiri" w:eastAsia="Amiri" w:cs="Amiri"/>
          <w:color w:val="111111"/>
          <w:sz w:val="28"/>
          <w:sz w:val="28"/>
          <w:szCs w:val="28"/>
          <w:rtl w:val="true"/>
          <w:lang w:bidi="ar-SA"/>
        </w:rPr>
        <w:t>و نقله عن المفيد</w:t>
      </w:r>
      <w:r>
        <w:rPr>
          <w:rStyle w:val="FootnoteAnchor"/>
          <w:rtl w:val="true"/>
        </w:rPr>
        <w:footnoteReference w:id="3004"/>
      </w:r>
      <w:r>
        <w:rPr>
          <w:rFonts w:ascii="Amiri" w:hAnsi="Amiri" w:eastAsia="Amiri" w:cs="Amiri"/>
          <w:color w:val="111111"/>
          <w:sz w:val="28"/>
          <w:sz w:val="28"/>
          <w:szCs w:val="28"/>
          <w:rtl w:val="true"/>
          <w:lang w:bidi="ar-SA"/>
        </w:rPr>
        <w:t>و ابن إدريس</w:t>
      </w:r>
      <w:r>
        <w:rPr>
          <w:rStyle w:val="FootnoteAnchor"/>
          <w:rtl w:val="true"/>
        </w:rPr>
        <w:footnoteReference w:id="3005"/>
      </w:r>
      <w:r>
        <w:rPr>
          <w:rFonts w:ascii="Amiri" w:hAnsi="Amiri" w:eastAsia="Amiri" w:cs="Amiri"/>
          <w:color w:val="111111"/>
          <w:sz w:val="28"/>
          <w:sz w:val="28"/>
          <w:szCs w:val="28"/>
          <w:rtl w:val="true"/>
          <w:lang w:bidi="ar-SA"/>
        </w:rPr>
        <w:t>و هو جيّد، لإطلاق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رواه ابن بابويه في كتاب علل الشرائع و الأحكام عن أبيه عن سعد بن عبد اللّه عن هارون بن مسلم عن أيّوب بن الحرّ أخي أديم بن الحرّ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يعرف هذا الأمر الّذي نحن عليه أشتريه من الزكاة و اعتقه‌؟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و أعتقه،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مات و ترك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لأهل الزكاة لأنّه اشترى بسهمهم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بمالهم</w:t>
      </w:r>
      <w:r>
        <w:rPr>
          <w:rFonts w:eastAsia="Amiri" w:cs="Amiri" w:ascii="Amiri" w:hAnsi="Amiri"/>
          <w:color w:val="111111"/>
          <w:sz w:val="28"/>
          <w:szCs w:val="28"/>
          <w:rtl w:val="true"/>
          <w:lang w:bidi="ar-SA"/>
        </w:rPr>
        <w:t>»</w:t>
      </w:r>
      <w:r>
        <w:rPr>
          <w:rStyle w:val="FootnoteAnchor"/>
          <w:rtl w:val="true"/>
        </w:rPr>
        <w:footnoteReference w:id="3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الكليني عنه عن عدّة من أصحابه عن أحمد بن محمّد عن الحسن بن محبوب عن أبي محمّد الوابشي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بعض أصحابنا عن رجل اشترى أباه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خير رقبة لا بأس بذلك</w:t>
      </w:r>
      <w:r>
        <w:rPr>
          <w:rFonts w:eastAsia="Amiri" w:cs="Amiri" w:ascii="Amiri" w:hAnsi="Amiri"/>
          <w:color w:val="111111"/>
          <w:sz w:val="28"/>
          <w:szCs w:val="28"/>
          <w:rtl w:val="true"/>
          <w:lang w:bidi="ar-SA"/>
        </w:rPr>
        <w:t>»</w:t>
      </w:r>
      <w:r>
        <w:rPr>
          <w:rStyle w:val="FootnoteAnchor"/>
          <w:rtl w:val="true"/>
        </w:rPr>
        <w:footnoteReference w:id="30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كون موردهما من سهم الرقاب نظر لما ستعرفه، فالأقوى هو الاقتصار في هذا السهم على المكاتبين و العبيد الّذين في الضرورة و الشدّة كما هو المشهور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بقسميه على دخولهما في صنف الرقاب المنصوص عليه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بالمرسل المنجبر قصوره سندا و دلالة باشتهار العمل به بل الإجماع عليه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مكاتب عجز عن مكاتبته و قد أدّى بعضها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يؤدّى عنه من مال الصدقة، إنّ اللّه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اَلرِّقٰابِ‌ </w:t>
      </w:r>
      <w:r>
        <w:rPr>
          <w:rFonts w:eastAsia="Amiri" w:cs="Amiri" w:ascii="Amiri" w:hAnsi="Amiri"/>
          <w:color w:val="111111"/>
          <w:sz w:val="28"/>
          <w:szCs w:val="28"/>
          <w:rtl w:val="true"/>
          <w:lang w:bidi="ar-SA"/>
        </w:rPr>
        <w:t>»</w:t>
      </w:r>
      <w:r>
        <w:rPr>
          <w:rStyle w:val="FootnoteAnchor"/>
          <w:rtl w:val="true"/>
        </w:rPr>
        <w:footnoteReference w:id="3009"/>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يجتمع عنده الزكاة يشتري بها نسمة </w:t>
      </w:r>
    </w:p>
    <w:p>
      <w:pPr>
        <w:pStyle w:val="BookText"/>
        <w:rPr/>
      </w:pPr>
      <w:r>
        <w:rPr>
          <w:rFonts w:ascii="Amiri" w:hAnsi="Amiri" w:eastAsia="Amiri" w:cs="Amiri"/>
          <w:color w:val="111111"/>
          <w:sz w:val="28"/>
          <w:sz w:val="28"/>
          <w:szCs w:val="28"/>
          <w:rtl w:val="true"/>
          <w:lang w:bidi="ar-SA"/>
        </w:rPr>
        <w:t>يعتقها،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يظلم قوما آخرين حقوقهم، ثمّ مكث مليّا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عبدا مسلما في ضرورة فيشتريه فيعتقه</w:t>
      </w:r>
      <w:r>
        <w:rPr>
          <w:rFonts w:eastAsia="Amiri" w:cs="Amiri" w:ascii="Amiri" w:hAnsi="Amiri"/>
          <w:color w:val="111111"/>
          <w:sz w:val="28"/>
          <w:szCs w:val="28"/>
          <w:rtl w:val="true"/>
          <w:lang w:bidi="ar-SA"/>
        </w:rPr>
        <w:t>»</w:t>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الآية إن كانت من المجمل فيبيّنها الخبران، و إن كانت من العامّ فيخصّصها الخبران، و قضيّة ذلك اختصاص سهم الرقاب بهذين الصنفين لأنّهما المراد من الرقاب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دلالة الخبر الثاني على كونه من هذا السهم لاحتمال كونه من سهم سبيل اللّه بناء على القول بعمومه لكلّ قربة، يدفعها الاستثناء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يظلم قوما آخرين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الظلم عبارة عن وضع الشيء على غير مستحقّه، فيدلّ على أنّ اشتراء مطلق النسمة من مال الزكاة ثمّ إعتاقها ليس من مستحقّي الزكاة، و الاستثناء يدلّ على أنّ اشتراء العبد المسلم إذا كان في ضرورة الشدّة تحت مواليه و إعتاقه ليس ظلما فيكون من مستحقّي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اندراجه في الفقراء و المساكين و لا في العاملين و لا في المؤلّفة قلوبهم و لا في الغارمين و لا في أبناء السبيل، فيبقى في ظاهر النظر مردّدا بين الرقاب و سبيل اللّه، إلاّ أنّه يرجّح الأوّل في دقيق النظر أخذا بظاهر اللفظ،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اَلرِّقٰابِ‌ </w:t>
      </w:r>
      <w:r>
        <w:rPr>
          <w:rStyle w:val="FootnoteAnchor"/>
          <w:rtl w:val="true"/>
        </w:rPr>
        <w:footnoteReference w:id="3011"/>
      </w:r>
      <w:r>
        <w:rPr>
          <w:rFonts w:ascii="Amiri" w:hAnsi="Amiri" w:eastAsia="Amiri" w:cs="Amiri"/>
          <w:color w:val="111111"/>
          <w:sz w:val="28"/>
          <w:sz w:val="28"/>
          <w:szCs w:val="28"/>
          <w:rtl w:val="true"/>
          <w:lang w:bidi="ar-SA"/>
        </w:rPr>
        <w:t>أي فكّهم و تخليصهم عن الرقّيّة أظهر في الشمول لإعتاق العبد الّذي يكون في الشدّة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سَبِيلِ اَللّٰهِ‌ </w:t>
      </w:r>
      <w:r>
        <w:rPr>
          <w:rStyle w:val="FootnoteAnchor"/>
          <w:rtl w:val="true"/>
        </w:rPr>
        <w:footnoteReference w:id="3012"/>
      </w:r>
      <w:r>
        <w:rPr>
          <w:rFonts w:ascii="Amiri" w:hAnsi="Amiri" w:eastAsia="Amiri" w:cs="Amiri"/>
          <w:color w:val="111111"/>
          <w:sz w:val="28"/>
          <w:sz w:val="28"/>
          <w:szCs w:val="28"/>
          <w:rtl w:val="true"/>
          <w:lang w:bidi="ar-SA"/>
        </w:rPr>
        <w:t>و يعضده فهم الأصحاب، و يبقى تحت المستثنى منه العبيد الّذين لا يكونون في ضرورة و شدّة و إن كانوا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اندراج المكاتبين أيضا مع قطع النظر عن الخبر الأوّل المصرّح بدخوله في المراد من الرقاب في المستثنى لأنّ العجز عن أداء مال الكتابة نوع من الضرورة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بيّنّاه ينقدح ضعف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اشتراء العبد و إعتاقه من هذا السهم مع عدم المستحقّ‌، و القول بجواز الاشتراء و الإعتاق عمّن وجب عليه كفّارة العتق، و القول بجواز الاشتراء و الإعتاق مطلقا، لدخول الجميع في إطلاق المستثنى منه بعد استثناء العبد المسلم في الضرورة، و قضيّة ذلك إرجاع التأويل في الروايات المستدلّ بها على هذه الأقوال إمّا بحملها على صورة الضرورة و الشدّة، أو صرف إطلاقها إلى سبيل اللّه إن </w:t>
      </w:r>
    </w:p>
    <w:p>
      <w:pPr>
        <w:pStyle w:val="BookText"/>
        <w:rPr/>
      </w:pPr>
      <w:r>
        <w:rPr>
          <w:rFonts w:ascii="Amiri" w:hAnsi="Amiri" w:eastAsia="Amiri" w:cs="Amiri"/>
          <w:color w:val="111111"/>
          <w:sz w:val="28"/>
          <w:sz w:val="28"/>
          <w:szCs w:val="28"/>
          <w:rtl w:val="true"/>
          <w:lang w:bidi="ar-SA"/>
        </w:rPr>
        <w:t>قلنا بعمومه لكلّ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يظلم قوما آخرين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كما جزم به صاحب المدارك</w:t>
      </w:r>
      <w:r>
        <w:rPr>
          <w:rFonts w:eastAsia="Amiri" w:cs="Amiri" w:ascii="Amiri" w:hAnsi="Amiri"/>
          <w:color w:val="111111"/>
          <w:sz w:val="28"/>
          <w:szCs w:val="28"/>
          <w:rtl w:val="true"/>
          <w:lang w:bidi="ar-SA"/>
        </w:rPr>
        <w:t>.</w:t>
      </w:r>
      <w:r>
        <w:rPr>
          <w:rStyle w:val="FootnoteAnchor"/>
          <w:rtl w:val="true"/>
        </w:rPr>
        <w:footnoteReference w:id="3013"/>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 أنّه يوجب المجاز في لفظ الظلم بلا قرينة عليه، و مجرّد الجمع لا يصلح قرينة عليه لإمكانه بأحد الحملين المذكورين، بل هو المتعيّن لكون التقييد أو التخصيص أرجح من المجاز على ما حقّق في الاصول</w:t>
      </w:r>
      <w:r>
        <w:rPr>
          <w:rFonts w:eastAsia="Amiri" w:cs="Amiri" w:ascii="Amiri" w:hAnsi="Amiri"/>
          <w:color w:val="111111"/>
          <w:sz w:val="28"/>
          <w:szCs w:val="28"/>
          <w:rtl w:val="true"/>
          <w:lang w:bidi="ar-SA"/>
        </w:rPr>
        <w:t>.</w:t>
      </w:r>
      <w:r>
        <w:rPr>
          <w:rStyle w:val="FootnoteAnchor"/>
          <w:rtl w:val="true"/>
        </w:rPr>
        <w:footnoteReference w:id="3014"/>
      </w:r>
      <w:bookmarkStart w:id="662" w:name="pg16181_154868"/>
    </w:p>
    <w:p>
      <w:pPr>
        <w:pStyle w:val="Heading2"/>
        <w:numPr>
          <w:ilvl w:val="1"/>
          <w:numId w:val="1"/>
        </w:numPr>
        <w:rPr/>
      </w:pPr>
      <w:bookmarkStart w:id="663" w:name="__RefHeading___Toc2586897_1280447820"/>
      <w:bookmarkStart w:id="664" w:name="_Toc247"/>
      <w:bookmarkEnd w:id="662"/>
      <w:bookmarkEnd w:id="663"/>
      <w:r>
        <w:rPr>
          <w:rtl w:val="true"/>
        </w:rPr>
        <w:t>الفهرس</w:t>
      </w:r>
      <w:bookmarkEnd w:id="664"/>
    </w:p>
    <w:p>
      <w:pPr>
        <w:pStyle w:val="BookText"/>
        <w:rPr/>
      </w:pPr>
      <w:r>
        <w:rPr>
          <w:rFonts w:ascii="Amiri" w:hAnsi="Amiri" w:eastAsia="Amiri" w:cs="Amiri"/>
          <w:color w:val="111111"/>
          <w:sz w:val="28"/>
          <w:sz w:val="28"/>
          <w:szCs w:val="28"/>
          <w:rtl w:val="true"/>
          <w:lang w:bidi="ar-SA"/>
        </w:rPr>
        <w:t xml:space="preserve">كتاب الزكاة الزكاة لغة و اصطلاحا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المقصد الأوّل في زكاة المال أدلّة وجوب الزكاة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هل يجب في المال حقّ آخر سوى الزكاة و الخمس‌؟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نقل كلام الشيخ في وجوب حقّ الحصاد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آيات القرآن و حقّ الحصاد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الروايات و حقّ الحصاد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دلالة الآيات و الروايات على استحباب حقّ الحصاد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المبحث الأوّل في من يجب 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في اشتراط وجوب الزكاة بالبلوغ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مال الطفل الّذي يكون من قبيل النقدين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غلاّت الطفل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مواشي الصبيّ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الطفل و الصبيّ يعمّ الحمل أم لا؟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الاتّجار بمال الطفل و بيان أقسامها الاولى و الثانية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المتّجر وليّا و اتّجر للطفل لا لنفسه </w:t>
      </w:r>
      <w:r>
        <w:rPr>
          <w:rFonts w:eastAsia="Amiri" w:cs="Amiri" w:ascii="Amiri" w:hAnsi="Amiri"/>
          <w:color w:val="111111"/>
          <w:sz w:val="28"/>
          <w:szCs w:val="28"/>
          <w:lang w:bidi="ar-SA"/>
        </w:rPr>
        <w:t>33</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اجرة عمل المتولّي لمال اليتيم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اعتبار اجرة المثل لعمل المتولّي لمال اليتيم و أدلّته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هل يعتبر في استحباب الزكاة في مال الطفل حصول الربح أو عدم الخسران‌؟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هل يعتبر في جواز اتّجار الوليّ أن يكون مليّا أو لا؟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هل يعتبر في اتّجار الوليّ المصلحة أو يكفي عدم المفسدة‌؟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الاستدلال على اعتبار المصلحة بالآية الشريفة وَ لاٰ تَقْرَبُوا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أقرب المحتملات في الآية الشريفة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بيان القاعدة الكلّيّة المستفادة من الآية الشريفة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علاج التعارض في حسنة الكاهلي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تصرّف الوليّ في فرض المصلحة واجب أو لا؟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هل يكتفي في تصرّف الوليّ عدم المفسدة أم لا؟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في اقتراض الوليّ مع الملاءة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يكفي في جواز تصرّفات الأب و الجدّ مطلقا عدم المفسدة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الاستدلال على تعميم ولاية الأب للجدّ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الزكاة فيما لو اتّجر الوليّ من أموال المولّى عليه لنفسه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اشتراط اقتراض الوليّ بالملاءة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هل يعتبر الملاءة في جميع الأولياء؟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تفسير الملاءة و الأقوال فيها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أقوال الفقهاء في الاشتراء بعين مال الطفل أو في الذمّة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 استحباب الزكاة في مال الطفل ما لم يكن الاتّجار له و المناقشة فيه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لو كان المتّجر غير وليّ و لا مأذونا من الوليّ و اتّجر للطفل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لو كان المتّجر غير الوليّ و اتّجر لنفسه بعد ضمان المال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المطلب الثاني في اشتراط وجوب الزكاة بالعقل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الزكاة في أموال المجنون </w:t>
      </w:r>
      <w:r>
        <w:rPr>
          <w:rFonts w:eastAsia="Amiri" w:cs="Amiri" w:ascii="Amiri" w:hAnsi="Amiri"/>
          <w:color w:val="111111"/>
          <w:sz w:val="28"/>
          <w:szCs w:val="28"/>
          <w:lang w:bidi="ar-SA"/>
        </w:rPr>
        <w:t>71</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إطلاق الأكثر في المجنون عدم الفرق بين المطبق و ذي الأدوار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أموال الساهي و النائم و المغفل و المغمى عليه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المطلب الثالث في اشتراط وجوب الزكاة بالحرّيّة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المطلب الرابع في اشتراط وجوب الزكاة في جميع الأجناس الزكويّة بالملك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له نصاب لم يجر في الحول إلاّ بعد القبض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اوصي له بنصاب يعتبر الحول فيه بعد القبول بعد الوفاة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نصابا من الحيوان هل يعتبر الحول من حين العقد أو يعتبر بعد انقضاء مدّة الخيار؟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الغنيمة الحول بعد الحيازة أو بعد القسمة‌؟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عزل الإمام لبعض المقاتلة قسطا و حال عليه الحول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يتصدّق بعين النصاب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وجوب الزكاة بالتمكّن من التصرّف في النصاب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المال المغصوب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المال الغائب عن المالك و وكيله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زكاة الرهن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زكاة الوقف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الضالّ و المفقود و المجحود و المسروق و ما سقط في البحر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الزكاة في الدين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الزكاة في القرض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ليس شرطا لوجوب الزكاة بل هو شرط لصحّتها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الزكاة </w:t>
      </w:r>
      <w:r>
        <w:rPr>
          <w:rFonts w:eastAsia="Amiri" w:cs="Amiri" w:ascii="Amiri" w:hAnsi="Amiri"/>
          <w:color w:val="111111"/>
          <w:sz w:val="28"/>
          <w:szCs w:val="28"/>
          <w:lang w:bidi="ar-SA"/>
        </w:rPr>
        <w:t>160</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الزكاة في تسعة أشياء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يستحبّ فيه الزكاة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بالأنعام الثلاثة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شروط وجوب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نصاب الإبل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امور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التقدير بالأربعين و الخميس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واحدة على المائة و العشرين يوجب تغيير الفرض و هل زيادة جزء من البعير توجب التغيير أم لا؟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الزائدة على المائة و العشرين هل هو جزء من النصاب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التخيير فيما اجتمع في مال ما يمكن إخراج الفريضين للمالك أو للساعي‌؟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 ابنة المخاض فيما فريضته هذه و عنده ابن لبون ذكر يجزئه ذلك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نصاب البقر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أداء الفريضة في البقر على وجه التخيير أو التعيين‌؟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نصاب الغنم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رسم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الزكاة في ما زاد على النصاب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الاصطلاحات في الزائد على النصاب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المتفرّق في الملك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أسنان الإبل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لا يشترط في الحقّة طروقة الفحل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الشرط الثاني من شروط وجوب الزكاة السوم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الزكاة في المعلوفة </w:t>
      </w:r>
      <w:r>
        <w:rPr>
          <w:rFonts w:eastAsia="Amiri" w:cs="Amiri" w:ascii="Amiri" w:hAnsi="Amiri"/>
          <w:color w:val="111111"/>
          <w:sz w:val="28"/>
          <w:szCs w:val="28"/>
          <w:lang w:bidi="ar-SA"/>
        </w:rPr>
        <w:t>204</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الزكاة في أولاد الأنعام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الأقوال في وقت اعتبار الحول في أولاد السائمة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المسألة استمرار السوم طول الحول و في جميعه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الشرط الثالث من شروط وجوب الزكاة الحول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في استقرار الوجوب بدخول الشهر الثاني عشر و عدمه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الإبل و البقر أن لا تكون عوامل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مسائل مهمّة ينبغي التعرّض لها في طيّ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 بعض الشرائط في أثناء الحول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السخال المتجدّدة و غيرها ممّا تجدّد ملكه في أثناء</w:t>
      </w:r>
    </w:p>
    <w:p>
      <w:pPr>
        <w:pStyle w:val="BookText"/>
        <w:rPr/>
      </w:pPr>
      <w:r>
        <w:rPr>
          <w:rFonts w:ascii="IRNazanin" w:hAnsi="IRNazanin" w:eastAsia="IRNazanin"/>
          <w:color w:val="111111"/>
          <w:sz w:val="28"/>
          <w:sz w:val="28"/>
          <w:szCs w:val="28"/>
          <w:rtl w:val="true"/>
          <w:lang w:bidi="fa-IR"/>
        </w:rPr>
        <w:t xml:space="preserve">حول الامّهات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 المالك للنصاب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الإبدال و الفروع المتعلّقة بها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في جميع المراتب أخذا و إعطاء شاتان أو عشرون درهما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إلى البدل مع الجبر أخذا و إعطاء معلّق على فقد المبدل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إجزاء شاة و عشر دراهم في الجبر أخذا و إعطاء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تفاوتت الأسنان في العلوّ و الدنوّ بأزيد من درجة واحدة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دفع الأعلى و الأدنى مع الجبر المذكور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في دفع الأعلى و الأدنى للمالك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القيمة عن أعيان الفرائض في الزكاة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القيمة لا أصل و لا بدل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العين أفضل في الأنعام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المنفعة في الزكاة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القيمة قيمة وقت الإخراج </w:t>
      </w:r>
      <w:r>
        <w:rPr>
          <w:rFonts w:eastAsia="Amiri" w:cs="Amiri" w:ascii="Amiri" w:hAnsi="Amiri"/>
          <w:color w:val="111111"/>
          <w:sz w:val="28"/>
          <w:szCs w:val="28"/>
          <w:lang w:bidi="ar-SA"/>
        </w:rPr>
        <w:t>254</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يجزئ من الشاة المأخوذة في الزكاة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على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تعيّن الجذع و الثني بين شاة زكاة الغنم</w:t>
      </w:r>
    </w:p>
    <w:p>
      <w:pPr>
        <w:pStyle w:val="BookText"/>
        <w:rPr/>
      </w:pPr>
      <w:r>
        <w:rPr>
          <w:rFonts w:ascii="Amiri" w:hAnsi="Amiri" w:eastAsia="Amiri" w:cs="Amiri"/>
          <w:color w:val="111111"/>
          <w:sz w:val="28"/>
          <w:sz w:val="28"/>
          <w:szCs w:val="28"/>
          <w:rtl w:val="true"/>
          <w:lang w:bidi="ar-SA"/>
        </w:rPr>
        <w:t xml:space="preserve">و شاة زكاة الإبل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تفسير الجذع و الثني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الذكر و الانثى في الإجزاء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أخذ المريضة مع وجود الصحيحة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تؤخذ الربّى و الأكولة و فحل الضراب في الصدقة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التنبيه على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الربّى و الأكولة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أخذ أحد هذه مع رضى المالك و دفعه بطيب نفسه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عدّ الأكولة و فحل الضراب من النصاب و عدمه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المقام الثاني فيما يتعلّق بالذهب و الفضّة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شروط وجوب الزكاة في النقدين،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ينبغي التنبيه على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نصاب الذهب عند الصدوق و أبيه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الذهب أقلّ من عشرين دينار و أقلّ من أربعة دنانير و لو بيسير</w:t>
      </w:r>
    </w:p>
    <w:p>
      <w:pPr>
        <w:pStyle w:val="BookText"/>
        <w:rPr/>
      </w:pPr>
      <w:r>
        <w:rPr>
          <w:rFonts w:ascii="Amiri" w:hAnsi="Amiri" w:eastAsia="Amiri" w:cs="Amiri"/>
          <w:color w:val="111111"/>
          <w:sz w:val="28"/>
          <w:sz w:val="28"/>
          <w:szCs w:val="28"/>
          <w:rtl w:val="true"/>
          <w:lang w:bidi="ar-SA"/>
        </w:rPr>
        <w:t xml:space="preserve">لا يجب فيه الزكاة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الواجب إخراجه في النصاب الأوّل نصف دينار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زاد أربعة ففيها قيراطان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النصاب الأوّل في الفضّة مائتا درهم و نصابها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ينبغي التنبيه على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عن المائتين و عن الأربعين بعد المائتين</w:t>
      </w:r>
    </w:p>
    <w:p>
      <w:pPr>
        <w:pStyle w:val="BookText"/>
        <w:rPr/>
      </w:pPr>
      <w:r>
        <w:rPr>
          <w:rFonts w:ascii="Amiri" w:hAnsi="Amiri" w:eastAsia="Amiri" w:cs="Amiri"/>
          <w:color w:val="111111"/>
          <w:sz w:val="28"/>
          <w:sz w:val="28"/>
          <w:szCs w:val="28"/>
          <w:rtl w:val="true"/>
          <w:lang w:bidi="ar-SA"/>
        </w:rPr>
        <w:t xml:space="preserve">فلا زكاة فيه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الواجب في كلّ من النصابين ربع العشر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الدرهم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الشرط الثاني في وجوب الزكاة في النقدين أن يكونا مسكوكين بسكّة المعاملة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الحول على النصاب </w:t>
      </w:r>
      <w:r>
        <w:rPr>
          <w:rFonts w:eastAsia="IRNazanin" w:cs="IRNazanin"/>
          <w:color w:val="111111"/>
          <w:sz w:val="28"/>
          <w:szCs w:val="28"/>
          <w:lang w:bidi="fa-IR"/>
        </w:rPr>
        <w:t>286</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مهمّة </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النصاب في أثناء الحول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الزكاة في الحليّ و السبائك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الجودة و الرداءة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الدراهم و الدنانير المغشوشة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المقام الثالث في زكاة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يشترط النصاب في وجوب الزكاة في الغلاّت الأربع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في كميّة الصاع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ينبغي التنبيه على امور،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تحقيقيّة التقدير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نصاب الغلاّت بالوزن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نصاب الغلاّت الأربع إنّما يعتبر وقت الجفاف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مسائل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تعلّق الزكاة بعد بدوّ الصلاح و قبل التسمية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إخراج الزكاة في الغلاّت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إخراج المؤن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ينبغي التنبيه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النصاب بعد إخراج المؤن مطلقا أو</w:t>
      </w:r>
    </w:p>
    <w:p>
      <w:pPr>
        <w:pStyle w:val="BookText"/>
        <w:rPr/>
      </w:pPr>
      <w:r>
        <w:rPr>
          <w:rFonts w:ascii="Amiri" w:hAnsi="Amiri" w:eastAsia="Amiri" w:cs="Amiri"/>
          <w:color w:val="111111"/>
          <w:sz w:val="28"/>
          <w:sz w:val="28"/>
          <w:szCs w:val="28"/>
          <w:rtl w:val="true"/>
          <w:lang w:bidi="ar-SA"/>
        </w:rPr>
        <w:t>قبل إخراجها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ضابط المئونة المعتبر استثناؤها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لا تجب الزكاة إلاّ بعد إخراج حصّة السلطان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حكم ما يأخذه سلاطين الشيعة على الأراضي من الخراج و المقاسمة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يأخذه الجائرون زيادة على الضريبة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 السلطان الجائر على ملك المالك المختصّ به حصّة من حاصله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المئونة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بالمؤن المعتبر استثناؤها ثمن الأرض المبتاعة و مئونة حفر</w:t>
      </w:r>
    </w:p>
    <w:p>
      <w:pPr>
        <w:pStyle w:val="BookText"/>
        <w:rPr/>
      </w:pPr>
      <w:r>
        <w:rPr>
          <w:rFonts w:ascii="Amiri" w:hAnsi="Amiri" w:eastAsia="Amiri" w:cs="Amiri"/>
          <w:color w:val="111111"/>
          <w:sz w:val="28"/>
          <w:sz w:val="28"/>
          <w:szCs w:val="28"/>
          <w:rtl w:val="true"/>
          <w:lang w:bidi="ar-SA"/>
        </w:rPr>
        <w:t>القناة و حفر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القدر المخرج من الزكاة و الضابط فيه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اجتماع الأمران من السقاية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في المتفرّقات وحدة المالك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الرطب للزكاة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المالك و عليه دين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الخلاف في انتقال الشركة إلى الورّاث مع استيعاب الدين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تتعلّق بالعين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هاهنا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من إخراج الزكاة و إيصالها إلى المستحقّ أو الإمام أو الساعي</w:t>
      </w:r>
    </w:p>
    <w:p>
      <w:pPr>
        <w:pStyle w:val="BookText"/>
        <w:rPr/>
      </w:pPr>
      <w:r>
        <w:rPr>
          <w:rFonts w:ascii="Amiri" w:hAnsi="Amiri" w:eastAsia="Amiri" w:cs="Amiri"/>
          <w:color w:val="111111"/>
          <w:sz w:val="28"/>
          <w:sz w:val="28"/>
          <w:szCs w:val="28"/>
          <w:rtl w:val="true"/>
          <w:lang w:bidi="ar-SA"/>
        </w:rPr>
        <w:t xml:space="preserve">و لم يفعل فقد فرّط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الزكاة بالصداق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الأحوال المتعدّدة على النصاب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التجانس في الأنعام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ادّعاء المالك من دون بيّنة و يمين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الخرص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في وقت الخرص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في عدد الخارصين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بيان كيفيّة الخرص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ينبوع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مال التجارة ما يستحبّ فيه الزكاة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التجارة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موضوع مال التجارة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حكم الزكاة في مال التجارة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شروط استحباب الزكاة في مال التجارة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رأس المال طول الحول </w:t>
      </w:r>
      <w:r>
        <w:rPr>
          <w:rFonts w:eastAsia="IRNazanin" w:cs="IRNazanin"/>
          <w:color w:val="111111"/>
          <w:sz w:val="28"/>
          <w:szCs w:val="28"/>
          <w:lang w:bidi="fa-IR"/>
        </w:rPr>
        <w:t>397</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على معنى مضيّ الحول على مال التجارة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تبدّلت الأعيان في أثناء الحول سقطت الزكاة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قيمة مال التجارة بأحد النقدين نصابا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زكاة مال التجارة تتعلّق بالقيمة لا بالعين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فوائد تعلّق الزكاة بالقيمة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في النصب و اجتماع الزكاتين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مال المضاربة و ربحها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المنساق من نصوص زكاة التجارة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معنى كون الربح وقاية لرأس المال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لا يمنع الزكاة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نماء العقارات و الخيول السائمة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إذا كانت إناثا سائمة و حال عليها الحول ففي العتاق عن</w:t>
      </w:r>
    </w:p>
    <w:p>
      <w:pPr>
        <w:pStyle w:val="BookText"/>
        <w:rPr/>
      </w:pPr>
      <w:r>
        <w:rPr>
          <w:rFonts w:ascii="Amiri" w:hAnsi="Amiri" w:eastAsia="Amiri" w:cs="Amiri"/>
          <w:color w:val="111111"/>
          <w:sz w:val="28"/>
          <w:sz w:val="28"/>
          <w:szCs w:val="28"/>
          <w:rtl w:val="true"/>
          <w:lang w:bidi="ar-SA"/>
        </w:rPr>
        <w:t>كلّ فرس ديناران، و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المستحقّين للزكاة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 المساكين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كلمات الأصحاب في ما يتعلّق به الغنى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الغنى في مساق الأخبار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أخذ الزكاة لمن يقصر عن كفايته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مال معدّ للإنفاق من جنس أحد النقدين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حلّية الزكاة للمكتسب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الزكاة للفقراء و إن كان لهم الدار و الخادم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إعطاء الفقير مقدار ما يغنيه </w:t>
      </w:r>
      <w:r>
        <w:rPr>
          <w:rFonts w:eastAsia="Amiri" w:cs="Amiri" w:ascii="Amiri" w:hAnsi="Amiri"/>
          <w:color w:val="111111"/>
          <w:sz w:val="28"/>
          <w:szCs w:val="28"/>
          <w:lang w:bidi="ar-SA"/>
        </w:rPr>
        <w:t>438</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الفقر طلبا للزكاة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مطالبة البيّنة ممّن ادّعى الفقر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إعلام الفقير بأنّ المدفوع إليه من وجه الزكاة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بان الفقير غنيّا ارتجعت الزكاة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ارتجاع الزكاة مع إمكانه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اخراهما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ضمانها على الدافع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العاملون على الزكاة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lang w:bidi="ar-SA"/>
        </w:rPr>
        <w:t>462</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الرقاب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باب فضل الصدقة، الوسائل </w:t>
      </w:r>
      <w:r>
        <w:rPr>
          <w:rFonts w:eastAsia="IRNazanin" w:cs="IRNazanin"/>
          <w:b w:val="false"/>
          <w:bCs w:val="false"/>
          <w:i w:val="false"/>
          <w:iCs w:val="false"/>
          <w:color w:val="333333"/>
          <w:sz w:val="20"/>
          <w:szCs w:val="20"/>
        </w:rPr>
        <w:t>14/15:9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وجوبها،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إليك 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الشرع اسم لحقّ يجب في المال يعتبر في وجوبه النصاب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307:5</w:t>
      </w:r>
      <w:r>
        <w:rPr>
          <w:rFonts w:ascii="IRNazanin" w:hAnsi="IRNazanin" w:eastAsia="IRNazanin"/>
          <w:b w:val="false"/>
          <w:b w:val="false"/>
          <w:bCs w:val="false"/>
          <w:i w:val="false"/>
          <w:i w:val="false"/>
          <w:iCs w:val="false"/>
          <w:color w:val="333333"/>
          <w:sz w:val="20"/>
          <w:sz w:val="20"/>
          <w:szCs w:val="20"/>
          <w:rtl w:val="true"/>
        </w:rPr>
        <w:t>، و لكن صدر العبارة المنقولة في المأخذ بالنحو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الواجب في المال الّذي يعتبر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الجملة في المصدر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في الحديث هي كالتالي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 يفرض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المصدر المشار إليهما تحت الهامش السابق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1517:4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الوظيفة من خراج الأرض، القاموس المحيط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و هو مكيال أو ما يوضع من الخراج على الجريان أو شبه ضريبة معلومة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2/497:3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تجب فيه الزكاة، الفقيه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الأصناف الّتي تجب عليها الزكاة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الكافي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ضغثت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قبضة حشيش مختلط رطبها بيابسها، و يقال ملء الكفّ من قضبان أو حشيش أو شماريخ</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1/544:3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الدنيا، لأنّ الإمام عليه السّلام يأخذ الزكاة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حفنا و حفنة و هي ملء الكفّين،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حفنات مثل سجدة و سجدات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البحث عنها في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10873/70:8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معاني القرآن </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لزوم التبيين بالسنّة المطهّرة السابقة أو اللاحقة، و لهذا على تقدير إرادة حقّ الحصاد كان التكليف المستفاد من الآية مجملا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303/106:4</w:t>
      </w:r>
      <w:r>
        <w:rPr>
          <w:rFonts w:ascii="IRNazanin" w:hAnsi="IRNazanin" w:eastAsia="IRNazanin"/>
          <w:b w:val="false"/>
          <w:b w:val="false"/>
          <w:bCs w:val="false"/>
          <w:i w:val="false"/>
          <w:i w:val="false"/>
          <w:iCs w:val="false"/>
          <w:color w:val="333333"/>
          <w:sz w:val="20"/>
          <w:sz w:val="20"/>
          <w:szCs w:val="20"/>
          <w:rtl w:val="true"/>
        </w:rPr>
        <w:t xml:space="preserve">، لم نعثر على نصّ هذه العبارة، يبدو استفادة هذه المعنى من روايات باب الحصاد و الجذاذ في الكافي </w:t>
      </w:r>
      <w:r>
        <w:rPr>
          <w:rFonts w:eastAsia="IRNazanin" w:cs="IRNazanin"/>
          <w:b w:val="false"/>
          <w:bCs w:val="false"/>
          <w:i w:val="false"/>
          <w:iCs w:val="false"/>
          <w:color w:val="333333"/>
          <w:sz w:val="20"/>
          <w:szCs w:val="20"/>
        </w:rPr>
        <w:t>564:3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2/196:9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زكات الغلاّت، الكافي </w:t>
      </w:r>
      <w:r>
        <w:rPr>
          <w:rFonts w:eastAsia="IRNazanin" w:cs="IRNazanin"/>
          <w:b w:val="false"/>
          <w:bCs w:val="false"/>
          <w:i w:val="false"/>
          <w:iCs w:val="false"/>
          <w:color w:val="333333"/>
          <w:sz w:val="20"/>
          <w:szCs w:val="20"/>
        </w:rPr>
        <w:t>1/544:3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في استشهاد الإمام عليه السّلام في ما رواه سيّد المرتضى في الانتصار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جذذ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جذذت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كسرته و قطعته، و الجذاذ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تقطع منه، عطاء غير مجذود أي غير مقطوع، النهاية في غريب الحديث و الآثار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الجذاذ بالفتح و الكسر صرام النخل و هو قطع ثمرتها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2/565:3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37/106:4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1/195:9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1037:3</w:t>
      </w:r>
      <w:r>
        <w:rPr>
          <w:rFonts w:ascii="IRNazanin" w:hAnsi="IRNazanin" w:eastAsia="IRNazanin"/>
          <w:b w:val="false"/>
          <w:b w:val="false"/>
          <w:bCs w:val="false"/>
          <w:i w:val="false"/>
          <w:i w:val="false"/>
          <w:iCs w:val="false"/>
          <w:color w:val="333333"/>
          <w:sz w:val="20"/>
          <w:sz w:val="20"/>
          <w:szCs w:val="20"/>
          <w:rtl w:val="true"/>
        </w:rPr>
        <w:t>، الخصاصة و الخصاص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جذذ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جذذت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كسرته و قطعته، و الجذاذ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تقطع منه، عطاء غير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 بلا تشديدة، و لكن يبدو أنّ التشديدة هو 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ضحّى يضحّي تضحية،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تذبح الأضحية بالليل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البذر و بذر الحب، بذرا ألقاه في الأرض للزراعة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الكافي </w:t>
      </w:r>
      <w:r>
        <w:rPr>
          <w:rFonts w:eastAsia="IRNazanin" w:cs="IRNazanin"/>
          <w:b w:val="false"/>
          <w:bCs w:val="false"/>
          <w:i w:val="false"/>
          <w:iCs w:val="false"/>
          <w:color w:val="333333"/>
          <w:sz w:val="20"/>
          <w:szCs w:val="20"/>
        </w:rPr>
        <w:t>3/565:3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6/200:9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10/200:9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المصادر المستخرجة تحت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و حقّ الحصاد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عن ابن أبي نصر البزنطي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الكافي </w:t>
      </w:r>
      <w:r>
        <w:rPr>
          <w:rFonts w:eastAsia="IRNazanin" w:cs="IRNazanin"/>
          <w:b w:val="false"/>
          <w:bCs w:val="false"/>
          <w:i w:val="false"/>
          <w:iCs w:val="false"/>
          <w:color w:val="333333"/>
          <w:sz w:val="20"/>
          <w:szCs w:val="20"/>
        </w:rPr>
        <w:t>6/566:3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مراده الصغير الثريّ الّذي يعيش في كنف أبيه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في المنتهى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نهاية الأحكام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الشهيد الأوّل في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شرح اللمعة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أصالة عدم تعرّض الشارع لجعل الزكاة في مال الطفل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الطفل ما لم يبلغ ليس عليه تكليف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و لكن اضيفت فيه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تفتقر أدائها إلى النيّة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40/94</w:t>
      </w:r>
      <w:r>
        <w:rPr>
          <w:rFonts w:ascii="IRNazanin" w:hAnsi="IRNazanin" w:eastAsia="IRNazanin"/>
          <w:b w:val="false"/>
          <w:b w:val="false"/>
          <w:bCs w:val="false"/>
          <w:i w:val="false"/>
          <w:i w:val="false"/>
          <w:iCs w:val="false"/>
          <w:color w:val="333333"/>
          <w:sz w:val="20"/>
          <w:sz w:val="20"/>
          <w:szCs w:val="20"/>
          <w:rtl w:val="true"/>
        </w:rPr>
        <w:t xml:space="preserve">، ب الثلاثة، مستدرك الوسائل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w:t>
      </w:r>
      <w:r>
        <w:rPr>
          <w:rFonts w:eastAsia="IRNazanin" w:cs="IRNazanin"/>
          <w:b w:val="false"/>
          <w:bCs w:val="false"/>
          <w:i w:val="false"/>
          <w:iCs w:val="false"/>
          <w:color w:val="333333"/>
          <w:sz w:val="20"/>
          <w:szCs w:val="20"/>
        </w:rPr>
        <w:t>1/13:18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7/85:9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8/85:9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6/85:9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الاستبصار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11/86:9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الكافي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و لكن الرواية تختلف عن المنقول هنا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2065/177:2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15/30:4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الكافي </w:t>
      </w:r>
      <w:r>
        <w:rPr>
          <w:rFonts w:eastAsia="IRNazanin" w:cs="IRNazanin"/>
          <w:b w:val="false"/>
          <w:bCs w:val="false"/>
          <w:i w:val="false"/>
          <w:iCs w:val="false"/>
          <w:color w:val="333333"/>
          <w:sz w:val="20"/>
          <w:szCs w:val="20"/>
        </w:rPr>
        <w:t>1/540:3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مراده الصغير الثريّ الّذي يعيش في كنف أبيه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لكن عبارة المقنعة بالنحو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زكاة عند آل الرسول صلّى اللّه عليه و آله في صامت أموال الأطفال و المجانين من الدرهم و الدنانير إلاّ أن يتّجر الوليّ لهم أو القيّم عليهم بها فإنّ اتّجر بها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ظاهر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الاستظهار من كلام ابن إدريس لا ابن الجنيد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في شرح شرائع الإسلام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بعد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الروايات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الكافي </w:t>
      </w:r>
      <w:r>
        <w:rPr>
          <w:rFonts w:eastAsia="IRNazanin" w:cs="IRNazanin"/>
          <w:b w:val="false"/>
          <w:bCs w:val="false"/>
          <w:i w:val="false"/>
          <w:iCs w:val="false"/>
          <w:color w:val="333333"/>
          <w:sz w:val="20"/>
          <w:szCs w:val="20"/>
        </w:rPr>
        <w:t>5/541:3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المفيد في المقنعة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5/85:9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7/541:3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10/86:9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3/541:3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6/541:3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6/27:4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3/88:9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9/28:4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2/540:3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835:2</w:t>
      </w:r>
      <w:r>
        <w:rPr>
          <w:rFonts w:ascii="IRNazanin" w:hAnsi="IRNazanin" w:eastAsia="IRNazanin"/>
          <w:b w:val="false"/>
          <w:b w:val="false"/>
          <w:bCs w:val="false"/>
          <w:i w:val="false"/>
          <w:i w:val="false"/>
          <w:iCs w:val="false"/>
          <w:color w:val="333333"/>
          <w:sz w:val="20"/>
          <w:sz w:val="20"/>
          <w:szCs w:val="20"/>
          <w:rtl w:val="true"/>
        </w:rPr>
        <w:t>، و 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 صغيرة في الأرض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 هذا الحديث يشمل بعض الفقرات و باقي الفقرات ذكر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1599/16:2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المذكورة في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قال 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الفضيل، أزدي، صيرفي، يرمى بالغلوّ، له كتاب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5/88:9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الكافي </w:t>
      </w:r>
      <w:r>
        <w:rPr>
          <w:rFonts w:eastAsia="IRNazanin" w:cs="IRNazanin"/>
          <w:b w:val="false"/>
          <w:bCs w:val="false"/>
          <w:i w:val="false"/>
          <w:iCs w:val="false"/>
          <w:color w:val="333333"/>
          <w:sz w:val="20"/>
          <w:szCs w:val="20"/>
        </w:rPr>
        <w:t>7/541:3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المعجم، فقه ابن أبي عقيل العمّاني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بلغ اليتيم فليس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الفقيه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نصّ هذه الرواية في المصادر الإماميّة، و الروايات كلّها يعيّن كيفيّة السقاية على مصاديقها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 أبواب زكاة الغلاّت، مستدرك الوسائل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بن علي الطباطبائي، المعروف بالمجاهد،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مكتبة أية اللّه النجفي المرعشي، النسخة المخطوطة، رقم المسلسل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المنقولة عن تهذيب الأحكام في احتجاج الشيخ</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تهذيب الأحكام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الذى يدلّ على أنّه لا زكات في مال اليتيم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5/541:3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هذه الكلمة زائدة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القائل بها هو العلاّمة في التذكرة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11/86:9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دلالة الموثّقة على عدم الوجوب أظهر من دلالة الصحيحة على الوجوب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رعاية المرجّحات السنديّة في الترجيح و التقديم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لكنّ العبارة فيها هي كالتالي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ذهب أكثر أصحابنا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الوسيلة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عن المحقّق السبزواري في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يدّعي ما يناقض كلام المؤلّف هنا، إليك نصّ عبارة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 وجوب الزكاة في غلاّت الطفل و مواشيه و المشهور بين المتأخّرين الوجوب و إليه ذهب سلاّر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ابن الجنيد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أوجب الشيخان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البرّاج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في غلاّت الأطفال و المجانين و مواشيهم و قال السيّد المرتضى في المسائل الناصريّة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الصحيح عندنا أنّه لا زكاة في مال الصبيّ من العين و الورق و امّا الزرع و الضرع فقد ذهب أكثر أصحابنا إلى أنّهم يأخذوا منهم الصدقة و الأقرب الأوّل لعموم الأخبار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بعد الرجوع إلى كلامهم، يظهر لنا، أنّهم لم يكونوا جازما لهذا المعنى، لأنّهم يضعون البحث عنها في مقام الردّ و الإبرام و لا يلوح الميل إلى الوجوب أبدا من عبائر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ابن ادريس، ابن الجنيد، ابن أبي عقيل، و السيد المرتضى، و لذلك يبدو ارتكاب التقيّة منهم و الغفلة من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 xml:space="preserve">، الركن الأوّل، من يجب عليه و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زكاة الفطرة، المختلف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الوسيلة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أشيرت إليها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488:2</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عليه جميع روايات الباب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من كلّ شيء أو المولود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ط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الفطيم ككريم هو الّذي انتهت مدّة رضاعه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قال 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بالطفل، هنا المنفصل فلا وجوب و لا استحباب في الحمل، بل ادّعى عليه بعض الأصحاب الإجماع و في البيان احتمل انسحاب الحكم فيه مراعى بانفصاله حيّا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النسخة المخطوطة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من تجب عليه الزكاة، الكافي </w:t>
      </w:r>
      <w:r>
        <w:rPr>
          <w:rFonts w:eastAsia="IRNazanin" w:cs="IRNazanin"/>
          <w:b w:val="false"/>
          <w:bCs w:val="false"/>
          <w:i w:val="false"/>
          <w:iCs w:val="false"/>
          <w:color w:val="333333"/>
          <w:sz w:val="20"/>
          <w:szCs w:val="20"/>
        </w:rPr>
        <w:t>3/541:3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تحت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اخراهما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ظاهر كلامه ينصرف عمّا حكي عنه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كلام له بهذا المعنى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عبارته ليس صريحا و من الممكن استفادة هذا المعنى من إطلاق عبارته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أشار إليها في نهاية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النسخة المخطوطة،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لا يخفى أنّ عبائر أكثر هؤلاء الفقهاء ليست صريحة في ذلك و لكن يستفاد عدم الضمان في هذا القسم من إطلاق الضمان فيما لو اتّجر الوليّ لنفسه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6/89:9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الكتاب إلاّ ما حكاه النجاشي و الفقهاء الخاصّة عن وجوده و رواية ابن مسكان منه، إليك نصّ عبارة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الربيع الشامي الغزي روى عن أبي عبد اللّه عليه السّلام و له كتاب يرويه عبد اللّه بن مسكان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9759</w:t>
      </w:r>
      <w:r>
        <w:rPr>
          <w:rFonts w:ascii="IRNazanin" w:hAnsi="IRNazanin" w:eastAsia="IRNazanin"/>
          <w:b w:val="false"/>
          <w:b w:val="false"/>
          <w:bCs w:val="false"/>
          <w:i w:val="false"/>
          <w:i w:val="false"/>
          <w:iCs w:val="false"/>
          <w:color w:val="333333"/>
          <w:sz w:val="20"/>
          <w:sz w:val="20"/>
          <w:szCs w:val="20"/>
          <w:rtl w:val="true"/>
        </w:rPr>
        <w:t>، المخطوطة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بقاعدة الإحسان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1599/16:2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8/89:9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1/540:3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6/540:3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6/27:4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301:11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المخطوطة،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لم نعثر في كلامه حول الآيات الشريفة المرتبطة بالأيتام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سورتي النساء و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ذلك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المؤلّف تحت العنوان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بنفسه الرقم الاولى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81/343:6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5/251:17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التجارة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كان فقيرا فليأكل بالمعروف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71/340:6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1/250:17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التجارة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9/253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التجارة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10/253:17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التجارة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استحباب الزكاة في مال الطفل في صورة عدم عروض الخسران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كفاية عدم المفسدة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778:4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نهاية الأحكام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المخطوطة، الرقم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3/135:5</w:t>
      </w:r>
      <w:r>
        <w:rPr>
          <w:rFonts w:ascii="IRNazanin" w:hAnsi="IRNazanin" w:eastAsia="IRNazanin"/>
          <w:b w:val="false"/>
          <w:b w:val="false"/>
          <w:bCs w:val="false"/>
          <w:i w:val="false"/>
          <w:i w:val="false"/>
          <w:iCs w:val="false"/>
          <w:color w:val="333333"/>
          <w:sz w:val="20"/>
          <w:sz w:val="20"/>
          <w:szCs w:val="20"/>
          <w:rtl w:val="true"/>
        </w:rPr>
        <w:t>، أصل الحديث في المصدر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مالك لأبيك، ثمّ 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احبّ له أن يأخذ من مال ابنه إلاّ ما احتاج إليه ممّا لا بدّ منه، أنّ اللّه لا يحب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الاستبصار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83/343:6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أنّه نقل المؤلّف عن شيخه،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575:3</w:t>
      </w:r>
      <w:r>
        <w:rPr>
          <w:rFonts w:ascii="IRNazanin" w:hAnsi="IRNazanin" w:eastAsia="IRNazanin"/>
          <w:b w:val="false"/>
          <w:b w:val="false"/>
          <w:bCs w:val="false"/>
          <w:i w:val="false"/>
          <w:i w:val="false"/>
          <w:iCs w:val="false"/>
          <w:color w:val="333333"/>
          <w:sz w:val="20"/>
          <w:sz w:val="20"/>
          <w:szCs w:val="20"/>
          <w:rtl w:val="true"/>
        </w:rPr>
        <w:t>، و لكن لم نظفر على قائله المنسوبة إليه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4/129:5</w:t>
      </w:r>
      <w:r>
        <w:rPr>
          <w:rFonts w:ascii="IRNazanin" w:hAnsi="IRNazanin" w:eastAsia="IRNazanin"/>
          <w:b w:val="false"/>
          <w:b w:val="false"/>
          <w:bCs w:val="false"/>
          <w:i w:val="false"/>
          <w:i w:val="false"/>
          <w:iCs w:val="false"/>
          <w:color w:val="333333"/>
          <w:sz w:val="20"/>
          <w:sz w:val="20"/>
          <w:szCs w:val="20"/>
          <w:rtl w:val="true"/>
        </w:rPr>
        <w:t xml:space="preserve">، مع تفاوت يسير في بعض الكلمات، تهذيب الأحكام </w:t>
      </w:r>
      <w:r>
        <w:rPr>
          <w:rFonts w:eastAsia="IRNazanin" w:cs="IRNazanin"/>
          <w:b w:val="false"/>
          <w:bCs w:val="false"/>
          <w:i w:val="false"/>
          <w:iCs w:val="false"/>
          <w:color w:val="333333"/>
          <w:sz w:val="20"/>
          <w:szCs w:val="20"/>
        </w:rPr>
        <w:t>68/339:6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أشار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البحث عنها تحت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المصلحة في الاتّجار للمولّى عليه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عبارته ليست صريحة و من الممكن استفادة هذه المعنى من مفهومه المخالف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المكاسب </w:t>
      </w:r>
      <w:r>
        <w:rPr>
          <w:rFonts w:eastAsia="IRNazanin" w:cs="IRNazanin"/>
          <w:b w:val="false"/>
          <w:bCs w:val="false"/>
          <w:i w:val="false"/>
          <w:iCs w:val="false"/>
          <w:color w:val="333333"/>
          <w:sz w:val="20"/>
          <w:szCs w:val="20"/>
        </w:rPr>
        <w:t>536:3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الاستبصار </w:t>
      </w:r>
      <w:r>
        <w:rPr>
          <w:rFonts w:eastAsia="IRNazanin" w:cs="IRNazanin"/>
          <w:b w:val="false"/>
          <w:bCs w:val="false"/>
          <w:i w:val="false"/>
          <w:iCs w:val="false"/>
          <w:color w:val="333333"/>
          <w:sz w:val="20"/>
          <w:szCs w:val="20"/>
        </w:rPr>
        <w:t>9/50:3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الاستبصار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82/343:6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2/263:17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تكتسب به، الاستبصار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83/343:6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6/136:5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3669/177:3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6/49:3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8/265:17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8/50:3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90/345:6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المكاسب </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5/290:20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عقد النكاح</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8/291:20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7/89:9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الاستبصار </w:t>
      </w:r>
      <w:r>
        <w:rPr>
          <w:rFonts w:eastAsia="IRNazanin" w:cs="IRNazanin"/>
          <w:b w:val="false"/>
          <w:bCs w:val="false"/>
          <w:i w:val="false"/>
          <w:iCs w:val="false"/>
          <w:color w:val="333333"/>
          <w:sz w:val="20"/>
          <w:szCs w:val="20"/>
        </w:rPr>
        <w:t>7/30:2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12/29:4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الشيخ الأنصاري، 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 المجلد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تقدّم أيضا نبذة من كلامهم في الصفحات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258:17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يكتسب به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3/131:5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76/342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2/131:5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77/342:6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2/257:17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صدر الرواية في المأخذ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امرني أخي أن أسألك عن مال اليتيم في حجره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3/258:17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في بعض الكلمات و إليك 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همزة،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تشديد، و بدل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المأخذ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78/342:6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1/257:17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هو خاصّ بالوصيّ‌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الخبرين عن أسباط بن سالم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هو عامّ‌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ربعي بن عبد اللّه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الصيقل المتقدّم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محمّد بن مسلم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آنفا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آنفا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آنفا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اشيرت إليها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رواية صحيح ربعي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آنفا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الرقم </w:t>
      </w:r>
      <w:r>
        <w:rPr>
          <w:rFonts w:eastAsia="IRNazanin" w:cs="IRNazanin"/>
          <w:b w:val="false"/>
          <w:bCs w:val="false"/>
          <w:i w:val="false"/>
          <w:iCs w:val="false"/>
          <w:color w:val="333333"/>
          <w:sz w:val="20"/>
          <w:szCs w:val="20"/>
        </w:rPr>
        <w:t>5759</w:t>
      </w:r>
      <w:r>
        <w:rPr>
          <w:rFonts w:ascii="IRNazanin" w:hAnsi="IRNazanin" w:eastAsia="IRNazanin"/>
          <w:b w:val="false"/>
          <w:b w:val="false"/>
          <w:bCs w:val="false"/>
          <w:i w:val="false"/>
          <w:i w:val="false"/>
          <w:iCs w:val="false"/>
          <w:color w:val="333333"/>
          <w:sz w:val="20"/>
          <w:sz w:val="20"/>
          <w:szCs w:val="20"/>
          <w:rtl w:val="true"/>
        </w:rPr>
        <w:t>، المخطوطة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الكركي، حاشية الشرائع </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الفقهاء الآخرون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ما ذكره المؤلّف في الفقرة الثالثة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جماعة منهم ثاني الشهيدين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الاستبصار </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10/28:4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آثار الصدوق ما يدلّ على ذلك</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لم نعثر على هذه العبائر و قائلها إلاّ ما يحتمل كونها كلام الشيخ الأنصاري، حكاه الشيخ في الموضعين من كتابه مع اختلاف طفيف في الموضع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تغاير الموضوع في الموضع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8/89:9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الفقيه </w:t>
      </w:r>
      <w:r>
        <w:rPr>
          <w:rFonts w:eastAsia="IRNazanin" w:cs="IRNazanin"/>
          <w:b w:val="false"/>
          <w:bCs w:val="false"/>
          <w:i w:val="false"/>
          <w:iCs w:val="false"/>
          <w:color w:val="333333"/>
          <w:sz w:val="20"/>
          <w:szCs w:val="20"/>
        </w:rPr>
        <w:t>1599/16:2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الكافي </w:t>
      </w:r>
      <w:r>
        <w:rPr>
          <w:rFonts w:eastAsia="IRNazanin" w:cs="IRNazanin"/>
          <w:b w:val="false"/>
          <w:bCs w:val="false"/>
          <w:i w:val="false"/>
          <w:iCs w:val="false"/>
          <w:color w:val="333333"/>
          <w:sz w:val="20"/>
          <w:szCs w:val="20"/>
        </w:rPr>
        <w:t>1/540:3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الكافي </w:t>
      </w:r>
      <w:r>
        <w:rPr>
          <w:rFonts w:eastAsia="IRNazanin" w:cs="IRNazanin"/>
          <w:b w:val="false"/>
          <w:bCs w:val="false"/>
          <w:i w:val="false"/>
          <w:iCs w:val="false"/>
          <w:color w:val="333333"/>
          <w:sz w:val="20"/>
          <w:szCs w:val="20"/>
        </w:rPr>
        <w:t>6/541:3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4/88:17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29811/360</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5455/158:2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767:4</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المكاسب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157:36</w:t>
      </w:r>
      <w:r>
        <w:rPr>
          <w:rFonts w:ascii="IRNazanin" w:hAnsi="IRNazanin" w:eastAsia="IRNazanin"/>
          <w:b w:val="false"/>
          <w:b w:val="false"/>
          <w:bCs w:val="false"/>
          <w:i w:val="false"/>
          <w:i w:val="false"/>
          <w:iCs w:val="false"/>
          <w:color w:val="333333"/>
          <w:sz w:val="20"/>
          <w:sz w:val="20"/>
          <w:szCs w:val="20"/>
          <w:rtl w:val="true"/>
        </w:rPr>
        <w:t>، قال المحشّي 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هو الحديث المشتهر على ألسنة 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أتلف مال الغير فهو له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لم أجد نصّ ذلك مع التتبّع التامّ في مظانّه و إنّما هى قاعدة مصطادة من عدّة روايات كما أشار إلى ذلك أيضا شيخنا صاحب الجواهر في كتاب الغصب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فمن تلك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و ج </w:t>
      </w:r>
      <w:r>
        <w:rPr>
          <w:rFonts w:eastAsia="IRNazanin" w:cs="IRNazanin"/>
          <w:b w:val="false"/>
          <w:bCs w:val="false"/>
          <w:i w:val="false"/>
          <w:iCs w:val="false"/>
          <w:color w:val="333333"/>
          <w:sz w:val="20"/>
          <w:szCs w:val="20"/>
        </w:rPr>
        <w:t>358:18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و ج </w:t>
      </w:r>
      <w:r>
        <w:rPr>
          <w:rFonts w:eastAsia="IRNazanin" w:cs="IRNazanin"/>
          <w:b w:val="false"/>
          <w:bCs w:val="false"/>
          <w:i w:val="false"/>
          <w:iCs w:val="false"/>
          <w:color w:val="333333"/>
          <w:sz w:val="20"/>
          <w:szCs w:val="20"/>
        </w:rPr>
        <w:t>141:19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الإجارة و ج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118:28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أنّه وقع سقط في الجملة و الصحيح ما كتبناه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ما بعده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99:10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المعتبر </w:t>
      </w:r>
      <w:r>
        <w:rPr>
          <w:rFonts w:eastAsia="IRNazanin" w:cs="IRNazanin"/>
          <w:b w:val="false"/>
          <w:bCs w:val="false"/>
          <w:i w:val="false"/>
          <w:iCs w:val="false"/>
          <w:color w:val="333333"/>
          <w:sz w:val="20"/>
          <w:szCs w:val="20"/>
        </w:rPr>
        <w:t>696:2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إثبات عدم الزكاة في أموال المجنون، كما أشار إليها الحلّي في السرائر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و العلاّمة في المختلف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الشيخ الأنصاري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تهذيب الأحكام </w:t>
      </w:r>
      <w:r>
        <w:rPr>
          <w:rFonts w:eastAsia="IRNazanin" w:cs="IRNazanin"/>
          <w:b w:val="false"/>
          <w:bCs w:val="false"/>
          <w:i w:val="false"/>
          <w:iCs w:val="false"/>
          <w:color w:val="333333"/>
          <w:sz w:val="20"/>
          <w:szCs w:val="20"/>
        </w:rPr>
        <w:t>16/30:4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2/542:3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16/30:4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3/542:3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قال صاحب الجواهر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لهذا الحكم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ثاني المحقّقين و الشهيدين و أبي العبّاس القطيفي و الميسي و غيرهم على ما حكى بعضهم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لم نظفر في كلماتهم ما يدلّ على الاستناد إلى الاستقراء</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 شيخ الأنصارى،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لكن ليس في المأخذ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أدوارا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عبارة النهاية ليست صريحة، و من الممكن استفادة هذا المعنى من إطلاق عبارته و عدم تعرّضه لسقوط الزكاة عنهم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الصفحات اللاحقة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انّ هذا إجماعي في فقه الإماميّة، المسالك </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 الشيخ الأنصاري، 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كتاب الطهارة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نهاية الأحكام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الصفحات اللاحقة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الضريبة الّتي تؤخذ في الإرصاد و الجزية و نحوها، و منه ضريبة العبد و هى غلّته،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ضربت عليه خراجا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جعلته عليه وظيفة، و الاسم الضريبة، و منه ضريبة العبد و هو ما يؤدّي سيّده من الخراج المقدّر عليه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 الجناية، ديتها، و الجمع أروش مثل فلس و فلوس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ما يأخذه المشترى من البائع إذا اطلع على عيب في المبيع، و منها أروش الجنايات لأنّها جابرة للنقص</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317:10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317:10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40/224:8</w:t>
      </w:r>
      <w:r>
        <w:rPr>
          <w:rFonts w:ascii="IRNazanin" w:hAnsi="IRNazanin" w:eastAsia="IRNazanin"/>
          <w:b w:val="false"/>
          <w:b w:val="false"/>
          <w:bCs w:val="false"/>
          <w:i w:val="false"/>
          <w:i w:val="false"/>
          <w:iCs w:val="false"/>
          <w:color w:val="333333"/>
          <w:sz w:val="20"/>
          <w:sz w:val="20"/>
          <w:szCs w:val="20"/>
          <w:rtl w:val="true"/>
        </w:rPr>
        <w:t xml:space="preserve">، نسب هذا القول في المبسوط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بعض الأصحاب، و المعتبر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رواياتنا يملك فاضل الضريبة، و قال بعض أصحابنا و أرش الجناية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في الشرائع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الجواهر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لم نعرف القائل به، بل و لا القائل بالزكاة على المملوك مع كونه مالكا فى غيره أيضا سوى ما استظهر من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حيث إنّه لم يذكر هنا من الشرائط، منضمّا إلى ما يظهر في العتق،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الملكيّة، مجمع الفائدة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معالم الاصول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2/213:5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20/71:7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1/252:18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3815/220:3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4/253:18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3817/220:3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3/213:5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91/71:7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3816/220:3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1/213:5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21/71:7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3449/117:3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3/253:18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36/223:8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4/48:23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3449/117:3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38/223:8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3451/117:3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العتق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2/190:6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3450/117:3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37/223:8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العتق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5738/341:4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11/177:4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11/335:9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الفرائض</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10/207:3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23/340:7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8/182:21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5/542:3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1635/36:2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4/92:9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3/135:4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1/410:19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ما بعده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القول الثاني كما تقدّم إجمالها 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15424/301:13</w:t>
      </w:r>
      <w:r>
        <w:rPr>
          <w:rFonts w:ascii="IRNazanin" w:hAnsi="IRNazanin" w:eastAsia="IRNazanin"/>
          <w:b w:val="false"/>
          <w:b w:val="false"/>
          <w:bCs w:val="false"/>
          <w:i w:val="false"/>
          <w:i w:val="false"/>
          <w:iCs w:val="false"/>
          <w:color w:val="333333"/>
          <w:sz w:val="20"/>
          <w:sz w:val="20"/>
          <w:szCs w:val="20"/>
          <w:rtl w:val="true"/>
        </w:rPr>
        <w:t xml:space="preserve">، ب عيون أخبار الرضا عليه السّلام </w:t>
      </w:r>
      <w:r>
        <w:rPr>
          <w:rFonts w:eastAsia="IRNazanin" w:cs="IRNazanin"/>
          <w:b w:val="false"/>
          <w:bCs w:val="false"/>
          <w:i w:val="false"/>
          <w:iCs w:val="false"/>
          <w:color w:val="333333"/>
          <w:sz w:val="20"/>
          <w:szCs w:val="20"/>
        </w:rPr>
        <w:t>23/169:1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المفاتيح، غير أنّه يذكره النجفى في الجواهر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لا يشير إلى مأخذه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3/256:18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391:5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5/191:6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3557/153:3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5/48:23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391:5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7/49:23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تهذيب الأحكام </w:t>
      </w:r>
      <w:r>
        <w:rPr>
          <w:rFonts w:eastAsia="IRNazanin" w:cs="IRNazanin"/>
          <w:b w:val="false"/>
          <w:bCs w:val="false"/>
          <w:i w:val="false"/>
          <w:iCs w:val="false"/>
          <w:color w:val="333333"/>
          <w:sz w:val="20"/>
          <w:szCs w:val="20"/>
        </w:rPr>
        <w:t>88/237:8</w:t>
      </w:r>
      <w:r>
        <w:rPr>
          <w:rFonts w:ascii="IRNazanin" w:hAnsi="IRNazanin" w:eastAsia="IRNazanin"/>
          <w:b w:val="false"/>
          <w:b w:val="false"/>
          <w:bCs w:val="false"/>
          <w:i w:val="false"/>
          <w:i w:val="false"/>
          <w:iCs w:val="false"/>
          <w:color w:val="333333"/>
          <w:sz w:val="20"/>
          <w:sz w:val="20"/>
          <w:szCs w:val="20"/>
          <w:rtl w:val="true"/>
        </w:rPr>
        <w:t>، و لمّا كان الرواية في المصدرين تختلف عن المنقول هنا، لذا نكتفي بنقل نصّ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ملكك لي و لكن قد تركته لك</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تهذيب الأحكام </w:t>
      </w:r>
      <w:r>
        <w:rPr>
          <w:rFonts w:eastAsia="IRNazanin" w:cs="IRNazanin"/>
          <w:b w:val="false"/>
          <w:bCs w:val="false"/>
          <w:i w:val="false"/>
          <w:iCs w:val="false"/>
          <w:color w:val="333333"/>
          <w:sz w:val="20"/>
          <w:szCs w:val="20"/>
        </w:rPr>
        <w:t>120/246:8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5/68:7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3814/220:3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2/273:18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تخرجها في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للشيرازى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بداية المجتهد و نهاية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تحت العنوان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 التنقيح، الدروس، المسالك، الروضة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للشيرازى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1/190:6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3474/126:3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40/224:8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في الزائد على تقدير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القول الخامس و السادس، تقدّم إجمالهما في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240:10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الفاضلان يطلق على المحقّق الحلّي و العلامة الحلّي و لذا يبدو أنّ الإرجاع على المحقّق الحلّي وحده، سهو من المؤلّف، و من الممكن استفادة هذا المعنى من منتهى العلاّمة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حيث يبتني وجوب الزكاة على المملوك، في فرض مالكيّة العبد لفاضل الضريبة و أرش الجناية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الفقيه </w:t>
      </w:r>
      <w:r>
        <w:rPr>
          <w:rFonts w:eastAsia="IRNazanin" w:cs="IRNazanin"/>
          <w:b w:val="false"/>
          <w:bCs w:val="false"/>
          <w:i w:val="false"/>
          <w:iCs w:val="false"/>
          <w:color w:val="333333"/>
          <w:sz w:val="20"/>
          <w:szCs w:val="20"/>
        </w:rPr>
        <w:t>1634/36:2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1/542:3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 كانت الرواية في هذه المصادر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 مال المكاتب زكاة حتّى يعتق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4/542:3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5/92:9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الفقيه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487:15</w:t>
      </w:r>
      <w:r>
        <w:rPr>
          <w:rFonts w:ascii="IRNazanin" w:hAnsi="IRNazanin" w:eastAsia="IRNazanin"/>
          <w:b w:val="false"/>
          <w:b w:val="false"/>
          <w:bCs w:val="false"/>
          <w:i w:val="false"/>
          <w:i w:val="false"/>
          <w:iCs w:val="false"/>
          <w:color w:val="333333"/>
          <w:sz w:val="20"/>
          <w:sz w:val="20"/>
          <w:szCs w:val="20"/>
          <w:rtl w:val="true"/>
        </w:rPr>
        <w:t>، الشيخ الأنصاري،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كشف الغطاء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487:15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893/228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يساعد له الروايات في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الاستبصار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تهذيب الأحكام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الوسائل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الفقيه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 الشيخ الأنصاري،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الكلام </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240:10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لا يوجد لدينا حاشية الإرشاد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المعروف بحاشية النجّاريّة المنسوبة إلى الشهيد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عبارته ليست صريحا، جئنا بكلا الحاشيتين لوجود الاحتمالين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القواعد، بصورته المطلقة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40:15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الشيخ الأنصاري،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1/534:3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205/58:4</w:t>
      </w:r>
      <w:r>
        <w:rPr>
          <w:rFonts w:ascii="IRNazanin" w:hAnsi="IRNazanin" w:eastAsia="IRNazanin"/>
          <w:b w:val="false"/>
          <w:b w:val="false"/>
          <w:bCs w:val="false"/>
          <w:i w:val="false"/>
          <w:i w:val="false"/>
          <w:iCs w:val="false"/>
          <w:color w:val="333333"/>
          <w:sz w:val="20"/>
          <w:sz w:val="20"/>
          <w:szCs w:val="20"/>
          <w:rtl w:val="true"/>
        </w:rPr>
        <w:t>،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207/58:4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المذكورون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عموم أدلّة وجوب الزكاة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كتاب الجمل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61/95:9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تهذيب الأحكام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الاستبصار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12/34:4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7/95:9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الاستبصار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يكون زائدة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لم نظفر في الكافي و الفقيه و الاستبصار و تهذيب الأحكام و الوسائل على الرواية بألفاظها، و لكن جميع الروايات المتضمّنة لبيان شرطيّة الحول يدلّ عليه كما في الكافي </w:t>
      </w:r>
      <w:r>
        <w:rPr>
          <w:rFonts w:eastAsia="IRNazanin" w:cs="IRNazanin"/>
          <w:b w:val="false"/>
          <w:bCs w:val="false"/>
          <w:i w:val="false"/>
          <w:iCs w:val="false"/>
          <w:color w:val="333333"/>
          <w:sz w:val="20"/>
          <w:szCs w:val="20"/>
        </w:rPr>
        <w:t>13/522:3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9/57:9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وجد ربّه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1/553:3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16/47:4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1/285:9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فعطبت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17/48:4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2/286:9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1/534:3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و الباب </w:t>
      </w:r>
      <w:r>
        <w:rPr>
          <w:rFonts w:eastAsia="IRNazanin" w:cs="IRNazanin"/>
          <w:b w:val="false"/>
          <w:bCs w:val="false"/>
          <w:i w:val="false"/>
          <w:iCs w:val="false"/>
          <w:color w:val="333333"/>
          <w:sz w:val="20"/>
          <w:szCs w:val="20"/>
        </w:rPr>
        <w:t>1/121:8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الذهب و الفضّة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8/518:3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تهذيب الأحكام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1/527:3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تهذيب الأحكام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1/527:3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ما بعده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اجزاء</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يراعي لها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تخريجهما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موثّقة ابن بكير الّتي 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الروايات اللاتي 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تخريجهما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و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تهذيب الأحكام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13/522:3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4/525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1625/32:2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تخريجهما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الّتي تقدّم في الفقرة الاولى</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الكافي </w:t>
      </w:r>
      <w:r>
        <w:rPr>
          <w:rFonts w:eastAsia="IRNazanin" w:cs="IRNazanin"/>
          <w:b w:val="false"/>
          <w:bCs w:val="false"/>
          <w:i w:val="false"/>
          <w:iCs w:val="false"/>
          <w:color w:val="333333"/>
          <w:sz w:val="20"/>
          <w:szCs w:val="20"/>
        </w:rPr>
        <w:t>1/519:3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يزيد رأس المال عليه، كما في المنتهى، منه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2/519:3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4/94:9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المصنّف رحمه اللّه عن المبسوط هنا، يختلف عمّا ورد في كتاب المبسوط، إليك نصّ عبارتها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متى رهن قبل أن تجب فيه الزكاة ثمّ حال الحول و هو رهن وجبت الزكاة و إن كان رهنا لأنّ ملكه حاصل، ثمّ ينظر فيه، فان كان للراهن مال سواه كلّف إخراج الزكاة منه و إن كان معسرا فقد تعلّق بالمال حقّ المساكين يوخذ منه لأنّ حقّ المرتهن في الذمّة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13/522:3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1625/32:2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من أوجب شرطيّة التمكّن من التصرّف في وجوب الزكاة، كما 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ما نقله المصنّف رحمه اللّه عن المبسوط هنا يختلف عمّا ورد في كتاب المبسوط و إليك نصّها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ولدت و حال على الأولاد الحول و كانت نصابا وجب عليه فيها الزكاة إذا كان الواقف شرط انّ جميع ما يكون منها للموقوف عليه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7/95:9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 كلماتهم التصريح بذلك و من الممكن استفادة هذا المعنى من بعض تعبيراتهم الّتي يشعر بالإجماع كما نقل النجفي في الجواهر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التنقيح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في التنقيح هو مذهب الأصحاب مشعرا بالإجماع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السبزواري في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الآخرين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إليه ذهب ابن أبي عقيل و ابن الجنيد و ابن إدريس و جمهور المتأخّرين منهم المصنّف</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6/95:9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الكافي </w:t>
      </w:r>
      <w:r>
        <w:rPr>
          <w:rFonts w:eastAsia="IRNazanin" w:cs="IRNazanin"/>
          <w:b w:val="false"/>
          <w:bCs w:val="false"/>
          <w:i w:val="false"/>
          <w:iCs w:val="false"/>
          <w:color w:val="333333"/>
          <w:sz w:val="20"/>
          <w:szCs w:val="20"/>
        </w:rPr>
        <w:t>6/523:3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الاستبصار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11/34:4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الاستبصار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11/34:4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6/98:9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15/100:9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7/97:9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يجب عليه الزكاة، الكافي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يجب عليه الزكاة، تهذيب الأحكام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الاستبصار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الاستبصار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8/518:3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13/522:3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3/75:9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1625/32:2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2/163:9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6/520:3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9/33:4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1/100:9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8/33:4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5/102:9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10/33:4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6/102:9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5/520:3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2/101:9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3/101:9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9/521:3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الفقيه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7/102:9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200:15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لم نظفر على هذه الجملة بالفاظها في عبارات السرائر، و من الممكن استفادة هذا المعنى مفهوما بالدلالة الالتزامي البيّن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4/170:9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5/520:3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2/101:9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2/524:3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1/174:9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2/174:9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الفضّة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4/232:3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66/371:7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4/276:21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كتاب له تحت هذا العنوان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عبارتها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 الّذي تجب فيه الزكاة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نماء نفسه، و ما يرصد للنماء، فالأوّل الحبوب و الثمار فإذا تكامل نماؤه وجبت فيه الزكاة و لا يعتبر فيه حول، و ما يرصد للنماء كالمواشى يرصد للدرّ و النسل، و الذهب و الفضّة للتجارة فإنّه لا تجب فيه الزكاة حتّى يمضي حول من حيث تمّ نصابه في ملكه، و به قال جميع الفقهاء</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الزكاة في الموارد التسعة و عدم وجوبها في غير هذه الأشياء</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الزكاة، الكافى </w:t>
      </w:r>
      <w:r>
        <w:rPr>
          <w:rFonts w:eastAsia="IRNazanin" w:cs="IRNazanin"/>
          <w:b w:val="false"/>
          <w:bCs w:val="false"/>
          <w:i w:val="false"/>
          <w:iCs w:val="false"/>
          <w:color w:val="333333"/>
          <w:sz w:val="20"/>
          <w:szCs w:val="20"/>
        </w:rPr>
        <w:t>1/509:3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الزكاة، الكافى </w:t>
      </w:r>
      <w:r>
        <w:rPr>
          <w:rFonts w:eastAsia="IRNazanin" w:cs="IRNazanin"/>
          <w:b w:val="false"/>
          <w:bCs w:val="false"/>
          <w:i w:val="false"/>
          <w:iCs w:val="false"/>
          <w:color w:val="333333"/>
          <w:sz w:val="20"/>
          <w:szCs w:val="20"/>
        </w:rPr>
        <w:t>2/497:3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1598/13:2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الزكاة، تهذيب الأحكام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الزكاة، تهذيب الأحكام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الزكاة، تهذيب الأحكام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10/57:9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الزكاة، تهذيب الأحكام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الزكاة، الكافي </w:t>
      </w:r>
      <w:r>
        <w:rPr>
          <w:rFonts w:eastAsia="IRNazanin" w:cs="IRNazanin"/>
          <w:b w:val="false"/>
          <w:bCs w:val="false"/>
          <w:i w:val="false"/>
          <w:iCs w:val="false"/>
          <w:color w:val="333333"/>
          <w:sz w:val="20"/>
          <w:szCs w:val="20"/>
        </w:rPr>
        <w:t>2/509:3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الزكاة، تهذيب الأحكام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6/60:9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 مسائل علىّ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الزكاة، تهذيب الأحكام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الزكاة، تهذيب الأحكام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نسب العلاّمة إلى الشيخ و ابن أبي عقيل و الاحتجاج بالآية الثانية فقط، لم نعثر في المختلف على استدلال ابن جنيد بجميع الآيات المذكورة في موضع البحث، و لعلّ المؤلّف استظهر الاحتجاج المذكور عن مطاوي عبارات السيّد المرتضى في ابتداء الانتصار أو من المصادر الفقهيّة الاخرى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السيّد هنا لاحتجاج ابن الجنيد كان لإرادة دفع نظريّة التعميم في وجوب الزكاة من الموارد التسعة المعروفة إلى الموارد الاخرى، فغاية الملخّصة ممّا يناله السيّد في المقام هو قصور بعض الادلّة اللفظيّة عن إثبات نظريّة التعميم و الحمل على التقيّة في بعضها و الإرجاع إلى التأويل في باقي الأدلّة الموهمة للإيجاب</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الزكاة، الكافي </w:t>
      </w:r>
      <w:r>
        <w:rPr>
          <w:rFonts w:eastAsia="IRNazanin" w:cs="IRNazanin"/>
          <w:b w:val="false"/>
          <w:bCs w:val="false"/>
          <w:i w:val="false"/>
          <w:iCs w:val="false"/>
          <w:color w:val="333333"/>
          <w:sz w:val="20"/>
          <w:szCs w:val="20"/>
        </w:rPr>
        <w:t>1/510:3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2/510:3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3/510:3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الزكاة، الكافي </w:t>
      </w:r>
      <w:r>
        <w:rPr>
          <w:rFonts w:eastAsia="IRNazanin" w:cs="IRNazanin"/>
          <w:b w:val="false"/>
          <w:bCs w:val="false"/>
          <w:i w:val="false"/>
          <w:iCs w:val="false"/>
          <w:color w:val="333333"/>
          <w:sz w:val="20"/>
          <w:szCs w:val="20"/>
        </w:rPr>
        <w:t>6/511:3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الزكاة، تهذيب الأحكام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الزكاة، تهذيب الأحكام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الزكاة، تهذيب الأحكام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207:15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1604/23:2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1/108:9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2/109:9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قلائص هي جمع القلوص بالفتح و هي النافة الشابّة بمنزلة الجارية من النساء</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الكافي </w:t>
      </w:r>
      <w:r>
        <w:rPr>
          <w:rFonts w:eastAsia="IRNazanin" w:cs="IRNazanin"/>
          <w:b w:val="false"/>
          <w:bCs w:val="false"/>
          <w:i w:val="false"/>
          <w:iCs w:val="false"/>
          <w:color w:val="333333"/>
          <w:sz w:val="20"/>
          <w:szCs w:val="20"/>
        </w:rPr>
        <w:t>2/532:3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ليس في نقل الوسائل هذه الفقرة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زادت واحدة ففيها حقّتان إلى عشرين و مائة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2/532:3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 النيّف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الزيادة، و كلّما زاد على العقد فنيف إلى يبلغ العقد الثاني</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1/531:3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السيّد المرتضى في الانتصار، تقدّم في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ما يجب فيه الزكاة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243:10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سعيد الاصطخري، نقل عنه في المهذّب للشيرازي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الشيخ الأنصاري،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536:3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8/96:4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1/129:9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على قائل هذه الجملة بألفاظها و لكن فتاوى الفقهاء في هذا الموضع كما فحصناه كانت متوافقة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1604/23:2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1/108:9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2/109:9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لم نظفر بانتهاء الإسناد إلى النبيّ عليه السّلام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1569/98:2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1799/574:1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7/95:4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 المصادر المستخرجة في الهامش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هذه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الشهرة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استظهرها المؤلّف من كلام بعضهم حيث يدّعي الوفاق من الإماميّة و موافقة الجمهور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التبيع ولد البقر أوّل سنته، و بقرة تبيع ولدها معها، و الانثى تبيعة، التذكرة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و الجذعة و هي الّتي لها حول و يسمّى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تبيعا و تبيعة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نصب البقر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أربعون ثمّ ستّون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في المعاجم، بيان حول هذه الكلمة إلاّ ما قاله العلاّمة في التذكرة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كمل سنتين و دخل في الثلاثة فهو ثنيّ و ثنيّة و هي المسنّة شرعا، فإذا دخل في الرابعة فهو رباع و رباعيّة، فإذا دخل في الخامسة فهو سديس و سدس، فإذا دخل في السادسة فهو صالغ، ثمّ لا اسم له، بل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صالغ عام و عامين و ثلاثة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نصب البقر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1/534:3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1/534:3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قوله في المنتهى بل قاله في المختلف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 قال المحقّق البحراني في الحدائق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إلى هذا القول ذهب جملة من الأجلاّء كالشيخ المفيد و المرتضى و الصدوق و ابن أبي عقيل و سلاّر و ابن حمزه و ابن إدريس</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إليك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زكاة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زكاة في أقلّ من أربعين، فإذا بلغتها ففيها شاة إلى عشرين و مائة، فإذا زادت واحدة ففيها شاتان إلى ثلاثمائة، فإن كثرت ففي كلّ مائة شاة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ما نقله المصنف هنا، يختلف عمّا في جمل المرتضى، و إليك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زكاة الغنم لا زكاة فى أقلّ من أربعين، فإذا بلغتها ففيها شاة إلى عشرين و مائة، فإذا زادت واحدة ففيها شاتان إلى ثلاثمائة، فإن كثرت ففي كلّ مائة شاة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كما في المجموع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الشافعي و مالك و أبي حنيفة و أحمد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المدارك</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القائلون بأنّ النصب في الغنم خمسة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1/116:9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الخلاف</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المحقّق</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جزء من شاة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504:2</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1/534:3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نوف، مجمع البحرين </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 مادّة 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ى، ف</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شنق</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قص عنقه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و لكن ليست هذه الفقرة فيه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جماعة العامّة كما في الشرح الكبير </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فصل في الخلطة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هذا التعريف مقبولا عند فقهاء الإماميّة كما فحصناه في كتبهم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1606/25:2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طروقة الفحل فهي الّتي قد طرقها الفحل أي نزا عليها و هي فعولة بمعنى مفعولة كما قيل ركوبة و حلوبة بمعنى مركوبة و محلوبة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الفحل ضرابا، أي نكح</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الشرط الأوّل في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1/531:3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الانعام،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و لكن في هذا الموضعين من الوسائل لا يوجد الفقرة بتمامها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3/119:9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246:10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3/533:3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الاستبصار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79:12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15/41:4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5/120:9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يستفاد من ظاهر عبارة الذخيرة و لكن لم نجد نصّها كما هو المنقول هنا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247:10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كمجمع البحرين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السائمة من الماشية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الراعية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و الباب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15/41:4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5/120:9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و الباب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التهذيب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الاستبصار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9/57:9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الشرائع </w:t>
      </w:r>
      <w:r>
        <w:rPr>
          <w:rFonts w:eastAsia="IRNazanin" w:cs="IRNazanin"/>
          <w:b w:val="false"/>
          <w:bCs w:val="false"/>
          <w:i w:val="false"/>
          <w:iCs w:val="false"/>
          <w:color w:val="333333"/>
          <w:sz w:val="20"/>
          <w:szCs w:val="20"/>
        </w:rPr>
        <w:t>247:10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4/525:3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247:10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الف و ما بعده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الإيضاح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15/41:4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5/120:9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1/534:3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2/119:9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3/119:9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16/41:4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4/80:9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7/120:9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18/42:4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8/121:9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حملهما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لمّا كان العبارة في المصدر تختلف عن المنقول هنا لذا نكتفى بنقل العبارة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الكلام في اعتبار الأغلب هنا كالكلام في السوم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لم نعثر على نفس العبارة المنقولة عن المختلف، نصّ كلام العلاّمة يختلف عما نقل عنه هنا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فيها على نصّ هذه العبارة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8/518:3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1/559:3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1624/32:2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1/159:9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7/518:3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1/374:2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3/165:9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يختلف المنقول هنا عمّا في المختلف اختلافا طفيفا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المصنّف رحمه اللّه عن الانتصار يختلف اختلافا طفيفا عمّا كان في كتاب الانتصار، إليك نصّ العبارة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الفارّ منها ببعض ما ذكرناه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1624/32:2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559:3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مراد السيّد في الانتصار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6/157:9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المنتهى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قولهما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الكافي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1/116:9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الحاشية النجاريّة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الخلاف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15902/466</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6/520:3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9/33:4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1/100:9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1/534:3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1/116:9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110:15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الورقتين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الانعام، الكافى </w:t>
      </w:r>
      <w:r>
        <w:rPr>
          <w:rFonts w:eastAsia="IRNazanin" w:cs="IRNazanin"/>
          <w:b w:val="false"/>
          <w:bCs w:val="false"/>
          <w:i w:val="false"/>
          <w:iCs w:val="false"/>
          <w:color w:val="333333"/>
          <w:sz w:val="20"/>
          <w:szCs w:val="20"/>
        </w:rPr>
        <w:t>1/534:3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7/539:3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7/95:4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5/111:9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الفقيه </w:t>
      </w:r>
      <w:r>
        <w:rPr>
          <w:rFonts w:eastAsia="IRNazanin" w:cs="IRNazanin"/>
          <w:b w:val="false"/>
          <w:bCs w:val="false"/>
          <w:i w:val="false"/>
          <w:iCs w:val="false"/>
          <w:color w:val="333333"/>
          <w:sz w:val="20"/>
          <w:szCs w:val="20"/>
        </w:rPr>
        <w:t>1604/23:2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على أثر لهذا الشخص، غير أنّه يذكره المحقّق الأردبيلى في موضع من المجمع الفائدة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يصفه بالنحو التالى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أبي الفضل الجعفي صاحب الفاخر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النجاشي قال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إبراهيم بن سليمان أبو الفضل الجعفي الكوفي المعروف بالصابوني سكن مصر كان زيديّا، ثمّ عاد إلينا و كانت له منزلة بمصر،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تعدّ له كتب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يظهر من كلام الأردبيلى و أصحاب التراجم بأنّه كانت للجعفي كتب مختلفة في الفقه و التفسير و الكلام و منها كتاب الفقه يسمّى بالفاخر و لكن لم نظفر عليه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121:15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1622/31:2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6/95:4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2/167:9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1623/32:2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5/95:4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1/167:9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1622/31:2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5/95:4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1/167:9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3/559:3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 في الذكرى</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1622/31:2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6/95:4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2/167:9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لم نظفر عليه في الذكرى</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128:15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249:10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399:5</w:t>
      </w:r>
      <w:r>
        <w:rPr>
          <w:rFonts w:ascii="IRNazanin" w:hAnsi="IRNazanin" w:eastAsia="IRNazanin"/>
          <w:b w:val="false"/>
          <w:b w:val="false"/>
          <w:bCs w:val="false"/>
          <w:i w:val="false"/>
          <w:i w:val="false"/>
          <w:iCs w:val="false"/>
          <w:color w:val="333333"/>
          <w:sz w:val="20"/>
          <w:sz w:val="20"/>
          <w:szCs w:val="20"/>
          <w:rtl w:val="true"/>
        </w:rPr>
        <w:t>، لم نعثر عليه في المصادر الروائيّة الإماميّة الخمسة</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اللآلئ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1194:3</w:t>
      </w:r>
      <w:r>
        <w:rPr>
          <w:rFonts w:ascii="IRNazanin" w:hAnsi="IRNazanin" w:eastAsia="IRNazanin"/>
          <w:b w:val="false"/>
          <w:b w:val="false"/>
          <w:bCs w:val="false"/>
          <w:i w:val="false"/>
          <w:i w:val="false"/>
          <w:iCs w:val="false"/>
          <w:color w:val="333333"/>
          <w:sz w:val="20"/>
          <w:sz w:val="20"/>
          <w:szCs w:val="20"/>
          <w:rtl w:val="true"/>
        </w:rPr>
        <w:t>، 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منه لولد الشاة في السنة الثانية و لولد البقر و الحافر في السنة الثالثة، و للإبل في السنة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أجذع، مجمع البحرين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الجذع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الإبل ما دخل في السنة الخامسة، و من البقر و المعز ما دخل في الثانية، و في المغرب في</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الوسيلة على ما صرّح في خصوص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أشهر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244:11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133:15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4/66:7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1572/99:2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1807/578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الاستبصار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135:15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467:2</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508:2</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4/66:7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سنن أبي داود </w:t>
      </w:r>
      <w:r>
        <w:rPr>
          <w:rFonts w:eastAsia="IRNazanin" w:cs="IRNazanin"/>
          <w:b w:val="false"/>
          <w:bCs w:val="false"/>
          <w:i w:val="false"/>
          <w:iCs w:val="false"/>
          <w:color w:val="333333"/>
          <w:sz w:val="20"/>
          <w:szCs w:val="20"/>
        </w:rPr>
        <w:t>1572/99:2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1807/578:1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3/535:3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2/535:3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1608/28:2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 سرّ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الربّى و الأكولة</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1584/104:2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مادّة ربب</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المجمع و الصحاح و المآخذ الفقهيّة الإماميّة ما يدلّ عليها</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الربّى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الشاة الّتي وضعت حديثا، التذكرة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ليس فيها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 آثاره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الكافي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1604/23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 يستفاد من إطلاق عبارته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252:10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252:10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المقام الأوّل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لمّا كان كلام الصدوق في الفقيه يختلف عمّا اسند إليه هنا لذا نكتفي بنقل عبارة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على الذهب شيء حتّى يبلغ عشرين مثقالا، فإذا بلغ فيه نصف دينار إلى أن يبلغ أربعة و عشرين، ثمّ فيه نصف دينار و عشر دينار، ثمّ على هذا الحساب متى زاد على عشرين، أربعة أربعة كلّ أربعة عشر دينار حتّى يبلغ أربعين مثقالا ففيه مثقال</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1598/14:2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3/143:9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الزكاة الذهب و الفضّة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1646/40:2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11/140:9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9/140:9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1/515:3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4/138:9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6/139:9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10/140:9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تهذيب الأحكام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1/137:9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17/11:4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13/141:9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تلاحظ في العناوين اللاحقة</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لم نعثر على التصريح بنفي الخلاف</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بمعنى واحد</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نجد في العناوين اللاحقة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17/11:4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13/141:9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الكافي </w:t>
      </w:r>
      <w:r>
        <w:rPr>
          <w:rFonts w:eastAsia="IRNazanin" w:cs="IRNazanin"/>
          <w:b w:val="false"/>
          <w:bCs w:val="false"/>
          <w:i w:val="false"/>
          <w:iCs w:val="false"/>
          <w:color w:val="333333"/>
          <w:sz w:val="20"/>
          <w:szCs w:val="20"/>
        </w:rPr>
        <w:t>2/515:3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4/143:9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6/144:9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10/145:9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المحقّق في المعتبر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العلاّمة في المنتهى </w:t>
      </w:r>
      <w:r>
        <w:rPr>
          <w:rFonts w:eastAsia="IRNazanin" w:cs="IRNazanin"/>
          <w:b w:val="false"/>
          <w:bCs w:val="false"/>
          <w:i w:val="false"/>
          <w:iCs w:val="false"/>
          <w:color w:val="333333"/>
          <w:sz w:val="20"/>
          <w:szCs w:val="20"/>
        </w:rPr>
        <w:t>493:1</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في المغني </w:t>
      </w:r>
      <w:r>
        <w:rPr>
          <w:rFonts w:eastAsia="IRNazanin" w:cs="IRNazanin"/>
          <w:b w:val="false"/>
          <w:bCs w:val="false"/>
          <w:i w:val="false"/>
          <w:iCs w:val="false"/>
          <w:color w:val="333333"/>
          <w:sz w:val="20"/>
          <w:szCs w:val="20"/>
        </w:rPr>
        <w:t>597:2</w:t>
      </w:r>
      <w:r>
        <w:rPr>
          <w:rFonts w:ascii="IRNazanin" w:hAnsi="IRNazanin" w:eastAsia="IRNazanin"/>
          <w:b w:val="false"/>
          <w:b w:val="false"/>
          <w:bCs w:val="false"/>
          <w:i w:val="false"/>
          <w:i w:val="false"/>
          <w:iCs w:val="false"/>
          <w:color w:val="333333"/>
          <w:sz w:val="20"/>
          <w:sz w:val="20"/>
          <w:szCs w:val="20"/>
          <w:rtl w:val="true"/>
        </w:rPr>
        <w:t xml:space="preserve">، الشربيني في مغني المحتاج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 الصنعاني في سبل السلام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 الشهيد الأوّل في الدروس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الشهيد الثانى في الروضة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كمجمع البحرين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3401/121:2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69/34:1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أربعون مثقالا</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و عشرون مثقالا</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لكن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 لم نعثر على أثره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8/518:3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3/155:9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5/156:9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9/517:3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1/153:9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3/525:3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2/169:9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1/169:9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8/518:3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2/154:9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2/163:9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75:3</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في الرياض ما يدلّ على هذا النقل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الدستينج العريض و هو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السوار، مجمع البحرين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مادّة د م ل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ذكر السوار و 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يشبه السوار تلبسه المرأة في عضدها</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1151:3</w:t>
      </w:r>
      <w:r>
        <w:rPr>
          <w:rFonts w:ascii="IRNazanin" w:hAnsi="IRNazanin" w:eastAsia="IRNazanin"/>
          <w:b w:val="false"/>
          <w:b w:val="false"/>
          <w:bCs w:val="false"/>
          <w:i w:val="false"/>
          <w:i w:val="false"/>
          <w:iCs w:val="false"/>
          <w:color w:val="333333"/>
          <w:sz w:val="20"/>
          <w:sz w:val="20"/>
          <w:szCs w:val="20"/>
          <w:rtl w:val="true"/>
        </w:rPr>
        <w:t>، 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يعلّق في شحمة الاذن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قرطة و قراط، رمح و رماح</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606:2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1/517:3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4/518:3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2/156:9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مسلم عن أبي البختري</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السبائك و النقار و التبر</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الذهب غير مضروب، فإذا ضرب دنانير فهو عين، و لا يقال تبر إلاّ لذهب</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1589:4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محقّق الكركي على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مرقومة الصفحات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المخطوطة، الرقم</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ق 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8/518:3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5/518:3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4/155:9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9/517:3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1/153:9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1/559:3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1624/32:2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لسان العرب عن ابن 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528:2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الثانية</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1/515:3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فتؤدّى عنه من كلّ مائتي درهم خمسة دراهم، و من كلّ عشرين دينارا نصف دينار</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معالم الاصول،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إليك بعض من عبائره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فينبغي القطع بعدم وجوب الفحص في إعمال أصل البراءة في الموضوعات و عدم اشتراطه بالبحث و السؤال في الشبهة تحريميّة أو وجوبيّة، دليله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الإجماعات المنقولة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العملي و هو السيرة القطعيّة من المسلمين الكاشفة عن الرضاء فإنّها في جميع الأعصار و كلّ الأمصار مستقرّة في البناء في الموضوعات على الاصول من دون فحص و سؤال، من دون فرق فيه بين العوامّ و الخواصّ من العلماء و الفقهاء حتّى أنّ الفقهاء في كلّ عصر كانوا يرخّصون أتباعهم من العوامّ بالبناء على الاصول فيها من دون أن يكلّفوهم الفحص، مضافا إلى أخبار ذلك الأصل ممّا يختصّ بالشبهات التحريميّة كصحيحة عبد اللّه بن سنان و رواية مسعدة بن صدقة و لا سيّما في ذيلها 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الأشياء كلّها على ذلك حتّى يستبين لك غير هذا او تقدم به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في صورة إمكان تحصيل العلم أو تحصيل البيّنة و ما يعمّها و الشبهات الوجوبيّة كالنبوي المصرّح برفع مؤاخذة التسعة الّتي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يعلمون</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553:5</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15/18:2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6/177:9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5/514:3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الكافي </w:t>
      </w:r>
      <w:r>
        <w:rPr>
          <w:rFonts w:eastAsia="IRNazanin" w:cs="IRNazanin"/>
          <w:b w:val="false"/>
          <w:bCs w:val="false"/>
          <w:i w:val="false"/>
          <w:iCs w:val="false"/>
          <w:color w:val="333333"/>
          <w:sz w:val="20"/>
          <w:szCs w:val="20"/>
        </w:rPr>
        <w:t>7/514:3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14/18:4</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الاستبصار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13/18:4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17/19:4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9/178:9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16/18:2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16/19:4</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12/178:9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زكاة الغلاّت</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و غيرها ممّا ورد في الباب</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553:5</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458:5</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يعنى ستّين صاعا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يذكره الجوهري في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الوسق هو حمل البعير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2/180:9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3/346:9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الكافي </w:t>
      </w:r>
      <w:r>
        <w:rPr>
          <w:rFonts w:eastAsia="IRNazanin" w:cs="IRNazanin"/>
          <w:b w:val="false"/>
          <w:bCs w:val="false"/>
          <w:i w:val="false"/>
          <w:iCs w:val="false"/>
          <w:color w:val="333333"/>
          <w:sz w:val="20"/>
          <w:szCs w:val="20"/>
        </w:rPr>
        <w:t>24/174:4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الكافي </w:t>
      </w:r>
      <w:r>
        <w:rPr>
          <w:rFonts w:eastAsia="IRNazanin" w:cs="IRNazanin"/>
          <w:b w:val="false"/>
          <w:bCs w:val="false"/>
          <w:i w:val="false"/>
          <w:iCs w:val="false"/>
          <w:color w:val="333333"/>
          <w:sz w:val="20"/>
          <w:szCs w:val="20"/>
        </w:rPr>
        <w:t>9/172:4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2063/176:2</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مشايخ الصدوق و كانت له كتاب هي أحد مصادر الروايات المودعة في كتاب من لا يحضره الفقيه</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كتب متعدّدة، منها نوادر الحكمة</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شيخ أبو جعفر محمّد بن الحسن بن الوليد</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1652/42:2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2063/176</w:t>
      </w:r>
      <w:r>
        <w:rPr>
          <w:rFonts w:ascii="IRNazanin" w:hAnsi="IRNazanin" w:eastAsia="IRNazanin"/>
          <w:b w:val="false"/>
          <w:b w:val="false"/>
          <w:bCs w:val="false"/>
          <w:i w:val="false"/>
          <w:i w:val="false"/>
          <w:iCs w:val="false"/>
          <w:color w:val="333333"/>
          <w:sz w:val="20"/>
          <w:sz w:val="20"/>
          <w:szCs w:val="20"/>
          <w:rtl w:val="true"/>
        </w:rPr>
        <w:t xml:space="preserve">، اعتمد الصدوق على الروايات المتّخذة من شيخه </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 مع حواشي الوحيد البهبهاني، في هامش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رحلي، كتابخانه آية اللّه النجفي المرعشي، مسلسل </w:t>
      </w:r>
      <w:r>
        <w:rPr>
          <w:rFonts w:eastAsia="IRNazanin" w:cs="IRNazanin"/>
          <w:b w:val="false"/>
          <w:bCs w:val="false"/>
          <w:i w:val="false"/>
          <w:iCs w:val="false"/>
          <w:color w:val="333333"/>
          <w:sz w:val="20"/>
          <w:szCs w:val="20"/>
        </w:rPr>
        <w:t>82932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رديف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و بهامشها تعليقة البهبهاني</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16/83:4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2/341:9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12/336:9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و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الكافي </w:t>
      </w:r>
      <w:r>
        <w:rPr>
          <w:rFonts w:eastAsia="IRNazanin" w:cs="IRNazanin"/>
          <w:b w:val="false"/>
          <w:bCs w:val="false"/>
          <w:i w:val="false"/>
          <w:iCs w:val="false"/>
          <w:color w:val="333333"/>
          <w:sz w:val="20"/>
          <w:szCs w:val="20"/>
        </w:rPr>
        <w:t>9/172:4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163/49:2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الكمّيّة يساوي أربعين سيرا و يعادل ثلاثة كيلو گرم على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فارسى عميد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ميم</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الكمّيّة يساوي ثمانين سيرا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458:5</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565:5</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1566:4</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الهلباث ضرب من التمر، هلبث</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الضبط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البرنى ضرب من التمر أحمر، مشرب، صفرة، كثير اللحاء، عذب الحلاوة، ضخم و البرنى بلغة أهل العراق</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1698:4</w:t>
      </w:r>
      <w:r>
        <w:rPr>
          <w:rFonts w:ascii="IRNazanin" w:hAnsi="IRNazanin" w:eastAsia="IRNazanin"/>
          <w:b w:val="false"/>
          <w:b w:val="false"/>
          <w:bCs w:val="false"/>
          <w:i w:val="false"/>
          <w:i w:val="false"/>
          <w:iCs w:val="false"/>
          <w:color w:val="333333"/>
          <w:sz w:val="20"/>
          <w:sz w:val="20"/>
          <w:szCs w:val="20"/>
          <w:rtl w:val="true"/>
        </w:rPr>
        <w:t>، الدقل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 التمر</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الكافي </w:t>
      </w:r>
      <w:r>
        <w:rPr>
          <w:rFonts w:eastAsia="IRNazanin" w:cs="IRNazanin"/>
          <w:b w:val="false"/>
          <w:bCs w:val="false"/>
          <w:i w:val="false"/>
          <w:iCs w:val="false"/>
          <w:color w:val="333333"/>
          <w:sz w:val="20"/>
          <w:szCs w:val="20"/>
        </w:rPr>
        <w:t>5/511:3</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458:5</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الجزء من المناهل</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1/190:9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 معافارة و امّ جعرور ضربان رديّان من التمر</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14/18:4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3/176:9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الغلّة</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5/207:9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الغلّة</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 طلع، ثمّ خلال، ثمّ بلح، ثمّ بسر، ثمّ رطب، ثمّ تمر،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بسرة</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الحصرم كزبرج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 قبل النضج، مجمع البحرين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الحصرم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العنب ما دام حامضا</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م ر</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في ترتيب المعرب، الباء مع السين، مخطوطة،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5608</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التذكرة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الثاني من الوجهين اللذين احتجّ بهما العلاّمة في المنتهى</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5/514:3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الفرك، ذلك الشيء حتّى ينقلع قشره عن لبّه كالجوز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افرك السنبل أي صار فريكا و هو حين يصلح أن يفرك و يؤكل، الصحاح </w:t>
      </w:r>
      <w:r>
        <w:rPr>
          <w:rFonts w:eastAsia="IRNazanin" w:cs="IRNazanin"/>
          <w:b w:val="false"/>
          <w:bCs w:val="false"/>
          <w:i w:val="false"/>
          <w:iCs w:val="false"/>
          <w:color w:val="333333"/>
          <w:sz w:val="20"/>
          <w:szCs w:val="20"/>
        </w:rPr>
        <w:t>1602:4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1820/583:1</w:t>
      </w:r>
      <w:r>
        <w:rPr>
          <w:rFonts w:ascii="IRNazanin" w:hAnsi="IRNazanin" w:eastAsia="IRNazanin"/>
          <w:b w:val="false"/>
          <w:b w:val="false"/>
          <w:bCs w:val="false"/>
          <w:i w:val="false"/>
          <w:i w:val="false"/>
          <w:iCs w:val="false"/>
          <w:color w:val="333333"/>
          <w:sz w:val="20"/>
          <w:sz w:val="20"/>
          <w:szCs w:val="20"/>
          <w:rtl w:val="true"/>
        </w:rPr>
        <w:t xml:space="preserve">، موطّأ مالك </w:t>
      </w:r>
      <w:r>
        <w:rPr>
          <w:rFonts w:eastAsia="IRNazanin" w:cs="IRNazanin"/>
          <w:b w:val="false"/>
          <w:bCs w:val="false"/>
          <w:i w:val="false"/>
          <w:iCs w:val="false"/>
          <w:color w:val="333333"/>
          <w:sz w:val="20"/>
          <w:szCs w:val="20"/>
        </w:rPr>
        <w:t>703:2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3414/364:3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خرفت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قطعتها 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قطفت العنب، قطعته</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عمومات حصر الزكاة في التسعة الّتي منها التمر و الزبيب و الشعير و الحنطة فيكون المعتبر، صدق الأسامي المزبورة و لا يصدق حقيقة إلاّ عند الجفاف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هذه العمومات في المصادر الروائي الفقهي تحت العنوان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وجوبها</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14/40:4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زكاة الغلاّت</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5/36:4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الاستبصار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عن الروايتين</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500:1</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الكافي </w:t>
      </w:r>
      <w:r>
        <w:rPr>
          <w:rFonts w:eastAsia="IRNazanin" w:cs="IRNazanin"/>
          <w:b w:val="false"/>
          <w:bCs w:val="false"/>
          <w:i w:val="false"/>
          <w:iCs w:val="false"/>
          <w:color w:val="333333"/>
          <w:sz w:val="20"/>
          <w:szCs w:val="20"/>
        </w:rPr>
        <w:t>2/252:5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3368/76:3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5718/334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3/176:9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و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الكباسة و هو جامع الشماريخ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نفسها و يطلق العذق على أنواع من التمر</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2/565:3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37/106:4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4/191:9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عن قريب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256:10</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256:10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256:10</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على حاشية القواعد للشهيد الأوّل، كذلك لم نعثر في حاشية القواعد للنجاريّة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تلامذة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مخطوطة في مركز الأبحاث و الدراسات الاسلاميّة تحت الرقم </w:t>
      </w:r>
      <w:r>
        <w:rPr>
          <w:rFonts w:eastAsia="IRNazanin" w:cs="IRNazanin"/>
          <w:b w:val="false"/>
          <w:bCs w:val="false"/>
          <w:i w:val="false"/>
          <w:iCs w:val="false"/>
          <w:color w:val="333333"/>
          <w:sz w:val="20"/>
          <w:szCs w:val="20"/>
        </w:rPr>
        <w:t>716673/1016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و لكن في حواشي القواعد طبعة 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من منشورات الرضي،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نجده ناقلا عن البيان</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4/513:3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5/190:9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8/38:4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أعطاها مزارعة و مساقاة، منه</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8/38:4</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61/208:7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10/56:19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المزارعة</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225:15</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256:10</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سيح</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1635:4</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266:14</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2095:5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2201:6</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539:2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7/16:4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5/184:9</w:t>
      </w:r>
      <w:r>
        <w:rPr>
          <w:rFonts w:ascii="IRNazanin" w:hAnsi="IRNazanin" w:eastAsia="IRNazanin"/>
          <w:b w:val="false"/>
          <w:b w:val="false"/>
          <w:bCs w:val="false"/>
          <w:i w:val="false"/>
          <w:i w:val="false"/>
          <w:iCs w:val="false"/>
          <w:color w:val="333333"/>
          <w:sz w:val="20"/>
          <w:sz w:val="20"/>
          <w:szCs w:val="20"/>
          <w:rtl w:val="true"/>
        </w:rPr>
        <w:t>، من أبواب زكاة الغلاّت</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3/513:3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2/183:9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زكاة الغلاّت</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17/19:4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8/38:4</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3/183:9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المنقول هنا يختلف عمّا في الرسائل في بعض الكلمات</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122:12</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6/514:3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8/16:4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1/187:9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أنّه الشيخ الأنصاري،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257:10</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 المنفصل</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245:15</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206:9</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التحاص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المال عدّة حصص للزكاة، و الباقي للديّان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أرباب الزكاة يعني من يعطى الزكاة له، و هو المصالح الثمانية، أو الحاكم الشرعي</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246:15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المسالك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الكافي </w:t>
      </w:r>
      <w:r>
        <w:rPr>
          <w:rFonts w:eastAsia="IRNazanin" w:cs="IRNazanin"/>
          <w:b w:val="false"/>
          <w:bCs w:val="false"/>
          <w:i w:val="false"/>
          <w:iCs w:val="false"/>
          <w:color w:val="333333"/>
          <w:sz w:val="20"/>
          <w:szCs w:val="20"/>
        </w:rPr>
        <w:t>1/547:3</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أبواب موانع الإرث، الكافي </w:t>
      </w:r>
      <w:r>
        <w:rPr>
          <w:rFonts w:eastAsia="IRNazanin" w:cs="IRNazanin"/>
          <w:b w:val="false"/>
          <w:bCs w:val="false"/>
          <w:i w:val="false"/>
          <w:iCs w:val="false"/>
          <w:color w:val="333333"/>
          <w:sz w:val="20"/>
          <w:szCs w:val="20"/>
        </w:rPr>
        <w:t>2/139:7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7/375:9</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86:26</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87:26</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الكافي </w:t>
      </w:r>
      <w:r>
        <w:rPr>
          <w:rFonts w:eastAsia="IRNazanin" w:cs="IRNazanin"/>
          <w:b w:val="false"/>
          <w:bCs w:val="false"/>
          <w:i w:val="false"/>
          <w:iCs w:val="false"/>
          <w:color w:val="333333"/>
          <w:sz w:val="20"/>
          <w:szCs w:val="20"/>
        </w:rPr>
        <w:t>1/547:3</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87:26</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5422/185:4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2/119:4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2/272:19</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5426/186:4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8/188:9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و الباب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 مع اختلاف طفيف</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xml:space="preserve">، فوائد القواعد، ينقل عنه النجفي في الجواهر </w:t>
      </w:r>
      <w:r>
        <w:rPr>
          <w:rFonts w:eastAsia="IRNazanin" w:cs="IRNazanin"/>
          <w:b w:val="false"/>
          <w:bCs w:val="false"/>
          <w:i w:val="false"/>
          <w:iCs w:val="false"/>
          <w:color w:val="333333"/>
          <w:sz w:val="20"/>
          <w:szCs w:val="20"/>
        </w:rPr>
        <w:t>248:15</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الموارد</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 بعض عبائره أنّ الزكاة تتعلّق بالعين و لكن لم نعثر على التصريح بها، كذلك لم نعثر على انتسابه إلى بعض الأصحاب</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1606/26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4/110:9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الفقيه </w:t>
      </w:r>
      <w:r>
        <w:rPr>
          <w:rFonts w:eastAsia="IRNazanin" w:cs="IRNazanin"/>
          <w:b w:val="false"/>
          <w:bCs w:val="false"/>
          <w:i w:val="false"/>
          <w:iCs w:val="false"/>
          <w:color w:val="333333"/>
          <w:sz w:val="20"/>
          <w:szCs w:val="20"/>
        </w:rPr>
        <w:t>1604/23:2</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1/512:3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3880/241:3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8/196:29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3/311:7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5285/132:4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3/245:10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1/127:9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3/545:3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الكافي </w:t>
      </w:r>
      <w:r>
        <w:rPr>
          <w:rFonts w:eastAsia="IRNazanin" w:cs="IRNazanin"/>
          <w:b w:val="false"/>
          <w:bCs w:val="false"/>
          <w:i w:val="false"/>
          <w:iCs w:val="false"/>
          <w:color w:val="333333"/>
          <w:sz w:val="20"/>
          <w:szCs w:val="20"/>
        </w:rPr>
        <w:t>1/536:3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5/538:3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10/98:4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3/131:9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الشيخ الأنصاري،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1607/26:2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1/115:9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المعتبر</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يجب في كلّ صنف ثلث تبيع منه أو قيمته</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587:2</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587:2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زكاة الانعام، الكافي </w:t>
      </w:r>
      <w:r>
        <w:rPr>
          <w:rFonts w:eastAsia="IRNazanin" w:cs="IRNazanin"/>
          <w:b w:val="false"/>
          <w:bCs w:val="false"/>
          <w:i w:val="false"/>
          <w:iCs w:val="false"/>
          <w:color w:val="333333"/>
          <w:sz w:val="20"/>
          <w:szCs w:val="20"/>
        </w:rPr>
        <w:t>1/536:3</w:t>
      </w:r>
      <w:r>
        <w:rPr>
          <w:rFonts w:ascii="IRNazanin" w:hAnsi="IRNazanin" w:eastAsia="IRNazanin"/>
          <w:b w:val="false"/>
          <w:b w:val="false"/>
          <w:bCs w:val="false"/>
          <w:i w:val="false"/>
          <w:i w:val="false"/>
          <w:iCs w:val="false"/>
          <w:color w:val="333333"/>
          <w:sz w:val="20"/>
          <w:sz w:val="20"/>
          <w:szCs w:val="20"/>
          <w:rtl w:val="true"/>
        </w:rPr>
        <w:t xml:space="preserve">، باب ادب المصدق، تهذيب الأحكام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569:2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لم نعثر فيه ما يدلّ على التصريح بهذا الاتّفاق و الإجماع و لكن يفهم من مطاوي عبائره</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644/36:3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1819/582:1</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1606/110:2</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7219/129:4</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5/514:3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1/175:9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الكافي </w:t>
      </w:r>
      <w:r>
        <w:rPr>
          <w:rFonts w:eastAsia="IRNazanin" w:cs="IRNazanin"/>
          <w:b w:val="false"/>
          <w:bCs w:val="false"/>
          <w:i w:val="false"/>
          <w:iCs w:val="false"/>
          <w:color w:val="333333"/>
          <w:sz w:val="20"/>
          <w:szCs w:val="20"/>
        </w:rPr>
        <w:t>4/523:3</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133:12</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كشف الغطاء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256:15</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مخالفو الخرص في الزرع</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500:1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258:15</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على قائله</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قنوت الغنم و غيرها قنوة و قنوة، و قنيت أيضا قنية و قنية، إذا اقتنيتها لنفسك لا لتجارة</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2/68:4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9/529:3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4/71:9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3/528:3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6/72:9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8/529:3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7/72:9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5/69:4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10/73:9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8/72:9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الزكاة، الكافي </w:t>
      </w:r>
      <w:r>
        <w:rPr>
          <w:rFonts w:eastAsia="IRNazanin" w:cs="IRNazanin"/>
          <w:b w:val="false"/>
          <w:bCs w:val="false"/>
          <w:i w:val="false"/>
          <w:iCs w:val="false"/>
          <w:color w:val="333333"/>
          <w:sz w:val="20"/>
          <w:szCs w:val="20"/>
        </w:rPr>
        <w:t>5/528:3</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259:15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3/530:3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261:15</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1/527:3</w:t>
      </w:r>
      <w:r>
        <w:rPr>
          <w:rFonts w:ascii="IRNazanin" w:hAnsi="IRNazanin" w:eastAsia="IRNazanin"/>
          <w:b w:val="false"/>
          <w:b w:val="false"/>
          <w:bCs w:val="false"/>
          <w:i w:val="false"/>
          <w:i w:val="false"/>
          <w:iCs w:val="false"/>
          <w:color w:val="333333"/>
          <w:sz w:val="20"/>
          <w:sz w:val="20"/>
          <w:szCs w:val="20"/>
          <w:rtl w:val="true"/>
        </w:rPr>
        <w:t>، في الجواهر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فاستقبل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فاستقيل، الوسائل </w:t>
      </w:r>
      <w:r>
        <w:rPr>
          <w:rFonts w:eastAsia="IRNazanin" w:cs="IRNazanin"/>
          <w:b w:val="false"/>
          <w:bCs w:val="false"/>
          <w:i w:val="false"/>
          <w:iCs w:val="false"/>
          <w:color w:val="333333"/>
          <w:sz w:val="20"/>
          <w:szCs w:val="20"/>
        </w:rPr>
        <w:t>1/171:9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الاستبصار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8/70:4</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7/71:4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الوصيفة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دون المراهق،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الوصيف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6/529:3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4/69:4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4/75:9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6/70:4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5/75:9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149:12</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2/528:3</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5/528:3</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626:2</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بهامشها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الورقة ب، النسخة المخطوطة، الرقم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من صرّح بذلك، مجمع الفائدة </w:t>
      </w:r>
      <w:r>
        <w:rPr>
          <w:rFonts w:eastAsia="IRNazanin" w:cs="IRNazanin"/>
          <w:b w:val="false"/>
          <w:bCs w:val="false"/>
          <w:i w:val="false"/>
          <w:iCs w:val="false"/>
          <w:color w:val="333333"/>
          <w:sz w:val="20"/>
          <w:szCs w:val="20"/>
        </w:rPr>
        <w:t>146:12</w:t>
      </w:r>
      <w:r>
        <w:rPr>
          <w:rFonts w:ascii="IRNazanin" w:hAnsi="IRNazanin" w:eastAsia="IRNazanin"/>
          <w:b w:val="false"/>
          <w:b w:val="false"/>
          <w:bCs w:val="false"/>
          <w:i w:val="false"/>
          <w:i w:val="false"/>
          <w:iCs w:val="false"/>
          <w:color w:val="333333"/>
          <w:sz w:val="20"/>
          <w:sz w:val="20"/>
          <w:szCs w:val="20"/>
          <w:rtl w:val="true"/>
        </w:rPr>
        <w:t>، و هو مجمع عليه بين الخاصّة و العامّة</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3/93:4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7/139:9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8/517:3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3/93:4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1647/40:2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الخمس</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277:15</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9/529:3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3/69:4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الصيرفي هو ثلاثة أرباع الصيرفي، فالصيرفي هو مثقال و ثلث من الشرعي</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عميد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ميزان النقود المملكة الإيرانيّة في عصر القاجار و معادلا لعشرة آلاف دينار</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يعرف للشهيد الثاني كتاب بهذا العنوان، غير ما يسمّى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القواعد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فيه ما يدلّ على ذلك</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7/139:9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272:15</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150:12</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إليه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النجاريّة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150:12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لاثنيا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تؤخذ الزكاة مرّتين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15902/332</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6/520:3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9/33:4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1/100:9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نقل المؤلّف الشريف يختلف اختلافا طفيفا عمّا في المبسوط</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1/509:3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8/13:9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2/497:3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1598/13:2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ماله نصاب</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الورقتين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 المخطوطة،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الشيخ عليّ بن الحسين الكركي، جامع المقاصد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الشيخ عليّ الميسي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الميسي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نظفر بكتابه</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13/522:3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1/104:9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أبي العبّاس أحمد بن محمّد بن فهد الحلّي، الرسائل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الموجز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لم يصرّح بذلك و لكن يفهم من إطلاق عبارته</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1/530:3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155:12</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فقه القران ما يدلّ على ما حكاه الشهيد في البيان</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نصّ هذه الجملة في كتب الشيخ، إليك ما وجدناه في الخلاف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أسوأ حالا من المسكين، لأنّ 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شيء له، أو معه شيء يسير لا يعتدّ به، و المسكين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له شيء فوق ذلك، غير أنّه لا يكفيه لحاجته و مئونته</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النهاية في غريب الحديث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1/560:3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1/370:2</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11/224:6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6/561:3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5/240:9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3/560:3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1630/34:2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4/232:9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10/562:3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1629/34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9/561:3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1628/33:2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2/239:9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2/560:3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5/561:3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44/108:4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ما نقل المصنّف هنا يختلف اختلافا طفيفا عمّا في المختلف</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الفروع ج </w:t>
      </w:r>
      <w:r>
        <w:rPr>
          <w:rFonts w:eastAsia="IRNazanin" w:cs="IRNazanin"/>
          <w:b w:val="false"/>
          <w:bCs w:val="false"/>
          <w:i w:val="false"/>
          <w:iCs w:val="false"/>
          <w:color w:val="333333"/>
          <w:sz w:val="20"/>
          <w:szCs w:val="20"/>
        </w:rPr>
        <w:t>2/292:5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المدارك و الذخيرة</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447:11</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أثرا لهذا الكتاب</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السرائر</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العبارات المنقولة من الفقهاء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314:15</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1/370:2</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معالم الاصول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161:12</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7/561:3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الفقيه </w:t>
      </w:r>
      <w:r>
        <w:rPr>
          <w:rFonts w:eastAsia="IRNazanin" w:cs="IRNazanin"/>
          <w:b w:val="false"/>
          <w:bCs w:val="false"/>
          <w:i w:val="false"/>
          <w:iCs w:val="false"/>
          <w:color w:val="333333"/>
          <w:sz w:val="20"/>
          <w:szCs w:val="20"/>
        </w:rPr>
        <w:t>1627/33:2</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5/52:4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4/236:9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5/237:9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ما وجدنا هذه الفقرة بنصّ ألفاظها و لا تعبيرا حاكيا عن مدلولها في الشرائع و يمكن وقوع السقط في النسخة الّتي كانت عند صاحب المدارك، غاية ما عثرنا عليه ممّا يقرب المعنى المشار إليها هو عبارته التالية، الشرائع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تعاقبت العطيّة فبلغت مئونة السنة، حرم عليه ما زاد</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13/563:3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45/108:4</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بهذه الإسناد في الكافي</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2/548:3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3/259:9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تهذيب الأحكام </w:t>
      </w:r>
      <w:r>
        <w:rPr>
          <w:rFonts w:eastAsia="IRNazanin" w:cs="IRNazanin"/>
          <w:b w:val="false"/>
          <w:bCs w:val="false"/>
          <w:i w:val="false"/>
          <w:iCs w:val="false"/>
          <w:color w:val="333333"/>
          <w:sz w:val="20"/>
          <w:szCs w:val="20"/>
        </w:rPr>
        <w:t>7/64:4</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7/260:9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3/548:3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8/64:4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4/259:9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5/63:4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6/260:9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6/561:3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2/556:3</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374/109</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قويّا شديدا، منه</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1633/118:2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الثاء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ثبّطه تثبيطا قعد به عن الأمر و شغله عنه و منه تخزيلا و نحوه</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427:25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الآيات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1295:3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الموجع هو الوجيع، مثل أليم بمعنى مؤلم</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فظع أي شديد، شنيع، جاوز المقدار</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1208:3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دقع الرجل بالكسر، أي لصق بالتراب 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فقر مدقع، أي ملصق بالدقعاء</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1597/13:2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171:12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4/564:3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2/219:6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171:12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325:15</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326:15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2/563:3</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327:15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569:2</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الضمان الجاري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التسبيب و على اليد و الإتلاف</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88:17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الغصب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5713/327:5</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569:2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معالم الاصول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1/545:3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5/215:9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و أبو الصلاح و الشيخ الطوسي</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546:3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11/38:9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تمام الحديث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1/545:3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5/215:9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xml:space="preserve">، العلاّمة في المنتهى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569:2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327:15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333:15</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171:12</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570:2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في الامّ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ابن قدامة في المغني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1/496:3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موارد عدم استحقاق العامل للزكاة</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13/563:3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45/108:4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4/211:9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عبارة المنقول هنا تختلف عمّا في كتاب البيان، إليك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فليشترط في الإجارة العلم بالعمل و الاجرة، و لو قصر السهم عن أجرته فهو لباقي المستحقّين، و لو يسمّ له شيئا جاز و يعطيه الإمام عليه السّلام</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1/268:9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الكافي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الفاضل الآبي في كشف الرموز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175:12</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هذه العبارة في الغنية يختلف عن المنقول هنا اختلافا طفيفا</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نصّ هذه العبارة في آثار المفيد</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239:15</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177:12</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496:3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1577/4:2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1/209:9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عليها</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في روض الجنان ما يدلّ على ذلك، و لكن نعثر عليها في المسالك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 ف</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البقاء</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177:12</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فرونشانيدن آتش غضب ايشان را</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5/412:2</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1/496:3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1577/4:2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1/209:9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 مصادرهم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في مستند الشيعة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أحدهما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في بدائع الصنائع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ابن رشد في بداية المجتهد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لكن عبارة الشيخ في الخلاف يختلف عن المنقول هنا اختلافا طفيفا</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في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البيضاوي في تفسيره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الكاشاني في بدائع الصنائع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ابن رشد في بداية المجتهد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1/372:2</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1/251:9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الفقيه </w:t>
      </w:r>
      <w:r>
        <w:rPr>
          <w:rFonts w:eastAsia="IRNazanin" w:cs="IRNazanin"/>
          <w:b w:val="false"/>
          <w:bCs w:val="false"/>
          <w:i w:val="false"/>
          <w:iCs w:val="false"/>
          <w:color w:val="333333"/>
          <w:sz w:val="20"/>
          <w:szCs w:val="20"/>
        </w:rPr>
        <w:t>3471/125:3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8/275:8</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2/557:3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16/100:4</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معالم الاصول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تعارض المجاز و التخصيص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image" Target="media/image2.jpeg"/><Relationship Id="rId491" Type="http://schemas.openxmlformats.org/officeDocument/2006/relationships/image" Target="media/image2.jpeg"/><Relationship Id="rId492" Type="http://schemas.openxmlformats.org/officeDocument/2006/relationships/footer" Target="footer485.xml"/><Relationship Id="rId493" Type="http://schemas.openxmlformats.org/officeDocument/2006/relationships/footnotes" Target="footnotes.xml"/><Relationship Id="rId494" Type="http://schemas.openxmlformats.org/officeDocument/2006/relationships/numbering" Target="numbering.xml"/><Relationship Id="rId495" Type="http://schemas.openxmlformats.org/officeDocument/2006/relationships/fontTable" Target="fontTable.xml"/><Relationship Id="rId496" Type="http://schemas.openxmlformats.org/officeDocument/2006/relationships/settings" Target="settings.xml"/><Relationship Id="rId4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494</Pages>
  <Words>80968</Words>
  <Characters>332279</Characters>
  <CharactersWithSpaces>411492</CharactersWithSpaces>
  <Paragraphs>2037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2026-08-25T10:07:03Z</dcterms:created>
  <dc:creator>ghaemiyeh.com</dc:creator>
  <dc:description/>
  <dc:language>en-US</dc:language>
  <cp:lastModifiedBy/>
  <dcterms:modified xsi:type="dcterms:W3CDTF">2026-08-25T13:37:39Z</dcterms:modified>
  <cp:revision>1</cp:revision>
  <dc:subject/>
  <dc:title>ینابیع الأحکام فی معرفة الحلال و الحرام جلد 4</dc:title>
</cp:coreProperties>
</file>

<file path=docProps/custom.xml><?xml version="1.0" encoding="utf-8"?>
<Properties xmlns="http://schemas.openxmlformats.org/officeDocument/2006/custom-properties" xmlns:vt="http://schemas.openxmlformats.org/officeDocument/2006/docPropsVTypes"/>
</file>