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1856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23185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231860_2142443653">
            <w:r>
              <w:rPr>
                <w:webHidden/>
                <w:rStyle w:val="IndexLink"/>
                <w:rtl w:val="true"/>
              </w:rPr>
              <w:t>فهرس الإجمالي</w:t>
            </w:r>
            <w:r>
              <w:rPr>
                <w:rStyle w:val="IndexLink"/>
                <w:rtl w:val="true"/>
              </w:rPr>
              <w:tab/>
            </w:r>
            <w:r>
              <w:rPr>
                <w:rStyle w:val="IndexLink"/>
              </w:rPr>
              <w:t>10</w:t>
            </w:r>
          </w:hyperlink>
        </w:p>
        <w:p>
          <w:pPr>
            <w:pStyle w:val="Contents2"/>
            <w:tabs>
              <w:tab w:val="clear" w:pos="8743"/>
              <w:tab w:val="right" w:pos="9026" w:leader="dot"/>
            </w:tabs>
            <w:rPr/>
          </w:pPr>
          <w:hyperlink w:anchor="__RefHeading___Toc16231862_2142443653">
            <w:r>
              <w:rPr>
                <w:webHidden/>
                <w:rStyle w:val="IndexLink"/>
              </w:rPr>
              <w:t>46</w:t>
            </w:r>
            <w:r>
              <w:rPr>
                <w:rStyle w:val="IndexLink"/>
                <w:rtl w:val="true"/>
              </w:rPr>
              <w:t xml:space="preserve"> - </w:t>
            </w:r>
            <w:r>
              <w:rPr>
                <w:rStyle w:val="IndexLink"/>
                <w:rtl w:val="true"/>
              </w:rPr>
              <w:t>قاعدة الصلح جائز بين المسلمين</w:t>
            </w:r>
            <w:r>
              <w:rPr>
                <w:rStyle w:val="IndexLink"/>
                <w:rtl w:val="true"/>
              </w:rPr>
              <w:tab/>
            </w:r>
            <w:r>
              <w:rPr>
                <w:rStyle w:val="IndexLink"/>
              </w:rPr>
              <w:t>12</w:t>
            </w:r>
          </w:hyperlink>
        </w:p>
        <w:p>
          <w:pPr>
            <w:pStyle w:val="Contents3"/>
            <w:tabs>
              <w:tab w:val="clear" w:pos="8459"/>
              <w:tab w:val="right" w:pos="9026" w:leader="dot"/>
            </w:tabs>
            <w:rPr/>
          </w:pPr>
          <w:hyperlink w:anchor="__RefHeading___Toc16231864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231866_2142443653">
            <w:r>
              <w:rPr>
                <w:webHidden/>
                <w:rStyle w:val="IndexLink"/>
                <w:rtl w:val="true"/>
              </w:rPr>
              <w:t xml:space="preserve">[ </w:t>
            </w:r>
            <w:r>
              <w:rPr>
                <w:rStyle w:val="IndexLink"/>
                <w:rtl w:val="true"/>
              </w:rPr>
              <w:t xml:space="preserve">الجهة الأولى </w:t>
            </w:r>
            <w:r>
              <w:rPr>
                <w:rStyle w:val="IndexLink"/>
                <w:rtl w:val="true"/>
              </w:rPr>
              <w:t xml:space="preserve">] : </w:t>
            </w:r>
            <w:r>
              <w:rPr>
                <w:rStyle w:val="IndexLink"/>
                <w:rtl w:val="true"/>
              </w:rPr>
              <w:t>في مدركها، وهو أمور</w:t>
            </w:r>
            <w:r>
              <w:rPr>
                <w:rStyle w:val="IndexLink"/>
                <w:rtl w:val="true"/>
              </w:rPr>
              <w:tab/>
            </w:r>
            <w:r>
              <w:rPr>
                <w:rStyle w:val="IndexLink"/>
              </w:rPr>
              <w:t>14</w:t>
            </w:r>
          </w:hyperlink>
        </w:p>
        <w:p>
          <w:pPr>
            <w:pStyle w:val="Contents3"/>
            <w:tabs>
              <w:tab w:val="clear" w:pos="8459"/>
              <w:tab w:val="right" w:pos="9026" w:leader="dot"/>
            </w:tabs>
            <w:rPr/>
          </w:pPr>
          <w:hyperlink w:anchor="__RefHeading___Toc16231868_2142443653">
            <w:r>
              <w:rPr>
                <w:webHidden/>
                <w:rStyle w:val="IndexLink"/>
                <w:rtl w:val="true"/>
              </w:rPr>
              <w:t xml:space="preserve">الجهة الثانية </w:t>
            </w:r>
            <w:r>
              <w:rPr>
                <w:rStyle w:val="IndexLink"/>
                <w:rtl w:val="true"/>
              </w:rPr>
              <w:t xml:space="preserve">: </w:t>
            </w:r>
            <w:r>
              <w:rPr>
                <w:rStyle w:val="IndexLink"/>
                <w:rtl w:val="true"/>
              </w:rPr>
              <w:t>في بيان مفادها وشرح حقيقتها</w:t>
            </w:r>
            <w:r>
              <w:rPr>
                <w:rStyle w:val="IndexLink"/>
                <w:rtl w:val="true"/>
              </w:rPr>
              <w:tab/>
            </w:r>
            <w:r>
              <w:rPr>
                <w:rStyle w:val="IndexLink"/>
              </w:rPr>
              <w:t>16</w:t>
            </w:r>
          </w:hyperlink>
        </w:p>
        <w:p>
          <w:pPr>
            <w:pStyle w:val="Contents4"/>
            <w:tabs>
              <w:tab w:val="clear" w:pos="8176"/>
              <w:tab w:val="right" w:pos="9026" w:leader="dot"/>
            </w:tabs>
            <w:rPr/>
          </w:pPr>
          <w:hyperlink w:anchor="__RefHeading___Toc16231870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6231872_2142443653">
            <w:r>
              <w:rPr>
                <w:webHidden/>
                <w:rStyle w:val="IndexLink"/>
                <w:rtl w:val="true"/>
              </w:rPr>
              <w:t>ثمَّ إنّ ها هنا أمورا يجب أن نذكرها</w:t>
            </w:r>
            <w:r>
              <w:rPr>
                <w:rStyle w:val="IndexLink"/>
                <w:rtl w:val="true"/>
              </w:rPr>
              <w:tab/>
            </w:r>
            <w:r>
              <w:rPr>
                <w:rStyle w:val="IndexLink"/>
              </w:rPr>
              <w:t>17</w:t>
            </w:r>
          </w:hyperlink>
        </w:p>
        <w:p>
          <w:pPr>
            <w:pStyle w:val="Contents3"/>
            <w:tabs>
              <w:tab w:val="clear" w:pos="8459"/>
              <w:tab w:val="right" w:pos="9026" w:leader="dot"/>
            </w:tabs>
            <w:rPr/>
          </w:pPr>
          <w:hyperlink w:anchor="__RefHeading___Toc16231874_2142443653">
            <w:r>
              <w:rPr>
                <w:webHidden/>
                <w:rStyle w:val="IndexLink"/>
                <w:rtl w:val="true"/>
              </w:rPr>
              <w:t xml:space="preserve">الجهة الثالثة </w:t>
            </w:r>
            <w:r>
              <w:rPr>
                <w:rStyle w:val="IndexLink"/>
                <w:rtl w:val="true"/>
              </w:rPr>
              <w:t xml:space="preserve">: </w:t>
            </w:r>
            <w:r>
              <w:rPr>
                <w:rStyle w:val="IndexLink"/>
                <w:rtl w:val="true"/>
              </w:rPr>
              <w:t>في بيان بعض فروع هذه القاعدة</w:t>
            </w:r>
            <w:r>
              <w:rPr>
                <w:rStyle w:val="IndexLink"/>
                <w:rtl w:val="true"/>
              </w:rPr>
              <w:tab/>
            </w:r>
            <w:r>
              <w:rPr>
                <w:rStyle w:val="IndexLink"/>
              </w:rPr>
              <w:t>37</w:t>
            </w:r>
          </w:hyperlink>
        </w:p>
        <w:p>
          <w:pPr>
            <w:pStyle w:val="Contents4"/>
            <w:tabs>
              <w:tab w:val="clear" w:pos="8176"/>
              <w:tab w:val="right" w:pos="9026" w:leader="dot"/>
            </w:tabs>
            <w:rPr/>
          </w:pPr>
          <w:hyperlink w:anchor="__RefHeading___Toc16231876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6231878_2142443653">
            <w:r>
              <w:rPr>
                <w:webHidden/>
                <w:rStyle w:val="IndexLink"/>
                <w:rtl w:val="true"/>
              </w:rPr>
              <w:t xml:space="preserve">إذا تبيّن ما ذكرنا ، فنقول </w:t>
            </w:r>
            <w:r>
              <w:rPr>
                <w:rStyle w:val="IndexLink"/>
                <w:rtl w:val="true"/>
              </w:rPr>
              <w:t>:</w:t>
              <w:tab/>
            </w:r>
            <w:r>
              <w:rPr>
                <w:rStyle w:val="IndexLink"/>
              </w:rPr>
              <w:t>40</w:t>
            </w:r>
          </w:hyperlink>
        </w:p>
        <w:p>
          <w:pPr>
            <w:pStyle w:val="Contents2"/>
            <w:tabs>
              <w:tab w:val="clear" w:pos="8743"/>
              <w:tab w:val="right" w:pos="9026" w:leader="dot"/>
            </w:tabs>
            <w:rPr/>
          </w:pPr>
          <w:hyperlink w:anchor="__RefHeading___Toc16231880_2142443653">
            <w:r>
              <w:rPr>
                <w:webHidden/>
                <w:rStyle w:val="IndexLink"/>
              </w:rPr>
              <w:t>47</w:t>
            </w:r>
            <w:r>
              <w:rPr>
                <w:rStyle w:val="IndexLink"/>
                <w:rtl w:val="true"/>
              </w:rPr>
              <w:t xml:space="preserve"> - </w:t>
            </w:r>
            <w:r>
              <w:rPr>
                <w:rStyle w:val="IndexLink"/>
                <w:rtl w:val="true"/>
              </w:rPr>
              <w:t>قاعدة التقية</w:t>
            </w:r>
            <w:r>
              <w:rPr>
                <w:rStyle w:val="IndexLink"/>
                <w:rtl w:val="true"/>
              </w:rPr>
              <w:tab/>
            </w:r>
            <w:r>
              <w:rPr>
                <w:rStyle w:val="IndexLink"/>
              </w:rPr>
              <w:t>52</w:t>
            </w:r>
          </w:hyperlink>
        </w:p>
        <w:p>
          <w:pPr>
            <w:pStyle w:val="Contents3"/>
            <w:tabs>
              <w:tab w:val="clear" w:pos="8459"/>
              <w:tab w:val="right" w:pos="9026" w:leader="dot"/>
            </w:tabs>
            <w:rPr/>
          </w:pPr>
          <w:hyperlink w:anchor="__RefHeading___Toc16231882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6231884_2142443653">
            <w:r>
              <w:rPr>
                <w:webHidden/>
                <w:rStyle w:val="IndexLink"/>
                <w:rtl w:val="true"/>
              </w:rPr>
              <w:t xml:space="preserve">الجهة الأولى </w:t>
            </w:r>
            <w:r>
              <w:rPr>
                <w:rStyle w:val="IndexLink"/>
                <w:rtl w:val="true"/>
              </w:rPr>
              <w:t xml:space="preserve">: </w:t>
            </w:r>
            <w:r>
              <w:rPr>
                <w:rStyle w:val="IndexLink"/>
                <w:rtl w:val="true"/>
              </w:rPr>
              <w:t>في المراد منها</w:t>
            </w:r>
            <w:r>
              <w:rPr>
                <w:rStyle w:val="IndexLink"/>
                <w:rtl w:val="true"/>
              </w:rPr>
              <w:tab/>
            </w:r>
            <w:r>
              <w:rPr>
                <w:rStyle w:val="IndexLink"/>
              </w:rPr>
              <w:t>54</w:t>
            </w:r>
          </w:hyperlink>
        </w:p>
        <w:p>
          <w:pPr>
            <w:pStyle w:val="Contents4"/>
            <w:tabs>
              <w:tab w:val="clear" w:pos="8176"/>
              <w:tab w:val="right" w:pos="9026" w:leader="dot"/>
            </w:tabs>
            <w:rPr/>
          </w:pPr>
          <w:hyperlink w:anchor="__RefHeading___Toc16231886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6231888_2142443653">
            <w:r>
              <w:rPr>
                <w:webHidden/>
                <w:rStyle w:val="IndexLink"/>
                <w:rtl w:val="true"/>
              </w:rPr>
              <w:t xml:space="preserve">فالتكلّم في التقيّة في مقامات ثلاث </w:t>
            </w:r>
            <w:r>
              <w:rPr>
                <w:rStyle w:val="IndexLink"/>
                <w:rtl w:val="true"/>
              </w:rPr>
              <w:t>:</w:t>
              <w:tab/>
            </w:r>
            <w:r>
              <w:rPr>
                <w:rStyle w:val="IndexLink"/>
              </w:rPr>
              <w:t>55</w:t>
            </w:r>
          </w:hyperlink>
        </w:p>
        <w:p>
          <w:pPr>
            <w:pStyle w:val="Contents5"/>
            <w:tabs>
              <w:tab w:val="clear" w:pos="7892"/>
              <w:tab w:val="right" w:pos="9026" w:leader="dot"/>
            </w:tabs>
            <w:rPr/>
          </w:pPr>
          <w:hyperlink w:anchor="__RefHeading___Toc16231890_2142443653">
            <w:r>
              <w:rPr>
                <w:webHidden/>
                <w:rStyle w:val="IndexLink"/>
                <w:rtl w:val="true"/>
              </w:rPr>
              <w:t>المقام الأوّل</w:t>
            </w:r>
            <w:r>
              <w:rPr>
                <w:rStyle w:val="IndexLink"/>
                <w:rtl w:val="true"/>
              </w:rPr>
              <w:tab/>
            </w:r>
            <w:r>
              <w:rPr>
                <w:rStyle w:val="IndexLink"/>
              </w:rPr>
              <w:t>55</w:t>
            </w:r>
          </w:hyperlink>
        </w:p>
        <w:p>
          <w:pPr>
            <w:pStyle w:val="Contents5"/>
            <w:tabs>
              <w:tab w:val="clear" w:pos="7892"/>
              <w:tab w:val="right" w:pos="9026" w:leader="dot"/>
            </w:tabs>
            <w:rPr/>
          </w:pPr>
          <w:hyperlink w:anchor="__RefHeading___Toc16231892_2142443653">
            <w:r>
              <w:rPr>
                <w:webHidden/>
                <w:rStyle w:val="IndexLink"/>
                <w:rtl w:val="true"/>
              </w:rPr>
              <w:t>المقام الثاني</w:t>
            </w:r>
            <w:r>
              <w:rPr>
                <w:rStyle w:val="IndexLink"/>
                <w:rtl w:val="true"/>
              </w:rPr>
              <w:tab/>
            </w:r>
            <w:r>
              <w:rPr>
                <w:rStyle w:val="IndexLink"/>
              </w:rPr>
              <w:t>60</w:t>
            </w:r>
          </w:hyperlink>
        </w:p>
        <w:p>
          <w:pPr>
            <w:pStyle w:val="Contents6"/>
            <w:tabs>
              <w:tab w:val="clear" w:pos="7609"/>
              <w:tab w:val="right" w:pos="9026" w:leader="dot"/>
            </w:tabs>
            <w:rPr/>
          </w:pPr>
          <w:hyperlink w:anchor="__RefHeading___Toc16231894_2142443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6231896_2142443653">
            <w:r>
              <w:rPr>
                <w:webHidden/>
                <w:rStyle w:val="IndexLink"/>
                <w:rtl w:val="true"/>
              </w:rPr>
              <w:t xml:space="preserve">إذا عرفت هذا فنقول </w:t>
            </w:r>
            <w:r>
              <w:rPr>
                <w:rStyle w:val="IndexLink"/>
                <w:rtl w:val="true"/>
              </w:rPr>
              <w:t>:</w:t>
              <w:tab/>
            </w:r>
            <w:r>
              <w:rPr>
                <w:rStyle w:val="IndexLink"/>
              </w:rPr>
              <w:t>72</w:t>
            </w:r>
          </w:hyperlink>
        </w:p>
        <w:p>
          <w:pPr>
            <w:pStyle w:val="Contents5"/>
            <w:tabs>
              <w:tab w:val="clear" w:pos="7892"/>
              <w:tab w:val="right" w:pos="9026" w:leader="dot"/>
            </w:tabs>
            <w:rPr/>
          </w:pPr>
          <w:hyperlink w:anchor="__RefHeading___Toc16231898_2142443653">
            <w:r>
              <w:rPr>
                <w:webHidden/>
                <w:rStyle w:val="IndexLink"/>
                <w:rtl w:val="true"/>
              </w:rPr>
              <w:t>المقام الثالث</w:t>
            </w:r>
            <w:r>
              <w:rPr>
                <w:rStyle w:val="IndexLink"/>
                <w:rtl w:val="true"/>
              </w:rPr>
              <w:tab/>
            </w:r>
            <w:r>
              <w:rPr>
                <w:rStyle w:val="IndexLink"/>
              </w:rPr>
              <w:t>79</w:t>
            </w:r>
          </w:hyperlink>
        </w:p>
        <w:p>
          <w:pPr>
            <w:pStyle w:val="Contents6"/>
            <w:tabs>
              <w:tab w:val="clear" w:pos="7609"/>
              <w:tab w:val="right" w:pos="9026" w:leader="dot"/>
            </w:tabs>
            <w:rPr/>
          </w:pPr>
          <w:hyperlink w:anchor="__RefHeading___Toc16231900_2142443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6231902_2142443653">
            <w:r>
              <w:rPr>
                <w:webHidden/>
                <w:rStyle w:val="IndexLink"/>
                <w:rtl w:val="true"/>
              </w:rPr>
              <w:t xml:space="preserve">ثمَّ إنّ هاهنا أمورا يجب التنبّه عليها </w:t>
            </w:r>
            <w:r>
              <w:rPr>
                <w:rStyle w:val="IndexLink"/>
                <w:rtl w:val="true"/>
              </w:rPr>
              <w:t>:</w:t>
              <w:tab/>
            </w:r>
            <w:r>
              <w:rPr>
                <w:rStyle w:val="IndexLink"/>
              </w:rPr>
              <w:t>79</w:t>
            </w:r>
          </w:hyperlink>
        </w:p>
        <w:p>
          <w:pPr>
            <w:pStyle w:val="Contents6"/>
            <w:tabs>
              <w:tab w:val="clear" w:pos="7609"/>
              <w:tab w:val="right" w:pos="9026" w:leader="dot"/>
            </w:tabs>
            <w:rPr/>
          </w:pPr>
          <w:hyperlink w:anchor="__RefHeading___Toc16231904_2142443653">
            <w:r>
              <w:rPr>
                <w:webHidden/>
                <w:rStyle w:val="IndexLink"/>
                <w:rtl w:val="true"/>
              </w:rPr>
              <w:t>تنبيه</w:t>
            </w:r>
            <w:r>
              <w:rPr>
                <w:rStyle w:val="IndexLink"/>
                <w:rtl w:val="true"/>
              </w:rPr>
              <w:tab/>
            </w:r>
            <w:r>
              <w:rPr>
                <w:rStyle w:val="IndexLink"/>
              </w:rPr>
              <w:t>83</w:t>
            </w:r>
          </w:hyperlink>
        </w:p>
        <w:p>
          <w:pPr>
            <w:pStyle w:val="Contents2"/>
            <w:tabs>
              <w:tab w:val="clear" w:pos="8743"/>
              <w:tab w:val="right" w:pos="9026" w:leader="dot"/>
            </w:tabs>
            <w:rPr/>
          </w:pPr>
          <w:hyperlink w:anchor="__RefHeading___Toc16231906_2142443653">
            <w:r>
              <w:rPr>
                <w:webHidden/>
                <w:rStyle w:val="IndexLink"/>
              </w:rPr>
              <w:t>48</w:t>
            </w:r>
            <w:r>
              <w:rPr>
                <w:rStyle w:val="IndexLink"/>
                <w:rtl w:val="true"/>
              </w:rPr>
              <w:t xml:space="preserve"> - </w:t>
            </w:r>
            <w:r>
              <w:rPr>
                <w:rStyle w:val="IndexLink"/>
                <w:rtl w:val="true"/>
              </w:rPr>
              <w:t>قاعدة لا ربا الا فيما يكال أو يوزن</w:t>
            </w:r>
            <w:r>
              <w:rPr>
                <w:rStyle w:val="IndexLink"/>
                <w:rtl w:val="true"/>
              </w:rPr>
              <w:tab/>
            </w:r>
            <w:r>
              <w:rPr>
                <w:rStyle w:val="IndexLink"/>
              </w:rPr>
              <w:t>88</w:t>
            </w:r>
          </w:hyperlink>
        </w:p>
        <w:p>
          <w:pPr>
            <w:pStyle w:val="Contents3"/>
            <w:tabs>
              <w:tab w:val="clear" w:pos="8459"/>
              <w:tab w:val="right" w:pos="9026" w:leader="dot"/>
            </w:tabs>
            <w:rPr/>
          </w:pPr>
          <w:hyperlink w:anchor="__RefHeading___Toc16231908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623191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90</w:t>
            </w:r>
          </w:hyperlink>
        </w:p>
        <w:p>
          <w:pPr>
            <w:pStyle w:val="Contents3"/>
            <w:tabs>
              <w:tab w:val="clear" w:pos="8459"/>
              <w:tab w:val="right" w:pos="9026" w:leader="dot"/>
            </w:tabs>
            <w:rPr/>
          </w:pPr>
          <w:hyperlink w:anchor="__RefHeading___Toc16231912_2142443653">
            <w:r>
              <w:rPr>
                <w:webHidden/>
                <w:rStyle w:val="IndexLink"/>
                <w:rtl w:val="true"/>
              </w:rPr>
              <w:t xml:space="preserve">الجهة الثانية </w:t>
            </w:r>
            <w:r>
              <w:rPr>
                <w:rStyle w:val="IndexLink"/>
                <w:rtl w:val="true"/>
              </w:rPr>
              <w:t xml:space="preserve">: </w:t>
            </w:r>
            <w:r>
              <w:rPr>
                <w:rStyle w:val="IndexLink"/>
                <w:rtl w:val="true"/>
              </w:rPr>
              <w:t>في شرح مضمون القاعدة</w:t>
            </w:r>
            <w:r>
              <w:rPr>
                <w:rStyle w:val="IndexLink"/>
                <w:rtl w:val="true"/>
              </w:rPr>
              <w:tab/>
            </w:r>
            <w:r>
              <w:rPr>
                <w:rStyle w:val="IndexLink"/>
              </w:rPr>
              <w:t>91</w:t>
            </w:r>
          </w:hyperlink>
        </w:p>
        <w:p>
          <w:pPr>
            <w:pStyle w:val="Contents4"/>
            <w:tabs>
              <w:tab w:val="clear" w:pos="8176"/>
              <w:tab w:val="right" w:pos="9026" w:leader="dot"/>
            </w:tabs>
            <w:rPr/>
          </w:pPr>
          <w:hyperlink w:anchor="__RefHeading___Toc16231914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6231916_2142443653">
            <w:r>
              <w:rPr>
                <w:webHidden/>
                <w:rStyle w:val="IndexLink"/>
                <w:rtl w:val="true"/>
              </w:rPr>
              <w:t xml:space="preserve">فنتكلّم في مقامين </w:t>
            </w:r>
            <w:r>
              <w:rPr>
                <w:rStyle w:val="IndexLink"/>
                <w:rtl w:val="true"/>
              </w:rPr>
              <w:t>:</w:t>
              <w:tab/>
            </w:r>
            <w:r>
              <w:rPr>
                <w:rStyle w:val="IndexLink"/>
              </w:rPr>
              <w:t>92</w:t>
            </w:r>
          </w:hyperlink>
        </w:p>
        <w:p>
          <w:pPr>
            <w:pStyle w:val="Contents4"/>
            <w:tabs>
              <w:tab w:val="clear" w:pos="8176"/>
              <w:tab w:val="right" w:pos="9026" w:leader="dot"/>
            </w:tabs>
            <w:rPr/>
          </w:pPr>
          <w:hyperlink w:anchor="__RefHeading___Toc16231918_2142443653">
            <w:r>
              <w:rPr>
                <w:webHidden/>
                <w:rStyle w:val="IndexLink"/>
                <w:rtl w:val="true"/>
              </w:rPr>
              <w:t>وأمّا الاخبار</w:t>
            </w:r>
            <w:r>
              <w:rPr>
                <w:rStyle w:val="IndexLink"/>
                <w:rtl w:val="true"/>
              </w:rPr>
              <w:tab/>
            </w:r>
            <w:r>
              <w:rPr>
                <w:rStyle w:val="IndexLink"/>
              </w:rPr>
              <w:t>96</w:t>
            </w:r>
          </w:hyperlink>
        </w:p>
        <w:p>
          <w:pPr>
            <w:pStyle w:val="Contents4"/>
            <w:tabs>
              <w:tab w:val="clear" w:pos="8176"/>
              <w:tab w:val="right" w:pos="9026" w:leader="dot"/>
            </w:tabs>
            <w:rPr/>
          </w:pPr>
          <w:hyperlink w:anchor="__RefHeading___Toc16231920_2142443653">
            <w:r>
              <w:rPr>
                <w:webHidden/>
                <w:rStyle w:val="IndexLink"/>
                <w:rtl w:val="true"/>
              </w:rPr>
              <w:t>وأمّا المراد من المكيل والموزون في الشرط الثاني</w:t>
            </w:r>
            <w:r>
              <w:rPr>
                <w:rStyle w:val="IndexLink"/>
                <w:rtl w:val="true"/>
              </w:rPr>
              <w:tab/>
            </w:r>
            <w:r>
              <w:rPr>
                <w:rStyle w:val="IndexLink"/>
              </w:rPr>
              <w:t>102</w:t>
            </w:r>
          </w:hyperlink>
        </w:p>
        <w:p>
          <w:pPr>
            <w:pStyle w:val="Contents4"/>
            <w:tabs>
              <w:tab w:val="clear" w:pos="8176"/>
              <w:tab w:val="right" w:pos="9026" w:leader="dot"/>
            </w:tabs>
            <w:rPr/>
          </w:pPr>
          <w:hyperlink w:anchor="__RefHeading___Toc16231922_2142443653">
            <w:r>
              <w:rPr>
                <w:webHidden/>
                <w:rStyle w:val="IndexLink"/>
                <w:rtl w:val="true"/>
              </w:rPr>
              <w:t xml:space="preserve">واستدلّ المشهور على الجواز بعدّة روايات </w:t>
            </w:r>
            <w:r>
              <w:rPr>
                <w:rStyle w:val="IndexLink"/>
                <w:rtl w:val="true"/>
              </w:rPr>
              <w:t>:</w:t>
              <w:tab/>
            </w:r>
            <w:r>
              <w:rPr>
                <w:rStyle w:val="IndexLink"/>
              </w:rPr>
              <w:t>108</w:t>
            </w:r>
          </w:hyperlink>
        </w:p>
        <w:p>
          <w:pPr>
            <w:pStyle w:val="Contents4"/>
            <w:tabs>
              <w:tab w:val="clear" w:pos="8176"/>
              <w:tab w:val="right" w:pos="9026" w:leader="dot"/>
            </w:tabs>
            <w:rPr/>
          </w:pPr>
          <w:hyperlink w:anchor="__RefHeading___Toc16231924_2142443653">
            <w:r>
              <w:rPr>
                <w:webHidden/>
                <w:rStyle w:val="IndexLink"/>
                <w:rtl w:val="true"/>
              </w:rPr>
              <w:t>أنّه وقع الخلاف في أنّه مختصّ بالبيع والقرض ، أم يأتي في سائر المعاوضات؟</w:t>
            </w:r>
            <w:r>
              <w:rPr>
                <w:rStyle w:val="IndexLink"/>
                <w:rtl w:val="true"/>
              </w:rPr>
              <w:tab/>
            </w:r>
            <w:r>
              <w:rPr>
                <w:rStyle w:val="IndexLink"/>
              </w:rPr>
              <w:t>110</w:t>
            </w:r>
          </w:hyperlink>
        </w:p>
        <w:p>
          <w:pPr>
            <w:pStyle w:val="Contents4"/>
            <w:tabs>
              <w:tab w:val="clear" w:pos="8176"/>
              <w:tab w:val="right" w:pos="9026" w:leader="dot"/>
            </w:tabs>
            <w:rPr/>
          </w:pPr>
          <w:hyperlink w:anchor="__RefHeading___Toc16231926_2142443653">
            <w:r>
              <w:rPr>
                <w:webHidden/>
                <w:rStyle w:val="IndexLink"/>
                <w:rtl w:val="true"/>
              </w:rPr>
              <w:t xml:space="preserve">أما القسم الأول </w:t>
            </w:r>
            <w:r>
              <w:rPr>
                <w:rStyle w:val="IndexLink"/>
                <w:rtl w:val="true"/>
              </w:rPr>
              <w:t xml:space="preserve">: </w:t>
            </w:r>
            <w:r>
              <w:rPr>
                <w:rStyle w:val="IndexLink"/>
                <w:rtl w:val="true"/>
              </w:rPr>
              <w:t>فنذكره في ضمن مسائل</w:t>
            </w:r>
            <w:r>
              <w:rPr>
                <w:rStyle w:val="IndexLink"/>
                <w:rtl w:val="true"/>
              </w:rPr>
              <w:tab/>
            </w:r>
            <w:r>
              <w:rPr>
                <w:rStyle w:val="IndexLink"/>
              </w:rPr>
              <w:t>115</w:t>
            </w:r>
          </w:hyperlink>
        </w:p>
        <w:p>
          <w:pPr>
            <w:pStyle w:val="Contents5"/>
            <w:tabs>
              <w:tab w:val="clear" w:pos="7892"/>
              <w:tab w:val="right" w:pos="9026" w:leader="dot"/>
            </w:tabs>
            <w:rPr/>
          </w:pPr>
          <w:hyperlink w:anchor="__RefHeading___Toc16231928_2142443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6231930_2142443653">
            <w:r>
              <w:rPr>
                <w:webHidden/>
                <w:rStyle w:val="IndexLink"/>
                <w:rtl w:val="true"/>
              </w:rPr>
              <w:t xml:space="preserve">إذا عرفت ما ذكرنا ، ففي هذه المسألة فروع يعرف حكمها مما ذكرنا </w:t>
            </w:r>
            <w:r>
              <w:rPr>
                <w:rStyle w:val="IndexLink"/>
                <w:rtl w:val="true"/>
              </w:rPr>
              <w:t>:</w:t>
              <w:tab/>
            </w:r>
            <w:r>
              <w:rPr>
                <w:rStyle w:val="IndexLink"/>
              </w:rPr>
              <w:t>120</w:t>
            </w:r>
          </w:hyperlink>
        </w:p>
        <w:p>
          <w:pPr>
            <w:pStyle w:val="Contents5"/>
            <w:tabs>
              <w:tab w:val="clear" w:pos="7892"/>
              <w:tab w:val="right" w:pos="9026" w:leader="dot"/>
            </w:tabs>
            <w:rPr/>
          </w:pPr>
          <w:hyperlink w:anchor="__RefHeading___Toc16231932_2142443653">
            <w:r>
              <w:rPr>
                <w:webHidden/>
                <w:rStyle w:val="IndexLink"/>
                <w:rtl w:val="true"/>
              </w:rPr>
              <w:t xml:space="preserve">ثمَّ إنّ في هذه المسألة فروعا لا بأس بذكرها </w:t>
            </w:r>
            <w:r>
              <w:rPr>
                <w:rStyle w:val="IndexLink"/>
                <w:rtl w:val="true"/>
              </w:rPr>
              <w:t>:</w:t>
              <w:tab/>
            </w:r>
            <w:r>
              <w:rPr>
                <w:rStyle w:val="IndexLink"/>
              </w:rPr>
              <w:t>127</w:t>
            </w:r>
          </w:hyperlink>
        </w:p>
        <w:p>
          <w:pPr>
            <w:pStyle w:val="Contents5"/>
            <w:tabs>
              <w:tab w:val="clear" w:pos="7892"/>
              <w:tab w:val="right" w:pos="9026" w:leader="dot"/>
            </w:tabs>
            <w:rPr/>
          </w:pPr>
          <w:hyperlink w:anchor="__RefHeading___Toc16231934_2142443653">
            <w:r>
              <w:rPr>
                <w:webHidden/>
                <w:rStyle w:val="IndexLink"/>
                <w:rtl w:val="true"/>
              </w:rPr>
              <w:t>فالعمدة في دليل المنع الأخبار والحديث الوارد في المقام</w:t>
            </w:r>
            <w:r>
              <w:rPr>
                <w:rStyle w:val="IndexLink"/>
                <w:rtl w:val="true"/>
              </w:rPr>
              <w:t>.</w:t>
              <w:tab/>
            </w:r>
            <w:r>
              <w:rPr>
                <w:rStyle w:val="IndexLink"/>
              </w:rPr>
              <w:t>131</w:t>
            </w:r>
          </w:hyperlink>
        </w:p>
        <w:p>
          <w:pPr>
            <w:pStyle w:val="Contents5"/>
            <w:tabs>
              <w:tab w:val="clear" w:pos="7892"/>
              <w:tab w:val="right" w:pos="9026" w:leader="dot"/>
            </w:tabs>
            <w:rPr/>
          </w:pPr>
          <w:hyperlink w:anchor="__RefHeading___Toc16231936_2142443653">
            <w:r>
              <w:rPr>
                <w:webHidden/>
                <w:rStyle w:val="IndexLink"/>
                <w:rtl w:val="true"/>
              </w:rPr>
              <w:t xml:space="preserve">ولكن هاهنا أخبار أخر تدلّ على الجواز </w:t>
            </w:r>
            <w:r>
              <w:rPr>
                <w:rStyle w:val="IndexLink"/>
                <w:rtl w:val="true"/>
              </w:rPr>
              <w:t>:</w:t>
              <w:tab/>
            </w:r>
            <w:r>
              <w:rPr>
                <w:rStyle w:val="IndexLink"/>
              </w:rPr>
              <w:t>132</w:t>
            </w:r>
          </w:hyperlink>
        </w:p>
        <w:p>
          <w:pPr>
            <w:pStyle w:val="Contents5"/>
            <w:tabs>
              <w:tab w:val="clear" w:pos="7892"/>
              <w:tab w:val="right" w:pos="9026" w:leader="dot"/>
            </w:tabs>
            <w:rPr/>
          </w:pPr>
          <w:hyperlink w:anchor="__RefHeading___Toc16231938_2142443653">
            <w:r>
              <w:rPr>
                <w:webHidden/>
                <w:rStyle w:val="IndexLink"/>
                <w:rtl w:val="true"/>
              </w:rPr>
              <w:t xml:space="preserve">ولكن لا مجال للقول بالجواز مطلقا إلاّ بأحد أمرين ، وهما </w:t>
            </w:r>
            <w:r>
              <w:rPr>
                <w:rStyle w:val="IndexLink"/>
                <w:rtl w:val="true"/>
              </w:rPr>
              <w:t>:</w:t>
              <w:tab/>
            </w:r>
            <w:r>
              <w:rPr>
                <w:rStyle w:val="IndexLink"/>
              </w:rPr>
              <w:t>136</w:t>
            </w:r>
          </w:hyperlink>
        </w:p>
        <w:p>
          <w:pPr>
            <w:pStyle w:val="Contents5"/>
            <w:tabs>
              <w:tab w:val="clear" w:pos="7892"/>
              <w:tab w:val="right" w:pos="9026" w:leader="dot"/>
            </w:tabs>
            <w:rPr/>
          </w:pPr>
          <w:hyperlink w:anchor="__RefHeading___Toc16231940_2142443653">
            <w:r>
              <w:rPr>
                <w:webHidden/>
                <w:rStyle w:val="IndexLink"/>
                <w:rtl w:val="true"/>
              </w:rPr>
              <w:t>وأنت خبير بعدم صحّة كلا الأمرين</w:t>
            </w:r>
            <w:r>
              <w:rPr>
                <w:rStyle w:val="IndexLink"/>
                <w:rtl w:val="true"/>
              </w:rPr>
              <w:t>.</w:t>
              <w:tab/>
            </w:r>
            <w:r>
              <w:rPr>
                <w:rStyle w:val="IndexLink"/>
              </w:rPr>
              <w:t>136</w:t>
            </w:r>
          </w:hyperlink>
        </w:p>
        <w:p>
          <w:pPr>
            <w:pStyle w:val="Contents5"/>
            <w:tabs>
              <w:tab w:val="clear" w:pos="7892"/>
              <w:tab w:val="right" w:pos="9026" w:leader="dot"/>
            </w:tabs>
            <w:rPr/>
          </w:pPr>
          <w:hyperlink w:anchor="__RefHeading___Toc16231942_2142443653">
            <w:r>
              <w:rPr>
                <w:webHidden/>
                <w:rStyle w:val="IndexLink"/>
                <w:rtl w:val="true"/>
              </w:rPr>
              <w:t xml:space="preserve">وأمّا النصوص الواردة في المقام </w:t>
            </w:r>
            <w:r>
              <w:rPr>
                <w:rStyle w:val="IndexLink"/>
                <w:rtl w:val="true"/>
              </w:rPr>
              <w:t>:</w:t>
              <w:tab/>
            </w:r>
            <w:r>
              <w:rPr>
                <w:rStyle w:val="IndexLink"/>
              </w:rPr>
              <w:t>141</w:t>
            </w:r>
          </w:hyperlink>
        </w:p>
        <w:p>
          <w:pPr>
            <w:pStyle w:val="Contents4"/>
            <w:tabs>
              <w:tab w:val="clear" w:pos="8176"/>
              <w:tab w:val="right" w:pos="9026" w:leader="dot"/>
            </w:tabs>
            <w:rPr/>
          </w:pPr>
          <w:hyperlink w:anchor="__RefHeading___Toc16231944_2142443653">
            <w:r>
              <w:rPr>
                <w:webHidden/>
                <w:rStyle w:val="IndexLink"/>
                <w:rtl w:val="true"/>
              </w:rPr>
              <w:t>وأمّا القسم الثاني</w:t>
            </w:r>
            <w:r>
              <w:rPr>
                <w:rStyle w:val="IndexLink"/>
                <w:rtl w:val="true"/>
              </w:rPr>
              <w:tab/>
            </w:r>
            <w:r>
              <w:rPr>
                <w:rStyle w:val="IndexLink"/>
              </w:rPr>
              <w:t>144</w:t>
            </w:r>
          </w:hyperlink>
        </w:p>
        <w:p>
          <w:pPr>
            <w:pStyle w:val="Contents5"/>
            <w:tabs>
              <w:tab w:val="clear" w:pos="7892"/>
              <w:tab w:val="right" w:pos="9026" w:leader="dot"/>
            </w:tabs>
            <w:rPr/>
          </w:pPr>
          <w:hyperlink w:anchor="__RefHeading___Toc16231946_2142443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6231948_2142443653">
            <w:r>
              <w:rPr>
                <w:webHidden/>
                <w:rStyle w:val="IndexLink"/>
                <w:rtl w:val="true"/>
              </w:rPr>
              <w:t xml:space="preserve">وفي المسألة أقوال </w:t>
            </w:r>
            <w:r>
              <w:rPr>
                <w:rStyle w:val="IndexLink"/>
                <w:rtl w:val="true"/>
              </w:rPr>
              <w:t>:</w:t>
              <w:tab/>
            </w:r>
            <w:r>
              <w:rPr>
                <w:rStyle w:val="IndexLink"/>
              </w:rPr>
              <w:t>160</w:t>
            </w:r>
          </w:hyperlink>
        </w:p>
        <w:p>
          <w:pPr>
            <w:pStyle w:val="Contents5"/>
            <w:tabs>
              <w:tab w:val="clear" w:pos="7892"/>
              <w:tab w:val="right" w:pos="9026" w:leader="dot"/>
            </w:tabs>
            <w:rPr/>
          </w:pPr>
          <w:hyperlink w:anchor="__RefHeading___Toc16231950_2142443653">
            <w:r>
              <w:rPr>
                <w:webHidden/>
                <w:rStyle w:val="IndexLink"/>
                <w:rtl w:val="true"/>
              </w:rPr>
              <w:t xml:space="preserve">وفي هذا المقام ذكروا وجوها </w:t>
            </w:r>
            <w:r>
              <w:rPr>
                <w:rStyle w:val="IndexLink"/>
                <w:rtl w:val="true"/>
              </w:rPr>
              <w:t>:</w:t>
              <w:tab/>
            </w:r>
            <w:r>
              <w:rPr>
                <w:rStyle w:val="IndexLink"/>
              </w:rPr>
              <w:t>169</w:t>
            </w:r>
          </w:hyperlink>
        </w:p>
        <w:p>
          <w:pPr>
            <w:pStyle w:val="Contents3"/>
            <w:tabs>
              <w:tab w:val="clear" w:pos="8459"/>
              <w:tab w:val="right" w:pos="9026" w:leader="dot"/>
            </w:tabs>
            <w:rPr/>
          </w:pPr>
          <w:hyperlink w:anchor="__RefHeading___Toc16231952_2142443653">
            <w:r>
              <w:rPr>
                <w:webHidden/>
                <w:rStyle w:val="IndexLink"/>
                <w:rtl w:val="true"/>
              </w:rPr>
              <w:t xml:space="preserve">الجهة الثالثة </w:t>
            </w:r>
            <w:r>
              <w:rPr>
                <w:rStyle w:val="IndexLink"/>
                <w:rtl w:val="true"/>
              </w:rPr>
              <w:t xml:space="preserve">: </w:t>
            </w:r>
            <w:r>
              <w:rPr>
                <w:rStyle w:val="IndexLink"/>
                <w:rtl w:val="true"/>
              </w:rPr>
              <w:t>في موارد الاستثناء عن هذه القاعدة</w:t>
            </w:r>
            <w:r>
              <w:rPr>
                <w:rStyle w:val="IndexLink"/>
                <w:rtl w:val="true"/>
              </w:rPr>
              <w:tab/>
            </w:r>
            <w:r>
              <w:rPr>
                <w:rStyle w:val="IndexLink"/>
              </w:rPr>
              <w:t>174</w:t>
            </w:r>
          </w:hyperlink>
        </w:p>
        <w:p>
          <w:pPr>
            <w:pStyle w:val="Contents4"/>
            <w:tabs>
              <w:tab w:val="clear" w:pos="8176"/>
              <w:tab w:val="right" w:pos="9026" w:leader="dot"/>
            </w:tabs>
            <w:rPr/>
          </w:pPr>
          <w:hyperlink w:anchor="__RefHeading___Toc16231954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6231956_2142443653">
            <w:r>
              <w:rPr>
                <w:webHidden/>
                <w:rStyle w:val="IndexLink"/>
                <w:rtl w:val="true"/>
              </w:rPr>
              <w:t>ثمَّ إنّ هاهنا فروعا</w:t>
            </w:r>
            <w:r>
              <w:rPr>
                <w:rStyle w:val="IndexLink"/>
                <w:rtl w:val="true"/>
              </w:rPr>
              <w:tab/>
            </w:r>
            <w:r>
              <w:rPr>
                <w:rStyle w:val="IndexLink"/>
              </w:rPr>
              <w:t>179</w:t>
            </w:r>
          </w:hyperlink>
        </w:p>
        <w:p>
          <w:pPr>
            <w:pStyle w:val="Contents3"/>
            <w:tabs>
              <w:tab w:val="clear" w:pos="8459"/>
              <w:tab w:val="right" w:pos="9026" w:leader="dot"/>
            </w:tabs>
            <w:rPr/>
          </w:pPr>
          <w:hyperlink w:anchor="__RefHeading___Toc16231958_2142443653">
            <w:r>
              <w:rPr>
                <w:webHidden/>
                <w:rStyle w:val="IndexLink"/>
                <w:rtl w:val="true"/>
              </w:rPr>
              <w:t>الجهة الرابعة</w:t>
            </w:r>
            <w:r>
              <w:rPr>
                <w:rStyle w:val="IndexLink"/>
                <w:rtl w:val="true"/>
              </w:rPr>
              <w:tab/>
            </w:r>
            <w:r>
              <w:rPr>
                <w:rStyle w:val="IndexLink"/>
              </w:rPr>
              <w:t>189</w:t>
            </w:r>
          </w:hyperlink>
        </w:p>
        <w:p>
          <w:pPr>
            <w:pStyle w:val="Contents3"/>
            <w:tabs>
              <w:tab w:val="clear" w:pos="8459"/>
              <w:tab w:val="right" w:pos="9026" w:leader="dot"/>
            </w:tabs>
            <w:rPr/>
          </w:pPr>
          <w:hyperlink w:anchor="__RefHeading___Toc16231960_2142443653">
            <w:r>
              <w:rPr>
                <w:webHidden/>
                <w:rStyle w:val="IndexLink"/>
                <w:rtl w:val="true"/>
              </w:rPr>
              <w:t xml:space="preserve">الجهة الخامسة </w:t>
            </w:r>
            <w:r>
              <w:rPr>
                <w:rStyle w:val="IndexLink"/>
                <w:rtl w:val="true"/>
              </w:rPr>
              <w:t xml:space="preserve">: </w:t>
            </w:r>
            <w:r>
              <w:rPr>
                <w:rStyle w:val="IndexLink"/>
                <w:rtl w:val="true"/>
              </w:rPr>
              <w:t>في الربا في باب القرض</w:t>
            </w:r>
            <w:r>
              <w:rPr>
                <w:rStyle w:val="IndexLink"/>
                <w:rtl w:val="true"/>
              </w:rPr>
              <w:tab/>
            </w:r>
            <w:r>
              <w:rPr>
                <w:rStyle w:val="IndexLink"/>
              </w:rPr>
              <w:t>192</w:t>
            </w:r>
          </w:hyperlink>
        </w:p>
        <w:p>
          <w:pPr>
            <w:pStyle w:val="Contents4"/>
            <w:tabs>
              <w:tab w:val="clear" w:pos="8176"/>
              <w:tab w:val="right" w:pos="9026" w:leader="dot"/>
            </w:tabs>
            <w:rPr/>
          </w:pPr>
          <w:hyperlink w:anchor="__RefHeading___Toc16231962_2142443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6231964_2142443653">
            <w:r>
              <w:rPr>
                <w:webHidden/>
                <w:rStyle w:val="IndexLink"/>
                <w:rtl w:val="true"/>
              </w:rPr>
              <w:t>خاتمة</w:t>
            </w:r>
            <w:r>
              <w:rPr>
                <w:rStyle w:val="IndexLink"/>
                <w:rtl w:val="true"/>
              </w:rPr>
              <w:tab/>
            </w:r>
            <w:r>
              <w:rPr>
                <w:rStyle w:val="IndexLink"/>
              </w:rPr>
              <w:t>195</w:t>
            </w:r>
          </w:hyperlink>
        </w:p>
        <w:p>
          <w:pPr>
            <w:pStyle w:val="Contents2"/>
            <w:tabs>
              <w:tab w:val="clear" w:pos="8743"/>
              <w:tab w:val="right" w:pos="9026" w:leader="dot"/>
            </w:tabs>
            <w:rPr/>
          </w:pPr>
          <w:hyperlink w:anchor="__RefHeading___Toc16231966_2142443653">
            <w:r>
              <w:rPr>
                <w:webHidden/>
                <w:rStyle w:val="IndexLink"/>
              </w:rPr>
              <w:t>49</w:t>
            </w:r>
            <w:r>
              <w:rPr>
                <w:rStyle w:val="IndexLink"/>
                <w:rtl w:val="true"/>
              </w:rPr>
              <w:t xml:space="preserve"> - </w:t>
            </w:r>
            <w:r>
              <w:rPr>
                <w:rStyle w:val="IndexLink"/>
                <w:rtl w:val="true"/>
              </w:rPr>
              <w:t>قاعدة أصالة اللزوم في العقود</w:t>
            </w:r>
            <w:r>
              <w:rPr>
                <w:rStyle w:val="IndexLink"/>
                <w:rtl w:val="true"/>
              </w:rPr>
              <w:tab/>
            </w:r>
            <w:r>
              <w:rPr>
                <w:rStyle w:val="IndexLink"/>
              </w:rPr>
              <w:t>198</w:t>
            </w:r>
          </w:hyperlink>
        </w:p>
        <w:p>
          <w:pPr>
            <w:pStyle w:val="Contents3"/>
            <w:tabs>
              <w:tab w:val="clear" w:pos="8459"/>
              <w:tab w:val="right" w:pos="9026" w:leader="dot"/>
            </w:tabs>
            <w:rPr/>
          </w:pPr>
          <w:hyperlink w:anchor="__RefHeading___Toc16231968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623197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شرح معناها والمراد منها</w:t>
            </w:r>
            <w:r>
              <w:rPr>
                <w:rStyle w:val="IndexLink"/>
                <w:rtl w:val="true"/>
              </w:rPr>
              <w:tab/>
            </w:r>
            <w:r>
              <w:rPr>
                <w:rStyle w:val="IndexLink"/>
              </w:rPr>
              <w:t>200</w:t>
            </w:r>
          </w:hyperlink>
        </w:p>
        <w:p>
          <w:pPr>
            <w:pStyle w:val="Contents3"/>
            <w:tabs>
              <w:tab w:val="clear" w:pos="8459"/>
              <w:tab w:val="right" w:pos="9026" w:leader="dot"/>
            </w:tabs>
            <w:rPr/>
          </w:pPr>
          <w:hyperlink w:anchor="__RefHeading___Toc16231972_2142443653">
            <w:r>
              <w:rPr>
                <w:webHidden/>
                <w:rStyle w:val="IndexLink"/>
                <w:rtl w:val="true"/>
              </w:rPr>
              <w:t>الجهة الثانية</w:t>
            </w:r>
            <w:r>
              <w:rPr>
                <w:rStyle w:val="IndexLink"/>
                <w:rtl w:val="true"/>
              </w:rPr>
              <w:tab/>
            </w:r>
            <w:r>
              <w:rPr>
                <w:rStyle w:val="IndexLink"/>
              </w:rPr>
              <w:t>204</w:t>
            </w:r>
          </w:hyperlink>
        </w:p>
        <w:p>
          <w:pPr>
            <w:pStyle w:val="Contents4"/>
            <w:tabs>
              <w:tab w:val="clear" w:pos="8176"/>
              <w:tab w:val="right" w:pos="9026" w:leader="dot"/>
            </w:tabs>
            <w:rPr/>
          </w:pPr>
          <w:hyperlink w:anchor="__RefHeading___Toc16231974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6231976_2142443653">
            <w:r>
              <w:rPr>
                <w:webHidden/>
                <w:rStyle w:val="IndexLink"/>
                <w:rtl w:val="true"/>
              </w:rPr>
              <w:t xml:space="preserve">واعترض على هذا الاستصحاب من وجوه </w:t>
            </w:r>
            <w:r>
              <w:rPr>
                <w:rStyle w:val="IndexLink"/>
                <w:rtl w:val="true"/>
              </w:rPr>
              <w:t>:</w:t>
              <w:tab/>
            </w:r>
            <w:r>
              <w:rPr>
                <w:rStyle w:val="IndexLink"/>
              </w:rPr>
              <w:t>238</w:t>
            </w:r>
          </w:hyperlink>
        </w:p>
        <w:p>
          <w:pPr>
            <w:pStyle w:val="Contents4"/>
            <w:tabs>
              <w:tab w:val="clear" w:pos="8176"/>
              <w:tab w:val="right" w:pos="9026" w:leader="dot"/>
            </w:tabs>
            <w:rPr/>
          </w:pPr>
          <w:hyperlink w:anchor="__RefHeading___Toc16231978_2142443653">
            <w:r>
              <w:rPr>
                <w:webHidden/>
                <w:rStyle w:val="IndexLink"/>
                <w:rtl w:val="true"/>
              </w:rPr>
              <w:t>خاتمة البحث في هذه القاعدة</w:t>
            </w:r>
            <w:r>
              <w:rPr>
                <w:rStyle w:val="IndexLink"/>
                <w:rtl w:val="true"/>
              </w:rPr>
              <w:tab/>
            </w:r>
            <w:r>
              <w:rPr>
                <w:rStyle w:val="IndexLink"/>
              </w:rPr>
              <w:t>248</w:t>
            </w:r>
          </w:hyperlink>
        </w:p>
        <w:p>
          <w:pPr>
            <w:pStyle w:val="Contents2"/>
            <w:tabs>
              <w:tab w:val="clear" w:pos="8743"/>
              <w:tab w:val="right" w:pos="9026" w:leader="dot"/>
            </w:tabs>
            <w:rPr/>
          </w:pPr>
          <w:hyperlink w:anchor="__RefHeading___Toc16231980_2142443653">
            <w:r>
              <w:rPr>
                <w:webHidden/>
                <w:rStyle w:val="IndexLink"/>
              </w:rPr>
              <w:t>50</w:t>
            </w:r>
            <w:r>
              <w:rPr>
                <w:rStyle w:val="IndexLink"/>
                <w:rtl w:val="true"/>
              </w:rPr>
              <w:t xml:space="preserve"> - </w:t>
            </w:r>
            <w:r>
              <w:rPr>
                <w:rStyle w:val="IndexLink"/>
                <w:rtl w:val="true"/>
              </w:rPr>
              <w:t>قاعدة حرمة إبطال الأعمال العبادية</w:t>
            </w:r>
            <w:r>
              <w:rPr>
                <w:rStyle w:val="IndexLink"/>
                <w:rtl w:val="true"/>
              </w:rPr>
              <w:tab/>
            </w:r>
            <w:r>
              <w:rPr>
                <w:rStyle w:val="IndexLink"/>
              </w:rPr>
              <w:t>254</w:t>
            </w:r>
          </w:hyperlink>
        </w:p>
        <w:p>
          <w:pPr>
            <w:pStyle w:val="Contents3"/>
            <w:tabs>
              <w:tab w:val="clear" w:pos="8459"/>
              <w:tab w:val="right" w:pos="9026" w:leader="dot"/>
            </w:tabs>
            <w:rPr/>
          </w:pPr>
          <w:hyperlink w:anchor="__RefHeading___Toc16231982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6231984_2142443653">
            <w:r>
              <w:rPr>
                <w:webHidden/>
                <w:rStyle w:val="IndexLink"/>
                <w:rtl w:val="true"/>
              </w:rPr>
              <w:t xml:space="preserve">الجهة الأولى </w:t>
            </w:r>
            <w:r>
              <w:rPr>
                <w:rStyle w:val="IndexLink"/>
                <w:rtl w:val="true"/>
              </w:rPr>
              <w:t xml:space="preserve">: </w:t>
            </w:r>
            <w:r>
              <w:rPr>
                <w:rStyle w:val="IndexLink"/>
                <w:rtl w:val="true"/>
              </w:rPr>
              <w:t>في بيان مفاد هذه القاعدة وأنّه ما المراد منها</w:t>
            </w:r>
            <w:r>
              <w:rPr>
                <w:rStyle w:val="IndexLink"/>
                <w:rtl w:val="true"/>
              </w:rPr>
              <w:tab/>
            </w:r>
            <w:r>
              <w:rPr>
                <w:rStyle w:val="IndexLink"/>
              </w:rPr>
              <w:t>256</w:t>
            </w:r>
          </w:hyperlink>
        </w:p>
        <w:p>
          <w:pPr>
            <w:pStyle w:val="Contents3"/>
            <w:tabs>
              <w:tab w:val="clear" w:pos="8459"/>
              <w:tab w:val="right" w:pos="9026" w:leader="dot"/>
            </w:tabs>
            <w:rPr/>
          </w:pPr>
          <w:hyperlink w:anchor="__RefHeading___Toc16231986_2142443653">
            <w:r>
              <w:rPr>
                <w:webHidden/>
                <w:rStyle w:val="IndexLink"/>
                <w:rtl w:val="true"/>
              </w:rPr>
              <w:t xml:space="preserve">الجهة الثانية </w:t>
            </w:r>
            <w:r>
              <w:rPr>
                <w:rStyle w:val="IndexLink"/>
                <w:rtl w:val="true"/>
              </w:rPr>
              <w:t xml:space="preserve">: </w:t>
            </w:r>
            <w:r>
              <w:rPr>
                <w:rStyle w:val="IndexLink"/>
                <w:rtl w:val="true"/>
              </w:rPr>
              <w:t>في أنّه ما الدليل على هذه القاعدة؟ أي حرمة إبطال الأعمال العباديّة</w:t>
            </w:r>
            <w:r>
              <w:rPr>
                <w:rStyle w:val="IndexLink"/>
                <w:rtl w:val="true"/>
              </w:rPr>
              <w:t>.</w:t>
              <w:tab/>
            </w:r>
            <w:r>
              <w:rPr>
                <w:rStyle w:val="IndexLink"/>
              </w:rPr>
              <w:t>257</w:t>
            </w:r>
          </w:hyperlink>
        </w:p>
        <w:p>
          <w:pPr>
            <w:pStyle w:val="Contents2"/>
            <w:tabs>
              <w:tab w:val="clear" w:pos="8743"/>
              <w:tab w:val="right" w:pos="9026" w:leader="dot"/>
            </w:tabs>
            <w:rPr/>
          </w:pPr>
          <w:hyperlink w:anchor="__RefHeading___Toc16231988_2142443653">
            <w:r>
              <w:rPr>
                <w:webHidden/>
                <w:rStyle w:val="IndexLink"/>
              </w:rPr>
              <w:t>51</w:t>
            </w:r>
            <w:r>
              <w:rPr>
                <w:rStyle w:val="IndexLink"/>
                <w:rtl w:val="true"/>
              </w:rPr>
              <w:t xml:space="preserve"> - </w:t>
            </w:r>
            <w:r>
              <w:rPr>
                <w:rStyle w:val="IndexLink"/>
                <w:rtl w:val="true"/>
              </w:rPr>
              <w:t>قاعدة بطلان كلّ عقد بتعذّر الوفاء بمضمونه</w:t>
            </w:r>
            <w:r>
              <w:rPr>
                <w:rStyle w:val="IndexLink"/>
                <w:rtl w:val="true"/>
              </w:rPr>
              <w:tab/>
            </w:r>
            <w:r>
              <w:rPr>
                <w:rStyle w:val="IndexLink"/>
              </w:rPr>
              <w:t>268</w:t>
            </w:r>
          </w:hyperlink>
        </w:p>
        <w:p>
          <w:pPr>
            <w:pStyle w:val="Contents3"/>
            <w:tabs>
              <w:tab w:val="clear" w:pos="8459"/>
              <w:tab w:val="right" w:pos="9026" w:leader="dot"/>
            </w:tabs>
            <w:rPr/>
          </w:pPr>
          <w:hyperlink w:anchor="__RefHeading___Toc16231990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623199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منها وما هو مفادها</w:t>
            </w:r>
            <w:r>
              <w:rPr>
                <w:rStyle w:val="IndexLink"/>
                <w:rtl w:val="true"/>
              </w:rPr>
              <w:tab/>
            </w:r>
            <w:r>
              <w:rPr>
                <w:rStyle w:val="IndexLink"/>
              </w:rPr>
              <w:t>270</w:t>
            </w:r>
          </w:hyperlink>
        </w:p>
        <w:p>
          <w:pPr>
            <w:pStyle w:val="Contents3"/>
            <w:tabs>
              <w:tab w:val="clear" w:pos="8459"/>
              <w:tab w:val="right" w:pos="9026" w:leader="dot"/>
            </w:tabs>
            <w:rPr/>
          </w:pPr>
          <w:hyperlink w:anchor="__RefHeading___Toc16231994_2142443653">
            <w:r>
              <w:rPr>
                <w:webHidden/>
                <w:rStyle w:val="IndexLink"/>
                <w:rtl w:val="true"/>
              </w:rPr>
              <w:t xml:space="preserve">الجهة الثانية </w:t>
            </w:r>
            <w:r>
              <w:rPr>
                <w:rStyle w:val="IndexLink"/>
                <w:rtl w:val="true"/>
              </w:rPr>
              <w:t xml:space="preserve">: </w:t>
            </w:r>
            <w:r>
              <w:rPr>
                <w:rStyle w:val="IndexLink"/>
                <w:rtl w:val="true"/>
              </w:rPr>
              <w:t>في بيان مدرك هذه القاعدة</w:t>
            </w:r>
            <w:r>
              <w:rPr>
                <w:rStyle w:val="IndexLink"/>
                <w:rtl w:val="true"/>
              </w:rPr>
              <w:tab/>
            </w:r>
            <w:r>
              <w:rPr>
                <w:rStyle w:val="IndexLink"/>
              </w:rPr>
              <w:t>271</w:t>
            </w:r>
          </w:hyperlink>
        </w:p>
        <w:p>
          <w:pPr>
            <w:pStyle w:val="Contents3"/>
            <w:tabs>
              <w:tab w:val="clear" w:pos="8459"/>
              <w:tab w:val="right" w:pos="9026" w:leader="dot"/>
            </w:tabs>
            <w:rPr/>
          </w:pPr>
          <w:hyperlink w:anchor="__RefHeading___Toc16231996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 هذه القاعدة</w:t>
            </w:r>
            <w:r>
              <w:rPr>
                <w:rStyle w:val="IndexLink"/>
                <w:rtl w:val="true"/>
              </w:rPr>
              <w:tab/>
            </w:r>
            <w:r>
              <w:rPr>
                <w:rStyle w:val="IndexLink"/>
              </w:rPr>
              <w:t>276</w:t>
            </w:r>
          </w:hyperlink>
        </w:p>
        <w:p>
          <w:pPr>
            <w:pStyle w:val="Contents2"/>
            <w:tabs>
              <w:tab w:val="clear" w:pos="8743"/>
              <w:tab w:val="right" w:pos="9026" w:leader="dot"/>
            </w:tabs>
            <w:rPr/>
          </w:pPr>
          <w:hyperlink w:anchor="__RefHeading___Toc16231998_2142443653">
            <w:r>
              <w:rPr>
                <w:webHidden/>
                <w:rStyle w:val="IndexLink"/>
              </w:rPr>
              <w:t>52</w:t>
            </w:r>
            <w:r>
              <w:rPr>
                <w:rStyle w:val="IndexLink"/>
                <w:rtl w:val="true"/>
              </w:rPr>
              <w:t xml:space="preserve"> - </w:t>
            </w:r>
            <w:r>
              <w:rPr>
                <w:rStyle w:val="IndexLink"/>
                <w:rtl w:val="true"/>
              </w:rPr>
              <w:t>قاعدة كلّ ما يصحّ إعارته يصحّ إجارته</w:t>
            </w:r>
            <w:r>
              <w:rPr>
                <w:rStyle w:val="IndexLink"/>
                <w:rtl w:val="true"/>
              </w:rPr>
              <w:tab/>
            </w:r>
            <w:r>
              <w:rPr>
                <w:rStyle w:val="IndexLink"/>
              </w:rPr>
              <w:t>281</w:t>
            </w:r>
          </w:hyperlink>
        </w:p>
        <w:p>
          <w:pPr>
            <w:pStyle w:val="Contents3"/>
            <w:tabs>
              <w:tab w:val="clear" w:pos="8459"/>
              <w:tab w:val="right" w:pos="9026" w:leader="dot"/>
            </w:tabs>
            <w:rPr/>
          </w:pPr>
          <w:hyperlink w:anchor="__RefHeading___Toc16232000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623200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منها</w:t>
            </w:r>
            <w:r>
              <w:rPr>
                <w:rStyle w:val="IndexLink"/>
                <w:rtl w:val="true"/>
              </w:rPr>
              <w:tab/>
            </w:r>
            <w:r>
              <w:rPr>
                <w:rStyle w:val="IndexLink"/>
              </w:rPr>
              <w:t>283</w:t>
            </w:r>
          </w:hyperlink>
        </w:p>
        <w:p>
          <w:pPr>
            <w:pStyle w:val="Contents3"/>
            <w:tabs>
              <w:tab w:val="clear" w:pos="8459"/>
              <w:tab w:val="right" w:pos="9026" w:leader="dot"/>
            </w:tabs>
            <w:rPr/>
          </w:pPr>
          <w:hyperlink w:anchor="__RefHeading___Toc16232004_2142443653">
            <w:r>
              <w:rPr>
                <w:webHidden/>
                <w:rStyle w:val="IndexLink"/>
                <w:rtl w:val="true"/>
              </w:rPr>
              <w:t xml:space="preserve">الجهة الثانية </w:t>
            </w:r>
            <w:r>
              <w:rPr>
                <w:rStyle w:val="IndexLink"/>
                <w:rtl w:val="true"/>
              </w:rPr>
              <w:t xml:space="preserve">: </w:t>
            </w:r>
            <w:r>
              <w:rPr>
                <w:rStyle w:val="IndexLink"/>
                <w:rtl w:val="true"/>
              </w:rPr>
              <w:t>في بيان الدليل على هذه القاعدة</w:t>
            </w:r>
            <w:r>
              <w:rPr>
                <w:rStyle w:val="IndexLink"/>
                <w:rtl w:val="true"/>
              </w:rPr>
              <w:tab/>
            </w:r>
            <w:r>
              <w:rPr>
                <w:rStyle w:val="IndexLink"/>
              </w:rPr>
              <w:t>291</w:t>
            </w:r>
          </w:hyperlink>
        </w:p>
        <w:p>
          <w:pPr>
            <w:pStyle w:val="Contents3"/>
            <w:tabs>
              <w:tab w:val="clear" w:pos="8459"/>
              <w:tab w:val="right" w:pos="9026" w:leader="dot"/>
            </w:tabs>
            <w:rPr/>
          </w:pPr>
          <w:hyperlink w:anchor="__RefHeading___Toc16232006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293</w:t>
            </w:r>
          </w:hyperlink>
        </w:p>
        <w:p>
          <w:pPr>
            <w:pStyle w:val="Contents2"/>
            <w:tabs>
              <w:tab w:val="clear" w:pos="8743"/>
              <w:tab w:val="right" w:pos="9026" w:leader="dot"/>
            </w:tabs>
            <w:rPr/>
          </w:pPr>
          <w:hyperlink w:anchor="__RefHeading___Toc16232008_2142443653">
            <w:r>
              <w:rPr>
                <w:webHidden/>
                <w:rStyle w:val="IndexLink"/>
              </w:rPr>
              <w:t>53</w:t>
            </w:r>
            <w:r>
              <w:rPr>
                <w:rStyle w:val="IndexLink"/>
                <w:rtl w:val="true"/>
              </w:rPr>
              <w:t xml:space="preserve"> - </w:t>
            </w:r>
            <w:r>
              <w:rPr>
                <w:rStyle w:val="IndexLink"/>
                <w:rtl w:val="true"/>
              </w:rPr>
              <w:t>قاعدة حرمة إهانة المحترمات في الدين</w:t>
            </w:r>
            <w:r>
              <w:rPr>
                <w:rStyle w:val="IndexLink"/>
                <w:rtl w:val="true"/>
              </w:rPr>
              <w:tab/>
            </w:r>
            <w:r>
              <w:rPr>
                <w:rStyle w:val="IndexLink"/>
              </w:rPr>
              <w:t>296</w:t>
            </w:r>
          </w:hyperlink>
        </w:p>
        <w:p>
          <w:pPr>
            <w:pStyle w:val="Contents3"/>
            <w:tabs>
              <w:tab w:val="clear" w:pos="8459"/>
              <w:tab w:val="right" w:pos="9026" w:leader="dot"/>
            </w:tabs>
            <w:rPr/>
          </w:pPr>
          <w:hyperlink w:anchor="__RefHeading___Toc16232010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623201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 هذه القاعدة</w:t>
            </w:r>
            <w:r>
              <w:rPr>
                <w:rStyle w:val="IndexLink"/>
                <w:rtl w:val="true"/>
              </w:rPr>
              <w:tab/>
            </w:r>
            <w:r>
              <w:rPr>
                <w:rStyle w:val="IndexLink"/>
              </w:rPr>
              <w:t>298</w:t>
            </w:r>
          </w:hyperlink>
        </w:p>
        <w:p>
          <w:pPr>
            <w:pStyle w:val="Contents3"/>
            <w:tabs>
              <w:tab w:val="clear" w:pos="8459"/>
              <w:tab w:val="right" w:pos="9026" w:leader="dot"/>
            </w:tabs>
            <w:rPr/>
          </w:pPr>
          <w:hyperlink w:anchor="__RefHeading___Toc1623201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الدليل على هذه القاعدة</w:t>
            </w:r>
            <w:r>
              <w:rPr>
                <w:rStyle w:val="IndexLink"/>
                <w:rtl w:val="true"/>
              </w:rPr>
              <w:tab/>
            </w:r>
            <w:r>
              <w:rPr>
                <w:rStyle w:val="IndexLink"/>
              </w:rPr>
              <w:t>299</w:t>
            </w:r>
          </w:hyperlink>
        </w:p>
        <w:p>
          <w:pPr>
            <w:pStyle w:val="Contents3"/>
            <w:tabs>
              <w:tab w:val="clear" w:pos="8459"/>
              <w:tab w:val="right" w:pos="9026" w:leader="dot"/>
            </w:tabs>
            <w:rPr/>
          </w:pPr>
          <w:hyperlink w:anchor="__RefHeading___Toc16232016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306</w:t>
            </w:r>
          </w:hyperlink>
        </w:p>
        <w:p>
          <w:pPr>
            <w:pStyle w:val="Contents2"/>
            <w:tabs>
              <w:tab w:val="clear" w:pos="8743"/>
              <w:tab w:val="right" w:pos="9026" w:leader="dot"/>
            </w:tabs>
            <w:rPr/>
          </w:pPr>
          <w:hyperlink w:anchor="__RefHeading___Toc16232018_2142443653">
            <w:r>
              <w:rPr>
                <w:webHidden/>
                <w:rStyle w:val="IndexLink"/>
              </w:rPr>
              <w:t>54</w:t>
            </w:r>
            <w:r>
              <w:rPr>
                <w:rStyle w:val="IndexLink"/>
                <w:rtl w:val="true"/>
              </w:rPr>
              <w:t xml:space="preserve"> - </w:t>
            </w:r>
            <w:r>
              <w:rPr>
                <w:rStyle w:val="IndexLink"/>
                <w:rtl w:val="true"/>
              </w:rPr>
              <w:t>قاعدة كلّ مسكر مائع بالأصالة فهو نجس</w:t>
            </w:r>
            <w:r>
              <w:rPr>
                <w:rStyle w:val="IndexLink"/>
                <w:rtl w:val="true"/>
              </w:rPr>
              <w:tab/>
            </w:r>
            <w:r>
              <w:rPr>
                <w:rStyle w:val="IndexLink"/>
              </w:rPr>
              <w:t>310</w:t>
            </w:r>
          </w:hyperlink>
        </w:p>
        <w:p>
          <w:pPr>
            <w:pStyle w:val="Contents3"/>
            <w:tabs>
              <w:tab w:val="clear" w:pos="8459"/>
              <w:tab w:val="right" w:pos="9026" w:leader="dot"/>
            </w:tabs>
            <w:rPr/>
          </w:pPr>
          <w:hyperlink w:anchor="__RefHeading___Toc16232020_2142443653">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6232022_2142443653">
            <w:r>
              <w:rPr>
                <w:webHidden/>
                <w:rStyle w:val="IndexLink"/>
                <w:rtl w:val="true"/>
              </w:rPr>
              <w:t xml:space="preserve">الجهة الأولى </w:t>
            </w:r>
            <w:r>
              <w:rPr>
                <w:rStyle w:val="IndexLink"/>
                <w:rtl w:val="true"/>
              </w:rPr>
              <w:t xml:space="preserve">: </w:t>
            </w:r>
            <w:r>
              <w:rPr>
                <w:rStyle w:val="IndexLink"/>
                <w:rtl w:val="true"/>
              </w:rPr>
              <w:t>في بيان المراد منها</w:t>
            </w:r>
            <w:r>
              <w:rPr>
                <w:rStyle w:val="IndexLink"/>
                <w:rtl w:val="true"/>
              </w:rPr>
              <w:tab/>
            </w:r>
            <w:r>
              <w:rPr>
                <w:rStyle w:val="IndexLink"/>
              </w:rPr>
              <w:t>312</w:t>
            </w:r>
          </w:hyperlink>
        </w:p>
        <w:p>
          <w:pPr>
            <w:pStyle w:val="Contents3"/>
            <w:tabs>
              <w:tab w:val="clear" w:pos="8459"/>
              <w:tab w:val="right" w:pos="9026" w:leader="dot"/>
            </w:tabs>
            <w:rPr/>
          </w:pPr>
          <w:hyperlink w:anchor="__RefHeading___Toc16232024_2142443653">
            <w:r>
              <w:rPr>
                <w:webHidden/>
                <w:rStyle w:val="IndexLink"/>
                <w:rtl w:val="true"/>
              </w:rPr>
              <w:t xml:space="preserve">الجهة الثانية </w:t>
            </w:r>
            <w:r>
              <w:rPr>
                <w:rStyle w:val="IndexLink"/>
                <w:rtl w:val="true"/>
              </w:rPr>
              <w:t xml:space="preserve">: </w:t>
            </w:r>
            <w:r>
              <w:rPr>
                <w:rStyle w:val="IndexLink"/>
                <w:rtl w:val="true"/>
              </w:rPr>
              <w:t>في بيان الدليل على هذه القاعدة</w:t>
            </w:r>
            <w:r>
              <w:rPr>
                <w:rStyle w:val="IndexLink"/>
                <w:rtl w:val="true"/>
              </w:rPr>
              <w:tab/>
            </w:r>
            <w:r>
              <w:rPr>
                <w:rStyle w:val="IndexLink"/>
              </w:rPr>
              <w:t>314</w:t>
            </w:r>
          </w:hyperlink>
        </w:p>
        <w:p>
          <w:pPr>
            <w:pStyle w:val="Contents4"/>
            <w:tabs>
              <w:tab w:val="clear" w:pos="8176"/>
              <w:tab w:val="right" w:pos="9026" w:leader="dot"/>
            </w:tabs>
            <w:rPr/>
          </w:pPr>
          <w:hyperlink w:anchor="__RefHeading___Toc16232026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232028_2142443653">
            <w:r>
              <w:rPr>
                <w:webHidden/>
                <w:rStyle w:val="IndexLink"/>
                <w:rtl w:val="true"/>
              </w:rPr>
              <w:t xml:space="preserve">ولكن هناك روايات أخر أيضا كثيرة تدلّ على طهارتها </w:t>
            </w:r>
            <w:r>
              <w:rPr>
                <w:rStyle w:val="IndexLink"/>
                <w:rtl w:val="true"/>
              </w:rPr>
              <w:t>:</w:t>
              <w:tab/>
            </w:r>
            <w:r>
              <w:rPr>
                <w:rStyle w:val="IndexLink"/>
              </w:rPr>
              <w:t>323</w:t>
            </w:r>
          </w:hyperlink>
        </w:p>
        <w:p>
          <w:pPr>
            <w:pStyle w:val="Contents4"/>
            <w:tabs>
              <w:tab w:val="clear" w:pos="8176"/>
              <w:tab w:val="right" w:pos="9026" w:leader="dot"/>
            </w:tabs>
            <w:rPr/>
          </w:pPr>
          <w:hyperlink w:anchor="__RefHeading___Toc16232030_2142443653">
            <w:r>
              <w:rPr>
                <w:webHidden/>
                <w:rStyle w:val="IndexLink"/>
                <w:rtl w:val="true"/>
              </w:rPr>
              <w:t>تتميم</w:t>
            </w:r>
            <w:r>
              <w:rPr>
                <w:rStyle w:val="IndexLink"/>
                <w:rtl w:val="true"/>
              </w:rPr>
              <w:tab/>
            </w:r>
            <w:r>
              <w:rPr>
                <w:rStyle w:val="IndexLink"/>
              </w:rPr>
              <w:t>328</w:t>
            </w:r>
          </w:hyperlink>
        </w:p>
        <w:p>
          <w:pPr>
            <w:pStyle w:val="Contents2"/>
            <w:tabs>
              <w:tab w:val="clear" w:pos="8743"/>
              <w:tab w:val="right" w:pos="9026" w:leader="dot"/>
            </w:tabs>
            <w:rPr/>
          </w:pPr>
          <w:hyperlink w:anchor="__RefHeading___Toc16232032_2142443653">
            <w:r>
              <w:rPr>
                <w:webHidden/>
                <w:rStyle w:val="IndexLink"/>
              </w:rPr>
              <w:t>55</w:t>
            </w:r>
            <w:r>
              <w:rPr>
                <w:rStyle w:val="IndexLink"/>
                <w:rtl w:val="true"/>
              </w:rPr>
              <w:t xml:space="preserve"> - </w:t>
            </w:r>
            <w:r>
              <w:rPr>
                <w:rStyle w:val="IndexLink"/>
                <w:rtl w:val="true"/>
              </w:rPr>
              <w:t>قاعدة كلّ كافر نجس كتابيّا كان أو غيره</w:t>
            </w:r>
            <w:r>
              <w:rPr>
                <w:rStyle w:val="IndexLink"/>
                <w:rtl w:val="true"/>
              </w:rPr>
              <w:tab/>
            </w:r>
            <w:r>
              <w:rPr>
                <w:rStyle w:val="IndexLink"/>
              </w:rPr>
              <w:t>332</w:t>
            </w:r>
          </w:hyperlink>
        </w:p>
        <w:p>
          <w:pPr>
            <w:pStyle w:val="Contents3"/>
            <w:tabs>
              <w:tab w:val="clear" w:pos="8459"/>
              <w:tab w:val="right" w:pos="9026" w:leader="dot"/>
            </w:tabs>
            <w:rPr/>
          </w:pPr>
          <w:hyperlink w:anchor="__RefHeading___Toc16232034_2142443653">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6232036_2142443653">
            <w:r>
              <w:rPr>
                <w:webHidden/>
                <w:rStyle w:val="IndexLink"/>
                <w:rtl w:val="true"/>
              </w:rPr>
              <w:t xml:space="preserve">الجهة الأولى </w:t>
            </w:r>
            <w:r>
              <w:rPr>
                <w:rStyle w:val="IndexLink"/>
                <w:rtl w:val="true"/>
              </w:rPr>
              <w:t xml:space="preserve">: </w:t>
            </w:r>
            <w:r>
              <w:rPr>
                <w:rStyle w:val="IndexLink"/>
                <w:rtl w:val="true"/>
              </w:rPr>
              <w:t>في بيان المراد منها</w:t>
            </w:r>
            <w:r>
              <w:rPr>
                <w:rStyle w:val="IndexLink"/>
                <w:rtl w:val="true"/>
              </w:rPr>
              <w:tab/>
            </w:r>
            <w:r>
              <w:rPr>
                <w:rStyle w:val="IndexLink"/>
              </w:rPr>
              <w:t>334</w:t>
            </w:r>
          </w:hyperlink>
        </w:p>
        <w:p>
          <w:pPr>
            <w:pStyle w:val="Contents3"/>
            <w:tabs>
              <w:tab w:val="clear" w:pos="8459"/>
              <w:tab w:val="right" w:pos="9026" w:leader="dot"/>
            </w:tabs>
            <w:rPr/>
          </w:pPr>
          <w:hyperlink w:anchor="__RefHeading___Toc16232038_2142443653">
            <w:r>
              <w:rPr>
                <w:webHidden/>
                <w:rStyle w:val="IndexLink"/>
                <w:rtl w:val="true"/>
              </w:rPr>
              <w:t xml:space="preserve">الجهة الثانية </w:t>
            </w:r>
            <w:r>
              <w:rPr>
                <w:rStyle w:val="IndexLink"/>
                <w:rtl w:val="true"/>
              </w:rPr>
              <w:t xml:space="preserve">: </w:t>
            </w:r>
            <w:r>
              <w:rPr>
                <w:rStyle w:val="IndexLink"/>
                <w:rtl w:val="true"/>
              </w:rPr>
              <w:t>في بيان أقوال الفقهاء في هذه المسألة والقاعدة</w:t>
            </w:r>
            <w:r>
              <w:rPr>
                <w:rStyle w:val="IndexLink"/>
                <w:rtl w:val="true"/>
              </w:rPr>
              <w:tab/>
            </w:r>
            <w:r>
              <w:rPr>
                <w:rStyle w:val="IndexLink"/>
              </w:rPr>
              <w:t>336</w:t>
            </w:r>
          </w:hyperlink>
        </w:p>
        <w:p>
          <w:pPr>
            <w:pStyle w:val="Contents3"/>
            <w:tabs>
              <w:tab w:val="clear" w:pos="8459"/>
              <w:tab w:val="right" w:pos="9026" w:leader="dot"/>
            </w:tabs>
            <w:rPr/>
          </w:pPr>
          <w:hyperlink w:anchor="__RefHeading___Toc16232040_2142443653">
            <w:r>
              <w:rPr>
                <w:webHidden/>
                <w:rStyle w:val="IndexLink"/>
                <w:rtl w:val="true"/>
              </w:rPr>
              <w:t xml:space="preserve">الجهة الثالثة </w:t>
            </w:r>
            <w:r>
              <w:rPr>
                <w:rStyle w:val="IndexLink"/>
                <w:rtl w:val="true"/>
              </w:rPr>
              <w:t xml:space="preserve">: </w:t>
            </w:r>
            <w:r>
              <w:rPr>
                <w:rStyle w:val="IndexLink"/>
                <w:rtl w:val="true"/>
              </w:rPr>
              <w:t>في بيان الأدلّة الدالّة على هذه القاعدة ، وشرحها وكيفيّة دلالتها</w:t>
            </w:r>
            <w:r>
              <w:rPr>
                <w:rStyle w:val="IndexLink"/>
                <w:rtl w:val="true"/>
              </w:rPr>
              <w:tab/>
            </w:r>
            <w:r>
              <w:rPr>
                <w:rStyle w:val="IndexLink"/>
              </w:rPr>
              <w:t>337</w:t>
            </w:r>
          </w:hyperlink>
        </w:p>
        <w:p>
          <w:pPr>
            <w:pStyle w:val="Contents4"/>
            <w:tabs>
              <w:tab w:val="clear" w:pos="8176"/>
              <w:tab w:val="right" w:pos="9026" w:leader="dot"/>
            </w:tabs>
            <w:rPr/>
          </w:pPr>
          <w:hyperlink w:anchor="__RefHeading___Toc16232042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6232044_2142443653">
            <w:r>
              <w:rPr>
                <w:webHidden/>
                <w:rStyle w:val="IndexLink"/>
                <w:rtl w:val="true"/>
              </w:rPr>
              <w:t xml:space="preserve">وأشكل على الاستدلال بهذه الآية بوجوه </w:t>
            </w:r>
            <w:r>
              <w:rPr>
                <w:rStyle w:val="IndexLink"/>
                <w:rtl w:val="true"/>
              </w:rPr>
              <w:t>:</w:t>
              <w:tab/>
            </w:r>
            <w:r>
              <w:rPr>
                <w:rStyle w:val="IndexLink"/>
              </w:rPr>
              <w:t>338</w:t>
            </w:r>
          </w:hyperlink>
        </w:p>
        <w:p>
          <w:pPr>
            <w:pStyle w:val="Contents4"/>
            <w:tabs>
              <w:tab w:val="clear" w:pos="8176"/>
              <w:tab w:val="right" w:pos="9026" w:leader="dot"/>
            </w:tabs>
            <w:rPr/>
          </w:pPr>
          <w:hyperlink w:anchor="__RefHeading___Toc16232046_2142443653">
            <w:r>
              <w:rPr>
                <w:webHidden/>
                <w:rStyle w:val="IndexLink"/>
                <w:rtl w:val="true"/>
              </w:rPr>
              <w:t xml:space="preserve">وفي هذا الاستدلال جهات من الإشكال </w:t>
            </w:r>
            <w:r>
              <w:rPr>
                <w:rStyle w:val="IndexLink"/>
                <w:rtl w:val="true"/>
              </w:rPr>
              <w:t>:</w:t>
              <w:tab/>
            </w:r>
            <w:r>
              <w:rPr>
                <w:rStyle w:val="IndexLink"/>
              </w:rPr>
              <w:t>361</w:t>
            </w:r>
          </w:hyperlink>
        </w:p>
        <w:p>
          <w:pPr>
            <w:pStyle w:val="Contents4"/>
            <w:tabs>
              <w:tab w:val="clear" w:pos="8176"/>
              <w:tab w:val="right" w:pos="9026" w:leader="dot"/>
            </w:tabs>
            <w:rPr/>
          </w:pPr>
          <w:hyperlink w:anchor="__RefHeading___Toc16232048_2142443653">
            <w:r>
              <w:rPr>
                <w:webHidden/>
                <w:rStyle w:val="IndexLink"/>
                <w:rtl w:val="true"/>
              </w:rPr>
              <w:t xml:space="preserve">وأمّا أولاد الكفّار الذين بلغوا وهم مجانين </w:t>
            </w:r>
            <w:r>
              <w:rPr>
                <w:rStyle w:val="IndexLink"/>
                <w:rtl w:val="true"/>
              </w:rPr>
              <w:t>:</w:t>
              <w:tab/>
            </w:r>
            <w:r>
              <w:rPr>
                <w:rStyle w:val="IndexLink"/>
              </w:rPr>
              <w:t>369</w:t>
            </w:r>
          </w:hyperlink>
        </w:p>
        <w:p>
          <w:pPr>
            <w:pStyle w:val="Contents4"/>
            <w:tabs>
              <w:tab w:val="clear" w:pos="8176"/>
              <w:tab w:val="right" w:pos="9026" w:leader="dot"/>
            </w:tabs>
            <w:rPr/>
          </w:pPr>
          <w:hyperlink w:anchor="__RefHeading___Toc16232050_2142443653">
            <w:r>
              <w:rPr>
                <w:webHidden/>
                <w:rStyle w:val="IndexLink"/>
                <w:rtl w:val="true"/>
              </w:rPr>
              <w:t>فنختم هذه المسألة ببيان أمور لتوضيح هذا المطلب</w:t>
            </w:r>
            <w:r>
              <w:rPr>
                <w:rStyle w:val="IndexLink"/>
                <w:rtl w:val="true"/>
              </w:rPr>
              <w:tab/>
            </w:r>
            <w:r>
              <w:rPr>
                <w:rStyle w:val="IndexLink"/>
              </w:rPr>
              <w:t>372</w:t>
            </w:r>
          </w:hyperlink>
        </w:p>
        <w:p>
          <w:pPr>
            <w:pStyle w:val="Contents2"/>
            <w:tabs>
              <w:tab w:val="clear" w:pos="8743"/>
              <w:tab w:val="right" w:pos="9026" w:leader="dot"/>
            </w:tabs>
            <w:rPr/>
          </w:pPr>
          <w:hyperlink w:anchor="__RefHeading___Toc16232052_2142443653">
            <w:r>
              <w:rPr>
                <w:webHidden/>
                <w:rStyle w:val="IndexLink"/>
                <w:rtl w:val="true"/>
              </w:rPr>
              <w:t>فهرس الموضوعات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7_150936"/>
      <w:bookmarkStart w:id="1" w:name="pg15947_150936"/>
      <w:bookmarkEnd w:id="1"/>
    </w:p>
    <w:p>
      <w:pPr>
        <w:pStyle w:val="Heading2"/>
        <w:numPr>
          <w:ilvl w:val="1"/>
          <w:numId w:val="1"/>
        </w:numPr>
        <w:rPr/>
      </w:pPr>
      <w:bookmarkStart w:id="2" w:name="pg15947_150936"/>
      <w:bookmarkStart w:id="3" w:name="__RefHeading___Toc1623185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185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47_150940"/>
    </w:p>
    <w:p>
      <w:pPr>
        <w:pStyle w:val="Heading2"/>
        <w:numPr>
          <w:ilvl w:val="1"/>
          <w:numId w:val="1"/>
        </w:numPr>
        <w:rPr/>
      </w:pPr>
      <w:bookmarkStart w:id="8" w:name="__RefHeading___Toc16231860_2142443653"/>
      <w:bookmarkStart w:id="9" w:name="_Toc3"/>
      <w:bookmarkEnd w:id="7"/>
      <w:bookmarkEnd w:id="8"/>
      <w:r>
        <w:rPr>
          <w:rtl w:val="true"/>
        </w:rPr>
        <w:t>فهرس الإجمالي</w:t>
      </w:r>
      <w:bookmarkEnd w:id="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لاربا إلّا فيما يكال أو يُوزون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أصاله اللزوم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إبطال الأعمال العبادية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كلّ عقد يتعذّدالوفاء بمضمونه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يصح إعارته يصح إجارته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إهانة المحترمات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مائع بالأصالة فهو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كافر نجس كتاباً كان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47_150942"/>
      <w:bookmarkStart w:id="11" w:name="pg15947_150942"/>
      <w:bookmarkEnd w:id="11"/>
    </w:p>
    <w:p>
      <w:pPr>
        <w:pStyle w:val="Heading2"/>
        <w:numPr>
          <w:ilvl w:val="1"/>
          <w:numId w:val="1"/>
        </w:numPr>
        <w:rPr/>
      </w:pPr>
      <w:bookmarkStart w:id="12" w:name="pg15947_150942"/>
      <w:bookmarkStart w:id="13" w:name="__RefHeading___Toc16231862_2142443653"/>
      <w:bookmarkStart w:id="14" w:name="_Toc4"/>
      <w:bookmarkEnd w:id="12"/>
      <w:bookmarkEnd w:id="13"/>
      <w:r>
        <w:rPr/>
        <w:t>46</w:t>
      </w:r>
      <w:r>
        <w:rPr>
          <w:rtl w:val="true"/>
        </w:rPr>
        <w:t xml:space="preserve"> - </w:t>
      </w:r>
      <w:r>
        <w:rPr>
          <w:rtl w:val="true"/>
        </w:rPr>
        <w:t>قاعدة الصلح جائز بين المسلمين</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231864_2142443653"/>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947_150944"/>
      <w:bookmarkStart w:id="18" w:name="pg15947_150944"/>
      <w:bookmarkEnd w:id="18"/>
    </w:p>
    <w:p>
      <w:pPr>
        <w:pStyle w:val="BookText"/>
        <w:rPr/>
      </w:pPr>
      <w:bookmarkStart w:id="19" w:name="pg15947_150944"/>
      <w:bookmarkEnd w:id="19"/>
      <w:r>
        <w:rPr>
          <w:rFonts w:ascii="Amiri" w:hAnsi="Amiri" w:eastAsia="Amiri" w:cs="Amiri"/>
          <w:color w:val="111111"/>
          <w:sz w:val="28"/>
          <w:sz w:val="28"/>
          <w:szCs w:val="28"/>
          <w:rtl w:val="true"/>
          <w:lang w:bidi="ar-SA"/>
        </w:rPr>
        <w:t xml:space="preserve">قاعدة الصلح جائز بين المسلمين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القواعد المشهورة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أو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231866_2142443653"/>
      <w:bookmarkStart w:id="21" w:name="_Toc6"/>
      <w:bookmarkEnd w:id="20"/>
      <w:r>
        <w:rPr>
          <w:rtl w:val="true"/>
        </w:rPr>
        <w:t xml:space="preserve">[ </w:t>
      </w:r>
      <w:r>
        <w:rPr>
          <w:rtl w:val="true"/>
        </w:rPr>
        <w:t xml:space="preserve">الجهة الأولى </w:t>
      </w:r>
      <w:r>
        <w:rPr>
          <w:rtl w:val="true"/>
        </w:rPr>
        <w:t xml:space="preserve">] : </w:t>
      </w:r>
      <w:r>
        <w:rPr>
          <w:rtl w:val="true"/>
        </w:rPr>
        <w:t>في مدركها، وهو أمور</w:t>
      </w:r>
      <w:bookmarkEnd w:id="2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وَأَصْلِحُوا ذاتَ بَيْنِكُمْ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فاءَتْ فَأَصْلِحُوا بَيْنَهُما بِالْعَدْلِ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إِصْلاحٍ بَيْنَ النّاسِ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وهذه الآيات صريحة في إمضاء الشارع الأقدس الصلح المتعارف بين أهل العرف والعقلاء ، وتدلّ على حسنه ومطلوبيّته عنده ، سواء كان إيقاعه بعقد الصلح ، أو كان بعمل ، أو قول ليس بعقد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الصلح عبارة عن التراضي والتّسالم والموافقة على أمر ، سواء كان ذلك الأمر مالا من الأموال ، عروضا كان ذلك المال أو كان من النقود على أقسامها ، أو كان ذلك الأمر الذي اتّفقا فيه وتسالما وتراضيا عليه من الأعمال ، أو كان غير ذلك ، وسواء أنشأ ذلك التسالم بصيغة عقد الصلح أو بغير ذلك ، وسواء كان مسبوقا بالخصومة أو ملحوقا بها أو كان متوقّعا حصولها ؛ ففي جميع هذه الموارد المذكورة يصدق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إطلاقا حقيقيّا ، لا عنائيّا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إن شاء اللّه عدم دخالة هذه الأمور في تحقّق الصلح وإطلاقه من ناحية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تعرف دلالة جميع الآيات المذكور على صحّة الصلح ، وإمضاء الشارع الأقدس لما عليه بناء العقلاء في باب الصلح من اختصاصه بصنف دون صنف وقسم دون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مداركها الروايات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الذي رواه العامّة والخاصّة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جائز بين المسلمين إلاّ صلحا أحلّ حراما أو حرّم حلالا </w:t>
      </w:r>
      <w:r>
        <w:rPr>
          <w:rFonts w:eastAsia="Amiri" w:cs="Amiri" w:ascii="Amiri" w:hAnsi="Amiri"/>
          <w:color w:val="111111"/>
          <w:sz w:val="28"/>
          <w:szCs w:val="28"/>
          <w:rtl w:val="true"/>
          <w:lang w:bidi="ar-SA"/>
        </w:rPr>
        <w:t xml:space="preserve">». </w:t>
      </w:r>
      <w:r>
        <w:rPr>
          <w:rStyle w:val="FootnoteAnchor"/>
          <w:rtl w:val="true"/>
        </w:rPr>
        <w:footnoteReference w:id="9"/>
      </w:r>
      <w:bookmarkStart w:id="22" w:name="pg15947_150946"/>
    </w:p>
    <w:p>
      <w:pPr>
        <w:pStyle w:val="BookText"/>
        <w:rPr/>
      </w:pPr>
      <w:bookmarkEnd w:id="2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حفص ابن البختري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الصلح جائز بين الناس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إلى غير ذلك من الروايات الواردة في باب الصلح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وعقد في الوسائل بابا لفضله ، بل وفي استحبابه ، بل مفاد بعضها أنّه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ذلك في الوسائل عن أمير المؤمنين علیه السلام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ذات البين أفضل من عامة الصلاة والصيام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هذه القاعدة ، هو الإجماع المحصّل من جميع طوائف المسلمين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بين أهل العلم في ذلك ، ولم ينكر أحد من الفقهاء شرعيّته بل حسنه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استقلال العقل بحسنه ؛ لأنّ الإصلاح والموافقة والتراضي والتسالم على أمر من تمليك عين أو منفعة أو إسقاط حقّ أو ثبوته أو غير ذلك بين شخصين أو أزيد قد يكون بالعقد أو بغير العقد ، مقابل الإفساد والاختلاف والسخط والتخاصم ، فكما أنّ العقل حاكم بقبح الأمور الأخيرة ، فكذلك حاكم بحسن المذكورات أوّلا التي تكون الصلح عين تلك الأمور ، فبقاعدة الملازمة يثبت مشروعيّته ومطلوبيّته وإن كانت استحبابيّة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6231868_2142443653"/>
      <w:bookmarkStart w:id="24" w:name="_Toc7"/>
      <w:bookmarkEnd w:id="23"/>
      <w:r>
        <w:rPr>
          <w:rtl w:val="true"/>
        </w:rPr>
        <w:t xml:space="preserve">الجهة الثانية </w:t>
      </w:r>
      <w:r>
        <w:rPr>
          <w:rtl w:val="true"/>
        </w:rPr>
        <w:t xml:space="preserve">: </w:t>
      </w:r>
      <w:r>
        <w:rPr>
          <w:rtl w:val="true"/>
        </w:rPr>
        <w:t>في بيان مفادها وشرح حقيقتها</w:t>
      </w:r>
      <w:bookmarkEnd w:id="24"/>
    </w:p>
    <w:p>
      <w:pPr>
        <w:pStyle w:val="Heading4"/>
        <w:numPr>
          <w:ilvl w:val="3"/>
          <w:numId w:val="1"/>
        </w:numPr>
        <w:rPr/>
      </w:pPr>
      <w:bookmarkStart w:id="25" w:name="__RefHeading___Toc16231870_2142443653"/>
      <w:bookmarkStart w:id="26" w:name="_Toc8"/>
      <w:bookmarkEnd w:id="25"/>
      <w:r>
        <w:rPr>
          <w:rtl w:val="true"/>
        </w:rPr>
        <w:t>اشارة</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شرّع لقطع التجاذب والتنازع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أنت عرفت وذكرنا أنّه ليس من شرط تحقّق الصلح </w:t>
      </w:r>
      <w:bookmarkStart w:id="27" w:name="pg15947_150947"/>
    </w:p>
    <w:p>
      <w:pPr>
        <w:pStyle w:val="BookText"/>
        <w:rPr/>
      </w:pPr>
      <w:bookmarkEnd w:id="27"/>
      <w:r>
        <w:rPr>
          <w:rFonts w:ascii="Amiri" w:hAnsi="Amiri" w:eastAsia="Amiri" w:cs="Amiri"/>
          <w:color w:val="111111"/>
          <w:sz w:val="28"/>
          <w:sz w:val="28"/>
          <w:szCs w:val="28"/>
          <w:rtl w:val="true"/>
          <w:lang w:bidi="ar-SA"/>
        </w:rPr>
        <w:t>سبق خصومة وتنازع في البين ، بل ولا توقّع وجودهما فيما بعد ، وهكذا ليس منحصرا ومختصّا بما أنشأ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تعريف بالأخصّ للصلح لاختصاصه بما ينشأ بالعقد في مورد التخاصم والتنازع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رفع التنازع وقطع التجاذب غاية لتشريعه ، يكون من باب حكمة التشريع لا علّته كي يكون شرعيّته دائرا مدار وجود هذه العلّة ، فإذا لم يكن تنازع وتخاصم بين المتسالمين على أمر مالي أو غير مالي لا يصدق عليه الصّلح ؛ وذلك من جهة الفرق بين حكمة التشريع وعلّته ، ففي الأوّل لا يكون الحكم وما شرّع وجوده دائرا مدار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الحكم دائرا مدار وجودها ، فمثل استبراء الرحم حكمة لتشريع العدّة ، ولذلك لو كانت المرأة في سنّ من تحيض ولم يكن زوجها لا مسها منذ زمان طويل لمرض أو سفر أو غير ذلك يجب عليها الاعتداد ، مع أنّ الرحم لا يحتاج إلى الاستبراء ؛ وهكذا بالنسبة إلى تشريع وجوب القصر والإفطار في السفر ، حيث أنّ في تشريعهما حكمة هي المشقّة ، وفي كثير من الأسفار لا مشقّة ، خصوصا في هذه الأزمان والسفر مع الطيّارة ، ومع ذلك عند عدم وجود هذه الحكمة الحكم لا ينعدم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فيما نحن فيه أيضا كذلك ، أي لا ينافي عدم وجود نزاع في البين ومع ذلك يكون الصلح موجودا ؛ فيكون التنازع حكمة تشريع الصلح ، لا علّة تشريعه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6231872_2142443653"/>
      <w:bookmarkStart w:id="29" w:name="_Toc9"/>
      <w:bookmarkEnd w:id="28"/>
      <w:r>
        <w:rPr>
          <w:rtl w:val="true"/>
        </w:rPr>
        <w:t>ثمَّ إنّ ها هنا أمورا يجب أن نذكرها</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معاملة مستقلّة ، وليس من فروع البيع تارة ، والإجارة أخرى ، والعارية ثالثة وهكذا كما توهّم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على عين متموّل بعوض مالي يفيد فائدة البيع ؛ لأنّ البيع </w:t>
      </w:r>
    </w:p>
    <w:p>
      <w:pPr>
        <w:pStyle w:val="BookText"/>
        <w:rPr/>
      </w:pPr>
      <w:r>
        <w:rPr>
          <w:rFonts w:ascii="Amiri" w:hAnsi="Amiri" w:eastAsia="Amiri" w:cs="Amiri"/>
          <w:color w:val="111111"/>
          <w:sz w:val="28"/>
          <w:sz w:val="28"/>
          <w:szCs w:val="28"/>
          <w:rtl w:val="true"/>
          <w:lang w:bidi="ar-SA"/>
        </w:rPr>
        <w:t>تمليك عين متموّل بعوض مالي ، والصلح على العين المتموّل بعوض مالي يكون عين ذلك الذي ذكرنا ، غاية الأمر بصيغة الصلح فهو بيع ، والاختلاف في اللفظ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الصلح على منفعة معلومة بعوض معلوم يكون تمليك منعفة معلومة بعوض معلوم ، وهذا عين الإجارة غاية الأمر بلفظ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تمليك المنفعة بلا عوض يكون عارية بلفظ الصلح ؛ فليس الصلح عقدا برأسه ومعاملة مستقلّة ، بل في كلّ باب يكون من فروع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توهّموا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يوجد مورد للصلح حسب النصوص الواردة في باب الصلح لا ينطبق لا على البيع ، ولا على الإجارة ، ولا على العارية ، ولا على الهبة 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رجلان لكلّ واحد منهما طعام عند صاحبه ، ولا يدري كلّ واحد منهما كم له عند صاحبه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تراضيا وطابت أنفسهما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ببيع ؛ لأنّ العوضين مجهولان من حيث المقدار ، ولا هبة ؛ لأنّه ليس إعطاء مجان بل لكلّ واحد منهما عوض ، ولا عارية وليس بإجارة ؛ لأنّه تمليك عين لا منفعة ، ولا ينطبق على أيّ واحد من عناوين المعاملات ؛ فلا بدّ وأن يكون عقدا مستقلاّ ، إذ لا يمكن أن يكون من فروع أيّ عقد آخر ومعاملة أخرى ؛ هذا أوّلا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في عقد الصلح عنوان التسالم والموافقة ، وفي سائر العقود عناوين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الاشتراك في الأثر لا يخرج الشي‌ء عمّا وقع عليه ، وحيث أنّ المنشأ فيه مختلف مع المنشأ في سائر العقود والمعاملات ، فلا يصحّ إطلاق البيع أو الإجارة أو العارية أو الهبة عليه ؛ فالقول بأنّه في كلّ باب يعدّ من فروع ذلك الباب لا أساس له ، </w:t>
      </w:r>
    </w:p>
    <w:p>
      <w:pPr>
        <w:pStyle w:val="BookText"/>
        <w:rPr/>
      </w:pPr>
      <w:r>
        <w:rPr>
          <w:rFonts w:ascii="Amiri" w:hAnsi="Amiri" w:eastAsia="Amiri" w:cs="Amiri"/>
          <w:color w:val="111111"/>
          <w:sz w:val="28"/>
          <w:sz w:val="28"/>
          <w:szCs w:val="28"/>
          <w:rtl w:val="true"/>
          <w:lang w:bidi="ar-SA"/>
        </w:rPr>
        <w:t>وإن نسب في الجواهر هذا القول إلى الشيخ رحمة اللّه عليه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هذا البحث تظهر في الآثار المترتّبة على هذه العناوين ، مثلا إذا قلنا بأنّ صلح الأعيان المتموّلة بعوض مالي بيع يثبت فيه خيار المجلس ، وإلاّ فلا بناء على اختصاص هذا الخيار بالبيع وعدم ثبوته في غيره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تلحق العناوين التي جعلت موضوعات لها في ألسنة أدلّتها ، 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 فهذا الحكم جعل موضوعه في لسان دليله عنوان البيّعين ، وعنوان البيّعين غير عنوان المتصالحين والمتسالمين أو المتوافقين وأمثالها ، فلا يترتّب على هذا البحث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الغرض من القول بأنّ الصلح في كلّ باب من فروع ذلك الباب ترتيب هذه الثمرة فلا سبيل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وخلاصه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والأحكام المختصّة بكلّ عنوان لا يترتّب إلاّ على نفس ذلك العنوان ، لا على ما يفيد فائدته ، ولا شكّ في أنّ عنوان الصلح والبيع والإجارة والهبة والعارية مختلفات لا يلحق حكم أحدها للآخر ، وإن كانت نتيجة الاثنين وفائدتهما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يصحّ مع الإقرار والإنكار ، أي مع إقرار المدّعى عليه بما يدّعيه المدّعي ، وإنكاره لما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إقراره فوجهه أوضح ؛ وذلك من جهة إقراره يثبت عليه ما يدّعي المدّعي ، فلا مانع من أن يصالح المدّعي عن حقّ ثابت بمال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إنكاره فإن كان كاذبا في إنكاره فيكون من حيث صحّة الصلح مثل إقراره ؛ لأنّه في الواقع عليه شي‌ء إمّا عينا أو دينا ، فيكون المصالحة على ذلك المال الذي عنده أو على ما في ذمّته ، والصلح صحيح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 صادقا في إنكاره ولم يكن عليه شي‌ء ، لا في ذمّته ولا عنده عين مال المدّعي ، فحيث لا يكون شي‌ء في البين يقع الصلح عليه ، فهذا الصلح صحّته يكون ظاهريّة ، ويجب ترتيب آثار الصحّة عليه ما لم ينكشف الحال وأنّ المدّعي دعوا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جميع الأحكام الظاهريّة من مؤدّيات الأصول والأمارات ، حيث يجب ترتيب الآثار عليهما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صحّة هذا الصلح مع الإقرار والإنكار إجماعيّ لا خلاف فيها عندنا ، غاية الأمر في الصورة الثانية أي صورة إنكار المدّعى عليه لا بدّ من القول بالتفصيل المتقدّم ، وأنّه إن كان صادقا في إنكاره فصحّة ذلك الصلح ظاهريّة لا واقعيّة ، ويجب على المدّعي ردّ ما أخذ بعنوان مال المصالحة ، ويكون ما أخذ من المقبوض بالعقد الفاسد ، فعليه الضمان ؛ لأنّ المقبوض بالعقد الفاسد يجري مجرى الغصب عند المحصّلين إلاّ في الإثم إذا كان جاهلا بالفساد فإنّه حينئذ لا إثم له وهو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حكاه الشيخ الأعظم الأنصاري </w:t>
      </w:r>
      <w:r>
        <w:rPr>
          <w:rStyle w:val="FootnoteAnchor"/>
          <w:rtl w:val="true"/>
        </w:rPr>
        <w:footnoteReference w:id="14"/>
      </w:r>
      <w:r>
        <w:rPr>
          <w:rFonts w:ascii="Amiri" w:hAnsi="Amiri" w:eastAsia="Amiri" w:cs="Amiri"/>
          <w:color w:val="111111"/>
          <w:sz w:val="28"/>
          <w:sz w:val="28"/>
          <w:szCs w:val="28"/>
          <w:rtl w:val="true"/>
          <w:lang w:bidi="ar-SA"/>
        </w:rPr>
        <w:t xml:space="preserve">عن ابن إدريس ، </w:t>
      </w:r>
      <w:r>
        <w:rPr>
          <w:rStyle w:val="FootnoteAnchor"/>
          <w:rtl w:val="true"/>
        </w:rPr>
        <w:footnoteReference w:id="15"/>
      </w:r>
      <w:r>
        <w:rPr>
          <w:rFonts w:ascii="Amiri" w:hAnsi="Amiri" w:eastAsia="Amiri" w:cs="Amiri"/>
          <w:color w:val="111111"/>
          <w:sz w:val="28"/>
          <w:sz w:val="28"/>
          <w:szCs w:val="28"/>
          <w:rtl w:val="true"/>
          <w:lang w:bidi="ar-SA"/>
        </w:rPr>
        <w:t>وكلامه هذا حسن وصحيح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صحّة الصلح واقعا بين أن يكون المدّعي كاذبا في تمام ما يدّعيه أو في بعضه ، مثلا لو كان المدّعي يدّعي أنّ الدار التي في يدك تمامها لي ، وفي الواقع نصفها له ونصفها الآخر لنفس ذي اليد ، فأنكر المدّعى عليه كون تمام الدار له ، ولم يكن له طريق لردّ دعواه الكاذبة في النصف الذي لا يملكه ، فاضطرّ للصلح معه على تمام الدار ، فهذا الصلح أيضا فاسد واقعا ويكون صحّته ظاهريّة ومن باب أصالة الصحّة والجهل بالحال ؛ ولذلك متى انكشف الحال وعلم أنّه كاذب في دعواه وأنّ تمام الدار له ، لا يجب ترتيب آثار الصحّة على هذا الصلح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هل يجب على المدّعي الكاذب ردّ تمام ما أخذ بعنوان مال المصالحة لفساد هذا الصلح ، أو ردّ نصف ما أخذ لصحّة الصلح بالنسبة إلى </w:t>
      </w:r>
    </w:p>
    <w:p>
      <w:pPr>
        <w:pStyle w:val="BookText"/>
        <w:rPr/>
      </w:pPr>
      <w:r>
        <w:rPr>
          <w:rFonts w:ascii="Amiri" w:hAnsi="Amiri" w:eastAsia="Amiri" w:cs="Amiri"/>
          <w:color w:val="111111"/>
          <w:sz w:val="28"/>
          <w:sz w:val="28"/>
          <w:szCs w:val="28"/>
          <w:rtl w:val="true"/>
          <w:lang w:bidi="ar-SA"/>
        </w:rPr>
        <w:t>النصف الذي كان يملكه ، أو لا يجب ردّ شي‌ء ممّا أخذ لصحّة هذا الصلح وإن كانت صحّته باعتبار وقوعه مقابل ذلك النصف الذي يملكه لا مقابل تمام الدار؟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بطلان هذا الصلح الواحد البسيط ، فيجب ردّ تمام ما أخذ بعنوان مال المصالحة ويرجع إليه نصف الدار الذي كان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نصفه الذي يملكه ، أي بحسب الظاهر والحكم بصحّة ذلك الصلح ظاهرا ، وإلاّ فبحسب الواقع لم يخرج عن ملكه كي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تصحيحه في النصف الذي يملكه من باب تبعّض الصفقة ، والفقهاء يلتزمون بذلك في البيع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تمام الدار فتبيّن أنّ نصفها ليس له ، فالبيع صحيح بالنسبة إلى النصف الذي يملكه ، غاية الأمر أنّه يكون للمشتري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ها هنا أيضا كذلك ، فيكون الصلح صحيحا بالنسبة إلى النصف الذي يملكه ، غاية الأمر يكون الخيار للمصالح له ، فالنتيجة أن لا يكون الواجب على المدّعي الكاذب ردّ تمام مال المصالحة ، بل الواجب عليه ردّ النصف إلاّ أن يعمل المصالح خياره ويفسخ الصلح ، فيجب عليه ردّ تمام مال المصالحة ويرجع نصف الدار إليه بالمعنى الذي ذكرنا للرجوع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باب الصلح على الأعيان الخارجيّة غير باب بيعها ؛ وذلك لأنّ التسالم على كون عين خارجيّة ملكا لشخص وهو أحد المتسالمين لا يتبعّض ، ولم يقع التسالم والاتّفاق على كون كلّ جزء من هذه العين الخارجية ملكا للمصالح له بإزاء ما يساويه من مال المصالحة بحسب المقدار أو القيمة ، وهذا بخلاف باب البيع فإنّ حقيقة البيع جعل كلّ واحد من العوضين بدلا عن الآخر في مقام الملكيّة ، والبدليّة تسرى إلى كلّ جزء من العوضين ، فكلّ جزء منها مقابل الجزء الذي يساويه بحسب المقدار أو بنسبة إلى قيمة قيمة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معنى الانحلال في باب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المعنى فلا يأتي في الصلح ؛ لأنّ المنشأ فيه التسالم ، وهو بسيط لا يتبعّض ، فبناء على هذا إذا وقع الصلح على عين يدّعيها المدّعي ، فكما أنّه لو لم يكن المدّعي صادقا في دعواه ولم يكن شي‌ء من تلك العين فصالح المدّعى عليه بمال عن تلك العين مع المدّعي يكون الصلح بحسب الواقع باطلا ، فكذلك الصلح يكون باطلا لو لم يكن بعضها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للقول بصحّة الصلح بالنسبة إلى البعض الذي يملكه ، وبطلانه بالنسبة إلى البعض الذي لا يملكه ، فيصير من باب تبعّض الصفقة ؛ لما ذكرنا من أنّ الصلح الواقع على عين خارجيّة لا يتبعّض بالنسبة إلى أجزائه أو كسورة كالنصف والثلث والربع وأمثالها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 من الاحتمالات الثلاث التي ذكرناها هو الاحتمال الأوّل ، وهو وجوب ردّ تمام ما أخذه المدّعي الكاذب في بعض ما ادّعاه ؛ وذلك لفساد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من فساد الصلح لو تبيّن عدم كون تمام ما يصالح عنه له بين أن يكون الكاذب هو المدّعي أو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روايتين تدلاّن على عدم صحّة الصلح واقعا ، وعدم ذهاب الحقّ بالمرّة فيما إذا لم يقع الصلح بين ما هو الحقّ الواقعي وبين ما يعطيه المصالح مع خفاء المقدار الواقعي على صاحب المال الذي يريد أن يصالح معه من بيده المال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حمزة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يهوديّ أو نصرانيّ كانت له عندي أربعة آلاف درهم فمات إلى أن أصالح ورثته ولا أعلمهم كم كان؟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حتّى تخبرهم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 بن يزيد ، عن أبي عبد 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لرجل على رجل دين فمطله حتّى مات ، ثمَّ صالح ورثته على شي‌ء ، فالذي أخذه الورثة لهم ، وما بقي فهو للميت يستوفيه منه في الآخرة ، وفإن هو لم يصالحهم على شي‌ء حتّى مات ولم يقض عنه ، فهو كلّه للميّت يأخذه به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فالرواية الأولى تدلّ على أنّ المصالحة على مال مع جهل صاحب المال بمقداره لا يجوز ولا أثر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تدلّ على أنّ المصالحة مع صاحب المال بأقلّ منه لا يوجب براءة ذمّته عن الجميع مع جهل صاحب المال ، بل تؤثّر في المقدار الذي أعطاه فقط والباقي باق في ذمّته ، وإن لم يصالح مع صاحب المال أصلا حتى مات ، ولا مع ورثته حتى هلكوا فجميع المال يبقى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هو مقتضى القواعد الأوّلية أيضا ، أي ولو لم تكن هذه الرواية في البين كان الحكم هكذا وكما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ذكر هاتين الروايتين أنّ صحّة هذا الصلح حكم ظاهريّ ، ولا يحلّ للمدّعي الكاذب التصرّف فيما أخذه بعنوان مال المصالحة ، إلاّ فيما إذا أحرز رضا من يعطي المال وطيب نفسه على كلّ حال ؛ لما ذكرنا وتقدّم من أنّ ما يأخذه بعنوان مال المصالحة يكون من المقبوض بالعقد الفاسد واقعا ، وإن كان بحسب الظاهر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نافذ وجائز بين الناس فيما إذا لم يكن أحلّ حراما كاسترقاق الحرّ ، أو استباحة المحرّمات كبضع المحارم وشرب الخمر وغير ذلك من المحرّمات ، أو حرّم حلالا كما أنّه لو صالحا وتسالما على أن لا يطأ حليلته أو لا يأكل اللحم أو لا ينتفع بماله وأمثال ذلك ممّا أحلّه اللّه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على ذلك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الصلح جائز بين الناس إلاّ صلحا أحلّ حراما أو </w:t>
      </w:r>
    </w:p>
    <w:p>
      <w:pPr>
        <w:pStyle w:val="BookText"/>
        <w:rPr/>
      </w:pPr>
      <w:r>
        <w:rPr>
          <w:rFonts w:ascii="Amiri" w:hAnsi="Amiri" w:eastAsia="Amiri" w:cs="Amiri"/>
          <w:color w:val="111111"/>
          <w:sz w:val="28"/>
          <w:sz w:val="28"/>
          <w:szCs w:val="28"/>
          <w:rtl w:val="true"/>
          <w:lang w:bidi="ar-SA"/>
        </w:rPr>
        <w:t xml:space="preserve">حرّم حلالا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فالصلح الذي أحلّ حراما ، أي كان مفاده لزوم ارتكاب محرّم ، والصلح الذي حرّم حلالا ، أي كان مفاده لزوم ترك ما هو حلال ، وهذا هو معنى تحريم الحلال وتحليل الحرام ، وإلاّ فالحلال لا يصير محرّما واقعا إلاّ بتبديل الحكم من طرف الشارع ، فالمراد من تحليل الحرام وتحريم الحلال هو أن يكون مفاد الصلح هو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لزوم فعل محرّم وهذا هو تحليل الحرام ، أو لزوم ترك مباح أو ما هو راجح فعله وهذا تحريم الحلال ، فمفاد الاستثناء هو عدم نفوذ مثل هذا الصلح الذي يحرّم حلالا أو يحلّل حراما ، وأنّه ليس بجائز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الصلح صحيح وجائز مع علم الطرفين ومع جهلهما بالمقدار الذي يقع الصلح عنه ، فإذا كان أحد الوارثين أو أحد الشريكين المقدار الذي يملكه من المال المشترك غير معلوم لنفسه ولا لشريكه ، فيجوز أن يصطلحا على حصّته من ذلك المشترك مع جهل الطرفين ، كما أنّه يجوز الصلح عن حصّته مع علمهما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الحكم إجماعيّ ، ويدلّ عليه قبل الإجماع ما رواه محمّد بن مسلم عن أبي جعفر علیه السلام أنّه علیه السلام قال في رجلين كان لكلّ واحد منهما طعام عند صاحبه ، ولا يدري كلّ واحد منهما كم له عند صاحبه ، فقال كلّ واحد منهما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عندك ولي ما عندي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إذا تراضيا وطابت أنفسهما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صريحة في صحّة الصلح مع جهلهما بمقدار ما يصالحان عنه ويصطلحان عليه ؛ لأنّ مورد الحكم بعدم البأس هو عدم علم المصطلحين بمقدار ما يصطلحان عليه ؛ لأنّ المورد حسب تصريح الراوي وفرضه هو أنّه كلّ واحد منهما لا يدري كم له عند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مضافا إلى شمول المطلقات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خَيْرٌ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الصّلح جائز بين المسلمين </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لكلتا حالتي علمهما وجهلهما ؛ لأنّ الصلح في كلتا الحالتين صلح ، وكلّ صلح خير بإطلاق الآية ، وهكذا كلّ صلح جائز ونافذ بإطلاق الحديث ، فعدم الصحّة في صورة جهلهما أو علمهما يحتاج إلى دليل مخصّص للعمومات أو مقيّد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أنّ جهلهما بالمقدار لا يضر بصحّة الصلح ، كذلك لا يضر جهلهما بجنس ما يصطلحان عليه ؛ للإجماع والإطلاقات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عقد لازم لا ينحلّ إلاّ بالإقالة من الطرفين ؛ وذلك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ولا شكّ في أنّ الصلح من العقود العهديّة ، وقد ذكرنا تفصيل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للعقود العهديّة ودلالتها على اللزوم في قاعدة أصالة اللزوم في العقود ، وذكرنا سائر الأدلّة أيضا هناك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امرء مسلم إلاّ بطيب نفسه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 المسلم كحرمة دمه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واستصحاب بقاء أثر العقد بعد النسخ</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انحلاله بالإقالة فلا ينافي لزومه ؛ وذلك من جهة أنّ اللزوم ها هنا حقّي ، بمعنى أنّ التزام كلّ واحد من الطرفين بالبقاء عند هذا العقد والعهد والوفاء بمضمونه الذي هو مدلول التزامي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قلنا بعدم هذا الالتزام في المعاطاة ، لعدم كون </w:t>
      </w:r>
    </w:p>
    <w:p>
      <w:pPr>
        <w:pStyle w:val="BookText"/>
        <w:rPr/>
      </w:pPr>
      <w:r>
        <w:rPr>
          <w:rFonts w:ascii="Amiri" w:hAnsi="Amiri" w:eastAsia="Amiri" w:cs="Amiri"/>
          <w:color w:val="111111"/>
          <w:sz w:val="28"/>
          <w:sz w:val="28"/>
          <w:szCs w:val="28"/>
          <w:rtl w:val="true"/>
          <w:lang w:bidi="ar-SA"/>
        </w:rPr>
        <w:t xml:space="preserve">الالتزام بالوفاء بمضمون المعاملة مدلولا التزاميّا للعمل وإنّما هو مدلول التزامي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للطرف الآخر ومن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اللزوم الحقي مقابل اللزوم الحكمي كما في باب النكاح ؛ وذلك لأنّ اللزوم الحكمي في النكاح عبارة عن حكم الشارع بأنّ هذا العقد لازم لا يقدر أحد على حلّه إلاّ الزوج بالطلاق ، وهو أيضا ليس فسخا أو انفساخا ، بل هو عبارة عن رفع العلاقة التي أوجدها بعقد النكاح ، فكما أنّ عقد النكاح سبب لوجودها يكون الطلاق سببا لارتفاعها ؛ ولذلك لا يأتي الخيار ولا الإقالة في النكاح ؛ لأنّ الحكم الشرعي لا يرتفع إلاّ برفع الشارع تخصيصا أو نسخا ، على إشكال في الأوّل من حيث التعبير بالرفع في التخصيص ؛ لأنّ التخصيص يدلّ على أنّ الحكم في مورد الخاصّ من أوّل الأمر لم يكن ، لا أنّه كان وارتفع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قلنا في باب النكاح إنّ الخيار في الموارد السبعة ليس من الخيار بمعناه الحقيقي ، بل هو تخصيص في اللزوم الذي حكم الشارع به 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مورد كان اللزوم حقّيا ، أي كان التزام كلّ واحد من الطرفين ملكا وحقّا للآخر يأتي الإقالة ؛ لأنّ حقيقة الإقالة رفع اليد عن حقّه وما ملكه بالعقد من التزام طرفه له ، فإذا رفع اليد عن حقّه لا يبقى محلّ لالتزام طرفه ؛ لأنّ هذا الالتزام كان رعاية لحقّه ولمراعاته ، لا أنّ الملتزم مجبور من طرف الشارع بالبقاء عند التزامه ، وإلاّ لو كان كذلك كان اللزوم حكميّا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حقّيا ولمراعاة طرفه ؛ ففي اللزوم الحقّي إذا رفع كلاهما يدهما كلّ واحد عمّا التزم له صاحبه فلا يبقى مانع عن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اللزوم الحكمي فلا تأتي الإقالة ؛ لأنّ اللزوم حكم شرعي ليس مربوطا بالطرفين كي يقيل كلّ واحد منهما صاحبه ؛ ولذلك لا تأتي الإقالة في باب النكاح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ثبت أنّ الصلح من العقود اللازمة العهديّة التي لزومه حقّي لا حكميّ ، </w:t>
      </w:r>
    </w:p>
    <w:p>
      <w:pPr>
        <w:pStyle w:val="BookText"/>
        <w:rPr/>
      </w:pPr>
      <w:r>
        <w:rPr>
          <w:rFonts w:ascii="Amiri" w:hAnsi="Amiri" w:eastAsia="Amiri" w:cs="Amiri"/>
          <w:color w:val="111111"/>
          <w:sz w:val="28"/>
          <w:sz w:val="28"/>
          <w:szCs w:val="28"/>
          <w:rtl w:val="true"/>
          <w:lang w:bidi="ar-SA"/>
        </w:rPr>
        <w:t>فلا مانع من ثبوت الإقالة فيه وتأثيرها في جواز فسخ كلّ واحد من المصطلحين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ثبت أنّ الإقالة على مقتضى القواعد الأوّلية ، فثبوتها في كلّ معاملة بالخصوص لا يحتاج إلى دليل خاصّ في تلك المعاملة بالخصوص ، فكذلك في باب الصلح لا يحتاج إلى وجود دليل على صحّة الإقالة ، بل هي مقتضى القواعد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الشريكان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اصطلح الشريكان على أن يكون الربح والخسران على أحدهما وللآخر رأس ماله صحّ</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والدليل على صحّة هذا الصلح أوّلا شمول الإطلاقات له ، فإنّ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جائز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صلحا أحلّ حراما أو حرّم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مثل هذا ؛ لأنّ هذا صلح ولم يحرّم حلالا ولم يحلّل حراما ، فيكون من مصاديق الصلح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عليه الصلاة والسلام في رجلين اشتركا في مال فربحا فيه ، وكان من المال دين وعليهما دين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ولك الربح وعليك 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اشترطا ، فإذا كان شرط يخالف كتاب اللّه فهو ردّ إلى كتاب اللّه عزّ وجلّ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هذه الرواية بعدّة طرق آخر كما هو مذكور في الوسائل ، ودلالتها على ما نقلناه عن الشرائع واضح لا يحتاج إلى البيان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مفاد هذه الرواية وغيرها من الروايات الواردة في خصوص المقام هو صحّة هذا الصلح بالنسبة إلى الربح والخسران المتقدّم كي يكون به انتهاء الشركة </w:t>
      </w:r>
    </w:p>
    <w:p>
      <w:pPr>
        <w:pStyle w:val="BookText"/>
        <w:rPr/>
      </w:pPr>
      <w:r>
        <w:rPr>
          <w:rFonts w:ascii="Amiri" w:hAnsi="Amiri" w:eastAsia="Amiri" w:cs="Amiri"/>
          <w:color w:val="111111"/>
          <w:sz w:val="28"/>
          <w:sz w:val="28"/>
          <w:szCs w:val="28"/>
          <w:rtl w:val="true"/>
          <w:lang w:bidi="ar-SA"/>
        </w:rPr>
        <w:t>ويكون هذا الصلح في مقام التقسيم ، أو لا بل صحّته مطلقا ، سواء كان في أوّل الشركة أو في وسطها أو في آخرها؟</w:t>
      </w:r>
    </w:p>
    <w:p>
      <w:pPr>
        <w:pStyle w:val="BookText"/>
        <w:rPr/>
      </w:pPr>
      <w:r>
        <w:rPr>
          <w:rFonts w:ascii="Amiri" w:hAnsi="Amiri" w:eastAsia="Amiri" w:cs="Amiri"/>
          <w:color w:val="111111"/>
          <w:sz w:val="28"/>
          <w:sz w:val="28"/>
          <w:szCs w:val="28"/>
          <w:rtl w:val="true"/>
          <w:lang w:bidi="ar-SA"/>
        </w:rPr>
        <w:t xml:space="preserve">اختار المحقّق الثاني قدس سره الأوّل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انتهت الشركة وأريد به فسخا وكان بعض المال دينا لصحيحة أبي الصباح</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ثمَّ ذكر الرواية التي نقلناه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الشهيد الثاني في المسالك حمل الرواية على ما اختاره المحقّق الثاني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صدر الرواية ظاهر في ما ذكراه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نفي البأس عمّا سأل عنه الراوي وعن فرضه ، وفرضه في حصول ربح لهما بعد حصول الاشتراك ، فكأنّه قال بعد أن اشتركا في مال واتّجرا به فحصل ربح من كسبهما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رأس مالي والباقي لك ، فصالح بهذه العبارة أنّه صالح جميع حقّه في هذا المال المشترك بمقدار رأس ماله ، وما سوى مقدار رأس ماله للآخر ، سواء كان زائد على رأس مال الآخر فيكون الرّبح له ، أو كان أقلّ منه فيكون التوى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فيظهر من هذا الكلام أنّه إذا اصطلحا على أن يكون مقدار رأس مال أحدهما له ، والباقي أي مقدار كان للآخر ، سواء كان زائدا على رأس مال الآخر أو كان أقلّ أنّ بهذا الصلح ينتهي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شبه تقسيم بالمصالحة ورضا الطرفين ، ولكن حيث قيّد علیه السلام نفي البأس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يخرج الصدر عن ظهوره في انتهاء الشركة ؛ لأنّ المراد بالاشتراط إمّا الاشتراط في عقد الشركة ، أي لا بأس بهذا الصلح إذا كانا اشترطا في عقد الشركة أن يكون رأس مال أحدهما له ، والباقي قليلا كان أم كثيرا للآخر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الشرط في عقد الشركة إن كان مرجعه إلى أن لا يكون ربح المال له ولا </w:t>
      </w:r>
    </w:p>
    <w:p>
      <w:pPr>
        <w:pStyle w:val="BookText"/>
        <w:rPr/>
      </w:pPr>
      <w:r>
        <w:rPr>
          <w:rFonts w:ascii="IRNazanin" w:hAnsi="IRNazanin" w:eastAsia="IRNazanin"/>
          <w:color w:val="111111"/>
          <w:sz w:val="28"/>
          <w:sz w:val="28"/>
          <w:szCs w:val="28"/>
          <w:rtl w:val="true"/>
          <w:lang w:bidi="fa-IR"/>
        </w:rPr>
        <w:t>خسارته عليه ، بل يكون ربحه لشريكه وخسارته أيضا على شريكه يكون باطلا ؛ لأنّه خلاف مقتضى أصل العقد ، لا أنّه خلاف مقتضى إطلاق العقد كي يكون صحيحا ، فلا يمكن أن يكون تقييده علیه السلام عدم البأس بالاشتراط بهذا المعني ، أي بالاشتراط بالشرط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قيّده به فلا بدّ وأن يكون بمعنى آخر يلائم مع هذا التقييد ، وهو أن يكون إنشاء هذا المعنى ، أي كون رأس ماله له والباقي لطرفه بعقد لازم كنفس الصلح ، أو يكون في ضمن عقد لازم آخر كي يكون لازما وواجب الوفاء ، لا وعدا ابتدائيّا أو صرف قول ومذاكرة من دون عقد وعهد كي لا يكون واجب الوفاء ، بل لا يصير ملكا للطرف لعدم خروج الربح عن ملكيّة صاحب المال الرابح بصرف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الخسارة تتبع المال ، وبصرف القول والمذاكرة لا يصير خسارة مال شخص على شخص آخر ، خصوصا مع فرض سكوت الطرف الآخر وعدم إظهار رضاء ،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نفرض المقام أنّ صاحب أحد المالين اللذين حصل الاشتراك بينهما إمّا بعقد الشركة أو بمزجهما أو بخلطهما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يحصل الاشتراك بالخلط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ماله للطرف الآخر بمقداره بدون زيادة ولا نقيصة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مثل هذا الصلح هي صيرورة تمام المال ملكا للطرف الآخر ، فقهرا يكون الربح له والخسارة عليه ، غاية الأمر تكون ذمّته مشغولة للمصالح المذكور ، فلو خسر تمام المال المشترك ولم يبق له شي‌ء ، يكون عليه تفريغ ذمّته بإعطاء جميع رأس المال الذي تعلّق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 الشرط والاشتراط لا يطلق على مثل هذا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تفصيله في 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والاشتراط يطلق على كلّ عقد لازم من العقود العهديّة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 لك ما ذكرنا ، تعرف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الصلح بالصّورة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p>
    <w:p>
      <w:pPr>
        <w:pStyle w:val="BookText"/>
        <w:rPr/>
      </w:pPr>
      <w:r>
        <w:rPr>
          <w:rFonts w:ascii="Amiri" w:hAnsi="Amiri" w:eastAsia="Amiri" w:cs="Amiri"/>
          <w:color w:val="111111"/>
          <w:sz w:val="28"/>
          <w:sz w:val="28"/>
          <w:szCs w:val="28"/>
          <w:rtl w:val="true"/>
          <w:lang w:bidi="ar-SA"/>
        </w:rPr>
        <w:t>أن يقع في ابتداء حصول الشركة وفي وسطه وفي انتهائه ، ولا يجب أن يكون عند القسمة ويكون عند انتهاء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لازم هذا الوجه في معنى الاشتراط أيضا انتهاء الشركة ، غاية الأمر يحصل الانتهاء بنفس الصلح المذكور ويبطل الشركة ؛ إذ لا يعقل بقاء الشركة مع تعلّق مال أحد الشريكين بذمّة الآخر وصيرورة تمام المال له ، نعم إحداث هذا الصلح يمكن أن يكون في ابتداء حصول الشركة ، ويمكن أن يكون في وسطها ، ويمكن أن يكون بعد انتهائها وفسخها ، وعلى كلّ حال به ينتهي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المراد من الاشتراط نفس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إطلاقه على العقود العهديّة الضمنيّة ، والصلح في هذا المورد يكون على استحقاق أحدهما من المال المشترك مقدار رأس ماله ، والباقي أيّ مقدار كان للآخر ، ربح أو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ليس فيه إشكال ؛ لأنّ الصلح عبارة عن التسالم على أمر كما تقدّم ، ولا مانع من تسالمهما على مثل هذا الأمر ؛ لأنّ الناس مسلّطون على أموالهم ، وليس هذا التسالم موجبا لتحريم حلال أو تحليل حرام كي يكون موجبا لبطلانه كما هو مفاد النّص ، وليس من باب معاوضة حقّه بما يساوي مقدار رأس ماله في ذمّة الآخر كي يكون تمام مال المشترك للآخر ، فيكون بهذه المصالحة انتهاء الشركة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بعد أن فرغنا عن صحّته وشمول إطلاقات الصلح له ، لا ينافي بقاء الشركة بعد هذا الصلح ؛ لأنّ المفروض أنّ مفاد كون حق المصالح في هذا المال المشترك مقدار رأس ماله وإن بقي الاشتراك بعد ذلك سنين ، فيجوز هذا الصلح في ابتداء الشركة وفي أوساطها وعند انتهائها ، وليس مختصا بحال القسمة ولا يحصل به الفسخ ، بل يمكن بقاء المال على الاشتراك ؛ لشمول الإطلاقات لمثل هذا الصلح ، بل لا يبعد أن يكون ظاهر الروايات الخاصّة أيضا هذا المعنى ، بناء على أن يكون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عقد الصلح ؛ لصحّة إطلاق الشرط والعهد على العقود اللازمة العهديّة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فظهر ممّا ذكرنا أنّ تقييد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المتون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32"/>
      </w:r>
      <w:r>
        <w:rPr>
          <w:rFonts w:ascii="Amiri" w:hAnsi="Amiri" w:eastAsia="Amiri" w:cs="Amiri"/>
          <w:color w:val="111111"/>
          <w:sz w:val="28"/>
          <w:sz w:val="28"/>
          <w:szCs w:val="28"/>
          <w:rtl w:val="true"/>
          <w:lang w:bidi="ar-SA"/>
        </w:rPr>
        <w:t>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أفاده الشهيد قدس سره في الدروس </w:t>
      </w:r>
      <w:r>
        <w:rPr>
          <w:rStyle w:val="FootnoteAnchor"/>
          <w:rtl w:val="true"/>
        </w:rPr>
        <w:footnoteReference w:id="3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الشركة فالأقرب المنع لمنافاته مع موضوعها ، أي الشركة وقبل هذه العبارة يحكم بصحّة هذا الصلح إذا كان عند إرادة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عرفت ما في كلامه هذا ، وما في كلام غيره ممّا يشابه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كان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ضمن عقد الشركة ، فلا بدّ وأن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صحّة السند وحجّية تلك الروايات الخاصّة أنّ هذا حكم تعبّديّ ؛ إذ لا يمكن تصحيحه بالقواعد المقرّرة ، بل مقتضى القواعد بطلان هذا الشرط ؛ لأنّه مناف لمقتضى ذات العقد لا لإطلاقه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المراد منه هو الصلح كما هو ظاهر عبارة المتون فلا إشكال في صحّة مثل هذا الصلح ، سواء كان في ابتداء الشركة أو في أوساطها أو في انتهائها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وبان أنّ أحد العوضين ممّا وقع الصلح عليهما إمّا للغير أي ليس للطرف في عقد المصالحة ، وإمّا ممّا لا يملك كالخمر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في كلا الشقين أنّه لا يملكه الذي هو طرف المصالحة ؛ إمّا لأنّه ملك الغير ، أو لعدم ماليّته عرفا ، كالأشياء الخسيسة التي لا يعتبرها العقلاء كالخنفساء مثلا ؛ أو لإسقاط الشارع ماليّته العرفيّة ، كالخمر والخنزير وآلات الملاهي وأدوات القمار كأدوات النرد والشطرنج ؛ فيبطل الصلح قطعا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حقيقة المعاوضة في أيّ عقد معاوضيّ كانت عبارة عن تبديل </w:t>
      </w:r>
    </w:p>
    <w:p>
      <w:pPr>
        <w:pStyle w:val="BookText"/>
        <w:rPr/>
      </w:pPr>
      <w:r>
        <w:rPr>
          <w:rFonts w:ascii="Amiri" w:hAnsi="Amiri" w:eastAsia="Amiri" w:cs="Amiri"/>
          <w:color w:val="111111"/>
          <w:sz w:val="28"/>
          <w:sz w:val="28"/>
          <w:szCs w:val="28"/>
          <w:rtl w:val="true"/>
          <w:lang w:bidi="ar-SA"/>
        </w:rPr>
        <w:t xml:space="preserve">المالين في عالم الاعتبار ، فقوام المعاوضة بهذا الأمر ، فلا بدّ وأن يكون كلّ واحد منهما مالا كي يكون قابلا للعوضيّة في عالم الاعتبار ، وأن يكون كلّ واحد من طرفي عقد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أو 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السلطنة على المعاوضة ، فهذان ركنان في كلّ معاوضة ، وبفقد أيّ واحد منهما لا يتحقّق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ممّا لا يملك ، أي أسقط الشارع ماليّته العرفية ، كالخمر والخنزير وأمثالهما ، أو لم يكن مالا حتّى عرفا لخسّته كالخنفساء ، فينتفي الركن الأوّل وإن كان مستحقّا للغير ، سواء كان ملك الغير أو كان متعلّقا لحقّ الغير ، فلا يكون طرف المعاوضة مسلّطا عليه ، فينتفي 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يبقى مجال للمعاوضة ، فيبطل الصلح لو بان أنّ أحد العوضين مستحقّ للغير أو ليس له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جار في جميع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ولا خلاف فيما إذا كان جميع أحد العوضين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بعض أحد العوضين المعيّنين في الخارج ، أي كان بعض العين الخارجيّة التي وقعت عوضا في الصلح للغير ، أو كان ممّا لا يملك كالعبد الذي نصفه حرّ أو للغير ، فهل الصلح باطل في المجموع ، أو صحيح في المجموع ، أو يبعض وصحيح في النصف الذي له وباطل في النصف الآخر الذي ليس له ، أو يكون متعلّق حق الغير؟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الأمر الثاني أنّ الأرجح هو بطلان الصلح في المجموع ، حتّى في النصف الذي يملكه الطرف ، وذكرنا برهانه هناك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الفرق بين العقود المعاوضيّة وبين الصلح ، بأنّ العقود المعاوضيّة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المنشأ فيها هو المبادلة بين المالين ، فمع عدم ماليّة أحد العوضين أو عدم كونه له لا يتحقّق حقيقة المبادلة التي لا بدّ منها في تلك العقود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الصلح الذي عبارة عن التسالم والموافقة على أمر لم يؤخذ فيه كونه بعوض ، بل يمكن أن يقع بلا عوض ومجانا ، فإذا كان الأمر كذلك فكما يمكن أن يقع من أوّل </w:t>
      </w:r>
    </w:p>
    <w:p>
      <w:pPr>
        <w:pStyle w:val="BookText"/>
        <w:rPr/>
      </w:pPr>
      <w:r>
        <w:rPr>
          <w:rFonts w:ascii="Amiri" w:hAnsi="Amiri" w:eastAsia="Amiri" w:cs="Amiri"/>
          <w:color w:val="111111"/>
          <w:sz w:val="28"/>
          <w:sz w:val="28"/>
          <w:szCs w:val="28"/>
          <w:rtl w:val="true"/>
          <w:lang w:bidi="ar-SA"/>
        </w:rPr>
        <w:t xml:space="preserve">الأمر مجّانا وبلا عوض ، فلا يضرّ بصحّته صيرورته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أنّ العوض المذكور ليس بمال ، أو ليس له وإن كان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توهّم عجيب ؛ لأنّ الصلح وإن لم يؤخذ في حقيقته كونه ذا عوض ويمكن أن يقع مجانا وبلا عوض ، ولكن إذا إنشاء التسالم والموافقة على أمر بعوض يصل إلى المصالح ، فإذا لم يصل إليه شي‌ء إمّا لأجل أنّه ليس بمال ، أو ليس له ، فقد تخلّف ما وقع عمّا هو مقصود الطرفين ، فما قصد لم يقع وما وقع لم يقصد ، والعقود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التمليك لم يؤخذ في حقيقته أن يكون بعوض ، ولذلك قد يكون بلا عوض كالهبة الغير المعوضة ، ولكن إذا أنشأ بعوض كالبيع مثلا ولم يكن العوض للطرف ، بعد العقد بان أنّه ليس له أو ظهر أنّه ليس بمال عرفا أو شرعا وإن كان مالا عند العرف لكن الشارع أسقط ماليّته ، فذلك العقد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يؤخذ في حقيقته العوض ، لكن إذا أنشأ بعوض ، يكون العوض من أركان ذلك العقد ، ومع فقده يبطل ذلك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النقض بالنكاح بأنّ المهر المعيّن في عقده إذا بان أنّه ملك للغير أو متعلّق حقّ الغير كأن يكون مرهونا مثلا فجعله مهرا بدون إذن المرتهن ، أو كان غير مال شرعا كالخمر والخنزير ، فلا يبطل العقد بل يرجع إلى بدله أو إلى مهر المثل أو غير ذلك ممّا قيل في تلك المسألة ، فلا ينبغي أن يتوهّم ؛ لأنّ المرأة ليست عوضا عن المهر ولا المهر عوض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يشتريها بأغلى الثمن </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من باب التشبيه بالبيع ، وإلاّ فذات المرأة حرّة لا أمة ليتقدّر بمال والبضع من منافعها ، وليست عينا كي يصحّ بيعه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ليس من العقود المعاوضيّة ، بل لزوم المهر فيه حكم </w:t>
      </w:r>
    </w:p>
    <w:p>
      <w:pPr>
        <w:pStyle w:val="BookText"/>
        <w:rPr/>
      </w:pPr>
      <w:r>
        <w:rPr>
          <w:rFonts w:ascii="Amiri" w:hAnsi="Amiri" w:eastAsia="Amiri" w:cs="Amiri"/>
          <w:color w:val="111111"/>
          <w:sz w:val="28"/>
          <w:sz w:val="28"/>
          <w:szCs w:val="28"/>
          <w:rtl w:val="true"/>
          <w:lang w:bidi="ar-SA"/>
        </w:rPr>
        <w:t>شرعي ، ولذلك لو عقد على امرأة ولم يذكر المهر أصلا لا يبطل العقد ، ولكن يرجع إلى مهر المثل تعبّدا ؛ لأنّ البضع لا تستباح مجّانا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أبي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تزوّج الرجل المرأة فلا يحلّ له فرجها حتى يسوق إليها شيئا درهما فما فوقه </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رواه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الهبة إلاّ لرسول اللّه صلی اللّه علیه و آله وأمّا غيره فلا يصلح له نكاح إلاّ بمهر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على لزوم المهر في النكاح كثيرة ، وما ذكرنا كلّه كان فيما إذا كان العوض عينا شخصيّا ، فإذا بان أنّه مستحقّ للغير أو ليس قابلا لأن يملك شرعا أو عرفا فالصلح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في الذمّة فدفع ما كان كذلك ، فلا وجه للبطلان ، بل يجب عليه أن يدفع غيره من مصاديق ما في الذمّة ممّا يكون مالا عرفا ، ولا يكون متعلّقا لحقّ الغير ، ولا يكون للغير ، ولم يسقط الشارع ماليّته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ظهر في عوض الصلح عيب ونقص فلا يوجب البطلان ولا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البطلان لأنّه ليس بلا عوض ، وتلك العين الشخصيّة التي جعلت عوضا للعقد موجودة ، ولذلك لا يوجب البطلان حتّى في البيع الذي هو الأصل في باب المعاوضات ، وحقيقته تبديل العين المتموّل بعوض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إيجابه الخيار ، فلأنّ عمدة دليل الخيار إذا ظهر عيب ونقص في المبيع الشخصي أو الثمن الشخصي ، هو الشرط الضمني ، أي بناء البائع على بيع هذه العين الموجودة بما يساويها في القيمة ، أي هذا الثمن الموجود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w:t>
      </w:r>
    </w:p>
    <w:p>
      <w:pPr>
        <w:pStyle w:val="BookText"/>
        <w:rPr/>
      </w:pPr>
      <w:r>
        <w:rPr>
          <w:rFonts w:ascii="Amiri" w:hAnsi="Amiri" w:eastAsia="Amiri" w:cs="Amiri"/>
          <w:color w:val="111111"/>
          <w:sz w:val="28"/>
          <w:sz w:val="28"/>
          <w:szCs w:val="28"/>
          <w:rtl w:val="true"/>
          <w:lang w:bidi="ar-SA"/>
        </w:rPr>
        <w:t>طرف المشتري ، أي يشتري هذه العين التي تساوي هذا الثمن بحسب القيمة بهذا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ارتكازيّ لا يحتاج إلى الذكر أو البناء خارجا ؛ ولذلك لو أتى شخص غير المتبايعين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المبيع لا يساوي هذا الثمن يتأذّى البائع وربما يترك المشتري هذه المعاملة لو سمع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طرف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يعلم أنّ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بنائهما على تساوي العوضين ، وأنّهما بلا عيب ونقص ، وبفقد الشرط الضمني الأوّل أي التساوي في القيمة يثبت خيار الغبن ، وبفقد الثاني أي السلامة عن العيب والنقص يأتي ويثبت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البيع أو سائر المعاوضات التي بناء المتعاقدين فيها على تساوي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الصلح فليس الأمر كذلك ، بل بناء المتعاقدين فيها على التسامح ؛ لأنّه شرّع في الأصل لقطع المنازعات ، وقطع المنازعات لا يمكن غالبا إلاّ بالتسامح ، وإلاّ لو كان بناؤهما على المداقّة ، فلا يحصل الصلح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خيار الغبن واضح ، وأمّا خيار العيب إذا وقعت المصالحة على عين خارجي ، فالإنصاف أنّ بناءهما على صحّتها وسلامتها ، فلا يبعد إتيان خيار العيب في الصلح إذا ظهر مال المصالحة معيبا ، ولكن بالنسبة إلى حقّ الفسخ لا أخذ الأرش ، وإنّما هو حكم تعبّدي في خصوص البيع للإجماع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الروايات لا تدلّ على التخيير بين الردّ وأخذ الأرش ابتداء ، بل دلالتها على أخذ الأرش بعد عدم إمكان الرّد لوجود تغيّر في المعيب بعد تسلّمه من صاحب المبيع المعيب مثلا ، وعلى كلّ حال التخيير بين الردّ والأرش مختصّ بالبيع ؛ للإجماع والرواية ، وإلاّ فصرف تخلّف الشرط الضمني لا يوجب إلاّ الخيار ، فالخيار يثبت في الصلح إذا كان العوض معيبا ، وأمّا الأرش فلا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على عين بعين أو منفعة ، وعلى منفعة بعين أو 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صحّة المذكورات هي العمومات وإطلاقات أدلّة الصلح ، فقد تقدّم أنّ الصلح عبارة عن التسالم والموافقة على أمر بشي‌ء ، سواء كان ذلك الأمر عينا أو دينا أو منفعة أو حقّا على نقل هذا الأخير أو إسقاطه ، وحيث أنّ كلّ حقّ قابل للإسقاط حتّى عرّف بذلك مقابل الحكم ، فإنّه غير قابل للإسقاط ؛ فكلّ حقّ قابل لأن يقع الصلح عليه ، سواء كان على نقله أو على إسقاطه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وعمومات الصلح وإطلاقاته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الصلح جائز بين الناس إلاّ صلحا أحلّ حراما أو حرّم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جميع ما يقع التسالم والتوافق عليه ، ولو كان إسقاط حقّ أو نقله فيما كان قابلا للنقل ؛ إذ بعض الحقوق غير قابل للنقل ، كحقّ البضع والمضاجعة وأمثالهما من الحقوق القائمة بشخص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علم أنّه قابل للنقل ، وأمّا إذا شكّ في أنّه قابل للنقل ، فهل يصحّ الصلح على نقله ، أو يحتاج إلى الإحراز؟</w:t>
      </w:r>
    </w:p>
    <w:p>
      <w:pPr>
        <w:pStyle w:val="BookText"/>
        <w:rPr/>
      </w:pPr>
      <w:r>
        <w:rPr>
          <w:rFonts w:ascii="IRNazanin" w:hAnsi="IRNazanin" w:eastAsia="IRNazanin"/>
          <w:color w:val="111111"/>
          <w:sz w:val="28"/>
          <w:sz w:val="28"/>
          <w:szCs w:val="28"/>
          <w:rtl w:val="true"/>
          <w:lang w:bidi="fa-IR"/>
        </w:rPr>
        <w:t xml:space="preserve">الظاهر عدم الصحّة ولزوم الإحراز ؛ وذلك من جهة أنّه لا بدّ من إحراز مشروعيّة متعلّقه ؛ وذلك للاستثناء الذي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صلحا أحلّ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الاستثناء يقيد موضوع ما هو جائز ونافذ بالصلح على أمر مشروع ، فإذا شككنا أنّ الحقّ الفلاني مشروع نقله أم لا ، فلا يجوز التمسّك لجوازه ونفوذه بإطلاقات أدلّة الصلح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شككنا في أنّ حقّ السبق في الوقف في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سبق شخص إلى مكان في أحد المساجد ، أو في الحرم الشريف ، أو إلى مكان في خانات الوقف بين الطرق على المسافرين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قابل للنقل أم قائم بشخص السابق ، فالصلح على نقل مثل ذلك الحقّ مشكل ، ولا يشمله عمومات وإطلاقات أدلّة الصلح لمكان ذلك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وقوع الصلح على إسقاط كلّ حقّ بناء على أنّ كلّ حقّ قابل للإسقاط ، فالإسقاط خاصّة شاملة للحقّ</w:t>
      </w:r>
      <w:r>
        <w:rPr>
          <w:rFonts w:eastAsia="Amiri" w:cs="Amiri" w:ascii="Amiri" w:hAnsi="Amiri"/>
          <w:color w:val="111111"/>
          <w:sz w:val="28"/>
          <w:szCs w:val="28"/>
          <w:rtl w:val="true"/>
          <w:lang w:bidi="ar-SA"/>
        </w:rPr>
        <w:t xml:space="preserve">. </w:t>
      </w:r>
      <w:bookmarkStart w:id="30" w:name="pg15947_150967"/>
    </w:p>
    <w:p>
      <w:pPr>
        <w:pStyle w:val="Heading3"/>
        <w:numPr>
          <w:ilvl w:val="2"/>
          <w:numId w:val="1"/>
        </w:numPr>
        <w:rPr/>
      </w:pPr>
      <w:bookmarkStart w:id="31" w:name="__RefHeading___Toc16231874_2142443653"/>
      <w:bookmarkStart w:id="32" w:name="_Toc10"/>
      <w:bookmarkEnd w:id="30"/>
      <w:bookmarkEnd w:id="31"/>
      <w:r>
        <w:rPr>
          <w:rtl w:val="true"/>
        </w:rPr>
        <w:t xml:space="preserve">الجهة الثالثة </w:t>
      </w:r>
      <w:r>
        <w:rPr>
          <w:rtl w:val="true"/>
        </w:rPr>
        <w:t xml:space="preserve">: </w:t>
      </w:r>
      <w:r>
        <w:rPr>
          <w:rtl w:val="true"/>
        </w:rPr>
        <w:t>في بيان بعض فروع هذه القاعدة</w:t>
      </w:r>
      <w:bookmarkEnd w:id="32"/>
    </w:p>
    <w:p>
      <w:pPr>
        <w:pStyle w:val="Heading4"/>
        <w:numPr>
          <w:ilvl w:val="3"/>
          <w:numId w:val="1"/>
        </w:numPr>
        <w:rPr/>
      </w:pPr>
      <w:bookmarkStart w:id="33" w:name="__RefHeading___Toc16231876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أي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إلاّ ما أحلّ حراما أو حرّم حلالا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هناك درهمان ورجلان ، فادّعى أحدهما الاثنين والآخر أحدهما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لمدّعي الاثنين درهم ونصف ،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فرض المسألة فيما إذا كان الدرهمان في يدهما جميعا ، أو كانا مطروحين في مكان مباح ليس له مالك ولم يكن لأحد يد عليه وإلاّ لو كانا في يد مدّعي الاثنين يحكم له بهما مع حلفه أو نكول الطرف المدعي لواحد ، كما أنّه لو كانا في يد مدّعي الواحد يعطى واحد لمدعي الاثنين ؛ لأنّه مدّع بلا معارض ، والدرهم الآخر يعطى لذي اليد مع يمينه أو نكول مدعي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أن يحمل صحيح عبد اللّه بن المغيرة عن غير واحد من أصحابنا ، عن أبي عبد اللّه علیه السلام في رجلين كان معهما درهمان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الدرهمان لي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الذي قال هما بيني وبينك فقد أقرّ بأنّ أحد الدرهمين ليس له فيه شي‌ء وأنّه لصاحبه ، ويقسم الدرهم الثاني بينهما نصفين </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على ما قلنا من أنّ الدرهمين إمّا لا يد لأحد عليهما ، وإمّا في يد الاثنين جميعا ، كما أنّ ظاهر الرواية هو الأخير ؛ لفرض الراوي أنّ الدرهمين كان معهما أي في يد كليهما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هذه الصورة ما أجاب به الإمام علیه السلام هو مقتضى القواعد الأوّليّة أيضا ، </w:t>
      </w:r>
    </w:p>
    <w:p>
      <w:pPr>
        <w:pStyle w:val="BookText"/>
        <w:rPr/>
      </w:pPr>
      <w:r>
        <w:rPr>
          <w:rFonts w:ascii="IRNazanin" w:hAnsi="IRNazanin" w:eastAsia="IRNazanin"/>
          <w:color w:val="111111"/>
          <w:sz w:val="28"/>
          <w:sz w:val="28"/>
          <w:szCs w:val="28"/>
          <w:rtl w:val="true"/>
          <w:lang w:bidi="fa-IR"/>
        </w:rPr>
        <w:t>وحكمه علیه السلام بتقسيم الدرهم الثاني بينهما الظاهر في التقسيم بالسويّة هو مقتضى قاعدة العدل والإنصاف التي استعملها الفقهاء في موارد كثيرة ، فيكون ما ذكره في الشرائع مطابقا لما هو مضمون الرواية ، وكون الدرهم ونصفه لمدّعي الاثنين أيضا مقتضى قاعدة الإقرار من مدّعي الواحد ، فإنّه نفى عن نفسه ، وقاعدة سماع قول المدّعي بلا معارض بدون تكليفه بالبيّنة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جمع من الأساطين كالعلامة في التذكرة </w:t>
      </w:r>
      <w:r>
        <w:rPr>
          <w:rStyle w:val="FootnoteAnchor"/>
          <w:rtl w:val="true"/>
        </w:rPr>
        <w:footnoteReference w:id="39"/>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40"/>
      </w:r>
      <w:r>
        <w:rPr>
          <w:rFonts w:ascii="Amiri" w:hAnsi="Amiri" w:eastAsia="Amiri" w:cs="Amiri"/>
          <w:color w:val="111111"/>
          <w:sz w:val="28"/>
          <w:sz w:val="28"/>
          <w:szCs w:val="28"/>
          <w:rtl w:val="true"/>
          <w:lang w:bidi="ar-SA"/>
        </w:rPr>
        <w:t>من حلف كلّ واحد منهما ، فيحلف مدّعي الاثنين لمدّعي الواحد بأنّ نصف الدرهم ممّا صار بيدي ليس لك ، ولو نكل يؤخذ منه ويعطى لمدّعي الواحد ، ويحلف مدّعي الواحد على الإشاعة لمدّعي الاثنين أنّ هذا النصف الذي صار بيدي ليس لك ، ولو نكل يعطى لمدعي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مدّع ومنكر ، فمدّعي الواحد مدّع للنصف من الدرهم الذي صار في يد مدّعي الاثنين ، وهو منكر ؛ ومدّعي الاثنين مدّع للنصف الذي يعطى لمدعي الواحد على الإشاعة ، وهو منكر ؛ فيجب إجراء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مدّعيان ومنكران ، وحيث أنّ المفروض عدم وجود بيّنة في المقام ، فيجب أن يحلف كلّ واحد منهما للآخر ، فلو لم يحلف أحدهما لا يعطى ذلك النصف المتنازع فيه ، كما أنّه لو ردّ كلّ واحد من المنكرين الحلف إلى الطرف الذي هو مدّع وهو نكل ، فلا يستحقّ ذلك النصف ، ولو حلفا جميعا أو نكلا جميعا أيضا ، يقسّم بينهما بالسوية ؛ لقاعدة العدل والإنصاف المذكورة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بيده النصف مدّع للنصف الآخر ، ومن بيده الدّرهم والنصف منكر ، ومن بيده الدرهم والنصف مدّع للنصف الآخر الذي بيد طرفه ، وهو منكر ؛ فيكون الأمر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هؤلاء الأساطين مع اختلاف بين ما ذكروه ، وهو تخصيص الحلف بالثاني أي مدّعي الواحد إذا ادّعى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أنّه لا فرق في صيرورة كلّ واحد منهما مدّعيا ومنكرا في المفروض ، أي فيما إذا كان لكليهما اليد على الدرهمين بين أن يكون دعوى المدّعي الواحد على الإشاعة أو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موقوف على بيان مقدّمة ، وهي أنّه لا شكّ في أنّ ذا اليد منكر لو ادّعى المال من ليس له يد على المال ، وليس له حجّة أخرى على أنّ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الآخر الذي ليس له يد على المال يكون مدّعيا ، إن لم يكن له حجّة أخرى على أنّ المال المتنازع 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يكون ذو اليد منكرا ومقابله يكون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ذا اليد لو كان شخصا واحدا ، فالذي يدّعيه يكون مدّعيا ويكون ذو اليد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ذو اليد متعدّدا كما إذا ادّعى أحد غير هؤلاء الذين لهم اليد على المال أيضا يكون مدّعيا ، وذوو الأيدي يكونون منكرين إن لم يصدّقوه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مدّعي لجميع ما في يدهم أحدهم ، فيكون مدّعيا بالنسبة إلى البعض ومنكرا بالنسبة إلى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اليد على مال واحد إن كان متعدّدا ، فلا يمكن أن تكون يد كلّ واحد منهم يدا تامّة مستقلّة ؛ وذلك لأنّ اليد التامّة المستقلّة كما أنّ لها التصرّفات المشروعة في المال ، كذلك له المنع عن تصرّف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الأيدي المتعدّدة ليس لها المنع عن تصرّفات سائر الأيادي ؛ ولذلك لا يحسبها العرف يدا مستقلّة ، بل يعتبرون اليد الناقصة المستقلّة على المجموع يدا مستقلة على البعض بنسبة عدد الأيادي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كان شريكان ، لكلّ واحد منهما يد على مال ، فحيث أنّ يد كلّ واحد منهما غير تامّة ، فالعرف يعتبرونها تامّة بالنسبة إلى البعض بنسبة عدد الأيدي ، وحيث أنّ ذا اليد اثنين فيد كلّ واحد منهما الناقصة على جميع المال يعتبر يدا تامّة على نصف </w:t>
      </w:r>
      <w:bookmarkStart w:id="35" w:name="pg15947_150970"/>
    </w:p>
    <w:p>
      <w:pPr>
        <w:pStyle w:val="BookText"/>
        <w:rPr/>
      </w:pPr>
      <w:bookmarkEnd w:id="35"/>
      <w:r>
        <w:rPr>
          <w:rFonts w:ascii="Amiri" w:hAnsi="Amiri" w:eastAsia="Amiri" w:cs="Amiri"/>
          <w:color w:val="111111"/>
          <w:sz w:val="28"/>
          <w:sz w:val="28"/>
          <w:szCs w:val="28"/>
          <w:rtl w:val="true"/>
          <w:lang w:bidi="ar-SA"/>
        </w:rPr>
        <w:t>المال ، وإن كان ذوو الأيدي والشركاء ثلاثة يعتبر يد كلّ واحد منهم الناقصة يدا تامّة على ثلث المال ، وهكذا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6231878_2142443653"/>
      <w:bookmarkStart w:id="37" w:name="_Toc12"/>
      <w:bookmarkEnd w:id="36"/>
      <w:r>
        <w:rPr>
          <w:rtl w:val="true"/>
        </w:rPr>
        <w:t xml:space="preserve">إذا تبيّن ما ذكرنا ، فنقول </w:t>
      </w:r>
      <w:r>
        <w:rPr>
          <w:rtl w:val="true"/>
        </w:rPr>
        <w:t>:</w:t>
      </w:r>
      <w:bookmarkEnd w:id="37"/>
    </w:p>
    <w:p>
      <w:pPr>
        <w:pStyle w:val="BookText"/>
        <w:rPr/>
      </w:pPr>
      <w:r>
        <w:rPr>
          <w:rFonts w:ascii="Amiri" w:hAnsi="Amiri" w:eastAsia="Amiri" w:cs="Amiri"/>
          <w:color w:val="111111"/>
          <w:sz w:val="28"/>
          <w:sz w:val="28"/>
          <w:szCs w:val="28"/>
          <w:rtl w:val="true"/>
          <w:lang w:bidi="ar-SA"/>
        </w:rPr>
        <w:t>إذا ادّعى أحدهما أنّ أحد هذين الدرهمين بالخصوص لي وعيّنه ولم يكن دعواه بنحو الإشاعة ، فهذا المدّعي بالنسبة إلى نصف هذا الواحد المعيّن مدّع ، وبالنسبة إلى نصفه الآخر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المسألة إن كليهما لهما اليد على هذا الدرهم الذي يدّعيه أحدهما ، وحيث أنّ يد كلّ واحد منهما على مجموع هذا الدرهم غير تامّة وناقصة ، وفي اعتبار العرفي وبنظرهم يد كلّ واحد منهما على المجموع حيث أنّها ناقصة تكون بمنزلة اليد التامّة على نصف ذلك الدرهم ، فتكون أمارة على ملكيّة نصف ذلك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اليد التي هي أمارة الملك هي اليد التامّة المستقلّة غير الناقصة ، فإذا كان الأمر كذلك فالمدّعي لهذا الدرهم المعيّن يكون بالنسبة إلى النصف الذي تحت يد مدّعي الاثنين مدّع ، ومدّع الاثنين بالنسبة إلى هذا النصف الذي تحت يده منكر ، كما أنّ مدّعي الاثنين بالنسبة إلى النصف الذي تحت يد مدّعي الواحد المعين مدّع ، وهو أي مدعي الواحد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واحد منهما مدّع ومنكر ، ويجري في حقّهما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المفروض عدم البيّنة في المقام ، فيجب حلف كلّ واحد منهما لردّ دعوى الآخر ، فإن حلفا جميعا أو نكلا جميعا يسقط كلا الدعويين ، ويقسّم ذلك الواحد المعيّن بينهما بالسويّة ؛ لقاعدة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حلف أحدهما دون الآخر ، فيكون الدرهم المتنازع فيه للذي حلف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مدّعي الشركة مثل المدّعي للواحد المعيّن في وجوب الحلف على كلّ </w:t>
      </w:r>
    </w:p>
    <w:p>
      <w:pPr>
        <w:pStyle w:val="BookText"/>
        <w:rPr/>
      </w:pPr>
      <w:r>
        <w:rPr>
          <w:rFonts w:ascii="IRNazanin" w:hAnsi="IRNazanin" w:eastAsia="IRNazanin"/>
          <w:color w:val="111111"/>
          <w:sz w:val="28"/>
          <w:sz w:val="28"/>
          <w:szCs w:val="28"/>
          <w:rtl w:val="true"/>
          <w:lang w:bidi="fa-IR"/>
        </w:rPr>
        <w:t>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المدّعي للشركة تامّة بالنسبة إلى ما يدّعيه أي الشركة وملك النصف أي الدرهم الواحد مشاعا ، فالذي يدّعي الجميع يكون مدّعيا ، لأنّ يده على الجميع ليست تامّة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ومدّعي الشركة منكر ؛ لما ذكرنا من أنّ يده تامّة بالنسبة إلى ادّعائه الشركة ، فهو منكر ووظيفة المنكر هو الحلف ، فيختصّ الحلف بالثاني ، أي المدّعي الواحد إذا كان يدّعيه إشاعة أي الشركة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جار في كلّ من يدّعي الشركة في مال مقابل المدّعي لمجموع ذلك المال مع كون ذلك المال بيدهما جميعا ، كما ذهب إليه الشهيد في الدروس</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وقال في جامع المقاصد إنّه متّجه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 العرف مساعد لكون يد كلّ واحد من الشخصين اللذين لهما اليد على مال أمارة الشركة ، فيكون من يدّعي جميع الدرهمين بالنسبة إلى أحد الدرهمين من قبيل المدّعي بلا معارض ؛ لأنّ الآخر لا يدّعيه ، بل هو مقرّ بأنّه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الدرهم الآخر يكون مدّعيا بلا حجّة ، في مقابل دعوى الشركة من الآخر ؛ لأنّ يده أمارة على الشركة ، لا على أنّ جميع المال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المال له ، مخالف للحجّة الفعليّة ، وهو يد من يدّعي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في كتاب القضاء أنّ المدّعي هو من يكون قوله مخالفا للحجّة الفعليّة ، والمنكر مقابله وهو من يكون قوله موافقا للحجّة الفعليّة ، وفي المقام حيث يكون قول من يدّعي الشركة موافقا للحجّة الفعليّة ، ومن يدّعي الجميع مخالفا لها ، فيكون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يدّعي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 ومن يدّعي الجميع مدّعيا ، فيكون المدّعي للشركة وظيفته الحلف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مدّعي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جار في جميع </w:t>
      </w:r>
    </w:p>
    <w:p>
      <w:pPr>
        <w:pStyle w:val="BookText"/>
        <w:rPr/>
      </w:pPr>
      <w:r>
        <w:rPr>
          <w:rFonts w:ascii="Amiri" w:hAnsi="Amiri" w:eastAsia="Amiri" w:cs="Amiri"/>
          <w:color w:val="111111"/>
          <w:sz w:val="28"/>
          <w:sz w:val="28"/>
          <w:szCs w:val="28"/>
          <w:rtl w:val="true"/>
          <w:lang w:bidi="ar-SA"/>
        </w:rPr>
        <w:t>موارد مدّعي الشركة مع مدّعي الجميع ، ولعلّ هذا ما أراده الشهيد قدس سره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الحكم في هذه المسألة ما أفتى به المشهور ، من كون أحد الدرهمين للذي يدّعيهما جميعا ، وتنصيف الآخر بينهما ، فيكون درهم ونصف لمن يدّعيهما ، ونصف درهم للذي ادّعى الواحد ، سواء كان دعوى الأخير على نحو الاشتراك ، أو كان يدّعي واحدا معيّنا ؛ وذلك للنصّ المتقدّم ، وهو صحيح عبد اللّه بن المغيرة المذكور آنفا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والتمسّك بهذه القواعد للاحتياج إلى الحلف والعمل بميزان القضاء ، يكون من قبيل الاجتهاد في مقابل النصّ ، وهذا ممّا يطعن به على المتمسّك مع أنّ هذا الحكم ليس مخالفا للقواعد المقرّرة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أنّ مفروض المسألة فيما يكون لكلّ واحد من المدّعيين يد على المتنازع فيه ، أو مطروح في مكان ليس لأحدهما يد عليه ، ولا فرق بين الصورتين فيما هو المهمّ في المقام ، وهو أنّه ليس هاهنا مدّع ومنكر في البين ، بل هاهنا مدّعيان ليس لهما حجّة على ما يدّعيان إمّا من أوّل الأمر ، كما إذا كان مطروحا وليس لأحدهما يد عليه ، أو من جهة سقوط كلا المدركين بالتعارض ، وذلك فيما كان لكلّ واحد منهما يد على المال المتنازع فيه ، فتتعارض اليدان وتتساقطان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واحد من التقديرين دعويان بلا مستند لكلّ واحد منهما ، وليس المورد مورد المدّعي والمنكر والمال بينهما ، فلا بدّ من تنصيف محلّ النزاع ولو لم يكن تلك الصحيحة ؛ لقاعدة العدل والإنصاف التي يجريها الفقهاء في كلّ مورد يكون المال بينهما وليس لأحدهما مدرك وليس مدّع ومنكر في البين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قطع نزاعهما بموازين القضاء ، ولا بدّ من قطع الخصومة ، فيقطع بتطبيق هذه القاعدة بالتنصيف أو بالتثليث أو بالتربيع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بنسبة عدد المدّعين ، فلو كان </w:t>
      </w:r>
    </w:p>
    <w:p>
      <w:pPr>
        <w:pStyle w:val="BookText"/>
        <w:rPr/>
      </w:pPr>
      <w:r>
        <w:rPr>
          <w:rFonts w:ascii="Amiri" w:hAnsi="Amiri" w:eastAsia="Amiri" w:cs="Amiri"/>
          <w:color w:val="111111"/>
          <w:sz w:val="28"/>
          <w:sz w:val="28"/>
          <w:szCs w:val="28"/>
          <w:rtl w:val="true"/>
          <w:lang w:bidi="ar-SA"/>
        </w:rPr>
        <w:t>عشرين كلّ واحد منهم يدّعي تمام المال الذي ليس لأحدهم يد عليه ، ولا لغير هم عليه يد ، وليس لأحد منهم مدرك آخر أنّ هذا المال له ، فلا بدّ وأن يقسّم بينهم بقاعدة العدل والإنصاف عشرين ، لكلّ واحد منهم واحد من ذلك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أنّ ما أفتى به المشهور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وادعه إنسان درهمين وآخر درهما وامتزج الجميع ثمَّ تلف درهم ، يعطى لذي الدرهمين درهم من الدرهمين الباقيين ، وينصّف الدرهم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فتواهم على طبق القاعدة ، وهي قاعدة العدل والإنصاف ؛ لأنّ الاثنين لا يد لهما على الدرهم ، أمّا يد الودعي فليست أمارة الملكيّة ، وأمّا المدّعيان فلا يد لأحدهما على المتنازع فيه ، واليد السابقة على الإيداع متعلّقها غير معلوم ، وليس المقام مقام المدّعي والمنكر ، فلا يمكن العمل بموازين القضاء ، ولا يمكن قطع الخصومة إلاّ بتطبيق قاعدة العدل والإنصاف بتنصيف المنازع فيه ؛ لأنّهما اثنان ، ولو كان عدد المدّعين أكثر ، كان التقسيم بعددهم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ربما يسمّى بالصلح القهري ، ووجه التسمية واضح ، ولعلّ هذه التسمية صارت سببا لذكر هذه الفروع في كتاب الصلح ، فهذا الحكم على طبق القواعد ، ويؤيّده ما رواه السكوني عن الصادق علیه السلام في رجل استودعه رجل دينارين واستودعه آخر دينارا ، فضاع دينار منها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يعطى صاحب الدينارين دينارا ، ويقسّم الآخر بينهما نصفين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الاحتمالات في هذه المسألة وقد افتى به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احتمالات أخر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بينهما بواسطة الاختلاط والاجتماع في مكان واحد ، أو بواسطة عدم التمييز الحاصل عن الاختلاط والاجتماع في محلّ </w:t>
      </w:r>
    </w:p>
    <w:p>
      <w:pPr>
        <w:pStyle w:val="BookText"/>
        <w:rPr/>
      </w:pPr>
      <w:r>
        <w:rPr>
          <w:rFonts w:ascii="Amiri" w:hAnsi="Amiri" w:eastAsia="Amiri" w:cs="Amiri"/>
          <w:color w:val="111111"/>
          <w:sz w:val="28"/>
          <w:sz w:val="28"/>
          <w:szCs w:val="28"/>
          <w:rtl w:val="true"/>
          <w:lang w:bidi="ar-SA"/>
        </w:rPr>
        <w:t>واحد ، خصوصا إذا كانت من الدراهم المسكوكة بسكّة واحدة وبوزن واحد وشكل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موردا للقرعة ؛ لأجل أنّ القرعة لكلّ أمر مجهول أو مشتبه ، وها هنا اشتبه الدرهم الضائع ، ولا يعلم أنّه لصاحب الدرهم الواحد كي يكون الدرهمان الباقيان لصاحب الدرهمين ، أو أنّه لصاحب الدرهمين كي يكون الباقي أحدهما لهذا والآخر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القهري ؛ حيث لا يمكن معرفة صاحب المال الموجود ، فلا بدّ للحاكم أن يجبرهما على الصلح لرفع الخصومة وقطع النزاع ، فلا بدّ للفقيه أن ينظر إلى هذه الوجوه ، ويرى أنّ أيّها أوجه وبالقواعد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الاشتراك بواسطة الاختلاط وعدم الامتياز ، وإن أثره هو أن يكون من كلّ درهم ثلثه لصاحب الدرهم الواحد وثلثاه لصاحب الدرهمين ، فإذا ضاع واحد الثلاثة وبقي اثنان ، يكون لصاحب الدرهم الواحد ثلث من كلّ واحد من من الدرهمين الباقيين ، وثلثان من كلّ واحد منهما لصاحب الاثنين ؛ فمجموع حصّة صاحب الدرهم الواحد ثلثا درهم ، ومجموع حصّة صاحب الاثنين أربعة أثلاث ، أي درهم وثلث درهم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حصول الاشتراك يصير حصّة صاحب الدرهمين أقلّ ممّا في الرواية وأيضا ممّا أفتى به المشهور ، وهو درهم ونصف ؛ لأنّ حصّته بناء على ما في رواية السكوني وفي فتوى المشهور أربعة أثلاث ونصف ثلث ، بناء على الاشتراك أربعة أثلاث فقط من دون نصف ثلث ، ويصير حصّة صاحب الدرهم الواحد أزيد ممّا في الرواية وممّا أفتى به المشهور ؛ لأنّه بناء على الاشتراك يكون نصيب صاحب الدرهم الواحد نصفا ونصف ثلث ، وبناء على مفاد الرواية وفتوى المشهور يكون نصف درهم فقط من دون نصف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فمرجوح جدّا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وجود المناط في حصول الشركة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بدّ أن يكون هو المراد في المقام في مثل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بوقوع الشركة في المفروض مع وجود رواية عمل بها الأصحاب وصارت معتبرة ولو من هذه الجهة على خلافها لا يخلو من نظر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الاحتمال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المسألة موردا للقرعة من جهة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القرعة لكلّ أمر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أمر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أمر مجهول </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والمورد مشكل ومشتبه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مشكلا ؛ من جهة العلم بأنّ المتنازع فيه إمّا لصاحب الدرهم الواحد وإمّا لصاحب الاثنين ، ولا طريق إلى معرفة صاحبه كي يردّ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مجهولا ؛ فصاحبه مجهول ، وأمّا كونه مشتبها ؛ فلأنّ مالكه مشتبه يحتمل أن يكون هذا ويحتمل أن يكون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أوضحنا في قاعدة القرعة أنّ الأخذ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مجهول أو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المشكل في الأحكام فهو أيضا ممّا يعلم بعدم اعتبار القرعة ، وقلنا إنّ المستفاد من أدلّة القرعة هو أن يكون المورد معلوما بالإجمال ، ويكون في الشبهة الموضوعيّة لا الحكميّة ، ولا يمكن الاحتياط أو يكون الاحتياط حرجيّا أو ضرريا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كما إذا طلّق إحدى زوجاته فاشتبهت عليه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كما لو علم أنّه نذر زيارة الرضا علیه السلام أو زيارة الأئمّة المدفونون في البقيع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كما لو علم بأنّ في قطيع غنمه موطوءا ، فالاحتياط بالاجتناب عن جميع غنمه ضروريّ قطعا ، </w:t>
      </w:r>
    </w:p>
    <w:p>
      <w:pPr>
        <w:pStyle w:val="BookText"/>
        <w:rPr/>
      </w:pPr>
      <w:r>
        <w:rPr>
          <w:rFonts w:ascii="Amiri" w:hAnsi="Amiri" w:eastAsia="Amiri" w:cs="Amiri"/>
          <w:color w:val="111111"/>
          <w:sz w:val="28"/>
          <w:sz w:val="28"/>
          <w:szCs w:val="28"/>
          <w:rtl w:val="true"/>
          <w:lang w:bidi="ar-SA"/>
        </w:rPr>
        <w:t>وفوق ذلك كلّه يكون قد عمل بها الأصحاب في ذلك المورد ، ومعلوم أنّه في هذا المورد لم يعمل بها الأصحاب ؛ لأنّ فتوى المشهور على التنصيف ، فلم يعملوا بها قطعا مضافا إلى أنّ مع وجود الرواية المعمول بها عند الأصحاب لا يبقى إشكال ولا جهل ولا اشتباه في حكم المورد ؛ فليس ما نحن فيه موردا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الصلح القهريّ مع وجود تلك الرواية المعمول بها فلا وجه له ولا تصل النوبة إليه ، فالمتّجه هو الاحتمال الأوّل ، والعمل بالرواية والأخذ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فروع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على رجل ثوبا قيمته درهم مثلا ، فصالحه بأقلّ من قيمته أو بأزيد ، فهذا الصلح صحيح وإن قلنا بأنّ الربا المعامليّ يدخل في الصلح ، وليس مختصا بالبيع ، كما هو الصحيح عندنا ، وذكرنا وجهه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رباء إلاّ 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وقع عن الثوب على أقلّ من قيمته أي درهم واحد ، أو على أزيد منه ، ولم يقع عن نفس القيمة على الأقلّ أو الأكثر منه كي يلزم الرباء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في الدروس أنّ صحّة هذه المعاملة على الوجه الذي ذكرنا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إنّ صحّته وفساده دائر بين أن يكون التلف في القيميّات في اليد الغير المأذونة ، أو إذا أتلف كما هو المذكور في عنوان المسألة هل يوجب اشتغال الذمّة بقيمة التالف أو بمثله ، ويكون أداؤه بالقيمة ، أو التالف بنفسه بوجوده الاعتباريّ في الذمة ويكون أداؤه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 ، أي حين التلف في اليد الغير المأذونة ، أو حين الإتلاف تشتغل الذمّة في القيميات بالقيمة ، فيكون واقعا عن القيمة على الأقلّ منه أو على الأكثر منها ، فيكون من الربا الباطل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قلنا إنّ الذمّة تشتغل بمثل التالف أو بنفسه بوجوده الاعتباريّ ، وإنّما يكون أداؤه بالقيمة ، أي الدرهم أو الدينار ، فالصلح صحيح ؛ لأنّ الصلح وقع عن </w:t>
      </w:r>
    </w:p>
    <w:p>
      <w:pPr>
        <w:pStyle w:val="BookText"/>
        <w:rPr/>
      </w:pPr>
      <w:r>
        <w:rPr>
          <w:rFonts w:ascii="Amiri" w:hAnsi="Amiri" w:eastAsia="Amiri" w:cs="Amiri"/>
          <w:color w:val="111111"/>
          <w:sz w:val="28"/>
          <w:sz w:val="28"/>
          <w:szCs w:val="28"/>
          <w:rtl w:val="true"/>
          <w:lang w:bidi="ar-SA"/>
        </w:rPr>
        <w:t>نفس التالف الذي ليس من المكيل والموزون كالثوب كما هو المفروض ، وإنّما أداؤه بالدرهم أو الدينار ، فلا رباء ، أو وقع من مثل التالف الذي اشتغلت ذمّته به ، وإنما أداؤه بالقيمة ؛ ففي هذا الفرض أيضا لا رباء ؛ ففي هذين الوجهين لا إشكال في صحّة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مقام الثبوت ، وأمّا في مقام الإثبات فالظاهر أنّ ما يأتي في الذمّة بواسطة التلف في اليد الغير المأذونة ، أو بواسطة الإتلاف مطلقا في القيميّات هي القيمة ، كما حقّقناه في قاعدة اليد ، </w:t>
      </w:r>
      <w:r>
        <w:rPr>
          <w:rStyle w:val="FootnoteAnchor"/>
          <w:rtl w:val="true"/>
        </w:rPr>
        <w:footnoteReference w:id="46"/>
      </w:r>
      <w:r>
        <w:rPr>
          <w:rFonts w:ascii="Amiri" w:hAnsi="Amiri" w:eastAsia="Amiri" w:cs="Amiri"/>
          <w:color w:val="111111"/>
          <w:sz w:val="28"/>
          <w:sz w:val="28"/>
          <w:szCs w:val="28"/>
          <w:rtl w:val="true"/>
          <w:lang w:bidi="ar-SA"/>
        </w:rPr>
        <w:t>فصحّة هذا الصلح إذا كان التالف من القيميّات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في ضمان القيميّات أنّه تشتغل الذمّة من حين التلف أو الإتلاف بالقيمة لا بنفسه بوجوده الاعتباريّ ولا بمثله ، ولكن القيمة التي تشتغل الذمّة بها ليست خصوص النقدين المعروفين ، أي الدرهم والدينار ، بل المراد منها ماليّة التالف ، سواء قدر بالنقدين المعروفين أي الدرهم والدينار ، أو قدر بالأجناس الأخر التي لا يكال ولا يوزن ، كما إذا كانت من المعدودات ، أو ممّا يباع بالذراع والامتار ، أو كانت ممّا يباع بالمشاهدة كأنواع الحيوانات كالغنم والإبل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صالحه ، أي صالح الذي أتلف عليه عن متاعه الذي من القيميّات على مبلغ أزيد أو أقلّ من تلك القيمة الكلّية القابلة للانطباق على النقدين وعلى غيرهما ممّا لا يكال ولا يوزن ، فلا يكون من الربا الباطل ؛ لأنّ ذلك الكلّي ليس من الأجناس الربويّة ، لأنّه قابل للانطباق على الأجناس الغير الربويّة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الذي ذكرنا كما أنّه لو كان التالف مثليّا الصلح عنه على الأقلّ أو الأزيد منه لا يكون من الربا الباطل ، كذلك لو كان من القيميّات ، وإن قلنا باشتغال ذمّته بالقيمة من حين التلف ، وذلك لأنّ المراد من القيمة ليس </w:t>
      </w:r>
    </w:p>
    <w:p>
      <w:pPr>
        <w:pStyle w:val="BookText"/>
        <w:rPr/>
      </w:pPr>
      <w:r>
        <w:rPr>
          <w:rFonts w:ascii="Amiri" w:hAnsi="Amiri" w:eastAsia="Amiri" w:cs="Amiri"/>
          <w:color w:val="111111"/>
          <w:sz w:val="28"/>
          <w:sz w:val="28"/>
          <w:szCs w:val="28"/>
          <w:rtl w:val="true"/>
          <w:lang w:bidi="ar-SA"/>
        </w:rPr>
        <w:t>خصوص النقدين المعروفين ، بل المراد مطلق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دار مثلا في يد شخص ، وادّعاها اثنان بسبب مشترك بينهما كالإرث مثلا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 هذه الدار من أبينا ، فكلّ واحد يدّعي نصف تلك الدار وأنّه له بسبب مشترك وهو الإرث من أبيهما ، فصدّق المتشبث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دون الآخر ، بمعنى أنّه أقرّ لأحدهما المعيّن بأنّ نصف هذه الدار لك ، وصالحه عن ذلك النصف المقرّ به له على مال ، فتارة يجيز الآخر هذا الصلح بعد وقوعه أو يأذن قبله ؛ فهذا الصلح صحيح في تمام نصف الدار ، ويكون المال مشتركا بينهما ؛ لأنّ كلّ واحد من المدّعيين مقرّ بأنّ النصف الذي وقع الصلح عنه على ذلك المال مشاع بينهما ، فبعد الإذن أو إجازة الشريك الآخر وصحّة الصلح ، يكون العوض لهما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يمضى الآخر ولا يقبله ، فيكون الصلح في نصف ذلك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 وفي الربع الذي للآخر فضوليّا وباطلا ؛ لردّه وعدم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اتّفقا على وحدة سبب استحقاقهما ، وأمّا إذا لم يتّفقا في ذلك ، بل ادّعى أحدهما أنّ نصف هذه الدار مشاعا لي من جهة اشترائي من فلان ، والآخر أيضا ادّعى أنّ نصفها المشاع لي بسبب آخر ، كإرثه من أبيه ، أو اتّهابه من فلان ، أو اشترائه وأمثال ذلك من أسباب التمليك غير سبب ملكيّة الآخر ، فلو صالح أحدهما عن نصفه مثلا على مال يكون الصلح في تمام حصّته صحيحا ، ويكون تمام العوض له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شراؤهما لتلك الدار معا ، بمعنى أنّ صاحب الدار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هذه الدار فقبلا دفعة ، أو قبل وكيلهما عنهما أو اتّهابها معا ، وكذلك قبضهما دفعة ومعا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هذا مثل كون ملكهما عن سبب واحد ، فإذا أقرّ ذو اليد لأحدهما بنصف الدار مثلا ، وصالح المقرّ له عن ذلك النصف على مال ، يكون نصف مال المصالحة لذلك الآخر الذي هو شريك مع هذا الذي صالحه إن أذن في الصلح قبلا ، أو أجاز بعد </w:t>
      </w:r>
    </w:p>
    <w:p>
      <w:pPr>
        <w:pStyle w:val="BookText"/>
        <w:rPr/>
      </w:pPr>
      <w:r>
        <w:rPr>
          <w:rFonts w:ascii="Amiri" w:hAnsi="Amiri" w:eastAsia="Amiri" w:cs="Amiri"/>
          <w:color w:val="111111"/>
          <w:sz w:val="28"/>
          <w:sz w:val="28"/>
          <w:szCs w:val="28"/>
          <w:rtl w:val="true"/>
          <w:lang w:bidi="ar-SA"/>
        </w:rPr>
        <w:t>وقوعه ، وإن لم يأذن ولم يجز ، فالصلح باطل في حصّته وصحيح في نصف ذلك النصف الذي وقع الصلح عنه ، أي في ربع الدار المفروض ويرجع نصف مال المصالحة إلى مالكه قبل وقوع الصلح أي المصالح المذكور ، أولا؟ بل يكون ملحقا بما إذا كان ملكيّة الشريكين من سببين متغايرين ، فيكون الصلح صحيحا في تمام حصّة المقرّ له ، ولا دخل للشريك الآخر في هذا الصلح ، وليس لإمضائه ولا لردّه أثر في صحّة هذا الصلح ، ولا في بطلانه؟</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 اليد لو أقرّ بملكيّة أحدهما مرجعه إلى وقوع الاتّهاب أو الابتياع بالنسبة إليه ، ولا يمكن التفكيك بين وقوع الاتّهاب أو الابتياع بالنسبة إلى المقرّ له دون الآخر ؛ لأنّ المدّعيين متّفقان في وحدة سبب ملكيّتهما وهو الاتّهاب مع القبض منهما دفعة ، فيكون الآخر غير المقرّ له مقرّا ومعترفا بأنّ كلّ نصف من الإنصاف المتصوّرة في هذه الدار يكون له وللآخر ، فإذا كان ذو اليد يعلم فلازم إقراره لأحدهما إقراره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لذي اليد دعوى أنّ الاتّهاب والابتياع لم يقع إلاّ في نصف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الشريكان فالمفروض اتّفاقهما على أنّ هذه الدار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ابتياعا بصيغة واحدة ، أو اتّهابا بقبول واحد وقبض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 بينهما ، فإذا رفع الغاصب يده عن نصف الدار فقهرا يكون ذلك النصف لكليهما لا لأحدهما ، فيكون الصلح مع أحدهما عن نصف الدار فضوليّا بالنسبة إلى نصف ذلك النصف ، أي ربع تلك الدار موقوفا على إجازة المالك ، وهو الشريك الآخر غير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لأحد الشريكين إذا كان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لا ينصرف إلى حصّة المقرّ له وحده ، بل الغاصب لما رفع اليد عن نصف مال المغصوب من الشريكين يكون لهما ، ولا وجه لاختصاصه بأحد الشريكين وإن أقرّ بأنّه لأحدهما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الإقرار وأمّا بالنسبة إلى البيع والصلح ، فإن باع أحد الشريكين النصف </w:t>
      </w:r>
    </w:p>
    <w:p>
      <w:pPr>
        <w:pStyle w:val="BookText"/>
        <w:rPr/>
      </w:pPr>
      <w:r>
        <w:rPr>
          <w:rFonts w:ascii="Amiri" w:hAnsi="Amiri" w:eastAsia="Amiri" w:cs="Amiri"/>
          <w:color w:val="111111"/>
          <w:sz w:val="28"/>
          <w:sz w:val="28"/>
          <w:szCs w:val="28"/>
          <w:rtl w:val="true"/>
          <w:lang w:bidi="ar-SA"/>
        </w:rPr>
        <w:t>المشاع من المال المشترك الذي يملكه ، فإن صرّح بأنّ المبيع هو نصف نفسه أو نصف شريكه يكون هو المبيع ؛ لأنّه عيّن المبيع ، وأمّا إن أطلق ، فالظاهر أنّه ينصرف إلى نصف نفسه ، وقد حقّقنا هذه المسألة في مسألة من باع نصف الدار وله ملك نصفها ينصرف إلى ما يملكه من نصفها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يعيّن في مقام البيع حصّة شريكه ، أي يبيع نصف الدار لشريكه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المشاع الذي يملكه هو ، فيقع البيع عمّن قصده نفسه أو شريكه ، وثالثة يطلق ، لا يقصد بيع نصف نفسه ، ولا نصف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الصورة صارت محلّ البحث في مسألة من باع نصف الدار وله ملك نصفها ، فالمدّعى أنّ الظاهر في هذه الصورة انصراف البيع إلى ما يملكه ، لا أن يبيع مال غيره ، بدون ذكره والانتساب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البيع ، وكذلك الصلح إذا وقع عن حصّة مشاعة بين من يصالح معه وبين غيره ، فالظاهر أنّه ينصرف إلى حصّة من يصالح معه ، فيكون الصلح بالنسبة إلى تمام ما يصالح عنه وهي الحصّة المشاعة التي لمن يصالحه صحيحا ، ويكون تمام المال المصالحة له ، ولا يستحقّ شريكه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المقاصد </w:t>
      </w:r>
      <w:r>
        <w:rPr>
          <w:rStyle w:val="FootnoteAnchor"/>
          <w:rtl w:val="true"/>
        </w:rPr>
        <w:footnoteReference w:id="47"/>
      </w:r>
      <w:r>
        <w:rPr>
          <w:rFonts w:ascii="Amiri" w:hAnsi="Amiri" w:eastAsia="Amiri" w:cs="Amiri"/>
          <w:color w:val="111111"/>
          <w:sz w:val="28"/>
          <w:sz w:val="28"/>
          <w:szCs w:val="28"/>
          <w:rtl w:val="true"/>
          <w:lang w:bidi="ar-SA"/>
        </w:rPr>
        <w:t xml:space="preserve">في مقام ترجيح صحّة الصلح المذكور في تمام ما صالح عنه ، ووقوعه عن تمام حصّة المصالح معه ،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كالصلح عن مال غير مشاع مشخّص معيّن ، أو المشاع بسبب غير سبب الحصّة التي للشريك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تغاير السبب وكونه مقتضيا للتشريك في عدم الشركة ؛ لأنّ الصلح إنّما هو على استحقاق المقرّ له ، وهو أمر كلّي يمكن نقله عن مالكه إلى آخر ، ولهذا لو باع أحد الورثة حصّته من الإرث صحّ ولم يتوقّف على رضا الباقين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أنّ الفروع التي ذكرها الفقهاء في كتاب الصلح كثيرة ، ولكن البحث عنها غالبا يرجع إلى قواعد أخر غير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تركنا ذكرها لكي يكون البحث عنها في كتاب الصلح كما هو ديدن الفقهاء رضوان اللّه تعالى عليهم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bookmarkStart w:id="38" w:name="pg15947_150982"/>
    </w:p>
    <w:p>
      <w:pPr>
        <w:pStyle w:val="Heading2"/>
        <w:numPr>
          <w:ilvl w:val="1"/>
          <w:numId w:val="1"/>
        </w:numPr>
        <w:rPr/>
      </w:pPr>
      <w:bookmarkStart w:id="39" w:name="__RefHeading___Toc16231880_2142443653"/>
      <w:bookmarkStart w:id="40" w:name="_Toc13"/>
      <w:bookmarkEnd w:id="38"/>
      <w:bookmarkEnd w:id="39"/>
      <w:r>
        <w:rPr/>
        <w:t>47</w:t>
      </w:r>
      <w:r>
        <w:rPr>
          <w:rtl w:val="true"/>
        </w:rPr>
        <w:t xml:space="preserve"> - </w:t>
      </w:r>
      <w:r>
        <w:rPr>
          <w:rtl w:val="true"/>
        </w:rPr>
        <w:t>قاعدة التقية</w:t>
      </w:r>
      <w:bookmarkEnd w:id="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6231882_2142443653"/>
      <w:bookmarkStart w:id="42" w:name="_Toc14"/>
      <w:bookmarkEnd w:id="41"/>
      <w:r>
        <w:rPr>
          <w:rtl w:val="true"/>
        </w:rPr>
        <w:t>اشارة</w:t>
      </w:r>
      <w:bookmarkEnd w:id="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947_150984"/>
      <w:bookmarkStart w:id="44" w:name="pg15947_150984"/>
      <w:bookmarkEnd w:id="44"/>
    </w:p>
    <w:p>
      <w:pPr>
        <w:pStyle w:val="BookText"/>
        <w:rPr/>
      </w:pPr>
      <w:bookmarkStart w:id="45" w:name="pg15947_150984"/>
      <w:bookmarkEnd w:id="45"/>
      <w:r>
        <w:rPr>
          <w:rFonts w:ascii="Amiri" w:hAnsi="Amiri" w:eastAsia="Amiri" w:cs="Amiri"/>
          <w:color w:val="111111"/>
          <w:sz w:val="28"/>
          <w:sz w:val="28"/>
          <w:szCs w:val="28"/>
          <w:rtl w:val="true"/>
          <w:lang w:bidi="ar-SA"/>
        </w:rPr>
        <w:t xml:space="preserve">قاعدة التقية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ومن جملة القواعد الفقهيّة عند الإماميّة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231884_2142443653"/>
      <w:bookmarkStart w:id="47" w:name="_Toc15"/>
      <w:bookmarkEnd w:id="46"/>
      <w:r>
        <w:rPr>
          <w:rtl w:val="true"/>
        </w:rPr>
        <w:t xml:space="preserve">الجهة الأولى </w:t>
      </w:r>
      <w:r>
        <w:rPr>
          <w:rtl w:val="true"/>
        </w:rPr>
        <w:t xml:space="preserve">: </w:t>
      </w:r>
      <w:r>
        <w:rPr>
          <w:rtl w:val="true"/>
        </w:rPr>
        <w:t>في المراد منها</w:t>
      </w:r>
      <w:bookmarkEnd w:id="47"/>
    </w:p>
    <w:p>
      <w:pPr>
        <w:pStyle w:val="Heading4"/>
        <w:numPr>
          <w:ilvl w:val="3"/>
          <w:numId w:val="1"/>
        </w:numPr>
        <w:rPr/>
      </w:pPr>
      <w:bookmarkStart w:id="48" w:name="__RefHeading___Toc16231886_2142443653"/>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اسم مصدر من تقى يتقي أو من اتّقى يتّقى ، وعلى كلّ تقدير سواء كان من الثلاثي أو من المزيد أصل المادة من اللفيف المفروق ، والحرف الأوّل واو ، والثالث ياء فقلبت الواو تاء كما في تجاه وتراث ، فبناء على هذا لا فرق من حيث المعنى بين التقيّة والاتّقاء إلاّ ما هو من الفرق بين المصدر واسمه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تكون التقيّة اسم المصدر ، وأمّا بناء على أن تكون هي المصدر الثاني لاتّقى فلا فرق بينهما أصلا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واحد من التقديرين هي عبارة عن إظهار الموافقة مع الغير في قول أو فعل أو ترك فعل يجب عليه حذرا من شرّه الذي يحتمل صدوره بالنسبة إليه ، أو </w:t>
      </w:r>
      <w:bookmarkStart w:id="50" w:name="pg15947_150985"/>
    </w:p>
    <w:p>
      <w:pPr>
        <w:pStyle w:val="BookText"/>
        <w:rPr/>
      </w:pPr>
      <w:bookmarkEnd w:id="50"/>
      <w:r>
        <w:rPr>
          <w:rFonts w:ascii="Amiri" w:hAnsi="Amiri" w:eastAsia="Amiri" w:cs="Amiri"/>
          <w:color w:val="111111"/>
          <w:sz w:val="28"/>
          <w:sz w:val="28"/>
          <w:szCs w:val="28"/>
          <w:rtl w:val="true"/>
          <w:lang w:bidi="ar-SA"/>
        </w:rPr>
        <w:t>بالنسبة إلى من يحبّه مع ثبوت كون ذلك القول أو ذلك الفعل أو ذلك الترك مخالفا للحقّ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المراد من التقيّة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التقيّة من حيث الحكم التكليفي وأنّه يجوز أم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ترتّب آثار ما هو الواقع والحقّ على هذا الفعل أو الترك بواسطة إذن الشارع في الإتيان أو الترك المخالفين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تترتّب على ذلك الفعل أو الترك المخالفين للحقّ الآثار الشرعيّة التي رتّبها الشارع عليهما لو صدرا عنه بالاختيار وبميله من دون تقيّة ، أو صدورها تقيّة يوجب رفع تلك الآثار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6231888_2142443653"/>
      <w:bookmarkStart w:id="52" w:name="_Toc17"/>
      <w:bookmarkEnd w:id="51"/>
      <w:r>
        <w:rPr>
          <w:rtl w:val="true"/>
        </w:rPr>
        <w:t xml:space="preserve">فالتكلّم في التقيّة في مقامات ثلاث </w:t>
      </w:r>
      <w:r>
        <w:rPr>
          <w:rtl w:val="true"/>
        </w:rPr>
        <w:t>:</w:t>
      </w:r>
      <w:bookmarkEnd w:id="52"/>
    </w:p>
    <w:p>
      <w:pPr>
        <w:pStyle w:val="Heading5"/>
        <w:numPr>
          <w:ilvl w:val="4"/>
          <w:numId w:val="1"/>
        </w:numPr>
        <w:rPr/>
      </w:pPr>
      <w:bookmarkStart w:id="53" w:name="__RefHeading___Toc16231890_2142443653"/>
      <w:bookmarkStart w:id="54" w:name="_Toc18"/>
      <w:bookmarkEnd w:id="53"/>
      <w:r>
        <w:rPr>
          <w:rtl w:val="true"/>
        </w:rPr>
        <w:t>المقام الأوّل</w:t>
      </w:r>
      <w:bookmarkEnd w:id="54"/>
    </w:p>
    <w:p>
      <w:pPr>
        <w:pStyle w:val="BookText"/>
        <w:rPr/>
      </w:pPr>
      <w:r>
        <w:rPr>
          <w:rFonts w:ascii="Amiri" w:hAnsi="Amiri" w:eastAsia="Amiri" w:cs="Amiri"/>
          <w:color w:val="111111"/>
          <w:sz w:val="28"/>
          <w:sz w:val="28"/>
          <w:szCs w:val="28"/>
          <w:rtl w:val="true"/>
          <w:lang w:bidi="ar-SA"/>
        </w:rPr>
        <w:t>في بيان حكمها التكليفي وأنّه يجوز أو لا يجوز</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جوازه ، بل وجوبه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وجوازه من القطعيّات واليقينيّات إجماعا وكتابا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 فوجوده وعدم حجيّته معلوم ؛ لكون اعتمادهم على تلك المدارك القطعيّة ، فليس من الإجماع المصطلح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w:t>
      </w:r>
    </w:p>
    <w:p>
      <w:pPr>
        <w:pStyle w:val="BookText"/>
        <w:rPr/>
      </w:pP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الروايات ، ففوق حدّ الاستفاضة بل لا يبعد تواترها معنى ، وقد عقد في الوسائل أبوابا لها في كتاب الأمر بالمعروف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هشام بن سالم ،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وَيَدْرَؤُنَ بِالْحَسَنَةِ السَّيِّئَةَ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التقيّة والإساءة الإذاعة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الكافي أيضا عن هشام بن سالم ، عن أبي عمرو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عمرو تسعة أعشار الدين التقيّة ، ولا دين لمن لا تقيّة له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القيام للولاة؟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من ديني ودين آبائي ، ولا إيمان لمن لا تقيّة له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محمّد بن مروان ، عن أبي عبد 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أقرّ لعيني من التقيّة ، إنّ التقيّة جنّة المؤمن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عن الكافي عن عبد اللّه بن أبي يعفور ، قال سمعت أبا عبد اللّه علیه السلام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المؤمن ، والتقيّة حذر المؤمن ، ولا إيمان لمن لا تقيّة له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عبد اللّه بن أبي يعفور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على دينكم واحجبوه بالتقيّة ، فإنّه لا إيمان لمن لا تقيّة له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حبيب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على وجه الأرض شي‌ء أحبّ إلى من التقيّة ، يا حبيب إنّه من كانت له تقيّة رفعه اللّه ، يا حبيب من لم تكن له تقيّة وضعه اللّه ، يا حبيب إنّ الناس إنّما هم في هدنة ، فلو قد كان ذلك كان هذا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عن الكافي عن حريز ، عمن أخبره ، عن أبي عبد اللّه علیه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الحسنة التقيّة والإساءة الإذاعة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هشام بن سالم ، عن أبي عمرو الكناني ، عن أبي عبد اللّه علیه السلام في حديث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عمرو أبى اللّه إلاّ أن يعبد سرّا ، أبى اللّه عزّ وجلّ لنا ولكم في دينه إلاّ التقيّة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عن الكافي عن محمّد بن مسلم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تقارب هذا </w:t>
      </w:r>
    </w:p>
    <w:p>
      <w:pPr>
        <w:pStyle w:val="BookText"/>
        <w:rPr/>
      </w:pPr>
      <w:r>
        <w:rPr>
          <w:rFonts w:ascii="Amiri" w:hAnsi="Amiri" w:eastAsia="Amiri" w:cs="Amiri"/>
          <w:color w:val="111111"/>
          <w:sz w:val="28"/>
          <w:sz w:val="28"/>
          <w:szCs w:val="28"/>
          <w:rtl w:val="true"/>
          <w:lang w:bidi="ar-SA"/>
        </w:rPr>
        <w:t xml:space="preserve">الأمر كان أشدّ للتقيّة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عن الكافي عن ابن مسكان عن حريز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ترس اللّه بينه وبين خلقه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يحتاج دلالة هذه الأخبار على جواز التقيّة إلى البيان والشرح والإيضاح ؛ لكونه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شيخنا الأعظم الأنصاري قدس سره في رسالته المعمولة في التقيّة أنّها تنقسم إلى الأحكام الخمسة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كلامه في تصوير انقسامها إلى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ما يكون لدفع ضرر متوجّه إليه من النفس أو العرض بحيث يكون دفعه واجبا ، ولا يدفع ذلك الضرر الواجب الدفع إلاّ بالتقيّة ، فتكون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ما كان موجبا للتحرّز عن كونه معرضا للضرر ، بمعنى أنّه من الممكن أن يكون تركها مفضيا إلى الضرر تدريجا ، كترك المداراة مع المخالفين ، وهجرهم في المعاشرة في بلادهم ، فإنّه ينجرّ غالبا إلى حصول المباينة الموجبة للمعاداة التي تترتّب عليها الضرر غالبا ، فالحضور في جماعاتهم والعمل على طبق أعمالهم تقيّة مستحبّ لأجل هذه الغاية ، وإن لم يكن ضرر فعلا في تركها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والمباح ما كان التحرّز عن الضرر بالتقيّة وتركه بعدم التقيّة متساويان في نظر الشارع ؛ لكون مصلحة التقيّة وتركها متساويتين ، كما قيل في إظهار كلمة الكفر حيث أنّ في فعل التقيّة مصلحة ، وفي تركها أيضا مصلحة إعلاء كلمة الإسلام ، وفرضنا أنّ </w:t>
      </w:r>
    </w:p>
    <w:p>
      <w:pPr>
        <w:pStyle w:val="BookText"/>
        <w:rPr/>
      </w:pPr>
      <w:r>
        <w:rPr>
          <w:rFonts w:ascii="Amiri" w:hAnsi="Amiri" w:eastAsia="Amiri" w:cs="Amiri"/>
          <w:color w:val="111111"/>
          <w:sz w:val="28"/>
          <w:sz w:val="28"/>
          <w:szCs w:val="28"/>
          <w:rtl w:val="true"/>
          <w:lang w:bidi="ar-SA"/>
        </w:rPr>
        <w:t>مصلحة حفظ النفس التي في التقيّة مع مصلحة إعلاء كلمة الإسلام التي في تركها متساويتان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كما في الدماء ، فقتل المؤمن في مورد لا يستحقّ القتل تقيّة حرام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ما يكون ضدّه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الشيخ الأعظم الأنصاري قدس سره في انقسام التقيّة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خصوصا الأخير تأمّل واضح ؛ لأنّ ترك المستحبّ ليس بمكروه ، مع أنّ نقيضه أفضل ، فلو كانت الحركة من بلد أفضل من الوقوف فيه ، فهذا لا يلازم كون الوقوف مكروها ، فالأولى التمثيل للمكروه بما ذكره الشهيد قدس سره وهو التقيّة بإتيان ما هو مستحبّ عندهم ، مع عدم خوف الضرر لا عاجلا ولا آجلا إذا كان ذلك الشي‌ء مكروها واقعا ، وإلاّ لو كان حراما فالتقيّة بإتيانه لموافقتهم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ذكروه ، ولكن الذي يظهر من الأخبار المستفيضة بل المتواترة هو استحباب التقيّة بل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بموافقتهم عملا بل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احتمل ترتّب ضرر على نفسه ، أو على إخوانه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قلنا من استحباب التقيّة أو وجوبها كان في الأزمنة السابقة في أيّام سلاطين الجور الذي ربما كان تركها ينجر إلى قتل الإمام علیه السلام أو إلى قتل جماعة من المؤمنين ، وأمّا في هذه الأزمنة بحمد اللّه حيث لا محذور في العمل بما هو الحقّ ومقتضى مذهبه في العبادات والمعاملات ، فلا يوجد موضوع للتقية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تحقّق موضوع التقيّة في زمان أو مكان ، فالواجب منها لا يعارض بأدلّة الواجبات والمحرّمات ، وذلك لحكومة دليل وجوب التقيّة على تلك الأدلّة كما هو الشأن في سائر أدلّة العناوين الثانوية بالنسبة إلى أدلّة العناوين الأوّلية ، وذلك كأدلّة نفي العسر والحرج والضرر بالنسبة إلى الأدلّة الأوّلية حيث أنّها حاكمة على الأدلّة الأوّلية بالحكومة الواقعية ، إلاّ في حديث الرفع بالنسبة إلى خصوص ما لا يعلمون ، </w:t>
      </w:r>
      <w:bookmarkStart w:id="55" w:name="pg15947_150990"/>
    </w:p>
    <w:p>
      <w:pPr>
        <w:pStyle w:val="BookText"/>
        <w:rPr/>
      </w:pPr>
      <w:bookmarkEnd w:id="55"/>
      <w:r>
        <w:rPr>
          <w:rFonts w:ascii="Amiri" w:hAnsi="Amiri" w:eastAsia="Amiri" w:cs="Amiri"/>
          <w:color w:val="111111"/>
          <w:sz w:val="28"/>
          <w:sz w:val="28"/>
          <w:szCs w:val="28"/>
          <w:rtl w:val="true"/>
          <w:lang w:bidi="ar-SA"/>
        </w:rPr>
        <w:t>فإنّ حكومته على الأدلة الأوّلية حكومة ظاهريّة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6231892_2142443653"/>
      <w:bookmarkStart w:id="57" w:name="_Toc19"/>
      <w:bookmarkEnd w:id="56"/>
      <w:r>
        <w:rPr>
          <w:rtl w:val="true"/>
        </w:rPr>
        <w:t>المقام الثاني</w:t>
      </w:r>
      <w:bookmarkEnd w:id="57"/>
    </w:p>
    <w:p>
      <w:pPr>
        <w:pStyle w:val="Heading6"/>
        <w:numPr>
          <w:ilvl w:val="5"/>
          <w:numId w:val="1"/>
        </w:numPr>
        <w:rPr/>
      </w:pPr>
      <w:bookmarkStart w:id="58" w:name="__RefHeading___Toc16231894_2142443653"/>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وهو المهمّ في المقام ، وهو أنّه هل تترتّب آثار الواقع والحقّ على هذا الفعل أو الترك المخالف للحقّ بواسطة إذن الشارع في ذلك الفعل الذي يفعله لأجل التقيّة أو إذنه في ترك أمر لأجلها ، أو لا تترتّب؟</w:t>
      </w:r>
    </w:p>
    <w:p>
      <w:pPr>
        <w:pStyle w:val="BookText"/>
        <w:rPr/>
      </w:pPr>
      <w:r>
        <w:rPr>
          <w:rFonts w:ascii="Amiri" w:hAnsi="Amiri" w:eastAsia="Amiri" w:cs="Amiri"/>
          <w:color w:val="111111"/>
          <w:sz w:val="28"/>
          <w:sz w:val="28"/>
          <w:szCs w:val="28"/>
          <w:rtl w:val="true"/>
          <w:lang w:bidi="ar-SA"/>
        </w:rPr>
        <w:t>ثمَّ التكلّم في ترتّب آثار الواقع وما هو الحقّ تارة بالنسبة إلى خصوص أثر القضاء والإعادة ، وأنّ ذلك الفعل المخالف للواقع والحقّ هل هو مجز ولا إعادة عليه لو ارتفعت التقيّة في الوقت ، ولا قضاء إذا ارتفعت في خارج الوقت ، أم ليس بمجز بل تجب الإعادة بعد ارتفاع التقيّة في الوقت ، بحيث يمكن إتيان ما هو الواقع في الوقت ، ويجب القضاء لو ارتفعت التقيّة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سائر آثار الصحّة ، مثل أنّه لو توضّأ بالوضوء تقيّة من الأسفل إلى الأعلى في غسل اليدين أو غسل الرجلين بدل مسحهما ، فهل يترتّب عليه أثر الوضوء الصحيح والواقعي من رفع الحدث بحيث لو ارتفعت التقيّة لا يحتاج إلى الوضوء ثانيا على نهج الحقّ للصلوات الأخر ، أم لا؟</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ترتّب الأثر عليه من حيث الإجزاء وسقوط الإعادة والقضاء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واجب من الواجبات إذا أتي به موافقا لمن يتّقيه وكان مخالفا للحقّ في بعض أجزائه وشرائطه ، بل وفي إيجاد بعض موانعه ، فإن كان مأذونا من قبل الشارع في إيجاد ذلك الواجب بعنوان أنّه واجب للتقيّة فهو مجز عن الواقع ، ولا يجب عليه الإعادة إذا ارتفع الاضطرار في الوقت ، ولا القضاء إذا ارتفع في خارج </w:t>
      </w:r>
    </w:p>
    <w:p>
      <w:pPr>
        <w:pStyle w:val="BookText"/>
        <w:rPr/>
      </w:pPr>
      <w:r>
        <w:rPr>
          <w:rFonts w:ascii="Amiri" w:hAnsi="Amiri" w:eastAsia="Amiri" w:cs="Amiri"/>
          <w:color w:val="111111"/>
          <w:sz w:val="28"/>
          <w:sz w:val="28"/>
          <w:szCs w:val="28"/>
          <w:rtl w:val="true"/>
          <w:lang w:bidi="ar-SA"/>
        </w:rPr>
        <w:t xml:space="preserve">الوقت ؛ وذلك لما حقّقنا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في مبحث الإجزاء أنّ الإتيان بالمأمور به بالأمر الواقعي الثانوي مجز عن الإتيان بالمأمور به بالأمر الواقعي الأوّلي ، سواء كان رفع الاضطرار في الوقت ، أو في خارج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كونه مأذونا بين أن يكون الرخصة والإذن بعنوان ذلك الواجب بخصوصه ، كما أنّه ورد الإذن في خصوص المسح على الخفّين في صحيح أبي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أنّه رأى عليا علیه السلام أنّه أراق الماء ثمَّ مسح على الخفيّن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أبو ظبيان ، أما بلغك قول عليّ علیه السلام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فيهما رخصة؟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من عدوّ تتّقيه ، أو ثلج تخاف على رجليك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كان بعنوان عامّ يشمل جميع الواجبات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من ديني ودين آبائي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وكذلك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كلّ شي‌ء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النبيذ ، والمسح على الخفّين ، ومتعة الحجّ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الكثيرة التي هي فوق حدّ الاستفاضة على الإذن والرخصة في امتثال الواجبات موافقة للمخالفين تقيّة منوطة بأن يكون المراد من التقيّة الواردة فيها هو العمل الذي يأتي به تقيّة ، أي ما يتّقى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لا يخلو من نظر ؛ لأنّ التقيّة كما تقدّم مصدر أو </w:t>
      </w:r>
    </w:p>
    <w:p>
      <w:pPr>
        <w:pStyle w:val="BookText"/>
        <w:rPr/>
      </w:pPr>
      <w:r>
        <w:rPr>
          <w:rFonts w:ascii="Amiri" w:hAnsi="Amiri" w:eastAsia="Amiri" w:cs="Amiri"/>
          <w:color w:val="111111"/>
          <w:sz w:val="28"/>
          <w:sz w:val="28"/>
          <w:szCs w:val="28"/>
          <w:rtl w:val="true"/>
          <w:lang w:bidi="ar-SA"/>
        </w:rPr>
        <w:t xml:space="preserve">اسم مصدر وبمعنى الاتّقاء ، فكون الاتّقاء من الدين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تقيّة له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ترك التقيّة ويلقى نفسه في الهلكة ، وهذا غير أن يكون ما يتّقى به من العمل الموافق لهم المخالف للحقّ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نظر المحقّق الثاني </w:t>
      </w:r>
      <w:r>
        <w:rPr>
          <w:rStyle w:val="FootnoteAnchor"/>
          <w:rtl w:val="true"/>
        </w:rPr>
        <w:footnoteReference w:id="69"/>
      </w:r>
      <w:r>
        <w:rPr>
          <w:rFonts w:ascii="IRNazanin" w:hAnsi="IRNazanin" w:eastAsia="IRNazanin"/>
          <w:color w:val="111111"/>
          <w:sz w:val="28"/>
          <w:sz w:val="28"/>
          <w:szCs w:val="28"/>
          <w:rtl w:val="true"/>
          <w:lang w:bidi="fa-IR"/>
        </w:rPr>
        <w:t xml:space="preserve">قدس سره في التفصيل الذي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الإذن في إتيان واجب بخصوصه تقيّة ، أي موافقا مع من يخاف منه وإن كان مخالفا للحقّ في نظره ، فيكون مجزيا فلا إعادة عليه ولا القضاء بعد رفع الخوف ؛ وبين ما إذا كان الواجب الذي يأتي به تقيّة لم يرد في إتيانه بذلك الوجه المخالف للحقّ إذن ورخصة بالخصوص ، بل ليس في البين إلاّ تلك الأخبار العامّة الآمرة بلزوم التقيّة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من ديني ودين آبائي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ورواية المعلّى بحذف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رواية أخرى ، والرادعة عن تركها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تقيّة له </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الذي ذكرنا من كون نظر الأخبار العامّة إلى لزوم الاتّقاء ووجوبه وحرمة تركه وإلقاء نفسه في الهلكة ، وإلاّ فأيّ فرق بين أن يكون الإذن والرخصة بصورة القضيّة الشخصيّة الخارجيّة ، بصورة القضيّة الكلّية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إسناد مثل هذا إلى مثل ذلك المحقّق الذي هو من أعاظم أساطين الفقه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إذا صدر إذن من قبل الشارع بإتيان واجب بخصوصه أو الواجبات عموما بصورة عامّة موافقا معهم ، وإن كان مخالفا للحقّ من جهة الخوف </w:t>
      </w:r>
    </w:p>
    <w:p>
      <w:pPr>
        <w:pStyle w:val="BookText"/>
        <w:rPr/>
      </w:pPr>
      <w:r>
        <w:rPr>
          <w:rFonts w:ascii="Amiri" w:hAnsi="Amiri" w:eastAsia="Amiri" w:cs="Amiri"/>
          <w:color w:val="111111"/>
          <w:sz w:val="28"/>
          <w:sz w:val="28"/>
          <w:szCs w:val="28"/>
          <w:rtl w:val="true"/>
          <w:lang w:bidi="ar-SA"/>
        </w:rPr>
        <w:t>على نفسه ، أو عرضه ، أو ماله ، أو الخوف على غيره كذلك ، يكون إتيانه مجزيا عن الإتيان بالمأمور به بالأمر الواقعي الأوّلي ثانيا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صدر الإذن بامتثال الواجب الموسّع موافقا للمخالفين بمجرّد تحقّق التّقية ، وأمّا لو لم يصدر إذن من قبله بذلك ، فهل يشمل الأوامر المطلقة الأوّلية المتعلّقة بالواجبات لمثل هذا الفرد المخالف للحقّ والواقع ، بضميمة أوامر وجوب استعمال التقيّة في مقام الامتثال وحرمة تركها ، أم لا؟</w:t>
      </w:r>
    </w:p>
    <w:p>
      <w:pPr>
        <w:pStyle w:val="BookText"/>
        <w:rPr/>
      </w:pPr>
      <w:r>
        <w:rPr>
          <w:rFonts w:ascii="Amiri" w:hAnsi="Amiri" w:eastAsia="Amiri" w:cs="Amiri"/>
          <w:color w:val="111111"/>
          <w:sz w:val="28"/>
          <w:sz w:val="28"/>
          <w:szCs w:val="28"/>
          <w:rtl w:val="true"/>
          <w:lang w:bidi="ar-SA"/>
        </w:rPr>
        <w:t>فإن قلنا بالأوّل وشمولها لمثل ذلك الفرد ، فيكون أيضا مجزيا ، ولا يحتاج إلى القضاء والإعادة بعد ارتفاع الخوف والاضطرار ، ويكون حاله حال ما ورد الإذن بفعله موافقا لهم ،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بعدم شمولها له ، فما أتى به تقيّة ليس بمجز قطعا ؛ لأنّه لم يأت بما هو المأمور به ، وجواز التقيّة أو وجوبه لا أثر 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دليل خاصّ على أنّ هذا الفاقد للشرط أو الجزء ، أو هذا العمل وجه فيه المانع مجز عن الواقع فهو ، وإلاّ فصرف جواز الإتيان بواسطة الخوف لا يوجب سقوط الإعادة والقضاء إذ مقتضى إطلاق دليل ذلك الجزء ، أو ذلك الشرط ، أو ذلك المانع عدم اختصاصه بحال الاختيار ، بحيث إذا لم يتمكّن من إتيانه في الجزء أو الشرط أو من تركه في المانع يسقط التكليف لعدم القدرة شرعا على إتيان ما هو المأمور به واقعا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لدليل ذلك الشرط أو الجزء أو ذلك المانع إطلاقا يثبت جزئيّته أو شرطيّته أو مانعيّته في ذلك الحال ، أو كان مفاد أدلّتها تقييدها بحال التمكّن ، وكان لدليل ذلك العمل المركّب إطلاق بالنسبة إلى حالتي وجود ذلك القيد وعدمه ، وتعذّره وعدمه ، فنفس دليل ذلك الواجب المركّب يوجب صحّة ذلك العمل الذي هو فاقد الجزء أو الشرط أو هو واجد للمانع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أن يكون تعذّر القيد فعلا أو تركا من جهة التقيّة ، أو من جهة أخرى من أنواع الاضطرار إلى الفعل أو الترك ؛ لأنّ المناط في الجميع واحد ، وهو عدم القدرة على الإتيان بالمأمور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حرّرنا المناط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سنتكلّم في أنّ أمر التعذّر من جهة التقيّة أوسع من التعذّر من الجهات الأخر ، وعمدة ذلك هو أنّ التقيّة شرّعت لأجل حفظ دماء المتّقين ، ولذلك لا يعتبر فيها عدم وجود المندوحة ، كما سنبيّن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الذي يسهل الخطب ويثبت إجزاء فاقد الشرط أو الجزء أو واجد المانع هو عمومات بعض أخبار التقيّة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ديني ودين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المعلّى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ديني ودين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سائر الطرق ، بناء على أن يكون المراد من التقيّة هو العمل الموافق لهم المخالف للحقّ ، أي ما يتّقى به ، لا الاتّقاء كما هو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للإجزاء برواية مسعدة بن صدقة بقوله علیه السلام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شي‌ء يعمل المؤمن بينهم لمكان التقيّة ممّا لا يؤدّي إلى الفساد فإنّه جائز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لا يخلو من تأمّل ؛ لأنّ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تكليفا ، وهذا لا ربط له بالإجزاء ، وإلاّ فهذا المعنى قطعيّ ولا كلام فيه من أحد ، نعم قيّد علیه السلام الجواز بما لا يؤدّي إلى الفساد ، وإلاّ لو أدّى إليه فلا يجوز حتّى تكليفا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دلالة روايات التقيّة على الإجزاء هو الذي قلنا من كون التقيّة دينا أنّه يرجع إلى أنّه حكم واقعي ثانوي ، وقد أثبتنا كونه مجزيا في مبحث الإجزاء في </w:t>
      </w:r>
    </w:p>
    <w:p>
      <w:pPr>
        <w:pStyle w:val="BookText"/>
        <w:rPr/>
      </w:pPr>
      <w:r>
        <w:rPr>
          <w:rFonts w:ascii="IRNazanin" w:hAnsi="IRNazanin" w:eastAsia="IRNazanin"/>
          <w:color w:val="111111"/>
          <w:sz w:val="28"/>
          <w:sz w:val="28"/>
          <w:szCs w:val="28"/>
          <w:rtl w:val="true"/>
          <w:lang w:bidi="fa-IR"/>
        </w:rPr>
        <w:t xml:space="preserve">الأصول </w:t>
      </w:r>
      <w:r>
        <w:rPr>
          <w:rStyle w:val="FootnoteAnchor"/>
          <w:rtl w:val="true"/>
        </w:rPr>
        <w:footnoteReference w:id="74"/>
      </w:r>
      <w:r>
        <w:rPr>
          <w:rFonts w:ascii="Amiri" w:hAnsi="Amiri" w:eastAsia="Amiri" w:cs="Amiri"/>
          <w:color w:val="111111"/>
          <w:sz w:val="28"/>
          <w:sz w:val="28"/>
          <w:szCs w:val="28"/>
          <w:rtl w:val="true"/>
          <w:lang w:bidi="ar-SA"/>
        </w:rPr>
        <w:t>، وقلنا إنّه متوقّف على أن يكون المراد من التقيّة هو العمل الذي يتقى به ، لا الاتّقاء بالعمل ، ولا يبعد ذلك ، فيكون كالوصيّة بمعنى ما أوصى به ، فكما أنّ الوصيّة اسم مصدر للإيصاء وقد يجي‌ء بمعنى الموصى به ، فلتكن التقيّة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العامّة والخاصّة تدلّ على أنّ إتيان الواجبات موافقة للمخالفين وإن كانت مخالفة للحقّ قد أذن ورخّص فيه الشارع ، فلا ينبغي الشكّ في أنّها مجزية عن الواقع الأوّلي ، ولا يجب إعادتها ولا قضاؤها بعد ارتفاع الخوف وحصول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الإتيان بالواجبات موافقة لمذهبهم مع كونها مخالفة للحقّ للتقيّة مجز عن الإتيان بما هو الحقّ بعد ارتفاع الخوف وحصول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فيما إذا كانت المخالفة في المذهب ، بمعنى أنّ الاختلاف يكون بين المذهبين في أجزاء الواجبات ، أو شرائطها ، أو موانعها ، أو كيفيّة أدائها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الاختلاف في نفس الحكم الشرعي ، لا فيما إذا كان الاختلاف فيما هو مصداق لموضوع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لا خلاف بينهما في وجوب الإفطار في يوم أوّل شوّال ، أي يوم 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الاختلاف في مصداق هذا اليوم فحكم حاكمهم بأنّ يوم الجمعة مثلا عيد استنادا إلى ثبوت رؤية الهلال ليلتها ، فإذا علمنا بعدم مطابقة هذا الحكم للواقع وخطأ الحاكم أو الشهود ، فلا تشمل أدلّة إجزاء التقيّة مثل هذا المورد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قامت حجّة شرعيّة من علم أو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اليوم من شهر رمضان ، فالإفطار في ذلك اليوم وإن كان جائزا إذا كان لخوف الضرر على نفسه أو ماله أو عرضه ، أو كان في الصوم فيه حرج ، ولكن لا يكون مجزيا ، فيجب قضاء ذلك اليوم ، كما هو الظاهر من مرسلة رفاعة عن رجل عن أبي </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العبّاس بالحيرة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تقول في الصيام اليوم؟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صمت صمنا وإن أفطرت أفطرنا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علىّ بالمائدة ، فأكلت معه وأنا أعلم واللّه أنّه يوم من شهر رمضان ؛ فكان إفطاري يوما وقضاؤه أيسر علىّ من أن يضرب عنقي ولا يعبد اللّه </w:t>
      </w:r>
      <w:r>
        <w:rPr>
          <w:rFonts w:eastAsia="IRNazanin" w:cs="IRNazanin"/>
          <w:color w:val="111111"/>
          <w:sz w:val="28"/>
          <w:szCs w:val="28"/>
          <w:rtl w:val="true"/>
          <w:lang w:bidi="fa-IR"/>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أيضا أخبار أخر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يجب عليه القضاء وإن قلنا بالإجزاء في المأتيّ به تقيّة ، وذلك لما ذكرنا أنّ ظاهر أدلّة التقيّة هو أنّ إتيان الواجب على وفق مذهب من يتقى عنه يكون مجزيا ، وفي المورد ليس الإفطار موافقا لمذهبهم ؛ لأنّ مذهبهم أيضا أنّه لا يجوز الإفطار في نهار رمضان ، وإنّما هو خطأ في التطبيق ، ولا ربط له بأدلّة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في المورد لم يأت بالواجب تقيّة ، وإنّما تركه تقيّة ، وأدلّة التقيّة بناء على دلالتها على الإجزاء أتى يكون فيما إذا بالواجب موافقا لمذهبهم ، لا أنّه يترك إتيان الواجب رأسا لأجل التقيّة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حكم حاكمهم بأنّ يوم الجمعة مثلا هو اليوم التاسع من ذي الحجّة الذي يقال له يوم عرفة وهو يوم الوقوف في عرفات ، وعلم المكلّف بأنّه ليس اليوم التاسع ، أو قامت حجّة شرعيّة على أنّه اليوم الثامن مثلا ، وهو مضطرّ في الوقوف في اليوم الذي يعلم بأنّه ليس يوم عرفة ، لعلمه بتقدّمه على ذلك اليوم أو تأخّره عنه ، ولا يمكنه الوقوف في اليوم الذي قامت عنده الحجّة الشرعيّة على أنّه يوم عرفة ، ففات عنه الوقوف في يوم عرفة ، فلا يمكن القول بإجزاء ذلك الحجّ ؛ لفوت الوقوف في عرفات يوم عرفة ، وإن قلنا بأنّ إتيان الواجب موافقا لمذهبهم مجز ؛ لأنّ الوقوف في </w:t>
      </w:r>
    </w:p>
    <w:p>
      <w:pPr>
        <w:pStyle w:val="BookText"/>
        <w:rPr/>
      </w:pPr>
      <w:r>
        <w:rPr>
          <w:rFonts w:ascii="Amiri" w:hAnsi="Amiri" w:eastAsia="Amiri" w:cs="Amiri"/>
          <w:color w:val="111111"/>
          <w:sz w:val="28"/>
          <w:sz w:val="28"/>
          <w:szCs w:val="28"/>
          <w:rtl w:val="true"/>
          <w:lang w:bidi="ar-SA"/>
        </w:rPr>
        <w:t>يوم غير عرفة ليس موافقا لمذهبهم ، وإنّما هو 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تصحيح مثل هذا الحجّ بوجه آخر ، وهو أنّ حاكمهم لو حكم بثبوت الهلال بشهادة من يكون شهادته معتبرة عندهم ، وليست معتبرة بحسب الواقع لفسقه أو لنصبه أو لجهة أخرى راجعة إلى الشبهة الحكميّة ، بحيث يكون الحكم في مذهب الحقّ عدم قبول تلك الشهادة ، وكان القبول في مذهب الحاكم ، فحينئذ يكون عدم العمل بحكمهم قدحا في مذهبهم ، فترك العمل يرجع إلى الاختلاف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على وفق مذهبهم بالجري على طبق حكمهم للخوف من الضرر يكون كسائر موارد التقيّة التي أذن الشارع ورخّص فيها بعنوان ترخيص التقيّة ، فلا فرق بين أن يأتي بالصلاة الناقصة تقيّة ، أو يأتي بالحجّ الناقص تقيّة ، فكما أنّه في الأوّل يكون ذلك العمل مجزيا عن الإتيان بالواقع ثانيا بعد ارتفاع الخوف وحصول الأمن ، فكذلك الأمر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أنّه هل نفوذ حكم الحاكم عندهم ولزوم الجري على طبقه وعدم جواز مخالفته مخصوص بصورة الشكّ والجهل بمطابقته للواقع ، أو مطلق ويجب العمل على طبقه ولو كان مع العلم بمخالفته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الأوّل يكون إجزاؤه مختصّا بصورة الشكّ في ثبوت الهلال ، ولا تشمل صورة العلم بالخلاف ، وعلى الثاني يكون ذلك الحجّ الناقص مجزيا حتّى مع العلم بالخلاف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إليهم نفوذ الحكم حتّى مع العلم بالخلاف والقول بالموضوعيّة التابعة للحكم ، ولكنّه ينبغي أن يعدّ في جملة المضحكات ، كما أنّه حكى أنّ أحد القضاة حكم بموت شخص كان غائبا مسافرا بشهادة الشهود ، فلمّا رجع عن سفره رفع أمره إلى ذلك القاضي فحكم أن يدفن ؛ لأنّه ثبت موته وميّت المسلم يجب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أمثال هذه الحكايات بالمزاح أشبه ، وكيف يمكن أن يتفوّه المسلم بهذا الكلام ، مع </w:t>
      </w:r>
    </w:p>
    <w:p>
      <w:pPr>
        <w:pStyle w:val="BookText"/>
        <w:rPr/>
      </w:pPr>
      <w:r>
        <w:rPr>
          <w:rFonts w:ascii="IRNazanin" w:hAnsi="IRNazanin" w:eastAsia="IRNazanin"/>
          <w:color w:val="111111"/>
          <w:sz w:val="28"/>
          <w:sz w:val="28"/>
          <w:szCs w:val="28"/>
          <w:rtl w:val="true"/>
          <w:lang w:bidi="fa-IR"/>
        </w:rPr>
        <w:t xml:space="preserve">أنّه صحّ عن رسول اللّه صلی اللّه علیه و آله سيّد ولد آدم وخير الخلائق أجمعين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بشر وأنّه يأتيني الخصم فلعلّ بعضهم أن يكون 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طرق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فأحسب أنّه صادق فأقضي له ، فمن قضيت له بحقّ مسلم فإنّما هي قطعة من النار فليحملها أو يذرها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بالموضوعيّة التامّة ووجوب نفوذ الحكم حتّى مع العلم بالخلاف لا ينبغي أن يسند إلى فقيه ، ولا بدّ وأن يؤوّل إذا كان هذا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الشكّ ، فإن حكم الحاكم حجة عندنا وعندهم فإذا حكم حاكمهم بأنّ هذا اليوم مثلا يوم عرفة ، فالموافقة معهم بالوقوف في عرفات في ذلك اليوم من جهة الخوف عنهم يصدق عليه أنّه الجري على طبق الحجّة عندهم ، ولزوم الجري على طبق حكم حاكمهم هو من أحكام مذهبهم ، كما كذلك عندنا أيضا ، غاية الأمر أنّ هذا الحكم ليس واجدا لشرائط النفوذ عندنا ، ولكن واجد لها عندهم ، فيكون كسائر موارد التقيّة في الحكم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الإيراد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الروايات الواردة في لزوم القضاء في مسألة الإفطار تقيّة مع أنّه في مورد حكم الحكم بأنّه يوم العيد ينفى الإجزاء ، وذلك كمرسلة رفاعة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العباس بالحيرة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تقول في الصيام؟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الإمام إن صمت صمنا وإن أفطرت أفطرنا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عليّ بالمائدة فأكلت معه وأنا أعلم واللّه أنّه يوم من شهر رمضان ، فكان إفطاري يوما وقضاؤه أيسر من أن يضرب عنقي ولا يعبد اللّه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وروى بطرق أخر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أعلم بالإجزاء واللّه أنّه يوم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w:t>
      </w:r>
    </w:p>
    <w:p>
      <w:pPr>
        <w:pStyle w:val="BookText"/>
        <w:rPr/>
      </w:pPr>
      <w:r>
        <w:rPr>
          <w:rFonts w:ascii="Amiri" w:hAnsi="Amiri" w:eastAsia="Amiri" w:cs="Amiri"/>
          <w:color w:val="111111"/>
          <w:sz w:val="28"/>
          <w:sz w:val="28"/>
          <w:szCs w:val="28"/>
          <w:rtl w:val="true"/>
          <w:lang w:bidi="ar-SA"/>
        </w:rPr>
        <w:t>أنّه في مورد العلم بالخلاف وعدم مطابقة الحكم للواقع ، وهذا الصورة بيّنّا أنّ الحكم ليست بحجّة عندهم أيضا ، فلا يشمل مورد كلامنا الذي 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بالإجزاء في مورد الشكّ في مطابقة حكمهم للواقع لا يخلو عن قوّة ، وإن كان الاحتياط ما لم يبلغ إلى درجة الحرج الشديد والعسر الأكيد حسن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استدلّ به على الإجزاء في مورد الشكّ هي السيرة المستمرّة من زمان الأئمّة علیهم السلام إلى زماننا هذا في موافقة أصحابنا معهم في الوقوف في المشاعر العظام ، مع وجود الشكّ في أغلب السنين ، ولم يراجعوا إليهم علیهم السلام في هذه المسألة ، ولم يسألوا عن حكم الجري على طبق حكمهم ، ولم ينقل عنهم إعادة حجهم ، وهذا يدلّ على أنّ الإجزاء كان عندهم مفروغا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ادّعاء أنّهم سألوا ولكن لم يصل إلينا فقول بلا دليل ، بل لو كان لبان كسائر القضايا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المتيقّن من هذه السيرة هو مورد الشكّ في مطابقة حكم الحاكم للواقع ، فلا يشمل مورد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ثبوت هذه السيرة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يستدلّ للإجزاء برواية أبي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أنّا شككنا سنة في عام من تلك الأعوام في الأضحى ، فلمّا دخلت على أبي جعفر علیه السلام وكان بعض أصحابنا يضحى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 يوم يفطر الناس ، والأضحى يوم يضحى الناس ، والصوم يوم يصوم الناس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الاستدلال بهذه الرواية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الأضحى يوم يضحى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يمكن أن يكون إخبارا ؛ لأنّ اليوم الذي يضحّى الناس قد يكون أضحى وقد لا يكون ، مضافا إلى أنّه جواب سؤال الراوي عن حكم يوم الشكّ ، فهو علیه السلام بصدد الجواب عن هذا السؤال ، فلا بدّ وأن يكون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بالبيت صلاة </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 أنّ يوم يضحى الناس يكون بمنزلة الأضحى الواقعي ، يترتّب عليه آثار الأضحى الواقعي ، فيكون إمضاء لحكمهم ، فيجب ترتيب آثار الواقع على ما حكموا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أنت خبير بأنّ هذه الرواية وإن كانت ظاهرة في هذا المعنى ، إلاّ أنّ سنده ضعيف ، فإنّ أبا الجارود زياد بن منذر زيدي ينسب إليه الجارودية ، وسمّى سرحوبا وسماّه بذلك أبو جعفر علیه السلام ، وسرحوب اسم شيطان أعمى يسكن البحر ، وكان أبو الجارود مكفوفا أعمى القلب ، هكذا ذكر العلامة قدس سره في الخلاصة</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وقد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كذّابا كافرا ، فلا يمكن الاعتماد على هذه الرواية للخروج عن مقتضى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آثار الصحّة غير الإجزاء وعدم لزوم الإعادة والقضاء ، سواء كان في العبادات كالوضوء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يترتّب عليه رفع الحدث وحصول الطهارة الواقعيّة كي لا يحتاج إلى وضوء جديد بعد رفع الخوف وحصول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المعاملات ، فإذا أوقع معاملة موافقة لهم ومخالفة للواقع تقيّة فهل يترتّب عليها آثار الصحّة بعد ارتفاع التقيّة ، أم 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الأوّليّة هو عدم ترتّب آثار الصحّة على تلك المعاملة أو ذلك الوضوء ؛ وذلك لأنّ موضوع الأثر شرعا هي العبادة أو المعاملة الصحيحتان ، والمفروض أنّهما ليستا صحيحتين ؛ إذ لا شكّ في أنّ الموضوع للطهارة الواقعيّة هو الوضوء الصحيح بحسب الواقع ، والوضوء تقيّة ليس وضوءا صحيحا بحسب الواقع ، </w:t>
      </w:r>
    </w:p>
    <w:p>
      <w:pPr>
        <w:pStyle w:val="BookText"/>
        <w:rPr/>
      </w:pPr>
      <w:r>
        <w:rPr>
          <w:rFonts w:ascii="Amiri" w:hAnsi="Amiri" w:eastAsia="Amiri" w:cs="Amiri"/>
          <w:color w:val="111111"/>
          <w:sz w:val="28"/>
          <w:sz w:val="28"/>
          <w:szCs w:val="28"/>
          <w:rtl w:val="true"/>
          <w:lang w:bidi="ar-SA"/>
        </w:rPr>
        <w:t>وإنّما أذن الشارع في إتيانه لأجل دفع الضرر عن نفسه أو ماله أو عرضه أو عن غيره ممّن يخصّه ذلك ، فإذا ارتفع الخوف ولم يكن احتمال ضرر في البين ، فلا وجه لاحتمال وجود الأثر الذي هو للوضوء الواقعي على هذا الفعل المسمّى بالوضوء عندهم ، وهو ليس بالوضوء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أوقع نكاحا أو طلاقا على وفق مذهبهم تقيّة مع بطلانهما عندنا ، فمع ارتفاع التقيّة وحصول الأمن لا وجه لاحتمال وجود آثار النكاح أو الطلاق الصحيحين ، وهل الحكم بوجود أثرهما مع عدم صحّتهما إلاّ من قبيل وجود الأثر بدون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من قبيل وجود الحكم بدون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التقيّة بل لزومها في بعض الموارد على فرض أن يكون الفعل أتى به تقيّة مجزيا عن إتيان الواقع ثانيا بعد رفع التقيّة ، لا يثبت وجود موضوع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الأثر هو الأعمّ من الوضوء الواقعي الأوّلي والوضوء تقيّة مثلا ، فلا شبهة في ترتّب ذلك الأثر لوجود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خلاف الفرض ، وكذلك لو كان الموضوع للأثر امتثال ذلك الأمر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في القسم الأوّل من إجزاء ما أتى به تقية عن إتيان المأمور به بالأمر الواقعي ثانيا ، هل يشترط فيه عدم وجود المندوحة ، أم لا؟</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المسألة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بعدم الاعتبار مطلقا ، وذهب إليه الشهيدان في البيان </w:t>
      </w:r>
      <w:r>
        <w:rPr>
          <w:rStyle w:val="FootnoteAnchor"/>
          <w:rtl w:val="true"/>
        </w:rPr>
        <w:footnoteReference w:id="82"/>
      </w:r>
      <w:r>
        <w:rPr>
          <w:rFonts w:ascii="IRNazanin" w:hAnsi="IRNazanin" w:eastAsia="IRNazanin"/>
          <w:color w:val="111111"/>
          <w:sz w:val="28"/>
          <w:sz w:val="28"/>
          <w:szCs w:val="28"/>
          <w:rtl w:val="true"/>
          <w:lang w:bidi="fa-IR"/>
        </w:rPr>
        <w:t xml:space="preserve">والروض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بالاعتبار مطلقا ، وذهب إليه صاحب المدارك</w:t>
      </w:r>
      <w:r>
        <w:rPr>
          <w:rFonts w:eastAsia="Amiri" w:cs="Amiri" w:ascii="Amiri" w:hAnsi="Amiri"/>
          <w:color w:val="111111"/>
          <w:sz w:val="28"/>
          <w:szCs w:val="28"/>
          <w:rtl w:val="true"/>
          <w:lang w:bidi="ar-SA"/>
        </w:rPr>
        <w:t xml:space="preserve">. </w:t>
      </w:r>
      <w:r>
        <w:rPr>
          <w:rStyle w:val="FootnoteAnchor"/>
          <w:rtl w:val="true"/>
        </w:rPr>
        <w:footnoteReference w:id="84"/>
      </w:r>
      <w:bookmarkStart w:id="60" w:name="pg15947_151002"/>
    </w:p>
    <w:p>
      <w:pPr>
        <w:pStyle w:val="BookText"/>
        <w:rPr/>
      </w:pPr>
      <w:bookmarkEnd w:id="60"/>
      <w:r>
        <w:rPr>
          <w:rFonts w:ascii="Amiri" w:hAnsi="Amiri" w:eastAsia="Amiri" w:cs="Amiri"/>
          <w:color w:val="111111"/>
          <w:sz w:val="28"/>
          <w:sz w:val="28"/>
          <w:szCs w:val="28"/>
          <w:rtl w:val="true"/>
          <w:lang w:bidi="ar-SA"/>
        </w:rPr>
        <w:t>وقول بالتفصيل بين ما إذا كان الفعل الذي يتقى به مأذونا بالخصوص ، كالصلاة معهم ، أو الوضوء مع المسح على الخفّين وأمثال ذلك فقال بعدم الاعتبار ، وبين ما لم يأذن الشارع فيه بالخصوص فقال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المندوحة هو تمكّن المكلّف من الإتيان بالفرد التامّ الأجزاء والشرائط الفاقد للموانع ، وذلك بأن يأتي إمّا في زمان آخر من مجموع الوقت ، وذلك لا يكون إلاّ في الواجب الموسّع ، أو يأتي به في مكان آخر لا يخاف من عدوّ كي يتّقيه ، أو يوهم الإتيان بشكلهم مع أنّه واقعا يأتي بما هو الحقّ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يسمّى بالمندوحة الطوليّة ، والثاني والثالث بالمندوحة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والطوليّة والعرضيّة في المقام بحسب الزمان ، وقد عرفت أنّ هذا التقسيم لا يأتي إلاّ في الواجب الموسّع</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6231896_2142443653"/>
      <w:bookmarkStart w:id="62" w:name="_Toc21"/>
      <w:bookmarkEnd w:id="61"/>
      <w:r>
        <w:rPr>
          <w:rtl w:val="true"/>
        </w:rPr>
        <w:t xml:space="preserve">إذا عرفت هذا فنقول </w:t>
      </w:r>
      <w:r>
        <w:rPr>
          <w:rtl w:val="true"/>
        </w:rPr>
        <w:t>:</w:t>
      </w:r>
      <w:bookmarkEnd w:id="62"/>
    </w:p>
    <w:p>
      <w:pPr>
        <w:pStyle w:val="BookText"/>
        <w:rPr/>
      </w:pPr>
      <w:r>
        <w:rPr>
          <w:rFonts w:ascii="Amiri" w:hAnsi="Amiri" w:eastAsia="Amiri" w:cs="Amiri"/>
          <w:color w:val="111111"/>
          <w:sz w:val="28"/>
          <w:sz w:val="28"/>
          <w:szCs w:val="28"/>
          <w:rtl w:val="true"/>
          <w:lang w:bidi="ar-SA"/>
        </w:rPr>
        <w:t xml:space="preserve">أمّا التفصيل الذي ذهب إليه المحقّق الثاني </w:t>
      </w:r>
      <w:r>
        <w:rPr>
          <w:rStyle w:val="FootnoteAnchor"/>
          <w:rtl w:val="true"/>
        </w:rPr>
        <w:footnoteReference w:id="85"/>
      </w:r>
      <w:r>
        <w:rPr>
          <w:rFonts w:ascii="Amiri" w:hAnsi="Amiri" w:eastAsia="Amiri" w:cs="Amiri"/>
          <w:color w:val="111111"/>
          <w:sz w:val="28"/>
          <w:sz w:val="28"/>
          <w:szCs w:val="28"/>
          <w:rtl w:val="true"/>
          <w:lang w:bidi="ar-SA"/>
        </w:rPr>
        <w:t>قدس سره فقد تقدّم أنّه لا وجه له أصلا ؛ لأنّه أيّ فرق بين أن يكون إتيان الواجب موافقا لهم مأذونا بالخصوص ، أو كان مأذونا بعنوان عامّ ؛ لأنّ المناط في كلتا الصورتين صيرورته واقعيّا ثانويّا ، ولذلك قلنا بالإجزاء وعدم الاحتياج إلى إعادته بعد ارتفاع التقيّة وحصول الأمن ، فإن كان الإذن الخاصّ غير مشروط بعدم المندوحة ، فليكن الإذن بعنوان العامّ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تعليله للفرق بأنّ الإذن في التقيّة من جهة الإطلاق لا يقتضي أزيد من إظهار الموافقة مع الحاجة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في العمل الذي يتّقى به إن كان أمرا بالامتثال بتلك الصورة فيكون فردا اضطراريّا لطبيعة المأمور به ، فيكون مجزيا عن الإعادة بعد رفع الاضطرار كما هو الشأن في الأوامر الواقعيّة الثانوية ، فلا فرق بين الإذن بالخصوص وبين الإذن بالعموم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الإذن في العمل لأجل الفرار والخلاص من شرّهم فقط ، فالإذن الخاصّ أيضا لا يثبت به الإجزاء ، وعلى كلّ حال الفرق بين الإذن الخاصّ والعامّ لا أثر له في هذا المقام ، بل المناط كلّ المناط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الأمر بإتيان الواجب تقيّة مجز عن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الأمر سواء كان بعنوان خاصّ أو عامّ هل هو مقيّد بعدم المندوحة وكونه مضطرّا إلى إيجاده تقيّة ، أم لا بل مطلق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هناك دليل على التقييد يؤخذ به ، وإلاّ فمقتضى عمومات التقيّة والإذن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ديني ودين آبائي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وأمثالها ممّا تقدّم ذكرها ، بناء على ما ذكرنا من أنّ المراد من التقيّة هو الفعل الذي يأتي به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صدق التقيّة في الأمر بها ، وهو أن يكون إتيان الواجب الواقعي الأوّلي مظنّة الضرر ، بحيث يخاف على نفسه أو ماله أو عرضه ؛ وذلك لعدم تحقّق موضوع الأمر بها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بأس بالقول بالتفصيل بين ما يمكن له إيجاد المأمور به الأوّلى ، بأنّ يوهمهم الموافقة من دونها ، وبين ما لا يمكن ذلك ، ففي الصورة الأولى يقال بالاعتبار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الحقيقة هذا ليس تقييدا في التقيّة ، بل محقّق لموضوعها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هذه المطلقات تدلّ على مشروعيّة التقيّة وإن كان يمكن له أن يأتي بالفرد التامّ بانتقاله إلى مكان آخر ، أو بتأجيل الإتيان به إلى زمان آخر ، فليس جواز التقيّة ولا إجزاؤها عن الإعادة والقضاء مشروطا بعدم المندوحة العرضيّة ، أي التمكّن من الإتيان بالفرد التامّ الأجزاء والشرائط الفاقد للموانع المأمور به بالأمر </w:t>
      </w:r>
    </w:p>
    <w:p>
      <w:pPr>
        <w:pStyle w:val="BookText"/>
        <w:rPr/>
      </w:pPr>
      <w:r>
        <w:rPr>
          <w:rFonts w:ascii="Amiri" w:hAnsi="Amiri" w:eastAsia="Amiri" w:cs="Amiri"/>
          <w:color w:val="111111"/>
          <w:sz w:val="28"/>
          <w:sz w:val="28"/>
          <w:szCs w:val="28"/>
          <w:rtl w:val="true"/>
          <w:lang w:bidi="ar-SA"/>
        </w:rPr>
        <w:t>الواقعي الأوّلي في عرض التقيّة ، بأن ينتقل إلى مكان آخر لا خوف عليه ، كما إذا انتقل من السوق إلى داره التي ليس فيها أحد يخاف منه ، ولا مشروطا بعدم المندوحة الطوليّة ، أي التمكّن من الإتيان بالمأمور به الواقعي الأوّلي في الزمان المتأخّر يرتفع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القول الأوّل وهو عدم اعتبار عدم المندوحة مطلقا الذي ذهب إليه الشهيدان في البيان </w:t>
      </w:r>
      <w:r>
        <w:rPr>
          <w:rStyle w:val="FootnoteAnchor"/>
          <w:rtl w:val="true"/>
        </w:rPr>
        <w:footnoteReference w:id="87"/>
      </w:r>
      <w:r>
        <w:rPr>
          <w:rFonts w:ascii="IRNazanin" w:hAnsi="IRNazanin" w:eastAsia="IRNazanin"/>
          <w:color w:val="111111"/>
          <w:sz w:val="28"/>
          <w:sz w:val="28"/>
          <w:szCs w:val="28"/>
          <w:rtl w:val="true"/>
          <w:lang w:bidi="fa-IR"/>
        </w:rPr>
        <w:t xml:space="preserve">والروض </w:t>
      </w:r>
      <w:r>
        <w:rPr>
          <w:rStyle w:val="FootnoteAnchor"/>
          <w:rtl w:val="true"/>
        </w:rPr>
        <w:footnoteReference w:id="88"/>
      </w:r>
      <w:r>
        <w:rPr>
          <w:rFonts w:ascii="Amiri" w:hAnsi="Amiri" w:eastAsia="Amiri" w:cs="Amiri"/>
          <w:color w:val="111111"/>
          <w:sz w:val="28"/>
          <w:sz w:val="28"/>
          <w:szCs w:val="28"/>
          <w:rtl w:val="true"/>
          <w:lang w:bidi="ar-SA"/>
        </w:rPr>
        <w:t>هو الصحيح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اعتبار عدم المندوحة في جواز التقيّة وإجزائها عن إتيان الواقع الأوّلي بعد ارتفاع الخوف وحصول الأمن ، بعض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العيّاشي بسنده عن صفوان ، عن أبي الحسن علیه السلام في غسل اليدين ، قلت له يردّ الشعر؟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عنده آخر فعل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والمراد بالآخر من يتّقيه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بهذه الرواية على عدم اعتبار عدم المندوحة هو تجويزه للتقيّة بصرف وجود شخص من هؤلاء الذين يخاف منهم ، وإن كان يمكن أن يتستّر عنه ، أو ينتقل إلى مكان آخر ليس هناك من يخاف منه ، أو يوهمه الإتيان بمثل مذهبهم مع الإتيان بما هو الحقّ ، أو يؤجّل العمل إلى زمان آخر لا موضوع للتقيّة فيه ، ولا شكّ في إطلاق الرواية من هذه الجهات ولا مقيّد له في البين ، فيجب الأخذ بإطلاقه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ردّ الشعر كناية عن الوضوء المنكوس ؛ لأنّ ردّ الشعر من لوازمه ، فالسؤال عن أنّ له ردّ الشعر ، معناه أنّ له الوضوء المنكوس؟ فيجيب علیه السلام بالجواز بدون أيّ 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عنده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محقّق موضوع التقيّة ، لا أنّه تقييد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مسعدة بن صدقة عن أبي عبد اللّه علیه السلام في حديث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وتفسير ما يتقى مثل أن يكون قوم سوء ظاهر حكمهم وفعلهم على غير حكم الحق وفعله ، فكلّ شي‌ء يعمل المؤمن بينهم لمكان التقيّة ممّا لا يؤدّي إلى الفساد في الدين فإنّه جائز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بجواز كلّ شي‌ء يعمل لأجل التقيّة ، وهو مطلق غير مقيّد بعدم المندوحة ، بل ظاهره جواز كلّ شي‌ء يعمل لمكان التقيّة وإن كان الفرار والتخلّص منها ممكنا بأحد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الحثّ والترغيب في حضور جماعتهم في الروايات الكثيرة ، كرواية حمّاد بن عثمان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معهم في الصفّ الأوّل كان كمن صلّى خلف رسول اللّه صلی اللّه علیه و آله في الصفّ الأوّل </w:t>
      </w:r>
      <w:r>
        <w:rPr>
          <w:rFonts w:eastAsia="IRNazanin" w:cs="IRNazanin"/>
          <w:color w:val="111111"/>
          <w:sz w:val="28"/>
          <w:szCs w:val="28"/>
          <w:rtl w:val="true"/>
          <w:lang w:bidi="fa-IR"/>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هو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الروايات المطلقة الدالّة على جواز التقيّة وإجزاء ما يأتي به تقيّة عن الواجب الواقعي الأوّلي من دون تقييدها بعدم وجود المندوحة كثيرة ، فلا يحتاج إلى تطويل المقام بذكر تلك الأخبار والتكلّم فيها ، بل لا يمكن التقييد فيها بصورة عدم التمكّن من إيجاد صلاته في جميع وقتها إلاّ في مكان يجب فيه التقيّة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ليست التقيّة من قبيل سائر الموارد التي ينقلب التكليف فيها بواسطة الاضطرار ، بل الأمر فيها أوسع ؛ للمصالح التي فيها من حفظ النفوس والأموال والأعراض لشخصه ولجميع الشيعة ، بل وللإمام علیه السلام ، ولعلّه لذلك أفردوها بالذكر عن سائر أقسام الاضطرار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للأخبار المذكورة معارضات ظاهرها أنّ جواز التقيّة وإجزاءها عن الواقع الأوّلي منوط بعدم وجود المندوحة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أحمد بن محمّد بن أبي نصر المعروف بالبزنطي ، عن إبراهيم بن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أسأله عن الصلاة خلف من تولّى أمير المؤمنين وهو يمسح على الخفّين؟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خلف من يمسح على الخفيّن ، فإن جامعك وإيّاهم موضع لا تجد بدّا من الصلاة معهم ، فأذّن لنفسك وأقم ، فإن سبقك إلى القراءة فسبّح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معمّر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خاف المؤمن على نفسه فيه ضرورة فله فيه التقيّة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المحكى عن الفقه الرّضوي عن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خلف أحد إلاّ خلف رجلين أحدهما من تثق به وبدينه وورعه ، والآخر من تتّقي سيفه وسوطه وشرّه وبوائقه وشنعته ، فصّل خلفه على سبيل التقيّة والمداراة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دعائم الإسلام بسنده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خلف ناصب ولا كرامة إلاّ أن تخافوا على أنفسكم أن تشهروا ويشار إليكم ، فصلّوا في بيوتكم ، ثمَّ صلوا معهم ، واجعلوا صلاتكم معهم تطوّعا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الروايات على أنّ جواز التقيّة وإجزاءها عن الإعادة والقضاء بعد </w:t>
      </w:r>
    </w:p>
    <w:p>
      <w:pPr>
        <w:pStyle w:val="BookText"/>
        <w:rPr/>
      </w:pPr>
      <w:r>
        <w:rPr>
          <w:rFonts w:ascii="Amiri" w:hAnsi="Amiri" w:eastAsia="Amiri" w:cs="Amiri"/>
          <w:color w:val="111111"/>
          <w:sz w:val="28"/>
          <w:sz w:val="28"/>
          <w:szCs w:val="28"/>
          <w:rtl w:val="true"/>
          <w:lang w:bidi="ar-SA"/>
        </w:rPr>
        <w:t>رفع التقيّة وحصول الأمن مشروط بعدم المندوحة في كمال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الجمع عرفا بين هذه الأخبار والأخبار المتقدّمة هو حمل هذه الأخبار على إمكان التخلّص في نفس وقت التقيّة ، بدون التأجيل وتأخير امتثال الواجب إلى زمان ارتفاع التقيّة ، أو بدون انتقاله إلى مكان آخر للفرار عن التقيّة ، بل يمكن في نفس المكان والزمان أن يأتي بالواقع الأوّلى ، ففي مثل هذا المورد لا يجوز أن يتّقى بإتيان الواجب موافقا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عدم المندوحة بهذا المعنى ممّا لا بدّ منه ، بل هو المشهور ، خصوصا إذا كان من الممكن إيهامهم أنّه يوافقهم ويأتي بالواجب على طبق مذهبهم ، مع أنّه لا يأتي إلاّ على طبق ما هو الحقّ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هذا المعنى بعض الروايات ، كرواية عبيد بن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المسجد وقد صلّيت فأصلّي معهم فلا أحتسب بتلك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وأمّا أنا فأصلّي معهم وأريهم أنّي أسجد وما أسجد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الشارع اهتمّ بأمر التقيّة كثيرا للمصالح المهمّة في نظره ، ولذلك أمر المؤمنين بمعاشرتهم ، والحضور في مجامعهم ، وعيادة مرضاهم كي لا يعرفوهم بالرفض فيؤذوهم ، وبيّن لهم ما يترتّب على فعلهم الذي هو موافق معهم من الأجر العظيم والثواب الجزيل كي يرغبوا في العمل موافقا لهم في الكمّ والكيف لأجل حفظ دمائهم وأعراضهم وأموالهم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فوسّع عليهم في أمر التقيّة بما لم يوسّع في غيرها من أنواع الاضطرار ، بل أمرهم أن يحضروا مساجدهم ويصلّون معهم في الصفّ الأوّل ،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حضر صلاتهم وصلّى معهم في الصف الأوّل كان كمن صلّى مع رسول اللّه في الصفّ الأوّل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يمكن حمل الأخبار الظاهرة في اعتبار عدم المندوحة على ظاهرها ، بل لا بدّ من رفع اليد عن ظاهرها والتصرّف فيها بأحد التصرّفات ، مثل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لنفسك وأقم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أحمد بن محمّد بن أبي نصر البزنطي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دعائم الإسلام وأمثال ذلك على الاستحباب ، وإلاّ فالقول باعتبار عدم المندوحة مطلقا في جواز التقيّة ينافي ذلك الاهتمام الذي ظهر من طرف الشارع في أمر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مساجدهم ، وعودوا مرضاهم ، واشهدوا جنائزهم وإن استطعتم أن تكونوا الأئمّة والمؤذّنين فافعلوا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هشام الكنديّ عن أبي عبد اللّه علیه السلام قال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في عشائرهم ، وعودوا مرضاهم ، واشهدوا جنائزهم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الذي يصحّ أن يقال هو أنّه لو كان متمكّنا حال الاشتغال بإيجاد الواجب موافقا لهم من تلبيس الأمر عليهم ، وإيهامهم أنّه يفعل بمثل فعلهم وإن كان لم يفعل كفعلهم بنحو لا يكون منافيا للتقيّة ولا يترتّب عليه ضرر ، لا عاجلا ولا آجلا ، لا على نفسه ولا على غيره من طائفته ، يجب عليه ذلك ، ولا يجوز له أن يأتي بما هو خلاف الواقع الأوّلي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المندوحة بهذا المعنى معتبر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 هذا محقّق موضوع التقيّة ، لا أنّه تقيّة أو تخصيص فيها ، فالحقّ أنّ عدم المندوحة ليس معتبرا وقيدا في موضوع التقيّة</w:t>
      </w:r>
      <w:r>
        <w:rPr>
          <w:rFonts w:eastAsia="Amiri" w:cs="Amiri" w:ascii="Amiri" w:hAnsi="Amiri"/>
          <w:color w:val="111111"/>
          <w:sz w:val="28"/>
          <w:szCs w:val="28"/>
          <w:rtl w:val="true"/>
          <w:lang w:bidi="ar-SA"/>
        </w:rPr>
        <w:t xml:space="preserve">. </w:t>
      </w:r>
      <w:bookmarkStart w:id="63" w:name="pg15947_151009"/>
    </w:p>
    <w:p>
      <w:pPr>
        <w:pStyle w:val="Heading5"/>
        <w:numPr>
          <w:ilvl w:val="4"/>
          <w:numId w:val="1"/>
        </w:numPr>
        <w:rPr/>
      </w:pPr>
      <w:bookmarkStart w:id="64" w:name="__RefHeading___Toc16231898_2142443653"/>
      <w:bookmarkStart w:id="65" w:name="_Toc22"/>
      <w:bookmarkEnd w:id="63"/>
      <w:bookmarkEnd w:id="64"/>
      <w:r>
        <w:rPr>
          <w:rtl w:val="true"/>
        </w:rPr>
        <w:t>المقام الثالث</w:t>
      </w:r>
      <w:bookmarkEnd w:id="65"/>
    </w:p>
    <w:p>
      <w:pPr>
        <w:pStyle w:val="Heading6"/>
        <w:numPr>
          <w:ilvl w:val="5"/>
          <w:numId w:val="1"/>
        </w:numPr>
        <w:rPr/>
      </w:pPr>
      <w:bookmarkStart w:id="66" w:name="__RefHeading___Toc16231900_2142443653"/>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في أنّه هل تترتّب على ذلك الفعل أو الترك المخالفين للحقّ الآثار الشرعيّة التي رتّبها الشارع عليهما لو صدرا عنه بميله واختياره ، أم لا بل صدورهما من باب يوجب رفع تلك الآثار؟</w:t>
      </w:r>
    </w:p>
    <w:p>
      <w:pPr>
        <w:pStyle w:val="BookText"/>
        <w:rPr/>
      </w:pPr>
      <w:r>
        <w:rPr>
          <w:rFonts w:ascii="Amiri" w:hAnsi="Amiri" w:eastAsia="Amiri" w:cs="Amiri"/>
          <w:color w:val="111111"/>
          <w:sz w:val="28"/>
          <w:sz w:val="28"/>
          <w:szCs w:val="28"/>
          <w:rtl w:val="true"/>
          <w:lang w:bidi="ar-SA"/>
        </w:rPr>
        <w:t>مثلا بناء على أنّ الفقّاع خمر استصغره الناس ، وأنّ الخمر نجس ، يكون الفقّاع نجسا ، فإذا استعمله تقيّة ، أو توضأ به تقيّة بناء على جواز الوضوء بالمائع المضاف عندهم ، فهل استعماله يوجب رفع أثر تنجيسه ، فبعد ارتفاع الخوف وحصول الأمن لا يجب غسل موضع ملاقاته للمشروط بالطهارة ، أم لا ؛ لأنّ التقيّة لا يرفع الأثر الوضعي المترتّب على هذا الفعل؟</w:t>
      </w:r>
    </w:p>
    <w:p>
      <w:pPr>
        <w:pStyle w:val="BookText"/>
        <w:rPr/>
      </w:pPr>
      <w:r>
        <w:rPr>
          <w:rFonts w:ascii="Amiri" w:hAnsi="Amiri" w:eastAsia="Amiri" w:cs="Amiri"/>
          <w:color w:val="111111"/>
          <w:sz w:val="28"/>
          <w:sz w:val="28"/>
          <w:szCs w:val="28"/>
          <w:rtl w:val="true"/>
          <w:lang w:bidi="ar-SA"/>
        </w:rPr>
        <w:t>الظاهر هو ترتّب أثره عليه وعدم ارتفاع أثر ذلك الفعل بواسطة التقيّة ، فينجّس ملاقي الفقّاع والنبيذ ، وإن كان شربهما يجوز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جوّزنا الوضوء به تقيّة ، فلا يجب إعادة الصلاة التي صلاّها بذلك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شرب الفقّاع أو النبيذ تقيّة لا يحدّ ، وذلك من جهة أنّ هذا الأثر أخذ في موضوعه التعمّد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الكلّي هو أنّه لو كان موضوع الأثر في الفعل الذي يتّقى به هو ذلك الفعل مطلقا ، سواء كان مختارا أو مضطرا ، فيترتّب عليه ذلك الأثر ، وإلاّ لو كان مخصوصا بحال الاختيار ، فلا يترتّب عليه إذا أتى به تقيّة ، فتعمّد الأكل والشرب في نهار رمضان موجب لبطلان صوم من وجب عليه الصوم وإن صدر منه تقية ؛ وذلك من جهة أنّ بطلان الصوم أثر تعمد الأكل والشرب ، سواء كان مختارا أو مضطرّا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 w:name="__RefHeading___Toc16231902_2142443653"/>
      <w:bookmarkStart w:id="69" w:name="_Toc24"/>
      <w:bookmarkEnd w:id="68"/>
      <w:r>
        <w:rPr>
          <w:rtl w:val="true"/>
        </w:rPr>
        <w:t xml:space="preserve">ثمَّ إنّ هاهنا أمورا يجب التنبّه عليها </w:t>
      </w:r>
      <w:r>
        <w:rPr>
          <w:rtl w:val="true"/>
        </w:rPr>
        <w:t>:</w:t>
      </w:r>
      <w:bookmarkEnd w:id="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مشروعيّة التقيّة بين أن يكون من يتّقيه من المخالفين أو من غيرهم ؛ وذلك من جهة وحدة المناط والأدلّة فيهما ، لأنّ الدليل على مشروعيّة التقيّة إمّا قاعدة الضرر أو الحرج ، ومعلوم أنّ كون امتثال الواجب موجبا للضرر أو الحرج لا فرق بين أن يكون الضرر والحرج من ناحية المخالفين ، أو من ناحية غيرهم من الطوائف المسلمة ، أو من ناحية الكفّار ؛ لأنّ مفاد دليل نفي الضرر والحرج هو أنّ الحكم الذي يأتي من ناحيته الضرر أو الحرج منفيّ وغير مجعول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حقّقنا في محلّه أنّ دليل نفي الضرر والحرج حاكم على أدلّة الأحكام الأوّليّة بالحكومة الواقعيّة في جانب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نقّحناها في قاعدتي اللاضرر واللاحرج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وأمثال ذلك ، فلا فرق بين كون من يتقى منه من الفرق المسلمة ، أو كان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مفاد الروايات فهو مطلق من يخاف من ضرره ؛ لأنّه قد تقدّم أن التقيّة هي الوقاية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 فهو الاتّقاء ، سواء كان من يتّقى منه كافرا أو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العقل بلزوم حفظ النفس عن الهلكة ، فمعلوم أنّه لا فرق بين أنّ يكون من يخاف منه على نفسه أو عرضه أو ماله في نظر العقل من الفرق المسلمة أو الكافرة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الآيات الواردة في حكم التقيّة غالبا تكون في مورد الكفّار ، كما أنّ الأخبار الواردة في هذا الموضوع غالبا تكون في مورد الخوف من السلاطين الجائرة أو ولا تهم ، ولكن العبرة بعموم الدليل ، وخصوصيّة المورد لا توجب تخصيص الدليل ، كما </w:t>
      </w:r>
    </w:p>
    <w:p>
      <w:pPr>
        <w:pStyle w:val="BookText"/>
        <w:rPr/>
      </w:pPr>
      <w:r>
        <w:rPr>
          <w:rFonts w:ascii="Amiri" w:hAnsi="Amiri" w:eastAsia="Amiri" w:cs="Amiri"/>
          <w:color w:val="111111"/>
          <w:sz w:val="28"/>
          <w:sz w:val="28"/>
          <w:szCs w:val="28"/>
          <w:rtl w:val="true"/>
          <w:lang w:bidi="ar-SA"/>
        </w:rPr>
        <w:t>هو المحقّق في الأصول ، وإن كان الأحوط تخصيصها بالمخالفين ؛ لاحتمال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من أنّ إتيان الواجب تقيّة موافقا لهم مجز عن الإتيان به ثانيا موافقا لما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متكتّفا ، أو مع المسح على الخفّين ، أو مع غسل الرجل بدل مسحها ، بدون بسم اللّه في القراءة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فيما إذا أتى بالعمل الناقص موافقا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صلّى بأحد الوجوه المذكورة ، أو صام وأفطر قبل ذهاب الحمرة المشرقيّة أو قبل انتشارها فوق الرأس ، أو حجّ ووقف في الموقفين موافقا لهم من دون استناده إلى أمارة شرعيّة أو عقليّة هلال ذي الحجّة في يوم كذا إذا كان شاكّا ، لا أن يكون قاطعا بعدم كون الوقوف في يوم عرفة كما ذكرنا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ذكرنا أنّه أتى بما هو المأمور به بالأمر الواقعي الثانوي ، وهو مجز ، كما حقّقنا المسألة في الأصول في مبحث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ترك الإتيان بالمأمور به بالأمر الواقعي الأوّلي ، ولم يكن إتيان المأمور به بالأمر الواقعي الثانوي في البين ، بل صرف ترك للأوّل لأجل التقيّة ، فلا وجه للإجزاء ؛ لأنّه لم يأت بشي‌ء كي يكون مجزيا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وإفطار الإمام الصادق علیه السلام في الحيرة لأجل الخوف عن أبي العبّاس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ذكره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الظاهر أنّه من هذا القبيل ، فلا معنى لأن يكون مجزيا ، ولعلّه لأجل 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أفطر يوما من رمضان فأقضيه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في هذا المورد لا بدّ منه ، ولا يدلّ هذا على عدم كون التقيّة مجزيا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ثبوت موضوع التقيّة مع الخوف الشخصي ، بمعنى أنّه يخاف على نفسه أو عرضه أو ماله لو ترك الموافقة معهم ، إذ هذا هو القدر المتيقّن من أدلّة </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يعلم أنّ من تركه التقيّة والموافقة معهم لا يترتّب عليه ضرر على نفسه أو ماله أو عرضه ، ولكن يوجب فعله المخالف للتقيّة معرفة المخالفين مذهب الشيعة ، وأنّهم يطعنون بعد ذلك عليهم بأنّ مذهبهم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هذا أيضا يجب فيه التقيّة ؛ لأنّ هذا ربما يكون موجبا لورود الضرر على نفس الإمام أو على الطائفة جميعا ، ولعلّ هذا هو المراد من الإذاعة في أخبار التقيّة ، فجعل علیه السلام الإذاعة مقابل التقيّة ، وقد تقدّم في ذيل رواية عبد اللّه 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على دينكم واحجبوه بالتقيّة </w:t>
      </w:r>
      <w:r>
        <w:rPr>
          <w:rFonts w:eastAsia="IRNazanin" w:cs="IRNazanin"/>
          <w:color w:val="111111"/>
          <w:sz w:val="28"/>
          <w:szCs w:val="28"/>
          <w:rtl w:val="true"/>
          <w:lang w:bidi="fa-IR"/>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ذيل رواية حريز عن أبي عبد اللّه علیه السلام في تفسير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التقيّة ، والإساءة الإذاعة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 هذه الروايات أنّ حجبهم عن معرفة الأحكام المختصّة بالمذهب وسترها عنهم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إلى هذا يشير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منّا من لم يجعلها شعاره ودثاره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يفهم من الأخبار الكثيرة أنّه ليس أمر التقيّة دائرا مدار الخوف الفعلي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التقيّة وأتى بالفعل المخالف معهم ، كما أنّه لو صلّى مرسلا من دون التكفير ، أو صلّى على التربة الحسينية ، أو غير ذلك ممّا ينكرونها فهل يكون ذلك العمل باطلا ؛ لأنّه خلاف التقيّة ومنهيّ عنه ، والنهي في العبادة يوجب الفساد ، أم لا ؛ </w:t>
      </w:r>
      <w:bookmarkStart w:id="70" w:name="pg15947_151013"/>
    </w:p>
    <w:p>
      <w:pPr>
        <w:pStyle w:val="BookText"/>
        <w:rPr/>
      </w:pPr>
      <w:bookmarkEnd w:id="70"/>
      <w:r>
        <w:rPr>
          <w:rFonts w:ascii="Amiri" w:hAnsi="Amiri" w:eastAsia="Amiri" w:cs="Amiri"/>
          <w:color w:val="111111"/>
          <w:sz w:val="28"/>
          <w:sz w:val="28"/>
          <w:szCs w:val="28"/>
          <w:rtl w:val="true"/>
          <w:lang w:bidi="ar-SA"/>
        </w:rPr>
        <w:t>لأنّه أتى بما هو المأمور به واقعا بقصد القربة ، فحصل الامتثال والإجزاء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أثم بتركه للتقيّة ، ولكنّه خارج عن الصلاة ، فيكون من قبيل النظر إلى الأجنبيّة حال الصلاة ، حيث أنّه لا هو جزء للصلاة المأمور بها ، ولا مركّب معها تركيبا اتّحاديّا ، ولا انضماميّا ، فليس لا من باب النهي في العبادة ولا من باب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يتحقّق به المخالفة للتقيّة ويكون مصداقا حقيقيّا للمخالفة معهم ، ليس على نسق واحد ، بل قد يكون جزءا للعبادة ، فيأتي بذلك الجزء المخالف معهم باعتبار أنّه جزء للمأمور به بالأمر الواقعي الأوّلي ، فيكون النهي متعلّقا بذلك الجزء ، فتكون العبادة المشتملة على ذلك الجزء المنهي عنه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محرّرة في الأصول ، وقد أوضحنا وجهه في الجزء الأوّل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في مسألة النهي المتعلّق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كذلك ، بل يكون من قبيل إدخال ما ليس من العبادة فيها ، ويكون من قبيل التشريع المحرّم بالأدلّة الأربعة ، فيكون النهي متعلّقا بأمر خارج عن العبادة ، فلا وجه لأن يكون ترك ذلك الشي‌ء موجبا للبطلان ؛ لما قلنا من أنّه أتى بالمأمور به على وجهه ، والإجزاء عقليّ ، نعم أثم بذلك الترك وتلك المخالفة ؛ لأنّه 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ما ذكرنا ترك التكتّف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وجوبهما تقية لا يوجب بطلان الصلاة ، وإن كان آثما بذلك الترك</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6231904_2142443653"/>
      <w:bookmarkStart w:id="72" w:name="_Toc25"/>
      <w:bookmarkEnd w:id="71"/>
      <w:r>
        <w:rPr>
          <w:rtl w:val="true"/>
        </w:rPr>
        <w:t>تنبيه</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ذكرنا وتقدّم كان في الإتيان بالواجبات بل المستحبّات تقيّة ، بأن يدخل فيها ما ليس بجزء أو شرط ، أو يترك ما هو جزء أو شرط ، أو يأتي بما هو </w:t>
      </w:r>
    </w:p>
    <w:p>
      <w:pPr>
        <w:pStyle w:val="BookText"/>
        <w:rPr/>
      </w:pPr>
      <w:r>
        <w:rPr>
          <w:rFonts w:ascii="Amiri" w:hAnsi="Amiri" w:eastAsia="Amiri" w:cs="Amiri"/>
          <w:color w:val="111111"/>
          <w:sz w:val="28"/>
          <w:sz w:val="28"/>
          <w:szCs w:val="28"/>
          <w:rtl w:val="true"/>
          <w:lang w:bidi="ar-SA"/>
        </w:rPr>
        <w:t>مانع ، أو يأتي بكيفيّة خلافها 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التقيّة في مقام الإفتاء كأن يفتي المجتهد بحرمة ما ليس بحرام ، أو بوجوب ما ليس بواجب ، أو بالعكس فيهما ، أو بالنسبة إلى سائر الأحكام التكليفيّة أو الوضعيّة ، فالأمر فيها أعظم ، ولعلّ أغلب عمومات التقيّة وإطلاقاتها لا تشملها ، ومنصرفة عنها ، فلا يجوز له الإفتاء بمجرّد خوف الضرر ، كما كان له ذلك في مقام العمل ، خصوصا إذا كان المفتي ممّن يتّبعة العموم ، وخصوصا إذا كان طول حياته لا يمكن له الرجوع عن فتواه ، فيبقى هذا الحكم والفتوى الباطلة محلّ الاعتبار ، ومورد عمل العموم على مرّ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يجب الفرار والتخلّص عن الإفتاء بأيّ وجه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الفتوى موجبا لتلف النفوس ، أو هتك الأعراض ، ففي الأوّل لا يجوز له أن يفتي وإن كان ترك الفتوى موجبا لهلاكه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الأئمّة المعصومون وإن صدر منهم الفتوى بعض الأحيان على خلاف الحكم الواقعي الأوّلي ، ولكن كانوا ينبّهون الطرف بعد ذلك بأنّها كانت على خلاف الواقع إمّا لأجل حفظ نفسه علیه السلام أو لأجل حفظ نفس المستفتي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فتوى الإمام الكاظم علیه السلام لعليّ بن يقطين في مسألة تثليث غسلات الوضوء صريحة فيما ذكرناه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على خلاف ما أنزل اللّه للتقيّة أمره مشكل ، ويختلف كثيرا من حيث المفتي ومقبوليّة رأيه عند العموم وعدمها ، ومن حيث إمكان إخبار الناس التابعين له أنّ هذه الفتوى لم تكن حكما واقعيّا وإنّما صدرت تقيّة ، وعدم إمكانه ، ومن حيث أهميّة المفتي به ، ومن حيث كونه موجبا لهلاك الأنفس وعدمه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بعض صور المسألة لا يجوز له الإفتاء ، وإن كان يعلم أنّه يقتل لو ترك ولم </w:t>
      </w:r>
    </w:p>
    <w:p>
      <w:pPr>
        <w:pStyle w:val="BookText"/>
        <w:rPr/>
      </w:pPr>
      <w:r>
        <w:rPr>
          <w:rFonts w:ascii="IRNazanin" w:hAnsi="IRNazanin" w:eastAsia="IRNazanin"/>
          <w:color w:val="111111"/>
          <w:sz w:val="28"/>
          <w:sz w:val="28"/>
          <w:szCs w:val="28"/>
          <w:rtl w:val="true"/>
          <w:lang w:bidi="fa-IR"/>
        </w:rPr>
        <w:t xml:space="preserve">يفت ؛ ولذلك ترى في الأخبار الصادرة عن أهل بيت العصمة إصرارهم علیهم السلام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نقله ، أو زخرف ، أو باطل ، أو أطرحه على الجدار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وأمثال ذلك ، أو قولهم في الخبرين المتعارضين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كلّ ذلك لأجل أن لا يتوهّم أحد أنّ كلّ ما تضمنّه الأخبار الصادرة عنهم علیهم السلام بصدد بيان الأحكام الواقعيّة ، بل جملة كثيرة منها أعطيت من جراب النورة حسب اصطلاحهم ، وكان الرواة الفقهاء من أصحابهم علیهم السلام يعرفون أنّ هذا الذي قال علیه السلام لهذا الراوي هل هو حكم واقعيّ أوّلى ، أو صدر تقيّة ؛ ولذلك كانوا يقولون للراوي بعد ما يسمعون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من 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التقيّة في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التقيّة في الحكم مثل أن يحكم على خلاف ما أنزل اللّه خوفا ، فهل يجوز أم لا؟</w:t>
      </w:r>
    </w:p>
    <w:p>
      <w:pPr>
        <w:pStyle w:val="BookText"/>
        <w:rPr/>
      </w:pPr>
      <w:r>
        <w:rPr>
          <w:rFonts w:ascii="Amiri" w:hAnsi="Amiri" w:eastAsia="Amiri" w:cs="Amiri"/>
          <w:color w:val="111111"/>
          <w:sz w:val="28"/>
          <w:sz w:val="28"/>
          <w:szCs w:val="28"/>
          <w:rtl w:val="true"/>
          <w:lang w:bidi="ar-SA"/>
        </w:rPr>
        <w:t xml:space="preserve">أمّا لو كان الحكم موجبا لقتل المسلم فلا يجوز قطعا ، ففي الكافي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التقيّة ليحقن بها الدم ، فإذا بلغ الدم فلا تقيّة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فيما عداه ، فإن كان الضرر الذي يخاف منه هو أنّه يقتل لو لم يحكم ، فيكون حاله حال الفتوى بغير ما أنزل اللّه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صور كثيرة من حيث أهميّة ما يحكم به ، أو ترتّب الفساد عليه ، ففي بعضها أيضا لا يجوز قطعا ، وعلى كلّ حال المسألة مشكل جدّا ، أعاذنا اللّه منه ، وقد قال اللّه </w:t>
      </w:r>
    </w:p>
    <w:p>
      <w:pPr>
        <w:pStyle w:val="BookText"/>
        <w:rPr/>
      </w:pPr>
      <w:r>
        <w:rPr>
          <w:rFonts w:ascii="Amiri" w:hAnsi="Amiri" w:eastAsia="Amiri" w:cs="Amiri"/>
          <w:color w:val="111111"/>
          <w:sz w:val="28"/>
          <w:sz w:val="28"/>
          <w:szCs w:val="28"/>
          <w:rtl w:val="true"/>
          <w:lang w:bidi="ar-SA"/>
        </w:rPr>
        <w:t xml:space="preserve">عز وجل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لم يكن الضرر الذي يخاف منه هو القتل ، فلا يجوز الحكم لعدم جواز دفع الضرر عن نفسه بإضرار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ولىّ التوفيق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947_151018"/>
      <w:bookmarkStart w:id="74" w:name="pg15947_151018"/>
      <w:bookmarkEnd w:id="74"/>
    </w:p>
    <w:p>
      <w:pPr>
        <w:pStyle w:val="Heading2"/>
        <w:numPr>
          <w:ilvl w:val="1"/>
          <w:numId w:val="1"/>
        </w:numPr>
        <w:rPr/>
      </w:pPr>
      <w:bookmarkStart w:id="75" w:name="pg15947_151018"/>
      <w:bookmarkStart w:id="76" w:name="__RefHeading___Toc16231906_2142443653"/>
      <w:bookmarkStart w:id="77" w:name="_Toc26"/>
      <w:bookmarkEnd w:id="75"/>
      <w:bookmarkEnd w:id="76"/>
      <w:r>
        <w:rPr/>
        <w:t>48</w:t>
      </w:r>
      <w:r>
        <w:rPr>
          <w:rtl w:val="true"/>
        </w:rPr>
        <w:t xml:space="preserve"> - </w:t>
      </w:r>
      <w:r>
        <w:rPr>
          <w:rtl w:val="true"/>
        </w:rPr>
        <w:t>قاعدة لا ربا الا فيما يكال أو يوزن</w:t>
      </w:r>
      <w:bookmarkEnd w:id="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6231908_2142443653"/>
      <w:bookmarkStart w:id="79" w:name="_Toc27"/>
      <w:bookmarkEnd w:id="78"/>
      <w:r>
        <w:rPr>
          <w:rtl w:val="true"/>
        </w:rPr>
        <w:t>اشارة</w:t>
      </w:r>
      <w:bookmarkEnd w:id="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947_151020"/>
      <w:bookmarkStart w:id="81" w:name="pg15947_151020"/>
      <w:bookmarkEnd w:id="81"/>
    </w:p>
    <w:p>
      <w:pPr>
        <w:pStyle w:val="BookText"/>
        <w:rPr/>
      </w:pPr>
      <w:bookmarkStart w:id="82" w:name="pg15947_151020"/>
      <w:bookmarkEnd w:id="82"/>
      <w:r>
        <w:rPr>
          <w:rFonts w:ascii="Amiri" w:hAnsi="Amiri" w:eastAsia="Amiri" w:cs="Amiri"/>
          <w:color w:val="111111"/>
          <w:sz w:val="28"/>
          <w:sz w:val="28"/>
          <w:szCs w:val="28"/>
          <w:rtl w:val="true"/>
          <w:lang w:bidi="ar-SA"/>
        </w:rPr>
        <w:t xml:space="preserve">قاعدة لا ربا الا فيما يكال أو يوزن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231910_2142443653"/>
      <w:bookmarkStart w:id="84" w:name="_Toc28"/>
      <w:bookmarkEnd w:id="83"/>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84"/>
    </w:p>
    <w:p>
      <w:pPr>
        <w:pStyle w:val="BookText"/>
        <w:rPr/>
      </w:pPr>
      <w:r>
        <w:rPr>
          <w:rFonts w:ascii="IRNazanin" w:hAnsi="IRNazanin" w:eastAsia="IRNazanin"/>
          <w:color w:val="111111"/>
          <w:sz w:val="28"/>
          <w:sz w:val="28"/>
          <w:szCs w:val="28"/>
          <w:rtl w:val="true"/>
          <w:lang w:bidi="fa-IR"/>
        </w:rPr>
        <w:t>وهو الإجماع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وهو وإن كان ثبوته لا ينكر ، ولكن قد ذكرنا في هذا الكتاب مرارا أنّ مثل هذه الإجماعات التي مداركها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المقام هي الأخبار الواردة في هذا الباب ، وقد عقد في الوسائل بابا بعنوان أنّ الربا لا يثبت إلاّ في المكيل والموزون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مراجعة نفس المدرك ، وليس الإجماع من الذي يكون كاشفا عن رأي المعصوم علیه السلام من ناحية اتّفاق الأصحاب الذي بنينا على حجّيته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علىّ بن رئاب ، عن زرارة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85" w:name="pg15947_151021"/>
    </w:p>
    <w:p>
      <w:pPr>
        <w:pStyle w:val="BookText"/>
        <w:rPr/>
      </w:pPr>
      <w:bookmarkEnd w:id="85"/>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عبيد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الشاة بالشاتين والبيضة بالبيضتين؟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يكن كيلا أو وزنا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الأخبار على هذه القاعدة واضحة وغنيّة عن البيان ، وذلك لأنّ مضمونها عين مضمون القاعدة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6231912_2142443653"/>
      <w:bookmarkStart w:id="87" w:name="_Toc29"/>
      <w:bookmarkEnd w:id="86"/>
      <w:r>
        <w:rPr>
          <w:rtl w:val="true"/>
        </w:rPr>
        <w:t xml:space="preserve">الجهة الثانية </w:t>
      </w:r>
      <w:r>
        <w:rPr>
          <w:rtl w:val="true"/>
        </w:rPr>
        <w:t xml:space="preserve">: </w:t>
      </w:r>
      <w:r>
        <w:rPr>
          <w:rtl w:val="true"/>
        </w:rPr>
        <w:t>في شرح مضمون القاعدة</w:t>
      </w:r>
      <w:bookmarkEnd w:id="87"/>
    </w:p>
    <w:p>
      <w:pPr>
        <w:pStyle w:val="Heading4"/>
        <w:numPr>
          <w:ilvl w:val="3"/>
          <w:numId w:val="1"/>
        </w:numPr>
        <w:rPr/>
      </w:pPr>
      <w:bookmarkStart w:id="88" w:name="__RefHeading___Toc16231914_2142443653"/>
      <w:bookmarkStart w:id="89" w:name="_Toc30"/>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فنقول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فهي اسم مصدر بمعنى الزيادة والفضل على ما ذكره اللغويّون ، أو مصدر ثان من ربي يربو ربوا ورباء ، وعلى كلّ حال الذي يظهر من نقل كلام اللغويّين وموارد الاستعمال هو أنّ معناه الزيادة والنموّ ، وعند الفقهاء وفي اصطلاح الشرع عبارة عن أخذ الزائد ممّا يعطى للطرف في أبواب المعاوضات ، بل ربما يطلق على المعاملة المشتملة على هذه الزيادة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هذا القبيل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إذ المراد منه ليس حرمة تلك الزيادة فقط ، بل المراد منه حرمة المعاملة المشتملة على تلك الزيادة بقرينة المقابلة للبيع</w:t>
      </w:r>
      <w:r>
        <w:rPr>
          <w:rFonts w:eastAsia="Amiri" w:cs="Amiri" w:ascii="Amiri" w:hAnsi="Amiri"/>
          <w:color w:val="111111"/>
          <w:sz w:val="28"/>
          <w:szCs w:val="28"/>
          <w:rtl w:val="true"/>
          <w:lang w:bidi="ar-SA"/>
        </w:rPr>
        <w:t xml:space="preserve">. </w:t>
      </w:r>
      <w:bookmarkStart w:id="90" w:name="pg15947_151022"/>
    </w:p>
    <w:p>
      <w:pPr>
        <w:pStyle w:val="BookText"/>
        <w:rPr/>
      </w:pPr>
      <w:bookmarkEnd w:id="90"/>
      <w:r>
        <w:rPr>
          <w:rFonts w:ascii="Amiri" w:hAnsi="Amiri" w:eastAsia="Amiri" w:cs="Amiri"/>
          <w:color w:val="111111"/>
          <w:sz w:val="28"/>
          <w:sz w:val="28"/>
          <w:szCs w:val="28"/>
          <w:rtl w:val="true"/>
          <w:lang w:bidi="ar-SA"/>
        </w:rPr>
        <w:t xml:space="preserve">وذلك من جهة أنّ المشركين قاسوا وقالوا إنّ المعاملة الربويّة مشتركة مع البيع في طلب الزيادة ؛ لأنّ البائع في البيع الغير الربويّ أيضا يطلب الزيادة والربح ، مثل إن كان الثمن والمثمن من غير المتجانسين ، فإذا كان طلب الزيادة موجبا لحرمة المعاملة ، فلم لا يكون البيع أي المعاملة والمعاوضة في غير المتجانسين حراما ، فأنكر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قياسهم وأبطله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لعلّة مخفية عليكم ، فليس لكم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قالوا إنّ هذه الآية تدلّ على حرمة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قياسهم باطل حتّى بناء على حجّية القياس ؛ وذلك من جهة أنّه في البيع بناء البائع والمشتري على مساواة الثمن والمثمن من حيث القيمة ، وإنّما فائدة البائع باختلاف الأسوق أو الأزمان ، فيشتري البائع من سوق أرخص أو في زمان أرخص ، ويبيع في سوق أغلى أو زمان أغلى ، وإلاّ ففي نفس ذلك السوق أو ذلك الزمان لا بدّ وأن لا يخسر أحدهما بما لا يتسامح فيه ، وإلاّ فيأتي خيار الغبن ؛ ولذلك لو قال أحد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متاعك لا يسوى بهذه القيمة يتأذّى ؛ فالقياس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الربا تارة يكون في البيع ، وأخرى في القرض</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6231916_2142443653"/>
      <w:bookmarkStart w:id="92" w:name="_Toc31"/>
      <w:bookmarkEnd w:id="91"/>
      <w:r>
        <w:rPr>
          <w:rtl w:val="true"/>
        </w:rPr>
        <w:t xml:space="preserve">فنتكلّم في مقامين </w:t>
      </w:r>
      <w:r>
        <w:rPr>
          <w:rtl w:val="true"/>
        </w:rPr>
        <w:t>:</w:t>
      </w:r>
      <w:bookmarkEnd w:id="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البيع ، بل في 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مورد قاعدتنا هذه ، أي عدم إتيان الربا إلاّ فيما إذا كان العوضان في البيع أي الثمن والمثمن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ذلك نتكلّم في حكم الربا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في البيع ، أو كان في القرض فنقول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حرمته الكتاب العزيز والأحاديث المستفيضة بل المتواترة ، فحرمته من القطعيّات ، بل من الضروريّات بحيث يكون منكرها كافرا مرتدا ، ولا ينافي ما قلنا من أنّ حرمته من الضروريات ، اختلافهم في بعض الفروع ؛ لأنّ ذلك إمّا من جهة </w:t>
      </w:r>
    </w:p>
    <w:p>
      <w:pPr>
        <w:pStyle w:val="BookText"/>
        <w:rPr/>
      </w:pPr>
      <w:r>
        <w:rPr>
          <w:rFonts w:ascii="Amiri" w:hAnsi="Amiri" w:eastAsia="Amiri" w:cs="Amiri"/>
          <w:color w:val="111111"/>
          <w:sz w:val="28"/>
          <w:sz w:val="28"/>
          <w:szCs w:val="28"/>
          <w:rtl w:val="true"/>
          <w:lang w:bidi="ar-SA"/>
        </w:rPr>
        <w:t>إنكار كونه من الربا موضوعا ، وإمّا من جهة التخصيص في الحكم كموارد قاعدتنا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الايات التي تدلّ على حرمة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فَإِنْ لَمْ تَفْعَلُوا فَأْذَنُوا بِحَرْبٍ مِنَ اللّهِ وَرَسُولِهِ وَإِنْ تُبْتُمْ فَلَكُمْ رُؤُسُ أَمْوالِكُمْ لا تَظْلِمُونَ وَلا تُظْلَمُونَ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أَضْعافاً مُضاعَفَةً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فكثيرة جدّا نذكر جملة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بإسناده عن هشام بن سالم ، عن أبي عبد 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عند اللّه أشدّ من سبعين زنيّة كلّها بذات محرم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طريف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أخبث المكاسب كسب الربا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اللّه تعالى قد ذكر </w:t>
      </w:r>
    </w:p>
    <w:p>
      <w:pPr>
        <w:pStyle w:val="BookText"/>
        <w:rPr/>
      </w:pPr>
      <w:r>
        <w:rPr>
          <w:rFonts w:ascii="Amiri" w:hAnsi="Amiri" w:eastAsia="Amiri" w:cs="Amiri"/>
          <w:color w:val="111111"/>
          <w:sz w:val="28"/>
          <w:sz w:val="28"/>
          <w:szCs w:val="28"/>
          <w:rtl w:val="true"/>
          <w:lang w:bidi="ar-SA"/>
        </w:rPr>
        <w:t xml:space="preserve">الربا في غير آية وكرّره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تدري لم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يمتنع الناس من اصطناع المعروف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 عن أبي بصير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من ربا أشدّ عند اللّه من ثلاثين زنيّة كلّها بذات محرم مثل عمّة وخالة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سعيد بن يسار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واحد ربا أعظم من عشرين زنيّة كلّها بذات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ومارواه زرارة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وقد أرى من يأكل الربا يربو ماله؟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محق أمحق من درهم ربا يمحق الدين ، وإن تاب منه ذهب ماله وافتقر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هشام بن الحكم أنّه سأل أبا عبد اللّه علیه السلام عن علّة تحريم الربا؟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لو كان الربا حلالا لترك الناس التجارات وما يحتاجون إليه ، فحرّم اللّه الربا لتنفر الناس من الحرام إلى الحلال وإلى التجارات من البيع والشراء ، فيبقى ذلك بينهم في القرض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حرّم اللّه الربا كيلا يمتنعوا </w:t>
      </w:r>
    </w:p>
    <w:p>
      <w:pPr>
        <w:pStyle w:val="BookText"/>
        <w:rPr/>
      </w:pPr>
      <w:r>
        <w:rPr>
          <w:rFonts w:ascii="IRNazanin" w:hAnsi="IRNazanin" w:eastAsia="IRNazanin"/>
          <w:color w:val="111111"/>
          <w:sz w:val="28"/>
          <w:sz w:val="28"/>
          <w:szCs w:val="28"/>
          <w:rtl w:val="true"/>
          <w:lang w:bidi="fa-IR"/>
        </w:rPr>
        <w:t xml:space="preserve">من صنائع المعروف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حرّم اللّه عزّ وجلّ الربا لئلاّ يذهب المعروف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حمّاد بن عمر وأنس بن محمّد ، عن أبيه ، عن جعفر بن محمّد ، عن آبائه ، عن النبيّ صلی اللّه علیه و آله في وصيّته لعليّ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الربا سبعون جزء أيسرها مثل أن ينكح الرجل أمّه في بيت اللّه الحرام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 عبد اللّه علیه السلام عن رجل أنّه كان يأكل الربا ويسمّيه اللبأ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أمكنني اللّه منه لأضربنّ عنقه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الباب كثيرة وشديدة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الربا بالمعنى الذي ذكرنا له قد يكون في البيع ، وقد يكون في القرض ، ومورد هذه القاعدة هو الربا في البيع ، وأمّا الربا في القرض الذي سنتكلّم فيه ، فيثبت فيه مطلقا في أيّ جنس كان ، وإن لم يكن مكيلا ولا موزونا ، بل وإن كان معدودا مثلا ، فلو أعطى قرضا بيضة ببيضتين ، أو جوزا بجوزين ، وكذلك في غيرهما يكون من الربا المحرّم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 أي الربا في البيع ، فهو أن يبيع أحد المثلين بالآخر مع الزيادة إذا كانا من المكيل أو الموزون</w:t>
      </w:r>
      <w:r>
        <w:rPr>
          <w:rFonts w:eastAsia="Amiri" w:cs="Amiri" w:ascii="Amiri" w:hAnsi="Amiri"/>
          <w:color w:val="111111"/>
          <w:sz w:val="28"/>
          <w:szCs w:val="28"/>
          <w:rtl w:val="true"/>
          <w:lang w:bidi="ar-SA"/>
        </w:rPr>
        <w:t xml:space="preserve">. </w:t>
      </w:r>
      <w:bookmarkStart w:id="93" w:name="pg15947_151026"/>
    </w:p>
    <w:p>
      <w:pPr>
        <w:pStyle w:val="BookText"/>
        <w:rPr/>
      </w:pPr>
      <w:bookmarkEnd w:id="93"/>
      <w:r>
        <w:rPr>
          <w:rFonts w:ascii="Amiri" w:hAnsi="Amiri" w:eastAsia="Amiri" w:cs="Amiri"/>
          <w:color w:val="111111"/>
          <w:sz w:val="28"/>
          <w:sz w:val="28"/>
          <w:szCs w:val="28"/>
          <w:rtl w:val="true"/>
          <w:lang w:bidi="ar-SA"/>
        </w:rPr>
        <w:t xml:space="preserve">فثبوت الربا في البيع يشترط فيه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جنس الثمن والمثمن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صعوبة تصوير الزيادة إذا كانا من 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أحد العوضين في نظر العرف وأهل الأسواق أكثر قيمة وماليّة ، فيكون لصاحبه خيار الغبن إذا كانت التفاوت فاحشا لا يتسامح فيه ، ولم يكن عالما بهذا التفاوت حال البيع ، وإلاّ فليس له حتّى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التفاوت بحدّ تعدّ مثل هذه المعاملة سفهيّا ، فيكون أصل المعاملة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 فلاتّفاقهم على جواز بيع المتخالفين في الجنس ، أيّ مقدار من أحدهما بأيّ مقدار من الآخر نقدا ، ما لم يبلغ إلى حدّ كون المعاملة سفهيّا ، نعم قلنا أنّه يثبت خيار الغبن مع تفاوت قيمتها وجهل صاحب ما هو أزيد قيمة بالزيادة إذا كان التفاوت لا يتسامح فيه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6231918_2142443653"/>
      <w:bookmarkStart w:id="95" w:name="_Toc32"/>
      <w:bookmarkEnd w:id="94"/>
      <w:r>
        <w:rPr>
          <w:rtl w:val="true"/>
        </w:rPr>
        <w:t>وأمّا الاخبار</w:t>
      </w:r>
      <w:bookmarkEnd w:id="95"/>
    </w:p>
    <w:p>
      <w:pPr>
        <w:pStyle w:val="BookText"/>
        <w:rPr/>
      </w:pPr>
      <w:r>
        <w:rPr>
          <w:rFonts w:ascii="IRNazanin" w:hAnsi="IRNazanin" w:eastAsia="IRNazanin"/>
          <w:color w:val="111111"/>
          <w:sz w:val="28"/>
          <w:sz w:val="28"/>
          <w:szCs w:val="28"/>
          <w:rtl w:val="true"/>
          <w:lang w:bidi="fa-IR"/>
        </w:rPr>
        <w:t xml:space="preserve">فلقوله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الجنسان فبيعوا كيف شئتم </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ولما رواه محمّد بن مسلم 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الشيئان فلا بأس به مثلين بمثل يدا بيد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يدا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رواه جماعة عن الحلبي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من طعام مختلف أو متاع شي‌ء من الأشياء يتفاضل فلا بأس ببيعه مثلين بمثل يدا بيد ، وأمّا نظرة </w:t>
      </w:r>
    </w:p>
    <w:p>
      <w:pPr>
        <w:pStyle w:val="BookText"/>
        <w:rPr/>
      </w:pPr>
      <w:r>
        <w:rPr>
          <w:rFonts w:ascii="Amiri" w:hAnsi="Amiri" w:eastAsia="Amiri" w:cs="Amiri"/>
          <w:color w:val="111111"/>
          <w:sz w:val="28"/>
          <w:sz w:val="28"/>
          <w:szCs w:val="28"/>
          <w:rtl w:val="true"/>
          <w:lang w:bidi="ar-SA"/>
        </w:rPr>
        <w:t xml:space="preserve">فلا يصلح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علیه السلام من الجملة الأخيرة هو ما قلنا بجواز بيع المختلفين في الجنس مثلين بمثل كيلا أو وزنا فيما إذا كانت المعاملة نقدا ، لا نظرة ونسيئة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رواه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الطعام والتمر والزبيب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شي‌ء منه اثنان بواحد ، إلاّ أن يصرفه نوعا إلى نوع آخر ، فإذا صرّفته فلا بأس اثنين بواحد وأكثر من ذلك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رواه سماعة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مثلان بمثل يدا بيد لا بأس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رواه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اشترى سمنا ففضل له فضل ، أيحلّ له أن يأخذ مكانه رطلا أو رطلين زيتا؟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اختلفا وتراضيا فلا بأس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ظهور هذه الروايات بل نصوصيّتها في جواز بيع المتخالفين في النوع والجنس ، مع زيادة مقدار أحد العوضين عن الآخر في المقدار كيلا أو وزنا ، ولا فرق بين أن يكون الزيادة التي في أحدهما قليلة أو كثيرة ، لكن بشرط أن تكون المعاملة نقدا ويدا بيد ، لا نسيئة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أنّ الربا في البيع لا يثبت إلاّ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الثمن والمثمن في الجنس وأن يكونا من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ممّا يعتبر في بيعهما 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توضيح هذين الأمرين ، وأنّه ما المراد من اتّحاد الجنس والنوع في الشرط الأوّل ، وأنّه ما المناط في كون الشي‌ء مكيلا أو موزونا في الشرط الثاني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اتّحاد الجنس والنوع في الشرط الأوّل بعد الفراغ من أنّه ليس المراد به اتّحاد الجنس والنوع المنطقي أي تمام المشترك الذاتي بين الحقائق المختلفة المقول عليها ، ولا الكلّي المقول على الكثرة المتّفقة الحقيقة في جواب ما هم ؛ ، لعدم كون المناط في اتّحاد الجنس أو النوع هذا المعنى في باب الربا في البيع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اتّحاد الجنس والنوع هو كونهما بحسب الاسم متّحدين عند العرف ، بحيث لا يصح عندهم سلب الاسم الذي يطلق على أحدهما إطلاقا حقيقيّا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هذا المعنى غير جار في أكثر موارد الربا ، فإنّ الشعير والحنطة مختلفان اسما ، ولا يصحّ إطلاق اسم أحدهما على الآخر إطلاقا حقيقيّا ، مع أنّهما يعدّان في الربا جنسا واحدا ، وكذلك السمسم مع الشيرج ، واللبن مع الأقط </w:t>
      </w:r>
      <w:r>
        <w:rPr>
          <w:rStyle w:val="FootnoteAnchor"/>
          <w:rtl w:val="true"/>
        </w:rPr>
        <w:footnoteReference w:id="141"/>
      </w:r>
      <w:r>
        <w:rPr>
          <w:rFonts w:ascii="Amiri" w:hAnsi="Amiri" w:eastAsia="Amiri" w:cs="Amiri"/>
          <w:color w:val="111111"/>
          <w:sz w:val="28"/>
          <w:sz w:val="28"/>
          <w:szCs w:val="28"/>
          <w:rtl w:val="true"/>
          <w:lang w:bidi="ar-SA"/>
        </w:rPr>
        <w:t xml:space="preserve">أو الزبد ، وكذلك مع الجبن ، وكذلك الجبن معهما ، كما أنّه ربما يكون العوضان متّحدين في الاسم ومع ذلك لا يثبت الربا فيهما ، وذلك كلحم الغنم والبقر ، فكلاهما يطلق عليهما اللحم إطلاقا حقيقيّا ، ومع ذلك لا يجرى الربا فيهما فهذا الضابط غير تامّ لا كلية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طردا ولا عكسا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الضابط في اتّحاد جنس العوضين هو رجوعهما إلى أصل واحد ، وإن كانا فعلا بحسب الاسم مختلفين ، ولا يطلق اسم أحدهما على الآخر ، والأمثلة </w:t>
      </w:r>
    </w:p>
    <w:p>
      <w:pPr>
        <w:pStyle w:val="BookText"/>
        <w:rPr/>
      </w:pPr>
      <w:r>
        <w:rPr>
          <w:rFonts w:ascii="Amiri" w:hAnsi="Amiri" w:eastAsia="Amiri" w:cs="Amiri"/>
          <w:color w:val="111111"/>
          <w:sz w:val="28"/>
          <w:sz w:val="28"/>
          <w:szCs w:val="28"/>
          <w:rtl w:val="true"/>
          <w:lang w:bidi="ar-SA"/>
        </w:rPr>
        <w:t>المذكورة التي قلنا يأتي فيها الربا مع عدم اتّحادهما في الاسم ، كلّها من هذا القبيل ، أي ترجع إلى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حرمة الربا في المعاملات والمعاوضات هو بيع المثل بالمثل مع الاختلاف في المقدار ، ولا شكّ في أنّ الأقط والزبد ليسا مثلين للّبن ، وكذلك التمر والعنب مع الخلّ المصنوع من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علّل الإمام علیه السلام إتيان الربا وجريانه في الشعير والحنطة بكونهما من أصل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الكافي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يبيع الرجل الطعام الأكرار ، فلا يكون عنده ما يتمّ له ما باعه ، فيقول له خذ منّى مكان كلّ قفيز حنطة قفيزين من شعير حتّى تستوفي ما نقص من الكيل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 لأنّ أصل الشعير من الحنطة ، ولكن يردّ عليه الدراهم بحساب ما ينقص من الكيل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أصل الشعير من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لعدم جواز معاوضتهما بالزيادة ، وثبوت الربا ، فيؤخذ بعموم التعليل ، ويسري الحكم إلى كلّ مورد يكون انتهاء العوضين إلى أصل واحد ، وإن لم يكونا متّحدين في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الوسائل بهذا المعنى روايات كثيرة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أيضا لا يخلو عن نظر وتأمّل ، وذلك من جهة أنّ انتهاء الثمن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واحد ، لو كان هو الضابط في اتّحاد الجنس وثبوت الربا ، يلزم أن لا يجوز بيع الملح الذي استحيل اللحم إليه باللحم متفاضلا في الكيل أو الوزن ، ولا يكمن للفقيه الالتزام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هو صرف انتهائهما إلى أصل واحد وإن كانا متباينين في أغلب الجهات ، بل المراد أن يكونا بنظر العرف حقيقة واحدة ومن سنخ واحد ، بحيث يحكم العرف باتّحادهما وكونهما من جنس واحد ، وإن اختلفا في بعض الخواصّ والآثار ؛ فالدهن والزبد مثلا حقيقة واحدة ؛ لأنّ الدهن عبارة عن الزبد المذاب وإن كانا مختلفين في كثير من الخواصّ والآثار ، وكذلك الأقط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المشتقّات من حقيقة واحدة تعدّ في نظر العرف سنخا واحدا ، وإن كانت مختلفة في خواصّها وآثارها ، فالدبس والتمر مثلا عند العرف حقيقة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هذا الاتّحاد في بعض ما يرجع إلى أصل واحد أظهر ، وفي بعضها أخفى ، بل ربما يتخيّل العرف أنّهما حقيقتان مختلفان لو لا تنبيه الشارع بذلك وأنّهما من أصل واحد ، كما نبّه بذلك في اتّحاد جنس الشعير والحنطة فيما رواه الصدوق بإسناده أنّ عليّ بن أبي طالب علیه السلام سئل ممّا خلق اللّه الشعير؟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أمر آدم أن ازرع ممّا اخترت لنفسك ، وجاءه جبرئيل علیه السلام بقبضة من الحنطة ، فقبض آدم علیه السلام على قبضة وقبضت حوّاء على أخرى ، فقال آدم علیه السلام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تزرعي أنت ، فلم تقبل من آدم فكلّما زرع آدم جاء حنطة ، وكلّما زرعت حوّاء جاء شعيرا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هو التحقيق في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كونهما من المتماثلين هو أن يكونا من نوع واحد بنظر العرف ، وإن كانا مختلفين بحسب الجودة والرداءة ، وكانا من صنفين ، أو كانا فرعين ومشتقّين من حقيقة واحدة ، كالدبس والخلّ ، حيث أنّهما مشتقّان من التمر أو العنب ، أو كانا فرعا مع أصله كالخبز مع الحنطة ، وهذا القسم الأخير يكون من المتماثلين فيما إذا لم يتبدّل الأصل إلى حقيقة أخرى بذهاب صورته النوعيّة واستحالته إلى نوع آخر كاللحم إذا تبدّل إلى الملح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الفرعين من الحقيقتين ربما يشتركان في الاسم ، بل ربما يكونان </w:t>
      </w:r>
    </w:p>
    <w:p>
      <w:pPr>
        <w:pStyle w:val="BookText"/>
        <w:rPr/>
      </w:pPr>
      <w:r>
        <w:rPr>
          <w:rFonts w:ascii="Amiri" w:hAnsi="Amiri" w:eastAsia="Amiri" w:cs="Amiri"/>
          <w:color w:val="111111"/>
          <w:sz w:val="28"/>
          <w:sz w:val="28"/>
          <w:szCs w:val="28"/>
          <w:rtl w:val="true"/>
          <w:lang w:bidi="ar-SA"/>
        </w:rPr>
        <w:t>بنظر العرف حقيقتهما واحدة كلحم البقر والغنم ، ولكن حيث أنّهما فرعان من حقيقتين مختلفتين لا يأتي فيهما الربا ، وإن كان أحدهما أزيد من الآخر بحسب المقدار كيلا أو وزنا ، بل المدار في التماثل والاختلاف هو الاتّحاد أو اختلاف حقيقتي أصليهما وبناء على هذا فزبد الغنم أو دهنه أو لبنه من المختلفين مع زبد البقرة أو دهنها أو لبنها وإن كانا بنظر العرف ربما يكونان من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 التمر فيصحّ بيعه بخل العنب وإن كان أحدهما أزيد من الآخر بحسب الوزن أو الكيل ؛ لما ذكرنا من اختلاف أصليهما بحسب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والدليل على ما ذكرنا من الضابط في تحقّق الربا هو الأخبار الواردة في هذا الباب ، والإجماعات المدّعاة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تعليل الإمام الصادق علیه السلام فيما رواه هشام بن سالم عنه علیه السلام عدم جواز بيع الشعير بالحنطة متفاضلا ، كأن يأخذ مشتري الحنطة من بائعها مكان كلّ قفيز من الحنطة قفيزين من شعير ، بأنّ أصل الشعير من الحنطة ، مشيرا بذلك إلى قصّة آدم وحوّاء وزرعهما الحنطة ، ومجي‌ء زرع حوّاء شعيرا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رواية الصدوق ذلك ، ولا شكّ في أنّ الأخذ بعموم هذا التعليل يوجب عدم جواز بيع كلّ فرع مع أصله مع التفاضل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خالف ابن إدريس قدس سره </w:t>
      </w:r>
      <w:r>
        <w:rPr>
          <w:rStyle w:val="FootnoteAnchor"/>
          <w:rtl w:val="true"/>
        </w:rPr>
        <w:footnoteReference w:id="145"/>
      </w:r>
      <w:r>
        <w:rPr>
          <w:rFonts w:ascii="IRNazanin" w:hAnsi="IRNazanin" w:eastAsia="IRNazanin"/>
          <w:color w:val="111111"/>
          <w:sz w:val="28"/>
          <w:sz w:val="28"/>
          <w:szCs w:val="28"/>
          <w:rtl w:val="true"/>
          <w:lang w:bidi="fa-IR"/>
        </w:rPr>
        <w:t xml:space="preserve">في هذه المسألة ، وقال بجواز بيع الحنطة بالشعير متفاضلا ؛ لأنّهما جنسان ، وحكى الجواز عن ابن أبي عقيل أيضا ، واستدلّ على ذلك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الجنسان فبيعوا كيف شئتم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أيضا على ما قال من الجواز رواية سماعة ، وكذلك رواية عليّ بن جعفر علیه السلام المتقدّمتان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خيبر بأنّ عموم التعليل مخصّص لهذه العمومات ، فلا يبقى وجه </w:t>
      </w:r>
      <w:bookmarkStart w:id="96" w:name="pg15947_151032"/>
    </w:p>
    <w:p>
      <w:pPr>
        <w:pStyle w:val="BookText"/>
        <w:rPr/>
      </w:pPr>
      <w:bookmarkEnd w:id="96"/>
      <w:r>
        <w:rPr>
          <w:rFonts w:ascii="Amiri" w:hAnsi="Amiri" w:eastAsia="Amiri" w:cs="Amiri"/>
          <w:color w:val="111111"/>
          <w:sz w:val="28"/>
          <w:sz w:val="28"/>
          <w:szCs w:val="28"/>
          <w:rtl w:val="true"/>
          <w:lang w:bidi="ar-SA"/>
        </w:rPr>
        <w:t>لخلاف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الإجماع وورود روايات متعدّدة في خصوص المقام أي بيع الحنطة بالشعير أو العكس متفاضلا ، وقد عقد في الوسائل بابا لذلك ، إن شئت فراجع</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6231920_2142443653"/>
      <w:bookmarkStart w:id="98" w:name="_Toc33"/>
      <w:bookmarkEnd w:id="97"/>
      <w:r>
        <w:rPr>
          <w:rtl w:val="true"/>
        </w:rPr>
        <w:t>وأمّا المراد من المكيل والموزون في الشرط الثاني</w:t>
      </w:r>
      <w:bookmarkEnd w:id="9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المكيل والموزون أو ما يكال ويوزن ، فواضح لا خفاء فيهما ؛ وذلك من جهة أنّ وقوع المعاملة على متاع لا يصحّ إلاّ بتعيين ذلك المتاع ، كي لا يكون مجهولا وغرريّا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الغرر والجهل عند العرف والعقلاء يختلف بالنسبة إلى الأمتعة وما يقع عليه المعاوضة والمعاملة ، ففي بعضها بالمشاهدة ، وفي بعضها بالتوصيف وبيان الخصوصيات ، وفي بعضها بالذرع ، وفي بعضها بالعدد ، وفي بعضها بالكيل أو الوزن ، وكلامنا في هذا القسم الأخير ، أي فيما لا يصحّ المعاملة فيها إلاّ بالكيل أو الوزن ، وقد ذكرنا أنّ هذين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الواضحة التي لا تحتاج إلى الشرح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أنّ المكيليّة والموزونيّة عند العرف والعقلاء في باب المعاوضات والمعاملات تختلف بحسب الأزمنة والبلاد ، فربّ متاع يكون من المكيل أو الموزون في زمان ومن المعدود في زمان آخر ، وكذلك بالنسبة إلى البلاد فيكون من المعدود في بلد ومن الموزون في بلد آخر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قيام الحجة على اشتراط ثبوت الربا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العوضان من المكيل أو الموزون ، والمفروض اختلافهما باختلاف الأزمنة والأمكنة ، فيبقى مجال للكلام في أنّه هل المدار على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المكيل والموزون في زمان الشارع ، أو في زمان وقوع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اختلاف البلاد ، هل المدار هو عرف البلد الذي صدرت فيه هذه الروايات التي تدلّ على اعتبار </w:t>
      </w:r>
    </w:p>
    <w:p>
      <w:pPr>
        <w:pStyle w:val="BookText"/>
        <w:rPr/>
      </w:pPr>
      <w:r>
        <w:rPr>
          <w:rFonts w:ascii="Amiri" w:hAnsi="Amiri" w:eastAsia="Amiri" w:cs="Amiri"/>
          <w:color w:val="111111"/>
          <w:sz w:val="28"/>
          <w:sz w:val="28"/>
          <w:szCs w:val="28"/>
          <w:rtl w:val="true"/>
          <w:lang w:bidi="ar-SA"/>
        </w:rPr>
        <w:t>هذا الشرط في خصوص زمان الصدور ، أو مطلقا ، أو المدار على عرف البلد الذي تقع فيه هذه المعاملة؟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تشخيص المراد وتعيينه من الألفاظ المستعملة في الروايات يكون بما يفهمه العرف منها ، بعد الفراغ عن أنّ الشارع لم يخترع طريقة خاصّة للتفهيم ، بل يلقى مراداته إلى المكلّفين على طريقة أهل المحاورة والعرف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على هذا مقتضى القواعد الأوّليّة هو أن يكون المراد منهما ما هو المكيل والموزون في زمان الشارع وفي لسانه وعرف بلده ، ولعلّه لذلك ادّعى بعضهم الإجماع على أنّ ما كان موزونا أو مكيلا في زمان النبي صلی اللّه علیه و آله يدخل فيه الربا وإن تغيّر فيما بعد وصار معدودا ، كما أنّ الخبز كان موزونا والآن في زماننا صار معدودا في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على هذا ، المدار في الكيل والوزن هو المكيليّة والموزونيّة في زمانه صلی اللّه علیه و آله في الأجناس التي كانت في زمانه وبلاده ، وأمّا الأجناس التي لم تكن في ذلك الزمان كالطماطة والبطاطة فيعتبر حالها بالنسبة إلى البلد التي يقع البيع في ذلك البلد ، فإن كانت مكيلة أو موزونة فيدخل فيه الربا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العلاّمة قدس سره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أجمع المسلمون على ثبوت الربا في الأشياء الستّة ؛ لقول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 بالذهب مثلا بمثل ، والفضّة بالفضّة مثلا بمثل ، والتمر بالتمر مثلا بمثل ، والبرّ بالبرّ مثلا بمثل ، والملح بالملح مثلا بمثل ، والشعير بالشعير مثلا بمثل ، فمن زاد أو ازداد فقد أربى ، بيعوا الذهب بالفضّة كيف شئتم يدا بيد ، وبيعوا البرّ بالتمر كيف شئتم يدا بيد ، وبيعوا الشعير بالتمر كيف شئتم يدا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فيما سواها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اختلاف الفقهاء في بعض الفروع ، ثمَّ قال بلزوم الأخذ بإطلاق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في موارد الشكّ إلاّ أن يثبت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الربا في هذه الأجناس الستّة التي صرّح صلی اللّه علیه و آله بدخول الربا فيها ، سواء كانت في الأزمنة المتأخّرة عنه صلی اللّه علیه و آله يباع بالكيل أو الوزن أم لا ؛ وذلك لجعله صلی اللّه علیه و آله موضوع الحكم نفس هذه العناوين من دون تعليقه على كونها مكيلة أو موزونة ، واحتمال أن يكون الحكم لأجل كونها من المكيل أو الموزون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عداها ، فإن كان في عصره صلی اللّه علیه و آله من المكيل أو الموزون ، فيدخل فيه الربا مع اتّحاد الجنس ، أو كان العوضين فرعا للعوض الآخر كالدبس مع التمر مثلا ، أو كان العوضان فرعين لجنس واحد كما إذا باع الدبس بالخلّ ، إذا كان كلاهما من فروع التمر مثلا ، أو كان كلاهما متّخذين من العنب مثلا ؛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يكن في عصره صلی اللّه علیه و آله من المكيل والموزون ، فدخول الربا فيه مشروط بكونه من المكيل أو الموزون حال وقوع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مختلفا بحسب البلاد ، بأن يكون في بلد من المكيل أو الموزون وفي بلد آخر من المعدود ، كما في الخيار والبرتقال في هذا الزمان ، فإنّهما في بعض البلاد يباع بالوزن ، وفي بعض البلاد يباع بالعدد ، فيلحقه في كلّ بلد حكم ما هو المتعارف في ذلك البلد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البلد الذي يباع بالكيل أو الوزن يدخل فيه الربا بشرط أن يكون العوضان من المتّحد في الجنس ، أو كان رجوعهما إلى جنس واحد ؛ وذلك من جهة أنّ مفاد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هو أنّ دخول الربا في معاملة منوط بأن يكون العوضان المتّحدان في الجنس ممّا يكال أو يوزن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حكم كلّي مجعول بنحو القضيّة الحقيقيّة على الموضوع المقدّر وجوده ، فمتى وجد مصداق في الخارج لهذا الموضوع الكلّي المقدّر وجوده ، يصير حكمه فعليا ، كما هو الشأن في جميع القضايا الحقيقيّة ، وقد أوضحنا في محلّه </w:t>
      </w:r>
      <w:r>
        <w:rPr>
          <w:rStyle w:val="FootnoteAnchor"/>
          <w:rtl w:val="true"/>
        </w:rPr>
        <w:footnoteReference w:id="150"/>
      </w:r>
      <w:r>
        <w:rPr>
          <w:rFonts w:ascii="Amiri" w:hAnsi="Amiri" w:eastAsia="Amiri" w:cs="Amiri"/>
          <w:color w:val="111111"/>
          <w:sz w:val="28"/>
          <w:sz w:val="28"/>
          <w:szCs w:val="28"/>
          <w:rtl w:val="true"/>
          <w:lang w:bidi="ar-SA"/>
        </w:rPr>
        <w:t>أنّ جعل جميع الأحكام الشرعيّة يكون على نهج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ذكرنا هو أنّه لو كان العوضان من المكيل والموزون في زمان الشارع ، ولم يكن منهما في هذا الزمان عدم دخول الربا في تلك المعاملة ؛ لأنّه من تبدّل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بالعكس لو كانا من المكيل أو الموزون في هذا الزمان ولم يكونا منهما في زمان الشارع ، يجب الحكم بدخول الربا ؛ لتحقّق الموضوع ، ومعلوم أنّ وجود الحكم وتحقّقه تابع لوجود موضوعه وتحقّقه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تقدّم أنّه صلی اللّه علیه و آله رتّب الحكم في تلك الستّة المتقدّمة على نفس عناوينها ، أي عنوان البرّ والشعير والتمر والملح والفضّة والذهب ، فمتى وجدت هذه العناوين ، أي صار العوضان من أحدها ، يترتّب الحكم ، سواء كان من المكيل أو الموزون ، أو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غيرها ، فإن كان من المكيل أو الموزون في عصره فيدخل فيه الربا إلى يوم القيامة وإن تبدّل وصار من غيرهما في الأزمنة المتأخّرة ، مع أنّه خلاف ما ذكرنا من جعل الأحكام على نحو القضايا الحقيقيّة ؛ وذلك للإجماع الذي ادّعوه في المقام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ثبت الإجماع فهو ، وإلاّ فللكلام مجال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صرف كونه من المكيل والموزون في زمان النبي صلی اللّه علیه و آله مع عدم كونه منهما في زمان وقوع المعاملة لا يوجب دخول الربا فيه ، بل مقتضى القاعدة المتقدّمة ، وهو جعل الأحكام على نهج القضايا الحقيقيّة ، هو كونه من المكيل أو الموزون في زمان وقوع المعاملة ، وإلاّ لا يدخل </w:t>
      </w:r>
    </w:p>
    <w:p>
      <w:pPr>
        <w:pStyle w:val="BookText"/>
        <w:rPr/>
      </w:pPr>
      <w:r>
        <w:rPr>
          <w:rFonts w:ascii="Amiri" w:hAnsi="Amiri" w:eastAsia="Amiri" w:cs="Amiri"/>
          <w:color w:val="111111"/>
          <w:sz w:val="28"/>
          <w:sz w:val="28"/>
          <w:szCs w:val="28"/>
          <w:rtl w:val="true"/>
          <w:lang w:bidi="ar-SA"/>
        </w:rPr>
        <w:t>فيه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إيجابيّ ، والآخر سلبيّ ، وكلّ واحد منهما متكفّل لبيان حكم على نحو القضيّة الحقيقيّة ، والعقد السلبي مفاده عدم تحقّق الربا في غير المكيل والموزون ، والعقد الإيجابيّ تحقّقه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كلّ عصر أو مصر كان متاع من المكيل أو الموزون ، فبيعه بما هو من جنسه أو بما هو من فروعه أو بما هو معه يرجعان إلى أصل واحد ، ويكونان فرعين من جنس واحد بزيادة أحدهما على الآخر في المقدار يكون من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العقد السلبي ، فمفاده هو أنّ كلّ متاع لم يكن منهما في أيّ عصر وفي أيّ مصر كان فلا يدخل فيه الربا ، فتحقّق الربا يدور مدار كون المتاع من المكيل أو الموزون في زمان وقوع المعاملة ، ولا أثر لكونه كذلك في زمان قبل وقوع المعاملة أو بعده ، كما أنّ عدم الربا كذلك يدور مدار عدم كونه منهما حال المعاملة ، ولا أثر للعدم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قاعدة كلّية يجب العمل بها ، إلاّ أن يأتي دليل بالخصوص في مورد من إجماع أو غيره يكون مخصّصا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موارد لتخصيص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رباء بين الوالد وولده ، والزوج وزوجته ، والسيّد ومملوكه ، وبين المسلم والحربيّ ، بمعنى أخذ المسلم الفضل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 هذه الفروع تفصيلا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فيما إذا علم أنّ الشي‌ء الفلاني كان من المكيل أو الموزون في زمن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تقدير ثبوت الإجماع المذكور نحكم بدخول الربا فيه إلى يوم القيامة ، وإن لم يكن منهما في الأزمنة المتأخّرة عنه صلی اللّه علیه و آله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شكّ في كونه كذلك في زمنه صلی اللّه علیه و آله فدليل حرمة الربا وإن كان لا يشمله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بناء على تقييده بما إذا كان مكيلا أو موزونا في زمن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كذلك في الأزمنة المتأخّرة ، فيكون حرمة مثل تلك المعاملة مشكوكة ، ولا يمكن التمسّك للحرمة بإطلاقات أدّلة حرمة الربا ؛ لكونه من التمسّك بعموم العامّ في الشبهات المصداقيّة لنفس العام ، ومقتضى الأصل العملي هي البراءة بالنسبة إلى الحرمة ، ولكن بالنسبة إلى صحّة المعاملة وتأثيرها في النقل والانتقال ، فمقتضى الأصل عدم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أنّ ثبوت مثل هذا الإجماع غير معلوم ، فيكون مقتضى القواعد وجعل الأحكام على نحو القضايا الحقيقيّة هو أنّ موضوع الحرمة والفساد هو كونه مكيلا أو موزونا في وقت وقوع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ذكرنا من صحّة بيع المختلفين في الجنس وإن كانت في أحد العوضين زيادة وزنا أو كيلا أو عددا كمنّ من العدس مثلا بمنّين من الحنطة ، أو قفيز بقفيزين ، أو فرس ببقرين وأمثال ذلك فيما إذا كانت المعاملة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كانت نسيئة فربما يقال بعدم صحّته ؛ وذلك لقول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من طعام مختلف ، أو متاع ، أو شي‌ء من الأشياء يتفاضل ، فلا بأس ببيعه مثلين بمثل يدا بيد ، فأمّا نظرة فلا يصلح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البعير بالبعيرين ، والدابّة بالدابّتين يدا بيد ليس به بأس </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ولغير ما ذكرنا من الأخبار الأخر التي تركنا ذكرها ، وذلك لأنّ سياق كلّها سياق ما ذكرنا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دلالة هذه الأخبار على ثبوت البأس فيما إذا كانت نسيئة بمفهوم الوصف بل اللقب ، وقد أشكلنا في الأصول </w:t>
      </w:r>
      <w:r>
        <w:rPr>
          <w:rStyle w:val="FootnoteAnchor"/>
          <w:rtl w:val="true"/>
        </w:rPr>
        <w:footnoteReference w:id="153"/>
      </w:r>
      <w:r>
        <w:rPr>
          <w:rFonts w:ascii="Amiri" w:hAnsi="Amiri" w:eastAsia="Amiri" w:cs="Amiri"/>
          <w:color w:val="111111"/>
          <w:sz w:val="28"/>
          <w:sz w:val="28"/>
          <w:szCs w:val="28"/>
          <w:rtl w:val="true"/>
          <w:lang w:bidi="ar-SA"/>
        </w:rPr>
        <w:t xml:space="preserve">في ثبوت المفهوم في أمثال المقام ، وعلى </w:t>
      </w:r>
      <w:bookmarkStart w:id="99" w:name="pg15947_151038"/>
    </w:p>
    <w:p>
      <w:pPr>
        <w:pStyle w:val="BookText"/>
        <w:rPr/>
      </w:pPr>
      <w:bookmarkEnd w:id="99"/>
      <w:r>
        <w:rPr>
          <w:rFonts w:ascii="Amiri" w:hAnsi="Amiri" w:eastAsia="Amiri" w:cs="Amiri"/>
          <w:color w:val="111111"/>
          <w:sz w:val="28"/>
          <w:sz w:val="28"/>
          <w:szCs w:val="28"/>
          <w:rtl w:val="true"/>
          <w:lang w:bidi="ar-SA"/>
        </w:rPr>
        <w:t>تقدير ثبوت المفهوم لها تكون معارضة بما هو أقوى منها دلالة وجهة ، لموافقة هذه الأخبار لما هو المشهور عند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الخبر الأوّل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نظرة فلا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على عدم جواز النسيئة بالمنطوق ، ولكنّ الكلام في أنّ نفي الصلاح ليس صريحا ولا ظاهرا في الفساد ، بل له كمال المناسبة مع الكراهة فهو أعمّ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ما ذهب إليه المشهور من الكراهة دون الفساد</w:t>
      </w:r>
      <w:r>
        <w:rPr>
          <w:rFonts w:eastAsia="IRNazanin" w:cs="IRNazanin"/>
          <w:color w:val="111111"/>
          <w:sz w:val="28"/>
          <w:szCs w:val="28"/>
          <w:rtl w:val="true"/>
          <w:lang w:bidi="fa-IR"/>
        </w:rPr>
        <w:t>.</w:t>
      </w:r>
    </w:p>
    <w:p>
      <w:pPr>
        <w:pStyle w:val="Heading4"/>
        <w:numPr>
          <w:ilvl w:val="3"/>
          <w:numId w:val="1"/>
        </w:numPr>
        <w:rPr/>
      </w:pPr>
      <w:bookmarkStart w:id="100" w:name="__RefHeading___Toc16231922_2142443653"/>
      <w:bookmarkStart w:id="101" w:name="_Toc34"/>
      <w:bookmarkEnd w:id="100"/>
      <w:r>
        <w:rPr>
          <w:rtl w:val="true"/>
        </w:rPr>
        <w:t xml:space="preserve">واستدلّ المشهور على الجواز بعدّة روايات </w:t>
      </w:r>
      <w:r>
        <w:rPr>
          <w:rtl w:val="true"/>
        </w:rPr>
        <w:t>:</w:t>
      </w:r>
      <w:bookmarkEnd w:id="101"/>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زرارة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عبيد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الربا إلاّ فيما يكال أو يوزن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الجنسان فبيعوا كيف شئتم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 أخر </w:t>
      </w:r>
      <w:r>
        <w:rPr>
          <w:rStyle w:val="FootnoteAnchor"/>
          <w:rtl w:val="true"/>
        </w:rPr>
        <w:footnoteReference w:id="157"/>
      </w:r>
      <w:r>
        <w:rPr>
          <w:rFonts w:ascii="Amiri" w:hAnsi="Amiri" w:eastAsia="Amiri" w:cs="Amiri"/>
          <w:color w:val="111111"/>
          <w:sz w:val="28"/>
          <w:sz w:val="28"/>
          <w:szCs w:val="28"/>
          <w:rtl w:val="true"/>
          <w:lang w:bidi="ar-SA"/>
        </w:rPr>
        <w:t>نترك ذكرها ؛ لأنّ سياق جميعها سياق ما ذكرنا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أنّ الروايات المتقدّمة التي قلنا إنّ مفادها عدم ثبوت الربا في المختلفين فيما إذا كانت يدا بيد لا مطلقا ، يمكن أن تقيّد هذه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بأنّ مطابقتها لفتوى المشهور من العامّة أسقطها عن الاعتبار ، وكذلك إعراض المشهور </w:t>
      </w:r>
    </w:p>
    <w:p>
      <w:pPr>
        <w:pStyle w:val="BookText"/>
        <w:rPr/>
      </w:pPr>
      <w:r>
        <w:rPr>
          <w:rFonts w:ascii="Amiri" w:hAnsi="Amiri" w:eastAsia="Amiri" w:cs="Amiri"/>
          <w:color w:val="111111"/>
          <w:sz w:val="28"/>
          <w:sz w:val="28"/>
          <w:szCs w:val="28"/>
          <w:rtl w:val="true"/>
          <w:lang w:bidi="ar-SA"/>
        </w:rPr>
        <w:t xml:space="preserve">عنها ، حيث أنّهم أفتوا بكراهة بيع المختلفين جنسا نسيئة مع الزيادة في أحدهما ، كالثوب بثوبين ، والفرس بفرسين ، ولا يقول بحرمته إلاّ الشيخ في النهاية </w:t>
      </w:r>
      <w:r>
        <w:rPr>
          <w:rStyle w:val="FootnoteAnchor"/>
          <w:rtl w:val="true"/>
        </w:rPr>
        <w:footnoteReference w:id="158"/>
      </w:r>
      <w:r>
        <w:rPr>
          <w:rFonts w:ascii="Amiri" w:hAnsi="Amiri" w:eastAsia="Amiri" w:cs="Amiri"/>
          <w:color w:val="111111"/>
          <w:sz w:val="28"/>
          <w:sz w:val="28"/>
          <w:szCs w:val="28"/>
          <w:rtl w:val="true"/>
          <w:lang w:bidi="ar-SA"/>
        </w:rPr>
        <w:t xml:space="preserve">والمفيد </w:t>
      </w:r>
      <w:r>
        <w:rPr>
          <w:rStyle w:val="FootnoteAnchor"/>
          <w:rtl w:val="true"/>
        </w:rPr>
        <w:footnoteReference w:id="159"/>
      </w:r>
      <w:r>
        <w:rPr>
          <w:rFonts w:ascii="Amiri" w:hAnsi="Amiri" w:eastAsia="Amiri" w:cs="Amiri"/>
          <w:color w:val="111111"/>
          <w:sz w:val="28"/>
          <w:sz w:val="28"/>
          <w:szCs w:val="28"/>
          <w:rtl w:val="true"/>
          <w:lang w:bidi="ar-SA"/>
        </w:rPr>
        <w:t xml:space="preserve">وابن أبي عقيل وابن الجنيد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يجمع بين الطائفتين بحمل أخبار المانعة على الكراهة ، أو يرفع اليد عنها ؛ لموافقته للعامّة وإعراض المشهور عنها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هو الجمع بينهما بحمل أخبار المانعة على الكراهة ، فإنّه جمع عرفي في أمثال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يؤيّد هذا الجمع ما في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الثوبين الرديّين بالثوب المرتفع ، والبعير بالبعيرين ، والدابّة بالدابّتين؟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كره ذلك عليّ علیه السلام فنحن نكرهه ، إلاّ أن يختلف الصنفان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بناء على أن يكون الكراهة بمعناها المصطلح ، أي ما هو أحد الأحكام الخمسة ، 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الكراهة ها هنا هو معناها اللغوي ، فلا ينافي الحرمة ، خصوصا بضميمة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يكن علىّ علیه السلام يكره الحلال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مضافا إلى أنّ مورد هذه الرواية ليس من المختلفين في الجنس الذي هو محل الكلام ، نعم ليس المورد من الربويّين ، وإن كانا متّحدين جنسا ؛ لأنّهما ليسا ممّا يكال أو يوزن</w:t>
      </w:r>
      <w:r>
        <w:rPr>
          <w:rFonts w:eastAsia="Amiri" w:cs="Amiri" w:ascii="Amiri" w:hAnsi="Amiri"/>
          <w:color w:val="111111"/>
          <w:sz w:val="28"/>
          <w:szCs w:val="28"/>
          <w:rtl w:val="true"/>
          <w:lang w:bidi="ar-SA"/>
        </w:rPr>
        <w:t xml:space="preserve">. </w:t>
      </w:r>
      <w:bookmarkStart w:id="102" w:name="pg15947_151040"/>
    </w:p>
    <w:p>
      <w:pPr>
        <w:pStyle w:val="BookText"/>
        <w:rPr/>
      </w:pPr>
      <w:bookmarkEnd w:id="102"/>
      <w:r>
        <w:rPr>
          <w:rFonts w:ascii="Amiri" w:hAnsi="Amiri" w:eastAsia="Amiri" w:cs="Amiri"/>
          <w:color w:val="111111"/>
          <w:sz w:val="28"/>
          <w:sz w:val="28"/>
          <w:szCs w:val="28"/>
          <w:rtl w:val="true"/>
          <w:lang w:bidi="ar-SA"/>
        </w:rPr>
        <w:t>هذا كلّه فيما إذا لم يكن العوضان 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واجدين لشرائط الربا ، أي كانا متّحدي الجنس ، وكانا ممّا يكال أو يوزن ، فلا شكّ في جواز بيعهما مثلا بمثل بغير تفاضل نقدا ، ولكنّ الكلام في جواز بيعهما نسيئة ، وإن كان مثلا بمثل وزنا أو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جوازه ، بل ادّعى الإجماع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إذا باع قفيزا من الحنطة الرديئة نقدا بقفيز من الحنطة الجيّدة نسيئة ، أو مطلق الحنطة بمطلقها وإن لم يكن بينهما اختلاف في الجودة والرداءة ، وذلك من جهة أنّ الأجل زيادة 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زيادة عينيّة في البين ، ولكن الزيادة الحكميّة موجودة ؛ لأنّ للأجل قسطا من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 للإجماع ، ولما رواه الصدوق قدس سره في الفقيه عن الحلبي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الفضّة بالفضّة مثل بمثل ، والذهب بالذهب مثل بمثل ليس فيه زيادة ولا نظرة ، الزائد والمستزيد في النار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بعد ما عرفت معنى الربا ، وأنّه عبارة عن الزيادة في أحد العوضين إنّ كانا متّحدي الجنس ، وكانا ممّا يكال أو يوزن ، فاعلم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6231924_2142443653"/>
      <w:bookmarkStart w:id="104" w:name="_Toc35"/>
      <w:bookmarkEnd w:id="103"/>
      <w:r>
        <w:rPr>
          <w:rtl w:val="true"/>
        </w:rPr>
        <w:t>أنّه وقع الخلاف في أنّه مختصّ بالبيع والقرض ، أم يأتي في سائر المعاوضات؟</w:t>
      </w:r>
      <w:bookmarkEnd w:id="1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w:t>
      </w:r>
      <w:r>
        <w:rPr>
          <w:rStyle w:val="FootnoteAnchor"/>
          <w:rtl w:val="true"/>
        </w:rPr>
        <w:footnoteReference w:id="164"/>
      </w:r>
      <w:r>
        <w:rPr>
          <w:rFonts w:ascii="Amiri" w:hAnsi="Amiri" w:eastAsia="Amiri" w:cs="Amiri"/>
          <w:color w:val="111111"/>
          <w:sz w:val="28"/>
          <w:sz w:val="28"/>
          <w:szCs w:val="28"/>
          <w:rtl w:val="true"/>
          <w:lang w:bidi="ar-SA"/>
        </w:rPr>
        <w:t xml:space="preserve">والمحقّق </w:t>
      </w:r>
      <w:r>
        <w:rPr>
          <w:rStyle w:val="FootnoteAnchor"/>
          <w:rtl w:val="true"/>
        </w:rPr>
        <w:footnoteReference w:id="165"/>
      </w:r>
      <w:r>
        <w:rPr>
          <w:rFonts w:ascii="Amiri" w:hAnsi="Amiri" w:eastAsia="Amiri" w:cs="Amiri"/>
          <w:color w:val="111111"/>
          <w:sz w:val="28"/>
          <w:sz w:val="28"/>
          <w:szCs w:val="28"/>
          <w:rtl w:val="true"/>
          <w:lang w:bidi="ar-SA"/>
        </w:rPr>
        <w:t xml:space="preserve">الثانيان بثبوته في جميع المعاوضات ، وكلام المحقّق والعلاّمة مختلف في كتبهما ، فالمحقّق في الشرائع </w:t>
      </w:r>
      <w:r>
        <w:rPr>
          <w:rStyle w:val="FootnoteAnchor"/>
          <w:rtl w:val="true"/>
        </w:rPr>
        <w:footnoteReference w:id="166"/>
      </w:r>
      <w:r>
        <w:rPr>
          <w:rFonts w:ascii="Amiri" w:hAnsi="Amiri" w:eastAsia="Amiri" w:cs="Amiri"/>
          <w:color w:val="111111"/>
          <w:sz w:val="28"/>
          <w:sz w:val="28"/>
          <w:szCs w:val="28"/>
          <w:rtl w:val="true"/>
          <w:lang w:bidi="ar-SA"/>
        </w:rPr>
        <w:t xml:space="preserve">والعلاّمة في القواعد </w:t>
      </w:r>
      <w:r>
        <w:rPr>
          <w:rStyle w:val="FootnoteAnchor"/>
          <w:rtl w:val="true"/>
        </w:rPr>
        <w:footnoteReference w:id="167"/>
      </w:r>
      <w:r>
        <w:rPr>
          <w:rFonts w:ascii="IRNazanin" w:hAnsi="IRNazanin" w:eastAsia="IRNazanin"/>
          <w:color w:val="111111"/>
          <w:sz w:val="28"/>
          <w:sz w:val="28"/>
          <w:szCs w:val="28"/>
          <w:rtl w:val="true"/>
          <w:lang w:bidi="fa-IR"/>
        </w:rPr>
        <w:t xml:space="preserve">والإرشاد </w:t>
      </w:r>
      <w:r>
        <w:rPr>
          <w:rStyle w:val="FootnoteAnchor"/>
          <w:rtl w:val="true"/>
        </w:rPr>
        <w:footnoteReference w:id="168"/>
      </w:r>
      <w:r>
        <w:rPr>
          <w:rFonts w:ascii="IRNazanin" w:hAnsi="IRNazanin" w:eastAsia="IRNazanin"/>
          <w:color w:val="111111"/>
          <w:sz w:val="28"/>
          <w:sz w:val="28"/>
          <w:szCs w:val="28"/>
          <w:rtl w:val="true"/>
          <w:lang w:bidi="fa-IR"/>
        </w:rPr>
        <w:t xml:space="preserve">قالا </w:t>
      </w:r>
    </w:p>
    <w:p>
      <w:pPr>
        <w:pStyle w:val="BookText"/>
        <w:rPr/>
      </w:pPr>
      <w:r>
        <w:rPr>
          <w:rFonts w:ascii="Amiri" w:hAnsi="Amiri" w:eastAsia="Amiri" w:cs="Amiri"/>
          <w:color w:val="111111"/>
          <w:sz w:val="28"/>
          <w:sz w:val="28"/>
          <w:szCs w:val="28"/>
          <w:rtl w:val="true"/>
          <w:lang w:bidi="ar-SA"/>
        </w:rPr>
        <w:t xml:space="preserve">باختصاصه بالبيع ، وقال المحقّق في كتاب الغصب </w:t>
      </w:r>
      <w:r>
        <w:rPr>
          <w:rStyle w:val="FootnoteAnchor"/>
          <w:rtl w:val="true"/>
        </w:rPr>
        <w:footnoteReference w:id="169"/>
      </w:r>
      <w:r>
        <w:rPr>
          <w:rFonts w:ascii="Amiri" w:hAnsi="Amiri" w:eastAsia="Amiri" w:cs="Amiri"/>
          <w:color w:val="111111"/>
          <w:sz w:val="28"/>
          <w:sz w:val="28"/>
          <w:szCs w:val="28"/>
          <w:rtl w:val="true"/>
          <w:lang w:bidi="ar-SA"/>
        </w:rPr>
        <w:t xml:space="preserve">بثبوت الربا في كلّ معاوضة ، ونسب الأردبيلي </w:t>
      </w:r>
      <w:r>
        <w:rPr>
          <w:rStyle w:val="FootnoteAnchor"/>
          <w:rtl w:val="true"/>
        </w:rPr>
        <w:footnoteReference w:id="170"/>
      </w:r>
      <w:r>
        <w:rPr>
          <w:rFonts w:ascii="Amiri" w:hAnsi="Amiri" w:eastAsia="Amiri" w:cs="Amiri"/>
          <w:color w:val="111111"/>
          <w:sz w:val="28"/>
          <w:sz w:val="28"/>
          <w:szCs w:val="28"/>
          <w:rtl w:val="true"/>
          <w:lang w:bidi="ar-SA"/>
        </w:rPr>
        <w:t>قدس سره هذا القول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هو ملاحظة أدّلة القولين واختيار ما هو الصواب والأحقّ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الربا هو الزيادة في البيع والقرض فقط ، وأنّ الزيادة في سائر المعاوضات فلا يطلق عليه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ادّعاء من دون دليل ؛ وذلك لأنّ الربا في اللغة هي الزيادة ، وعند العرف الذي هو المناط في تشخيص معاني الألفاظ وتعيين مرادات المتكلّمين من ألفاظ كلامهم ، هو زيادة أحد العوضين من متحدي الجنس في المعاملات ، خصوصا إذا كانا من المكيل والموزون ، فمن أين جاء هذا التخصيص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الشارع وضعه لخصوص الزيادة لأحد العوضين في خصوص باب البيع والقرض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دعوى بلا بيّنة ولا برهان ، بل معنى الربا في أبواب المعاملات عرفا هو زيادة العوضين على الآخر وزنا أو كيلا إذا كانا متّحدي الجنسين ، فلو صالح منّا من الحنطة الجيّدة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من غير الجيّدة يكون من الربا المحرّم ، ويشمله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ورود لفظ البيع أو القرض كثيرا ، خصوصا الأوّل منهما في الروايات الواردة في أبواب الربا ، فمن جهة أنّهما المعاملتان الشايعتان في الأسواق وعند الناس رباء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المطلقات الواردة في طائفة من الروايات ، بحيث يشمل كلّ </w:t>
      </w:r>
    </w:p>
    <w:p>
      <w:pPr>
        <w:pStyle w:val="BookText"/>
        <w:rPr/>
      </w:pPr>
      <w:r>
        <w:rPr>
          <w:rFonts w:ascii="Amiri" w:hAnsi="Amiri" w:eastAsia="Amiri" w:cs="Amiri"/>
          <w:color w:val="111111"/>
          <w:sz w:val="28"/>
          <w:sz w:val="28"/>
          <w:szCs w:val="28"/>
          <w:rtl w:val="true"/>
          <w:lang w:bidi="ar-SA"/>
        </w:rPr>
        <w:t xml:space="preserve">معاوضة تقع على متّحدي الجنسين بالزيادة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يدفع إلى الطحّان الطعام فيقاطعه على أن يعطى لكلّ عشرة أرطال اثني عشر دقيقا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يدفع السمسم إلى العصّار يضمن له لكلّ صاع أرطالا مسمّاة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هذا ليس بيعا ، بل الأوّل صرف التزام ومقاطعة بأن يعطى بدل عشرة أرطال من الحنطة اثني عشر من الدقيق ، وفي الثاني ضمان وليس من باب البيع أو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رواه محمّد بن مسلم وزرارة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بالدقيق مثلا بمثل ، والسويق بالسويق مثلا بمثل ، والشعير بالحنطة مثلا بمثل لا بأس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روايات كثيرة </w:t>
      </w:r>
      <w:r>
        <w:rPr>
          <w:rStyle w:val="FootnoteAnchor"/>
          <w:rtl w:val="true"/>
        </w:rPr>
        <w:footnoteReference w:id="173"/>
      </w:r>
      <w:r>
        <w:rPr>
          <w:rFonts w:ascii="Amiri" w:hAnsi="Amiri" w:eastAsia="Amiri" w:cs="Amiri"/>
          <w:color w:val="111111"/>
          <w:sz w:val="28"/>
          <w:sz w:val="28"/>
          <w:szCs w:val="28"/>
          <w:rtl w:val="true"/>
          <w:lang w:bidi="ar-SA"/>
        </w:rPr>
        <w:t>لا اختصاص لها بالبيع ، ولا ذكر منه فيها ، بل يشمل مطلق المبادلة والمعاوضة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منصرفة إلى خصوص البيع ؛ لأنّه هي المعاملة المتعارفة بين الناس والمتداولة فيما بينهم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صرف كثرة الوجود لا يكون من أسباب الانصراف ، بل المبادلة والمعاوضة أعمّ من البيع ويشمل سائر المعاوضات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يدلّ على عدم اختصاصه بخصوص البيع والقرض الروايات الواردة في </w:t>
      </w:r>
    </w:p>
    <w:p>
      <w:pPr>
        <w:pStyle w:val="BookText"/>
        <w:rPr/>
      </w:pPr>
      <w:r>
        <w:rPr>
          <w:rFonts w:ascii="Amiri" w:hAnsi="Amiri" w:eastAsia="Amiri" w:cs="Amiri"/>
          <w:color w:val="111111"/>
          <w:sz w:val="28"/>
          <w:sz w:val="28"/>
          <w:szCs w:val="28"/>
          <w:rtl w:val="true"/>
          <w:lang w:bidi="ar-SA"/>
        </w:rPr>
        <w:t xml:space="preserve">حرمة الربا ،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ربا عند اللّه أشدّ من سبعين زنيّة كلّها بذات محرم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يدلّ على التعميم لكل معاوضة الروايات الكثيرة </w:t>
      </w:r>
      <w:r>
        <w:rPr>
          <w:rStyle w:val="FootnoteAnchor"/>
          <w:rtl w:val="true"/>
        </w:rPr>
        <w:footnoteReference w:id="175"/>
      </w:r>
      <w:r>
        <w:rPr>
          <w:rFonts w:ascii="Amiri" w:hAnsi="Amiri" w:eastAsia="Amiri" w:cs="Amiri"/>
          <w:color w:val="111111"/>
          <w:sz w:val="28"/>
          <w:sz w:val="28"/>
          <w:szCs w:val="28"/>
          <w:rtl w:val="true"/>
          <w:lang w:bidi="ar-SA"/>
        </w:rPr>
        <w:t xml:space="preserve">الواردة في حكمة تحريم الرباء ،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إنّي رأيت اللّه تعالى قد ذكر الربا في غير آية وكرّره؟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تدري لم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يمتنع الناس من اصطناع المعروف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أنّ دلالة هذه الروايات على التعميم منوط بكون الربا عبارة عن الزيادة في أحد العوضين المتجانسين في مطلق المعاوضات ، لا خصوص الزيادة في باب البيع أو القرض ، وممّا ذكرنا ظهر أنّه لا مجال للتمسّك لعدم عمومه واختصاصه بالبيع وحده أو مع القرض فقط بأصالة الحلّ والإباحة ؛ وذلك لحكومة الإطلاقات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الطبرسي 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 اللّه البيع الذي لا ربا فيه ، وحرّم البيع الذي فيه الربا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لتفسيره إنّ لم يكن مستندا إلى الرواية المعتبرة ، مع أنّه خلاف ظاهر الآية ؛ لأنّ ظاهرها الإطلاق وعدم اختصاصه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مقام بيان مورد نزول الآية ردّا على ما كانوا يقولون بأنّ الربا مثل البيع ، والعبرة بعموم ألفاظ الآيات لا بخصوصيّة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والعمومات التي تدلّ على حرمة الربا في جميع المعاوضات كثيرة لا تنحصر في هذه الآية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تدلّ على حرمة الربا مطلقا في أيّ معاوضة كانت كثيرة ، فلا بدّ من الحكم بدخوله في جميع المعاوضات التي تقع بين متّحدي الجنسين إذا كانا من المكيل أو الموزون ، إلاّ إذا جاء دليل على التخصيص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إبراهيم بن عمر اليمانيّ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الربا رباءان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رباء يؤكل ، ورباء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يؤكل فهديّتك إلى الرجل تطلب منه الثواب أفضل منها ، فذلك الربا الذي يؤكل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رِباً لِيَرْبُوَا فِي أَمْوالِ النّاسِ فَلا يَرْبُوا عِنْدَ اللّهِ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لا يؤكل فهو الذي نهى اللّه عزّ وجلّ عنه وأوعد عليه النار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الربا على الثواب الذي يعطيه اللّه تبارك وتعالى عوضا عن الصدقة أو الهديّة إلى المؤمن ليس من الربا المعاملي الذي هو محلّ الكلام ، فعلى تقدير القول بالعموم ليس هو مخصّصا للعموم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فروعا بعضها راجع إلى الشرط الأوّل ، أي اشتراط ثبوت الربا بكون العوضين متّحدي الجنسين ، وبعضها راجع إلى الشرط الثاني ، أي كونهما من المكيل أو الموزون</w:t>
      </w:r>
      <w:r>
        <w:rPr>
          <w:rFonts w:eastAsia="Amiri" w:cs="Amiri" w:ascii="Amiri" w:hAnsi="Amiri"/>
          <w:color w:val="111111"/>
          <w:sz w:val="28"/>
          <w:szCs w:val="28"/>
          <w:rtl w:val="true"/>
          <w:lang w:bidi="ar-SA"/>
        </w:rPr>
        <w:t xml:space="preserve">. </w:t>
      </w:r>
      <w:bookmarkStart w:id="105" w:name="pg15947_151045"/>
    </w:p>
    <w:p>
      <w:pPr>
        <w:pStyle w:val="Heading4"/>
        <w:numPr>
          <w:ilvl w:val="3"/>
          <w:numId w:val="1"/>
        </w:numPr>
        <w:rPr/>
      </w:pPr>
      <w:bookmarkStart w:id="106" w:name="__RefHeading___Toc16231926_2142443653"/>
      <w:bookmarkStart w:id="107" w:name="_Toc36"/>
      <w:bookmarkEnd w:id="105"/>
      <w:bookmarkEnd w:id="106"/>
      <w:r>
        <w:rPr>
          <w:rtl w:val="true"/>
        </w:rPr>
        <w:t xml:space="preserve">أما القسم الأول </w:t>
      </w:r>
      <w:r>
        <w:rPr>
          <w:rtl w:val="true"/>
        </w:rPr>
        <w:t xml:space="preserve">: </w:t>
      </w:r>
      <w:r>
        <w:rPr>
          <w:rtl w:val="true"/>
        </w:rPr>
        <w:t>فنذكره في ضمن مسائل</w:t>
      </w:r>
      <w:bookmarkEnd w:id="107"/>
    </w:p>
    <w:p>
      <w:pPr>
        <w:pStyle w:val="Heading5"/>
        <w:numPr>
          <w:ilvl w:val="4"/>
          <w:numId w:val="1"/>
        </w:numPr>
        <w:rPr/>
      </w:pPr>
      <w:bookmarkStart w:id="108" w:name="__RefHeading___Toc16231928_2142443653"/>
      <w:bookmarkStart w:id="109" w:name="_Toc37"/>
      <w:bookmarkEnd w:id="108"/>
      <w:r>
        <w:rPr>
          <w:rtl w:val="true"/>
        </w:rPr>
        <w:t>اشارة</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الأصحاب إلى أنّه لا يجوز بيع الحنطة بالشعير إلاّ مثلا بمثل ، بل هذا القول هو المشهور ، بل لم ينقل الخلاف إلاّ من ابن إدريس </w:t>
      </w:r>
      <w:r>
        <w:rPr>
          <w:rStyle w:val="FootnoteAnchor"/>
          <w:rtl w:val="true"/>
        </w:rPr>
        <w:footnoteReference w:id="180"/>
      </w:r>
      <w:r>
        <w:rPr>
          <w:rFonts w:ascii="Amiri" w:hAnsi="Amiri" w:eastAsia="Amiri" w:cs="Amiri"/>
          <w:color w:val="111111"/>
          <w:sz w:val="28"/>
          <w:sz w:val="28"/>
          <w:szCs w:val="28"/>
          <w:rtl w:val="true"/>
          <w:lang w:bidi="ar-SA"/>
        </w:rPr>
        <w:t xml:space="preserve">ولذلك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كادت تكون إجماعا ، وحكى الإجماع عن الغنية </w:t>
      </w:r>
      <w:r>
        <w:rPr>
          <w:rStyle w:val="FootnoteAnchor"/>
          <w:rtl w:val="true"/>
        </w:rPr>
        <w:footnoteReference w:id="181"/>
      </w:r>
      <w:r>
        <w:rPr>
          <w:rFonts w:ascii="Amiri" w:hAnsi="Amiri" w:eastAsia="Amiri" w:cs="Amiri"/>
          <w:color w:val="111111"/>
          <w:sz w:val="28"/>
          <w:sz w:val="28"/>
          <w:szCs w:val="28"/>
          <w:rtl w:val="true"/>
          <w:lang w:bidi="ar-SA"/>
        </w:rPr>
        <w:t xml:space="preserve">ومحكي خلاف الشيخ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رواية هشام بن سالم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يبيع الرجل الطعام الأكراد ، فلا يكون عنده ما يتمّ له ما باعه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منّي مكان كلّ قفيز من حنطة قفيزين من شعير ، حتّى تستوفى ما نقص من المكيل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لأنّ أصل الشعير من الحنطة ، ولكن يردّ عليه الدراهم بحساب ما نقص من الكيل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أبي بصير وغيره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والشعير رأسا برأس لا يزاد واحد على الآخر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لرواية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يباع مختومان من </w:t>
      </w:r>
    </w:p>
    <w:p>
      <w:pPr>
        <w:pStyle w:val="BookText"/>
        <w:rPr/>
      </w:pPr>
      <w:r>
        <w:rPr>
          <w:rFonts w:ascii="Amiri" w:hAnsi="Amiri" w:eastAsia="Amiri" w:cs="Amiri"/>
          <w:color w:val="111111"/>
          <w:sz w:val="28"/>
          <w:sz w:val="28"/>
          <w:szCs w:val="28"/>
          <w:rtl w:val="true"/>
          <w:lang w:bidi="ar-SA"/>
        </w:rPr>
        <w:t xml:space="preserve">شعير بمختوم من حنطة ، ولا يباع إلاّ مثلا بمثل ، والتمر مثل ذلك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 كثيرة بهذا المضمون ، أو ما قريب منه جمعها في الوسائل في الباب الثامن من أبواب الرباء ، </w:t>
      </w:r>
      <w:r>
        <w:rPr>
          <w:rStyle w:val="FootnoteAnchor"/>
          <w:rtl w:val="true"/>
        </w:rPr>
        <w:footnoteReference w:id="186"/>
      </w:r>
      <w:r>
        <w:rPr>
          <w:rFonts w:ascii="IRNazanin" w:hAnsi="IRNazanin" w:eastAsia="IRNazanin"/>
          <w:color w:val="111111"/>
          <w:sz w:val="28"/>
          <w:sz w:val="28"/>
          <w:szCs w:val="28"/>
          <w:rtl w:val="true"/>
          <w:lang w:bidi="fa-IR"/>
        </w:rPr>
        <w:t>، إنّ شئت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ذكره العلاّمة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معمّر بن عبد اللّه بعث غلاما له ، ومعه صاع من قمح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شعيرا ، فجاءه بصاع وبعض صاع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 فإنّ النبيّ صلی اللّه علیه و آله نهى عن بيع الطعام بالطعام إلاّ مثلا بمثل ، وطعامنا يومئذ الشعير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تقدّم ما رواه الصدوق بإسناده عن عليّ علیه السلام قصّة زرع آدم وحوّاء وأنّ كلّ واحد منهما قبض قبضة من الحنطة التي جاء بها جبرئيل علیه السلام وقال آدم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تزرعي أنت ، فلم تقبل من آدم ، فكلّما زرع آدم من تلك الحنطة جاء حنطة ، وكلّما زرعت حوّاء جاء شعيرا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من نقل هذه الرواية أنّ أصل الحنطة والشعير واحد ، فيكونان فرعين من أصل واحد ، وكلّما كان هكذا فبيعه مع الفرع الآخر من متّحدي الجنس يدخل فيه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فيما تقدّم أنّه علیه السلام علّل عدم جواز بيع الحنطة بالشعير إلاّ مثلا بمثل بأنّهما من أصل واحد ، وفي أغلب هذه الروايات هذا التعليل موجود ، وقلنا يلزم الأخذ بهذا التعليل في جميع الموارد والفروع التي من هذا القبيل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فالاختلاف في الاسم والعنوان لا أثر له مع هذا التعليل ؛ ولذلك ترى أنّه في أغلب الفروع التي مرجعها إلى أصل واحد ، الأسماء والعناوين مختلفة ، ومع ذلك حكم الأصحاب بدخول الربا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 الأقط مع الدهن فيما إذا أخذا من حليب واحد اسمان وعنوانان مختلفان ، بل يمكن أن يقال هما نوعان ومهيّتان ، ومع ذلك كلّه عدّهما الأصحاب من جنس واحد لرجوعهما إلى أصل واحد ، فكلّ واحد منهما بعض من ذلك الحليب الذي أخذا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أحطت بما ذكرنا تعرف ما في كلام ابن إدريس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المسلمين العامّة والخاصّة ، ولا بين أهل اللغة واللسان في أنّهما مختلفان ، وأنّه لم يذهب إلى الاتّحاد غير شيخنا أبي جعفر والمفيد ومن قلّده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والغرابة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استشهاده بفتاوى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أعلى اللّه مقامهم من عدم البأس ببيع الواحد بالاثنين إذا اختلف الجنس ، ففي غير محلّه ؛ من جهة أنّ الدعوى هاهنا أنّهما من جنس واحد باعتبار أنّهما من أصل واحد ، فقياسهما بمختلفي الجنس وإدراجهما فيه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ذهاب ابن أبي عقيل وابن الجنيد </w:t>
      </w:r>
      <w:r>
        <w:rPr>
          <w:rStyle w:val="FootnoteAnchor"/>
          <w:rtl w:val="true"/>
        </w:rPr>
        <w:footnoteReference w:id="190"/>
      </w:r>
      <w:r>
        <w:rPr>
          <w:rFonts w:ascii="Amiri" w:hAnsi="Amiri" w:eastAsia="Amiri" w:cs="Amiri"/>
          <w:color w:val="111111"/>
          <w:sz w:val="28"/>
          <w:sz w:val="28"/>
          <w:szCs w:val="28"/>
          <w:rtl w:val="true"/>
          <w:lang w:bidi="ar-SA"/>
        </w:rPr>
        <w:t>إلى جواز بيعهما بأن يكونا العوضين مع التفاضل ، فلا يضرّ بما ذكرنا ؛ لوضوح الدليل فيما هو خلاف ما أفادا ، فلا ينبغي التأمّل في عدم جواز بيع الحنطة بالشعير مع التفاضل في أحدهما ، بل لا بدّ وأن يكون مثلا بمثل وزنا أو كيلا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النخل جنس واحد وإن اختلفت أصنافه ، فلا يجوز بيع منّ من الخستاويّ الذي هو من الصنف الجيّد مثلا بمنّين من الدقل الذي هو من الصنف الرديّ ، وهكذا الأمر في الزاهدي والبرنيّ والدقل ، فلا يجوز بيع مدّ من البرنيّ بمدّين من الدّقل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على 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سيف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تسأل أبا عبد اللّه علیه السلام عن رجل استبدل قوصرتين </w:t>
      </w:r>
      <w:r>
        <w:rPr>
          <w:rStyle w:val="FootnoteAnchor"/>
          <w:rtl w:val="true"/>
        </w:rPr>
        <w:footnoteReference w:id="192"/>
      </w:r>
      <w:r>
        <w:rPr>
          <w:rFonts w:ascii="IRNazanin" w:hAnsi="IRNazanin" w:eastAsia="IRNazanin"/>
          <w:color w:val="111111"/>
          <w:sz w:val="28"/>
          <w:sz w:val="28"/>
          <w:szCs w:val="28"/>
          <w:rtl w:val="true"/>
          <w:lang w:bidi="fa-IR"/>
        </w:rPr>
        <w:t xml:space="preserve">فيهما بسر مطبوخ بقوصرّة فيها تمر مشقّق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أبو بصير عن ذلك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يكره؟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علىّ بن أبي طالب علیه السلام كان يكره أنّ يستبدل وسقا من تمر المدينة بوسقين من تمر خيبر ؛ لأنّ تمر المدينة أجودهما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أدومهما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عليّ علیه السلام يكره الحلال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يباع مختومان من شعير بمختوم من حنطة ، ولا يباع إلاّ مثلا بمثل ، والتمر مثل ذلك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الطعام والتمر والزبيب؟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شي‌ء منه اثنان بواحد ، إلاّ أن يصرفه نوعا إلى نوع آخر ، فإذا صرفته فلا بأس اثنان بواحد أو أكثر من ذلك</w:t>
      </w:r>
      <w:r>
        <w:rPr>
          <w:rFonts w:eastAsia="Amiri" w:cs="Amiri" w:ascii="Amiri" w:hAnsi="Amiri"/>
          <w:color w:val="111111"/>
          <w:sz w:val="28"/>
          <w:szCs w:val="28"/>
          <w:rtl w:val="true"/>
          <w:lang w:bidi="ar-SA"/>
        </w:rPr>
        <w:t xml:space="preserve">. » </w:t>
      </w:r>
      <w:r>
        <w:rPr>
          <w:rStyle w:val="FootnoteAnchor"/>
          <w:rtl w:val="true"/>
        </w:rPr>
        <w:footnoteReference w:id="19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الروايات أنّه لا يجوز بيع التمر بالتمر إلاّ مثلا بمثل ، وإن كان العوضان مختلفين صنفا ، كما لو كان أحدهما جيّدا والآخر رديّا ، ثمَّ إنّ ثمرة الكرم أيضا مثل ما ذكرنا في ثمرة النخل ، جميعها جنس واحد ، فالعنب على كثرة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أنّ في بعض البلاد خمسة وعشرين قسما منها موجود ، وقد نظم الشيخ الجليل </w:t>
      </w:r>
    </w:p>
    <w:p>
      <w:pPr>
        <w:pStyle w:val="BookText"/>
        <w:rPr/>
      </w:pPr>
      <w:r>
        <w:rPr>
          <w:rFonts w:ascii="Amiri" w:hAnsi="Amiri" w:eastAsia="Amiri" w:cs="Amiri"/>
          <w:color w:val="111111"/>
          <w:sz w:val="28"/>
          <w:sz w:val="28"/>
          <w:szCs w:val="28"/>
          <w:rtl w:val="true"/>
          <w:lang w:bidi="ar-SA"/>
        </w:rPr>
        <w:t xml:space="preserve">بهاء الدين العامليّ رحمه اللّه تعالى قصيدة في أقسام عنب بلدة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أي قسم منها بلغ ما بلغ في الجودة بالتفاضل بأيّ قسم بلغ ما بلغ في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الأخبار الصادرة عن الأئمّة الأطهار أنّ الشارع بعد ما حكم بدخول الربا في متّحدي الجنسين ، اعتبر في الاتّحاد كونهما من نوع واحد ومهيّة واحدة ، ولم يعتن بالمميّزات الصنفيّة ، نعم ألحق الشارع بمتّحدي الجنس كونهما فرعين لجنس واحد ، أو كون أحدهما فرعا والآخر أصلا كالسمن والأقط أو الحليب والزبد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يجري في جميع أنواع الفواكه التي من المكيل أو الموزون ، ولا اختصاص له بالنخل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المشمش له أصناف ، بعضها في غاية الجودة ، وبعضها الآخر في غاية الرداءة ، فلا يجوز استبدال منّ الجيدة بمنّين من الرديّ ، وكذلك التفّاح ، وكذلك المخضرات التي من المكيل والموزون ، فلا يجوز تبديل كيلو واحد من الباذنجان الطرحي العراقي بكيلوين من باذنجان الهندي ، ولا وقية واحد من اليقطين الصغير الطريّ الجديد بوقيتين من الكبار الغير الطريّ العتيق الذي يبس وذهب 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لا يجوز تبديل منّ من بطّيخ گرگاب أصفهان بمنين أو أكثر من البطّيخ العاديّ ، وكذلك الأمر سفرجل أصفهان مع السفرجل العاديّ ، وكذا الحال في سفرجل نطنز مع العادي منه الموجود في سائر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الجميع واحد ، وهو الاختلاف في الصنف والاتّحاد في النوع ، وإن كان أحدهما جيّدا والآخر رديّا ، وعلى هذه المذكورات فقس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والاتّحاد في الجنس في اللحوم تابع للاختلاف والاتحاد في أصولها ، بمعنى أنّه ينظر إلى الحيوان الذي هذا اللحم منه ، فإن كان في كلا العوضين حيوانا واحدا شخصا أو صنفا أو نوعا فيكون العوضان من متّحدي الجنس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أحدهما من نوع والآخر من نوع آخر ، مثل أن يكون أحدهما من </w:t>
      </w:r>
      <w:bookmarkStart w:id="110" w:name="pg15947_151050"/>
    </w:p>
    <w:p>
      <w:pPr>
        <w:pStyle w:val="BookText"/>
        <w:rPr/>
      </w:pPr>
      <w:bookmarkEnd w:id="110"/>
      <w:r>
        <w:rPr>
          <w:rFonts w:ascii="Amiri" w:hAnsi="Amiri" w:eastAsia="Amiri" w:cs="Amiri"/>
          <w:color w:val="111111"/>
          <w:sz w:val="28"/>
          <w:sz w:val="28"/>
          <w:szCs w:val="28"/>
          <w:rtl w:val="true"/>
          <w:lang w:bidi="ar-SA"/>
        </w:rPr>
        <w:t>البقر والآخر من الغنم ، فلا يكونان من متّحدي الجنس ، ولا يثبت الربا فيهما ، ويجوز بيعهما متساويا ومتفاضلا ولا اعتبار بوحدة الاسم وإطلاق لفظ اللحم عليهما ؛ لأنّ لفظ اللحم مثل لفظ الحيوان موضوع للمعنى الجنسي لا النوعيّ ، واللحوم المندرجة تحت اسم اللحم حقائق مختلفة ، مثل الحيوانات المندرجة تحت مفهوم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الاختلاف في اللحوم بحسب اختلاف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الأصلان في العوضين مختلفين بحسب الاسم ، ولكن متّحدان بحسب الحقيقة ، كالبقر والجاموس في نوع الأبقار ، والعرابي والبخاتي في نوع الإبل ، والماعز والضأن في نوع الغنم ، وهكذا ، وهذه المذكورات ليست من اختلاف الأصول ، بل هي أصناف حقيقة واحدة ، ومثل هذا الاختلاف الاسمي دون الحقيقي في أغلب أصناف الأنواع موجود ، ومع ذلك يثبت الربا فيها إن كانت من المكيل والموزون</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6231930_2142443653"/>
      <w:bookmarkStart w:id="112" w:name="_Toc38"/>
      <w:bookmarkEnd w:id="111"/>
      <w:r>
        <w:rPr>
          <w:rtl w:val="true"/>
        </w:rPr>
        <w:t xml:space="preserve">إذا عرفت ما ذكرنا ، ففي هذه المسألة فروع يعرف حكمها مما ذكرنا </w:t>
      </w:r>
      <w:r>
        <w:rPr>
          <w:rtl w:val="true"/>
        </w:rPr>
        <w:t>:</w:t>
      </w:r>
      <w:bookmarkEnd w:id="11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لحم الطيور يختلف باختلاف نفس الطيور ، وأنّها حقيقة واحدة أو مختلفة ، فإن كان اللحم في العوضين من الطيرين المختلفين بحسب الحقيقة فلا رباء ، وأمّا إن كان من واحد شخصا أو صنفا أو نوعا فيثبت فيه الرباء ، والذكورة والأنوثة في كلّ نوع ليس من الاختلاف في الحقيقة ، فلحم الديك والدجاجة ليسا من المختلفين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وقع الخلاف في بعض العناوين والأسماء في أنّ الأقسام المندرجة تحت ذلك الاسم أنواع وحقائق مختلفة ، أو أصناف وكلّها من أفراد حقيقة واحدة؟ وذلك كالحمام والغراب والعصفور ، فالعصفور بناء على أن يكون عبارة عن الطيور الصغار فلا شكّ في أنّها أنواع مختلفة ، وكذلك الحمام إذا كان عبارة عمّا هدر فأيضا أنواع </w:t>
      </w:r>
    </w:p>
    <w:p>
      <w:pPr>
        <w:pStyle w:val="BookText"/>
        <w:rPr/>
      </w:pPr>
      <w:r>
        <w:rPr>
          <w:rFonts w:ascii="Amiri" w:hAnsi="Amiri" w:eastAsia="Amiri" w:cs="Amiri"/>
          <w:color w:val="111111"/>
          <w:sz w:val="28"/>
          <w:sz w:val="28"/>
          <w:szCs w:val="28"/>
          <w:rtl w:val="true"/>
          <w:lang w:bidi="ar-SA"/>
        </w:rPr>
        <w:t>مختلفة ؛ لأنّ الفواخت غير القماري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عرف وعلم أنّها حقيقة واحدة أو مختلفة فهو ، وإلاّ فلا بدّ من الإحالة إلى العرف ، وأنّهم هل يرونها حقيقة واحدة أو حقائق مختلفة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لحوم الأسماك هل هي مختلفة مع لحوم سائر الحيوانات أم لا؟</w:t>
      </w:r>
    </w:p>
    <w:p>
      <w:pPr>
        <w:pStyle w:val="BookText"/>
        <w:rPr/>
      </w:pPr>
      <w:r>
        <w:rPr>
          <w:rFonts w:ascii="Amiri" w:hAnsi="Amiri" w:eastAsia="Amiri" w:cs="Amiri"/>
          <w:color w:val="111111"/>
          <w:sz w:val="28"/>
          <w:sz w:val="28"/>
          <w:szCs w:val="28"/>
          <w:rtl w:val="true"/>
          <w:lang w:bidi="ar-SA"/>
        </w:rPr>
        <w:t xml:space="preserve">وممّا ذكرنا وتقدّم لا ينبغي أن يشكّ في اختلافها مع سائر اللحوم في ذلك ؛ لاختلاف الأصول ، إذ لا شكّ في اختلاف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البقر أو الغنم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يكون لحوم أنواع الأسماك كالشبوط والقطان والبني من حقيقة واحدة ، وأن يكون هذه الأسماء عناوين الأصناف لا الأنواع ، ويحتمل أن يكون حقائق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هو الأوّل ؛ وذلك لأنّ الاختلاف بين هذه الأقسام الثلاثة المذكورة ليس أشدّ من الاختلاف بين أصناف الغنم ، كالماعز والضأن ، فلا يجوز بيع البنّي بالقطّان مثلا مع التفاضل ، بناء على أنّهما من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يباع جزافا ولم يكن من الموزون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الجراد مع سائر اللحوم مختلف ، وليس من متّحد الجنس مع كلّ واحد منها ، بل هو جنس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الوحشيّ من كلّ نوع ليس من المتّحد في الجنس مع الأهلي منه ؛ وذلك من جهة أنّهما في الحقيقة ليسا من نوع وحقيقة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الاسم غالبا من جهة الشباهة في الشكل ، وهكذا البرّي والبحري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يتّفق في بعض أنواعهما وحدة حقيقتهما ، كما أنّه يقال إنّ الجاموس الوحشي مع الأهلي كذلك ، وأيضا يقال في الثور الوحشي والأهلي إنّهما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وحدة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ما ذكرنا من الاختلاف ظاهر في الغنم الوحشي وهي الظّباء مع الغنم الأهلي ، وكذلك الحمر الوحشيّة مع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جماعة دعوى الإجماع على الاختلاف وعدم الاتّحاد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هذا الاتّفاق لأمكن المناقشة في ذلك ؛ أي في هذه الكلّية أي الاختلاف في الجميع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أعضاء الحيوان ملحق بلحمه أم لا؟ بمعنى أنّ كبد حيوان مثلا أو كرشه أو قلبه أو كليته في حكم لحمه ، فلا يجوز تبديل ما ذكر مع لحم حيوان يكون من جنس ماله هذه المذكورات؟</w:t>
      </w:r>
    </w:p>
    <w:p>
      <w:pPr>
        <w:pStyle w:val="BookText"/>
        <w:rPr/>
      </w:pPr>
      <w:r>
        <w:rPr>
          <w:rFonts w:ascii="Amiri" w:hAnsi="Amiri" w:eastAsia="Amiri" w:cs="Amiri"/>
          <w:color w:val="111111"/>
          <w:sz w:val="28"/>
          <w:sz w:val="28"/>
          <w:szCs w:val="28"/>
          <w:rtl w:val="true"/>
          <w:lang w:bidi="ar-SA"/>
        </w:rPr>
        <w:t>الظاهر هو الأوّل ؛ لأنّها أجزاء الحيوان ، فإذا كان هذا الحيوان من المتّحد في الجنس مع الحيوان الآخر ، فأجزاؤه أيضا تكون كذلك ، فحال أعضائه حال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 تتبع اللحمان في التجانس والاختلاف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في التذكرة </w:t>
      </w:r>
      <w:r>
        <w:rPr>
          <w:rStyle w:val="FootnoteAnchor"/>
          <w:rtl w:val="true"/>
        </w:rPr>
        <w:footnoteReference w:id="198"/>
      </w:r>
      <w:r>
        <w:rPr>
          <w:rFonts w:ascii="Amiri" w:hAnsi="Amiri" w:eastAsia="Amiri" w:cs="Amiri"/>
          <w:color w:val="111111"/>
          <w:sz w:val="28"/>
          <w:sz w:val="28"/>
          <w:szCs w:val="28"/>
          <w:rtl w:val="true"/>
          <w:lang w:bidi="ar-SA"/>
        </w:rPr>
        <w:t xml:space="preserve">الإجماع عليه ، فلبن الغنم مخالف للبن البقر ، كما أنّ لبن البقر مخالف للبن الإبل ، والغنم ما عزه وضأنه حيث أنّهما ولحمهما متّحدان ، فلبنهما أيضا كذلك ، وحيث أنّ البقر والجاموس جنس واحد فلبنهما أيضا من الجنس الواحد ، وبناء على أن يكون الوحشيّ من كلّ نوع مخالفا للأهلي منه ، فكذلك لبنهما أيضا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 منّا من المناقشة في بعض أقسام الوحشي والأهلي ، والاحتمال بل ظهور الاتّحاد يأتي في ألبانهما أيضا ؛ لما تقدّم أنّ الألبان في حكم ذي اللبن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هذا الحكم هو الإجماع المدّعى في المقام ، وإلاّ فالاستحسانات التي </w:t>
      </w:r>
    </w:p>
    <w:p>
      <w:pPr>
        <w:pStyle w:val="BookText"/>
        <w:rPr/>
      </w:pPr>
      <w:r>
        <w:rPr>
          <w:rFonts w:ascii="Amiri" w:hAnsi="Amiri" w:eastAsia="Amiri" w:cs="Amiri"/>
          <w:color w:val="111111"/>
          <w:sz w:val="28"/>
          <w:sz w:val="28"/>
          <w:szCs w:val="28"/>
          <w:rtl w:val="true"/>
          <w:lang w:bidi="ar-SA"/>
        </w:rPr>
        <w:t>ذكروها لا اعتبار بها ، فإنّ دين اللّه لا يصاب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أنّنا نرى بالوجدان اختلاف الألبان من حيث الآثار باختلاف ذوي الألبان ، وإن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الحيوان الشخصي يختلف ألبانه من حيث الآثار باختلاف الأغذية ؛ ولذلك كانت الأطبّاء يعطون الدواء للأمّ التي رضيعها كان مريضا فضلا عن ألبان الحيوانات المختلفة نوعا ومهيّة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لو لم يكن الحكم اتفاقيّا ومورد الإجماع لا يمكن إثباته بهذه الأمور ، مع حكم العرف بأنّ اللبن عن جميع الحيوانات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بأنّه عند العرف أيضا مختلف باختلاف ذي اللبن ، أو علمنا بالتجزية والتحليل أنّها حقائق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الأدهان تتبع ما تستخرج منه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الأدهان إمّا تستخرج من حليب الحيوانات ، وإمّا من شحومها ولحومها أو سائر أعضائها ، وإمّا من النباتات أي من أثمارها ، كدهن اللوز والجوز والزيتون وأمثالها ؛ فهذه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الحليب الذي استخرج منه ، وقد تقدّم في المسألة السابقة أنّ الألبان تتبع اللحمان في التجانس والاختلاف ، فبناء على هذا الدهن المستخرج من حليب الغنم بأقسامه ، ما عزه وضأنه ، لا يجوز بيعه بالتفاضل مع دهن آخر من حليب الغنم ، وأمّا دهن حليب الغنم مع دهن حليب البقر أو الإبل ، أو غيرهما من نوع آخر غير الغنم فلا يأتي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الدهن في التجانس والاختلاف حال اللبن الذي يستخرج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الدهن الذي يستخرج من بدن الحيوان ، فحاله حال بدن الحيوان ولحمه وأعضائه ، وقد تقدّم تفصيل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دهن النباتات ، فلا شكّ في أنّ دهن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دهن الجوز واللوز ، وليس من جنسهما ، بل هي حقيقة أخرى ، وكذلك دهن الزيت غير السمن بحسب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الروايات جواز بيع الزيت بالسمن اثنين بواحد ، كما في رواية الحلبي عن أبي عبد 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الزيت بالسمن اثنين بواحد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يدا بيد لا بأس به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فرتّب علیه السلام حكم المختلفين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ممّا ذكرنا أنّ الأدهان كما أفاده المحقّق </w:t>
      </w:r>
      <w:r>
        <w:rPr>
          <w:rStyle w:val="FootnoteAnchor"/>
          <w:rtl w:val="true"/>
        </w:rPr>
        <w:footnoteReference w:id="202"/>
      </w:r>
      <w:r>
        <w:rPr>
          <w:rFonts w:ascii="Amiri" w:hAnsi="Amiri" w:eastAsia="Amiri" w:cs="Amiri"/>
          <w:color w:val="111111"/>
          <w:sz w:val="28"/>
          <w:sz w:val="28"/>
          <w:szCs w:val="28"/>
          <w:rtl w:val="true"/>
          <w:lang w:bidi="ar-SA"/>
        </w:rPr>
        <w:t>قدس سره تتبع ما يستخرج منه في التجانس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الخلول فواضح أنّها في التجانس والاختلاف تتبع ما يعمل منه ؛ لأنّها في الحقيقة نفس ما يعمل منه مع تبدّل في الصفة ، فخلّ العنب ليس من جنس خلّ التمر ؛ لأنّ العنب ليس من جنس التمر ، فيجوز بيع خلّ العنب بخلّ التمر بالتفاضل يدا بيد ، أي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ظهر ممّا تقدّم أنّ حكم الفرع حكم الأصل ، وأنّه لا يجوز بيع الأصل بالفرع مع التفاضل ، ولا أحد الفرعين من أصل واحد بالآخر مع التفاضل ، فلا يجوز بيع عصير العنب بخلّ العنب متفاضلا ، ولا عصير التمر بخلّ التمر متفاضلا ، ولا نفس العنب بخلّه كذلك ، ولا نفس التمر بخلّه كذلك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المركّب من الجنسين أو المجموع من جنسين بأحدهما ، وبالمركّب منهما ، بالمجموع منهما ، وبغيرهما متساويا ومتفاضلا في الجميع ، ولكن فيما إذا كان بيع المجموع أو المركّب منهما بأحدهما ، يشترط في الثمن أن يكون فيه زيادة على مقابله المجانس له ، كي تكون تلك الزيادة عوضا عن ذلك الجزء الآخر </w:t>
      </w:r>
    </w:p>
    <w:p>
      <w:pPr>
        <w:pStyle w:val="BookText"/>
        <w:rPr/>
      </w:pPr>
      <w:r>
        <w:rPr>
          <w:rFonts w:ascii="Amiri" w:hAnsi="Amiri" w:eastAsia="Amiri" w:cs="Amiri"/>
          <w:color w:val="111111"/>
          <w:sz w:val="28"/>
          <w:sz w:val="28"/>
          <w:szCs w:val="28"/>
          <w:rtl w:val="true"/>
          <w:lang w:bidi="ar-SA"/>
        </w:rPr>
        <w:t xml:space="preserve">الغير المجانس له ، وإلاّ يلزم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الربا ، وإمّا دخول ذلك الجزء الآخر الغير المجانس للثمن في ملك المشتري بلا عوض ومجّانا ،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بعضهم في تلك الزيادة أن تكون بمقدار يكون قابلا لأن تقع ثمنا لذلك الجزء منفردا ، بل ومع الانضمام ، وادّعى في الجواهر </w:t>
      </w:r>
      <w:r>
        <w:rPr>
          <w:rStyle w:val="FootnoteAnchor"/>
          <w:rtl w:val="true"/>
        </w:rPr>
        <w:footnoteReference w:id="203"/>
      </w:r>
      <w:r>
        <w:rPr>
          <w:rFonts w:ascii="Amiri" w:hAnsi="Amiri" w:eastAsia="Amiri" w:cs="Amiri"/>
          <w:color w:val="111111"/>
          <w:sz w:val="28"/>
          <w:sz w:val="28"/>
          <w:szCs w:val="28"/>
          <w:rtl w:val="true"/>
          <w:lang w:bidi="ar-SA"/>
        </w:rPr>
        <w:t>عدم وجدان الخلاف في ذلك ، بل 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هذا الحكم مع الشرط المذكور مقتضي القواعد الأوليّة ، ولو لم يكن إجماع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تحصيل العلم بزيادة الثمن فيما إذا باع المجموع بأحدهما بمقدار يصلح للمقابلة مع الجزء الآخر الغير المجانس له ، وإلاّ لا يمكن الحكم بصحّة مثل هذه المعاملة ؛ لأنّ التمسّك بالعمومات والإطلاقات عند الشكّ هاهنا يكون من التمسّك بالعموم والإطلاق في الشبهة المصداقيّة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لحم بحيوان من جنسه ، وذلك كأن يبيع لحم الغنم بشاة ، أو لحم الماعز بضأن ، أو لحم البقر ببقرة أو ثور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والعمدة في دليله قوله علیه السلام في رواية غياث بن إبراهيم ، عن جعفر بن محمّد صلی اللّه علیه و آله عن أبيه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كره بيع اللحم بالحيوان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بهذه الرواية على الحرمة مبنىّ على ما روي في الروايات المعتبرة وتقدّم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لا يكره الحلال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مؤيّدا بالنبوي صلی اللّه علیه و آله وإن كان عاميّا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بيع اللحم بالحيوان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الإجماع المدّعى في المقام وحكى في الجواهر </w:t>
      </w:r>
      <w:r>
        <w:rPr>
          <w:rStyle w:val="FootnoteAnchor"/>
          <w:rtl w:val="true"/>
        </w:rPr>
        <w:footnoteReference w:id="207"/>
      </w:r>
      <w:r>
        <w:rPr>
          <w:rFonts w:ascii="Amiri" w:hAnsi="Amiri" w:eastAsia="Amiri" w:cs="Amiri"/>
          <w:color w:val="111111"/>
          <w:sz w:val="28"/>
          <w:sz w:val="28"/>
          <w:szCs w:val="28"/>
          <w:rtl w:val="true"/>
          <w:lang w:bidi="ar-SA"/>
        </w:rPr>
        <w:t>عن المختلف أنّه لم نقف فيه على مخالف منّا غير ابن إدريس فجوّز ، وقوله محدث لا يعوّل عليه ولا ينثلم به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الدروس قوله إلى الشذوذ ، وعلى كلّ حال رواية غياث في حدّ نفسها موثّقة ، وبضميمة الإجماع على مضمونه بعد ما كان المراد من الكراهة الحرمة بضميمة الروايات المعتبرة ، يكون اعتباره قويّا ، فتكون حجّة قويّة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وفي رواية غياث هو الحيوان الحيّ ، وهو ليس من الموزون ؛ ولذلك يجوز بيع شاة بشاتين ؛ لأنّه لا ربا في غير المكيل والموزون ، فالحرمة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كونه رباء ، بل من ناحية ورود النهي والتعبّد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العلاّمة قدس سره في التذكرة </w:t>
      </w:r>
      <w:r>
        <w:rPr>
          <w:rStyle w:val="FootnoteAnchor"/>
          <w:rtl w:val="true"/>
        </w:rPr>
        <w:footnoteReference w:id="208"/>
      </w:r>
      <w:r>
        <w:rPr>
          <w:rFonts w:ascii="Amiri" w:hAnsi="Amiri" w:eastAsia="Amiri" w:cs="Amiri"/>
          <w:color w:val="111111"/>
          <w:sz w:val="28"/>
          <w:sz w:val="28"/>
          <w:szCs w:val="28"/>
          <w:rtl w:val="true"/>
          <w:lang w:bidi="ar-SA"/>
        </w:rPr>
        <w:t xml:space="preserve">من القول بالكراهة ونفي الحرمة من جهة عدم كونه رباء ؛ لفقد شرطه وهو كونه مكيلا أو موزونا ، فيكون الأصل سالما عن المعارض الحاكم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 لما ذكرنا من أنّ عدم صحّته وحرمته ليس من جهة كونه ربا ، بل من جهة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 على ما ذكرنا من أنّ حرمة بيع اللحم بحيوان من جنسه ليس من جهة كونه رباء ، فهل يحرم بغير جنسه أيضا ، كما إذا باع لحم شاة ببقرة أم لا؟ مبنيّ على أنّ المراد من الحيوان في الرواية وفي الحديث خصوص الحيوان الذي من جنس اللحم ، أم مطلق الحيوان ، وكذلك معقد الإجماع خاصّ أو عام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معقد الإجماع ، فمن الواضح عدم شموله لبيع اللحم بغير جنسه ؛ لأنّ المشهور بين المتأخّرين بل ادّعى الإجماع بعضهم ، هو جواز البيع بغير جنسه ، مثل أن يبيع لحم الشاة بالبقر مثلا ، ومع ادّعاء هذا الإجماع والشهرة المحقّقة خصوصا بين المتأخّرين كيف يمكن القول بشمول إجماع المنع عن بيع اللحم بجنسه للبيع بغير جنسه</w:t>
      </w:r>
      <w:r>
        <w:rPr>
          <w:rFonts w:eastAsia="Amiri" w:cs="Amiri" w:ascii="Amiri" w:hAnsi="Amiri"/>
          <w:color w:val="111111"/>
          <w:sz w:val="28"/>
          <w:szCs w:val="28"/>
          <w:rtl w:val="true"/>
          <w:lang w:bidi="ar-SA"/>
        </w:rPr>
        <w:t xml:space="preserve">. </w:t>
      </w:r>
      <w:bookmarkStart w:id="113" w:name="pg15947_151057"/>
    </w:p>
    <w:p>
      <w:pPr>
        <w:pStyle w:val="BookText"/>
        <w:rPr/>
      </w:pPr>
      <w:bookmarkEnd w:id="113"/>
      <w:r>
        <w:rPr>
          <w:rFonts w:ascii="Amiri" w:hAnsi="Amiri" w:eastAsia="Amiri" w:cs="Amiri"/>
          <w:color w:val="111111"/>
          <w:sz w:val="28"/>
          <w:sz w:val="28"/>
          <w:szCs w:val="28"/>
          <w:rtl w:val="true"/>
          <w:lang w:bidi="ar-SA"/>
        </w:rPr>
        <w:t xml:space="preserve">نعم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غياث وفي الحديث الذي رواه الجمهور عن سعيد بن المسيّب مطلق يشمل ما كان من جنس اللحم وما لم يكن ، وغاية ما يمكن ادّعاء الانصراف فيه هو كونه حيّا ، وأمّا كونه من جنس اللحم فلا موجب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النهي ليس من جهة كونه ربا كي يقال بأنّه لا يأتي إلاّ في مورد اتّحاد جنس الحيوان مع اللحم ، فمقتضى الإطلاق لو لا الإجماع المدّعى في المقام ، هو المنع حتّى عن بيعه بغير جنسه ، وهو الموافق للاحتياط ، فلا يبعد حرمة بيعه حتّى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العلاّمة قدس سره في التذكرة </w:t>
      </w:r>
      <w:r>
        <w:rPr>
          <w:rStyle w:val="FootnoteAnchor"/>
          <w:rtl w:val="true"/>
        </w:rPr>
        <w:footnoteReference w:id="209"/>
      </w:r>
      <w:r>
        <w:rPr>
          <w:rFonts w:ascii="Amiri" w:hAnsi="Amiri" w:eastAsia="Amiri" w:cs="Amiri"/>
          <w:color w:val="111111"/>
          <w:sz w:val="28"/>
          <w:sz w:val="28"/>
          <w:szCs w:val="28"/>
          <w:rtl w:val="true"/>
          <w:lang w:bidi="ar-SA"/>
        </w:rPr>
        <w:t>بأنّه يجوز بيع لحم الحيوان بلحم غير جنسه فبيعه به حيّا أولى ، فهذا القياس على تقدير صحّته والقول به يأتي فيما إذا كان منشأ المنع هو حصول الرباء ، وأمّا لو كان منشأ المنع إطلاق الحديث والرواية كما ذكرنا ، فلا مورد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هذا يجب الاقتصار على ما يصدق عليه اللحم ، فمثل الكرش والكبد والكلى والقلب وكلّ ما لم يصدق عليه اللحم ، خارج عن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الحديثين هو وقوع اللحم مثمنا ؛ لأنّ هذا هو معنى بيع اللحم بالحيوان ، فالمبيع هو اللحم والثمن هو الحيوان ، ولكن ظاهر الفتاوى عدم الفرق في الحرمة بين كونه ثمنا أو مثمنا ، بل ظاهر معقد الإجماع هو شموله لكلا القسمين</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6231932_2142443653"/>
      <w:bookmarkStart w:id="115" w:name="_Toc39"/>
      <w:bookmarkEnd w:id="114"/>
      <w:r>
        <w:rPr>
          <w:rtl w:val="true"/>
        </w:rPr>
        <w:t xml:space="preserve">ثمَّ إنّ في هذه المسألة فروعا لا بأس بذكرها </w:t>
      </w:r>
      <w:r>
        <w:rPr>
          <w:rtl w:val="true"/>
        </w:rPr>
        <w:t>:</w:t>
      </w:r>
      <w:bookmarkEnd w:id="1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بيعه بالحيوان غير مأكول اللحم ، أم لا؟ ظاهر كلام العلاّمة في التذكرة </w:t>
      </w:r>
      <w:r>
        <w:rPr>
          <w:rStyle w:val="FootnoteAnchor"/>
          <w:rtl w:val="true"/>
        </w:rPr>
        <w:footnoteReference w:id="210"/>
      </w:r>
      <w:r>
        <w:rPr>
          <w:rFonts w:ascii="Amiri" w:hAnsi="Amiri" w:eastAsia="Amiri" w:cs="Amiri"/>
          <w:color w:val="111111"/>
          <w:sz w:val="28"/>
          <w:sz w:val="28"/>
          <w:szCs w:val="28"/>
          <w:rtl w:val="true"/>
          <w:lang w:bidi="ar-SA"/>
        </w:rPr>
        <w:t>هو الإجماع على الجواز ؛ لتعبيره بأنّه يجوز عندنا ، وكلمة عندنا ظاهر في اتّفاق الطائفة ، وهو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الدليل الذي يذكره للجواز قياس أوّلا ، وثانيا في غير محلّه ؛ لأنّ إتيانه مبنيّ على كون الحرمة والمنع لأجل كونه من الربا ، وقد بيّنّا فساد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الدليل على الجواز قصور أدّلة المنع عن شمولها للحيوان غير مأكول اللحم ، آدميّا كان أو غيره كالسباع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 فالقدر المتيقّن منه هو حيوان مأكول اللحم ، وأمّا الحديثان فلانصراف لفظ الحيوان عن الآدمي قطعا ، وعن السباع وأمثالها ظاهرا ؛ فالمنع لا دليل عليه ، فمقتضى الإطلاقات صحّة المعاملة ، ولو وصلت النوبة إلى الأصل فهي الصحّة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بيع اللحم بالسمكة الحيّة ، وبيع لحم السمك بالحيوان الحيّ ؛ وذلك لأنّ القدر المتيقّن من الإجماع ما عدا ذلك ، وانصراف الحديثين عن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Style w:val="FootnoteAnchor"/>
          <w:rtl w:val="true"/>
        </w:rPr>
        <w:footnoteReference w:id="211"/>
      </w:r>
      <w:r>
        <w:rPr>
          <w:rFonts w:ascii="Amiri" w:hAnsi="Amiri" w:eastAsia="Amiri" w:cs="Amiri"/>
          <w:color w:val="111111"/>
          <w:sz w:val="28"/>
          <w:sz w:val="28"/>
          <w:szCs w:val="28"/>
          <w:rtl w:val="true"/>
          <w:lang w:bidi="ar-SA"/>
        </w:rPr>
        <w:t>قدس سره في دليله لما تقدّم ، وجوابه ما 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212"/>
      </w:r>
      <w:r>
        <w:rPr>
          <w:rFonts w:ascii="Amiri" w:hAnsi="Amiri" w:eastAsia="Amiri" w:cs="Amiri"/>
          <w:color w:val="111111"/>
          <w:sz w:val="28"/>
          <w:sz w:val="28"/>
          <w:szCs w:val="28"/>
          <w:rtl w:val="true"/>
          <w:lang w:bidi="ar-SA"/>
        </w:rPr>
        <w:t xml:space="preserve">وفي التذكرة </w:t>
      </w:r>
      <w:r>
        <w:rPr>
          <w:rStyle w:val="FootnoteAnchor"/>
          <w:rtl w:val="true"/>
        </w:rPr>
        <w:footnoteReference w:id="21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بيع دجاجة فيها بيضة بدجاجة خالية ، وزاد في الجواهر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أيضا ، أو دجاجة فيها بيضة أو ببيضة فقط من دون كون دجاجة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الجميع أنّ شمول الإطلاقات وأدلّة صحّة البيع لا مانع عنها ، إلاّ كون المعاملة ربويّة ، ولا رباء هاهنا ؛ لأنّ المورد ليس بمكيل ولا بموزون ، ولا رباء إلاّ فيما يكال أو يوزن ؛ ولذلك لا مانع من بيع البيضة الواحدة ببيضتين ، لأنّه أيضا ليس بمكيل ولا بموزون ، كما يجوز بيع شاة في بطنها ولد بشاة ليست كذلك ، كما أنّه يجوز بيع شاة بشاتين ، وبيع شاتين بشاة ، كلّ ذلك لأجل </w:t>
      </w:r>
    </w:p>
    <w:p>
      <w:pPr>
        <w:pStyle w:val="BookText"/>
        <w:rPr/>
      </w:pPr>
      <w:r>
        <w:rPr>
          <w:rFonts w:ascii="Amiri" w:hAnsi="Amiri" w:eastAsia="Amiri" w:cs="Amiri"/>
          <w:color w:val="111111"/>
          <w:sz w:val="28"/>
          <w:sz w:val="28"/>
          <w:szCs w:val="28"/>
          <w:rtl w:val="true"/>
          <w:lang w:bidi="ar-SA"/>
        </w:rPr>
        <w:t>انتفاء شرط الرباء ، وهو عدم كونه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حالتا رطوبة وجفاف من الربويّات يجوز بيع بعضه ببعض مع تساوي الحالين إذا اتّفق الجنس ، وإن اختلف جاز مطلقا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لها حالتا رطوبة وجفاف ، كالعنب والتمر ، بل أغلب الفواكه والمخضرات ، كبادنجان وبانية مثلا ، ففي جميعها تارة تقع المعاملة بين متّفقي الجنس والحالة ، مثل أن يبيع العنب بالعنب ، أو الرطب بالرطب ، أو التمر بالتمر ، أو الزبيب بالزبيب ، وهكذا في سائر الموارد ، فمع الاختلاف كيلا في المكيل ووزنا في الموزون باطل ؛ لكونه من الربا المحرّم ، وأمّا مع التساوي فلا مانع في البين ؛ لعدم الربا ، وشمول 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صحّة الرطب بالرطب ؛ لعدم العلم بتساويهما بعد الجفاف وفي حال الادّخار ، مع أنّ الغرض والمقصود من المعاملة هو الادّخار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التفاوت بينهما غالبا يكون بمقدار يسير ، بحيث يتسامح العرف في ذلك المقدار ولا يعتني به ، وذلك كما إذا بيع الحنطة التي فيها شي‌ء يسير من التراب أو خليط آخر الذي لا يخلو الحنطة منه غالبا ، فبعد ما جفّا وإن كان من الممكن أن يكون الجفاف في أحدهما أكثر وأزيد ، فيختلف وزنهما بالدقّة ، ولكن الاختلاف قليل بحيث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عدم تحقّق الربا تساويهما حال وقوع المعاملة وصدور العقد ، أي النقل والانتقال شرعا ، وأمّا خروجه عن المساواة بعد وقوع المعاملة فلا يوجب صيرورتها رباء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من المعاملة دائما هو الادّخار والإبقاء ، بل المقصود أكلها رطبا ، وإنّما يكون التبديل لأجل أغراض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أقسام العنب والرطب ليس قابلا لأن يزيب أو يتمر ، وكذلك البطّيخ ، فلا تبقى أمثال هذه الأمور كي يقع التفاوت بين يابسهما فيستشكل بلزوم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بيع الرطب منها بالرطب ، واليابس باليابس ، فيجوز بيع الرطب بالرطب ، والتمر بالتمر ، والعنب بالعنب ، والزبيب بالزبيب ، والحنطة المبلولة بالحنطة المبلولة ، واليابسة منها باليابسة ، واللحم الطريّ بمثله ، القديد وبالقديد ، كلّ ذلك مع التساوي كيلا أو وزنا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العوضان متّفقي الجنس والحالة ، وأمّا إذا كانا مختلفي الجنس فلا مانع ، ومقتضى العمومات والإطلاقات هي الصحّة ، وسواء كانا من المكيل أو الموزون أو لم يكونا كذلك ، وسواء كانا متّفقي الحالة أو كانا من مختلفيها ؛ وذلك لانتفاء شرط الربا وهو الاتّفاق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من مختلفي الحالة ومتّفقي الجنس ، أي كان أحد العوضين المتجانسين رطبا والآخر يابسا ، مثل أن يبيع العنب بالزبيب ، أو الرطب بالتمر ، أو باع لحمانيّا بمقدّد ؛ أو بسرا برطب ، أو حنطة مبلولة بيابسة ، فهل يجوز بيع المذكورات وأمثالها متساويا ، أم لا؟</w:t>
      </w:r>
    </w:p>
    <w:p>
      <w:pPr>
        <w:pStyle w:val="BookText"/>
        <w:rPr/>
      </w:pP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لتحقّق المماثلة ، وقيل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في التذكرة </w:t>
      </w:r>
      <w:r>
        <w:rPr>
          <w:rStyle w:val="FootnoteAnchor"/>
          <w:rtl w:val="true"/>
        </w:rPr>
        <w:footnoteReference w:id="217"/>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عند علمائنا ، ولكن ظاهر الشرائع ترجيح القول الأوّل ، أي الجواز ؛ لإسناده القول بالمنع إلى القيل ، وإن كان قائله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العلاّمة في التذكرة أنّه المشهور عند علمائنا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المانعين إلى حصول النقصان عند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 ذلك بكفاية التساوي حال العقد ، وبه يثبت عدم كونه رباء ، ولا يلزم بقاؤه على هذه الصفة دائما</w:t>
      </w:r>
      <w:r>
        <w:rPr>
          <w:rFonts w:eastAsia="Amiri" w:cs="Amiri" w:ascii="Amiri" w:hAnsi="Amiri"/>
          <w:color w:val="111111"/>
          <w:sz w:val="28"/>
          <w:szCs w:val="28"/>
          <w:rtl w:val="true"/>
          <w:lang w:bidi="ar-SA"/>
        </w:rPr>
        <w:t xml:space="preserve">. </w:t>
      </w:r>
      <w:bookmarkStart w:id="116" w:name="pg15947_151061"/>
    </w:p>
    <w:p>
      <w:pPr>
        <w:pStyle w:val="Heading5"/>
        <w:numPr>
          <w:ilvl w:val="4"/>
          <w:numId w:val="1"/>
        </w:numPr>
        <w:rPr/>
      </w:pPr>
      <w:bookmarkStart w:id="117" w:name="__RefHeading___Toc16231934_2142443653"/>
      <w:bookmarkStart w:id="118" w:name="_Toc40"/>
      <w:bookmarkEnd w:id="116"/>
      <w:bookmarkEnd w:id="117"/>
      <w:r>
        <w:rPr>
          <w:rtl w:val="true"/>
        </w:rPr>
        <w:t>فالعمدة في دليل المنع الأخبار والحديث الوارد في المقام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أمّا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الجمهور أنّ النبي صلی اللّه علیه و آله سئل عن بيع الرطب بالتمر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أينقص الرطب إذا يبس؟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إذن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الرواية فمن طريق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في الصحيح عن الصادق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التمر اليابس بالرطب ، من أجل أنّ اليابس يابس والرطب رطب ، فإذا يبس نقص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التمر بالرطب ، إنّ الرطب رطب ، والتمر يابس ، فإذا يبس الرطب نقص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داود الأبزاري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التمر بالرطب ، إنّ التمر يابس والرطب رطب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محمّد بن قيس عن أبي جعفر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علیه السلام كره أن يباع التمر بالرطب عاجلا بمثل كيله إلى أجل ، من أجل أنّ التمر ييبس فينقص من كيله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ودلالة الخبر الأخير على المنع مبنيّ على ما تقدّم ذكره أنّ أمير المؤمنين علیه السلام كان </w:t>
      </w:r>
      <w:bookmarkStart w:id="119" w:name="pg15947_151062"/>
    </w:p>
    <w:p>
      <w:pPr>
        <w:pStyle w:val="BookText"/>
        <w:rPr/>
      </w:pPr>
      <w:bookmarkEnd w:id="119"/>
      <w:r>
        <w:rPr>
          <w:rFonts w:ascii="Amiri" w:hAnsi="Amiri" w:eastAsia="Amiri" w:cs="Amiri"/>
          <w:color w:val="111111"/>
          <w:sz w:val="28"/>
          <w:sz w:val="28"/>
          <w:szCs w:val="28"/>
          <w:rtl w:val="true"/>
          <w:lang w:bidi="ar-SA"/>
        </w:rPr>
        <w:t xml:space="preserve">لا يكره الحلال </w:t>
      </w:r>
      <w:r>
        <w:rPr>
          <w:rStyle w:val="FootnoteAnchor"/>
          <w:rtl w:val="true"/>
        </w:rPr>
        <w:footnoteReference w:id="223"/>
      </w:r>
      <w:r>
        <w:rPr>
          <w:rFonts w:ascii="Amiri" w:hAnsi="Amiri" w:eastAsia="Amiri" w:cs="Amiri"/>
          <w:color w:val="111111"/>
          <w:sz w:val="28"/>
          <w:sz w:val="28"/>
          <w:szCs w:val="28"/>
          <w:rtl w:val="true"/>
          <w:lang w:bidi="ar-SA"/>
        </w:rPr>
        <w:t>، فكراهته كاشفة عن كونه حراما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6231936_2142443653"/>
      <w:bookmarkStart w:id="121" w:name="_Toc41"/>
      <w:bookmarkEnd w:id="120"/>
      <w:r>
        <w:rPr>
          <w:rtl w:val="true"/>
        </w:rPr>
        <w:t xml:space="preserve">ولكن هاهنا أخبار أخر تدلّ على الجواز </w:t>
      </w:r>
      <w:r>
        <w:rPr>
          <w:rtl w:val="true"/>
        </w:rPr>
        <w:t>:</w:t>
      </w:r>
      <w:bookmarkEnd w:id="121"/>
    </w:p>
    <w:p>
      <w:pPr>
        <w:pStyle w:val="BookText"/>
        <w:rPr/>
      </w:pPr>
      <w:r>
        <w:rPr>
          <w:rFonts w:ascii="IRNazanin" w:hAnsi="IRNazanin" w:eastAsia="IRNazanin"/>
          <w:color w:val="111111"/>
          <w:sz w:val="28"/>
          <w:sz w:val="28"/>
          <w:szCs w:val="28"/>
          <w:rtl w:val="true"/>
          <w:lang w:bidi="fa-IR"/>
        </w:rPr>
        <w:t xml:space="preserve">كرواية سماعة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العنب بالزبيب؟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 إلاّ مثلا بمثل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 والرطب بالرطب مثلا بمثل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ابن أبي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التمر والبسر الأحمر مثلا بمثل؟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فالبختج والعنب مثلا بمثل؟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هاتين الطائفتين من الأخبار هي المعارضة ؛ لأنّ الطائفة الأولى ظاهرة في عدم جواز بيع التمر بالرطب أو الرطب بالتمر ، بل كلّ رطب باليابس من جنسه ومثله ؛ لعموم التعليل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 هذه الجملة حسب المتفاهم العرفي أنّه لا يجوز ؛ لأنّه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ينقص بعد بيعه بمثله وجنسه متساويا كيلا أو وزنا ، فلا يجوز بيعه بمثله مثلا بمثل ، فيشمل كلّ فاكهة رطبة باليابس من جنسه ، بل وغير الفاكهة ، سواء كان رطوبته ذاتيّة كالفواكه الغضة وغيرها ، أو عرضيّة كالحنطة المبلولة وغيرها ممّا يرشّ عليه الماء ، وإن كان الرشّ لإصلاحه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والطائفة الثانية ظاهرة في جواز بيع الرطب باليابس ، واليابس بالرطب ، نعم لا عموم لها بحيث يشمل كلّ رطب ويابس ، ولكن تدلّ على الجواز في نفس المورد الذي تدلّ الطائفة الأولى على عدم الجواز ، وهو بيع التمر بالرطب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فالمشهور على ما في التذكرة </w:t>
      </w:r>
      <w:r>
        <w:rPr>
          <w:rStyle w:val="FootnoteAnchor"/>
          <w:rtl w:val="true"/>
        </w:rPr>
        <w:footnoteReference w:id="226"/>
      </w:r>
      <w:r>
        <w:rPr>
          <w:rFonts w:ascii="Amiri" w:hAnsi="Amiri" w:eastAsia="Amiri" w:cs="Amiri"/>
          <w:color w:val="111111"/>
          <w:sz w:val="28"/>
          <w:sz w:val="28"/>
          <w:szCs w:val="28"/>
          <w:rtl w:val="true"/>
          <w:lang w:bidi="ar-SA"/>
        </w:rPr>
        <w:t>ذهبوا إلى عدم الجواز مطلق ، أو في جميع صور المسألة بناء منهم على عدم قابليّة الطائفة الثانية للمعارضة مع الأولى ؛ لضعفها ، وإعراض المشهور عنها ، فلا جابر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قويّ لو لم يكن جمع دلالي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جمع كثير من أساطين الفقه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القديمان </w:t>
      </w:r>
      <w:r>
        <w:rPr>
          <w:rStyle w:val="FootnoteAnchor"/>
          <w:rtl w:val="true"/>
        </w:rPr>
        <w:footnoteReference w:id="227"/>
      </w:r>
      <w:r>
        <w:rPr>
          <w:rFonts w:ascii="Amiri" w:hAnsi="Amiri" w:eastAsia="Amiri" w:cs="Amiri"/>
          <w:color w:val="111111"/>
          <w:sz w:val="28"/>
          <w:sz w:val="28"/>
          <w:szCs w:val="28"/>
          <w:rtl w:val="true"/>
          <w:lang w:bidi="ar-SA"/>
        </w:rPr>
        <w:t xml:space="preserve">، والشيخ في المبسوط ، </w:t>
      </w:r>
      <w:r>
        <w:rPr>
          <w:rStyle w:val="FootnoteAnchor"/>
          <w:rtl w:val="true"/>
        </w:rPr>
        <w:footnoteReference w:id="228"/>
      </w:r>
      <w:r>
        <w:rPr>
          <w:rFonts w:ascii="Amiri" w:hAnsi="Amiri" w:eastAsia="Amiri" w:cs="Amiri"/>
          <w:color w:val="111111"/>
          <w:sz w:val="28"/>
          <w:sz w:val="28"/>
          <w:szCs w:val="28"/>
          <w:rtl w:val="true"/>
          <w:lang w:bidi="ar-SA"/>
        </w:rPr>
        <w:t xml:space="preserve">وابن حمزة في الوسيلة ، </w:t>
      </w:r>
      <w:r>
        <w:rPr>
          <w:rStyle w:val="FootnoteAnchor"/>
          <w:rtl w:val="true"/>
        </w:rPr>
        <w:footnoteReference w:id="229"/>
      </w:r>
      <w:r>
        <w:rPr>
          <w:rFonts w:ascii="Amiri" w:hAnsi="Amiri" w:eastAsia="Amiri" w:cs="Amiri"/>
          <w:color w:val="111111"/>
          <w:sz w:val="28"/>
          <w:sz w:val="28"/>
          <w:szCs w:val="28"/>
          <w:rtl w:val="true"/>
          <w:lang w:bidi="ar-SA"/>
        </w:rPr>
        <w:t xml:space="preserve">والعلاّمة في التذكرة ، </w:t>
      </w:r>
      <w:r>
        <w:rPr>
          <w:rStyle w:val="FootnoteAnchor"/>
          <w:rtl w:val="true"/>
        </w:rPr>
        <w:footnoteReference w:id="230"/>
      </w:r>
      <w:r>
        <w:rPr>
          <w:rFonts w:ascii="Amiri" w:hAnsi="Amiri" w:eastAsia="Amiri" w:cs="Amiri"/>
          <w:color w:val="111111"/>
          <w:sz w:val="28"/>
          <w:sz w:val="28"/>
          <w:szCs w:val="28"/>
          <w:rtl w:val="true"/>
          <w:lang w:bidi="ar-SA"/>
        </w:rPr>
        <w:t xml:space="preserve">والتحرير </w:t>
      </w:r>
      <w:r>
        <w:rPr>
          <w:rStyle w:val="FootnoteAnchor"/>
          <w:rtl w:val="true"/>
        </w:rPr>
        <w:footnoteReference w:id="231"/>
      </w:r>
      <w:r>
        <w:rPr>
          <w:rFonts w:ascii="IRNazanin" w:hAnsi="IRNazanin" w:eastAsia="IRNazanin"/>
          <w:color w:val="111111"/>
          <w:sz w:val="28"/>
          <w:sz w:val="28"/>
          <w:szCs w:val="28"/>
          <w:rtl w:val="true"/>
          <w:lang w:bidi="fa-IR"/>
        </w:rPr>
        <w:t xml:space="preserve">والإرشاد </w:t>
      </w:r>
      <w:r>
        <w:rPr>
          <w:rStyle w:val="FootnoteAnchor"/>
          <w:rtl w:val="true"/>
        </w:rPr>
        <w:footnoteReference w:id="232"/>
      </w:r>
      <w:r>
        <w:rPr>
          <w:rFonts w:ascii="IRNazanin" w:hAnsi="IRNazanin" w:eastAsia="IRNazanin"/>
          <w:color w:val="111111"/>
          <w:sz w:val="28"/>
          <w:sz w:val="28"/>
          <w:szCs w:val="28"/>
          <w:rtl w:val="true"/>
          <w:lang w:bidi="fa-IR"/>
        </w:rPr>
        <w:t xml:space="preserve">والمختلف </w:t>
      </w:r>
      <w:r>
        <w:rPr>
          <w:rStyle w:val="FootnoteAnchor"/>
          <w:rtl w:val="true"/>
        </w:rPr>
        <w:footnoteReference w:id="233"/>
      </w:r>
      <w:r>
        <w:rPr>
          <w:rFonts w:ascii="IRNazanin" w:hAnsi="IRNazanin" w:eastAsia="IRNazanin"/>
          <w:color w:val="111111"/>
          <w:sz w:val="28"/>
          <w:sz w:val="28"/>
          <w:szCs w:val="28"/>
          <w:rtl w:val="true"/>
          <w:lang w:bidi="fa-IR"/>
        </w:rPr>
        <w:t xml:space="preserve">والقواعد </w:t>
      </w:r>
      <w:r>
        <w:rPr>
          <w:rStyle w:val="FootnoteAnchor"/>
          <w:rtl w:val="true"/>
        </w:rPr>
        <w:footnoteReference w:id="234"/>
      </w:r>
      <w:r>
        <w:rPr>
          <w:rFonts w:ascii="Amiri" w:hAnsi="Amiri" w:eastAsia="Amiri" w:cs="Amiri"/>
          <w:color w:val="111111"/>
          <w:sz w:val="28"/>
          <w:sz w:val="28"/>
          <w:szCs w:val="28"/>
          <w:rtl w:val="true"/>
          <w:lang w:bidi="ar-SA"/>
        </w:rPr>
        <w:t xml:space="preserve">، وغيره في اللمعة </w:t>
      </w:r>
      <w:r>
        <w:rPr>
          <w:rStyle w:val="FootnoteAnchor"/>
          <w:rtl w:val="true"/>
        </w:rPr>
        <w:footnoteReference w:id="235"/>
      </w:r>
      <w:r>
        <w:rPr>
          <w:rFonts w:ascii="IRNazanin" w:hAnsi="IRNazanin" w:eastAsia="IRNazanin"/>
          <w:color w:val="111111"/>
          <w:sz w:val="28"/>
          <w:sz w:val="28"/>
          <w:szCs w:val="28"/>
          <w:rtl w:val="true"/>
          <w:lang w:bidi="fa-IR"/>
        </w:rPr>
        <w:t xml:space="preserve">والمقتصر </w:t>
      </w:r>
      <w:r>
        <w:rPr>
          <w:rStyle w:val="FootnoteAnchor"/>
          <w:rtl w:val="true"/>
        </w:rPr>
        <w:footnoteReference w:id="236"/>
      </w:r>
      <w:r>
        <w:rPr>
          <w:rFonts w:ascii="Amiri" w:hAnsi="Amiri" w:eastAsia="Amiri" w:cs="Amiri"/>
          <w:color w:val="111111"/>
          <w:sz w:val="28"/>
          <w:sz w:val="28"/>
          <w:szCs w:val="28"/>
          <w:rtl w:val="true"/>
          <w:lang w:bidi="ar-SA"/>
        </w:rPr>
        <w:t xml:space="preserve">والمهذّب </w:t>
      </w:r>
      <w:r>
        <w:rPr>
          <w:rStyle w:val="FootnoteAnchor"/>
          <w:rtl w:val="true"/>
        </w:rPr>
        <w:footnoteReference w:id="237"/>
      </w:r>
      <w:r>
        <w:rPr>
          <w:rFonts w:ascii="Amiri" w:hAnsi="Amiri" w:eastAsia="Amiri" w:cs="Amiri"/>
          <w:color w:val="111111"/>
          <w:sz w:val="28"/>
          <w:sz w:val="28"/>
          <w:szCs w:val="28"/>
          <w:rtl w:val="true"/>
          <w:lang w:bidi="ar-SA"/>
        </w:rPr>
        <w:t xml:space="preserve">والتنقيح </w:t>
      </w:r>
      <w:r>
        <w:rPr>
          <w:rStyle w:val="FootnoteAnchor"/>
          <w:rtl w:val="true"/>
        </w:rPr>
        <w:footnoteReference w:id="238"/>
      </w:r>
      <w:r>
        <w:rPr>
          <w:rFonts w:ascii="Amiri" w:hAnsi="Amiri" w:eastAsia="Amiri" w:cs="Amiri"/>
          <w:color w:val="111111"/>
          <w:sz w:val="28"/>
          <w:sz w:val="28"/>
          <w:szCs w:val="28"/>
          <w:rtl w:val="true"/>
          <w:lang w:bidi="ar-SA"/>
        </w:rPr>
        <w:t xml:space="preserve">وإيضاح النافع والميسية المسالك </w:t>
      </w:r>
      <w:r>
        <w:rPr>
          <w:rStyle w:val="FootnoteAnchor"/>
          <w:rtl w:val="true"/>
        </w:rPr>
        <w:footnoteReference w:id="239"/>
      </w:r>
      <w:r>
        <w:rPr>
          <w:rFonts w:ascii="Amiri" w:hAnsi="Amiri" w:eastAsia="Amiri" w:cs="Amiri"/>
          <w:color w:val="111111"/>
          <w:sz w:val="28"/>
          <w:sz w:val="28"/>
          <w:szCs w:val="28"/>
          <w:rtl w:val="true"/>
          <w:lang w:bidi="ar-SA"/>
        </w:rPr>
        <w:t xml:space="preserve">والروضة </w:t>
      </w:r>
      <w:r>
        <w:rPr>
          <w:rStyle w:val="FootnoteAnchor"/>
          <w:rtl w:val="true"/>
        </w:rPr>
        <w:footnoteReference w:id="240"/>
      </w:r>
      <w:r>
        <w:rPr>
          <w:rFonts w:ascii="Amiri" w:hAnsi="Amiri" w:eastAsia="Amiri" w:cs="Amiri"/>
          <w:color w:val="111111"/>
          <w:sz w:val="28"/>
          <w:sz w:val="28"/>
          <w:szCs w:val="28"/>
          <w:rtl w:val="true"/>
          <w:lang w:bidi="ar-SA"/>
        </w:rPr>
        <w:t>والدروس وقد تقدّم أنّ العلاّمة وهو الفقيه المحقّق المتتبع ادّعى الشهرة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ومقابل هذا القول هو القول بالجواز مطلقا ، حتّى في بيع التمر بالرطب الذي هو مورد روايات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المحكي عن الشيخ في الاستبصار </w:t>
      </w:r>
      <w:r>
        <w:rPr>
          <w:rStyle w:val="FootnoteAnchor"/>
          <w:rtl w:val="true"/>
        </w:rPr>
        <w:footnoteReference w:id="241"/>
      </w:r>
      <w:r>
        <w:rPr>
          <w:rFonts w:ascii="IRNazanin" w:hAnsi="IRNazanin" w:eastAsia="IRNazanin"/>
          <w:color w:val="111111"/>
          <w:sz w:val="28"/>
          <w:sz w:val="28"/>
          <w:szCs w:val="28"/>
          <w:rtl w:val="true"/>
          <w:lang w:bidi="fa-IR"/>
        </w:rPr>
        <w:t xml:space="preserve">وموضع من </w:t>
      </w:r>
    </w:p>
    <w:p>
      <w:pPr>
        <w:pStyle w:val="BookText"/>
        <w:rPr/>
      </w:pPr>
      <w:r>
        <w:rPr>
          <w:rFonts w:ascii="Amiri" w:hAnsi="Amiri" w:eastAsia="Amiri" w:cs="Amiri"/>
          <w:color w:val="111111"/>
          <w:sz w:val="28"/>
          <w:sz w:val="28"/>
          <w:szCs w:val="28"/>
          <w:rtl w:val="true"/>
          <w:lang w:bidi="ar-SA"/>
        </w:rPr>
        <w:t xml:space="preserve">المبسوط ، وعن ابن إدريس </w:t>
      </w:r>
      <w:r>
        <w:rPr>
          <w:rStyle w:val="FootnoteAnchor"/>
          <w:rtl w:val="true"/>
        </w:rPr>
        <w:footnoteReference w:id="242"/>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243"/>
      </w:r>
      <w:r>
        <w:rPr>
          <w:rFonts w:ascii="IRNazanin" w:hAnsi="IRNazanin" w:eastAsia="IRNazanin"/>
          <w:color w:val="111111"/>
          <w:sz w:val="28"/>
          <w:sz w:val="28"/>
          <w:szCs w:val="28"/>
          <w:rtl w:val="true"/>
          <w:lang w:bidi="fa-IR"/>
        </w:rPr>
        <w:t xml:space="preserve">وصاحب الحدائق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الجمع بين الطائفتين بحمل الأولى على الكراهة ، والثانية على الجواز بالمعنى الأعمّ الذي لا ينافي الكراهة ، بل أنكروا ظهور الطائفة الأولى في التحريم ؛ لأنّ المنع فيها إمّا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في الكراهة من أوّل الأمر ، وأمّا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عليّ أن يباع التمر بالرطب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الكراهة لا ظهور له في الحرمة ، وإن ورد أنّ عليّا كان لا يكره الحلال ، وفي بعض الروايات أنّه علیه السلام لا يكره إلاّ الحرام ، ومع ذلك كلّه لم يخرج لفظ الكراهة عن ظهوره في المعنى العرفي ، وهو مطلق المرجوحيّة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لا تعارض ولا تنافي في البين كي يحتاج إلى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ظهورها في الحرمة يرفع اليد عن ظهورها في الحرمة بنصّ الطائفة الثانية في الجواز ، وهذا جمع عرفيّ معمول به في المحاورات وعند الفقهاء ، ومعلوم أنّ الجمع الدلالي مقدّم على الترجيح السندي ، ومعه لا تصل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 ، فقال بالمنع في خصوص بيع التمر والرطب أو بالعكس ، والجواز في غيره من الرطب واليابس ؛ وذلك لأجل النصّ في نفس هذا المورد ، واستظهار عدم العموم للعلّة ، بل تكون مختصّة بنفس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قال به المحقّق ؛ لأنّه يقول في الشرائع </w:t>
      </w:r>
      <w:r>
        <w:rPr>
          <w:rStyle w:val="FootnoteAnchor"/>
          <w:rtl w:val="true"/>
        </w:rPr>
        <w:footnoteReference w:id="245"/>
      </w:r>
      <w:r>
        <w:rPr>
          <w:rFonts w:ascii="Amiri" w:hAnsi="Amiri" w:eastAsia="Amiri" w:cs="Amiri"/>
          <w:color w:val="111111"/>
          <w:sz w:val="28"/>
          <w:sz w:val="28"/>
          <w:szCs w:val="28"/>
          <w:rtl w:val="true"/>
          <w:lang w:bidi="ar-SA"/>
        </w:rPr>
        <w:t>وفي بيع الرطب بالتمر تردّد ، والأظهر اختصاصه بالمنع ؛ اعتمادا 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بالزبيب جائز ، وقيل لا ؛ اطّرادا للعلّة ،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كلّ رطب مع يابسه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من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الرطب والتمر ، والجواز في سائر موارد </w:t>
      </w:r>
    </w:p>
    <w:p>
      <w:pPr>
        <w:pStyle w:val="BookText"/>
        <w:rPr/>
      </w:pPr>
      <w:r>
        <w:rPr>
          <w:rFonts w:ascii="Amiri" w:hAnsi="Amiri" w:eastAsia="Amiri" w:cs="Amiri"/>
          <w:color w:val="111111"/>
          <w:sz w:val="28"/>
          <w:sz w:val="28"/>
          <w:szCs w:val="28"/>
          <w:rtl w:val="true"/>
          <w:lang w:bidi="ar-SA"/>
        </w:rPr>
        <w:t>الرطب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للنصّ ، وأمّا الثاني فلعدم دليل على المنع ، وعدم عموم للعلّة ، وشمول إطلاقات أدلّة صحّة البيع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 آخر بعد الفراغ عن القول بالمنع في خصوص الرطب والتمر ، بين كون الرطوبة ذاتيّة كرطوبة الفواكه الغضّة ، وكونها عرضية كرطوبة الحنطة المبلولة مثلا ، فقالوا بالجواز في الأوّل ؛ لأنّ الرطوبة الذاتيّة التي في الجسم المرطوب تعدّ جزءا من ذلك الجسم المرطوب عرفا ، بل بالدّقة ، بخلاف الرطوبة العرضية فإنّها أجنبيّة عنه ، وأمر خارج عن حقيقة ذلك الجسم المرطوب حقيقة وعرفا ، ولا ماليّة لها كي يكون مجموع المالين بإزاء ذلك الآخر ، فيخرج عن كونه ربا ، بل يكون المبلول وحده من دون بلله عوضا عن الآخر ، والمفروض أنّه وحده متساو معه فيكون من البيع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التفصيلان في حد نفسهما وإن كانا لا يخلوان عن حسن ، ولكن لا تصل النوبة إليهما إلاّ بعد الفراغ عن عدم عموم للعلّة بالنسبة إلى التفصيل الأوّل ؛ إذ مع عموم التعليل لا يبقى فرق بين الرطب والتمر وبين سائر الفواكه الرطبة كلّ واحد منها مع اليابس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الثاني فمضافا إلى ما تقدّم ، لا يأتي إلاّ فيما إذا قلنا بأنّ المعتبر في التساوي وعدم تحقّق الربا هو أن يكون التساوي حال وقوع العقد لا بقاءه إلى الآخر ، وإلاّ لو قلنا بلزوم بقاء التساوي إلى الآخر ، فلا يبقى في كلا الشقّين ، فيبطل في كلتا الصورتين ، سواء كانت الرطوبة حال وقوع المعاملة ذاتيّة أو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الفرق بينهما مبنيّ على كون الرطوبة الذاتيّة جزءا للمرطوب حقيقة أو عرفا دون الرطوبة العرضيّة كي تكون التساوي بين العوضين موجودا حال العقد في الأوّل دون الثاني ، وجميع هذه المباني والمقدّمات غير ثابت ، بل معلوم العدم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الظنون لا يصحّ أن يبتني عليها الأحكام الشرعيّة ، ولا ينبغي </w:t>
      </w:r>
      <w:bookmarkStart w:id="122" w:name="pg15947_151066"/>
    </w:p>
    <w:p>
      <w:pPr>
        <w:pStyle w:val="BookText"/>
        <w:rPr/>
      </w:pPr>
      <w:bookmarkEnd w:id="122"/>
      <w:r>
        <w:rPr>
          <w:rFonts w:ascii="Amiri" w:hAnsi="Amiri" w:eastAsia="Amiri" w:cs="Amiri"/>
          <w:color w:val="111111"/>
          <w:sz w:val="28"/>
          <w:sz w:val="28"/>
          <w:szCs w:val="28"/>
          <w:rtl w:val="true"/>
          <w:lang w:bidi="ar-SA"/>
        </w:rPr>
        <w:t>أن يعتنى بها ، فالعمدة في المسألة هو القول المشهور ، أي عدم الجواز مطلقا ، أو الجواز كذلك ؛ لدلالة الروايات المتقدّمة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أنّ مفادها الكراهة لا الحرمة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اطّراد العلّة وعمومها لا وجه له وخلاف المتفاهم العرفيّ ، فالأحوط بل الظاهر هو القول المشهور ، أي المنع مطلقا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التفاصيل التي ذكروها في المقام لا أساس لها ، وإن كان التفصيل الأوّل يستظهر من المحقّق شيخ الفقهاء في الشرائع ، </w:t>
      </w:r>
      <w:r>
        <w:rPr>
          <w:rStyle w:val="FootnoteAnchor"/>
          <w:rtl w:val="true"/>
        </w:rPr>
        <w:footnoteReference w:id="246"/>
      </w:r>
      <w:r>
        <w:rPr>
          <w:rFonts w:ascii="Amiri" w:hAnsi="Amiri" w:eastAsia="Amiri" w:cs="Amiri"/>
          <w:color w:val="111111"/>
          <w:sz w:val="28"/>
          <w:sz w:val="28"/>
          <w:szCs w:val="28"/>
          <w:rtl w:val="true"/>
          <w:lang w:bidi="ar-SA"/>
        </w:rPr>
        <w:t>وتقدّم نقل عبارته ، فيدور بين القول بالمنع مطلقا أو الجواز مطلقا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6231938_2142443653"/>
      <w:bookmarkStart w:id="124" w:name="_Toc42"/>
      <w:bookmarkEnd w:id="123"/>
      <w:r>
        <w:rPr>
          <w:rtl w:val="true"/>
        </w:rPr>
        <w:t xml:space="preserve">ولكن لا مجال للقول بالجواز مطلقا إلاّ بأحد أمرين ، وهما </w:t>
      </w:r>
      <w:r>
        <w:rPr>
          <w:rtl w:val="true"/>
        </w:rPr>
        <w:t>:</w:t>
      </w:r>
      <w:bookmarkEnd w:id="124"/>
    </w:p>
    <w:p>
      <w:pPr>
        <w:pStyle w:val="BookText"/>
        <w:rPr/>
      </w:pPr>
      <w:r>
        <w:rPr>
          <w:rFonts w:ascii="Amiri" w:hAnsi="Amiri" w:eastAsia="Amiri" w:cs="Amiri"/>
          <w:color w:val="111111"/>
          <w:sz w:val="28"/>
          <w:sz w:val="28"/>
          <w:szCs w:val="28"/>
          <w:rtl w:val="true"/>
          <w:lang w:bidi="ar-SA"/>
        </w:rPr>
        <w:t xml:space="preserve">إمّا أن تكون الروايات المانعة غير ظاهرة في الحرمة ، بل تكون ظاهرة في الكراهة من جهة اشتمال بعضها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ظاهرة في الكراهة ، أو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محمّد بن قيس التي تقدّمت كذلك ؛ إذ بناء على هذا لا مانع من شمول الإطلاقات وعمومات الصحّة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الجمع الدلالي بينها وبين الطائفة الأخرى التي ظاهرها الجواز بحمل الأولى على الكراهة تحكيما للنصّ على الظاهر</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6231940_2142443653"/>
      <w:bookmarkStart w:id="126" w:name="_Toc43"/>
      <w:bookmarkEnd w:id="125"/>
      <w:r>
        <w:rPr>
          <w:rtl w:val="true"/>
        </w:rPr>
        <w:t>وأنت خبير بعدم صحّة كلا الأمرين</w:t>
      </w:r>
      <w:r>
        <w:rPr>
          <w:rtl w:val="true"/>
        </w:rPr>
        <w:t>.</w:t>
      </w:r>
      <w:bookmarkEnd w:id="1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صحّة مثل ذلك البيع أو عدم صحّته في غاية الظهور في عدم جوازه وفساده ، وكذلك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الثلاث ، حيث أنّه علیه السلام ينفي الصلاحيّة عن مثل هذا البيع معلّلا بأنّ ما هو الرطب ينقص لجفافه فيما بعد ، فيخرج عن التساوي مع مقابله ، وهو شرط في صحّة بيع المتجانسين ، فبفقده ينتفي الصحّة ، فيكون نفي الصلاح في مثل هذا المورد مع هذا التعليل ظاهرا في فساد المعاملة وعدم جوازها ، وإن كان في حدّ نفسه يلائم مع الحرمة </w:t>
      </w:r>
    </w:p>
    <w:p>
      <w:pPr>
        <w:pStyle w:val="BookText"/>
        <w:rPr/>
      </w:pPr>
      <w:r>
        <w:rPr>
          <w:rFonts w:ascii="Amiri" w:hAnsi="Amiri" w:eastAsia="Amiri" w:cs="Amiri"/>
          <w:color w:val="111111"/>
          <w:sz w:val="28"/>
          <w:sz w:val="28"/>
          <w:szCs w:val="28"/>
          <w:rtl w:val="true"/>
          <w:lang w:bidi="ar-SA"/>
        </w:rPr>
        <w:t>والكراهة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هذه الروايات لزوم بقاء التساوي في العوضين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الجمع الدلالي على الترجيح السندي بعد الفراغ عن حجّيته ، بمعنى عدم خروجه عن موضوع الحجّية ، وأمّا إذا قلنا بأنّ موضوع الحجّة هو الموثوق الصدور ، وإعراض المشهور كان سببا لسلب الوثوق بصدوره وخروجه عمّا هو موضوع الحجّية ، فلا يبقى حجّة كي تصل النوبة إلى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هذا الكلام هو أنّه لو كان هناك خبران ، كلاهما ممّا يوثق بصدورهما ، ولم يعرض الأصحاب عن كلّ واحد منهما ، بل بعضهم عملوا بذاك وبعضهم عملوا بهذا ، وكان لأحدهما مرجّح سندي ولكن يمكن الجمع العرفي الدلاليّ بينهما ، ففي مثل هذا المورد يجب الجمع ، ولا يجوز الأخذ بذي المزيّة ، وطرح الآخر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 جار في كثير من موارد الأخبار المتعارضة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نجاسة الكفّار ، مع الواردة في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تأمّلت فيما ذكرنا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الروايات التي لها ظهور في جواز مثل هذا البيع ، صار سببا لسلب الوثوق بصدورها ، فلا يبقى مجال للجمع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إلى التوجيهات التي ذكروها للروايات المجوّزة ، تركنا ذكرها لعدم الاحتياج إليها ، مع ضعف كثير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باع أحد المتجانسين الربويين ، وفيه خليط بالآخر الخالص ، مثل أن باع حنطة فيها خليط بالأخرى الخالصة التي ليس فيها خليط من غير جنسه ، فلا يخلو إمّا أن يكون الخليط قليلا بحيث يتسامح فيه ولا يعتنى به في مقام المعاملة ، فلا إشكال فيه ؛ لأنّ العوضين بناء على هذا لا يخرجان عن التساوي عرفا ، فلا 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يكون ممّا لا يتسامح فيه ، فإن لم يكن له ماليّة فالمعاملة باطلة ؛ لأجل حصول الربا ، لأجل عدم التساوي بين العوضين ، مع أنّهما من جنس واحد ؛ إذ الخليط لا يقع عوضا لعدم ماليّته ، والمفروض أنّ ما فيه الخليط أقلّ من الآخر بدون الخليط ، </w:t>
      </w:r>
    </w:p>
    <w:p>
      <w:pPr>
        <w:pStyle w:val="BookText"/>
        <w:rPr/>
      </w:pPr>
      <w:r>
        <w:rPr>
          <w:rFonts w:ascii="IRNazanin" w:hAnsi="IRNazanin" w:eastAsia="IRNazanin"/>
          <w:color w:val="111111"/>
          <w:sz w:val="28"/>
          <w:sz w:val="28"/>
          <w:szCs w:val="28"/>
          <w:rtl w:val="true"/>
          <w:lang w:bidi="fa-IR"/>
        </w:rPr>
        <w:t>وبعد حذفه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كان له ماليّة ، فالمعاملة صحيحة ولا رباء ، إذ الخليط يقع بإزاء الزيادة التي في الآخر قهرا ، وإن لم يكن مقصودا ، وذلك لقصد معاوضة المجموع بالمجموع ، فالخليط أيضا داخل في المجموع الذي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الخليط في أحدهما ، وأمّا إذا كان فيهما وليس له ماليّة ، فإذا كان العوضان المتجانسان متساويين مع قطع النظر عن الخليط ، فلا إشكال ولا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يكونا متساويين فرباء وباطل ، والوجه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لخليط كلّ واحد منهما ماليّة ، ففيما إذا لم يكن الخليط في كلّ واحد منهما من جنس المخلوط ، فالمعاملة صحيحة ، ولا إشكال لوقوع كلّ واحد من الخليطين مقابل العوض الآخر ولا رباء ، وعلى فرض أن يكون مقصود المتعاملين وقوع مجموع الخليط والمخلوط مقابل مجموع الآخر فلا إشكال ؛ لأنّ المجموع من كلّ واحد منهما ليس من جنس المجموع الآخر فيما إذا كان الخليط في كلّ واحد منهما من غير جنس الخليط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ممّا ذكرنا أنّ الخليط إنّ كان فيهما ولم يكن له ماليّة ، وكان العوضان المتجانسان متساويين مع قطع النظر عن الخليط ، فلا إشكال أنّه يجب العلم بمقدار الخليط للزوم العلم بتساوي العوضين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درهم ودينار بدينارين ودرهمين ، ويصرف كلّ واحد منهما إلى غير جنسه ، وكذا لو جعل بدل الدينار والدرهم شي‌ء من المتاع ، وكذا مدّ من تمر ودرهم بمدّين أو أمداد ودرهمين أو دراهم</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ذكره قدس سره في هذه المسألة هو أنّه في بيع المتجانسين غير المتساويين إنّ ضمّ إلى الناقص شي‌ء آخر له ماليّة من غير جنسه ، كما إذا باع درهما ودينارا بدينارين </w:t>
      </w:r>
    </w:p>
    <w:p>
      <w:pPr>
        <w:pStyle w:val="BookText"/>
        <w:rPr/>
      </w:pPr>
      <w:r>
        <w:rPr>
          <w:rFonts w:ascii="Amiri" w:hAnsi="Amiri" w:eastAsia="Amiri" w:cs="Amiri"/>
          <w:color w:val="111111"/>
          <w:sz w:val="28"/>
          <w:sz w:val="28"/>
          <w:szCs w:val="28"/>
          <w:rtl w:val="true"/>
          <w:lang w:bidi="ar-SA"/>
        </w:rPr>
        <w:t>أو باعهما بدرهمين ، فيجوز مثل هذا البيع ولا رباء ، إذ يرتفع الرباء بواسطة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يقع الدينار مقابل أحد الدينارين ، والدرهم مقابل الدينار الآخر ، وما قلنا من وقوع كلّ واحد من الدينار والدرهم في مقابل الزائد الذي من غير جنسه جار فيما إذا كانت الضميمة شي‌ء من المتاع ، كأن يبيع درهما ومدّا من تمر بمدّين أو أمداد ، ودرهمين أو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صحّة هذه المعاملة من ناحية رفع الرباء بواسطة تلك الضميمة ، وأمّا كونها فاسدة من جهة أخرى ككونها سفهيّة ، أو من ناحية فقد شرط ، أو وجود مانع فلسنا في مقام تصحيحها من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مجموع المجانس من ذلك الآخر مع الضميمة ليس مجانسا معه ، فبواسطة الضميمة يخرج العوضان عن كونهما متجانسين ، ولا يحتاج إلى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الزيادة في مقام الضميمة وما عدا الضميمة في مقابل المقدار المساوي معه كيلا أو وزنا من مجانسه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يحتاج إلى القول بأنّه فيما إذا كان العوضان مركّبا من جنسين ، يكون كلّ جنس من كل واحد من العوضين مقابل ما يخالفه من العوض الآخر ، مثلا لو باع مدّا من تمر ودرهمين بمدّين ودرهمين ، فيقع المدّ مقابل درهمين ويقع الدرهمان مقابل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ليس له وجود غير وجود أجزائه ، فلو لم نقل بما ذكرنا لزم الربا في بعض صور المسألة لا محالة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باع مدّا ودرهما بمدّين ودرهمين ، فلو لم يكن الدرهم مقابل المدّين والمدّ مقابل درهمين ، يكون نصف الدرهمين وهو درهم واحد ، ونصف المدين وهو مدّ واحد مقابل نصف المبيع ، وهو نصف الدرهم ونصف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إلى أنّ درهما واحدا تامّا وقع مقابل درهم ، ومدّا كاملا وقع مقابل نصف ، بل من أوّل الأمر درهم ومدّ </w:t>
      </w:r>
    </w:p>
    <w:p>
      <w:pPr>
        <w:pStyle w:val="BookText"/>
        <w:rPr/>
      </w:pPr>
      <w:r>
        <w:rPr>
          <w:rFonts w:ascii="Amiri" w:hAnsi="Amiri" w:eastAsia="Amiri" w:cs="Amiri"/>
          <w:color w:val="111111"/>
          <w:sz w:val="28"/>
          <w:sz w:val="28"/>
          <w:szCs w:val="28"/>
          <w:rtl w:val="true"/>
          <w:lang w:bidi="ar-SA"/>
        </w:rPr>
        <w:t>وقع مقابل درهم ومدّ ، ودرهم وقع مقابل مدّ فيما إذا كان قيمة المدّ والدرهم متساويين ، فكلّ واحد من جزئي المبيع وقع في مقابله ما يساويه من مماثله مع الزيادة من غير 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ما قلتم من أنّ كلّ واحد من جزئي المبيع يقع في مقابل ما يخالفه في الجنس فلا رباء في البين ، هو ليس بمقصود للمتبايعين ، بل مقصودهم معاوضة المجموع بالمجموع ، والعقود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حقّ ، ولذلك نقول صحّة هذه المعاملة ليس بمقتضى القواعد ، بل من جهة الإجماع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فادّعاه جمع ، وقال العلاّمة في التذكرة </w:t>
      </w:r>
      <w:r>
        <w:rPr>
          <w:rStyle w:val="FootnoteAnchor"/>
          <w:rtl w:val="true"/>
        </w:rPr>
        <w:footnoteReference w:id="248"/>
      </w:r>
      <w:r>
        <w:rPr>
          <w:rFonts w:ascii="Amiri" w:hAnsi="Amiri" w:eastAsia="Amiri" w:cs="Amiri"/>
          <w:color w:val="111111"/>
          <w:sz w:val="28"/>
          <w:sz w:val="28"/>
          <w:szCs w:val="28"/>
          <w:rtl w:val="true"/>
          <w:lang w:bidi="ar-SA"/>
        </w:rPr>
        <w:t xml:space="preserve">في المفروض ، أي بيع الجنسين المختلفين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ما في المجموع من جنسه بحيث تكون الزيادة في مقابلة المخالف ، يجوز عند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الجواهر في شرح ما نقلنا عن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بيننا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جواز مثل هذه المعاملة اتفاقي بين الإماميّة ، وحكى في التذكرة </w:t>
      </w:r>
      <w:r>
        <w:rPr>
          <w:rStyle w:val="FootnoteAnchor"/>
          <w:rtl w:val="true"/>
        </w:rPr>
        <w:footnoteReference w:id="250"/>
      </w:r>
      <w:r>
        <w:rPr>
          <w:rFonts w:ascii="Amiri" w:hAnsi="Amiri" w:eastAsia="Amiri" w:cs="Amiri"/>
          <w:color w:val="111111"/>
          <w:sz w:val="28"/>
          <w:sz w:val="28"/>
          <w:szCs w:val="28"/>
          <w:rtl w:val="true"/>
          <w:lang w:bidi="ar-SA"/>
        </w:rPr>
        <w:t>عن أبي حنيفة أيضا جواز هذه المعاملة ، وقال حتّى أنّ أبا حنيفة يقول بجواز بيع دينار في خريطة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أنّ الخريطة تكون في مقابل تسع وتسعين ، والدينار الذي فيها مقابل دينار ، فلا يكون رباء في البين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الإشكال أنّ الخريطة ربما ليس فيها صلاحيّة أن تقع في مقابل ذلك المبلغ الكثير ، ولذلك نشترط في الزيادة أن تكون لها ماليّة بمقدار يصلح للعوضيّة</w:t>
      </w:r>
      <w:r>
        <w:rPr>
          <w:rFonts w:eastAsia="Amiri" w:cs="Amiri" w:ascii="Amiri" w:hAnsi="Amiri"/>
          <w:color w:val="111111"/>
          <w:sz w:val="28"/>
          <w:szCs w:val="28"/>
          <w:rtl w:val="true"/>
          <w:lang w:bidi="ar-SA"/>
        </w:rPr>
        <w:t xml:space="preserve">. </w:t>
      </w:r>
      <w:bookmarkStart w:id="127" w:name="pg15947_151071"/>
    </w:p>
    <w:p>
      <w:pPr>
        <w:pStyle w:val="Heading5"/>
        <w:numPr>
          <w:ilvl w:val="4"/>
          <w:numId w:val="1"/>
        </w:numPr>
        <w:rPr/>
      </w:pPr>
      <w:bookmarkStart w:id="128" w:name="__RefHeading___Toc16231942_2142443653"/>
      <w:bookmarkStart w:id="129" w:name="_Toc44"/>
      <w:bookmarkEnd w:id="127"/>
      <w:bookmarkEnd w:id="128"/>
      <w:r>
        <w:rPr>
          <w:rtl w:val="true"/>
        </w:rPr>
        <w:t xml:space="preserve">وأمّا النصوص الواردة في المقام </w:t>
      </w:r>
      <w:r>
        <w:rPr>
          <w:rtl w:val="true"/>
        </w:rPr>
        <w:t>:</w:t>
      </w:r>
      <w:bookmarkEnd w:id="129"/>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 عن أبي عبد اللّه علیه السلام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ألف درهم ودينارا بألفي درهم؟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 إنّ أبي علیه السلام كان أجرى على أهل المدينة منّي ، وكان يقول هذا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الفرار ، لو جاء رجل بدينار لم يعط ألف درهم ، ولو جاء بألف درهم لم يعط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الفرار من الحرام إلى الحلال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عبد الرحمن بن الحجّاج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محمّد ابن المنكدر يقول لأبي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رحمك اللّه واللّه إنّا لنعلم أنّك لو أخذت دينارا والصرف بثمانية عشر فدرت المدينة على أن تجد من يعطيك عشرين ما وجدته ، وما هذا إلاّ فرارا ، فكان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ولكنّه فرار من باطل إلى حقّ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أيضا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يأتي بالدراهم إلى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منك المائة بمائة وعشرين ، أو بمائة وخمسة حتّى يراوضه على الذي يريد ، فإذا فرغ جعل مكان الدراهم الزيادة دينارا أو ذهبا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زادت البيع وإنّما أبايعك على هذا ، لأنّ الأوّل لا يصلح أو لم يقل ذلك ، وجعل ذهبا مكان الدراهم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آخر البيع على الحلال فلا بأس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 مكان الذهب فلوسا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أدري ما الفلوس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الحلبي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بألف درهم ودرهم </w:t>
      </w:r>
    </w:p>
    <w:p>
      <w:pPr>
        <w:pStyle w:val="BookText"/>
        <w:rPr/>
      </w:pPr>
      <w:r>
        <w:rPr>
          <w:rFonts w:ascii="Amiri" w:hAnsi="Amiri" w:eastAsia="Amiri" w:cs="Amiri"/>
          <w:color w:val="111111"/>
          <w:sz w:val="28"/>
          <w:sz w:val="28"/>
          <w:szCs w:val="28"/>
          <w:rtl w:val="true"/>
          <w:lang w:bidi="ar-SA"/>
        </w:rPr>
        <w:t xml:space="preserve">بألف درهم ودينارين إذا دخل فيها ديناران أو أقل أو أكثر فلا بأس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لها دلالات واضحة على صحّة هذه المعاملة وعدم الإشكال فيها ، فهذا حكم تعبّدي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خرجت الضميمة التي ذكرناها في المسألة السابقة عن ملك البائع بواسطة تلفها قبل قبض المشتري ، أو كانت ممّا لا يجوز للبائع التصرّف فيها لكونها ملكا للغير ، أو كانت متعلّقة لحقّ الغير ؛</w:t>
      </w:r>
    </w:p>
    <w:p>
      <w:pPr>
        <w:pStyle w:val="BookText"/>
        <w:rPr/>
      </w:pPr>
      <w:r>
        <w:rPr>
          <w:rFonts w:ascii="IRNazanin" w:hAnsi="IRNazanin" w:eastAsia="IRNazanin"/>
          <w:color w:val="111111"/>
          <w:sz w:val="28"/>
          <w:sz w:val="28"/>
          <w:szCs w:val="28"/>
          <w:rtl w:val="true"/>
          <w:lang w:bidi="fa-IR"/>
        </w:rPr>
        <w:t xml:space="preserve">فهاهنا 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مستحقّة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أجز صاحب الحقّ فلا إشكال ، وأمّا إن لم يجز فلا شبهة في بطلان المعاملة بالنسبة إليها ، فإن حصل الربا في الباقي ، وذلك كما إذا باع مدّا من التمر ودرهما بمدّين منه ودرهمين ، فظهر أنّ درهما معيّنا منهما ملك لغير البائع أو مرهون عند غيره ولم يجز المالك أو صاحب الحقّ ، فيبطل المعاملة بالنسبة إلى ذلك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أنّه يسقط من الثمن بمقدار ما يقابله واقعا وهو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درهم ومدّان مقابل مدّ واحد ، ولا شكّ في كون الباقي بناء على هذا معاملة ربوية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إنّ الثمن يقسط بالنسبة ، وفرضنا أنّ قيمة المدّ درهم واحد ، فيكون مقابل الدرهم الذي ليس للبائع التصرّف فيه مدّ ودرهم ، ويبقى للمدّ الباقي من المبيع مدّ ودرهم ، فأيضا يحصل الربا ، وفي كلتا الصورتين تبطل المعاملة من أوّل الأمر ؛ لأنّه </w:t>
      </w:r>
    </w:p>
    <w:p>
      <w:pPr>
        <w:pStyle w:val="BookText"/>
        <w:rPr/>
      </w:pPr>
      <w:r>
        <w:rPr>
          <w:rFonts w:ascii="Amiri" w:hAnsi="Amiri" w:eastAsia="Amiri" w:cs="Amiri"/>
          <w:color w:val="111111"/>
          <w:sz w:val="28"/>
          <w:sz w:val="28"/>
          <w:szCs w:val="28"/>
          <w:rtl w:val="true"/>
          <w:lang w:bidi="ar-SA"/>
        </w:rPr>
        <w:t>في الحقيقة من أوّل الأمر باع في المفروض مدّا من التمر إمّا بمدّين ودرهم ، وإمّا بمدّ ودرهم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بحصل الربا ، كما أنّه لو باع درهما ومدّا بمدّين ، فظهر أنّ الدرهم المبيع ملك الغير أو متعلّق حقّ الغير ، وفرضنا أنّ المدّ يساوي درهما ، فهاهنا بعد بطلان المعاملة وإسقاط ما يقابل الدرهم المبيع من الثمن ، أو إسقاط ما هو قيمته الواقعيّة لذلك الدرهم الذي ليس ملكا للبائع ، أو يكون متعلّقا لحقّ الغير يبقى مدّ أو درهم مقابل المدّ الباقي ، فلا رباء ولا بطلان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خيار تبعّض الصفقة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 ولكن يمكن تصحيح المعاملة في الفرض الأوّل بشكل لا يأتي فيها الربا ، بأن يقال بإسقاط نصف الدرهم من الثمن مقابل نصف الدرهم من الدرهم المبيع ، ومدّ ونصف مدّ من الثمن مقابل النصف الآخر من الدرهم المبيع ، فيبقى من الثمن درهم ونصف مع نصف مدّ مقابل مدّ من المبيع ، فيكون الدرهم ونصف الدرهم الباقي من الثمن مقابل نصف المدّ من المبيع ، ونصف المدّ الباقي من الثمن مقابل ما يساويه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المعاملة من أوّل الأمر وقعت باطلة وربويّة ، فلا يبقى مجال لتصحيحها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الترتيب الذي ذكرنا لخروجها عن كونها ربويّة أجنبيّ عمّا قصده المتبايعان ، والعقود تابعة للقصود ، ولا ضرورة توجب الالتزام بما ذكر على خلاف 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الضميمة قبل أن يقبضها المشتري ، وحيث أنّ المعاملة وقعت صحيحة من أوّل الأمر ، فيمكن أن يقال بعدم شمول أدلّة حرمة الربا لمثل هذا الرباء الحادث بعد وقوع المعاملة صحيحة وانصرافها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يصحّح بما تقدّم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 الإشكال الذي تقدّم هاهنا ؛ </w:t>
      </w:r>
      <w:bookmarkStart w:id="130" w:name="pg15947_151074"/>
    </w:p>
    <w:p>
      <w:pPr>
        <w:pStyle w:val="BookText"/>
        <w:rPr/>
      </w:pPr>
      <w:bookmarkEnd w:id="130"/>
      <w:r>
        <w:rPr>
          <w:rFonts w:ascii="Amiri" w:hAnsi="Amiri" w:eastAsia="Amiri" w:cs="Amiri"/>
          <w:color w:val="111111"/>
          <w:sz w:val="28"/>
          <w:sz w:val="28"/>
          <w:szCs w:val="28"/>
          <w:rtl w:val="true"/>
          <w:lang w:bidi="ar-SA"/>
        </w:rPr>
        <w:t>لأنّ المعاملة هاهنا وقعت صحيحة ، فما ذكرنا يكون لإبقاء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التصحيح خلاف ما قصده المتعاملان ، وتقدّم في المسألة السابقة أنّ القول بالصحّة من جهة التعبّد للنصّ والإجماع ، وإلاّ فمقتضى القواعد هو البطلان ، فلا بدّ من القول بالبطلان إن قلنا بشمول أدلّة حرمة الربا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بالانصراف وعدم الشمول فالمعاملة صحيحة بلا كلام ، والقول بعدم شمول أدلّة حرمة الربا لمثل المورد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الفروع كلّها كانت راجعة إلى الشرط الأوّل ، أي اتّحاد الجنس في الثمن والمثمن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6231944_2142443653"/>
      <w:bookmarkStart w:id="132" w:name="_Toc45"/>
      <w:bookmarkEnd w:id="131"/>
      <w:r>
        <w:rPr>
          <w:rtl w:val="true"/>
        </w:rPr>
        <w:t>وأمّا القسم الثاني</w:t>
      </w:r>
      <w:bookmarkEnd w:id="132"/>
    </w:p>
    <w:p>
      <w:pPr>
        <w:pStyle w:val="Heading5"/>
        <w:numPr>
          <w:ilvl w:val="4"/>
          <w:numId w:val="1"/>
        </w:numPr>
        <w:rPr/>
      </w:pPr>
      <w:bookmarkStart w:id="133" w:name="__RefHeading___Toc16231946_2142443653"/>
      <w:bookmarkStart w:id="134" w:name="_Toc46"/>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أي الفروع الراجعة إلى الشرط الثاني أي كونهما مكيلا أو موزونا</w:t>
      </w:r>
    </w:p>
    <w:p>
      <w:pPr>
        <w:pStyle w:val="BookText"/>
        <w:rPr/>
      </w:pPr>
      <w:r>
        <w:rPr>
          <w:rFonts w:ascii="Amiri" w:hAnsi="Amiri" w:eastAsia="Amiri" w:cs="Amiri"/>
          <w:color w:val="111111"/>
          <w:sz w:val="28"/>
          <w:sz w:val="28"/>
          <w:szCs w:val="28"/>
          <w:rtl w:val="true"/>
          <w:lang w:bidi="ar-SA"/>
        </w:rPr>
        <w:t xml:space="preserve">فأيضا نذكرها في ضمن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جنس قد يباع بالوزن وقد يباع بالعدّ ، أو في بلد أو في زمان بأحدهما وفي الآخر بالآخر ، فالظاهر أنّ حرمة التفاضل منوط بوقوع المعاملة بالوزن أو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بيع عددا ، أو كان في بلد أو زمان يباع عددا ، فلا حرمة إن كان بيع عددا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من جهة أنّ حكم الحرمة على عنوان ما يباع كيلا أو وزنا على نحو القضيّة الحقيقيّة ، فكلّ وقت تحقّق هذا العنوان يتحقّق الحرمة ؛ لعدم تخلّف الحكم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الموضوع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فيما يكال أو يوزن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نوع معاملاته بالوزن أو الكيل ، فوقوعه في بعض الأحيان أو في بعض البلدان أو الأزمان بالعدّ لا ينافي وجود موضوع الحرمة ؛ لأنّ هذا المقدار القليل </w:t>
      </w:r>
    </w:p>
    <w:p>
      <w:pPr>
        <w:pStyle w:val="BookText"/>
        <w:rPr/>
      </w:pPr>
      <w:r>
        <w:rPr>
          <w:rFonts w:ascii="Amiri" w:hAnsi="Amiri" w:eastAsia="Amiri" w:cs="Amiri"/>
          <w:color w:val="111111"/>
          <w:sz w:val="28"/>
          <w:sz w:val="28"/>
          <w:szCs w:val="28"/>
          <w:rtl w:val="true"/>
          <w:lang w:bidi="ar-SA"/>
        </w:rPr>
        <w:t>وقوعها بالعدّ لا يضرّ بكونه ممّا يكال أو يوزن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بلد أو في زمان نوع أهل ذلك البلد أو أهل ذلك الزمان يبيعونه بالعدّ ، فلا يصدق أنّه ممّا يكال أو يوزن عندهم ، فالمدار على نوعيّة بيعه بالوزن أو الكيل ويؤيد هذا المعنى بل يدلّ عليه مرسل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ينظر فيما يكال أو يوزن إلاّ إلى العامّة ، ولا يؤخذ بالخاصّة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صدق المكيل والموزون على جنس ، ولم يحرز أنّه منهما أو من غيرهما لعدم ضبط حدود مفهوميهما ، فمقتضى عمومات صحّة البيع وحلّيته عدم حرمة التفاضل في مثل ذلك الجنس ، إذا بيع بمثله ؛ لأنّ الخارج عن تحت العمومات هو المكيل والموزون ، فإذا شككنا في خروجه عنها نتمسّك بأصالة العموم ، لأنّ الشبهة مفهوميّة لا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محرّرة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صورة الشكّ في اتّحاد الجنس فيما لم يكن دليل وأمارة يثبت الاتّحاد حكما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ترتّب الأثر على مثل تلك المعاملة المعبّر عنها بأصالة الفساد ، فهو محكوم بالعمومات ، نعم لو كانت الشبهة مصداقيّة لا يمكن التمسّك بالعمومات ؛ لما حقّقناه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بعض المسائل السابقة أنّ فروع الأصل الواحد كلّ واحد مع الآخر ، وجميعها مع ذلك الأصل في حكم متّحدي الجنسين ، لا يجوز بيع بعضها ببعض مع التفاضل ، ولكن إذا اختلف الفرع مع الأصل بأن يكون أحدهما من </w:t>
      </w:r>
    </w:p>
    <w:p>
      <w:pPr>
        <w:pStyle w:val="BookText"/>
        <w:rPr/>
      </w:pPr>
      <w:r>
        <w:rPr>
          <w:rFonts w:ascii="Amiri" w:hAnsi="Amiri" w:eastAsia="Amiri" w:cs="Amiri"/>
          <w:color w:val="111111"/>
          <w:sz w:val="28"/>
          <w:sz w:val="28"/>
          <w:szCs w:val="28"/>
          <w:rtl w:val="true"/>
          <w:lang w:bidi="ar-SA"/>
        </w:rPr>
        <w:t>المكيل أو الموزون والآخر من غيرهما ، فيختلف حكمهما حسب اختلاف عناوينهما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بيع الجوز بمثله مع التفاضل ؛ لأنّه معدود ، ولا يجوز بيع دهنه بالتفاضل ؛ لأنّه موزون ؛ فيختلف حكم الفرع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بيع القطن والغزل بمثلهما مع التفاضل ؛ لأنّهما من الموزون ، ولكن الثياب المنسوج منهما يجوز بيعها مع التفاضل ؛ لأنّها ليست من الموزون ؛ فاختلف حكم الأصل والفرع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 داخل تحت عنوان ، والأصل تحت عنوان آخر ، والعنوانان مختلفان في الحكم من حيث دخول الربا وعدم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المكيل موزونا وبالعكس ، أم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المسألة تارة في جواز البيع من ناحية لزوم الغرر ، وأخرى من ناحية دخول الربا إذا كان العوضان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ناحية لزوم الغرر الذي يكون منهيّا ، ففيه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بعدم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بالتفصيل ، أي جواز بيع المكيل موزونا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اعتبار الكيل في المكيل ، أو الوزن في الموزون لأجل ارتفاع الغرر والجهالة والعلم بمقدار العوضين ، وفي هذه الجهة ربما يكون الوزن أضبط ، وارتفاع الغرر والجهالة به أوضح وأجلى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تعيين العوضين</w:t>
      </w:r>
    </w:p>
    <w:p>
      <w:pPr>
        <w:pStyle w:val="BookText"/>
        <w:rPr/>
      </w:pPr>
      <w:r>
        <w:rPr>
          <w:rFonts w:ascii="Amiri" w:hAnsi="Amiri" w:eastAsia="Amiri" w:cs="Amiri"/>
          <w:color w:val="111111"/>
          <w:sz w:val="28"/>
          <w:sz w:val="28"/>
          <w:szCs w:val="28"/>
          <w:rtl w:val="true"/>
          <w:lang w:bidi="ar-SA"/>
        </w:rPr>
        <w:t>في أبواب المعاوضات التي من المكيل أو الموزون هو الوزن ، والكيل أمارة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هذا المقام هو أنّ اعتبار الكيل في المكيل ، والوزن في الموزون إن كان من جهة ارتفاع الغرر بهما وعدم كون البيع جزافا كما هو الظاهر ، فلا يبعد صحّة </w:t>
      </w:r>
    </w:p>
    <w:p>
      <w:pPr>
        <w:pStyle w:val="BookText"/>
        <w:rPr/>
      </w:pPr>
      <w:r>
        <w:rPr>
          <w:rFonts w:ascii="Amiri" w:hAnsi="Amiri" w:eastAsia="Amiri" w:cs="Amiri"/>
          <w:color w:val="111111"/>
          <w:sz w:val="28"/>
          <w:sz w:val="28"/>
          <w:szCs w:val="28"/>
          <w:rtl w:val="true"/>
          <w:lang w:bidi="ar-SA"/>
        </w:rPr>
        <w:t>بيع المكيل موزونا ؛ إذ ارتفاع الغرر بالوزن أوضح ، ومعرفة المقدار به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الوزن يعيّن المقدار من حيث الثقل والخفّة ، والكيل من حيث الأبعاد فلا يقاس أحدهما بالآخر ، فإنّه وإن كان صحيحا ، لكن عمدة النظر في غالب أفراد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والعقلاء إلى معرفة مقدارها من حيث الوزن والثقل ، لا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الغرض في مورد يتعلّق بالمبيع من حيث حجمه ، وأبعاده دون ثقله ، ففي ذلك السنخ من المبيع لا يبعد أن يكون المناط في رفع الغرر والجهالة هو الكيل دون الوزن إذا كان ممّا يكال ، كما أنّه إذا كان الكيل أمارة على الوزن فيرتفع الغرر بالكيل ، وإن كان موزونا فيكفي الكيل في صحّة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أيضا رواية عبد الملك بن عمرو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أشترى مائة راوية من زيت فاعترض راوية أو اثنتين فأتّزنها ثمَّ آخذ سائره على قدر 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الحقيقة يرجع إلى معرفة المقدار بالوزن لا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المقدار ومعرفته بالوزن يكفي في صحّة البيع ، وإن لم يكن المبيع ممّا يوزن ؛ ولذلك ترى أنّ الحنطة والشعير مع أنّهما من المكيل في زمن الشارع إجماعا يجوز بيعهما بالوزن ، وفي الجواهر </w:t>
      </w:r>
      <w:r>
        <w:rPr>
          <w:rStyle w:val="FootnoteAnchor"/>
          <w:rtl w:val="true"/>
        </w:rPr>
        <w:footnoteReference w:id="258"/>
      </w:r>
      <w:r>
        <w:rPr>
          <w:rFonts w:ascii="Amiri" w:hAnsi="Amiri" w:eastAsia="Amiri" w:cs="Amiri"/>
          <w:color w:val="111111"/>
          <w:sz w:val="28"/>
          <w:sz w:val="28"/>
          <w:szCs w:val="28"/>
          <w:rtl w:val="true"/>
          <w:lang w:bidi="ar-SA"/>
        </w:rPr>
        <w:t>الإجماع أيضا على صحّة بيعهما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بيع الموزون بجنسه جزافا ، وكذا لا يجوز بيعه مكيلا إلاّ إذا علم عدم التفاوت فيه ، وكذا المكيل لا يجوز بيعه جزافا ولا موزونا إلاّ مع العلم بعدم التفاوت</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وقد عرفت ما هو الحقّ في المقام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كان من ناحية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البحث من ناحية دخول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فالعبارات الواردة في بيع المتجانسين وصحته وعدم كونه ربا على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بأن يكون مثلا بمثل ، كما في رواية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البرّ بالسويق؟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بمثل لا بأس </w:t>
      </w:r>
      <w:r>
        <w:rPr>
          <w:rFonts w:eastAsia="IRNazanin" w:cs="IRNazanin"/>
          <w:color w:val="111111"/>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رأسا برأس ، كما في رواية صفوان عن رجل من أصحابه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والدقيق لا بأس به رأسا برأس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العوضان سواء ، كما في 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الحنطة بالدقيق؟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كانا سواء فلا بأس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صحّة بيع المتجانسين وعدم تحقّق الربا لا بدّ من صدق أحد هذه العناوين الثلاث عرفا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العوضان اللذان من جنس واحد ، أو كانا في حكم الجنس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كفروع الأصل الواحد بعضها بالنسبة إلى البعض كالخبز بالنسبة إلى السويق ، أو جميعها بالنسبة إلى ذلك الأصل ، كالخبز بالنسبة إلى الحنطة مثلا ، أو الشيرج بالنسبة إلى التمر أو العنب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كلاهما من الموزون ، أو كلاهما من المكيل ، أو يكونان من المختلفين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مثلا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كالدقيق بالدقيق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w:t>
      </w:r>
    </w:p>
    <w:p>
      <w:pPr>
        <w:pStyle w:val="BookText"/>
        <w:rPr/>
      </w:pPr>
      <w:r>
        <w:rPr>
          <w:rFonts w:ascii="Amiri" w:hAnsi="Amiri" w:eastAsia="Amiri" w:cs="Amiri"/>
          <w:color w:val="111111"/>
          <w:sz w:val="28"/>
          <w:sz w:val="28"/>
          <w:szCs w:val="28"/>
          <w:rtl w:val="true"/>
          <w:lang w:bidi="ar-SA"/>
        </w:rPr>
        <w:t>بالدقيق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أنّه إذا باع منّا من الحنطة بمنّ منها ، يصدق العناوين الثلاثة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في بعض روايات باب الصرف </w:t>
      </w:r>
      <w:r>
        <w:rPr>
          <w:rStyle w:val="FootnoteAnchor"/>
          <w:rtl w:val="true"/>
        </w:rPr>
        <w:footnoteReference w:id="263"/>
      </w:r>
      <w:r>
        <w:rPr>
          <w:rFonts w:ascii="IRNazanin" w:hAnsi="IRNazanin" w:eastAsia="IRNazanin"/>
          <w:color w:val="111111"/>
          <w:sz w:val="28"/>
          <w:sz w:val="28"/>
          <w:szCs w:val="28"/>
          <w:rtl w:val="true"/>
          <w:lang w:bidi="fa-IR"/>
        </w:rPr>
        <w:t>علّق علیه السلام صحّة بيع الورق بالورق والذهب بالذهب بكونه وزنا بوزن ، وبأن لا يكون فيه زيادة ونقصان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المراد من بيع الورق بالورق والذهب بالذهب بيع المتجانسين ، وذكر الذهب والورق من باب المثال ، فأيضا يصدق فيما ذكرنا من المثال أنّه بيع مثلا بمثل وبلا زيادة ولا نقصان أي من حيث الوزن ، ففيما إذا كان العوضان من الموزون لا شكّ في صحّة بيعهما موزونا ؛ لصدق جميع العناوين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بيعهما بالكيل فلا يخلو من إشكال إذا كان بينهما تفاوت بحسب الوزن ، كما أنّه لو باع التمر بالدبس منه متساويا كيلا ، فالتمر والدبس منه كلاهما من الموزون ، فإذا بيع أحدهما بالآخر كيلا متساويا يكونان متفاوتين بحسب الوزن ؛ لأنّ الكيل من الدبس أثقل من نفس ذلك الكيل من التمر ، فلا يصدق على مثل ذلك البيع أنّ العوضين المتجانسين متساويان بلا زيادة ولا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العرف يفهم من التساوي فيما يباع عندهم بالوزن التساوي في الوزن لا التساوي كيلا ، ومن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زيادة ولا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عدمهما بحسب الوزن ، وهكذا قوله علیه السلام في 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المثليّة بحسب الوزن ، وكذلك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بوزن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فصريح في ذلك</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بينهما تفاوت بحسب الوزن ، فلا يأتي هذا الإشكال ، كما أنّه إذا كان الكيل أمارة على الوزن فأيضا لا يأتي هذا الإشكال ، كما أنّه لو وزن كيلا ويعطى الباقي بذلك الحساب كما تقدّم في رواية عبد الملك بن عمرو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فيما إذا كانا من المكيل ، فلا شكّ في صحّة بيعهما كيلا ؛ لأنّ العرف لا يفهم من التساوي إلاّ التساوي بحسب 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الكلام في مثلا بمثل ورأسا برأس ، 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بوزن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مورد الموزون ، فلا ربط له بمورد كون المبيع مكيلا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صحّة بيعهما بالوزن هل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 الوزن أضبط في معرفة التساوي وعدم الزيادة والنقصان الذي هو المناط في عدم تحقّق الربا ، وقد تقدّم أنّه علیه السلام فسّر المثليّة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زيادة ولا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يظهر من الشهيد في المسالك </w:t>
      </w:r>
      <w:r>
        <w:rPr>
          <w:rStyle w:val="FootnoteAnchor"/>
          <w:rtl w:val="true"/>
        </w:rPr>
        <w:footnoteReference w:id="264"/>
      </w:r>
      <w:r>
        <w:rPr>
          <w:rFonts w:ascii="IRNazanin" w:hAnsi="IRNazanin" w:eastAsia="IRNazanin"/>
          <w:color w:val="111111"/>
          <w:sz w:val="28"/>
          <w:sz w:val="28"/>
          <w:szCs w:val="28"/>
          <w:rtl w:val="true"/>
          <w:lang w:bidi="fa-IR"/>
        </w:rPr>
        <w:t xml:space="preserve">دعوى الإجماع على صحّة بيع المكيل موزونا ، حيث قال كما في الجواهر حكاية عن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بعضهم الإجماع على جواز بيع الحنطة والشعير وزنا مع الإجماع على كونهما مكيلين في عهده صلی اللّه علیه و آله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ظاهر هذا الإجماع على جواز بيع المكيل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خصوص ارتفاع الغرر بالوزن وخروج المعاملة عن كونها جزافا ، فلا ينافي عدم صحّة بيع المكيل موزونا مثلا بمثل من ناحية الربا ؛ لعدم صدق التساوي عرفا فيما إذا بيع العوضان من المكيل بالتساوي وزنا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فالأوجه في وجه الصحّة ما ذكرنا من أنّ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غيرهما من العناوين التي ذكرناها هو عدم زيادة أحد العوضين على الآخر ، حيث أنّ هذا هو المناط في باب الربا ثبوتا وعدما ، فبثبوتها يثبت الربا وبعدمها يرتفع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التساوي بحسب الوزن أدلّ على عدم تحقّق الزيادة والنقصان من التساوي بحسب الكيل حتّى فيما يكال عند العرف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أحد العوضين من المكيل والآخر من الموزون ، كالحنطة مع الدقيق ، بناء على أنّ الحنطة من الموزون والدقيق من المكيل ، فبناء على ما ذكرنا من صحّة بيع المكيل بالوزن جواز بيعهما متساويا بالوزن ؛ لما ذكرنا من أنّ الوزن أضبط وأدلّ في معرفة عدم الزيادة والنقصان الذي هو المناط في جواز بيع المتجانسين أحدهما بالآخر وزنا بوزن ومثلا بمثل ، وأمّا كيلا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بيعهما من حيث لزوم الربا على بيعهما من حيث الغرر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يرتفع الغرر بكلّ واحد من الكيل والوزن ، فكذلك التساوي يحصل بكلّ واحد من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محلّه ؛ وذلك من جهة اختلاف الموضوع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جواز البيع في باب الغرر هو ارتفاع الغرر والجهالة وعدم كونه جزافا ، والموضوع في باب الربا هو كون العوضين في متّحدي الجنسين أو ما كان في حكم متّحدي الجنسين متساويين بلا زيادة ولا نقصان ، فيمكن القول بارتفاع الغرر بكلّ واحد من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التساوي وكونهما مثلا بمثل لا يتحقّق في الموزون إلاّ بالوزن ، وفي المكيل إلاّ بالكيل ، وفيما كان أحدهما مكيلا والآخر موزونا لا يحصل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علاج آخر لتصحيح بيعهما ، وهو أن يبيع كلّ واحد منهما بما هو من سنخه ، فالمكيل بالمكيل كيلا والموزون بالموزون وزنا ، أو يباع كلّ واحد منهما بغير جنسه كي يخرج عن موضوع الربا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البيع في شي‌ء مختلفا بحسب الحالات ، فيباع في حال بمشاهدة وفي حال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بيع الأثمار ، فما دام الثمر على الشجر يباع بالمشاهدة ، ولكن بعد الانفصال يباع وزنا أو كيلا مثل التمر والعنب وغيرهما ، فالظاهر أنّه في كلّ حال يلحقه حكم ذلك الحال ، فإذا بيع أو صولح عليه في حال كونه على الشجر لا يدخل فيه الربا ؛ لعدم كونه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الانفصال يدخل فيه ؛ </w:t>
      </w:r>
    </w:p>
    <w:p>
      <w:pPr>
        <w:pStyle w:val="BookText"/>
        <w:rPr/>
      </w:pPr>
      <w:r>
        <w:rPr>
          <w:rFonts w:ascii="Amiri" w:hAnsi="Amiri" w:eastAsia="Amiri" w:cs="Amiri"/>
          <w:color w:val="111111"/>
          <w:sz w:val="28"/>
          <w:sz w:val="28"/>
          <w:szCs w:val="28"/>
          <w:rtl w:val="true"/>
          <w:lang w:bidi="ar-SA"/>
        </w:rPr>
        <w:t>لتحقّق موضوعه ، وهو كونه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الاختلاف بحسب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إذا كان الاختلاف بحسب نوع المعاملة ، فما إذا بيع لا يباع إلاّ مكيلا أو موزونا ، وأمّا الصلح فيقع عليه بالمشاهدة كما إذا قلنا بصحّة الصلح على صبرة من الحنطة أو الشعير من دون أن يكال أو يوزن ، فالظاهر دخول الربا حتّى في ذلك النوع الذي لا يكال ولا يوزن ، بل يكفي المشاهدة في صحّة وقوع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أن يصالح على صبرة من الحنطة أو الشعير أو غيرهما بصبرة أخرى من جنسه ، فلا بدّ وأن يكونا متساويين ، وإلاّ يكون من الربا المحرّم ؛ لتحقّق موضوعه ، وهو نقل أحد متّحدي الجنسين بعوض الآخر إلى الآخر ، مع أنّهما من المكيل أو الموزون بدون أن يكونا متساويين ومثلا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شي‌ء يباع بكلّ من الوزن والعدّ ، فإذا كان باختلاف الأزمنة أو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يباع في بلد أو زمان بالوزن ، وفي بلد أو زمان آخر بالعدّ ، ففي كلّ زمان أو مكان يلحقه حكم ذلك الزمان أو ذلك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في زمان واحد أو مكان كذلك ، يختلف بحسب اشخاص المعاملات ، فقد يكون بيعه بالعدّ ، وقد يكون بالوزن ، فإن كان الغالب هو الوزن بحيث يصدق عند العرف أنّه موزون ، فيدخل فيه الربا ؛ لشمول الإطلاقات له ، للزوم حملها على المعنى العرفيّ ، وكذلك الأمر لو كان الغالب هو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تكن غلبة في البين وصار موردا للشكّ ، فيمكن أن يقال إذا بيع بالوزن فيدخل فيه الربا ، وإن بيع بالعدّ فلا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الحرمة وفساد المعاملة هو كون العوضين المتفاضلين المتّحدي الجنسين من المكيل أو الموزون ، فلا بدّ من إحراز الموضوع لإثبات هذا الحكم ، وإلاّ فمع الشكّ في كونه مكيلا أو موزونا فلا يثبت ، نعم التمسّك بإطلاقات أدلّة </w:t>
      </w:r>
    </w:p>
    <w:p>
      <w:pPr>
        <w:pStyle w:val="BookText"/>
        <w:rPr/>
      </w:pPr>
      <w:r>
        <w:rPr>
          <w:rFonts w:ascii="Amiri" w:hAnsi="Amiri" w:eastAsia="Amiri" w:cs="Amiri"/>
          <w:color w:val="111111"/>
          <w:sz w:val="28"/>
          <w:sz w:val="28"/>
          <w:szCs w:val="28"/>
          <w:rtl w:val="true"/>
          <w:lang w:bidi="ar-SA"/>
        </w:rPr>
        <w:t>صحّة البيع وغيره من المعاملات لصحّة مثل هذه المعاملة يكون من التمسّك بعموم العام أو إطلاق المطلق في الشبهات المصداقيّة ، فالأحوط مراعاة التساوي كيلا أو وزنا في مثل هذه المعاملة إذا كان العوضان من متّحدي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الماليّة المتعارفية الآن في الأسواق التي عليها مدار المعاملات من أيّ قسم كانت ، وبأيّ اسم سمّيت ، دينارا أو اسكناسا أو نوطا أو ريالا أو ليرة أو غير ذلك ، حيث أنّها ليست من المكيل ولا الموزون ، فلا يدخل فيها الربا ، وليست معرّفا وأمارة على مقدار من الذهب المسكوك أو الفضّة المسكوكة ، وإن كانت في بعض الأزمنة السابقة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بنفسها تكون أموالا بواسطة اعتبارها من الذين بيدهم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يجرى عليها أحكام النقدين من لزوم القبض في المجلس إذا وقعت المعاملة بينها بعضها ببعض ، ولا زكاة فيها ، ولا يدخل فيها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الشي‌ء من المكيل ولا من الموزون ، فيجوز أن يبيع شاة بشاتين ، أو يبيع شاة ليس في بطنها شي‌ء بالشاة التي حامل وفي بطنها شي‌ء ، أو الشاة التي في ضرعها حليب بالتي ليس في ضرعها حليب ، كما أنّه يجوز بيعها بنفس الحليب ، والبعير بالبعيرين ، والثوب بالثوبين وإن كانا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بيع دجاجة فيها بيضة بدجاجة كذلك أو خالية عنها ، كما يجوز بيعها بنفس البيضة ، ويجوز بيع نخلة فيها ثمرة بالتي ليست فيها ثمرة ، وأيضا بنفس الثمرة ، وكتاب بكتابين ، وفرش بفرشين ، وجميع ما ذكرناه وما لم نذكره من هذا القبيل من بيع واحد باثنين أو أكثر لا مانع فيه ؛ من أجل عدم كونه مكيلا أو موزونا كي يدخل فيه الربا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جنس بعضه جيّد وبعضه ردي‌ء ، مثلا كان وزنة من الأرز نصفه من العنبر الغالي قيمته وهو لشخص ، ونصفه الآخر من صنف آخر رخيص ، وكان هذا النصف لشخص آخر ، فالمالكان باعا المجموع بوزنة من النصف </w:t>
      </w:r>
    </w:p>
    <w:p>
      <w:pPr>
        <w:pStyle w:val="BookText"/>
        <w:rPr/>
      </w:pPr>
      <w:r>
        <w:rPr>
          <w:rFonts w:ascii="Amiri" w:hAnsi="Amiri" w:eastAsia="Amiri" w:cs="Amiri"/>
          <w:color w:val="111111"/>
          <w:sz w:val="28"/>
          <w:sz w:val="28"/>
          <w:szCs w:val="28"/>
          <w:rtl w:val="true"/>
          <w:lang w:bidi="ar-SA"/>
        </w:rPr>
        <w:t>الجيّد ، فإن تبانيا على أن يكون عوض مالهما لكلّ واحد منهما بمقدار نفس ماله فلا إشكال ؛ إذ لا يكون رباء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تبانيا على أن يكون عوض مالهما لكلّ منهما بنسبة قيمة ماله إلى الثمن ، كما لو تباينا على أن يكون ثلثي الثمن لمالك النصف الجيّد ، والثلث الباقي لمالك النصف الرديّ فالمعاملة باطلة قطعا ؛ لكونها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أطلقا ولم يكن تبان بينهما ، فربما يتولّد إشكال في البين ، وهو أنّ كلّ واحد من المالكين للمبيع يملك من الثمن بنسبة قيمة ماله ، لا بنسبة مقداره وكمّه ، فإذا كان قيمة النصف الجيّد ضعف قيمة النصف الرديّ ، فيملك مالك النصف الجيّد ثلثي الثمن ، ومالك النصف الرديّ ثلثا من تلك الوزنة التي هي ثمن للنصفين ، فتكون المعاملة باطلة ؛ لكونها رباء ، فيكون الإطلاق كالتصريح بأن يكون ثلثي الثمن لمالك النصف الجيّد الذي قلنا فيه ببطلان المعاملة ، لكونها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بيع مجموع النصفين بالوزنة الجيّدة هو اشتراكهما في الثمن بالسويّة من حيث المقدار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كلّ واحد منهما مالك لنصف المبيع ، فبواسطة البيع يصير مالكا لنصف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أنّ الثمن في نفس المفروض ليس من جنس المثمن ، فبناء المعاملات على أنّ كلّ واحد من المالكين لنصف مقدار المبيع يملك من الثمن بنسبة قيمة ما يملكه من المبيع ، لا بنسبة مقداره ؛ ولذلك ترى في باب تبعّض الصفقة لو باع شخص وزنتين من الحنطة إحداهما جيّدة وأخرى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أنّ قيمة الجيّدة ضعف الرديئة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دنانير ، فظهر أنّ الجيّدة ملك لغير البائع ، ولم يجز المعاملة صاحب الجيّدة ، فلا يملك مالك الرديئة إلاّ دينارين من الثمن ، ويستردّ الأربعة منه إنّ كان قبض الكلّ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المعاملة المفروضة في هذه المسألة في صورة الإطلاق كالصورة التي يصرح مالك الجيّدة بأن يكون له من الثمن أزيد من النصف باطلة ؛ لكونها رباء ، </w:t>
      </w:r>
    </w:p>
    <w:p>
      <w:pPr>
        <w:pStyle w:val="BookText"/>
        <w:rPr/>
      </w:pPr>
      <w:r>
        <w:rPr>
          <w:rFonts w:ascii="Amiri" w:hAnsi="Amiri" w:eastAsia="Amiri" w:cs="Amiri"/>
          <w:color w:val="111111"/>
          <w:sz w:val="28"/>
          <w:sz w:val="28"/>
          <w:szCs w:val="28"/>
          <w:rtl w:val="true"/>
          <w:lang w:bidi="ar-SA"/>
        </w:rPr>
        <w:t>وذلك لأجل أنّ المعاملة في المفروض وفي أمثاله وفي باب تبعّض الصفقة تنحلّ إلى معاملتين ، وفي كلّ واحد منهما المبيع غير المبيع في الآخر ، فلكلّ واحد منهما من الثمن ما يقابل قيمته لا كمّيته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يحصل الاشتراك في المبيع بين النصفين بواسطة الاختلاط أو الامتزاج ، وإلاّ فإذا حصل الاشتراك في المبيع قبل البيع بواسطة الاختلاط ، فبناء على ما هو الصحيح من كون الاشتراك بنسبة ماليّة المختلفين لا بنسبة كمّيهما ، فلا يبقى إشكال في البين ، ولا يأتي الربا في البيع المذكور ؛ لأنّه بناء على هذا مالك النصف الجيّد من المبيع يملك ثلثي المبيع بواسطة اختلاط ماله الجيّد مع المال الرديّ الذي لشريكه ، فكون ثلثي الثمن له في المفروض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كلام في نفس الاشتراك بنسبة ماليّة ماليهما لا كمّيهما ، وأنّه بناء على على أن يكون الاشتراك معاوضة ، وبناء على إتيان الربا في جميع المعاوضات حتّى المعاوضات القهريّة ، فيكون للاشتراك بالنحو المذكور ربا مردوعا من قبل الشارع ، فلا بدّ من القول بعدم كون نتيجة الاشتراك بين المالين الجيّد والرديّ إذا كانا من جنس واحد أو إذا كانا في حكم جنس واحد هو الاشتراك بنسبة ماليّة المالين وقيمتهما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محلّ هذا البحث ليس هاهنا ، وموكول إلى كتاب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المعاملة الربويّة حرام وفاسدة بتمامها ، فلا يملك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الثمن ، ولا المشتري شيئا من الثمن ؛ لا أنّ الحرمة أو الفساد مخصوص بالمقدار الزائد على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لوجوه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تقسيم المعاملات على قسمين في متّحدي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تكون لأحد العوضين زيادة على </w:t>
      </w:r>
    </w:p>
    <w:p>
      <w:pPr>
        <w:pStyle w:val="BookText"/>
        <w:rPr/>
      </w:pPr>
      <w:r>
        <w:rPr>
          <w:rFonts w:ascii="Amiri" w:hAnsi="Amiri" w:eastAsia="Amiri" w:cs="Amiri"/>
          <w:color w:val="111111"/>
          <w:sz w:val="28"/>
          <w:sz w:val="28"/>
          <w:szCs w:val="28"/>
          <w:rtl w:val="true"/>
          <w:lang w:bidi="ar-SA"/>
        </w:rPr>
        <w:t>الآخر وهو حلال وصحيح ، الثاني أن تكون المعاملة مشتملة على زيادة في أحدهما جزءا أو شرطا وهو حرام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المعاملة إذا كانت فاسدة فلا ينتقل شي‌ء من العوضين إلى صاحب العوض الآخر ، بل يبقى كلّ واحد منهما بتمامه في ملك من كان له قبل وقوع هذه المعاملة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فسّر الآية الشريفة في مجمع البيان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 اللّه البيع الذي لا رباء فيه ، وحرّم البيع الذي فيه الربا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قرّرنا وأثبتنا في إحدى قواعد هذا الكتاب أنّ العقود تابعة للقصود ، إذ لا شكّ في أنّ المتعاملين قصدا انتقال العوض المشتمل على الزيادة جزءا أو شرطا إلى الطرف المقابل بعوض ما ينتقل منه إليه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انتقل اليه هو العوض بدون تلك الزيادة ، فما قصد لم يقع وما وقع لم يقصد ، ويخالف هذا تبعيّة العقود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يأتي ها هنا ما يقال في باب تبعّض الصّفقة ، من جهة أنّه هناك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الواحد ينحلّ إلى عقدين كلاهما مقصودان ، غاية الأمر أنّ شرائط الصحة في أحدهما موجودة دون الآخر ، وأمّا في المقام القول بالانحلال لا معنى له ؛ إذ ليس في مقابل الزيادة شي‌ء كي يقال إنّه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 فإنّ ظاهرها بطلان المعاملة الربويّة وفسادها ، لا عدم انتقال الزائد فقط إلى صاحب العوض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التمر اليابس بالرطب ، من أجل أنّ التمر يابس والرطب رطب ، فإذا يبس نقص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وقد سئل عن العنب بالزبيب؟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إلاّ مثلا بمثل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وبهذا المضمون أخبار كثيرة ، ولا شكّ أنّ ظاهر هذه الأخبار بطلان المعاملة المشتملة على تلك الزيادة للنقص الحاصل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الصادق علیه السلام في رواية سيف التّمار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علیه السلام كان يكره أن يستبدل وسقا من تمر المدينة بوسقين من تمر خيبر ، لأنّ تمر المدينة أدونهما ولم يكن عليّ يكره الحلال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ظاهر هذه الرواية أنّ نفس المعاملة ليست بحلال وفاسد ، لا الزيادة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سعد بن طريف عن أبي جعفر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أخبث المكاسب كسب الربا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علیه السلام المعاملة المشتملة على الزيادة من أخبث المكاسب ، ومعلوم أنّ خبث الكسب ظاهر في فساده وحرمته ، أي نفس المعاملة لا خصوص الزيادة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رواية حمّاد ، عن الحلبي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الزائد والمستزيد في النار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هذا الكلام أنّ كون الزائد والمستزيد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المتعاملين في النار يكون لأجل معاملتهم ، فتكون تكوّن المعاملة التي تكون سببا لدخول النار حراما وفاسدا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أخر كثيرة لا يشكّ المتأمّل فيها في دلالتها على حرمة المعاملة </w:t>
      </w:r>
    </w:p>
    <w:p>
      <w:pPr>
        <w:pStyle w:val="BookText"/>
        <w:rPr/>
      </w:pPr>
      <w:r>
        <w:rPr>
          <w:rFonts w:ascii="Amiri" w:hAnsi="Amiri" w:eastAsia="Amiri" w:cs="Amiri"/>
          <w:color w:val="111111"/>
          <w:sz w:val="28"/>
          <w:sz w:val="28"/>
          <w:szCs w:val="28"/>
          <w:rtl w:val="true"/>
          <w:lang w:bidi="ar-SA"/>
        </w:rPr>
        <w:t>الربويّة لا الزيادة فقط ، وبناء على هذا يكون أصل المعاملة فاسدة ، ويكون ما يقبضه البائع فيها من الثمن ، وكذلك المشتري من المثمن من قبيل المقبوض بالعقد الفاسد ، فيجب ردّه إلى مالكه مع بقائه ، ومع تلفه يضمن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 المعطي بفساد المعاملة يمكن أن يقال هو الذي أقدم على إتلاف ماله وهتك احترامه ، فلا يضمن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في وجوب ردّ ما قبض في المعاملة الربويّة هو فيما إذا كان القابض عالما بالحكم والموضوع ، وأمّا إذا كان جاهلا بهما أو بأحدهما فسيأتي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من بطلان المعاملة الربويّة بين أن تكون الزيادة جزء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 من أنّها لو كانت شرطا فيكون البطلان مبتنيا على أنّ الشرط الفاسد مفسد للعقد ، وأمّا إذا لم نقل بأنّ الشرط الفاسد مفسد فلا وجه للقول ببطلان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أساس له ، أمّا لو كان مدرك البطلان هي الآية أو الأخبار ، فقد تقدّم أنّ مفادهما هو بطلان البيع الربوي أو مطلق المعاوضات الربويّة ، سواء كان منشأ كونها ربويّة هو زيادة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المنشأ هو قاعدة تبعيّة العقود للقصود ، فلا شكّ أنّ قصد المتعاملين متعلّق بالمبادلة بين العوضين أي متّحدي الجنسين مشروطا بذلك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 بين العوضين مع الشرط من قبيل بشرط شي‌ء ، فالمبادلة بين نفس العوضين ليس مقصودا أصلا ؛ لأنّ النسبة بين العوضين من دون الشرط وبينهما مع الشرط نسبة المتباينين ؛ إذ هي من قبيل نسبة بشرط لا إلى بشرط شي‌ء ، وهما متباينان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يقاس ما نحن فيه بمسألة خيار تخلّف الشرط ؛ لأنّه هناك المبيع شخص خارجي قصد نقله إلى المشتري غاية ، إلاّ أنّه التزم بكونه متّصفا بصفة كذا ، وهذا </w:t>
      </w:r>
    </w:p>
    <w:p>
      <w:pPr>
        <w:pStyle w:val="BookText"/>
        <w:rPr/>
      </w:pPr>
      <w:r>
        <w:rPr>
          <w:rFonts w:ascii="Amiri" w:hAnsi="Amiri" w:eastAsia="Amiri" w:cs="Amiri"/>
          <w:color w:val="111111"/>
          <w:sz w:val="28"/>
          <w:sz w:val="28"/>
          <w:szCs w:val="28"/>
          <w:rtl w:val="true"/>
          <w:lang w:bidi="ar-SA"/>
        </w:rPr>
        <w:t>التزام آخر غير قصد كونه مبيعا ومنقولا إلى الغير ، فتخلّف الشرط أو الوصف هناك لا يوجب عدم قصد نقل ذلك الموجود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المبيع أمرا كليّا موصوفا بوصف ، فذات ذلك الكلّي ليس مقصودا ووصفه مقصودا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الالتزام في الالتزام ، فلو تعذّر الوصف يمكن القول بعدم إتيان خيار تخلّف الوصف أو الشرط ، بل تنفسخ المعاملة ويكون من قبيل تعذّر نفس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في صورة كون الزيادة شرطا ، يمكن أن يقال بأنّ ما قصد لم يقع للمنع الشرعي ، وما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العوضين بدون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المقام وبين مورد خيار تخلّف الوصف والشرط ، هو أنّه حيث أنّ المعاملة وقعت هناك على العين الشخصيّة ، فالقصد تعلّق بنقلها على كلّ حال ، أي سواء وجد الوصف أو الشرط أو لم يوجد ؛ لأنّ العين الخارجيّة لا تتغيّر عمّا هي عليه بوجود الوصف والشرط وعدم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فالقصد تعلّق بمبادلة شي‌ء بمقداره من جنسه مشروطا بشرط ، فإذا لم يوجد الشرط فما هو المقصود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 هنا أيضا لو وقعت المعاوضة بين العينين الشخصيّتين المتّحدتين في الجنس والمقدار ، وكانت المعاوضة مشروطة بشرط غير جائز شرعا ولو من جهة كونه رباء ، فبطلان مثل هذه المعاملة لا بدّ وأن يكون مستندا إلى دليل آخر غير تبعية العقود للقصود ، وهو كما تقدّم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الفراغ عن بطلان المعاملة الربوية وفسادها ، هل هو فيما إذا ارتكب متعمّدا مع العلم بالحكم والموضوع ، أم لا بل يكون مطلقا باطلا ، وإن كان جاهلا بالحكم أو الموضوع ، بل وبهما؟</w:t>
      </w:r>
    </w:p>
    <w:p>
      <w:pPr>
        <w:pStyle w:val="BookText"/>
        <w:rPr/>
      </w:pPr>
      <w:r>
        <w:rPr>
          <w:rFonts w:ascii="Amiri" w:hAnsi="Amiri" w:eastAsia="Amiri" w:cs="Amiri"/>
          <w:color w:val="111111"/>
          <w:sz w:val="28"/>
          <w:sz w:val="28"/>
          <w:szCs w:val="28"/>
          <w:rtl w:val="true"/>
          <w:lang w:bidi="ar-SA"/>
        </w:rPr>
        <w:t>والفرق بين القولين واضح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لو أخذ الربا جهلا بالحكم أو الموضوع أو بكليهما ، فيكون </w:t>
      </w:r>
      <w:bookmarkStart w:id="135" w:name="pg15947_151090"/>
    </w:p>
    <w:p>
      <w:pPr>
        <w:pStyle w:val="BookText"/>
        <w:rPr/>
      </w:pPr>
      <w:bookmarkEnd w:id="135"/>
      <w:r>
        <w:rPr>
          <w:rFonts w:ascii="Amiri" w:hAnsi="Amiri" w:eastAsia="Amiri" w:cs="Amiri"/>
          <w:color w:val="111111"/>
          <w:sz w:val="28"/>
          <w:sz w:val="28"/>
          <w:szCs w:val="28"/>
          <w:rtl w:val="true"/>
          <w:lang w:bidi="ar-SA"/>
        </w:rPr>
        <w:t>الزائد ما له ولا يجب ردّه بالخصوص أو جميع العوض المأخوذ إلى صاحبه ؛ لعدم علمه بأنّه رباء أو أنّه حرام وإن كان يعلم بأنّه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 فإنّه يجب عليه الردّ مطلقا ، وإن كان جاهلا بأحدهما أو بكليهما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6231948_2142443653"/>
      <w:bookmarkStart w:id="137" w:name="_Toc47"/>
      <w:bookmarkEnd w:id="136"/>
      <w:r>
        <w:rPr>
          <w:rtl w:val="true"/>
        </w:rPr>
        <w:t xml:space="preserve">وفي المسألة أقوال </w:t>
      </w:r>
      <w:r>
        <w:rPr>
          <w:rtl w:val="true"/>
        </w:rPr>
        <w:t>:</w:t>
      </w:r>
      <w:bookmarkEnd w:id="137"/>
    </w:p>
    <w:p>
      <w:pPr>
        <w:pStyle w:val="BookText"/>
        <w:rPr/>
      </w:pPr>
      <w:r>
        <w:rPr>
          <w:rFonts w:ascii="Amiri" w:hAnsi="Amiri" w:eastAsia="Amiri" w:cs="Amiri"/>
          <w:color w:val="111111"/>
          <w:sz w:val="28"/>
          <w:sz w:val="28"/>
          <w:szCs w:val="28"/>
          <w:rtl w:val="true"/>
          <w:lang w:bidi="ar-SA"/>
        </w:rPr>
        <w:t>قول بعدم وجوب الردّ مطلقا أي سواء كان جاهلا بالحكم أو الموضوع أو بهما ، فلا يجب ردّ الزائد أو الجميع مطلقا وفي جميع الصور التي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منقول عن الصدوق والشيخ </w:t>
      </w:r>
      <w:r>
        <w:rPr>
          <w:rStyle w:val="FootnoteAnchor"/>
          <w:rtl w:val="true"/>
        </w:rPr>
        <w:footnoteReference w:id="273"/>
      </w:r>
      <w:r>
        <w:rPr>
          <w:rFonts w:ascii="Amiri" w:hAnsi="Amiri" w:eastAsia="Amiri" w:cs="Amiri"/>
          <w:color w:val="111111"/>
          <w:sz w:val="28"/>
          <w:sz w:val="28"/>
          <w:szCs w:val="28"/>
          <w:rtl w:val="true"/>
          <w:lang w:bidi="ar-SA"/>
        </w:rPr>
        <w:t xml:space="preserve">والشهيد </w:t>
      </w:r>
      <w:r>
        <w:rPr>
          <w:rStyle w:val="FootnoteAnchor"/>
          <w:rtl w:val="true"/>
        </w:rPr>
        <w:footnoteReference w:id="274"/>
      </w:r>
      <w:r>
        <w:rPr>
          <w:rFonts w:ascii="Amiri" w:hAnsi="Amiri" w:eastAsia="Amiri" w:cs="Amiri"/>
          <w:color w:val="111111"/>
          <w:sz w:val="28"/>
          <w:sz w:val="28"/>
          <w:szCs w:val="28"/>
          <w:rtl w:val="true"/>
          <w:lang w:bidi="ar-SA"/>
        </w:rPr>
        <w:t xml:space="preserve">والأردبيلي </w:t>
      </w:r>
      <w:r>
        <w:rPr>
          <w:rStyle w:val="FootnoteAnchor"/>
          <w:rtl w:val="true"/>
        </w:rPr>
        <w:footnoteReference w:id="275"/>
      </w:r>
      <w:r>
        <w:rPr>
          <w:rFonts w:ascii="IRNazanin" w:hAnsi="IRNazanin" w:eastAsia="IRNazanin"/>
          <w:color w:val="111111"/>
          <w:sz w:val="28"/>
          <w:sz w:val="28"/>
          <w:szCs w:val="28"/>
          <w:rtl w:val="true"/>
          <w:lang w:bidi="fa-IR"/>
        </w:rPr>
        <w:t xml:space="preserve">والحدائق </w:t>
      </w:r>
      <w:r>
        <w:rPr>
          <w:rStyle w:val="FootnoteAnchor"/>
          <w:rtl w:val="true"/>
        </w:rPr>
        <w:footnoteReference w:id="276"/>
      </w:r>
      <w:r>
        <w:rPr>
          <w:rFonts w:ascii="Amiri" w:hAnsi="Amiri" w:eastAsia="Amiri" w:cs="Amiri"/>
          <w:color w:val="111111"/>
          <w:sz w:val="28"/>
          <w:sz w:val="28"/>
          <w:szCs w:val="28"/>
          <w:rtl w:val="true"/>
          <w:lang w:bidi="ar-SA"/>
        </w:rPr>
        <w:t>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بوجوب الردّ وبطلان المعاملة مطلقا ، وأنّه لا فرق بين صور الجهل حكما أو موضوعا مع العلم ، فحال الجاهل حال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بالتفصيل بين كون ما أخذ رباء موجودا ومعلوما ، وصاحبه الذي أخذ منه أيضا كذلك موجودا ومعروفا ، وبين ما لا يكون كذلك بأن يكون ما أخذه رباء تالفا إن كان مخلوطا أو ممتزجا غير معلوم ، أو كان صاحبه الذي أخذ منه غير موجود أو غير معروف ومعلوم ، فيجب الردّ في الأوّل ، ولا يجب في الثاني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الأوّل أي عدم وجوب الردّ مطلقا إمّا لصحّة المعاملة الربويّة حال الجهل بالحكم أو الموضوع أو الجهل بكليهما ، كما هو ظاهر كلام القائلين بهذا القول ؛ وإمّا تعبدا للآية والرواية مع بطلان المعاملة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هذا القول صاحب </w:t>
      </w:r>
    </w:p>
    <w:p>
      <w:pPr>
        <w:pStyle w:val="BookText"/>
        <w:rPr/>
      </w:pPr>
      <w:r>
        <w:rPr>
          <w:rFonts w:ascii="IRNazanin" w:hAnsi="IRNazanin" w:eastAsia="IRNazanin"/>
          <w:color w:val="111111"/>
          <w:sz w:val="28"/>
          <w:sz w:val="28"/>
          <w:szCs w:val="28"/>
          <w:rtl w:val="true"/>
          <w:lang w:bidi="fa-IR"/>
        </w:rPr>
        <w:t xml:space="preserve">الحدائق </w:t>
      </w:r>
      <w:r>
        <w:rPr>
          <w:rStyle w:val="FootnoteAnchor"/>
          <w:rtl w:val="true"/>
        </w:rPr>
        <w:footnoteReference w:id="277"/>
      </w:r>
      <w:r>
        <w:rPr>
          <w:rFonts w:ascii="Amiri" w:hAnsi="Amiri" w:eastAsia="Amiri" w:cs="Amiri"/>
          <w:color w:val="111111"/>
          <w:sz w:val="28"/>
          <w:sz w:val="28"/>
          <w:szCs w:val="28"/>
          <w:rtl w:val="true"/>
          <w:lang w:bidi="ar-SA"/>
        </w:rPr>
        <w:t>، وهو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احتمال التفصيل بين الجاهل بالحكم والجاهل بالموضوع ، وأيضا بين الجاهل بأصل الحكم وبين الجاهل بالخصوصيّات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من هذه الأقوال هو التفصيل بين ما كان المأخوذ رباء معزولا موجودا يعرفه من دون خلطه أو امتزاجه بسائر أمواله ، خصوصا إذا كان صاحبه موجودا ويعرفه ، فيجب ردّه عليه ، وبين ما ليس كذلك ، فلا يجب ردّه وحلال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هذا التفصيل هو صحيح الحلبي وما رواه أبو الرّبيع الشامي ، وإلاّ فمقتضى القواعد الأوّلية وأدلّة حرمة الربا وبطلان المعاملة الربويّة وجوب ردّ جميع ما أخذه عوض ماله في المعاملة الربويّة ؛ لأنّه مقبوض بالعقد الباطل الفاسد ، ولم ينتقل إليه شي‌ء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فيده على ما قبض يد عادية يجب ردّه إلى مالكه إنّ لم يكن تالفا وكان موجودا وان تلف فهو ضامن ؛ لأنّ يده يد ضمان ، إلاّ أن يكون هو أقدم على إتلافه وهتك احترام ماله بواسطة علمه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المالك يكون من قبيل مجهول المالك ، يجب التصدّق عنه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قبضه من الطرف في المعاملة الربويّة يكون من المقبوض بالعقد الفاسد ، وهو يجري مجرى الغصب ، فيكون القابض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الشيخ وفقيه عصره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ضمان القابض </w:t>
      </w:r>
      <w:r>
        <w:rPr>
          <w:rStyle w:val="FootnoteAnchor"/>
          <w:rtl w:val="true"/>
        </w:rPr>
        <w:footnoteReference w:id="278"/>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الفاسد يجري عند المحصّلين مجرى الغصب في الضمان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حسب القواعد ، وأمّا مقتضى الروايات الواردة في الباب هو التفصيل الذي </w:t>
      </w:r>
    </w:p>
    <w:p>
      <w:pPr>
        <w:pStyle w:val="BookText"/>
        <w:rPr/>
      </w:pP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يأكل الربا وهو يرى أنّه له حلال؟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يضرّه حتّى يصيبه متعمّدا ، فإذا أصابه فهو بالمنزل الذي قال اللّه عزّ وجل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الوشاء عن أبي المغراء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ربا أكله الناس بجهالة ثمَّ تابوا فإنّه يقبل منهم إذا عرف منهم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ورث من أبيه مالا وقد عرف أنّ في ذلك المال ربا ولكن قد اختلط في التجارة بغير حلال كان حلالا طيبا فليأكله ، وإن عرف منه شيئا أنّه ربا فليأخذ رأس ماله وليردّ الربا ، وأيّما رجل أفاد مالا كثيرا قد أكثر فيه من الربا ، فجهل ذلك ثمَّ عرفه بعد ، فأراد أن ينزعه فما مضى فله ويدعه فيما يستأنف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عليّ بن إبراهيم ، عن أبيه ، عن ابن أبي عمير ، عن حمّاد ، عن الحلبي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وقد علمت أنّ صاحبه الذي ورثته منه قد كان يربي ، وقد عرف أنّ فيه ربا واستيقن ذلك وليس يطلب لي حلاله لحال علمي فيه ، وقد سألت فقهاء أهل العراق وأهل الحجاز فقالوا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أكله؟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تعلم بأنّ فيه مالا معروفا ربا وتعرف أهله فخذ رأس مالك وردّ ما سوى ذلك ، وإن كان مختلطا فكله هنيئا فإنّ المال مالك ، واجتنب ما كان يصنع صاحبه ، فإنّ رسول اللّه صلی اللّه علیه و آله قد وضع ما مضى من الربا وحرّم عليهم ما بقي ، فمن جهل وسع له جهله حتّى يعرفه ، فإذا عرف تحريمه حرّم عليه ووجب عليه فيه العقوبة إذا ركبه كما يجب على من يأكل الربا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الرّبيع الشامي قال سألت أبا عبد اللّه علیه السلام عن رجل أربى بجهالة ثمَّ أراد أن يتركه؟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مضى فله ، فليتركه فيما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نحوه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علیه السلام من أهل خراسان قد عمل الربا حتّى كثر ماله ، ثمَّ إنّه سأل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إلاّ أن تردّه إلى أصحابه ، فجاء إلى أبي جعفر علیه السلام فقصّ عليه قصّته ، فقال له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مخرجك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وَأَمْرُهُ إِلَى اللّهِ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والموعظة التوبة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مجمع البيان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الوليد ابن المغيرة كان يربي في الجاهليّة وقد بقي له بقايا على ثقيف وأراد خالد بن الوليد المطالبة بعد أن أسلم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جعفر في كتابه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أكل ربا لا يرى إلاّ أنّه حلال؟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يضرّه حتّى يصيبه متعمّدا فهو ربا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بن عيسى في نوادره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أربى دهرا من الدّهر فخرج قاصدا أبا جعفر الجواد علیه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مخرجك من كتاب اللّه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هي التوبة ، فجهله بتحريمه ثمَّ معرفته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فحلال وما بقي فليستحفظ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الربا إلاّ فيما يكال أو يوزن ، ومن أكله جاهلا بتحريمه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عليه شي‌ء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التأمّل في هذه الأخبار وردّ بعضها إلى بعض تكون ظاهرة فيما اخترنا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وإن كانت تدلّ على العفو عمّا مضى وعدم وجوب غرامته عليه بعد التوبة مطلقا أو فيما إذا كان المرتكب حين ارتكابه جاهلا بتحريمه ، سواء كانت عين المال الربوي موجودة أو ليست بموجودة وكانت تالفة ، وسواء كان مشخصا معزولا أو كان مشاعا مخلوطا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قوله علیه السلام في 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تعلم بأنّ فيه مالا معروفا ربا وتعرف أهله فخذ رأس مالك وردّ ما سوى ذلك ، وإن كان مختلطا فكله هنيئا فإنّ المال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يقيّد المطلقات بما إذا كان المال الربوي موجودا معروفا معزولا وتعرف صاحبه ، ففي هذه الصورة ليس مشمولا لحكم المطلقات من حلّية أكله وعدم ضمان عليه ، بل يجب ردّه إلى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في رواية أبي الربيع الشامي ، لأنّ سياقها عين سياق صحيحة الحلبي ؛ لأنّ 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تعرف شيئا معزولا وتعرف أهله وتعرف أنّه ربا فخذ رأس مالك ودع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الحلبي المنقولة بطرق متعدّدة فرّق بين كون المال الربوي معروفا معزولا ، وبين كونه مشاعا ومخلوطا ، ففي الأوّل حكم بوجوب الرّد وإن كان المرتكب حال ارتكابه جاهلا بالحكم أو الموضوع ، وفي الثاني حكم بجواز أكله وعدم </w:t>
      </w:r>
    </w:p>
    <w:p>
      <w:pPr>
        <w:pStyle w:val="BookText"/>
        <w:rPr/>
      </w:pPr>
      <w:r>
        <w:rPr>
          <w:rFonts w:ascii="Amiri" w:hAnsi="Amiri" w:eastAsia="Amiri" w:cs="Amiri"/>
          <w:color w:val="111111"/>
          <w:sz w:val="28"/>
          <w:sz w:val="28"/>
          <w:szCs w:val="28"/>
          <w:rtl w:val="true"/>
          <w:lang w:bidi="ar-SA"/>
        </w:rPr>
        <w:t>وجوب ردّه ، بل هناك قيد آخر ، وهو أن يعرف أهله أي من أخذ منه الربا ، أي صاحب الزيادة ومالكه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رواية أبي الربيع الشامي ، ولا وجه لما ذكروه من حمل الأمر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كانت عين الزيادة معلومة مشخّصة معزولة مع أنّها ملك الغير يقينا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رأس مالك ودع ما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لحمله على الاستحباب ؛ إذ وجوب ردّ المال المعيّن المشخّص للغير مع معلوميّة ذلك الغير أمر عقلي ، فمع كون الأمر من طرف الشارع بردّه والقول بكون الأمر ظاهرا في الوجوب حمل الأمر على الاستحباب لا يخلو من غرابة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 هو التفصيل الذي ذكرناه ، بل الأحوط معاملة مجهول المالك معه إذا لم يعرف صاحبه ، خصوصا إذا كان المال معلوما ومعزولا ولا يكون مختلطا ومشاعا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مفاد الأخبار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قطع النظر عن استشهاد الإمام علیه السلام بها وتطبيقها على موارد مذكورة في الروايات المتقدّمة ، ففيها احتمالات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المرتكب للربا عنه بعد ارتكابه مدّة من الزمن ، سواء كان عالما بتحريمه أم لا ، ثمَّ عرف فتاب بناء على أن تكون الموعظة بمعنى التوبة كما أنّها فسر بها في بعض الأخبار </w:t>
      </w:r>
      <w:r>
        <w:rPr>
          <w:rStyle w:val="FootnoteAnchor"/>
          <w:rtl w:val="true"/>
        </w:rPr>
        <w:footnoteReference w:id="291"/>
      </w:r>
      <w:r>
        <w:rPr>
          <w:rFonts w:ascii="Amiri" w:hAnsi="Amiri" w:eastAsia="Amiri" w:cs="Amiri"/>
          <w:color w:val="111111"/>
          <w:sz w:val="28"/>
          <w:sz w:val="28"/>
          <w:szCs w:val="28"/>
          <w:rtl w:val="true"/>
          <w:lang w:bidi="ar-SA"/>
        </w:rPr>
        <w:t xml:space="preserve">فله ما سلف ، أي الأموال التي أخذها رباء قبل أن يتوب يكون له وحلال له ولا يجب ردّه إلى صاحبه ، وإن كان المال معلوما معزولا وصاحبه الذي </w:t>
      </w:r>
    </w:p>
    <w:p>
      <w:pPr>
        <w:pStyle w:val="BookText"/>
        <w:rPr/>
      </w:pPr>
      <w:r>
        <w:rPr>
          <w:rFonts w:ascii="Amiri" w:hAnsi="Amiri" w:eastAsia="Amiri" w:cs="Amiri"/>
          <w:color w:val="111111"/>
          <w:sz w:val="28"/>
          <w:sz w:val="28"/>
          <w:szCs w:val="28"/>
          <w:rtl w:val="true"/>
          <w:lang w:bidi="ar-SA"/>
        </w:rPr>
        <w:t>أخذ منه معروفا غير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المعنى والاحتمال مردود إجماعا ومخالف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تُبْتُمْ فَلَكُمْ رُؤُسُ أَمْوالِكُمْ لا تَظْلِمُونَ وَلا تُظْلَمُونَ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الموعظة التحريم والنهي من قبل الشارع ، فيكون معنى الآية أنّه لو ارتكب المعاملات الربويّة وأخذ الربا قبل ورود النهي وقبل مجي‌ء التحريم ، فلما ورد النهي من ربّه انتهى فله ما أخذ قبلا ، ولا يجب ردّ ما أخذ قبلا قبل ورود النهي والتحريم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مجمع البيان في تفسير هذه الجملة من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ما أخذ وأكل من الربا قبل النهي لا يلزمه ردّه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الإسلام وتاب ممّا كان عمله في الجاهليّة وضع اللّه عنه ما سلف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هذين المعنيين لا ربط للآية بمحلّ كلامنا ؛ لأنّ محلّ كلامنا هو أنّه لو ارتكب الرباء جهلا بالحكم أو الموضوع بعد ورود النهي عن قبل الشارع ، فبعد ما التفت إلى أنّ في ماله ربا محرّم هل يجب ردّه إلى مالكه أم لا ، وهذا لا ربط له بأحد المعنيين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الآية بحسب الظاهر الأوّلي ظاهر في المعنى الأوّل ، ولكن لا بدّ من التصرّف فيه لمناقضته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تُبْتُمْ فَلَكُمْ رُؤُسُ أَمْوالِكُمْ 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شأن النزول والمورد في الآية التي بعدها يكون ظاهرا في المعنى الثاني ، وذلك من جهة أنّه روي عن أبي جعفر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الوليد بن المغيرة كان يربي في الجاهلية وقد بقي له بقايا على ثقيف فأراد خالد بن الوليد المطالبة بها بعد أن أسلم فنزلت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أنّ الذي ارتكب الربا جهلا بالحكم أو الموضوع ثمَّ التفت إلى النهي فله ما سلف ، ولا يجب ردّ ما ليس بمعزول ولا معلوم أنّه ربا ، بل كان مخلوطا ومشاعا ، فيكون له حلال ويجوز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متعيّن لهذه الآية ؛ لاستشهاد الإمام علیه السلام بهذه الآية لحلّية أكل الربا المتقدّم الذي ارتكبه جهلا بالحكم أو الموضوع في الروايات المتعدّدة ،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مخرجك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يرد على هذا المعنى ما أشكلنا على المعنى الأوّل من المناقضة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تُبْتُمْ فَلَكُمْ رُؤُسُ أَمْوالِكُمْ 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هذه الآية في مورد الجهل حكما أو موضوعا ، 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تُبْتُمْ فَلَكُمْ رُؤُسُ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التعمّد والعلم بالحكم والموضوع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استشهاد الإمام علیه السلام بها على حلّية أكل الربا فيما إذا كان ارتكابه في حال الجهل به حكما أو موضوعا فيما إذا لم يكن المأخوذ رباء معلوما ومعزولا ، بل كان مختلطا ومشاعا ، خصوصا إذا لم يعرف أهله ، أي صاحب تلك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التفصيل الذي اخترناه ، فالآية الشريفة كالأخبار المتقدّمة دليل 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تعاملا بين شيئين رطبين متّحدي الجنس ، كالعنب بالعنب ، أو الرطب بالرطب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المعاملة صادرة من الفضول ، فأجاز الأصيل بعد مدّة يبس أحد العوضين ونقص عن وزن ما يقابله إن كانا من الموزون ، أو عن كيله إن كانا من المكيل ، فهل مثل هذه المعاملة صحيحة أو فاسدة؟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ابتناء المسألة على الكشف الحقيقي والنقل ، فإن قلنا بالأوّل فالمعاملة صحيحة ، وإن قلنا بالنقل تكون فاسدة ؛ لكونها من الربا المحرّم ، وأمّا الكشف الحكمي فلا أثر له في هذا المقام ؛ لأنّه في الحقيقة نقل لا 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الشريكان أو الشركاء تقسيم المال المشترك بينهما أو بينهم بحيث يكون نصيب كلّ واحد منهم من جنس نصيب الآخر ، وكان المال المشترك ممّا يكال أو يوزن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المشترك أبعاضه ربويّا ، أي واجدا لشرائط ثبوت الربا بحيث لو وقعت المعاملة والمعاوضة على تلك الأبعاض يجب أن يكون العوضان مثلا بمثل ، متساويين في المقدار ، فهل القسمة أيضا معاملة ومعاوضة كي يراعى فيها عدم ثبوت الربا ، أم لا؟ بل صرف تمييز حقّ بمعنى أنّ الحقّ بمقتضى الشركة مشاع ، إمّا نصف أو ثلث أو ربع أو غيرها من الكسور حسب كثرة الشركاء أو قلّتهم ، أو كثرة نصيب الشريك أو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فبناء على الأوّل لا بدّ وأن تكون القسمة بالكيل أو الوزن كي لا يقع التفاضل بين حقّه وبين ما يأخذه بعنوان أنّه نصيبه ، ولا يجوز بالخرص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الشريكان لكلّ واحد منهما النصف ، فإن كان من المكيل يجب أن يكال المال بكيلين متساويين ، وإن كان من الموزون يجب أن يوزن القسمان بوزنين متساويين لكي لا يزيد أحدهما على الآخر ، فيكون رباء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الثاني ، فحيث لا معاوضة ولا معاملة فلا رباء في البين ، فلا مانع من أن تكون السهام متفاوتة في المقدار ، وأن يكون أحدهما أزيد من الآخر ، فيما إذا كان لكلّ واحد من الشريكين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لو كان الشركاء متعدّدا وكانوا أزيد من اثنين ، فسهم صاحب كلّ كسر لا مانع من أن يكون أزيد من ذلك الكسر أو أقلّ إذا كان التقسيم بوجه مشروع ، وأيضا لا مانع من أن يكون سهم أحدهما الرطب من ذلك الجنس المشترك مثل أنّ يكون رطبا أو عنبا ، وسهم الآخر اليابس منه مثل أن يكون تمرا أو زبيبا ، وإن كانا ينقصان إذا جفّا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لأنّه بناء على هذا لا رباء في البين كي لا يجوز أمثال تلك المذكورات</w:t>
      </w:r>
      <w:r>
        <w:rPr>
          <w:rFonts w:eastAsia="Amiri" w:cs="Amiri" w:ascii="Amiri" w:hAnsi="Amiri"/>
          <w:color w:val="111111"/>
          <w:sz w:val="28"/>
          <w:szCs w:val="28"/>
          <w:rtl w:val="true"/>
          <w:lang w:bidi="ar-SA"/>
        </w:rPr>
        <w:t xml:space="preserve">. </w:t>
      </w:r>
      <w:bookmarkStart w:id="138" w:name="pg15947_151099"/>
    </w:p>
    <w:p>
      <w:pPr>
        <w:pStyle w:val="BookText"/>
        <w:rPr/>
      </w:pPr>
      <w:bookmarkEnd w:id="138"/>
      <w:r>
        <w:rPr>
          <w:rFonts w:ascii="Amiri" w:hAnsi="Amiri" w:eastAsia="Amiri" w:cs="Amiri"/>
          <w:color w:val="111111"/>
          <w:sz w:val="28"/>
          <w:sz w:val="28"/>
          <w:szCs w:val="28"/>
          <w:rtl w:val="true"/>
          <w:lang w:bidi="ar-SA"/>
        </w:rPr>
        <w:t>وما ذكرنا كان أثر كلّ واحد من التقديرين ، وأمّا في مقام الإثبات وأنّ أيّ واحد منهما هو الحقّ ، فيحتاج إلى شرح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فيه هو أنّ مبنى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القسمة إفراز حقّ وتمييزه ، أو معاوضة ومعاملة بين الشريكين أو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تحقيق معنى الشركة وبيان حقيقتها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مفهوم الشركة ، فهو من المفاهيم الواضحة عند العرف ؛ ولذلك تعريفه يكون لفظيّا ربّما يكون هو أوضح من التعاريف التي عرّفوها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بيان أنّ متعلّق حقّ الشركاء أيّ شي‌ء هو؟</w:t>
      </w:r>
    </w:p>
    <w:p>
      <w:pPr>
        <w:pStyle w:val="Heading5"/>
        <w:numPr>
          <w:ilvl w:val="4"/>
          <w:numId w:val="1"/>
        </w:numPr>
        <w:rPr/>
      </w:pPr>
      <w:bookmarkStart w:id="139" w:name="__RefHeading___Toc16231950_2142443653"/>
      <w:bookmarkStart w:id="140" w:name="_Toc48"/>
      <w:bookmarkEnd w:id="139"/>
      <w:r>
        <w:rPr>
          <w:rtl w:val="true"/>
        </w:rPr>
        <w:t xml:space="preserve">وفي هذا المقام ذكروا وجوها </w:t>
      </w:r>
      <w:r>
        <w:rPr>
          <w:rtl w:val="true"/>
        </w:rPr>
        <w:t>:</w:t>
      </w:r>
      <w:bookmarkEnd w:id="14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واحد من الشريكين أو الشركاء يملك كسرا مشاعا من المال المشترك ، كالنصف ، أو الثلث ، أو الربع ، وهكذا باقي الكسور ، ففي الحقيقة كلّ واحد من الشريكين أو الشركاء مالك لعنوان كلّي قابل للانطباق على أفراد ومصاديق متعدّدة ، وكلّ واحد من تلك الأفراد مصداق حقيقي وفرد واقعي لذلك المفهوم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حقيقة القسمة عبارة عن تطبيق ذلك الكلّي المملوك على مصداقه ، فتمام ذلك الفرد عين مملوكه وليس شي‌ء فيه لشريكه كي يقال بأنّه معاوضة ومعاملة مع شريكه بمعنى انتقال أجزاء من مال شريكه إليه بعوض ما ينتقل من ماله إلى شريكه ، بل بالقسمة يتعيّن ماله ويتميّز عن مال شريكه ، ويخرج عن الإشاعة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المتّفق عليه بين أصحابنا الإماميّة رضوان اللّه تعالى عليهم أجمعين ، بخلاف ما ذهب إليه الجمهور من أنّ القسمة مستلزمة للمبادلة والمعاوضة بين ماليهما ، كما أنّه لو حصلت الشركة بين ماليهما بواسطة الخلط ، كما في خلط الحنطة بالحنطة ، أو الشعير بالشعير ، أو في غيرهما ، أو بواسطة المزج كمزج لبن أحدهما بلبن الآخر ، أو الدهن المذاب لأحدهما بالدهن المذاب للآخر ، فبعد التقسيم لا محالة يوجد في كل </w:t>
      </w:r>
    </w:p>
    <w:p>
      <w:pPr>
        <w:pStyle w:val="BookText"/>
        <w:rPr/>
      </w:pPr>
      <w:r>
        <w:rPr>
          <w:rFonts w:ascii="Amiri" w:hAnsi="Amiri" w:eastAsia="Amiri" w:cs="Amiri"/>
          <w:color w:val="111111"/>
          <w:sz w:val="28"/>
          <w:sz w:val="28"/>
          <w:szCs w:val="28"/>
          <w:rtl w:val="true"/>
          <w:lang w:bidi="ar-SA"/>
        </w:rPr>
        <w:t>قسم مال الآخر ، فلا بدّ وأن نقول بالمعاوضة ، ولا يمكن أن يكون إفراز حقّ وتمييزه عن 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في المثالين أو ما يشبههما يحصل الاشتراك في الرتبة السابقة على القسمة بنفس المزج أو الخلط ، فيكون لكلّ واحد منهما الكسر المشاع من النصف أو الثلث أو غيرهما ، فإذا كان مبادلة أو معاوضة فذلك في الرتبة السابقة على القسمة ، أي في نفس حصول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مال كلّ واحد من الشريكين أو الشركاء معلوما عند اللّه ، متميّزا في الواقع وفي مقام الثبوت ، ولكن في مقام الإثبات لا يعرف التميّز مثل موارد العلم الإجمالي ، فإنّ المعلوم بالإجمال معلوم ومتميّز عند اللّه وعند من يعرف الواقع ، ولكن غير معلوم عند الذي يعلم 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الكأسين ، أو بزوجيّة إحدى المرأتين ، وهكذا في سائر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الوجه هو أنّ الاشتراك في الحقيقة عبارة عن الالتباس والاشتباه في الظاهر ، ولازم هذا الوجه هو أن يكون التقسيم غالبا ملازما مع المبادلة والمعاوضة ، لبعد أن تردّ القسمة على نفس ماله بمعنى أن يكون سهمه دائما عين ما يملكه واقعا ، خصوصا في مورد المزج والخلط بل استحالته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يناسب ما ذهب إليه الجمهور في القسمة من أنّها مبادلة ومعاوضة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خبير بأنّ أصل هذا المبنى باطل ، وأنّ الاشتباه والالتباس غير الاشتراك مفهوما ومصداقا ؛ لأنّه بناء على هذا المبنى ليس اشتراك في البين ، بل كلّ واحد منهما مالك لمال نفسه المتعيّن في الخارج ، غاية الأمر اشتبه بمال الآخر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الاشتراك من هذا القبيل لا يخلو من غرابة ، وأمّا ما يتراءى في بادي النظر في مورد مزج المالين أو خلطهما ، بحيث لا يمكن فصلهما عرفا وعادة من كونه كذلك ، فقد بيّنّاه بأنّ المزج أو الخلط بتلك المثابة يكون سببا لحصول </w:t>
      </w:r>
    </w:p>
    <w:p>
      <w:pPr>
        <w:pStyle w:val="BookText"/>
        <w:rPr/>
      </w:pPr>
      <w:r>
        <w:rPr>
          <w:rFonts w:ascii="Amiri" w:hAnsi="Amiri" w:eastAsia="Amiri" w:cs="Amiri"/>
          <w:color w:val="111111"/>
          <w:sz w:val="28"/>
          <w:sz w:val="28"/>
          <w:szCs w:val="28"/>
          <w:rtl w:val="true"/>
          <w:lang w:bidi="ar-SA"/>
        </w:rPr>
        <w:t>الاشتراك بنحو الإشاعة ، وملكيّة كلّ واحد منهما أحد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الكسر المشاع لا تعيّن ولا تميّز له في مقام الثبوت ، بل هو من قبيل الكليّ قابل للانطباق على الكثير ، وما لم ينطبق على الخارج لا تعيّن له ، نعم بعد الانطباق يتعيّن ويتميّز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الخصوصيّة ليست ملكا للشريك أصلا ، كما إذا اشترى صاعا من صبرة بعنوانها الخاصّ ، بل يكون مالكا لإحدى الخصوصيتين أيضا بعنوان كلّي كما في باب الإرث ، فلا بدّ وأن يكون التطبيق إمّا برضائه الطرفين أو بحكم الشرع من قرعة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الشركة عرفا لا يلائم مع كونها من قبيل الالتباس وكونها متميّزا في الواقع وفي عالم الثبوت وغير معلوم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 الشريكين إذا كانا اثنين مع التساوي في نصيبهما مالكا لنصف المال المشترك ، ولكن لا بنحو الكلّي ، بمعنى أن يكون مالكا لطبيعة النصف من ذلك المال ، فكلّ نصف فرض في ذلك المال يكون تمامه لكلّ واحد من الشريكين ، غاية الأمر على البدل لا في عرض مالكيّته لذلك النصف الآخر ، كي يلزم منه اجتماع مالكين في مال واحد ، وكذلك كي لا يلزم منه مالكيّة كلّ واحد منهما لتمام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الوجه إلى أنّ كلّ جزء فرضته في ذلك المال يكون لكلّ واحد من الشريكين نصفه ، وحيث أنّ التحقيق عدم وجود الجزء الذي لا يتجزى واستحالته فكلّ جزء فرضته في ذلك المال قابل للقسمة إلى ما لا يتناهى ، ففي كلّ جزء يصحّ أن يقال نصفه لهذا الشريك ونصفه الآخر للآخر ، فهما شريكان في كلّ جزء من أجزاء ذلك المال المشترك ، وهذا المعنى هو المتفاهم العرفيّ من لفظ الشركة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بوجود الجزء الذي لا يتجزّى فيلزم من هذا الوجه محذور ، وهو </w:t>
      </w:r>
    </w:p>
    <w:p>
      <w:pPr>
        <w:pStyle w:val="BookText"/>
        <w:rPr/>
      </w:pPr>
      <w:r>
        <w:rPr>
          <w:rFonts w:ascii="Amiri" w:hAnsi="Amiri" w:eastAsia="Amiri" w:cs="Amiri"/>
          <w:color w:val="111111"/>
          <w:sz w:val="28"/>
          <w:sz w:val="28"/>
          <w:szCs w:val="28"/>
          <w:rtl w:val="true"/>
          <w:lang w:bidi="ar-SA"/>
        </w:rPr>
        <w:t>اجتماع مالكين على مال واحد ؛ لعدم إمكان أن يقال إنّ نصف هذا الجزء لهذا الشريك ونصفه الآخر للآخر ، لعدم تصوير النصف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يقول بإمكان الجزء الذي لا يتجزّى وأنّ كلّ جسم مركّب منه ، فلا بدّ له من الالتزام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لكلّ جزء من تلك الأجزاء مالكين ، أو يلتزم بأنّ بعض تلك الأجزاء لأحدهما والبعض الآخر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الثاني لا يلائم مع الإشاعة والشركة ؛ لأنّه بناء على الثاني مال كلّ واحد من الشريكين غير مال الآخر ، إلاّ أنّه غير متميّز خارجا ، فلا بدّ للقائل بالإشاعة والاشتراك من اختيار الوجه الأوّل ، وهو أن يكون لكلّ جزء مالكين ، وهو محال وباطل بالضرورة ، مضافا إلى أنّه لا يصدق عليه الشركة ولو التزم بذلك ؛ لأنّ مرجع هذا الوجه إلى أنّ تمام المال ملك لهذا الشريك وللآخر أيضا ، وهذا غير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أنّ بطلان الجزء الذي لا يتجزّى في عصرنا هذا ينبغي أن يعدّ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هذا الوجه والوجه الأوّل هو أنّه لو تلف مقدار من المال المشترك يكون التلف من كلّ واحد من الشريكين أو الشركاء ؛ وذلك لما قلنا من أنّ مرجع هذا الوجه إلى أنّه أيّ جزء فرضت في هذا المال يكون نصفه مثلا لهذا الشريك ، ونصفه الآخر للآخر ، وهكذا في سائر الكسور ، وفي سائر الفروض وإن كان الشركاء أزيد من اثنين ، فالتالف بعضه لهذا الشريك ، وبعضه الآخر للشريك الآخر أو الشركاء الآخرين ، فالتلف يكون من كيس جميع الشركاء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إذا قلنا إنّ نصف هذا المال لأحد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أنّ أنصاف جميع الأجزاء المفروضة فيه له ، فلو تلف جزء من تلك الأجزاء المفروضة فتلف نصف ذلك التالف من كلّ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الأوّل فالنصف الكلّي لأحد الشريكين ، وكذلك النصف الآخر للآخر ، فلو تلف نصف هذا المال لا يبقى لأحد الكلّيين مصداق ، فلا بدّ وأن يعيّن التالفة بالقرعة ؛ وذلك من جهة أنّه في المفروض للمال المشترك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النصف التالف ، وثانيهما النصف الباقي ، فيكون كلّ واحد من النصفين لأحد الشريكين بلا تعيين ، فلا مناص إلاّ التعيين بالقرعة التي عيّنها الشارع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ما ذكرنا تعلم أنّ الصحيح من هذه الوجوه هو الوجه الأخير ، أي الوجه الثالث ؛ إذ هو الذي يسلم عن النقوض والإشكالات ، وهو الذي يفهمه العرف من الشركة ، ومقتضاه كون القسمة إفراز الحقّ لا المعاوضة والمبادلة بين أموال الشركاء أو مالي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كسر من الكسور إذا أضيف إلى شي‌ء ، فيكون ما ينطبق عليه ذلك الكسر مصداقا حقيقيّا له ، مثلا إذا كان الكسر هو النصف مثلا ، فإذا أضيف إلى تمام المال ، فيكون كلّ نصف من أنصاف تمام ذلك المال مصداقا حقيقيّا لذلك الكسر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هاهنا شريكين في مال ، فإذا قسمنا تمام ذلك المال نصفين ، فكلّ واحد من النصفين مصداق حقيقي لمفهوم ذلك الكسر المشاع الذي هو نصف المال ، وكذلك الأمر في جميع أجزاء ذلك المال إذا قسمناها بقسمين ، يكون كلّ قسم منها مصداقا حقيقيّا لذلك الكسر المشاع الذي يملكه كلّ واحد من الشريكين من ذلك المال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ذكرنا بين ورود التقسيم على الكلّ ، أو على أيّ جزء من أجزاء ذلك المال المشترك ، نعم كون هذا القسم بخصوصه لهذا الشريك والآخر للآخر يحتاج إلى معيّن من قرعة أو تراضيهما ، فليس في باب القسمة مبادلة ومعاوضة في البين ، كي </w:t>
      </w:r>
      <w:bookmarkStart w:id="141" w:name="pg15947_151104"/>
    </w:p>
    <w:p>
      <w:pPr>
        <w:pStyle w:val="BookText"/>
        <w:rPr/>
      </w:pPr>
      <w:bookmarkEnd w:id="141"/>
      <w:r>
        <w:rPr>
          <w:rFonts w:ascii="Amiri" w:hAnsi="Amiri" w:eastAsia="Amiri" w:cs="Amiri"/>
          <w:color w:val="111111"/>
          <w:sz w:val="28"/>
          <w:sz w:val="28"/>
          <w:szCs w:val="28"/>
          <w:rtl w:val="true"/>
          <w:lang w:bidi="ar-SA"/>
        </w:rPr>
        <w:t>نتكلّم في أنّه إذا كان المال المشترك متّحد الجنس وكان من المكيل أو الموزون هل يأتي فيه الربا ، أم لا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6231952_2142443653"/>
      <w:bookmarkStart w:id="143" w:name="_Toc49"/>
      <w:bookmarkEnd w:id="142"/>
      <w:r>
        <w:rPr>
          <w:rtl w:val="true"/>
        </w:rPr>
        <w:t xml:space="preserve">الجهة الثالثة </w:t>
      </w:r>
      <w:r>
        <w:rPr>
          <w:rtl w:val="true"/>
        </w:rPr>
        <w:t xml:space="preserve">: </w:t>
      </w:r>
      <w:r>
        <w:rPr>
          <w:rtl w:val="true"/>
        </w:rPr>
        <w:t>في موارد الاستثناء عن هذه القاعدة</w:t>
      </w:r>
      <w:bookmarkEnd w:id="143"/>
    </w:p>
    <w:p>
      <w:pPr>
        <w:pStyle w:val="Heading4"/>
        <w:numPr>
          <w:ilvl w:val="3"/>
          <w:numId w:val="1"/>
        </w:numPr>
        <w:rPr/>
      </w:pPr>
      <w:bookmarkStart w:id="144" w:name="__RefHeading___Toc16231954_2142443653"/>
      <w:bookmarkStart w:id="145" w:name="_Toc50"/>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الوالد وولده ، بمعنى أنّه يجوز أن يأخذ الفضل كلّ واحد منهما من الآخر ، وإن كان العوضان في المعاملة التي تقع بينهما متّحدي الجنس أو في حكمه ، وكانا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المولى ومملوكه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 والحربي ، بمعنى أنّه يجوز للسلم أن يأخذ الفضل من الحربي ، لا أن يعطيه ، وأمّا غير الحربي سواء كان ذميّا أو معاهدا ، ففيه كلام نتكلّم فيه إن شاء اللّه تعالى ، ونسب الخلاف في هذه المسألة إلى المرتضى </w:t>
      </w:r>
      <w:r>
        <w:rPr>
          <w:rStyle w:val="FootnoteAnchor"/>
          <w:rtl w:val="true"/>
        </w:rPr>
        <w:footnoteReference w:id="294"/>
      </w:r>
      <w:r>
        <w:rPr>
          <w:rFonts w:ascii="Amiri" w:hAnsi="Amiri" w:eastAsia="Amiri" w:cs="Amiri"/>
          <w:color w:val="111111"/>
          <w:sz w:val="28"/>
          <w:sz w:val="28"/>
          <w:szCs w:val="28"/>
          <w:rtl w:val="true"/>
          <w:lang w:bidi="ar-SA"/>
        </w:rPr>
        <w:t xml:space="preserve">والأردبيلي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برجوع المرتضى عمّا قال ، وأنّه وافق المشهور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المدرك في هذا الحكم هو الأخبار ، وأمّا الإجماعات المدّعاة من الأعاظم في هذا المقام فمخدوش صغرى وكبرى ؛ لما ذكرنا مرارا من أنّ الاتّفاق مع وجود الروايات ليس من الإجماع المصطلح الذي بنينا في الأصول على حجّيته ، وأمّا الصغرى فلوجود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أن نذكر أخبار الباب ونرى مفادها ومقدار دلالتها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عمرو بن جميع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الرجل وولده ربا ، وليس بين السيّد وعبده ربا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بيننا وبين أهل حربنا ربا نأخذ منهم ألف ألف درهم بدرهم ، ونأخذ منهم ولا نعطيهم </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وروي هذه الرواية والتي قبلها بعدّة طرق في الجوامع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الرجل وولده وبينه وبين عبده ولا بين أهله ربا ، إنّما الربا فيما بينك وبين ما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فالمشركون بيني وبينهم ربا؟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مماليك؟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لست تملكهم ، إنّما تملكهم مع غيرك ، أنت وغيرك فيهم سواء ، فالذي بينك وبينهم ليس من ذلك ؛ لأنّ عبدك ليس مثل عبدك وعبد غيرك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المسلم وبين الذمّي ربا ، ولا بين المرأة وبين زوجها ربا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أنّه سأل أخاه موسى بن جعفر علیه السلام عن رجل أعطى عبده عشرة دراهم على أن يؤدّي العبد كلّ شهر عشرة دراهم ، أيحلّ ذلك؟ قال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الفقه الرضوي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الوالد وولده ربا ، ولا بين الزوج والمرأة ، ولا بين المولى والعبد ، ولا بين المسلم والذّمي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وإن ضعّفها الأردبيلي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كذلك ، ولا يخلو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عمل بها الأصحاب قديما وحديثا ، بل ادّعى بعضهم الإجماع على ما هو مضمونها ، حتّى أنّ صاحب الجواهر </w:t>
      </w:r>
      <w:r>
        <w:rPr>
          <w:rStyle w:val="FootnoteAnchor"/>
          <w:rtl w:val="true"/>
        </w:rPr>
        <w:footnoteReference w:id="303"/>
      </w:r>
      <w:r>
        <w:rPr>
          <w:rFonts w:ascii="Amiri" w:hAnsi="Amiri" w:eastAsia="Amiri" w:cs="Amiri"/>
          <w:color w:val="111111"/>
          <w:sz w:val="28"/>
          <w:sz w:val="28"/>
          <w:szCs w:val="28"/>
          <w:rtl w:val="true"/>
          <w:lang w:bidi="ar-SA"/>
        </w:rPr>
        <w:t xml:space="preserve">يقول إجماعا محكيّا مستفيضا إن لم يكن متواترا صريحا ظاهرا ، بل يمكن تحصيله إذ لا خلاف فيه إلاّ من المرتضى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عدل عن خلافه ووافق الباقين من الأصحاب ، وينقل عبارته من الانتصار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انفردت به الإماميّة القول بأنّه لا ربا بين الولد ووالده ، ولا بين الزوج وزوجته ، ولا بين الذمّي والمسلم ، ولا بين العبد ومولاه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باقي الفقهاء ثمَّ ينقل كلامه أنّه 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كتبت قديما في جواب مسائل وردت عليّ من الموصل وتأوّلت الأخبار التي يرويها أصحابنا المتضمّنة لنفي الربا بين 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الولد والوالد والزوج والزوجة والمولى والعبد والذمي والمسلم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بذلك وإن كان بلفظ الخبر معنى الأمر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يقع بين من ذكرناه ربا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كانَ آمِناً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مردودة والزّعيم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كلّه الأمر والنهي ، 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واعتمدنا في نصرة هذا المذهب على عموم ظاهر القرآن ، ثمَّ لمّا تأمّلت ذلك رجعت عن هذا المذهب ، لأنّي وجدت أصحابنا مجمعين على نفي الربا بين ما ذكرنا ، وغير مختلفين في وقت من الأوقات ، وإجماع هذه الطائفة قد ثبت أنّه حجّة ، ويخصّ به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كلام هذا الفقيه العظيم ، وأنّه رجع عن فتواه لمّا رأى من الإجماع والاتّفاق من الأصحاب على عدم ثبوت الربا في هذه الموارد الأربعة ، فمع اتّفاق الأصحاب على الفتوى بمضمون هذه الروايات لا يبقى مجال للشكّ في حجّيتها ؛ وذلك لحصول كمال الوثوق بصدورها واعتبارها لما ذكرنا في الأصول </w:t>
      </w:r>
      <w:r>
        <w:rPr>
          <w:rStyle w:val="FootnoteAnchor"/>
          <w:rtl w:val="true"/>
        </w:rPr>
        <w:footnoteReference w:id="307"/>
      </w:r>
      <w:r>
        <w:rPr>
          <w:rFonts w:ascii="Amiri" w:hAnsi="Amiri" w:eastAsia="Amiri" w:cs="Amiri"/>
          <w:color w:val="111111"/>
          <w:sz w:val="28"/>
          <w:sz w:val="28"/>
          <w:szCs w:val="28"/>
          <w:rtl w:val="true"/>
          <w:lang w:bidi="ar-SA"/>
        </w:rPr>
        <w:t>أنّ موضوع الحجّة هو خبر الموثوق الصدور ، لا خصوص خبر الثقة أو الصحيح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هو بيان دلالتها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ظاهر هذه الروايات نفي الربا بين الطوائف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الوالد والولد ، والمالك ومملوكه ، والزوج وزوجته ، والمسلم والكافر إمّا مطلقا وإن كان ذمّيا ، أو خصوص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أمثال هذه التراكيب التي يكون مفادها رفع موضوع خارجي بلا النافية للجنس ، يدور الأمر بين أمور ثلاثة بعد معلوميّة عدم رفعها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النفي بمعنى النهي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ومن الواضح أنّ هذا خلاف ظاهر النفي ، ولا يصار إليه إلاّ بدليل ، ولا دليل في المقام ، فلا مانع من الأخذ بظاهرها ، كما سنذكره إن شاء اللّه تعالى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المراد نفي الحكم بلسان نفي الموضوع ، كما قال بهذا جمع من المحقّقين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نفي الحرج ، وهذا أيضا خلاف ظاهر </w:t>
      </w:r>
    </w:p>
    <w:p>
      <w:pPr>
        <w:pStyle w:val="BookText"/>
        <w:rPr/>
      </w:pPr>
      <w:r>
        <w:rPr>
          <w:rFonts w:ascii="Amiri" w:hAnsi="Amiri" w:eastAsia="Amiri" w:cs="Amiri"/>
          <w:color w:val="111111"/>
          <w:sz w:val="28"/>
          <w:sz w:val="28"/>
          <w:szCs w:val="28"/>
          <w:rtl w:val="true"/>
          <w:lang w:bidi="ar-SA"/>
        </w:rPr>
        <w:t>الكلام ؛ وذلك لأنّ ظاهر الكلام هو أنّ المنفي والمرفوع نفس الموضوع ، لا حكمه تقديرا أو تجوّزا ؛ لعدم احتياج إلى التقدير ، وعدم قرينة على التجوّز ، بل عدم صحّة إرادة الحكم من الموضوع لعدم 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المرفوع هاهنا نفس الموضوع حقيقة ، غاية الأمر رفعا تشريعيّا لا رفعا تكوينيّا ، نعم نتيجة الرفع التشريعي هو ارتفاع الحكم ، وقد شرحنا هذا المطلب وأوضحناه في حديث الرفع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وفي شرح قاعدة لا ضرر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الربا في عالم التشريع في الموارد المذكورة مرجعه إلى نفي تحريمه ، ولكن بلسان نفى موضوعه حقيقة ، لا ادّعاء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هو نفس الربا في محلّ البحث ، ولكنّ النفي نفي تشريعيّ ، ومعنى النفي التشريعيّ كونه بمنزلة العدم في نظر الشارع ، أي عدم ترتّب أثر شرعي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ظهر لك اعتبار هذه الروايات وحجّيتها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القدماء لأجل صحّتها على ما هو المصطلح عندهم من صحّة جميع ما هو موجود في الكتب المعتبرة كالكتب الأربعة وغيرها ممّا هو معتبر عندهم ، وأمّا عند المتأخّرين فلأجل جبر ضعفها بالاتّفاق المذكور ، والإجماعات المنقولة عن أعاظم الفقهاء ، حتّى أنّ المرتضى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فتواه لأجل ذلك الإجماع ، وقد تقدّم ذكر هذا المطلب ، فلا يبقى مجال لما ذهب إليه ابن الجنيد </w:t>
      </w:r>
      <w:r>
        <w:rPr>
          <w:rStyle w:val="FootnoteAnchor"/>
          <w:rtl w:val="true"/>
        </w:rPr>
        <w:footnoteReference w:id="312"/>
      </w:r>
      <w:r>
        <w:rPr>
          <w:rFonts w:ascii="Amiri" w:hAnsi="Amiri" w:eastAsia="Amiri" w:cs="Amiri"/>
          <w:color w:val="111111"/>
          <w:sz w:val="28"/>
          <w:sz w:val="28"/>
          <w:szCs w:val="28"/>
          <w:rtl w:val="true"/>
          <w:lang w:bidi="ar-SA"/>
        </w:rPr>
        <w:t>من حرمة الربا حتّى في هذه الموارد الأربعة المتقدّمة ، مستندا إلى عمومات الكتاب ؛ إذ بعد الفراغ عن جواز تخصيص عمومات الكتاب وتقييد مطلقاتها بالخبر الواحد الحجّة ، وبعد الفراغ عن حجيّة هذه الأخبار لما ذكرنا ، فالعمومات تخصّص ، والمطلقات تقيّد</w:t>
      </w:r>
      <w:r>
        <w:rPr>
          <w:rFonts w:eastAsia="Amiri" w:cs="Amiri" w:ascii="Amiri" w:hAnsi="Amiri"/>
          <w:color w:val="111111"/>
          <w:sz w:val="28"/>
          <w:szCs w:val="28"/>
          <w:rtl w:val="true"/>
          <w:lang w:bidi="ar-SA"/>
        </w:rPr>
        <w:t xml:space="preserve">. </w:t>
      </w:r>
      <w:bookmarkStart w:id="146" w:name="pg15947_151109"/>
    </w:p>
    <w:p>
      <w:pPr>
        <w:pStyle w:val="BookText"/>
        <w:rPr/>
      </w:pPr>
      <w:bookmarkEnd w:id="146"/>
      <w:r>
        <w:rPr>
          <w:rFonts w:ascii="Amiri" w:hAnsi="Amiri" w:eastAsia="Amiri" w:cs="Amiri"/>
          <w:color w:val="111111"/>
          <w:sz w:val="28"/>
          <w:sz w:val="28"/>
          <w:szCs w:val="28"/>
          <w:rtl w:val="true"/>
          <w:lang w:bidi="ar-SA"/>
        </w:rPr>
        <w:t xml:space="preserve">وأيضا لا يبقى مجال لما ذكره الأردبيلي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314"/>
      </w:r>
      <w:r>
        <w:rPr>
          <w:rFonts w:ascii="Amiri" w:hAnsi="Amiri" w:eastAsia="Amiri" w:cs="Amiri"/>
          <w:color w:val="111111"/>
          <w:sz w:val="28"/>
          <w:sz w:val="28"/>
          <w:szCs w:val="28"/>
          <w:rtl w:val="true"/>
          <w:lang w:bidi="ar-SA"/>
        </w:rPr>
        <w:t>من المناقشات في حجّية هذه الأخبار ؛ إذ حجّيتها واضحة ، ودلالتها على عدم حرمة الربا في هذه الموارد أوضح ، فلا وجه للتشكيك في حجّيتها أو دلالتها ، أو كونها مخصّصة للعمومات ومقيّدة للمطلقات ؛ إذ جميع هذه الأمور ثابتة بالأدلّة والبراهين القاطعة ، وعلى اللّه التوكل وبه الاعتصام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6231956_2142443653"/>
      <w:bookmarkStart w:id="148" w:name="_Toc51"/>
      <w:bookmarkEnd w:id="147"/>
      <w:r>
        <w:rPr>
          <w:rtl w:val="true"/>
        </w:rPr>
        <w:t>ثمَّ إنّ هاهنا فروعا</w:t>
      </w:r>
      <w:bookmarkEnd w:id="14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هل يشمل الولد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رباء بين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لعدم الشمول إلاّ دعوى الانصراف ، وإلاّ فبحسب اللغة والعرف العامّ لا شكّ في أنّ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التوليد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الذكر والأنثى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بعض الأقطار لا يطلقون الولد على الأنثى ، ولذلك في مثل الأقارير والوصايا يجب الأخذ بعرف المقرّ والموصي ؛ وذلك لأنّ الإقرار والوصيّة عبارة عن إنشاء أمر مع قصده لذلك الأمر ، وإلاّ فصرف الإنشاء بلا قصد 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اللفظ الذي يصدر عن المتكلّم ظاهر في إرادته لما هو المتعارف عنده وعند بلده قصدهم من ذلك اللفظ حين الاستعمال ، وأمّا الألفاظ المستعملة في لسان الشارع والأئمة علیهم السلام ، فظاهر فيما هو معنى اللفظ عند العرف العامّ ؛ وذلك لأنّ خطاباتهم ليست متوجّهة إلى شخص خاصّ ، أو بلد وقطر خاصّ ، أو أهل زمان خاصّ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وأن يكون المعنى المراد من اللفظ هو ما يفهمه العرف في زمان صدور الكلام ، وهذا أصل جار في جميع الموارد ، وحيث أنّ العرف العامّ في مادّة الولد كما تقدّم </w:t>
      </w:r>
    </w:p>
    <w:p>
      <w:pPr>
        <w:pStyle w:val="BookText"/>
        <w:rPr/>
      </w:pPr>
      <w:r>
        <w:rPr>
          <w:rFonts w:ascii="Amiri" w:hAnsi="Amiri" w:eastAsia="Amiri" w:cs="Amiri"/>
          <w:color w:val="111111"/>
          <w:sz w:val="28"/>
          <w:sz w:val="28"/>
          <w:szCs w:val="28"/>
          <w:rtl w:val="true"/>
          <w:lang w:bidi="ar-SA"/>
        </w:rPr>
        <w:t>هو الأعمّ من الذكر والأنثى فلا وجه لاختصاصه بالذكر ، ودعوى الانصراف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أنّه لا فرق بين الولد أن يكون من صلبه وبلا واسطة ، وبين ولد الولد ، أي ولد الابن ، وذلك لعموم اللفظ وشموله لكليهما ، وإن كان العلاّمة </w:t>
      </w:r>
      <w:r>
        <w:rPr>
          <w:rStyle w:val="FootnoteAnchor"/>
          <w:rtl w:val="true"/>
        </w:rPr>
        <w:footnoteReference w:id="315"/>
      </w:r>
      <w:r>
        <w:rPr>
          <w:rFonts w:ascii="Amiri" w:hAnsi="Amiri" w:eastAsia="Amiri" w:cs="Amiri"/>
          <w:color w:val="111111"/>
          <w:sz w:val="28"/>
          <w:sz w:val="28"/>
          <w:szCs w:val="28"/>
          <w:rtl w:val="true"/>
          <w:lang w:bidi="ar-SA"/>
        </w:rPr>
        <w:t xml:space="preserve">والمحقّق </w:t>
      </w:r>
      <w:r>
        <w:rPr>
          <w:rStyle w:val="FootnoteAnchor"/>
          <w:rtl w:val="true"/>
        </w:rPr>
        <w:footnoteReference w:id="316"/>
      </w:r>
      <w:r>
        <w:rPr>
          <w:rFonts w:ascii="Amiri" w:hAnsi="Amiri" w:eastAsia="Amiri" w:cs="Amiri"/>
          <w:color w:val="111111"/>
          <w:sz w:val="28"/>
          <w:sz w:val="28"/>
          <w:szCs w:val="28"/>
          <w:rtl w:val="true"/>
          <w:lang w:bidi="ar-SA"/>
        </w:rPr>
        <w:t xml:space="preserve">والشهيد </w:t>
      </w:r>
      <w:r>
        <w:rPr>
          <w:rStyle w:val="FootnoteAnchor"/>
          <w:rtl w:val="true"/>
        </w:rPr>
        <w:footnoteReference w:id="317"/>
      </w:r>
      <w:r>
        <w:rPr>
          <w:rFonts w:ascii="Amiri" w:hAnsi="Amiri" w:eastAsia="Amiri" w:cs="Amiri"/>
          <w:color w:val="111111"/>
          <w:sz w:val="28"/>
          <w:sz w:val="28"/>
          <w:szCs w:val="28"/>
          <w:rtl w:val="true"/>
          <w:lang w:bidi="ar-SA"/>
        </w:rPr>
        <w:t>الثانيان قالوا باختصاص الحكم بالولد بلا واسطة ، نعم يمكن أن يقال بانصرافه عن ولد البنت ، وإن كان اللفظ بحسب الوضع أعمّ من ولد الابن والبنت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دعوى الانصراف هاهنا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بالولد الصلبي ، أو يشمل الولد الرضاعي؟</w:t>
      </w:r>
    </w:p>
    <w:p>
      <w:pPr>
        <w:pStyle w:val="BookText"/>
        <w:rPr/>
      </w:pPr>
      <w:r>
        <w:rPr>
          <w:rFonts w:ascii="Amiri" w:hAnsi="Amiri" w:eastAsia="Amiri" w:cs="Amiri"/>
          <w:color w:val="111111"/>
          <w:sz w:val="28"/>
          <w:sz w:val="28"/>
          <w:szCs w:val="28"/>
          <w:rtl w:val="true"/>
          <w:lang w:bidi="ar-SA"/>
        </w:rPr>
        <w:t>الظاهر عدم الشمول ؛ وذلك من جهة أنّ الولد الرضاعي ليس بولد للأب الرضاعيّ حقيقة ، إذ لم يلده ، وإنّما هو تنزيل من قبل الشارع ، فيحتاج إلى إثبات 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لحمة كلحمة النسب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لا يثبت التنزيل من حيث جميع الآثار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شموله لولد الزنا فبحسب العرف واللغة فلا إشكال فيه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في مورد الشكّ ، وأمّا مع القطع بأنّه خلق من مائه فلا شك في أنّ هذه القاعدة لا تنفي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ورد في باب إرثه وأنّه لا يرث ، فهذا حكم خاصّ لا ربط له بنفس النسبة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انصراف الولد عن ولد الزنا في موضوعيّته لهذا الحكم ، فدعوى بلا دليل ، نعم الأحوط الاجتناب عن ارتكاب الربا بينهما ، فإنّه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هذا الحكم للذكر والأنثى جميعا كما هو المختار ، وبناء على أنّ الخنثى ليس طبيعة ثالثة كما هو المختار ، بل هو إمّا ذكر أو أنثى وأمّا كونه مشكلا إنّما هو في مقام الإثبات لا في مقام الثبوت ، يكون الخنثى أيضا مشمولا لهذا الحكم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 فلا يكون بمنزلة الأب قطعا ؛ لعدم شمول الرواية لها ، وليس دليل آخر من إجماع أو غيره في البين ، فيجب الأخذ بالنسبة إليها بعمومات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ادّعاء أنّ قوله علیه السلام في ما حكيناه عن الفقه 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الوالد وولده ربا </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وأيضا ما قاله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وممّا انفردت به الإماميّة القول بأنّه لا ربا بين الوالد وولده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أنّ المراد من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بصيغة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الأب والأمّ ، ممّا لا ينبغي الإصغاء إليه ؛ لأنّ الوالد لفظ موضوع للأب ، ولا يطلق على الأمّ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عمرو بن جميع ورواية زرارة </w:t>
      </w:r>
      <w:r>
        <w:rPr>
          <w:rStyle w:val="FootnoteAnchor"/>
          <w:rtl w:val="true"/>
        </w:rPr>
        <w:footnoteReference w:id="322"/>
      </w:r>
      <w:r>
        <w:rPr>
          <w:rFonts w:ascii="Amiri" w:hAnsi="Amiri" w:eastAsia="Amiri" w:cs="Amiri"/>
          <w:color w:val="111111"/>
          <w:sz w:val="28"/>
          <w:sz w:val="28"/>
          <w:szCs w:val="28"/>
          <w:rtl w:val="true"/>
          <w:lang w:bidi="ar-SA"/>
        </w:rPr>
        <w:t>فصرّح فيهما بأنّه ليس بين الرجل وولده ربا ، وليس فيهما ما يتوهّم إمكان انطباقه على الأمّ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الفروع التي ذكرناها كلّها كانت راجعة إلى المورد الأوّل من الموارد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وهاهنا فروع راجعة إلى المورد الثاني من تلك الموارد ، أي عدم الربا بين السيّد وعبده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فرق بين العبد المكاتب وبين غيره أم لا؟</w:t>
      </w:r>
    </w:p>
    <w:p>
      <w:pPr>
        <w:pStyle w:val="BookText"/>
        <w:rPr/>
      </w:pPr>
      <w:r>
        <w:rPr>
          <w:rFonts w:ascii="Amiri" w:hAnsi="Amiri" w:eastAsia="Amiri" w:cs="Amiri"/>
          <w:color w:val="111111"/>
          <w:sz w:val="28"/>
          <w:sz w:val="28"/>
          <w:szCs w:val="28"/>
          <w:rtl w:val="true"/>
          <w:lang w:bidi="ar-SA"/>
        </w:rPr>
        <w:t>وجه الفرق هو أنّ المكاتب يملك ما يحصّله بالكسب ، فيكون في حكم سائر الناس ، ويحرم عليه أخذ الربا والفضل منه ، وأمّا غير المكاتب فلا يملك وماله مال سيده ؛ فلذلك يجوز أخذ السيّد عنه لأنّ أدلّة حرمة الربا منصرفة إلى أخذ مال الغير لا مال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المكاتب حيث أنّه يملك ، فيشمله أدلّة حرمة الربا ، ولا يجوز أخذ الفضل منه ، ومن هذه الجهة يكون كسائر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أنت خبير بأنّه بناء على أنّ العبد لا يملك ، لا يبقى محلّ للبحث في أنّه يجوز أخذ الفضل والربا عنه أم لا ، ولا يبقى مورد لقوله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ربا بين السيّد وعبده </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إلاّ المكاتب ، لا أنّه يجوز الأخذ عن غير المكاتب ولا يجوز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الفرق بين أقسام العبد من القنّ والمدبّر والمكاتب ، وحتّى أمّ الولد ، بناء على عدم اختصاص هذا الحكم بالرجل وشموله للأمة ، كما هو الأظهر وإن كان الأحوط عدم الأخذ عنها ، كلّ ذلك لأجل إطلاق النصّ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 رواية زرارة ومحمّد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الرجل وولده ، ولا بينه وبين مملوكه ربا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واحد من الوجهين فيه إطلاق يشمل جميع أقسام العبد ، وهذا حكم 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والوجوه التي ذكروها تعليلا لهذا الحكم ليست إلاّ وجوها استحسانيّة لا اعتبار بها في إثبات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بين كون المولى رجلا أو امرأة ، وقوله علیه السلام في رواية زرارة ومحمّد بن مسلم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الرجل وولده ، ولا بينه وبين مملوكه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الجري علي الغالب ، كما هو المتعارف في بيان أكثر الأحكام ، لا لخصوصيّة في الرجل ،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مشتركا أو مبعّضا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المشترك بين مالكين أو أكثر ، فيصدق بالنسبة إلى كلّ واحد من المالكين أو الملاّك أنّه عبده ، خصوصا بالنسبة إلى حصّته منه ، فلو باع شيئا منه مع الفضل وفرضنا أنّ له نصف العبد فيملك نصف الفضل مع تمام الثمن إذا كان البائع هو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صدق أنّه باع هذا المقدار من عبده مع الفضل والربا ، ولا رباء بين السيّد وعبده ، بل يمكن أن يقال بأنّه يملك تمام الثمن وتمام الفضل ؛ لأنّه عبده ولا رباء بين السيّد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بعيد ؛ لأنّه ليس تمام العبد ملكه ، بل لا يملك إلاّ نصفه مثلا ولو كان المثمن لمالكين أحدهما مالك العبد بتمامه ، أو كان مالكا لنصفه ، فيمكن القول بصحّة المعاملة بالنسبة إلى النصف لصدق البيع من عبده مع الفضل بالنسبة إلى النصف ، والربا بالنسبة إليه لا يوجب البطلان ، نعم بالنسبة إلى النصف الآخر باطل ؛ لأنّه بيع ربويّ وداخل في المستثنى منه ، ولا استثناء بالنسبة إليه ؛ لأنّه ليس بسيّده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حصل الشكّ في شمول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رباء بين العبد وسيّده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العبد المشترك أو المبعّض أو المكاتب أو المدبّر أو أمّ الولد ، ولم يكن إطلاق يرفع حكم الشكّ ، فمقتضى القاعدة هو الرجوع إلى عمومات أدلّة حرمة الربا ، كما هو الشأن في جميع موارد الشكّ في الشبهة المفهوميّة للمخصّص للعمومات كما في المقام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أنت خبير بأنّ هذا صرف فرض في المقام ؛ لوضوح مفهوم السيّد والعبد في المقام وعدم خفاء فيه ، فالمالك بالنسبة إلى حصّته سيّد في العبد المشترك أو المبعّض ، كما أنّ العبد المشترك أو المبعّض بالنسبة إلى تلك الحصّة مملوك له يقينا ، وقد كان في رواية زرارة ومحمّد بن مسلم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 ومملوكه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في العبد المشترك ، والكلام في المبعّض عين الكلام في المشترك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يقال إنّ ذيل صحيحة زرارة ومحمّد بن مسلم نفي حلّية الربا في العبد المشترك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وإنّك لست تملكهم إنّما تملكهم مع غيرك ، أنت وغيرك فيهم سواء ، والذي بينك وبينهم ليس من ذلك ، لأنّ عبدك ليس مثل عبدك وعبد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منه علیه السلام بعد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فالمشركون بيني وبينهم ربا؟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مماليك؟ فأجاب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في أنّ ظاهر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جواب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فالمشركون بيني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ثبوت الربا إذا كان المملوك مشتركا بينك وبين غيرك ، ولكن يمكن أن يقال إنّ هذا الذيل لم يعمل الأصحاب به ؛ لمعارضته مع صدر الرواية ؛ لأنّ مفاد صدر الرواية عدم ثبوت الربا بين المسلمين ، والحربي والمشركون منهم ، بل الحكم في الكافر غير الذمّي إجماعي ، ولا شكّ في أنّ المشركين ليسوا بذمّيين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وجمع بعضهم بين ما مفاده عدم ثبوت الربا بين المسلم والكافر الحربي ، وهذا الذيل الذي يدلّ على الثبوت ، بحمل الطائفة الأولى على غير المعاهد من الحربي ، والثانية على المعاهد ؛ وذلك لأنّ المعاهد ماله محترم ، فيكون كالمسلم في ثبوت عدم جواز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الاحترام لا ينافي جواز أخذ الفضل ؛ لأنّ معنى الاحترام أن لا يأخذ ماله بدون رضاه وغصبا عليه ، وأمّا مع رضاه ورغبته فلا ، ولا شكّ أنّ الأخذ في المفروض برضائه ، فلا ينافي احترام ماله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الأصحاب عنه وحكمهم بعدم ثبوت الربا بين المسلم </w:t>
      </w:r>
    </w:p>
    <w:p>
      <w:pPr>
        <w:pStyle w:val="BookText"/>
        <w:rPr/>
      </w:pPr>
      <w:r>
        <w:rPr>
          <w:rFonts w:ascii="Amiri" w:hAnsi="Amiri" w:eastAsia="Amiri" w:cs="Amiri"/>
          <w:color w:val="111111"/>
          <w:sz w:val="28"/>
          <w:sz w:val="28"/>
          <w:szCs w:val="28"/>
          <w:rtl w:val="true"/>
          <w:lang w:bidi="ar-SA"/>
        </w:rPr>
        <w:t xml:space="preserve">والحربيّ سواء كان معاهدا أو غير 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الأخذ عنه لا إعطائه الفضل ساقط عن الاعتبار ، فلا يجوز الأخذ به ، والحكم بثبوت الربا في العبد المشترك والمبعّض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عدم جواز الأخذ لا لهذه الرواية بل للشكّ في صدق عنوان عبده ؛ لأنّه من المحتمل أن يكون صدق هذا العنوان منوطا بكون تمام العبد مملوكا له ، لا أن يكون مشتركا بينه وبين غيره ، أو مبعّضا يكون بعضه حرّا وبعضه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الفروع كانت في مسألة عدم الربا بين السيّد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الاستثناء الثالث ، أي عدم ثبوت الربا بين الزوج وزوجته ففيه فروع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هل هذا الحكم مختصّ بالزوجة الدائمة ، أم لا فرق بينها وبين كونها متعة وموقّتة؟</w:t>
      </w:r>
    </w:p>
    <w:p>
      <w:pPr>
        <w:pStyle w:val="BookText"/>
        <w:rPr/>
      </w:pPr>
      <w:r>
        <w:rPr>
          <w:rFonts w:ascii="Amiri" w:hAnsi="Amiri" w:eastAsia="Amiri" w:cs="Amiri"/>
          <w:color w:val="111111"/>
          <w:sz w:val="28"/>
          <w:sz w:val="28"/>
          <w:szCs w:val="28"/>
          <w:rtl w:val="true"/>
          <w:lang w:bidi="ar-SA"/>
        </w:rPr>
        <w:t xml:space="preserve">لا شكّ في أنّ الزوجة غير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حقيقة ، بل استظهرنا من الأدلّة أنّهما حقيقة واحدة ، وكونها موقّتة أو دائمة من المصنّفات لا من المنوّعات ، ولذلك حين العقد والإنشاء لو نسي ذكر الأجل ولم يذكر تقع دائمة ؛ لأنّ الدوام ينتزع من عدم التقييد بالأجل وإطلاق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المرأة وزوجها ربا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يصدق على المنقطعة حقيقة ، ولكنّ الكلام في أنّه هل ينصرف إلى الدائمة أم 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بعض بين كون مدّة التمتع قليلة كساعة أو ساعتين ، وبين ما كانت كثيرة كسنة أو سنتين بل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هذا التفصيل هو دعوى الانصراف في الأوّل دون الثاني ، فإذا كان زمان التمتع قليلا لا يراها العرف زوجة أو أهلا ، والشارع </w:t>
      </w:r>
    </w:p>
    <w:p>
      <w:pPr>
        <w:pStyle w:val="BookText"/>
        <w:rPr/>
      </w:pPr>
      <w:r>
        <w:rPr>
          <w:rFonts w:ascii="Amiri" w:hAnsi="Amiri" w:eastAsia="Amiri" w:cs="Amiri"/>
          <w:color w:val="111111"/>
          <w:sz w:val="28"/>
          <w:sz w:val="28"/>
          <w:szCs w:val="28"/>
          <w:rtl w:val="true"/>
          <w:lang w:bidi="ar-SA"/>
        </w:rPr>
        <w:t>جعل موضوع الحكم بعدم تحريم الربا بينهما أحد هذين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بهذا التفصيل ، ولعلّ المتفاهم العرفي يساعد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الآخر بالفرق بين ما إذا اتّخذها أهلا كالزوجة الدائمة وبين ما لم يكن كذلك ، فأيضا 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المطلّقة رجعيّة في حال بقاء عدّتها تكون بحكم الزوجة في هذا الحكم ، أم لا؟</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المطلّقة رجعيّة وإن كانت زوجة ، إلاّ أنّه قد يمنع صدق الأهل عليها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منه مبني على ما يقول من أنّه بين مفهوم الزوجة ومفهوم الأهل عموم وخصوص من وجه ، فربّما تكون زوجة ولا يصدق عليها الأهل ، كالمتعة التي مدّتها قليلة جدّا ، كساعة مثلا ، فهي شرعا زوجة في تلك المدّة القليلة ، ولا يصدق عليها الأهل ، وربما تكون المرأة أهلا وليست بزوجة ، كبنته وأخته وغير ذلك من أقربائه ، ومورد الاجتماع واضح كالمرأة التي تزوّجها بالعقد الدائم ، وهي ربه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كان موضوع الحكم عامّين من وجه ، كالعدم والعادل ، فلا بدّ من اجتماعهما في ثبوت الحكم ؛ ففي ما نحن فيه لا بدّ من اجتماع الزوجيّة والأهليّة لثبوت عدم حرمة الربا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الرجل وولده ، ولا بينه وبين مملوكه ، ولا بينه وبين أهله ربا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الزوجة ، وليس الأهل بالمعنى الأعمّ ، فهما مفهومان متساويان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إشكال إلحاق المطلقة رجعة بالزوجة في هذا الحكم أنّه منوط بكون </w:t>
      </w:r>
    </w:p>
    <w:p>
      <w:pPr>
        <w:pStyle w:val="BookText"/>
        <w:rPr/>
      </w:pPr>
      <w:r>
        <w:rPr>
          <w:rFonts w:ascii="Amiri" w:hAnsi="Amiri" w:eastAsia="Amiri" w:cs="Amiri"/>
          <w:color w:val="111111"/>
          <w:sz w:val="28"/>
          <w:sz w:val="28"/>
          <w:szCs w:val="28"/>
          <w:rtl w:val="true"/>
          <w:lang w:bidi="ar-SA"/>
        </w:rPr>
        <w:t>التنزيل عامّا وبلحاظ جميع آثار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هذا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الاستثناء الرابع ، أي عدم الربا بين المسلم والحربيّ ففيه أيضا 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يجوز الأخذ منهم ولا يجوز إعطاء الفضل لهم ؛ وذلك لما رواه الصدوق مرسلا ، وفي الكافي مسندا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بيننا وبين أهل حربنا ربا ، نأخذ منهم ألف ألف درهم بدرهم ، ونأخذ منهم ولا نعطيهم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الرواية على تقدير تسليم ضعفها ، تكون منجبرة بعمل الأصحاب ، فلا مانع فيها من حيث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منها عدم حرمة أخذ الفضل على المسلم لا الحربيّ ، فلا تدلّ على صحّة المعاملة التي وقعت بينهما ؛ لأنّ جواز أخذ الفضل منهم لازم أعمّ بالنسبة إلى صحّة المعاملة ؛ إذ يمكن أن يكون من جهة عدم احترام ما لهم ، وإن كانت المعاملة باطلة على حسب العمومات والمطلقات الواردة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الأخذ من الكافر غير الذمّي المعاهد أيّام المعاهدة ، أو ممّن أعطوا الأمان أيّام أمانهم ، أم لا؟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جواز أخذ الفضل من الحربي إمّا الإجماع وإمّا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على تقدير ثبوته وحصوله وحجّيته في المقام ، فالقدر المتيقّن منه هو ثبوته في غير المعاهد ومن أعطى له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الرواية فالمناط هو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أهل حربنا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وأن لا يكون منصرفا عن المعاهد ومن أعطى له الأمان ، فإن أطلق فيجوز الأخذ منهم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إلى 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نأخذ منهم ولا نعطيهم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أنهم ليسوا </w:t>
      </w:r>
    </w:p>
    <w:p>
      <w:pPr>
        <w:pStyle w:val="BookText"/>
        <w:rPr/>
      </w:pPr>
      <w:r>
        <w:rPr>
          <w:rFonts w:ascii="Amiri" w:hAnsi="Amiri" w:eastAsia="Amiri" w:cs="Amiri"/>
          <w:color w:val="111111"/>
          <w:sz w:val="28"/>
          <w:sz w:val="28"/>
          <w:szCs w:val="28"/>
          <w:rtl w:val="true"/>
          <w:lang w:bidi="ar-SA"/>
        </w:rPr>
        <w:t>بمالكين ، وإنّما يكون أموالهم فيئا للمسلمين ، فلا احترام لأموالهم ولا لنفوسهم ، وأمّا المعاهد ومن أعطى له الأمان فلأموالهم ونفوسهم احترام ظاهريّ حسب المعاهدة وحسب الأمان ، وإلاّ لا يجعلهم مالكا حقيقيّا واقعيّا ، فإذا أخذ منهم برضاهم من دون أن يكون مخالفا للوفاء بالمعاهدة أو الأمان الذي أعطى لهم ، فلا يكون في الأخذ منهم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الفضل والربا من الذمّي أم لا؟</w:t>
      </w:r>
    </w:p>
    <w:p>
      <w:pPr>
        <w:pStyle w:val="BookText"/>
        <w:rPr/>
      </w:pPr>
      <w:r>
        <w:rPr>
          <w:rFonts w:ascii="IRNazanin" w:hAnsi="IRNazanin" w:eastAsia="IRNazanin"/>
          <w:color w:val="111111"/>
          <w:sz w:val="28"/>
          <w:sz w:val="28"/>
          <w:szCs w:val="28"/>
          <w:rtl w:val="true"/>
          <w:lang w:bidi="fa-IR"/>
        </w:rPr>
        <w:t xml:space="preserve">الأشهر بل المشهور عدم الجواز ، وهذا أيضا مقتضى القواعد والأدلّة الأوّلية الدالّة على تحريم مطلق الربا من أيّ شخص كان ، وأيضا مقتضى الأدلّة التي مفادها احترام مال الذمّي ونفسه وعرضه ما دام يعمل بشرائط الذمّة ، وعدم 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بيننا وبين أهل حربنا 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في المقام ما يدلّ على جواز الأخذ منهم إلاّ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المسلم والذمّي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في حدّ نفسه ، ولا جابر له مع إعراض المشهور عنه ؛ ولذلك حمله بعض الأصحاب على الذمّي الخارج عن الذمّة ؛ لعدم الوفاء بشرائطها ، كما قاله في الوسائل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الذمّي بالمعنى المصطلح بين الفقهاء المتّخذ من الأخبار والأحاديث قليل الوجود أو عديمه ، والكفّار الموجودون في بلاد الإسلام في هذه الأزمان لا ينطبق عليهم أحكام الذمّة ؛ لعدم تحقّق الموضوع ، بل هم داخلون إمّا في المعاهدين كما هو الغالب ، أو فيمن أعطى له الأمان ، وعلى كلّ واحد من التقديرين أموالهم ونفوسهم وأعراضهم محترمة ، لا يجوز الأخذ منهم بالقهر وجبرا ، ولا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برضاهم المعاملي فلا ينافي الاحترام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ذكرنا يجوز أخذ الفضل في المعاملة الربويّة من الكتابيّين </w:t>
      </w:r>
      <w:bookmarkStart w:id="149" w:name="pg15947_151119"/>
    </w:p>
    <w:p>
      <w:pPr>
        <w:pStyle w:val="BookText"/>
        <w:rPr/>
      </w:pPr>
      <w:bookmarkEnd w:id="149"/>
      <w:r>
        <w:rPr>
          <w:rFonts w:ascii="Amiri" w:hAnsi="Amiri" w:eastAsia="Amiri" w:cs="Amiri"/>
          <w:color w:val="111111"/>
          <w:sz w:val="28"/>
          <w:sz w:val="28"/>
          <w:szCs w:val="28"/>
          <w:rtl w:val="true"/>
          <w:lang w:bidi="ar-SA"/>
        </w:rPr>
        <w:t>الموجودين في بلاد الإسلام في هذه الأزمان ، ولا يجوز إعطاؤهم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6231958_2142443653"/>
      <w:bookmarkStart w:id="151" w:name="_Toc52"/>
      <w:bookmarkEnd w:id="150"/>
      <w:r>
        <w:rPr>
          <w:rtl w:val="true"/>
        </w:rPr>
        <w:t>الجهة الرابعة</w:t>
      </w:r>
      <w:bookmarkEnd w:id="151"/>
    </w:p>
    <w:p>
      <w:pPr>
        <w:pStyle w:val="BookText"/>
        <w:rPr/>
      </w:pPr>
      <w:r>
        <w:rPr>
          <w:rFonts w:ascii="IRNazanin" w:hAnsi="IRNazanin" w:eastAsia="IRNazanin"/>
          <w:color w:val="111111"/>
          <w:sz w:val="28"/>
          <w:sz w:val="28"/>
          <w:szCs w:val="28"/>
          <w:rtl w:val="true"/>
          <w:lang w:bidi="fa-IR"/>
        </w:rPr>
        <w:t xml:space="preserve">في بيان الطرق التي يمكن التخلّص من الربا بأعمالها فرارا عن الحرام إلى الحلال ، ومن الباطل إلى الحقّ ، كما أنّه ورد في الصحيح عن أبي عبد اللّه الصادق علیه السلام فقلت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أشترى ألف درهم ودينار بألفي درهم؟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إنّ أبي كان أجرء على أهل المدينة منّي ، وكان يقول هذا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الفرار لو جاء رجل بدينار لم يعط ألف درهم ، ولو جاء بألف درهم لم يعط ألف دينار ، وكان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الفرار من الحرام إلى الحلال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 </w:t>
      </w:r>
      <w:r>
        <w:rPr>
          <w:rStyle w:val="FootnoteAnchor"/>
          <w:rtl w:val="true"/>
        </w:rPr>
        <w:footnoteReference w:id="331"/>
      </w:r>
      <w:r>
        <w:rPr>
          <w:rFonts w:ascii="IRNazanin" w:hAnsi="IRNazanin" w:eastAsia="IRNazanin"/>
          <w:color w:val="111111"/>
          <w:sz w:val="28"/>
          <w:sz w:val="28"/>
          <w:szCs w:val="28"/>
          <w:rtl w:val="true"/>
          <w:lang w:bidi="fa-IR"/>
        </w:rPr>
        <w:t xml:space="preserve">بهذا المضمون من مدحهم علیهم السلام إعمال الحيل للفرار عن الحرام ، وعلى كلّ حال ذكر الفقهاء أمورا للفرار عن 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ضمّ ضميمة من غير جنس العوضين إلى أحدهما أو إلى كليهما كي تقع تلك الضميمة مقابل الفضل الذي يأخذ من ذلك الطرف كما كان في مورد السؤال في الصحيح المتقدّم ، وقدم شرحنا هذا الفرع مفصّلا فيما تقدّم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سلعته من الآخر الذي هو طرفه في المعاملة الربويّة بغير جنس سلعته ، ثمَّ يشتري بذلك الجنس أيّ مقدار يريد من جنس سلعته زائدا كان على سلعته بحسب الكميّة ، أو ناقصا عنها ، أو مساويا لها ، فلا يكون رباء في البين ، لعدم اتّحاد جنس العوضين الذي هو الشرط الأساسي في تحقّق الربا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أراد أن يبدّل جنسه الجيّد بالردي من ذلك الجنس مع الاختلاف في </w:t>
      </w:r>
    </w:p>
    <w:p>
      <w:pPr>
        <w:pStyle w:val="BookText"/>
        <w:rPr/>
      </w:pPr>
      <w:r>
        <w:rPr>
          <w:rFonts w:ascii="Amiri" w:hAnsi="Amiri" w:eastAsia="Amiri" w:cs="Amiri"/>
          <w:color w:val="111111"/>
          <w:sz w:val="28"/>
          <w:sz w:val="28"/>
          <w:szCs w:val="28"/>
          <w:rtl w:val="true"/>
          <w:lang w:bidi="ar-SA"/>
        </w:rPr>
        <w:t>الكمّية ، وذلك كما إذا أراد أن يبيع وزنة من الأرز العنبر الذي عنده بوزنتين من الأرز النعيمة لغرض عقلائي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المعاملة لو كانت بالصورة التي ذكرناها ، أي الوزنة من أحدهما الجيّد بوزنتين من ذلك الردي‌ء تكون ربويّة ، فله أن يحتال بأن يبيع الوزنة الجيّدة التي عنده من العنبر بوزنتين من الحنطة مثلا ، ثمَّ يبيع الوزنتين من الحنطة بوزنتين من النعيمة ، فلا يتحقّق رباء مع أنّه وصل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يبيع تلك الوزنة التي عنده بالنقود ، مثل أن يبيعها بأربعة دنانير مثلا ، ثمَّ يشتري بتلك الأربعة دنانير وزنتين من النعيمة ، ولا يكون رباء في البين ، ويتخلّص منه بهذه الحيلة مع حصول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صحّة ما ذكرنا بين أن يشترط على المشتري الأوّل البيع الثاني ، أو لا يشترط ؛ لصحّة الشرط وعدم وجود المانع عن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حكى عن الشيخ قدس سره أنّ صحّة البيع الثاني بالشكل المذكور مشروط بأن لا يكون الثمن في البيع الثاني عين الثمن في البيع الأوّل ؛ وذلك لأنّ عوض العوض عوض ، فهذا العوض وإن لم يكن من جنس ما يأخذ مع الفضل ، ولكنّه حيث يكون عوضا عمّا يكون من جنسه فهو في حكمه ، فيتحقّق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لا أساس له ، من جهة أنّ الرّبا لا يثبت إلاّ بأن يكون العوضان في المعاملة من جنس واحد ، وليس عوض المبيع في البيع الأوّل ، أي الثمن في البيع الأوّل الذي يجعل عوضا في البيع الثاني من جنس عوضه في هذا البيع ، فلا رباء لا في البيع الأوّل ؛ لأنّه باع ماله بغير جنسه ، ولا في البيع الثاني ؛ لأنّه أيضا ليس فيه العوضان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عوض العوض عوض ، فهو كلام لا دليل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رواية يمكن أن يكون نظر الشيخ قدس سره ومن تبعه إلى تلك الرواية ، وهي </w:t>
      </w:r>
    </w:p>
    <w:p>
      <w:pPr>
        <w:pStyle w:val="BookText"/>
        <w:rPr/>
      </w:pPr>
      <w:r>
        <w:rPr>
          <w:rFonts w:ascii="IRNazanin" w:hAnsi="IRNazanin" w:eastAsia="IRNazanin"/>
          <w:color w:val="111111"/>
          <w:sz w:val="28"/>
          <w:sz w:val="28"/>
          <w:szCs w:val="28"/>
          <w:rtl w:val="true"/>
          <w:lang w:bidi="fa-IR"/>
        </w:rPr>
        <w:t xml:space="preserve">رواية عليّ بن جعفر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له على آخر تمر أو شعير أو حنطة ، أيأخذ بقيمته دراهم؟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قوّمها دراهم فسد ؛ لأنّ الأصل الذي يشتري به دراهم ، فلا يصلح دراهم بدراهم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تدلّ على عدم جواز بيع هذه الأمور الثلاثة بالدراهم ، معلّلا بأنّها عوض الدراهم ، لأنّه اشتراها بها ، فلو باعها بالدراهم فكأنّه باع الدراهم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عين ما حكى عن الشيخ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أعرض عنها الأصحاب ولم يعملوا بها ، فلا يصحّ الاعتماد عليه ، مضافا إلى بعض المناقشات التي في دلالتها ومعارضتها ببعض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أحد العوضين المتجانسين المتماثلين في الكميّة وزنا أو كيلا يقرض الآخر ، وكذلك صاحب الآخر ، ثمَّ يتباريان ويسقط كلّ واحد منهما ذمّة الآخر ، ولا يخفى أنّه يلزم أن يكون الإقراض من كلّ واحد من الطرفين بدون أن يشترط الإقراض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 الطرفين المعاوضة والمبادلة بين المثلين في الكمّية ، والطرف الذي يعطى الفضل والزيادة يقصد كونها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يهب كلّ واحد منهما ماله للآخر من دون أن يشترط على صاحبه هبة ماله له ، كي يكون هبة بإزاء هبة ، وإلاّ يدخل في باب المعاوضات فيثبت الربا فيه ، 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اختصاص الربا بالبيع فقط ، بل يدخل في جميع المعاوضات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يصالح صاحب الزيادة مقدار الفضل لصاحبه ، ويشترط عليه أن يبيع ماله منه مثلا بمثل</w:t>
      </w:r>
      <w:r>
        <w:rPr>
          <w:rFonts w:eastAsia="Amiri" w:cs="Amiri" w:ascii="Amiri" w:hAnsi="Amiri"/>
          <w:color w:val="111111"/>
          <w:sz w:val="28"/>
          <w:szCs w:val="28"/>
          <w:rtl w:val="true"/>
          <w:lang w:bidi="ar-SA"/>
        </w:rPr>
        <w:t xml:space="preserve">. </w:t>
      </w:r>
      <w:bookmarkStart w:id="152" w:name="pg15947_151122"/>
    </w:p>
    <w:p>
      <w:pPr>
        <w:pStyle w:val="Heading3"/>
        <w:numPr>
          <w:ilvl w:val="2"/>
          <w:numId w:val="1"/>
        </w:numPr>
        <w:rPr/>
      </w:pPr>
      <w:bookmarkStart w:id="153" w:name="__RefHeading___Toc16231960_2142443653"/>
      <w:bookmarkStart w:id="154" w:name="_Toc53"/>
      <w:bookmarkEnd w:id="152"/>
      <w:bookmarkEnd w:id="153"/>
      <w:r>
        <w:rPr>
          <w:rtl w:val="true"/>
        </w:rPr>
        <w:t xml:space="preserve">الجهة الخامسة </w:t>
      </w:r>
      <w:r>
        <w:rPr>
          <w:rtl w:val="true"/>
        </w:rPr>
        <w:t xml:space="preserve">: </w:t>
      </w:r>
      <w:r>
        <w:rPr>
          <w:rtl w:val="true"/>
        </w:rPr>
        <w:t>في الربا في باب القرض</w:t>
      </w:r>
      <w:bookmarkEnd w:id="154"/>
    </w:p>
    <w:p>
      <w:pPr>
        <w:pStyle w:val="Heading4"/>
        <w:numPr>
          <w:ilvl w:val="3"/>
          <w:numId w:val="1"/>
        </w:numPr>
        <w:rPr/>
      </w:pPr>
      <w:bookmarkStart w:id="155" w:name="__RefHeading___Toc16231962_2142443653"/>
      <w:bookmarkStart w:id="156" w:name="_Toc54"/>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عبارة عن تمليك مال للآخر بالضمان ، وربما يقال بدل قولنا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بعوضه الواقعي ، وعلى كلّ حال لسنا في مقام بيان حقيقة القرض ، وأنّه من العقود اللازمة أو الجائزة ، ويجري فيه المعاطاة أم لا ، وأنّ المعاطاة فيه يوجب ملكية المستقرض لما اقترضه أو لا يوجب إلاّ الإباحة وإنّما الملكيّة تحصل بالتصرّف ؛ لأنّ هذه المذكورات محلّ بحثها كتاب القرض</w:t>
      </w:r>
    </w:p>
    <w:p>
      <w:pPr>
        <w:pStyle w:val="BookText"/>
        <w:rPr/>
      </w:pPr>
      <w:r>
        <w:rPr>
          <w:rFonts w:ascii="Amiri" w:hAnsi="Amiri" w:eastAsia="Amiri" w:cs="Amiri"/>
          <w:color w:val="111111"/>
          <w:sz w:val="28"/>
          <w:sz w:val="28"/>
          <w:szCs w:val="28"/>
          <w:rtl w:val="true"/>
          <w:lang w:bidi="ar-SA"/>
        </w:rPr>
        <w:t xml:space="preserve">وإنّما المهمّ في المقام هو أنّ أخذ المقرض عن المستقرض الزيادة عمّا أعطاه الذي يسمّى بالربا مطلقا حرام ، أو حرمته مشروط بشرط؟ وأيضا أنّ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المعاملة 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فاسدة إذا اشترط الزيادة ، أو أخذ الزيادة فقط حرام ، وأمّا المال الذي أقرضه المقرض فهو حلال ولا بأس به؟ وأنّه هل حرمة الزيادة فيما إذا اشترط ذلك ، أو حرام وإن لم يشترط؟</w:t>
      </w:r>
    </w:p>
    <w:p>
      <w:pPr>
        <w:pStyle w:val="BookText"/>
        <w:rPr/>
      </w:pPr>
      <w:r>
        <w:rPr>
          <w:rFonts w:ascii="Amiri" w:hAnsi="Amiri" w:eastAsia="Amiri" w:cs="Amiri"/>
          <w:color w:val="111111"/>
          <w:sz w:val="28"/>
          <w:sz w:val="28"/>
          <w:szCs w:val="28"/>
          <w:rtl w:val="true"/>
          <w:lang w:bidi="ar-SA"/>
        </w:rPr>
        <w:t xml:space="preserve">فهذه أمور نريد أن نتعرّض لها في هذا المقام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الحقّ في هذه الأمور موقوف على ذكر الأخبار الواردة في هذا الباب كي نستظهر منها ما هو الصحيح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في تفسيره بإسناده عن جعفر بن غياث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 رباءان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رباء حلال ، والآخر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الحلال فهو أن يقرض الرجل قرضا طمعا أن يزيده ويعوّضه بأكثر ممّا أخذه بلا شرط بينهما ، فإن أعطاه أكثر ممّا أخذه بلا شرط بينهما فهو مباح له ، وليس له عند اللّه ثواب فيما أقرضه ،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يَرْبُوا عِنْدَ اللّهِ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وأمّا الربا الحرام فهو الرجل </w:t>
      </w:r>
    </w:p>
    <w:p>
      <w:pPr>
        <w:pStyle w:val="BookText"/>
        <w:rPr/>
      </w:pPr>
      <w:r>
        <w:rPr>
          <w:rFonts w:ascii="Amiri" w:hAnsi="Amiri" w:eastAsia="Amiri" w:cs="Amiri"/>
          <w:color w:val="111111"/>
          <w:sz w:val="28"/>
          <w:sz w:val="28"/>
          <w:szCs w:val="28"/>
          <w:rtl w:val="true"/>
          <w:lang w:bidi="ar-SA"/>
        </w:rPr>
        <w:t xml:space="preserve">يقرض قرضا ويشترط أن يردّ أكثر ممّا أخذه ، فهذا هو الحرام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 في جواز أخذ الفضل والزيادة إذا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خالد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كانت لي عليه مائة درهم عددا قضانيها مائة درهم وزنا؟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الربا من قبل الشروط إنّما يفسده الشرط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الحلبي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أقرضت الدراهم ثمَّ أتاك بخير منها ، فلا بأس إذا لم يكن بينكما شرط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روايات كثيرة ، وقد عقد لها بابا في الوسائل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الروايات مرجعها إلى أنّ القابض يحلّ له قبض الفضل والزيادة أو ما هو الأجود إذا كان من غير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رواية خالد بن الحجّاج المتقدّم أنّ القرض الذي شرط فيه الزيادة أو ردّ الأجود ممّا أخذ تكون القرض والمعاملة فاسدة ؛ لقوله علیه السلام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يفسده الشرط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قرض يجرّ منفعة فهو حرام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فلا إطلاق له يشمل صورة عدم الاشتراط ، بل ظاهر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الاشتراط في ضمن عقد </w:t>
      </w:r>
    </w:p>
    <w:p>
      <w:pPr>
        <w:pStyle w:val="BookText"/>
        <w:rPr/>
      </w:pPr>
      <w:r>
        <w:rPr>
          <w:rFonts w:ascii="Amiri" w:hAnsi="Amiri" w:eastAsia="Amiri" w:cs="Amiri"/>
          <w:color w:val="111111"/>
          <w:sz w:val="28"/>
          <w:sz w:val="28"/>
          <w:szCs w:val="28"/>
          <w:rtl w:val="true"/>
          <w:lang w:bidi="ar-SA"/>
        </w:rPr>
        <w:t>القرض وإلاّ لا يصدق جرّ القرض إن كان المقترض من عند نفسه يعطي شيئا زائدا ، أو أجود ممّا أخذ ، أو منفعة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المقترض إن أعطى أجود ممّا أخذ أو أزيد منه بدون الشرط فجائز ، ولا يكون موجبا لفساد القرض ، بل ظاهر بعض الأخبار استحباب ذلك ، فيستحب إعطاء الزيادة إذا كان من غير شرط ، ويحلّ للمقرض أخذه وقبضه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إلى هذا يشير قول أبي جعفر علیه السلام في مرسلة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القرض ما جرّ منفعة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استحباب إعطاء الزيادة إنّ كان من غير شرط ، صحيحة عبد الرحمن ابن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يستقرض من الرجل الدراهم فيردّ عليه المثقال ، أو يستقرض المثقال فيردّ عليه الدراهم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يكن شرط فلا بأس ، وذلك هو الفضل إنّ أبي علیه السلام كان يستقرض الدراهم الفسولة فيدخل عليه الدراهم الجياد الجلال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ردّها على الذي استقرضتها منه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دراهمه كانت فسولة وهذه أجود خير منها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هذا هو الفضل فأعطه إيّاها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هو الفضل فأعطه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حسن هذا الفعل واستحبابه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 أخر بهذا المضمون وأصرح منها مذكورة في الوسائل وغيره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الزيادة قلنا إنّها حرام في القرض مع الشرط ، بل موجب لفساد القرض ، فإذا قبض المقترض المال الذي أقرضه المقرض يكون من المقبوض بالعقد الفاسد لا </w:t>
      </w:r>
      <w:bookmarkStart w:id="157" w:name="pg15947_151125"/>
    </w:p>
    <w:p>
      <w:pPr>
        <w:pStyle w:val="BookText"/>
        <w:rPr/>
      </w:pPr>
      <w:bookmarkEnd w:id="157"/>
      <w:r>
        <w:rPr>
          <w:rFonts w:ascii="Amiri" w:hAnsi="Amiri" w:eastAsia="Amiri" w:cs="Amiri"/>
          <w:color w:val="111111"/>
          <w:sz w:val="28"/>
          <w:sz w:val="28"/>
          <w:szCs w:val="28"/>
          <w:rtl w:val="true"/>
          <w:lang w:bidi="ar-SA"/>
        </w:rPr>
        <w:t>فرق بين أن تكون تلك الزيادة عينيّة ، أو عملا من المقترض للمقرض ، أو انتفاعا بمال المقترض ، أو تكون صفة زائدة في عوضه ، كما إذا شرط المقرض على المقترض أن يعطى دراهم جديدة وصحيحة عوض ما يعطيه من الدراهم المكسورة ، فجميع هذه الأمور مع الشرط رباء محرّم ، وتكون موجبة لفساد القرض كما هو مفاد الأخبار الصحيحة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فرق في كون الزيادة في القرض حراما وموجبة لفساد القرض مع الشرط بين أن يكون الشرط صريحا ومذكورا في متن العقد ، أو وقع المعاملة مبنيّا عليه ؛ وذلك لشمول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قرض يجرّ المنفعة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لكلتا الصورتين ، والخارج عن هذا العموم هو ما لم يكن شرط في البين لا صريحا ولا بحيث يقع العقد مبنيّا عليه</w:t>
      </w:r>
      <w:r>
        <w:rPr>
          <w:rFonts w:eastAsia="IRNazanin" w:cs="IRNazanin"/>
          <w:color w:val="111111"/>
          <w:sz w:val="28"/>
          <w:szCs w:val="28"/>
          <w:rtl w:val="true"/>
          <w:lang w:bidi="fa-IR"/>
        </w:rPr>
        <w:t>.</w:t>
      </w:r>
    </w:p>
    <w:p>
      <w:pPr>
        <w:pStyle w:val="Heading4"/>
        <w:numPr>
          <w:ilvl w:val="3"/>
          <w:numId w:val="1"/>
        </w:numPr>
        <w:rPr/>
      </w:pPr>
      <w:bookmarkStart w:id="158" w:name="__RefHeading___Toc16231964_2142443653"/>
      <w:bookmarkStart w:id="159" w:name="_Toc55"/>
      <w:bookmarkEnd w:id="158"/>
      <w:r>
        <w:rPr>
          <w:rtl w:val="true"/>
        </w:rPr>
        <w:t>خاتمة</w:t>
      </w:r>
      <w:bookmarkEnd w:id="159"/>
    </w:p>
    <w:p>
      <w:pPr>
        <w:pStyle w:val="BookText"/>
        <w:rPr/>
      </w:pPr>
      <w:r>
        <w:rPr>
          <w:rFonts w:ascii="Amiri" w:hAnsi="Amiri" w:eastAsia="Amiri" w:cs="Amiri"/>
          <w:color w:val="111111"/>
          <w:sz w:val="28"/>
          <w:sz w:val="28"/>
          <w:szCs w:val="28"/>
          <w:rtl w:val="true"/>
          <w:lang w:bidi="ar-SA"/>
        </w:rPr>
        <w:t xml:space="preserve">اعلم 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لا رباء إلاّ فيما يكال أو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في القرض ، بل شرط الزيادة مطلقا أيّ قسم كان من الزيادة عينيّة كانت أو صفة أو منفعة أو انتفاعا موجب لحرمة تلك الزيادة وفساد القرض ، وقد تقدّم جميع ذلك سواء كان المال الذي يقترضه من المكيل أو الموزون ، أو لم يكن منهما كالمعدود وما يباع مشاهدة أو مذروعا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قرض يجرّ منفعة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الكثيرة التي تقدّم بعضها أنّ الشرط يفسد القرض ، وفيها إطلاق يشمل المكيل والموزون وغيرهما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المراجعة إلى الروايات الواردة في باب القرض وأقوال الفقهاء والمحدّثين يوجب الاطمئنان بأنّ شرط الزيادة والنفع بالتفصيل المتقدّم موجب لحرمة تلك الزيادة وفساد القرض ، سواء كان المال الذي يقترضها المقترض من </w:t>
      </w:r>
    </w:p>
    <w:p>
      <w:pPr>
        <w:pStyle w:val="BookText"/>
        <w:rPr/>
      </w:pPr>
      <w:r>
        <w:rPr>
          <w:rFonts w:ascii="Amiri" w:hAnsi="Amiri" w:eastAsia="Amiri" w:cs="Amiri"/>
          <w:color w:val="111111"/>
          <w:sz w:val="28"/>
          <w:sz w:val="28"/>
          <w:szCs w:val="28"/>
          <w:rtl w:val="true"/>
          <w:lang w:bidi="ar-SA"/>
        </w:rPr>
        <w:t>الأجناس الربويّة ، أي من المكيل والموزون ،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الصواب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5947_151128"/>
      <w:bookmarkStart w:id="161" w:name="pg15947_151128"/>
      <w:bookmarkEnd w:id="161"/>
    </w:p>
    <w:p>
      <w:pPr>
        <w:pStyle w:val="Heading2"/>
        <w:numPr>
          <w:ilvl w:val="1"/>
          <w:numId w:val="1"/>
        </w:numPr>
        <w:rPr/>
      </w:pPr>
      <w:bookmarkStart w:id="162" w:name="pg15947_151128"/>
      <w:bookmarkStart w:id="163" w:name="__RefHeading___Toc16231966_2142443653"/>
      <w:bookmarkStart w:id="164" w:name="_Toc56"/>
      <w:bookmarkEnd w:id="162"/>
      <w:bookmarkEnd w:id="163"/>
      <w:r>
        <w:rPr/>
        <w:t>49</w:t>
      </w:r>
      <w:r>
        <w:rPr>
          <w:rtl w:val="true"/>
        </w:rPr>
        <w:t xml:space="preserve"> - </w:t>
      </w:r>
      <w:r>
        <w:rPr>
          <w:rtl w:val="true"/>
        </w:rPr>
        <w:t>قاعدة أصالة اللزوم في العقود</w:t>
      </w:r>
      <w:bookmarkEnd w:id="1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16231968_2142443653"/>
      <w:bookmarkStart w:id="166" w:name="_Toc57"/>
      <w:bookmarkEnd w:id="165"/>
      <w:r>
        <w:rPr>
          <w:rtl w:val="true"/>
        </w:rPr>
        <w:t>اشارة</w:t>
      </w:r>
      <w:bookmarkEnd w:id="1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947_151130"/>
      <w:bookmarkStart w:id="168" w:name="pg15947_151130"/>
      <w:bookmarkEnd w:id="168"/>
    </w:p>
    <w:p>
      <w:pPr>
        <w:pStyle w:val="BookText"/>
        <w:rPr/>
      </w:pPr>
      <w:bookmarkStart w:id="169" w:name="pg15947_151130"/>
      <w:bookmarkEnd w:id="169"/>
      <w:r>
        <w:rPr>
          <w:rFonts w:ascii="Amiri" w:hAnsi="Amiri" w:eastAsia="Amiri" w:cs="Amiri"/>
          <w:color w:val="111111"/>
          <w:sz w:val="28"/>
          <w:sz w:val="28"/>
          <w:szCs w:val="28"/>
          <w:rtl w:val="true"/>
          <w:lang w:bidi="ar-SA"/>
        </w:rPr>
        <w:t xml:space="preserve">قاعدة أصالة اللزوم في العقود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في أبواب المعاملات والمعاهدات عند الشكّ في لزوم معاملة أو 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6231970_2142443653"/>
      <w:bookmarkStart w:id="171" w:name="_Toc58"/>
      <w:bookmarkEnd w:id="170"/>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شرح معناها والمراد منها</w:t>
      </w:r>
      <w:bookmarkEnd w:id="17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أصالة اللزوم ، يحتمل أن يكون القاعدة الأوّلية المستفادة من بناء العقلاء في معاملاتهم ومعاهداتهم ، كما سيأتي تفصيله في الجهة الثانية التي رسمت لبيان الأدلّة الدالّة على إثبات هذه القاعدة واعتبارها عند الشكّ في لزوم معاملة أو معاهدة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لزوم عقد من العقود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منه ما هو مقتضى الأدلّة الشرعيّة التي تدلّ على لزوم جميع العقود والمعاهدات إلاّ ما خرج بالدليل تخصيصا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وسائر الآيات والروايات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شرح جميع هذه الأمور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حلّ العقد من أحد الطرفين بدون رضائه الطرف الآخر ، بل عدم إمكانه في عالم التشريع ، فكما أنّ بعض العقد في عالم التكوين لا يمكن حلّه لشدّة إبرامه وإحكامه ، كذلك العقود والعهود في عالم التشريع ليست قابلة للحلّ ؛ لاعتبار الشارع إبرامها وإتقانها بحيث لا يمكن حلّها من طرف واحد بدون رضائه الطرف الآخر ، بل وفي بعض العقود يكون اعتبار إبرامها وإتقانها بنحو لا يمكن حلّها وإن كان برضائه الطرفين ، كالنكاح ، وكلّ عقد لا يتطرّق فيه الإقالة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اللزوم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حقّي ولزوم حكميّ ، واللزوم الحقّي عبارة عن ملكيّة أحدهما التزام الآخر ، أو كلّ واحد منهما التزام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يكون اللزوم من طرف واحد ، وفي الثاني يكون اللزوم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الجواز حقّي وحكميّ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الحقّي هو أن يكون مالكا لالتزام نفسه ، ولا يكون التزامه ملكا لطرفه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كلّ واحد من المتعاقدين مالكا لالتزام نفسه ، فهذا جواز حقّي من الطرفين ، وإذا كان أحدهما فقط مالكا لالتزام نفسه دون الآخر ، فهذا يكون جوازا حقّيا من طرف واحد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باب العقود مدلول مطابقي للعقد وهو مضمونه ، أي الذي ينشأه المتعاقدان من تبديل مال بمال ، أو غير ذلك من المضامين الكثيرة التي تنشأ بالعقود ، ومدلول التزامي ، وهو التزام كلّ واحد منهما للآخر بما أنشأه ، بمعنى أنّه يتعهّد ويلتزم بالعمل على طبق ما أنشأ ، وأن لا يتخلّف وأن لا ينقض تعهّده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الاعتبار يطلقون على من تخلّف عن تعهّده في باب عقد البيعة مثلا بأنّه ناقض للبيعة ولعهده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الأمر في جميع أبواب المعاملات والعهود والعقود العهديّة دون الإذنيّة ، وسيأتي الفرق بين العقود العهديّة والإذنيّة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العقود والعهود على هذه الدلالة الالتزاميّة فمن باب بناء العقلاء ؛ إذ بناؤهم على أنّه لو أنشأوا هذه المعاملة باللفظ المتعارف عندهم لإنشائها ، يكون لكلّ واحد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والقابل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وتعهّد بالبقاء عند هذه المعاوضة ، أو أيّ شي‌ء آخر كان مضمون هذا العقد وعدم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غير صرف الأخذ والإعطاء ، كما هو كذلك في باب المعاطاة ، ففي باب المعاطاة ليس في البين ما يدلّ على تعهّد والتزام من الطرفين ، بل مجرّد معاوضة بأن يعطى بدل ما يأخذ أو يأخذ عوض ما يعطى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ليس في المعاطاة غير الأخذ والعطاء الخارجيّ شي‌ء آخر يكون دالاّ على أنّهما ملتزمان بالبقاء والوفاء بهذه المبادلة ولا يرجعان عنها ؛ ولذلك قلنا إنّ المعاطاة ليس بعقد ، إذ العقد هو العهد المؤكّد لغة وعرفا ، وليس في المعاطاة في مقام الإثبات ما يدلّ على هذا المعنى ويكشف عنه ، وصرف الأخذ والإعطاء خارجا كلّ واحد عوضا وبدلا عن الآخر لا يدلّ على أزيد من نفس المبادلة والمعاوضة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يدلّ على هذا المعنى فعل من الأفعال غير اللفظ كوضع أحدهما يده في يد الآخر ، أو ضرب أحدهما يده على يد الآخر ، ومن هذه الجهة وبهذا الاعتبار يعبّرون عن البيع بصفقة اليمين ، وقد قال صلی اللّه علیه و آله في قضيّة عروة البارقيّ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لك في صفقة يمينك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يكون الخط والإمضاء دليلا على هذا ، كما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العقود التي تقع بين الدول في معاملاتهم تتمّ بإمضاء من حوّل إليه الأمر من كلّ واحد من الطرفين ،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عقد النكاح يكون وقوعه وإتمامه بإمضاء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صرف العمل بمضمون العقد عقدا ، ما لم يكن دالاّ على هذا الالتزام ، من لفظ ينشأ به هذا المضمون ، أو فعل يدلّ على البقاء والالتزام بعد الرجوع عنه كوضع اليد في يد الآخر كما كان في باب البيعة ، أو ضرب اليد على يد الطرف الآخر كما في بعض أبواب المعاملات ، أو خطّ أو إمضاء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فاعلم أنّهم قسّموا العقود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إذنيّة ، وعقود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من دلالة العقد بالدلالة الالتزاميّة على الالتزام بالوفاء بمضمون العقد والبقاء عنده وعدم الرجوع عنه في العقود العهديّة دون الإذنيّة ؛ إذ العقود العهديّة عبارة عن العهد المؤكّد ، وأمّا العقود الإذنيّة فهي عبارة عن مجرّد إذن أحدهما للآخر في أمر من الأمور ، كالوكالة والعارية وأمثالهما ، وإنّما عبّر عنها بالعقد ؛ لوقوع الإذن بصورة الإيجاب ، ورضا الطرف بهذا الأمر بصورة القبول ، فيكون عقدا شكليّا ، لا عقدا واقعيّا ؛ ولذلك يكون إطلاق العقد عليها إطلاقا مجازيّا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التزام من أحدهما بالوفاء والبقاء عند هذه المعاوضة والمبادلة في البين وقوامها بالإذن فقط ، فإذا فسخ وارتفع الإذن فلا يبقى شي‌ء في البين كي يقال يجب الوفاء به والبقاء عنده ، فخروج هذه العقود من أصالة اللزوم أو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بالتخصّص ، لا بالتخصيص كي يقال بأنّه يلزم في الآية أو ذلك الأصل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العقود العهديّة فيشملها أصالة اللزوم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شيخنا الأعظم قدس سره </w:t>
      </w:r>
      <w:r>
        <w:rPr>
          <w:rStyle w:val="FootnoteAnchor"/>
          <w:rtl w:val="true"/>
        </w:rPr>
        <w:footnoteReference w:id="344"/>
      </w:r>
      <w:r>
        <w:rPr>
          <w:rFonts w:ascii="Amiri" w:hAnsi="Amiri" w:eastAsia="Amiri" w:cs="Amiri"/>
          <w:color w:val="111111"/>
          <w:sz w:val="28"/>
          <w:sz w:val="28"/>
          <w:szCs w:val="28"/>
          <w:rtl w:val="true"/>
          <w:lang w:bidi="ar-SA"/>
        </w:rPr>
        <w:t xml:space="preserve">في العقود العهديّة بين التعليقيّة والتنجيزيّة ، فاستشكل </w:t>
      </w:r>
      <w:bookmarkStart w:id="172" w:name="pg15947_151134"/>
    </w:p>
    <w:p>
      <w:pPr>
        <w:pStyle w:val="BookText"/>
        <w:rPr/>
      </w:pPr>
      <w:bookmarkEnd w:id="172"/>
      <w:r>
        <w:rPr>
          <w:rFonts w:ascii="Amiri" w:hAnsi="Amiri" w:eastAsia="Amiri" w:cs="Amiri"/>
          <w:color w:val="111111"/>
          <w:sz w:val="28"/>
          <w:sz w:val="28"/>
          <w:szCs w:val="28"/>
          <w:rtl w:val="true"/>
          <w:lang w:bidi="ar-SA"/>
        </w:rPr>
        <w:t>في اللزوم في مثل السبق والرّماية والجعالة بناء على أن يكون مدرك اللزوم هو استصحاب أثر العقد ، ففي العقود التعليقيّة لو فسخ الطرف قبل حصول المعلّق عليه ليس أثر كي يستصحب بعد فسخ من عليه أداء الجعل في الجعالة ، ومن عليه السبق في السبق والرماية بناء على ما زعم من أنّ قبل حصول السبق في السبق والرماية ، وكذلك قبل ردّ الضالّة في الجعالة لا يستحقّ السبق ولا الجعل ولا يملك شيئا ، فليس شي‌ء في البين كي يستصحبه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إن شاء اللّه في هذا الأمر حين تكلّمنا في أنّ أحد الأدلّة على قاعدة اللزوم وعدم تأثير الفسخ هو الاستصحاب ، ونبيّن ما هو الحقّ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كما سنذكره إن شاء اللّه تعالى أنّه لا فرق بين العقود العهديّة التنجيزيّة والتعليقيّة في 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الأصل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وعدم تأثير الفسخ</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6231972_2142443653"/>
      <w:bookmarkStart w:id="174" w:name="_Toc59"/>
      <w:bookmarkEnd w:id="173"/>
      <w:r>
        <w:rPr>
          <w:rtl w:val="true"/>
        </w:rPr>
        <w:t>الجهة الثانية</w:t>
      </w:r>
      <w:bookmarkEnd w:id="174"/>
    </w:p>
    <w:p>
      <w:pPr>
        <w:pStyle w:val="Heading4"/>
        <w:numPr>
          <w:ilvl w:val="3"/>
          <w:numId w:val="1"/>
        </w:numPr>
        <w:rPr/>
      </w:pPr>
      <w:bookmarkStart w:id="175" w:name="__RefHeading___Toc16231974_2142443653"/>
      <w:bookmarkStart w:id="176" w:name="_Toc60"/>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في بيان الأدلّة التي تدلّ على أنّ مقتضى الأصل الاوّلى في كلّ عقد هو اللزوم ،</w:t>
      </w:r>
    </w:p>
    <w:p>
      <w:pPr>
        <w:pStyle w:val="BookText"/>
        <w:rPr/>
      </w:pPr>
      <w:r>
        <w:rPr>
          <w:rFonts w:ascii="Amiri" w:hAnsi="Amiri" w:eastAsia="Amiri" w:cs="Amiri"/>
          <w:color w:val="111111"/>
          <w:sz w:val="28"/>
          <w:sz w:val="28"/>
          <w:szCs w:val="28"/>
          <w:rtl w:val="true"/>
          <w:lang w:bidi="ar-SA"/>
        </w:rPr>
        <w:t xml:space="preserve">وعدم نفوذ الفسخ من كلّ واحد من طرفي المتعاقدين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العقلاء في عهودهم وعقودهم على لزوم الوفاء والبقاء عند التزامه ، بحيث لو رفع اليد عمّا التزم من عقده وعهده يرونه ناقضا لالتزامه وتعهّده ، ويذمّونه على ذلك ، والشارع لم يردعهم عن هذه الطريقة ، بل ألزمهم بذلك ، كما سنذكره إن شاء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الالتزامات وعدم الاعتناء بعقده وعهده عندهم من أكبر المعايب وأخسّ الصفات وأرذلها ، إلاّ أن يجعل أحدهما لنفسه حق رفع اليد عن التزامه ، أو كلّ واحد منهما يجعل لنفسه من أوّل الأمر ذلك في ضمن العقد ، وهذا </w:t>
      </w:r>
    </w:p>
    <w:p>
      <w:pPr>
        <w:pStyle w:val="BookText"/>
        <w:rPr/>
      </w:pPr>
      <w:r>
        <w:rPr>
          <w:rFonts w:ascii="Amiri" w:hAnsi="Amiri" w:eastAsia="Amiri" w:cs="Amiri"/>
          <w:color w:val="111111"/>
          <w:sz w:val="28"/>
          <w:sz w:val="28"/>
          <w:szCs w:val="28"/>
          <w:rtl w:val="true"/>
          <w:lang w:bidi="ar-SA"/>
        </w:rPr>
        <w:t>يسمّى بخيار الشرط لأحد الطرفين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في الحقيقة إلى عدم التزامه المطلق وعلى كلّ حال ، بل التزام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العقود المنشأة بإنشاء لفظي لها دلالتان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مطابقة ، والأخرى التزاما ، والثاني التزامه للآخر بالبقاء عند ما أنشأه بالمطابقة وعدم العدول عنه ، فالعدول والرجوع عمّا التزم به خلف ونقض ، وهذا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التزامه لطرفه تمليك له ، فهذا الالتزام في اعتبار العقلاء يكون ملكا لطرفه وذلك بتمليكه إيّاه ، فكما لو وهب مالا لغيره ليس له الرجوع إليه عند العقلاء ، خصوصا بعد تصرّف الموهوب له فيه وإتلافه ، ليس له أن يضمّنه ويكون خارجا عن قاعدة الإتلاف تخصّصا لا تخصيصا ، فكذلك بعد ما التزم له بالوفاء العقلاء يعتبرون للملتزم له حقّ الإلزام له بالوفاء بما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الملتزم له لو رفع اليد عن حقّه بإسقاطه ، فلا يكون بعد ذلك ملزما بالعمل بالتزامه ، ويجوز له حلّ عقده وعهده ، وليس ذلك حينئذ خلف ونقض لعهده ، ومرجع الإقالة إلى هذا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 الملتزم للملتزم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ارفع اليد عن حقّك الذي كان عبارة عن أنّه كان لك إلزامي بالعمل بمقتضى هذا العقد ومضمونه ، فإذا كان اللزوم والإقالة من الطرفين فقهرا يرتفع اللزوم من البين ، فكأنّه بالنسبة إلى لزوم الوفاء لكلّ واحد منهما لم يكن عقد في البين ، ولعلّ هذا معنى انحلال العقد بالإقالة ، ولعلّ من هذه الجهة قالوا إنّ انحلال العقد بالإقالة وارتفاع اللزوم من البين يكون على القاعدة ، ولا يحتاج صحّة تأثيرها على وجود دليل في البين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إنكار أنّ بناء العقلاء في جميع الأعصار والأمصار على لزوم العمل بعقودهم وعهودهم ، وعدم قدرة الملتزم بمعاهدة وتعاقد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التزامه بدلالة التزاميّة لألفاظ العقود والمعاهدات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اليد عن التزامه ، وحلّ </w:t>
      </w:r>
    </w:p>
    <w:p>
      <w:pPr>
        <w:pStyle w:val="BookText"/>
        <w:rPr/>
      </w:pPr>
      <w:r>
        <w:rPr>
          <w:rFonts w:ascii="IRNazanin" w:hAnsi="IRNazanin" w:eastAsia="IRNazanin"/>
          <w:color w:val="111111"/>
          <w:sz w:val="28"/>
          <w:sz w:val="28"/>
          <w:szCs w:val="28"/>
          <w:rtl w:val="true"/>
          <w:lang w:bidi="fa-IR"/>
        </w:rPr>
        <w:t>عقده وعهده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توهّم من أنّ العقد أمر وحداني وجوده قائم بطرفين ، ولا يمكن إيجاده من طرف شخص واحد ؛ لأنّ العقد عبارة عن العقدة الحاصلة بين حبلي عهد كلّ واحد من الطرفين ، فكأنّ تعهّد كلّ واحد من الطرفين بمضمون العقد حبل منه في عالم الاعتبار ، فهناك حبلان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طرف الموجب ، والآخر من طرف القابل ، والعقد عبارة عن تعقيد رأس الحبلين كلّ واحد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فالعقدة التي تحصل بين رأسي الحبلين في عالم الاعتبار هو المسمّى بالعقد ، وهذه العقدة وحداني ولكن قائم بالطرفين ، ولا يمكن أن يحصل بفعل واحد كما هو واضح ؛ لأنّها نتيجة فعلين ، فكذلك كلّ واحد منهما منفردا لا يقدر على حلّ تلك العقدة ؛ وذلك لأنّ هذه العقدة فعله وفعل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في عالم الإيجاد لم يكن له إيجادها وحده ، فكذلك في عالم حلّ تلك العقدة ليس له وحده حلّها ، ومعلوم أنّ جواز رجوع كلّ واحد منهما عن التزامه مرجعه إلى حلّ تلك العقدة ، وإلاّ فما دام تلك العقدة موجودة ، فحبل عهده مشدود ويمنعه عن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له وحده حلّ تلك العقدة مساوق مع كونه مسلّطا على فعل شخص آخر لم يجعل اللّه له تلك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هذا واضح البطلان ، وذلك من جهة أنّ هذه العقدة التي وجدت في عالم الاعتبار بعد ما فرضنا أنّ صرف المعاوضة والمبادلة لا يكون سببا لوجودها ، ولذلك قلنا بأنّ المعاطاة ليس بعقد ، إذ ليس هناك عقدة والتزام في البين ، بل صرف معاوضة ومبادلة بين المالين ، أو صرف إنشاء مضمون تلك المعاملة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سبب وجودها التزام كلا الطرفين بعدم الرجوع عن مضمون هذه المعاملة ، فحصلت العقدة من هذين الالتزامين ، فهي من فعل الطرفين ، فرفع هذه العقدة التي هي فعل الطرفين من طرف أحدهما لا يمكن إلاّ بأن يكون له سلطان على رفع سببها ، </w:t>
      </w:r>
    </w:p>
    <w:p>
      <w:pPr>
        <w:pStyle w:val="BookText"/>
        <w:rPr/>
      </w:pPr>
      <w:r>
        <w:rPr>
          <w:rFonts w:ascii="Amiri" w:hAnsi="Amiri" w:eastAsia="Amiri" w:cs="Amiri"/>
          <w:color w:val="111111"/>
          <w:sz w:val="28"/>
          <w:sz w:val="28"/>
          <w:szCs w:val="28"/>
          <w:rtl w:val="true"/>
          <w:lang w:bidi="ar-SA"/>
        </w:rPr>
        <w:t>والمفروض أنّ السبب مركّب من فعلين والتزامين ، وهو ليس له سلطان إلاّ على فعل نفسه ، فله أن يرفع اليد عن التزام نفسه ، وأمّا رفع اليد عن التزام غيره الذي هو فعل الغير ، ليس له ذلك ، لعدم سلطنته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أنت خبير بأنّ تلك العقدة وإن كانت تحصل من التزام الطرفين بالبقاء بمضمون هذا العقد ، ولكن ارتفاعها كما يكون برجوع كلا الطرفين عن التزامهما معا ، كذلك يمكن برجوع أحدهما وحده ؛ وذلك من جهة أنّ المعلول كما أنّه يرتفع بارتفاع جميع أجزاء علّته ، كذلك يرتفع بارتفاع بعض أجزائها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أنّه هل يجوز لكلّ واحد منهما رفع اليد عن التزامه منفردا ، أو يجوز لكليهما رفع اليد عن التزامهما معا ، أو لا يجوز مطلقا لا مجتمعا ولا منفردا ، أو يفصّل بأنّه لا يجوز منفردا ويجوز معا ومجتمعا ، وهذا الأخير هي الإقالة؟</w:t>
      </w:r>
    </w:p>
    <w:p>
      <w:pPr>
        <w:pStyle w:val="BookText"/>
        <w:rPr/>
      </w:pPr>
      <w:r>
        <w:rPr>
          <w:rFonts w:ascii="Amiri" w:hAnsi="Amiri" w:eastAsia="Amiri" w:cs="Amiri"/>
          <w:color w:val="111111"/>
          <w:sz w:val="28"/>
          <w:sz w:val="28"/>
          <w:szCs w:val="28"/>
          <w:rtl w:val="true"/>
          <w:lang w:bidi="ar-SA"/>
        </w:rPr>
        <w:t>وقد ظهر ممّا تقدّم أنّ الحق هو التفصيل في اللزوم الحقّي ، بأنّه يجوز رفع اليد عن التزامهما جمعا وبرضائه الطرفين دون أحد الطرفين بدون رضائه الطرف الآخر ؛ وذلك لما بيّنّا أنّ التزام كلّ واحد منهما حيث يكون برعاية الطرف الآخر فيوجد عند العقلاء وفي اعتبارهم حقّ إلزامه بالوفاء بما التزم به رعاية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رفع اليد عن التزامه برضا الطرف ، فلا ينافي كون الطرف له حقّ إلزامه ، وعلى هذا الأساس بنينا صحّة الإقالة وجريانها على القاعدة في كلّ معاملة وعدم احتياجها إلى ورود دليل على صحّة جريانها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أصالة اللزوم في العقود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تنجيزيّة كانت ، كالبيع والإجارة والصلح وغيرها ، أو تعليقيّة كالجعالة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بناء العقلاء على وجوب العمل بالتزامه وتعهّده ، وقبح التخلّف ورفع اليد عن ذلك الالتزام ، وذكرنا أنّ نقض العهد يعدّ عندهم من أرذل الرذائل ، ومن منافيات الشرف والفضيلة ، والشارع الأقدس لم يردعهم من هذه الطريقة ، بل أمضاها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سنذكر أدلّته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العرف والعقلاء أنّ من التزم لشخص بشي‌ء ، فقد جعل ذمّته مشغولة له بذلك ، إذا كان هذا الالتزام في ضمن عقد وعهد ، لا أن يكون التزاما بدويّة ، وإن كان منشأ بنفس مادّة الالتزام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لك بذلك ؛ لأنّ الالتزامات البدويّة التي ليست في ضمن عقد وعهد تحسب وعدا ابتدائيّا ، ولا شكّ في حسن الوفاء به ، وأمّا وجوبه ولزوم الوفاء به عند العقلاء أو الشرع ، فيحتاج إلى دليل مفقود في المقام ، ولعلّه نتكلّم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شيخنا الأستاذ قدس سره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الطرفين مالك لالتزام الآخر ، فإذا أسقط ملكيّته بمعنى حقّه ، فقهرا يكون من عليه الحقّ مخيّرا في البقاء وعدم الرجوع عمّا التزم به ، وفي عدم البقاء عند التزامه والرجوع عمّا التزم به ، فلا بدّ من أن يكون مراده من ملكيّة الطرف لالتزامه ثبوت هذا الحقّ له ، لا ثبوت الملكيّة الاعتباريّة الشرعيّة الذي هو حكم وضعيّ كالطهارة والنجاسة ، وإلاّ لم يكن قابلا للإسقاط ، فلا تكون الإقالة على القاعدة ، وتحتاج إلى دليل على صحّتها وجريانها ، إمّا عامّا وفي جميع العقود ، أو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أنّها على القاعدة ، وتجري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لزوم العقد وعدم جواز حلّه من كلّ واحد من الطرفين منفردا منشأه بناء العقلاء على لزوم الوفاء وعدم نفوذ فسخه والرجوع عمّا التزم به وتعهّد ، والشارع الأقدس لم يردعهم عن ذلك ، بل أمضى هذه الطريقة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وبسائر الأدلّة التي نذكرها إن شاء اللّه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العقدة التي تحصل من تعهّد الطرفين الذي هو العقد ، حيث أنّها أمر وحداني وحاصلة من فعل الطرفين ، فليس لأحدهما إزالة تلك العقدة ؛ لأنّه لا سلطان له على فعل الغير وإزالته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أنّ سلطنته على إزالة فعل نفسه كاف في ارتفاع تلك العقدة ، لقيامها بكلا الفعلين وكلا الالتزامين ، فإذا رجع أحدهما عن التزامه يرتفع تلك العقدة وينتقض بنقض أحدهما ، ولذا يطلق على تخلّف المبايع عن بيعته نقض البيعة ، مع أنّ الرجوع عن عهده وميثاقه من طرفه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بأنّ البيعة ليست بعقد ، فليس ممّا يصغى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 أنّ العقد إمّا عبارة عن نفس تعهّدين ، أو حاصل منهما وقائم بهما ، فكما أنّه يرتفع بارتفاعهما ، كذلك يرتفع بارتفاع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بناء العقلاء على اللزوم أمر قابل للردع شرعا ، كما أنّه وقع في مورد خيار المجلس ، فالعقلاء والعرف وإن كان بناؤهم على اللزوم حتّى فيما إذا كان المتعاقدان في مجلس العقد ولم يتفرّقا في عقد البيع ، ولكن الشارع الأقدس نفى اللزوم ما دام لم يتفرقا عن مجلس البيع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النسخ أو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العرف والعقلاء في مورد خيار المجلس مردوع وليس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قلنا بأنّ بناء العقلاء على اللزوم مطلق من حيث التفرّق عن المجلس وعدمه ، وأمّا إن قلنا بعدم إطلاقه وعدم بناء منهم في صورة عدم التفرّق وبقاء المتعاقدين في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الاحتمال بعيدا ، خصوصا فيما إذا طال المجلس ، كما إذا كان المتعاقدان في سيّارة أو سفينة أو في طيّارة في مسافة طويلة ، بل هما ربما يكونان في طيّارة يطول مجلسهما إلى مئات فراسخ بل آلاف ، فالعرف في أمثال هذه الموارد بناؤه على اللزوم بلا ريب ، وإن أخذنا بإطلاق دليل خيار المجلس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وقلنا بثبوت الخيار ، فلا ردع في البين ؛ لتوافق بنائهم مع الدليل الشرعي الذي مفاده ثبوت خيار المجلس ما لم يفترقا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سائر الخيارات غير خيار المجلس ، كخيار الشرط والعيب ، فليس بناء </w:t>
      </w:r>
    </w:p>
    <w:p>
      <w:pPr>
        <w:pStyle w:val="BookText"/>
        <w:rPr/>
      </w:pPr>
      <w:r>
        <w:rPr>
          <w:rFonts w:ascii="Amiri" w:hAnsi="Amiri" w:eastAsia="Amiri" w:cs="Amiri"/>
          <w:color w:val="111111"/>
          <w:sz w:val="28"/>
          <w:sz w:val="28"/>
          <w:szCs w:val="28"/>
          <w:rtl w:val="true"/>
          <w:lang w:bidi="ar-SA"/>
        </w:rPr>
        <w:t>للعقلاء في مواردها على اللزوم قطعا ؛ لأنّ كون المعيوب مردودا قضيّة ارتكازيّة عند العرف والعقلاء ، وما ورد في الشرع من الخيار إمضاء لذلك الأمر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الشرط فلا شكّ في أنّ العقلاء أيضا يحكمون بلزوم الوفاء بالشرط ، فليس لهم بناء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تخلّف الشرط أو الوصف ، فأيضا لا بناء للعقلاء على اللزوم في مواردهما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الغبن فبناء على ما هو الصحيح في مدركه من أنّه يرجع إلى تخلّف الشرط الضمني ، فيكون من صغريات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بناء لهم في مورد تخلّف الشرط على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خيار الحيوان الظاهر أنّه حكم شرعي ، وليس عدم اللزوم إلاّ من جهة ورود دليل شرعي ،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الحيوان المشتري بالخيار ثلاثة أيّام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سواء كان المراد هو خصوص المشتري ، أو كان أعمّ من البائع والمشتري ، وإلاّ فمن ناحية بناء العقلاء على اللزوم لا فرق بين أن يكون المبيع أو الثمن حيوانا أو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الحيوان جعله الشارع من جهة الاختيار ، وأنّه هل فيه عيب ونقص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ممّا لا ينكره العرف والعقلاء ، فهم أيضا لا يبنون على اللزوم في زمان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جهة أنّ خيار العيب عندهم مغن عن هذا الخيار ، فخيار الحيوان لا بدّ وأن يكون حكما تعبّديا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جميع الأحكام الشرعية لا بدّ وأن يكون عن ملاك ملزم لذلك الحكم من مصلحة ملزمة أو مفسدة كذلك ، فدليل خيار الحيوان أيضا مثل دليل خيار المجلس يكون رادعا عن بناء العقلاء على اللزوم في مورد خيار الحيوان ، أي فيما إذا كان المبيع </w:t>
      </w:r>
    </w:p>
    <w:p>
      <w:pPr>
        <w:pStyle w:val="BookText"/>
        <w:rPr/>
      </w:pPr>
      <w:r>
        <w:rPr>
          <w:rFonts w:ascii="Amiri" w:hAnsi="Amiri" w:eastAsia="Amiri" w:cs="Amiri"/>
          <w:color w:val="111111"/>
          <w:sz w:val="28"/>
          <w:sz w:val="28"/>
          <w:szCs w:val="28"/>
          <w:rtl w:val="true"/>
          <w:lang w:bidi="ar-SA"/>
        </w:rPr>
        <w:t>أو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مورد حكم الشارع بالخيار وعدم اللزوم ، فإن لم يكن بناء العقلاء أيضا على اللزوم فلا كلام ولا إشكال ، وأمّا إذا كان بناؤهم على اللزوم ، فالدليل الذي يدلّ على حكم الشارع بالخيار وعدم اللزوم يكون رادعا لبناء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العقود العهديّة التنجيزيّة كالبيع والإجارة والصلح وأمثالها واضح ، وأمّا العقود العهديّة التعليقيّة كالجعالة والسبق والرماية والوصيّة وأمثالها ، فأيضا لا شكّ في أنّ بناء العقلاء على لزومها بعد التلبّس بالعمل في الأوّلين ، وبعد الموت في الثالث بناء على كونها من العقود ، وأمّا لو قلنا بعدم احتياجها إلى القبول وأنّها إيقاعات ، فخارجة عن محلّ البحث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الإذنيّة التي لا تعهّد فيها وقوامها بالإذن فقط ، فقد تقدّم أنّها خارجة عن الموضوع تخصّصا لا تخصيصا ؛ لأنّه لا تعهّد ولا التزام فيها ، بل قلنا إنّ إطلاق العقد عليها ليس إلاّ من باب المشاكلة ، وإلاّ ليس فيها عهد وعقدة بين الطرفين ؛ ولذلك قالوا إنّها جائزة بالذات مقابل العقود اللازمة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العرف والعقلاء على لزوم الوفاء بالتعهّدات والالتزامات ، فالعقود الإذنيّة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قوامها الإذن كالوكالة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التزام ولا تعهّد فيها خارجة عن دائرة هذا البناء ، وأمّا العقود العهديّة فداخلة بكلا قسميه ، سواء كانت تنجيزيّة أم 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العقود التعليقيّة نزاع صغروي ، وهو أنّها هل تحتاج إلى القبول كالوصيّة والجعالة والسبق والرماية ، أم لا؟ فإن قلنا بعدم الاحتياج وأنّها إيقاعات ، فهي خارجة عن موضوع هذا البناء ، وإلاّ فحالها حال العقود التنجيزيّة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 فأقول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التمسّك بهذه القاعدة وبناء العقلاء على لزوم معاملة كالوقف أو الجعالة مثلا عند الشكّ في لزومها بعد الفراغ عن كون تلك المعاملة من العقود ، وإلاّ لو علمنا بأنّها ليست من العقود ، فهي خارجة عن موضوع هذه القاعدة يقينا ، وكما أنّه لو شككنا أنّها عقد أم لا ، يكون التمسّك بها لإثبات لزومها من التمسّك بعموم العامّ في الشبهة المصداقيّة لنفس العامّ ، الذي لا يجوز قطعا ، وهو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إحراز أنّها من العقود ، فتارة يكون منشأ الشكّ هي الشبهة الحكميّة ، وأخرى هي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لزوم الوقف ، مثلا لو مات الواقف قبل أن يقبض العين الموقوفة ، فبناء على أنّه من العقود كما رجّحناه وقلنا إنّه يحتاج إلى القبول يحكم عليه باللزوم لأجل هذه القاعدة ، وكذا في باب المعاطاة لو قلنا بأنّه عقد ، وإن كان الصحيح عندنا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سائر موارد الشكّ في الحكم الشرعي بالجواز أو اللزوم بعد الفراغ عن كونه عقدا يصحّ التمسّك بهذه القاعدة لإثبات اللزوم ، ولا يصغى إلى ما يقال بأنّ البناء العملي لا عموم ولا إطلاق فيه مثل باب الألفاظ ، كي يتمسّك به لرفع الشكّ والحكم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هذا البناء بعد إمضاء الشارع له ولو من جهة عدم الردع يستكشف منه حكم الشارع بلزوم كلّ عقد ، فيكون كما إذا ورد عامّ لفظي يكون له عموم وإطلاق ، وبهذا البيان أثبتنا الإطلاق للإجماع إذا كان معقده عنوانا من العناوين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منشأ الشكّ الشبهة الموضوعيّة ، كما إذا شككنا أنّ المعاملة الواقعة هل هي صلح كي يكون لازما ، أو هبة لغير ذي الرحم كي يكون جائزا ، أو شكّ في أنّ الموهوب له ذي رحم أو أجنبيّ ، كي يكون لازما في الأوّل وجائزا في </w:t>
      </w:r>
    </w:p>
    <w:p>
      <w:pPr>
        <w:pStyle w:val="BookText"/>
        <w:rPr/>
      </w:pPr>
      <w:r>
        <w:rPr>
          <w:rFonts w:ascii="Amiri" w:hAnsi="Amiri" w:eastAsia="Amiri" w:cs="Amiri"/>
          <w:color w:val="111111"/>
          <w:sz w:val="28"/>
          <w:sz w:val="28"/>
          <w:szCs w:val="28"/>
          <w:rtl w:val="true"/>
          <w:lang w:bidi="ar-SA"/>
        </w:rPr>
        <w:t>الثاني؟ فيصحّ التمسّك بهذه القاعدة لإثبات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والعمومات والإطلاقات اللفظيّة 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دلالتها على لزوم جميع العقود هو أنّه لا شبهة في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جمع معرّف بالألف واللام يكون من ألفاظ العموم ودالاّ عليه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العموم الأفرادي الذي هو ظاهر الآية ومدلول مطابقي لها ، يستتبع عموما أزمانيّا أيضا بدلالة الاقتضاء ، لأنّ الآية لو كانت مهملة من هذه الجهة يصدق امتثالها بالوفاء في آن من الآنات ، فيكون هذا الحكم لغوا لا فائدة فيه ، فصونا للكلام عن اللغويّة لا بدّ وأن نقول بأنّ المراد وجوب الوفاء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وجوب الوفاء في كلّ زمان يكون من لوازم اللزوم ، بل يكون عرفا مساوقا معه ويصحّ التعبير عن اللزوم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أنّ وجوب الوفاء بالعقد عبارة عن لزوم العمل بمضمونه ما دام موجودا وباقيا ، ولا يدلّ على عدم جواز إزالته بالفسخ ؛ لأنّه لا تنافي بين جواز إزالته ووجوب الوفاء به ما دام موجودا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كلّ زمان ما دام موجودا في البلد ، فجواز إخراجه من البلد لا ينافي وجوب إكرامه في كلّ زمان ما دام موجودا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الأصل الحاكم مع الأصل المحكوم ، فوجوب العمل بالأصل المحكوم والجري بمقتضاه في كلّ زمان لا ينافي مع مقتضى دليل الأصل الحاكم ؛ لأنّ العمل بمقتضى أصل المحكوم معلّق عقلا على بقاء موضوعه ، أي كونه شاكّا ، فإذا ارتفع موضوعه بالأصل الحاكم ، لا يبقى تعارض في البين ؛ ولذلك قلنا في باب تعارض الأدلّة أنّه لا تعارض بين دليل الحاكم والمحكوم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حلّ العقد وإفناؤه لا ينافي وجود العمل بمقتضاه دائما وفي كلّ زمان ؛ لأنّ </w:t>
      </w:r>
    </w:p>
    <w:p>
      <w:pPr>
        <w:pStyle w:val="BookText"/>
        <w:rPr/>
      </w:pPr>
      <w:r>
        <w:rPr>
          <w:rFonts w:ascii="Amiri" w:hAnsi="Amiri" w:eastAsia="Amiri" w:cs="Amiri"/>
          <w:color w:val="111111"/>
          <w:sz w:val="28"/>
          <w:sz w:val="28"/>
          <w:szCs w:val="28"/>
          <w:rtl w:val="true"/>
          <w:lang w:bidi="ar-SA"/>
        </w:rPr>
        <w:t>العمل بمقتضاه عقلا موقوف على بقائه ، فإذا ارتفع لا يبقى موضوع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أنّ هذه العبارة ، أي وجوب الوفاء بكلّ عقد في كلّ زمان مساوق في المتفاهم العرفي مع القول بأنّ كلّ عقد لازم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وجوب الوفاء بما عقد عليه وتعهّد به ، كي يكون معناه وجوب العمل بمقتضاه ، بل المراد به وجوب الوفاء بنفس عقوده وعهوده وأن لا ينقض عقده وعهده ، فابتداء الواجب التكليفي هو البقاء على عهده وعدم الرجوع عن التزامه ، لا وجوب العمل بما التزم به ، نعم وجوب العمل بما التزم به من آثار البقاء على عهده وحفظ تعهّده والتزامه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ما ذهب إليه الشيخ الأعظم الأنصاري قدس سره </w:t>
      </w:r>
      <w:r>
        <w:rPr>
          <w:rStyle w:val="FootnoteAnchor"/>
          <w:rtl w:val="true"/>
        </w:rPr>
        <w:footnoteReference w:id="347"/>
      </w:r>
      <w:r>
        <w:rPr>
          <w:rFonts w:ascii="Amiri" w:hAnsi="Amiri" w:eastAsia="Amiri" w:cs="Amiri"/>
          <w:color w:val="111111"/>
          <w:sz w:val="28"/>
          <w:sz w:val="28"/>
          <w:szCs w:val="28"/>
          <w:rtl w:val="true"/>
          <w:lang w:bidi="ar-SA"/>
        </w:rPr>
        <w:t>من انتزاع الحكم الوضعي من الحكم التكليفي ، فينتزع اللزوم قهرا من هذا الوجوب التكليفيّ ، أي وجوب البقاء على تعهّده والتزامه وحرمة نقضه وحلّه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 أي انتزاع الحكم الوضعي عن الحكم التكليفي وإن كان لا أساس له عندنا ، وأثبتنا فساده في الأصول ، وبيّنّا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أنّ بعض الأحكام الوضعيّة كالطهارة والنجاسة والملكيّة والزوجيّة وأمثالها مستقلاّت في الجعل وليست منتزعة من الأحكام التكليفيّة ، بل هي موضوعات لها ، فيكون الأمر بالعكس ، أي يكون الحكم التكليفيّ من آثار الحكم الوضعي ، فتكون حرمة الاستعمال فيما هو مشروط بالطهارة أو الشرب من آثار النجاسة ، وكذلك الأمر في الملكيّة والزوجيّة وغيرهما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هاهنا لا نحتاج إلى الالتزام بأنّ وجوب الوفاء بالعقود حكم تكليفي ينتزع </w:t>
      </w:r>
    </w:p>
    <w:p>
      <w:pPr>
        <w:pStyle w:val="BookText"/>
        <w:rPr/>
      </w:pPr>
      <w:r>
        <w:rPr>
          <w:rFonts w:ascii="Amiri" w:hAnsi="Amiri" w:eastAsia="Amiri" w:cs="Amiri"/>
          <w:color w:val="111111"/>
          <w:sz w:val="28"/>
          <w:sz w:val="28"/>
          <w:szCs w:val="28"/>
          <w:rtl w:val="true"/>
          <w:lang w:bidi="ar-SA"/>
        </w:rPr>
        <w:t xml:space="preserve">منه ، فإنّ هذا يشبه الأكل من القفا ، بل نقول من أوّل الأمر أنّ وجوب الوفاء بالعقد عبارة عن لزوم البقاء عليه وعدم نقضه وحلّه ، وهذا عين اللزوم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العقد عرفا هو الالتزام والتعهّد بأمر ، فهذا المعنى بنفسه يقتضي عند العرف والعقلاء البقاء على تعهّده وعدم جواز حلّه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 في عالم اعتبارهم أمرا ثابتا غير ممكن النقض ؛ ولذلك يرون الخارج عن التزامه ناقضا لعهده ، وهذا عين اعتبار اللزوم عندهم في العقود والعهود ، والشارع أمضى هذا اللزوم الذي في اعتبارهم للعقود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فمفاد هذه الآية تثبيت ما هو ثابت عندهم ، وتقرير أهل العرف في لزوم العقود في اعتبارهم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هاهنا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قبل العرف وهو اعتبارهم اللزوم في عقودهم وعهودهم ، سواء كانت في أبواب المعاملات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الشرع ، وهو إمضاء ذلك الاعتبار العرفيّ وتثبيته في عالم الاعتبار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المفسّرين </w:t>
      </w:r>
      <w:r>
        <w:rPr>
          <w:rStyle w:val="FootnoteAnchor"/>
          <w:rtl w:val="true"/>
        </w:rPr>
        <w:footnoteReference w:id="349"/>
      </w:r>
      <w:r>
        <w:rPr>
          <w:rFonts w:ascii="Amiri" w:hAnsi="Amiri" w:eastAsia="Amiri" w:cs="Amiri"/>
          <w:color w:val="111111"/>
          <w:sz w:val="28"/>
          <w:sz w:val="28"/>
          <w:szCs w:val="28"/>
          <w:rtl w:val="true"/>
          <w:lang w:bidi="ar-SA"/>
        </w:rPr>
        <w:t xml:space="preserve">من الوجوه الأربعة في المراد من العقود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الكلمة هو عهود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من المفسّرين وفيهم ابن عبّاس ، وهذا المعنى لا بدّ من توجيهه ، وإلاّ فهو بظاهره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العهود التي أخذ اللّه تعالى على عباده بأن لا يعبد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والعهود التي بين الناس في معاملاتهم وغيرها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العهود والمواثيق التي أخذ من أهل الكتاب في التوراة من عدم إنكارهم لنبوّة نبيّنا محمّد صلی اللّه علیه و آله وتصديقهم لنبوّته ، وأنّ كلّ ما جاء به من الأحكام </w:t>
      </w:r>
    </w:p>
    <w:p>
      <w:pPr>
        <w:pStyle w:val="BookText"/>
        <w:rPr/>
      </w:pPr>
      <w:r>
        <w:rPr>
          <w:rFonts w:ascii="Amiri" w:hAnsi="Amiri" w:eastAsia="Amiri" w:cs="Amiri"/>
          <w:color w:val="111111"/>
          <w:sz w:val="28"/>
          <w:sz w:val="28"/>
          <w:szCs w:val="28"/>
          <w:rtl w:val="true"/>
          <w:lang w:bidi="ar-SA"/>
        </w:rPr>
        <w:t>فهو حقّ ومن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المعاني وإن كانت في حدّ نفسها صحيحة وذكرها المفسرون ، ولكنّه من الواضح أنّ الاعتبار بعموم الألفاظ ، ولا يكون خصوصيّة المورد مخصّصا ، وكذلك تطبيق المفسّرين بل الأئمّة علیهم السلام على بعض موارد 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يشمل كلّ عقد صدر من المتعاقدين ، وكلّ واحد من هذه المعاني التي ذكروها مصداق من مصاديق العامّ ، وشموله له لا ينفى شموله للمصاديق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فظاهر الآية بناء على ما ذكرنا في المراد منها هو لزوم كلّ ما يصدق عليه العقد ويحمل عليه حملا حقيقيّا لا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استشكل على دلالة هذه الآية على اللزوم بلزوم تخصيص الأكثر ، وهو مستهجن ، فيسقط العموم عن الحجّية ولا يمكن التمسّك به ؛ لاستهجانه ولزوم تخصيص الأكثر من جهة خروج العقود الجائزة عن هذا العموم قطعا ، وكذلك المعاطاة بناء على تحقّق الإجماع على جوازه ، وهي كثيرة جدّا ، خصوصا المعاطاة ؛ وذلك لأنّ أغلب معاملات الأسواق والمعاوضات من البيوع والإجارات وغيرهما بالمعاطاة ، بل لا يبعد دعوى كون جميعها بالمعاطاة ، وكذلك العقود اللازمة في موارد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العقود الجائزة بالذات لا بواسطة جعل الخيار من اللّه تعالى أو من قبل المتعاقدين قد تقدّم أنّها هي العقود المسمّاة بالإذنيّة ، مقابل العقود العهديّة ، وبيّنّا أنّ تلك العقود المسماة بالإذنيّة التي قوامها بالإذن في الحقيقة ، ليست بعقد ، كالوكالة أو العارية مثلا ، إذ ليس تعهّد في البين ، وقلنا إنّ إطلاق العقد عليها من باب المشاكلة ، ومن جهة أنّ الإذن فيها يصدر بشكل الإيجاب ، ورضا الطرف بالعمل على طبق ذلك الإذن يكون بصورة القبول وبشكله ، فخروج تلك العقود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بالتخصّص لا بالتخصيص ، وقد تقدّم كلّ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المعاطاة ، فقد بيّنّا في محلّه أنّه ليس بعقد ، بل هو صرف مبادلة بين العوضين </w:t>
      </w:r>
    </w:p>
    <w:p>
      <w:pPr>
        <w:pStyle w:val="BookText"/>
        <w:rPr/>
      </w:pPr>
      <w:r>
        <w:rPr>
          <w:rFonts w:ascii="Amiri" w:hAnsi="Amiri" w:eastAsia="Amiri" w:cs="Amiri"/>
          <w:color w:val="111111"/>
          <w:sz w:val="28"/>
          <w:sz w:val="28"/>
          <w:szCs w:val="28"/>
          <w:rtl w:val="true"/>
          <w:lang w:bidi="ar-SA"/>
        </w:rPr>
        <w:t>وليس تعهّد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ينقل مالا من مكانه إلى مكان مال آخر ، وذلك المال الآخر ينقل من مكانه إلى مكان المال الأوّل ، فيبدّل مكان كلّ واحد من المالين إلى مكان الآخر ، كذلك في عالم الاعتبار يمكن إنشاء هذه المبادلة بين المالين بدون أن يكون التزام من المتعاملين أو أحدهما في البين ، ومن دون أن يكون تعهّد بالبقاء عند هذه المبادلة منهما أو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المسمّى بالمعاطاة ، فليس في المعاطاة عقد وعهد أصلا ، فيكون خروجه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موضوعيّا ، ويكون من باب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العقود اللازمة في موارد الخيارات ، فهي في الموارد التي يكون الخيار مجعولا من قبل المتعاقدين ، فلا يشمله هذه الآية ؛ لأنّ الآية معناها كما تقدّم لزوم الوفاء بالتزامه وتعهّده ، فإذا كان تعهّده والتزامه مشروطا بشرط ومقيّدا بأمر كما في مورد خيار الشرط والغبن ، بناء على رجوع الأخير إلى تخلّف الشرط الضمني ، وهو تساوي العوضين في الماليّة ، ففي مورد فقد الشرط والقيد لا التزام كي يكون الوفاء به واجبا ، فيكون خروج تلك الموارد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خروجا موضوعيّا لا من باب تخصيص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الخيارات المجعولة من قبل الشارع مع كون الالتزام الذي قلنا إنّه مدلول التزامي للألفاظ التي تنشأ بها العقود مطلقا من الطرفين المتعاملين غير مقيّد بشي‌ء وغير مشروط بشرط ، كخيار المجلس ، وخيار الحيوان وما شابههما ، يكون تخصيصا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المقدار ليس من التخصيص المستهجن ، فإشكال لزوم تخصيص الأكثر في عموم هذه القاعدة لا أساس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أنّه يمكن أن يقال بأنّ موارد الخيارات المجعولة من قبل الشارع أيضا ليس من باب التخصيص ، بل يكون شبيها بالحكومة ، بأن يقال مثلا في خيار </w:t>
      </w:r>
    </w:p>
    <w:p>
      <w:pPr>
        <w:pStyle w:val="BookText"/>
        <w:rPr/>
      </w:pPr>
      <w:r>
        <w:rPr>
          <w:rFonts w:ascii="Amiri" w:hAnsi="Amiri" w:eastAsia="Amiri" w:cs="Amiri"/>
          <w:color w:val="111111"/>
          <w:sz w:val="28"/>
          <w:sz w:val="28"/>
          <w:szCs w:val="28"/>
          <w:rtl w:val="true"/>
          <w:lang w:bidi="ar-SA"/>
        </w:rPr>
        <w:t xml:space="preserve">المجلس أو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التزامهما في تلك المدّة كلا التزام ، فكأنّهما لم يلتزما بالبقاء عند هذه المعاملة ما دام كونهما في المجلس ولم يفترقا بالنسبة إلى خيار المجلس ، وكذلك كأنّهما لم يلتزما في مدّة ثلاثة أيّام في خيار الحيوان ، فيكون أيضا خروجهما وأمثالهما أيضا خروجا موضوعيّا ، غاية الأمر خروجا موضوعيّا تعبّديا لا تكوينيّا ، كما هو الشأن في جميع موارد الحكومة ، وأنّ التوسعة والتضييق فيها في جانب الموضوع أو المحمول تعبّدي ، لا تكويني ووجداني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باب الحكومة في جانب الموضوع أو المحمول في القضيّة الشرعيّة المتكفلة لبيان حكم من الأحكام ، ولا نظر في ذلك الباب إلى التضيّق في الحكم ، وإن كان التضيق في الموضوع أو المحمول ينتج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الأقدس في مدّة بقاء المتبايعين في المجلس ، أو مدّة ثلاثة أيّام في خيار الحيوان ، جعل التزامهما بهذه المعاملة كلا التزام ، لا أنّه مع فرض البناء على وجود الالتزام نفى الوفاء بذلك الالتزام ، كي يكون من باب التخصيص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وفرضنا أنّ أكثر أفراد العلماء هم النحويّون مثلا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ليس بعالم ، فليس هذا من باب تخصيص الأكثر ، بل من جهة أنّ الشارع أخرج النحوي عن موضوع حكمه خروجا تعبّديا ، فليس من باب التخصيص كي يكون مستهجنا إذا كان الخارج أكثر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ليس من قبيل التخصيص كي يقال بأنّ الخارج أكثر فهو مستهجن ، بل من قبيل تقييد الإطلاق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عموم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الأفراد لا باعتبار الأزمان ، فالحكم ثبوته في جميع الأزمان ليس من ناحية صيغة العموم ، بل من جهة الإطلاق الأزماني الثابت بدلالة الاقتضاء ، صونا عن لغويّة جعل الخيار لو كان ثبوته في زمان 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ذلك الإطلاق بالنسبة إلى قطعة من الزمان ، أي زمان بقاء المجلس </w:t>
      </w:r>
    </w:p>
    <w:p>
      <w:pPr>
        <w:pStyle w:val="BookText"/>
        <w:rPr/>
      </w:pPr>
      <w:r>
        <w:rPr>
          <w:rFonts w:ascii="Amiri" w:hAnsi="Amiri" w:eastAsia="Amiri" w:cs="Amiri"/>
          <w:color w:val="111111"/>
          <w:sz w:val="28"/>
          <w:sz w:val="28"/>
          <w:szCs w:val="28"/>
          <w:rtl w:val="true"/>
          <w:lang w:bidi="ar-SA"/>
        </w:rPr>
        <w:t>وعدم حصول الافتراق ، وكذلك ثلاثة أيّام في خيار الحيوان ليس من باب تخصيص العموم ، كي يقال بأنّه مستهجن ، بل صرف تقييد إطلاق ، فلا يأتي هذا الكلام ولا مجال للإشكال به على التمسّك بهذا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الإطلاق وشمول الحكم لجميع الحالات والخصوصيّات الواردة على المطلق ليس بالوضع ، كما هو مذكور في محلّه ، وإنّما الشمول لدليل الحكمة وبمقدّماتها ، ففي كلّ مورد وبالنسبة إلى أيّ خصوصيّة جاء دليل على التقييد ، يبطل الإطلاق بالنسبة إلى تلك الخصوصيّة ويرتفع من البين ، فلو قيّد المطلق بحيث لا يبقى له إلاّ فرد واحد لا يكون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العامّ فإنّه موضوع للعموم ، فيكون ظاهره العموم ، خصوصا إذا كان المخصّص منفصلا ، فبعد تخصيص الأكثر إذا تبيّن أنّ مراده من هذا العموم ليس إلاّ أفراد قليلة ، فألقى طرفه أنّ مطلوبه العموم ، مع أنّه لم يرد إلاّ بعضه الأقلّ ، فيكون مثل هذا الكلام ركيكا ومستهجنا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كاشف عن إرادة العموم بالوضع ، وليس ظهوره معلّقا ، نعم إذا جاء المخصّص حيث أنّه أكشف ، يكون مقدّما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المطلق في الإطلاق فمعلّق على عدم البيان ، فإذا جاء البيان لا يبقى موضوع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فتقديم ظهور الخاصّ على ظهور العامّ من باب حكومة أصالة الظهور في طرفه على أصالة الظهور في طرف العامّ ، وأمّا التقييد في باب الإطلاق فهو رافع لموضوع ظهور الإطلاق حقيقة وتكوينا ، فكأنّه من قبيل الورود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تقريب الاستدلال بالآية الشريفة على لزوم العقود ، هو أنّ الظاهر من الأكل في المقام مطلق التصرّفات والانتفاعات بالأموال ، لا خصوص الازدراد ؛ إذ في جملة كثيرة من الأموال 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 هو النهي وتحريم التصرّفات الباطلة ، أي على وجه لم يشرع في أموال الناس ؛ إذ لا شكّ في جواز جميع التصرفات في أموال نفسه إلاّ أن يكون ذلك السنخ من التصرّف حراما ، كالإسراف ، والتبذير وغيرهما من التصرّفات المحرّمة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المراد من الباطل في الآية هذا القسم من التصرّفات ، أوّلا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أمثال هذه التصرّفات محرّمة وإن لم يكن غيره في البين ، فهذه الكلمة خصوصا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قرينة على أنّ المراد من الأكل بالباطل هو التصرّف في مال الغير من غير وجه شرعي وبغير استحقاق ، كالغصب والخيانة والسرقة والربا وبشهادة الزور ، أو باليمين الكاذبة ، أو بالرشوة ، أو بالبيوع الفاسدة كالبيع الغرري ، أو سائر المعاملات الفاسدة الباطلة في الشرع ، مثل أنواع القمار ، إلى غير ذلك من العقود والمعاملات الفاسدة ، كالمعاملات التي تقع عن إكراه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الآية بحسب الظاهر ، وما هو المتفاهم العرفيّ منها أنّ جميع هذه التصرّفات في أموال الناس حرام ، إلاّ أن يكون التصرّف في مال الغير بالوجه الشرعيّ ، وعبّر سبحانه وتعالى عن ذلك الوجه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العرف مع عدم ردع الشارع عن مثل ملك التجارة ، بل إمضائها ؛ وذلك من جهة أنّ قولهم بكفاية عدم الردع من قبل الشارع من باب أنّه كاشف عن الإمضاء ، وإلاّ فهو بنفسه لا أثر له ، فإذا كان معنى الآية ما عرفت ، فدلالتها على اللزوم واضحة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الفراغ عن حصول الملكيّة والنقل والانتقال بمحض وجود </w:t>
      </w:r>
    </w:p>
    <w:p>
      <w:pPr>
        <w:pStyle w:val="BookText"/>
        <w:rPr/>
      </w:pPr>
      <w:r>
        <w:rPr>
          <w:rFonts w:ascii="Amiri" w:hAnsi="Amiri" w:eastAsia="Amiri" w:cs="Amiri"/>
          <w:color w:val="111111"/>
          <w:sz w:val="28"/>
          <w:sz w:val="28"/>
          <w:szCs w:val="28"/>
          <w:rtl w:val="true"/>
          <w:lang w:bidi="ar-SA"/>
        </w:rPr>
        <w:t>العقد التامّ الواجد لجميع شرائط الصحّة من الطرفين ، ففسخ أحدهما من دون رضا الآخر يكون تصرّفا في مال الغير بدون أن يكون تجارة عن تراض منهما ، فيكون أكلا لمال الغير بالباطل ، أي بوجه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فالفسخ الذي أثره إرجاع مال الغير إلى صاحبه الأوّلي من دون رضا من ملك بالعقد ، يكون داخلا في المستثنى منه ، فيكون منهيّا عنه ، فيكون باطلا وغير نافذ ، وهذا معنى مساوق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هو أنّ سبب جواز أكل أموال الناس منحصر في الانتقال إليه بالتجارة التي تكون عن تراض منهما ، كما هو مفاد الاستثناء عن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عقد المستثنى منه وحده كاف في إثبات هذا الحكم ، أي أصالة اللزوم في العقود ، لو كان المراد من الأكل بالباطل هو الأكل من غير سبب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لو كان مؤثّرا يكون سببا شرعيّا ، ويخرج به كون الأكل أكلا لمال الغير بالباطل ، فيكون هذا الاستدلال دوريّا ، لأنّ عدم تأثير الفسخ موقوف على كون أكل المال به أكلا بالباطل ، وكونه كذلك موقوف على عدم تأثير الفسخ ، وألاّ يكون الأكل على وجه شرعيّ ، وليس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الآية حصرت سبب جواز أكل مال الغير في التجارة عن تراض ، ومعلوم أنّ الفسخ من دون رضائه الطرف الآخر ليس من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يجوز أكل مال الغير بإباحة مالكه ، وليست الإباحة تجارة عن تراض؟</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الأكل هاهنا هو التملّك ، لا المعنى المعروف المقابل للشرب كما تقدّم ذكره ، والتملّك لا يحصل بالإباحة ، بل يحتاج إلى تمليك من قبل اللّه أو من قبل مالكه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المستثنى منه عامّ كسائر العمومات الشرعيّة قابل للتخصيص ، فمفاده وإن كان عدم جواز التصرّف في مال الغير مطلقا ، ولم يخرج في ظاهر الآية عن هذا العموم إلاّ كون الأكل من باب التجارة عن تراض ، ولكن يمكن تخصيصه بدليل آخر أيضا كسائر العمومات التي ترد عليها مخصّصات كثيرة ومتعدّدة ، ما لم تصل إلى حدّ تخصيص الأكثر ، فهاهنا أيضا خصّص العامّ بدليل جواز التصرّف بإباحة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إباحة المالك من الأكل بالباطل ، لا في نظر العرف وهو واضح ، ولا في نظر الشرع ؛ لأنّ الممنوع والمنهيّ في نظر الشرع هو أكل مال الغير من غير إذنه وبدون طيب نفسه ، وأمّا مع أحدهما فلا يرى الأكل باطلا ، ففي مورد الإباحة بل في كلّ مورد صدر الإذن من قبل الشارع بجواز التصرّف فيه ، ليس من الأكل بالباطل ، لا في نظره ولا في نظر العرف ، فلا يشمله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الآية المقابلة بين الأكل بالباطل وكونه عن تجارة مع تراضى الطرفين بطور المنفصلة المانعة الخلوّ ، بمعنى أنّ الأكل لمال الغير لا يخلو من 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بوجه غير شرعي وباطلا ، وإمّا أن يكون من باب التجارة عن تراض ، ولا ريب في أنّ موارد صدور الإذن من الشارع بجواز الأكل والتصرّف ، أو المالك كذلك ليس بوجه غير شرعيّ ، ولا يصدق عليها أيضا أنّها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 الآية على معنى يلتئم مع هذا الحصر ، وعدم خلوّ الأكل عن أحد هذين ، أي كونه إمّا باطلا أو يكون تجارة عن تراض ، وهو أن يقال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منها أنّ هذه المعاملات والمعاوضات والمبادلات التي تقع بينكم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باطل ويكون بوجه غير شرعيّ ، فهذا القسم حرام ، وليس لكم ارتكابه ويجب الاجتناب عنه ، وإمّا أن يكون تجارة عن تراض ، وهذا القسم لا مانع من ارتكابه بل ندب إليه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الحرمة في القسم الأوّل فهل هي وضعي أم تكليفي؟ فبحث آخر ، وإن كان الظاهر منها الوضعيّ ، بقرينة كلمة الباطل </w:t>
      </w:r>
    </w:p>
    <w:p>
      <w:pPr>
        <w:pStyle w:val="BookText"/>
        <w:rPr/>
      </w:pPr>
      <w:r>
        <w:rPr>
          <w:rFonts w:ascii="Amiri" w:hAnsi="Amiri" w:eastAsia="Amiri" w:cs="Amiri"/>
          <w:color w:val="111111"/>
          <w:sz w:val="28"/>
          <w:sz w:val="28"/>
          <w:szCs w:val="28"/>
          <w:rtl w:val="true"/>
          <w:lang w:bidi="ar-SA"/>
        </w:rPr>
        <w:t>وإطلاقها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في معنى الآية ، فلا يبقي إشكال في دلالتها على المطلوب ، أي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المنفصلة المانعة الخلوّ رفع كلّ واحد من طرفيها يثبت وجود الطرف الآخر ، فإذا لم يكن المعاملة المشروعة من مصاديق التجارة عن تراض تكون باطلة ، وفيما نحن فيه من المعلوم أنّ الفسخ بدون رضائه الطرف الآخر ليس تجارة عن تراض ، فيكون باطلا غير نافذ ، وهذا من لوازم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قضيتين كلّيتين ، إحداهما أنّ كلّ معاملة ليست بباطلة لا بدّ وأن تكون تجارة عن تراض ، والأخرى أنّ كلّ معاملة ليست تجارة عن تراض فلا محالة تكون باطلة ، وهذا معنى كون مفادها قضيّة منفصلة مانعة الخلوّ ، وباقي ما ذكرنا واضح لا يحتاج إلى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حسب المتفاهم العرفي الذي هو معنى الظهور وهو الحجة ، هو أنّ ما ليس بتجارة عن تراض فهو باطل ، لا أنّ كلّ معاملة تكون من مصاديق عنوان تجارة عن تراض تكون صحيحة ؛ كي يرد عليه النقوض الكثيرة ، كالمعاملات غير المشروعة من جهة مبغوضيّة نفس عناوينها كالقمار والرباء ، أو من جهة خلل في العقد ، أو في المتعاقدين ، أو في العوضين ، والأمثلة واضحة ، فإنّها باطلة مع كونها تجارة عن تراض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مركّبة من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المستثنى ، وعقد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سلبيّ مفاده عدم جواز أكل المال بالباطل ، والثاني إيجابي مفاده جواز الأكل إن كانت المعاملة تجارة عن تراض ، فليس هاهنا ما يكون مفاده أنّ ما ليس بتجارة عن تراض يكون من الأكل بالباطل الذي هو مبنى هذا الاستدلال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في العقد الأوّل موضوع الحكم بالحرمة هو أكل المال بالباطل ، </w:t>
      </w:r>
    </w:p>
    <w:p>
      <w:pPr>
        <w:pStyle w:val="BookText"/>
        <w:rPr/>
      </w:pPr>
      <w:r>
        <w:rPr>
          <w:rFonts w:ascii="Amiri" w:hAnsi="Amiri" w:eastAsia="Amiri" w:cs="Amiri"/>
          <w:color w:val="111111"/>
          <w:sz w:val="28"/>
          <w:sz w:val="28"/>
          <w:szCs w:val="28"/>
          <w:rtl w:val="true"/>
          <w:lang w:bidi="ar-SA"/>
        </w:rPr>
        <w:t>والحكم لا يثبت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الموضوع فيما نحن فيه مشكوك ؛ لأنّه بناء على اللزوم الفسخ لا يؤثّر ، فيكون أكل المال بالفسخ أكلا بالباطل ، وبناء على عدمه يؤثّر الفسخ ، فلا يكون الأكل به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اللزوم مشكوك فيكون موضوع الحرمة مشكوكا ، فيكون الاستدلال بهذا العموم لعدم تأثير الفسخ لكونه أكلا بالباطل من قبيل التمسّك بعموم العامّ في الشبهة المصداقيّة لنفس العامّ ، الذي لا يقول به أحد ، ولا يمكن أن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الثاني موضوع الحكم الإيجابي أي جواز الأكل هو كون المعاملة تجارة عن تراض ، وهذا الحكم الإيجابي ، لا يدلّ على أنّ كلّ ما ليس بتجارة عن تراض فهو من الأكل بالباطل ، نعم انتفاء الجواز بانتفاء كونه تجارة عن تراض حكم عقلي ومن باب انتفاء الحكم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جعل المقابلة بين أكل المال بالباطل ، وبين كونه عن تجارة عن تراض يدلّ على أنّ ما ليس من التجارة عن تراض فهو من أكل المال بالباطل ، وقد تقدّم تفصيل ذلك فلا نعيد ، ففي الحقيقة في مورد الشكّ في لزوم معاملة عقديّة يثبت الموضوع بعد أن فسخ المعاملة للعقد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وقرينيّته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واحد من العقدين وحده وإن لم يدلّ على عدم تأثير الفسخ ، ولا على اللزوم ، إلاّ أنّه بانضمام أحدهما إلى الآخر والتعمّق في مجموع الآية تحصل هذه النتيجة ، أي يكون إرجاع المال بالفسخ مع عدم رضائه الطرف الآخر من أكل مال الغير بالباطل الذي هو موضوع الحرمة في عقد المستثنى منه ، فيكون الفسخ غير مؤثّر ، وهو من لوازم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التي تدلّ على لزوم كلّ عقد مملّك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امرء مسلم إلاّ بطيب نفسه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الفراغ عن أنّ العقد سبب لانتقال كلّ واحد من العوضين إلى صاحب العوض الآخر ، وصيرورته ملكا ومالا له ، فلو كان إرجاع ذلك المال إلى صاحبه الأوّل بصرف الفسخ من دون طيب نفس الطرف ، أي من انتقل المال إليه بالعقد ،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أكل مال المسلم بدون طيب نفسه جائزا ، والحديث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يدلّ على عدم تأثير الفسخ وهو ملازم مع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الفسخ يشكّ في أنّه مال الغير ؛ إذ على تقدير كون العقد أو المعاملة جائزة ، فبعد الفسخ يخرج عن كونه مال الغير قطعا ، وعلى تقدير كونه لازما يبقى بعده على كونه مال الغير ، وحيث أنّ كلا الأمرين غير معلوم ، فكونه مال الغير بعد الفسخ مشكوك ، فيكون التمسّك بالحديث من قبيل التمسّك بالعموم في الشبهة المصداقيّة لنفس العامّ ، وهو واضح البطلان ؛ للزوم إحراز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كونه مال الغير متوقّف على تأثير الفسخ في إرجاع المال إلى صاحبه الأوّل ، وإلاّ فمع عدم تأثيره وعدم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انحلال العقد لا وجه لخروجه عن ملك من انتقل إليه بالعقد ، بل باق على ملكه يقينا من دون احتياج إلى استصحاب بقائه على ذلك ، وتأثير الفسخ متوقف على عدم كونه مال الغير ، وإلاّ يلزم أن يكون التصرّف في مال الغير بإخراجه عن ملكه بدون طيب نفسه حلالا وجائزا ، والحديث ينفيه ، فلا يمكن إثبات جواز التأثير بالشكّ في كونه مال الغير ، ويكون دورا واضحا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المال إلى نفسه وإخراجه عن ملك طرفه بالفسخ متوقّف على عدم كونه ملكا لذلك الطرف حال الإخراج ، وعدم كونه ملكا له في ذلك الحال متوقّف على الإخراج بذلك الفسخ ، إذ ليس سبب آخر في البين على الفرض ، فالإخراج بذلك الفسخ متوقّف على نفسه ، نعم شمول هذا الحديث للفسخ في العقد المشكوك اللزوم منوط بالقول بحصول الملكيّة بعد تماميّة العقد ،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دلالة هذا الحديث على اللزوم يشمل جميع المعاملات ، سواء كانت عقديّة أو بالمعاطاة ، بناء على حصول الملكيّة بالمعاطاة ،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أنّها مفيدة للإباحة من دون حصول ملكيّة في البين ، فلا ؛ لأنّه بناء على القول بالإباحة لا يكون المباح له ماله ، كي يقال بأنّه لا يمكن إرجاعه بدون طيب نفسه ، وكذلك لا يشمل المعاملات التي ليست مملّكة كالنكاح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عقدا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ذكره يظهر أنّ دلالة هذا الحديث على لزوم المعاملات المملّكة في غاية الوضوح ، ولا فرق بين وقوع تلك المعاملات بالعقد أو بالمعاطاة ؛ ولذلك قلنا في مبحث بيع المعاطاة أنّ مقتضى القاعدة المتّخذة من الروايات ، بل بناء العقلاء لزوم بيع المعاطاة ، ولكن الذي أخرجنا عن الالتزام بهذه القاعدة هو دعوى الإجماع من جمع من أعاظم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السلطنة على المال التي أمضاها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والعقلاء أيضا يعتبرون المالك ذا سلطان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السلطنة على التصرّفات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واللبس والركوب والسكنى ، وهكذا في المأكولات </w:t>
      </w:r>
    </w:p>
    <w:p>
      <w:pPr>
        <w:pStyle w:val="BookText"/>
        <w:rPr/>
      </w:pPr>
      <w:r>
        <w:rPr>
          <w:rFonts w:ascii="Amiri" w:hAnsi="Amiri" w:eastAsia="Amiri" w:cs="Amiri"/>
          <w:color w:val="111111"/>
          <w:sz w:val="28"/>
          <w:sz w:val="28"/>
          <w:szCs w:val="28"/>
          <w:rtl w:val="true"/>
          <w:lang w:bidi="ar-SA"/>
        </w:rPr>
        <w:t xml:space="preserve">والمشروبات والملبوسات والمركوبات والمساكن ، وهكذا الأمر في غير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السلطنة على التصرّفات التشريعيّة ، كالبيع والهبة والوقف والصلح ، وأمثال تلك العناوين ممّا توجد بإنشاءاتها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المالك في نظر العرف والعقلاء ذو سلطان على التصرّفات التكوينيّة ، كذلك في نظرهم له السلطنة بالنسبة إلى التصرّفات في عالم اعتبارهم ، كأنواع المعاملات والمبادلات الواقعة عليه عندهم ، وقد أمضى الشارع هذه السلطنة التي عند العرف تكوينا وتشريعا ، ولا شكّ في أنّ العرف والعقلاء كما أنّهم يرون جواز كلا القسمين من التكوينيّة والتشريعيّة للمالك عندهم ، كذلك يرون له حقّ منع الغير عن التصرّف بكلا قسميه ، أي يرون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المنع عن أكله وعن بيعه أو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أن يكون مفاد هذا الحديث الشريف إمضاء ما عليه العرف ، كما هو الظاهر منه ، يكون مفاده أنّ للمالك بعد العقد حق المنع عن إرجاع المالك الأوّل هذا المال الذي خرج عن ملكه إلى نفسه ثانيا بواسطة الفسخ ، ومرجع هذا إلى عدم تأثير الفسخ ، وهذا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فساد ما ربما يقال بأنّ موضوع هذه السلطنة ومتعلّقها هو أن يكون ماله ، وبعد الفسخ كونه ماله مشكوك ، لاحتمال عدم اللزوم وتأثير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بناء على ما ذكرنا ليس لغير المالك بدون إذنه ورضاه حقّ الفسخ ؛ لأنّ الفسخ أيضا من التصرّفات الاعتباريّة التي قلنا إنّ للمالك منعه عنها ، وهذا دليل على عدم تأثير الفسخ ، فيكون موضوع السلطنة الذي هو عنوان ماله موجودا ، فيشمله الحديث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في هذا المقام هو أنّ المالك هل له السلطنة على أنحاء التصرّفات في ماله فقط ، غاية الأمر أعمّ من التكوينيّة والتشريعيّة ، أم لا ، بل له أيضا مضافا إلى ذلك حقّ منع الغير عن التصرّف في ماله ، وإن كان التصرّف اعتباريّا كإيقاع </w:t>
      </w:r>
    </w:p>
    <w:p>
      <w:pPr>
        <w:pStyle w:val="BookText"/>
        <w:rPr/>
      </w:pPr>
      <w:r>
        <w:rPr>
          <w:rFonts w:ascii="IRNazanin" w:hAnsi="IRNazanin" w:eastAsia="IRNazanin"/>
          <w:color w:val="111111"/>
          <w:sz w:val="28"/>
          <w:sz w:val="28"/>
          <w:szCs w:val="28"/>
          <w:rtl w:val="true"/>
          <w:lang w:bidi="fa-IR"/>
        </w:rPr>
        <w:t xml:space="preserve">المعاملات عليه ، بمعنى أنّ تصرّفات غير المالك بدون إذن المالك ورضاه إن كان تصرّفا خارجيّا في المال يكون حراما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امرئ مسلم إلاّ بطيب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كان تصرفا اعتباريّا وفي عالم المعاملات والمبادلات الاعتباريّة ، فيكون تلك التصرّفات لغوا لا أثر لها ، كالتصرّفات التي تصدر من الفضولي ، وحيث أنّها بدون إجازة المالك وإذنه فلا أثر لها وإن لم يكن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فالتصرّفات التكوينيّة في مال الغير حرام ، سواء كان بإتلاف نفسه أو شي‌ء من أوصافه ، أو من منافعه ، أو باستيفاء منافعه ، أو بحبس تلك المنافع عن مالكه ، كلّ ذلك بقاعدة الإتلاف ، أو قاعدة على اليد ؛ ففي جميع ذلك يكون الأمران ، أي الحرمة التكليفيّة والضمان وضعا ؛ وذلك من جهة أنّ التصرّف التكوينيّ تنطبق عليه إحدى هاتين القاعدتين ، أي الإتلاف وعلى اليد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التصرّفات الاعتباريّة ، أي نقلها بالإنشاءات المعهودة من العقود والإيقاعات ، فمن حيث أنّها فعل غير المالك وأمر خارجي لا مساس لها بمال الغير ، ومن حيث منشآتها أمور اعتباريّة لا وجود لها في عالم الاعتبار ، ويحتاج وجودها في عالم الاعتبار الشريعيّ أيضا إلى إذن المالك أو إجازته ، والمفروض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 إذن المالك وإجازته ، فلا يوجد في عالم الاعتبار التشريعي فيكون لغوا لا أثر له ، فيبقى المال في ملك من ملك بالعقد ، وهذا دليل على البقاء من دون حاجة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السلطنة باق وموجود ، والنتيجة حيث أنّ الفسخ يتعلّق بمال الغير بدون إذنه ورضاه ، فلا أثر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صحيح إن كان الفسخ عبارة عن إرجاع المال واسترداد ما انتقل منه إلى طرفه ، فحينئذ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الطرف مسلّط على ماله ، فله المنع عن إرجاع ماله إلى صاحبه الأوّل بدون إذنه ورضاه ، وأمّا لو كان الفسخ عبارة عن </w:t>
      </w:r>
    </w:p>
    <w:p>
      <w:pPr>
        <w:pStyle w:val="BookText"/>
        <w:rPr/>
      </w:pPr>
      <w:r>
        <w:rPr>
          <w:rFonts w:ascii="Amiri" w:hAnsi="Amiri" w:eastAsia="Amiri" w:cs="Amiri"/>
          <w:color w:val="111111"/>
          <w:sz w:val="28"/>
          <w:sz w:val="28"/>
          <w:szCs w:val="28"/>
          <w:rtl w:val="true"/>
          <w:lang w:bidi="ar-SA"/>
        </w:rPr>
        <w:t>حلّ العقد ونقض العهد ، كما هو الصحيح وعليه بنى المحقّقون في مبحث الخيارات ، فليس للفسخ علاقة وتعلّق بالمال المنتقل إلى طرف الفاسخ كي يقال بأنّه بدون إذن مالكه يكون منافيا مع السلطنة المطلقة التي للمالك التي هي مفاد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المطلقة التامّة للمالك على ماله التي ثابتة له عند العرف والعقلاء ، ومفاد هذا الحديث وهو إمضاء ما عند العرف ، تنافي إمكان إرجاع ماله بدون إذنه وإجازته ، ولو كان بتوسط حلّ العقد ، فقاعدة تسلط الناس على أموالهم في نظر العرف والعقلاء تمنع عن انحلال العقد بفسخه ، وتبيّن عدم قدرته في عالم التشريع على حلّ العقد الذي يكون سببا لخروج ماله عن ملكه بدون رضاه وإجازته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بعنوانه الأوّلى حلّ العقد ، وبعنوانه الثانوي إرجاع كلّ واحد من العوضين إلى مالكه الأوّل ، فإذا كان الإرجاع والإخراج عن ملكه بدون إذنه منافيا لسلطنته ، فالسبب الذي يترتّب عليه هذا الأمر أيضا يكون منافيا لسلطنته ، فيكون منفيّا بهذا الحديث ، فهما ضدّان ، أي قدرته على حلّ العقد مع كون طرفه ذا السلطنة المطلقة التّامة ضدّان ، فلا يصحّ جعلهما ، وحيث أنّ السلطنة ثابتة بهذا الحديث ، فلا بدّ وأن نقول بعدم قدرته شرعا على حلّ العقد الذي هو مناف بهذه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المالك له السلطنة فقط على أنواع التصرّفات في ماله ، وأمّا منعه للغير فلا ، فحينئذ يمكن أن يقال بجواز حلّ العقد بالفسخ ، وإن كان أثره إرجاع كلّ واحد من العوضين إلى صاحبه الأوّلي على رغم المالك الفعلي بالعقد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بأنّ هذا الاحتمال بعيد عن الصواب ، والنتيجة أنّه ليس لكلّ واحد من الطرفين فسخ العقد وحلّه ، إلاّ أن يكون بجعل منهما ، أو بجعل من قبل الشارع كخيار المجلس ، أو كان العقد من العقود الجائزة بالذات كالعقود الإذنيّة التي قلنا </w:t>
      </w:r>
    </w:p>
    <w:p>
      <w:pPr>
        <w:pStyle w:val="BookText"/>
        <w:rPr/>
      </w:pPr>
      <w:r>
        <w:rPr>
          <w:rFonts w:ascii="Amiri" w:hAnsi="Amiri" w:eastAsia="Amiri" w:cs="Amiri"/>
          <w:color w:val="111111"/>
          <w:sz w:val="28"/>
          <w:sz w:val="28"/>
          <w:szCs w:val="28"/>
          <w:rtl w:val="true"/>
          <w:lang w:bidi="ar-SA"/>
        </w:rPr>
        <w:t>إطلاق العقد عليها إطلاق عنائي مسامحي ، ولو فسخ لا يؤثّر ، وهذا معنى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تفصيل شيخنا الأستاذ قدس سره في المقام بين أن يكون الخيار ، أي ملك فسخ المعاملة وإقرارها متعلّقا بالعقد أو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الأوّل إنّ في مورد الشكّ لا يمكن التمسّك بهذه القاعدة لإثبات اللزوم ؛ لأنّ الفسخ لا يرجع إلى تصرّف غير المالك في العين المملوكة لغيره كي يكون منافيا مع سلطنة ذلك الغير على ماله ؛ وذلك لأنّ الخيار يبطل التبديل الواقع من المتعاقدين من دون إرجاعه للعين ، وإنّما يكون رجوعها يحصل قهرا بواسطة 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 أي في صورة القول بأنّ الخيار متعلّق بالعين ، فيجوز التمسّك بهذه القاعدة في مورد الشكّ لإثبات اللزوم ، لمنافاة الخيار بناء على هذا مع سلطنة الطرف على منع الغير عن التصرّف في ماله ، وإن كان بإخراجه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ينبغي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هذا الحديث الشريف على المطلوب مبنيّ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الشرط للعقود الابتدائيّة ، بمعنى أن يكون المراد منه مطلق الإلزام والالتزام ، وإلاّ لو كان خصوص الإلزام أو الالتزام في ضمن العقود فلا يشمل العقود الابتدائيّة ، وذلك واضح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إثبات هذا المعنى ، أي كون المراد منه مطلق الإلزام والالتزام موقوف إمّا على كون هذا المعنى معنى حقيقيّا لهذه الكلمة ، وإمّا أن يكون في المقام قرينة على إرادة هذا المعنى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واضح عدمه ، وأمّا الأوّل فلا طريق له إلاّ انسباق هذا المعنى إلى أذهان أهل العرف في موارد الاستعمالات ، والظاهر أيضا عدمه بل الذي </w:t>
      </w:r>
    </w:p>
    <w:p>
      <w:pPr>
        <w:pStyle w:val="BookText"/>
        <w:rPr/>
      </w:pPr>
      <w:r>
        <w:rPr>
          <w:rFonts w:ascii="Amiri" w:hAnsi="Amiri" w:eastAsia="Amiri" w:cs="Amiri"/>
          <w:color w:val="111111"/>
          <w:sz w:val="28"/>
          <w:sz w:val="28"/>
          <w:szCs w:val="28"/>
          <w:rtl w:val="true"/>
          <w:lang w:bidi="ar-SA"/>
        </w:rPr>
        <w:t>ينسبق إلى الذهن من هذه اللفظة في موارد الاستعمالات هو ما يكون له ارتباط وعلاقة بشي‌ء آخر وجودا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القاموس </w:t>
      </w:r>
      <w:r>
        <w:rPr>
          <w:rStyle w:val="FootnoteAnchor"/>
          <w:rtl w:val="true"/>
        </w:rPr>
        <w:footnoteReference w:id="354"/>
      </w:r>
      <w:r>
        <w:rPr>
          <w:rFonts w:ascii="Amiri" w:hAnsi="Amiri" w:eastAsia="Amiri" w:cs="Amiri"/>
          <w:color w:val="111111"/>
          <w:sz w:val="28"/>
          <w:sz w:val="28"/>
          <w:szCs w:val="28"/>
          <w:rtl w:val="true"/>
          <w:lang w:bidi="ar-SA"/>
        </w:rPr>
        <w:t xml:space="preserve">من أنّه الإلزام والالتزام في ضمن البيع ، فهو تعريف بالأخصّ ببيان بعض مصاديقه ، وإطلاق الأصوليّين مفهوم الشرط في قولهم أنّ للقضيّة الشرطيّة مفهوم يرجع إلى هذا المعنى ، بمعنى أنّ وجود التالي مربوط ومعلول لوجود المقدّم ، فيلزم من عدمه العدم ، وكذا قول المنطقيّين في باب القضايا القضيّة الشرطيّة وتقسيمها إلى المتّصلة والمنفصلة ، وقول النحويّين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أداة الشرط ، كلّها يرجع إلى ما قلنا من أنّه يطلق على ما فيه نحو ارتباط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فالالتزامات الابتدائيّة وكذلك إلزاماتها التي لا ربط بينها وبين غيرها لا يطلق عليها الشرط إطلاقا حقيقيّا ، ولذلك قلنا إنّ الشروط الابتدائيّة التي ليست في ضمن عقد لازم لا يجب الوفاء بها ؛ لعدم 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 الشروط ؛ لعدم انطباق مفهوم الشرط بمعناه الحقيقي عليها ، لا أنّ عدم وجوب الوفاء بها لأجل وجود المخصّص ، وهو الإجماع على عدم لزوم الوفاء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الإلزامات والالتزامات الابتدائيّة شروط بالمعنى الحقيقي ، ممّا لا يساعد عليه الوجدان وفهم العرف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إطلاق الشرط في بعض الأخبار على بعض الأحكام الشرعيّة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اللّه قبل شرطكم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الولاء لمن أعتق ، أو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الحيوان كلّه شرط ثلاثة أيّام </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وأمثالهما ، فالظاهر أنّ ليس المراد منهما الجعل الابتدائي من دون </w:t>
      </w:r>
    </w:p>
    <w:p>
      <w:pPr>
        <w:pStyle w:val="BookText"/>
        <w:rPr/>
      </w:pPr>
      <w:r>
        <w:rPr>
          <w:rFonts w:ascii="Amiri" w:hAnsi="Amiri" w:eastAsia="Amiri" w:cs="Amiri"/>
          <w:color w:val="111111"/>
          <w:sz w:val="28"/>
          <w:sz w:val="28"/>
          <w:szCs w:val="28"/>
          <w:rtl w:val="true"/>
          <w:lang w:bidi="ar-SA"/>
        </w:rPr>
        <w:t>ملاحظة ارتباطه مع غيره كما توهّم ، إذ يمكن أن يكون المراد منهما هو الجعل الإلهي بملاحظة كون العمل بما ألزم فعله أو تركه ، وامتثاله بالإيجاد في الأوّل والترك في الثاني ، وترتيب الأثر في الوضعيّات شرطا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اللّه تبارك وتعالى جعل امتثال أحكامه والعمل بها مقدمة وشرطا لدخول الجنّة ، ولعلّ بهذا الاعتبار يقول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تَخْشَوْنَ كَسادَها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الآيات والأخبار أنّ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وتكليفيّة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امتثالها والعمل على طبقها وترتيب الأثر عليها في الوضعيّات شروط في عالم العهد والميثاق الذي يعتبر عنه بعالم الذّر في الأخبار من قبل اللّه تعالى لدخول الجنّة التي وعد بها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الشرط بحسب مفهومه العرفي وما هو معناه الحقيقي يشمل مطلق الجعل الابتدائي كي يكون جميع العقود الابتدائيّة من مصاديق ذلك المفهوم ، ممّا ينكره الوجدان وما هو المتفاهم العرفيّ من هذه الكلمة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الجملة دالّة على وجوب الوفاء بالشروط تكليفا أو وضعا ، فيكون معناها أنّه يجب الوفاء على المؤمنين بشروطهم ، فيكون مساقها 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هاتين المقدّمتين ، أي كون الشروط عبارة عن مطلق الإلزامات والالتزامات ، وكون معنى الجملة وجوب الوفاء بتلك الإلزامات والالتزامات ، وقد تقدّم شرح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والإنصاف أنّ هذه المقدمة الثانية لا إشكال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متعلّق بأفعال العموم ، وهذا ظاهر الكلام لا يحتاج إلى الدليل ، كما بيّنّا ذلك في نظائره ، 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فتقدير الكلام أنّ المؤمنين أو المسلمين ثابتون أو واقفون أو مستقرّون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شروطهم ، فهي إمّا من قبيل إنشاء الحكم بصورة الأخبار الذي هو آكد في الوجوب من الجملة الطلبيّة الإنشائيّة ، كما قرّرناه في الأصول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الثبوت عند الشروط وعدم الخروج عمّا التزم به ، وهذا المعنى من لوازم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مفاده يكون ابتداء هو الحكم الوضعي ، بأن يكون الحكم بالثبوت كناية عن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استشهاد أمير المؤمنين علیه السلام بهذه الجملة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لامرأته بشرط فليف لها به ، فإنّ المسلمين عند شروطهم ، إلاّ ما أحلّ حراما أو حرّم حلالا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فتمسّك بهذا الحديث النبويّة لوجوب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يكون مفاد الجملة هو اللزوم على تقدير صحّة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 صحّة المقدّمة الأولى في غاية الإشكال ، بل مناف للوجدان ؛ فلا دلالة لهذا الحديث الشريف على وجوب الوفاء بكلّ عقد كي يكون مفاده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وجوب الوفاء بالشروط الضمنيّة التي تقع في ضمن العقود اللازمة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الواردة في لزوم البيع بعد التفرّق عن مجلس المعاملة ،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w:t>
      </w:r>
    </w:p>
    <w:p>
      <w:pPr>
        <w:pStyle w:val="BookText"/>
        <w:rPr/>
      </w:pPr>
      <w:r>
        <w:rPr>
          <w:rFonts w:ascii="Amiri" w:hAnsi="Amiri" w:eastAsia="Amiri" w:cs="Amiri"/>
          <w:color w:val="111111"/>
          <w:sz w:val="28"/>
          <w:sz w:val="28"/>
          <w:szCs w:val="28"/>
          <w:rtl w:val="true"/>
          <w:lang w:bidi="ar-SA"/>
        </w:rPr>
        <w:t xml:space="preserve">طرق نقل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البيع ولا خيار بعد الرضا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الرضا في الحديث الشريف هو الرضا المعاملي ، أي اختيار المعاملة من غير كره ولا إجبار عليها ، لا طيب النفس ؛ وذلك لأنّ كثيرا من المعاملات ليست عن طيب نفس ، بل الحاجة والضرورة دعته إلى إيقاع المعاملة ، وعلى كلّ حال الذي لا يمكن إنكاره دلالة الحديث الشريف على لزوم البيع بعد انقضاء المجلس وحصول الافتراق بين المتبايعين ، وبناء على هذا إذا طرأ شكّ في لزوم البيع بعد حصول الافتراق لعروض حالة أوجبت الشكّ ، نتمسّك بهذه الأخبار للزومه وعدم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توهّم من أنّ الشارع جعل الافتراق غاية لهذا الخيار الخاصّ ، أي خيار المجلس ، ولا ينافي ذلك ثبوت الخيار من جهة أخرى إذا جاء الدليل عليه ، فليس أدلّة سائر الخيارات مخصّصا لهذا العموم ، وفي الحقيقة لا عموم في البين يدلّ على اللزوم مطلقا ، بل اللزوم يكون من ناحية خاصّة ، أي تماميّة خيار المجلس بحصول الافتراق فقط ، فلو احتملنا وجود خيار من ناحية أخرى ليس عموم يرفع الشكّ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فعجيب من جهة أنّ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افترقا وجب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وجوب البيع ولزومه من جميع النواحي ، ولا وجه لتقييده بناحية هذا الخيار ، أي خيار المجلس ، وإلاّ لو فتح هذا الباب لانسدّ باب التمسّك بالإطلاقات في جميع الموارد ، خصوصا بملاحظة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خيار بعد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نفي فيه جنس الخيار بلا النافية للجنس ، فيكف يمكن أن يقال إنّ المنفي هو انتفاء هذا الخيار فقط ، ولا يدلّ على انتفاء مطلق الخيار بحصول التفرّق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فالحقّ أنّ هذا الحديث يدلّ على اللزوم مطلقا ومن جميع النواحي ، لا من ناحية خيار المجلس فقط ، فأدلّة سائر الخيارات تكون من قبيل المخصّصات والمقيّدات لهذا العموم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الرواية أو الحديث لا تدلّ على اللزوم إلاّ في البيع ، وأمّا في سائر العقود والمعاملات فلا بدّ من التماس دليل آخر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عرفت ما ذكرنا تعرف أنّ مقتضى هذه العمومات والإطلاقات ، هو كون الأصل في أبواب العقود والمعاملات هو اللّزوم ، ولا يؤثّر الفسخ إلاّ بدليل خاصّ لأدلّة الخيارات ، فأصالة اللزوم حيث أنّها من باب أصالة الإطلاق أو أصالة العموم ، فهي قابلة للتقييد والتخصيص ، والمخصّصات هي أدلّة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الإطلاقات والعمومات المذكورة مختلفة من حيث السعة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وأشمل من الجميع ؛ إذ يشمل جميع العقود والمعاهدات ، معاوضيّة كانت أو غير معاوضية ، مملّكة كانت أو غير مملّكة ، بل يشمل الإيقاعات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العقود مطلقا ولا يشمل الإيقاعات ، وأمّا خروج العقود الإذنيّة عن مفادها ، فقد قلنا إنّها ليس من باب التخصيص ، بل يكون خروجها خروجا موضوعيّا وبالتخصّص ، لأنّها عقد صورة وليست في الحقيقة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العقود العهديّة فيشملها ، سواء كانت معاوضيّة ومملكة أو لم تكن كذلك ، حتّى يشمل مثل عقد البيعة الشرعيّة الصحيحة ، بل المعاهدات التي تقع بين المسلمين وغيرهم إن كانت جائزة وكانت على طبق المقرّرات الشرعيّة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فبناء على ما تقدّم في وجه دلالته على اللزوم وعدم تأثير الفسخ يكون مختصّا بالعقود المملّكة ، وفي أبواب المعاوضات التي يصير كلّ واحد من </w:t>
      </w:r>
    </w:p>
    <w:p>
      <w:pPr>
        <w:pStyle w:val="BookText"/>
        <w:rPr/>
      </w:pPr>
      <w:r>
        <w:rPr>
          <w:rFonts w:ascii="Amiri" w:hAnsi="Amiri" w:eastAsia="Amiri" w:cs="Amiri"/>
          <w:color w:val="111111"/>
          <w:sz w:val="28"/>
          <w:sz w:val="28"/>
          <w:szCs w:val="28"/>
          <w:rtl w:val="true"/>
          <w:lang w:bidi="ar-SA"/>
        </w:rPr>
        <w:t>العوضين ملكا لصاحب العوض الآخر ، فكون الفسخ مؤثّرا وموجبا لحلّ العقد ورجوع كلّ واحد إلى ملك مالكه الأوّلي بدون رضائه من ملكه بالعقد أو بالمعاطاة يكون من أكل مال الغير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امرئ مسلم إلاّ بطيب نفسه </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فمساقه مساق الآية المتقدّمة ، أي يكون دلالته على اللزوم في خصوص المعاملات المملّكة ، سواء كانت بالمعاطاة أو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السلطنة فأيضا مثل سابقيه يدلّ على لزوم كلّ معاملة مملّكة ، سواء كانت بالعقد أو كانت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شروطهم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فيدلّ على لزوم كلّ ما يسمّى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في وجه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شرط لامرأته شرطا فليف لها به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ومفاد هذه الرواية كما تقدّم وجوب الوفاء بشرطه الذي شرط على نفسه والتزم به ، فمفاد هذا الحديث الشريف الذي رواه الفريقان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الجهة ربما يطمئنّ الإنسان بصدوره عنه صلی اللّه علیه و آله بل يقطع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الوقوف والثبوت عند التزاماته مطلقا ، سواء كانت تلك الالتزامات بدويّة ، أو كانت في ضمن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هذا المعنى مساوق 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الدليل يشمل جميع الالتزامات التي التزم بها المؤمن ، سواء كانت في أبواب المعاملات والمعاوضات ، أو كانت في غيرها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أشمل من الأدلّة السابقة ؛ إذ له إطلاق من أغلب الجهات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الواردة في لزوم البيع بعد الافتراق ، فلا شكّ في أنّها </w:t>
      </w:r>
    </w:p>
    <w:p>
      <w:pPr>
        <w:pStyle w:val="BookText"/>
        <w:rPr/>
      </w:pPr>
      <w:r>
        <w:rPr>
          <w:rFonts w:ascii="Amiri" w:hAnsi="Amiri" w:eastAsia="Amiri" w:cs="Amiri"/>
          <w:color w:val="111111"/>
          <w:sz w:val="28"/>
          <w:sz w:val="28"/>
          <w:szCs w:val="28"/>
          <w:rtl w:val="true"/>
          <w:lang w:bidi="ar-SA"/>
        </w:rPr>
        <w:t>تدلّ على لزوم خصوص البيع بعد انقضاء المجلس وحصول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فرضنا عدم دلالة الأدلّة السابقة على لزوم العقود ووصلت النوبة إلى حكم الشكّ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أنّه لو كان للحكم الشرعي ، أو الموضوع الذي له أثر شرعي حالة سابقة متيقّنة ، وشكّ في بقاء تلك الحالة يستصحب ، إن كان لبقاء تلك الحالة أثر شرعي في حال الاستصحاب ، فنرى هل هاهنا يمكن استصحاب نفس اللزوم أو ما يكون لازما أو ملزوما أو ملازما له ، فيثبت بها اللزوم ، أم لا يمكن شي‌ء من ذلك؟</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استصحاب نفس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حكم وضعي قابل للجعل ابتداء ، بلا توسيط جعل آخر كي يكون منشأ لانتزاعه أو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هاهنا ، أي في مورد الشكّ في لزوم معاملة أو عقد ابتداء ؛ لأنّه متى كان لازما كي يستصحب؟</w:t>
      </w:r>
    </w:p>
    <w:p>
      <w:pPr>
        <w:pStyle w:val="BookText"/>
        <w:rPr/>
      </w:pPr>
      <w:r>
        <w:rPr>
          <w:rFonts w:ascii="Amiri" w:hAnsi="Amiri" w:eastAsia="Amiri" w:cs="Amiri"/>
          <w:color w:val="111111"/>
          <w:sz w:val="28"/>
          <w:sz w:val="28"/>
          <w:szCs w:val="28"/>
          <w:rtl w:val="true"/>
          <w:lang w:bidi="ar-SA"/>
        </w:rPr>
        <w:t>نعم لو كان عقدا ومعاملة لازما ابتداء ، وشككنا في طروّ الجواز عليها لاحتمال وجود خيار لم يكن دليل على وجوده ولا على عدمه ، ووصلت النوبة إلى حكم الشكّ ، فلا مانع من استصحاب نفس اللزوم ، وإلاّ ففي غير هذه الصورة فاستصحاب نفس اللزوم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الملكيّة السابقة على الفسخ الذي ينتج اللزوم ، ففيه تفصيل ، إجماله أنّ هذا الاستصحاب المدّعى في المقام تارة يدّعى أنّه من قبيل استصحاب الكلّي ، وأخرى أنّه استصحاب شخص الملكيّة المنشأة بالعقد أو بالمعاطاة ، والفعل من طرف واحد أو الفعل الصادر من الطرفين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شخص الملكيّة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استصحاب الفرد المردّد ، فلا يجري أوّلا على ما هو التحقيق وسنبيّن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الجريان يكون مثبتا ، أمّا عدم جريان الفرد المردّد ؛ لأنّ شخص هذه الملكيّة التي وجدت </w:t>
      </w:r>
      <w:bookmarkStart w:id="177" w:name="pg15947_151168"/>
    </w:p>
    <w:p>
      <w:pPr>
        <w:pStyle w:val="BookText"/>
        <w:rPr/>
      </w:pPr>
      <w:bookmarkEnd w:id="177"/>
      <w:r>
        <w:rPr>
          <w:rFonts w:ascii="Amiri" w:hAnsi="Amiri" w:eastAsia="Amiri" w:cs="Amiri"/>
          <w:color w:val="111111"/>
          <w:sz w:val="28"/>
          <w:sz w:val="28"/>
          <w:szCs w:val="28"/>
          <w:rtl w:val="true"/>
          <w:lang w:bidi="ar-SA"/>
        </w:rPr>
        <w:t xml:space="preserve">بإنشاء المتعاملين المردّدة بين أن يكون مستقرّة لا تزول بالفسخ ، وغير الثابتة التي تزول بالفسخ ليست قابلة للبقاء ؛ لأنّه بعد الفسخ إن كانت متزلزلة غير مستقرّة فقد زالت وانعدمت بالفسخ ، وإن كانت مستقرّة غير متزلزلة فهي وإن كانت باقية بعد الفسخ ، ولكن ليست فردا مردّدا فالفرد المردّد بوصف أنّه مردّد غير قابل للبقاء ، فلا يمكن استصحابه ، والفرد المعيّن وإن كان قابلا للبقاء ، لكنّه ليست معلومة ومتيقّنة في وقت من الأوقات ، فما هو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قابلا للبقاء ، وما هو قابل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واحد من التقديرين يختلّ أحد أركان الاستصحاب ، أي إمّا لا يكون اليقين السابق ، أو لا يكون الشكّ في البقاء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فاختلال الركن الأوّل إذا فرضنا المستصحب فردا معيّنا ، واختلاف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المستصحب فردا مردّدا ، فاستصحاب الفرد والشخص لا مجرى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الكلّي ، أي الجامع بين الملك المستقرّ الثابت وبين المتزلزل كي يكون من قبيل استصحاب القسم الثاني من أقسام الكلي ، كاستصحاب كلّي الحدث الجامع بين الحدث الأصغر والأكبر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الجامع وجد بمحض وجود العقد تامّ الأجزاء والشرائط ، أو وجود معاملة المعاطاة مثلا ، فإن كان وجوده في ضمن الملك المتزلزل غير المستقرّ ، انعدم بالفسخ ، وإن وجد في ضمن الملك المستقرّ فبعد الفسخ لا ينعدم مثل انعدامه في القسم الأوّل ، بل باق ، وهذا الترديد في الانعدام والبقاء يرجع إلى الشكّ في البقاء ، فيتمّ أركان الاستصحاب من اليقين بوجوده المستصحب سابقا ، والشكّ في بقائه لاحقا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6231976_2142443653"/>
      <w:bookmarkStart w:id="179" w:name="_Toc61"/>
      <w:bookmarkEnd w:id="178"/>
      <w:r>
        <w:rPr>
          <w:rtl w:val="true"/>
        </w:rPr>
        <w:t xml:space="preserve">واعترض على هذا الاستصحاب من وجوه </w:t>
      </w:r>
      <w:r>
        <w:rPr>
          <w:rtl w:val="true"/>
        </w:rPr>
        <w:t>:</w:t>
      </w:r>
      <w:bookmarkEnd w:id="1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مثبت ، من جهة أنّ بقاء قدر المشترك لا يثبت </w:t>
      </w:r>
    </w:p>
    <w:p>
      <w:pPr>
        <w:pStyle w:val="BookText"/>
        <w:rPr/>
      </w:pPr>
      <w:r>
        <w:rPr>
          <w:rFonts w:ascii="IRNazanin" w:hAnsi="IRNazanin" w:eastAsia="IRNazanin"/>
          <w:color w:val="111111"/>
          <w:sz w:val="28"/>
          <w:sz w:val="28"/>
          <w:szCs w:val="28"/>
          <w:rtl w:val="true"/>
          <w:lang w:bidi="fa-IR"/>
        </w:rPr>
        <w:t>عنوان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جواب هذا الإشكال سهل ، وهو أنّ المراد والمقصود من النزاع في اللزوم وعدمه هو المعاملة أو العقد ينحلّ بالرجوع والفسخ ، أم لا ويبقى أثره ، فإثبات بقاء الأثر وعدم الانحلال بالرجوع أو الفسخ كاف في إثبات هذا المقصود ، ولا نحتاج إلى إثبات عنوان اللزوم كي يقال بأنّه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اللزوم عنوان ومفهوم انتزاعيّ ، ينتزع قهرا من بقاء أثر العقد بعد فسخ أحدهما بدون رضا الآخر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من الأحكام الشرعيّة الوضعيّة ولكنّه ينتزع من الأحكام التكليفيّة ، كما أنّه نسب ذلك إلى الشيخ الأنصاري قدس سره </w:t>
      </w:r>
      <w:r>
        <w:rPr>
          <w:rStyle w:val="FootnoteAnchor"/>
          <w:rtl w:val="true"/>
        </w:rPr>
        <w:footnoteReference w:id="367"/>
      </w:r>
      <w:r>
        <w:rPr>
          <w:rFonts w:ascii="Amiri" w:hAnsi="Amiri" w:eastAsia="Amiri" w:cs="Amiri"/>
          <w:color w:val="111111"/>
          <w:sz w:val="28"/>
          <w:sz w:val="28"/>
          <w:szCs w:val="28"/>
          <w:rtl w:val="true"/>
          <w:lang w:bidi="ar-SA"/>
        </w:rPr>
        <w:t>فأيضا ينتزع قهرا من بقاء أثر العقد الثابت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اعترض به صاحب الكفاية في تعليقته على مكاسب شيخنا الأعظم الأنصاري </w:t>
      </w:r>
      <w:r>
        <w:rPr>
          <w:rStyle w:val="FootnoteAnchor"/>
          <w:rtl w:val="true"/>
        </w:rPr>
        <w:footnoteReference w:id="368"/>
      </w:r>
      <w:r>
        <w:rPr>
          <w:rFonts w:ascii="Amiri" w:hAnsi="Amiri" w:eastAsia="Amiri" w:cs="Amiri"/>
          <w:color w:val="111111"/>
          <w:sz w:val="28"/>
          <w:sz w:val="28"/>
          <w:szCs w:val="28"/>
          <w:rtl w:val="true"/>
          <w:lang w:bidi="ar-SA"/>
        </w:rPr>
        <w:t>بأنّ هذا الاستصحاب من الشكّ في المقتضي ، فمن يقول بعدم جريانه في الشكّ في المقتضي ليس له أن يستند في إثبات اللزوم بهذا الاستصحاب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نقول بجريان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الشكّ في استعداد بقائه في عمود الزمان ، بحيث يحتمل تماميّة قابليّة بقائه وفناء عمره وارتفاعه من عند نفسه ، من دون وجود مزيل ورافع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هكذا ، بل قابل للبقاء ما دام موضوعه موجودا كما هو شأن كلّ حكم شرعي ، فما لم يأت الفسخ لا يشكّ في بقائه ، وإنّما الشكّ في البقاء يحصل بعد وجود محتمل الرافعيّة ، وقد دافعنا عن أمثال هذه الشبهات تفصيلا في الأصول في بيان معنى الشكّ في المقتضي ، وأنّ أغلب الشبهات من جهة عدم الوصول إلى معنى الشكّ في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مع الاستصحاب الحاكم عليه ، وهو استصحاب بقاء علقة المالك الأوّل من جهة الشكّ في أنّ المالك الأوّل بعد وقوع المعاملة التي يشكّ في لزومها انقطعت علاقته عن هذا المال بالمرّة ، أو بقيت حيث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المقدار الباقي من تلك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إرجاع ذلك المال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التي وقع الشكّ في لزومها هل صارت سببا لخروج المال عن يد المالك الأوّل بحيث صار المالك الأوّل مثل الأجنبي ، وصار كأنّه لم يكن مالكا؟ أو بقي له حقّ الإرجاع بتوسّط الفسخ؟ فبقاء ذلك المقدار الذي قد يعبّر عنه بملك أن يملك ، مشكوك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حكومة هذا الاستصحاب على استصحاب بقاء ملكية المالك الثاني ؛ لأنّه رافع في عالم التشريع لموضوع استصحاب الأخير ؛ إذ بقاء علاقة المالك الأوّل وقدرته على إرجاع المال إلى نفسه بالفسخ موجب للعلم بعدم بقاء ملكيّة المالك الثاني في عالم التعبّد والتشريع ، فلا يبقى شكّ في البين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ارتفاع الإضافة التي كانت بين المالك الأوّل وهذا المال بنفس العقد التامّ الأجزاء والشرائط ، وهذا هو معنى انتقال المال بالبيع مثلا من البائع إلى المشتري بالنسبة إلى المثمن ، وبالعكس بالنسبة إلى الثمن ، فلا يبقى إضافة بين المال والمالك الأوّل ؛ لأنّ الإضافة اعتباريّة ، ولا تتقطّع كي يقال قطعة ارتفعت بالبيع وبقي قطعة منها ، فلو كان علاقة وإضافة بين المالك الأوّل والمال ، لا بدّ وأن يكون حادثا بسبب الفسخ ، فليس شي‌ء يحتمل بقاؤه كي يستصحب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المشكوك اللزوم ليس أمره أعظم من الموارد المعلوم جوازها بسبب الخيار ، وفي العقد الخياري يحدث علاقة بسبب الخيار ، وإلاّ فالعلاقة التي كانت بين الملك والمالك زالت بالمرّة بالعقد ، والخيار المجعول من قبل المتعاقدين أو من قبل اللّه تعالى يوجب حدوث علاقة جديدة بين ذي الخيار والمال الذي انتقل منه إلى طرفه المسمّى بحقّ الإرجاع ، أو كونه مالكا لأن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قول من يقول إنّ ملكيّة المشتري مثلا للثمن متوقّفة على انقضاء زمن الخيار ، وإلاّ فقبل انقضاء زمن الخيار لا تحصل ملكيّة بنفس العقد ، فلا تحصل علاقة جديدة بالفسخ ، بل الملكيّة من الأوّل موجودة لذي الخيار ، وعلى هذا أيضا لا وجه للاستصحاب ؛ لبقاء الملكيّة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هذا الكلام على تقدير صحّته في العقود الخياريّة ، لا يمكن القول به في مطلق العقود الجائزة ؛ لأنّه لو لم تحصل الملكيّة بنفس العقد فلا تحصل أصلا ؛ لأنّه ليس هناك خيار كي يقال بحصول الملكيّة بعد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 جميع ما ذكرنا أنّ علاقة المالك تزول بمحض وجود العقد الناقل ، ولا يبقى منها شي‌ء قطعا ويقينا ، فليس شي‌ء يشكّ في بقائه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من القسم الثالث من أقسام استصحاب الكلّي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مثل السواد والبياض من الطبائع المقولة بالتشكيك ، فلها مراتب مختلفة بالشدّة والضعف ، فإذا جاء الفسخ فمن الممكن أن يذهب ببعض مراتبها ويبقى البعض الآخر ، فإذا شكّ في بقاء البعض يستصحب بقاؤه بعد الفسخ ، فيبقى بعد الفسخ على ملك المالك الثاني ، وهذا عبارة أخرى عن اللزوم ، لأنّه بالفسخ لم ترتفع الملكيّة بتمامها ، بل بقي مرتبة منها ، والمعاملة الجائزة أو العقد الجائز هو أن يرجع المال بالفسخ إلى صاحبه الأوّل ، ولا يبقى للمالك الثاني شي‌ء منه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فيه أنّ الأمور الاعتباريّة وإن كان من الممكن اعتبارها شديدا أو ضعيفا ، كما اعتبر ذلك في النجاسة والحدث ، فالحدث الأكبر أشدّ من الحدث الأصغر ، فقد عبّر في الرواية في مقام السؤال عن المرأة الجنب إذا حاضت أنّه جاءها ما هو أعظم ، أي الحيض أعظم من الجنابة ، أو نجاسة البول أشدّ من نجاسة الدّم مثلا ، فلا ينبغي أن يشكّ في أنّ الأمور الاعتباريّة أيضا مثل الأمور التكوينيّة يمكن أن يكون لبعض أنواعها مراتب مختلفة بالشدّة والضعف مقولة بالتشكيك ، وذلك باعتبار بعض </w:t>
      </w:r>
    </w:p>
    <w:p>
      <w:pPr>
        <w:pStyle w:val="BookText"/>
        <w:rPr/>
      </w:pPr>
      <w:r>
        <w:rPr>
          <w:rFonts w:ascii="Amiri" w:hAnsi="Amiri" w:eastAsia="Amiri" w:cs="Amiri"/>
          <w:color w:val="111111"/>
          <w:sz w:val="28"/>
          <w:sz w:val="28"/>
          <w:szCs w:val="28"/>
          <w:rtl w:val="true"/>
          <w:lang w:bidi="ar-SA"/>
        </w:rPr>
        <w:t>أفراد نوع من أنواعها أشدّ من الفرد الآخر ، فيعتبر في نجس من أنواع النجاسات نجاسة شديدة ، وفي نجس آخر منها نجاسة ضعيفة ، ففي النجاسة الحاصلة من ملاقاة جسم للبول يمكن أن يعتبر نجاسة شديدة بحيث إذا غسل مرّة تزول مرتبة وتبقى مرتبة منها ، فيحتاج إلى غسلة ثانية لزوال المرتبة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الملكيّة في الاعتبار العرفي ليست هكذا ، بل هي أمر بسيط يدور أمرها بين الوجود والعدم ، ولا يمكن في نظر العرف والعقلاء أن تنعدم مرتبة منها وتبقى مرتبة أخرى ، فيدور أمرها بين أن تبقى بتمامها أو تزول بتمامها ، فبناء على هذا لا يمكن استصحاب بقاء مرتبة ضعيفة عن الملكيّة للمالك الثاني بعد فسخ المالك الأوّل ، كي ينتج نتيجة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أنّ استصحاب الملك الكلّي الجامع بين الملكيّة المستقرّة الثابتة التي لا تزول بالفسخ ، وبين الملكيّة المتزلزلة التي تزول بالفسخ لا مانع منه ، ونتيجته لزوم المعاملة التي شكّ في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هذا الاستصحاب بأنّ الشكّ في بقاء الكلّي مسبّب عن حدوث الفرد الباقي ، والأصل عدمه ، فلا يبقى موضوع لهذا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الكلّي ليس مسببا عن الشكّ في حدوث ذلك المشكوك الحدوث الذي لو كان حادثا لكان الكلّي باقيا ، أعني الفرد الباقي ، بل من لوازم كون الحادث ذلك الفرد الذي ارتفع يقينا ، أو الذي بقي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مسبّب عن أنّ الحادث أيّ واحد من هذين الفردين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البين ما يعيّن أنّ الحادث أيّ واحد من الفردين ؛ وذلك لأنّ الشكّ في بقاء الكلّي لا يرتفع إلاّ بارتفاع منشئه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الأصل الجاري في السبب على الأصل المسبّبي لا بدّ أن يكون الترتّب والسببيّة بينهما شرعيّا ، وتفصيل المسألة في الأصول ذكرناه في كتابنا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الأصول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النعتي ، أي عدم كون الحادث الذي وجد هو الفرد الباقي ليس له حالة سابقة ، والعدم المعمولي أي عدم حدوث الفرد الباقي مثبت ؛ لأنّ لازمه عقلا هو حدوث الفرد الزائل الذي لازمه القطع بارتفاع الكلّي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الفرد الباقي معارض بأصالة عدم حدوث الفرد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أنكر شيخنا الأستاذ قدس سره </w:t>
      </w:r>
      <w:r>
        <w:rPr>
          <w:rStyle w:val="FootnoteAnchor"/>
          <w:rtl w:val="true"/>
        </w:rPr>
        <w:footnoteReference w:id="370"/>
      </w:r>
      <w:r>
        <w:rPr>
          <w:rFonts w:ascii="Amiri" w:hAnsi="Amiri" w:eastAsia="Amiri" w:cs="Amiri"/>
          <w:color w:val="111111"/>
          <w:sz w:val="28"/>
          <w:sz w:val="28"/>
          <w:szCs w:val="28"/>
          <w:rtl w:val="true"/>
          <w:lang w:bidi="ar-SA"/>
        </w:rPr>
        <w:t>كون الاستصحاب هاهنا من القسم الثاني من أقسام استصحاب الكلّي ؛ لأنّ اختلاف الملك بكونه مستقرّا ومتزلزلا ليس لعروض خصوصيتين على الملك يكون بإحداهما مستقرّا وبالأخرى يسمّى متزلزلا ، بل الاختلاف يكون بنفس الارتفاع والبقاء ، من جهة أنّ تنوّعه بنوعين ليس باختلاف سبب الملك ، ولا باختلاف حقيقته وماهيّته ، من غير جهة أنّ أحدهما يرتفع بالفسخ والآخر 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وكان تنوّعه بنفس اللزوم والجواز ، فينتفي أحد ركني الاستصحاب على أيّ حال ، لأنّ أحد النوعين أي الجائز مقطوع الارتفاع ، والآخر أي اللازم مشكوك الحدوث من أوّل الأمر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ليس في البين إلاّ ملكيّة واحدة مردّدة بين أنّ الشارع حكم بلزومها ، أو حكم بجوازها بواسطة اختلاف أسبابها ، فمع قطع النظر عن حكم الشارع باللزوم والجواز لا تعدّد ولا تنوّع كي يقال بأنّ الجامع كان متيقّن الوجود فصار مشكوك البقاء ، بل ملكيّة واحدة لم يعلم أنّ الشارع حكم عليه باللزوم أو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الجامع هاهنا من قبيل الكلّي الذي له وجود بوجود هذا الفرد وله وجود آخر بوجود الفرد الآخر ، كما هو الشأن في الكلّي الطبيعي في الموارد الأخر ، بل ها هنا يشبه الفرد الشخصي المردّد بين كونه كذا وبين كونه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في البقاء فيه يرجع إلى أنّ هذا الكلّي الذي حكم عليه الشارع بالبقاء أو بالزوال هل هو باق أم لا؟ ومعلوم أنّ هذا الكلّي الذي إمّا باق أو زائل على كلّ واحد من التقديرين ليس قابلا للإبقاء ؛ لأنّه على تقدير الزوال ممتنع البقاء ، وعلى تقدير البقاء يكون إبقاؤه تعبّدا من قبيل تحصيل الحاصل بل أسوء منه ؛ لأنّه يكون من تحصيل ما هو حاصل بالوجدان بالتعبّد ، ولا يقاس بالكلّي الذي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إضافة خصوصية إلى الطبيعة يحصل فرد منها ، وبإضافة خصوصيّة أخرى بدل الأولى يحصل فرد آخر ؛ لأنّه هناك للطبيعة 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منضمّ إلى هذه الخصوصية ، ووجود آخر منضمّ إلى خصوصية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أنّ الخصوصية المنضمّة إلى الطبيعة أيّة واحدة من الخصوصيّتين موجب للشكّ في بقاء الطبيعة ؛ لأنّ مرجع الشكّ الأوّل إلى أنّه هل الجامع بين الوجودين وجد في ضمن وجود الفرد الزائل كي يكون زائلا ، أو وجد في ضمن وجود الفرد الباقي كي يكون باقيا ، فيكون شكّا في بقاء ذلك الجامع الذي نسمّيه بالكلّي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ليس للملكيّة وجودان ، أحدهما في ضمن الذي حكم عليه الشارع بالبقاء ، والآخر في ضمن الذي حكم عليه بالزوال ، بل وجود واحد إمّا حكم عليه بالبقاء أو بالزوال ، فالاستصحاب مرجعه إلى أنّ هذا الوجود الباقي باق ، أو هذا الوجود الزائل باق ، وكلاهما محالان ، كما بيّنّا وجهه ، وعبّر عن هذا المعنى شيخنا الأستاذ قدس سره </w:t>
      </w:r>
      <w:r>
        <w:rPr>
          <w:rStyle w:val="FootnoteAnchor"/>
          <w:rtl w:val="true"/>
        </w:rPr>
        <w:footnoteReference w:id="371"/>
      </w:r>
      <w:r>
        <w:rPr>
          <w:rFonts w:ascii="Amiri" w:hAnsi="Amiri" w:eastAsia="Amiri" w:cs="Amiri"/>
          <w:color w:val="111111"/>
          <w:sz w:val="28"/>
          <w:sz w:val="28"/>
          <w:szCs w:val="28"/>
          <w:rtl w:val="true"/>
          <w:lang w:bidi="ar-SA"/>
        </w:rPr>
        <w:t xml:space="preserve">بأنّه يلزم منه إدخال عقد الجمل في عقد الوضع ، فافهم فإنّه دقيق </w:t>
      </w:r>
    </w:p>
    <w:p>
      <w:pPr>
        <w:pStyle w:val="BookText"/>
        <w:rPr/>
      </w:pPr>
      <w:r>
        <w:rPr>
          <w:rFonts w:ascii="Amiri" w:hAnsi="Amiri" w:eastAsia="Amiri" w:cs="Amiri"/>
          <w:color w:val="111111"/>
          <w:sz w:val="28"/>
          <w:sz w:val="28"/>
          <w:szCs w:val="28"/>
          <w:rtl w:val="true"/>
          <w:lang w:bidi="ar-SA"/>
        </w:rPr>
        <w:t>وبالتأمّل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 أي كون الملكيّة مستقرّة أو متزلزلة ليس باعتبار اختلاف في حقيقة الملك ، بل إنّما هو باعتبار حكم الشارع في بعض المقامات عليه بالزوال برجوع المالك ، وفي بعض المقامات الأخر بعدم الزوال بالرجوع ، ومنشأ هذا الاختلاف اختلاف حقيقة السبب المملّك ، لا اختلاف حقيقة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فجواز الرجوع وعدمه من الأحكام الشرعيّة للسبب ، لا من الخصوصيّات المأخوذة في المسبّب ، وقد أخذه شيخنا الأستاذ قدس سره من الشيخ الأعظم الأنصاري قدس سره ولكن الشيخ الأعظم </w:t>
      </w:r>
      <w:r>
        <w:rPr>
          <w:rStyle w:val="FootnoteAnchor"/>
          <w:rtl w:val="true"/>
        </w:rPr>
        <w:footnoteReference w:id="372"/>
      </w:r>
      <w:r>
        <w:rPr>
          <w:rFonts w:ascii="Amiri" w:hAnsi="Amiri" w:eastAsia="Amiri" w:cs="Amiri"/>
          <w:color w:val="111111"/>
          <w:sz w:val="28"/>
          <w:sz w:val="28"/>
          <w:szCs w:val="28"/>
          <w:rtl w:val="true"/>
          <w:lang w:bidi="ar-SA"/>
        </w:rPr>
        <w:t xml:space="preserve">علّل بهذا صحّة جريان الاستصحاب ، وشيخنا الأستاذ </w:t>
      </w:r>
      <w:r>
        <w:rPr>
          <w:rStyle w:val="FootnoteAnchor"/>
          <w:rtl w:val="true"/>
        </w:rPr>
        <w:footnoteReference w:id="373"/>
      </w:r>
      <w:r>
        <w:rPr>
          <w:rFonts w:ascii="Amiri" w:hAnsi="Amiri" w:eastAsia="Amiri" w:cs="Amiri"/>
          <w:color w:val="111111"/>
          <w:sz w:val="28"/>
          <w:sz w:val="28"/>
          <w:szCs w:val="28"/>
          <w:rtl w:val="true"/>
          <w:lang w:bidi="ar-SA"/>
        </w:rPr>
        <w:t>علل به عدم صحّة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بين الكلامين أنّ شيخنا الأستاذ أراد به عدم جريان استصحاب الكلّي ، والشيخ الأعظم أراد صحّة استصحاب الشخصيّ وأنّه ليس من الكلّي ولا من الفرد المردّد ، وكلا القولين في غاية القوّة والمتانة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جريان استصحاب الكلّي ، فقد بيّنّا وجهه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الاستصحاب شخصيّا وأنّه ليس من الفرد المردّد فلا مانع من جريانه ؛ فلأنّ الملكيّة الحاصلة من العقد أو من المعاملة الخارجيّة شخصي لا تعدّد فيها على الفرض ؛ لأنّ المفروض أنّ اللزوم أو الجواز من الأحكام الشرعيّة للسبب لا من خصوصيّات المسبّب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فالمسبّب باق على النحو الذي أنشأ ووجد في عالم الاعتبار ، أي على تشخّصه وتفرّده ، فبواسطة الشكّ في أنّ الشارع حكم باللزوم وعدم الرجوع أو الجواز ورجوع المال إلى مالكه الأوّلى يشكّ في بقائه فيستصحب ؛ لتماميّة أركانه من اليقين بوجود الملكيّة الشخصيّة ، والشكّ في ارتفاعها بواسطة الشكّ في حكم الشارع باللزوم </w:t>
      </w:r>
    </w:p>
    <w:p>
      <w:pPr>
        <w:pStyle w:val="BookText"/>
        <w:rPr/>
      </w:pPr>
      <w:r>
        <w:rPr>
          <w:rFonts w:ascii="IRNazanin" w:hAnsi="IRNazanin" w:eastAsia="IRNazanin"/>
          <w:color w:val="111111"/>
          <w:sz w:val="28"/>
          <w:sz w:val="28"/>
          <w:szCs w:val="28"/>
          <w:rtl w:val="true"/>
          <w:lang w:bidi="fa-IR"/>
        </w:rPr>
        <w:t>أو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شي‌ء وهو دليل أنّ الملكيّة المنشأة واحدة 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فرضنا أنّ الجواز واللزوم ليسا من خصوصيات الملك المسبّب ، بل من الأحكام الشرعيّة للسبب المملّك ، وأيضا بعد أنّ المفروض أنّ المنشئ أنشأ بإنشاء واحد ملكيّة شي‌ء واحد ، كلّيا كان ذلك الشي‌ء أو كان جزئيّا خارجيّا ممتنع الصدق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فبإنشاء واحد على متعلّق واحد لا يمكن جعل ملكيّتين ، بل لا يمكن ذلك ولو كان بإنشاءات متعدّدة ؛ إذ باعتبارات متعدّدة لو اعتبر حرّية شخص أو رقّيته أو ملكيّة مال ، لا يحصل إلاّ حرّية أو رقية أو ملكيّة واحدة ؛ وذلك من جهة أنّ اعتبارها ثانيا بعد حصولها لغو بل محال ؛ لأنّه من قبيل تحصيل الحاصل ، فإذا باع المالك ماله مثلا وأنشأ ملكيّة لزيد مثلا فلا أثر لإنشاء ملكيّة له ثانيا ، بل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مثلا أنشأ شخصا من الملكيّة يكون تشخّصها بتشخّص متعلّقها وموضوعها ، فيكون إنشاء طبيعة في عالم الاعتبار كإيجادها في عالم التكوين ، وحيث أنّ متعلّق ذلك الأمر الاعتباري شخص واحد ، فقهرا يتشخّص بتشخّصه كالعرض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مردّدة بين اللزوم والجواز تقدّم أنّه ليس من الخصوصيّات اللاحقة لها ، فثبت أنّ الملكيّة المنشأة شخص واحد لا تعدّد فيه ، فلا مانع من استصحاب ذلك الشخص بعد حصول الشكّ في بقائه من ناحية الشكّ في الحكم الشرعيّ ببقائه أو لزومه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بأنّ اللزوم والجواز من الخصوصيّات اللاحقة للملكيّة المنوّعة أو المصنّفة لها ، أو لحقوقهما لها كلّ واحد منهما لخصوصيّة فيها غير الخصوصيّة الأخرى ، فيجري فيها استصحاب الكلّي الجامع بينهما كسائر الاستصحابات التي من القسم الثاني من أقسام الاستصحاب الكلّي على ما هو الصحيح من صحّة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قلنا بأنّهما ليسا من الخصوصيّات المنوّعة أو </w:t>
      </w:r>
    </w:p>
    <w:p>
      <w:pPr>
        <w:pStyle w:val="BookText"/>
        <w:rPr/>
      </w:pPr>
      <w:r>
        <w:rPr>
          <w:rFonts w:ascii="Amiri" w:hAnsi="Amiri" w:eastAsia="Amiri" w:cs="Amiri"/>
          <w:color w:val="111111"/>
          <w:sz w:val="28"/>
          <w:sz w:val="28"/>
          <w:szCs w:val="28"/>
          <w:rtl w:val="true"/>
          <w:lang w:bidi="ar-SA"/>
        </w:rPr>
        <w:t>المصنّفة للملكيّة ، بل هما حكمان شرعيّان لها باعتبار اختلاف أسبابها ، فيجري فيها الاستصحاب الشخصي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الشيخ الأعظم الأنصاري قدس سره </w:t>
      </w:r>
      <w:r>
        <w:rPr>
          <w:rStyle w:val="FootnoteAnchor"/>
          <w:rtl w:val="true"/>
        </w:rPr>
        <w:footnoteReference w:id="374"/>
      </w:r>
      <w:r>
        <w:rPr>
          <w:rFonts w:ascii="Amiri" w:hAnsi="Amiri" w:eastAsia="Amiri" w:cs="Amiri"/>
          <w:color w:val="111111"/>
          <w:sz w:val="28"/>
          <w:sz w:val="28"/>
          <w:szCs w:val="28"/>
          <w:rtl w:val="true"/>
          <w:lang w:bidi="ar-SA"/>
        </w:rPr>
        <w:t>أنّه لو شكّ في أنّ اللزوم والجواز من خصوصيّات الملك ، أو حكمان شرعيّان يتعلّقان بالملك باعتبار اختلاف أسبابه أيضا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واضح على ما ذكرنا ؛ لأنّه بناء على كونهما من خصوصيّات الملك يكون الاستصحاب من القسم الثاني من أقسام استصحاب الكلّي ، ويكون من قبيل الحدث المردّد بين الأصغر والأكبر فتوضّأ ، فإن كان الأصغر ارتفع ، وإن كان الأكبر فباق ، فيستصحب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بناء على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اللزوم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الملك ، فيعد الفسخ إن كان جائزا فقد ارتفع ، وإن كان لازما فالملك باق ، فيستصحب الملك الكلّي الجامع بين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كونهما حكمان شرعيّان يردّان على الملك باعتبار اختلاف أسبابه ، فيستصحب شخص الملكيّة المنشأة من جهة الشكّ في ارتفاعها بعد ثبوتها يقينا ، فلا إشكال على كلّ واحد من التقديرين في جريان الاستصحاب وتماميّة أركانه ، غاية الأمر في أحد الفرضين يكون الاستصحاب كلّيا ، وفي الآخر يكون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ذكرنا وتقدّم في أوّل بحث جريان الاستصحاب أنّ استصحاب الشخص لا يجري ؛ لأنّ مرجعه إلى استصحاب الفرد المردّد ، وهو لا يجوز فقولكم إنّه يجرى على كلا الفرضين مناقض لما تقدّم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قولنا بعدم جريان الاستصحاب الشخصي وأنّه من استصحاب الفرد المردّد كان مبنيّا على أنّ يكون اللزوم والجواز من الخصوصيّات </w:t>
      </w:r>
      <w:bookmarkStart w:id="180" w:name="pg15947_151178"/>
    </w:p>
    <w:p>
      <w:pPr>
        <w:pStyle w:val="BookText"/>
        <w:rPr/>
      </w:pPr>
      <w:bookmarkEnd w:id="180"/>
      <w:r>
        <w:rPr>
          <w:rFonts w:ascii="Amiri" w:hAnsi="Amiri" w:eastAsia="Amiri" w:cs="Amiri"/>
          <w:color w:val="111111"/>
          <w:sz w:val="28"/>
          <w:sz w:val="28"/>
          <w:szCs w:val="28"/>
          <w:rtl w:val="true"/>
          <w:lang w:bidi="ar-SA"/>
        </w:rPr>
        <w:t>المنوّعة للملك ، وأمّا إذا كانا من الأحكام الشرعيّة التي جعلهما باعتبار اختلاف الأسباب كما هو المفروض في محلّ الكلام ، فلا مانع من جريان الاستصحاب الشخصي ، فلا مناقضة بين الكلامين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6231978_2142443653"/>
      <w:bookmarkStart w:id="182" w:name="_Toc62"/>
      <w:bookmarkEnd w:id="181"/>
      <w:r>
        <w:rPr>
          <w:rtl w:val="true"/>
        </w:rPr>
        <w:t>خاتمة البحث في هذه القاعدة</w:t>
      </w:r>
      <w:bookmarkEnd w:id="182"/>
    </w:p>
    <w:p>
      <w:pPr>
        <w:pStyle w:val="BookText"/>
        <w:rPr/>
      </w:pPr>
      <w:r>
        <w:rPr>
          <w:rFonts w:ascii="Amiri" w:hAnsi="Amiri" w:eastAsia="Amiri" w:cs="Amiri"/>
          <w:color w:val="111111"/>
          <w:sz w:val="28"/>
          <w:sz w:val="28"/>
          <w:szCs w:val="28"/>
          <w:rtl w:val="true"/>
          <w:lang w:bidi="ar-SA"/>
        </w:rPr>
        <w:t>وهو أنّه وعدنا في صدر المسألة بيان جريان الاستصحاب في العقود التمليكيّة التعليقيّة وإثبات لزومها به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العقود التعليقيّة هو أن يكون التمليك معلّقا على أمر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أفاده الشيخ الأعظم الأنصاري قدس سره عدم جريان استصحاب الملكيّة في تلك العقود قبل حصول ذلك الأمر المعلّق عليه لو شكّ في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شكّ في لزوم الجعالة قبل حصول ما جعل على تحصيله الجعل ، أو شكّ في لزوم عقد المسابقة قبل حصول السبق ، فلا يصحّ إثبات لزومهما باستصحاب ملكيّة الجعل في الجعالة ، أو السبق في عقد المسابقة ؛ وذلك من جهة عدم حصول ملكيّة الجعل والسبق كي يستصحب ، والمستصحب قبل وجود المعلّق عليه لا وجود له ولا عين ولا أثر له ، فأيّ شي‌ء يستصحبه ، وكيف يستصحب؟</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في هذه العقود التعليقيّة يمضي ما أنشأه العاقد ، كما أنّه في العقود التنجيزيّة أيضا يمضي ما أنشأه العاقد ، وليس فرق بين إمضاء الشارع في النوعين التعليقيّة والتنجيزيّة ، وإنّما الفرق بينهما في المنشأ ، فإنّ المنشأ في العقود التنجزيّة الملكيّة المنجّزة ، وفي العقود التعليقيّة الملكيّة المعلّقة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فالعاقد في العقود التعليقيّة مثل الجعالة والسبق والرماية ينشأ ملك الجعل على تقدير ردّ الضالّة ، وملكيّة السبق في عقد السبق والرماية على تقدير حصول السبق وإصابة الرمي ، وهذا الإنشاء يشبه جعل الشارع الأحكام الكليّة على موضوعاتها </w:t>
      </w:r>
    </w:p>
    <w:p>
      <w:pPr>
        <w:pStyle w:val="BookText"/>
        <w:rPr/>
      </w:pPr>
      <w:r>
        <w:rPr>
          <w:rFonts w:ascii="Amiri" w:hAnsi="Amiri" w:eastAsia="Amiri" w:cs="Amiri"/>
          <w:color w:val="111111"/>
          <w:sz w:val="28"/>
          <w:sz w:val="28"/>
          <w:szCs w:val="28"/>
          <w:rtl w:val="true"/>
          <w:lang w:bidi="ar-SA"/>
        </w:rPr>
        <w:t>على نحو القضية الحقيقيّة ، أى على الموضوعات المقدّرة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الكلّي المجعول على موضوع سواء كان ذلك الموضوع مقيّدا بوصف أو كان مشروطا بشرط يكون الموضوع ذلك المركّب المفروض الوجود ، 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العاقل البالغ المستطيع الحرّ ، أو قال بصورة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بالغا حرّا مستطيعا يجب عليه الحجّ ، فالموضوع عبارة عن الإنسان الواجد لهذه الصفات ، فكلّما وجد في الخارج إنسان جامع لهذه الصفات يتحقّق الموضوع ويوجد وينطبق ما هو الموضوع عليه ، فإن أتى بذلك المركّب يكون ممتثلا ، وإن لم يأت يعدّ عاصيا متمرّدا ، وفي أيّ وقت رفع الشارع هذا الحكم عن ذلك الموضوع بدون أيّ تغيير في جانب الموضوع ، من فقد شرط أو جزء أو وجود مانع ، يعدّ هذا نسخا ، فلو شكّ في بقاء هذا الحكم على هذا الموضوع المفروض الوجود ، بدون أيّ تغيير ، يستصحب بقاؤه لتماميّة أركانه ، ويسمّى باستصحاب عدم النسخ ، ولا كلام ولا إشكال ولا خلاف في جريانه ، والاستصحاب في العقود التعليقيّة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قضيّة فقد صواع الملك في قضيّة يوسف الصدّيق مع إخوته ، جعل حمل بعير لمن جاء بصواع الملك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 الذي يشرب فيه أو منه ، وردّ هذه الضالّة أي جام الملك ، فيشبه هذا الجعل ، أي جعل ملكيّة حمل بعير لمن يأتي بصواع الملك جعل حكم كلّى على الموضوع المقدّر وجوده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فهاهنا أيضا الموضوع المقدّر وجوده كلّ إنسان جاء بجام الملك ، غاية الأمر هناك ، أي في القضايا المتكفّلة لجعل الأحكام الشرعيّة الجعل ابتداء من قبل الشارع ، وها هنا أي في باب العقود التعليقيّة الجعل ابتداء من المالك ، والإمضاء من الشارع ، فكما أنّ استصحاب عدم النسخ في الأحكام الكلّية لا إشكال فيه لتماميّة أركانه ، فكذلك هاهنا استصحاب بقاء الملكيّة المنشأة من قبل المالك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شيخنا الأعظم الأنصاري قدس سره </w:t>
      </w:r>
      <w:r>
        <w:rPr>
          <w:rStyle w:val="FootnoteAnchor"/>
          <w:rtl w:val="true"/>
        </w:rPr>
        <w:footnoteReference w:id="375"/>
      </w:r>
      <w:r>
        <w:rPr>
          <w:rFonts w:ascii="Amiri" w:hAnsi="Amiri" w:eastAsia="Amiri" w:cs="Amiri"/>
          <w:color w:val="111111"/>
          <w:sz w:val="28"/>
          <w:sz w:val="28"/>
          <w:szCs w:val="28"/>
          <w:rtl w:val="true"/>
          <w:lang w:bidi="ar-SA"/>
        </w:rPr>
        <w:t>أنّه قال بصحّة الاستصحاب التعليقي مع أنّه غير صحيح ، وأنكر جريان الاستصحاب هاهنا ، وقد عرفت أنّ صحّة الاستصحاب هاهنا وجريانه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صحّة الاستصحاب التعليقيّ وأنّه لا يجري ، فبيانه وإيضاحه موقوف على بيان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استصحاب التعليقي عبارة عن أن يكون موضوع الحكم الشرعي مركّبا من جزئين ، سواء كان أحد الجزئين قيدا ووصفا للآخر ، أو كان شرطا له ، فالأوّل كالعنب المغلي ، والثاني كالعنب إذا غلى ، فتغيّر أحد الجزئين قبل وجود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جفّ العنب قبل أن يغلي وصار زبيبا ، فشكّ في أنه إذا انضمّ إلى الجزء الآخر بعد حدوث هذا التغيّر هل يبقى الحكم السابق أم لا؟ فإذا غلى الزبيب هل يكون شربه حراما ويكون نجسا ، كما أنّه لو كان يغلي في حال عدم الجفاف والعنبية كان له هذا الحكم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وجود هذا الشكّ هل يصحّ استصحاب الحكم السابق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الزبيب حين ما كان عنبا كان شربه حراما على تقدير الغليان ، والآن بعد ما صار زبيبا أيضا كذلك ، أي يكون شربه حراما على تقدير الغليان ، وهذا يسمّى بالاستصحاب التعليقيّ ؛ لأنّه عبارة عن إبقاء الحكم المعلّق لا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وجريانه خلاف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عندي عدم صحّته ؛ وذلك من جهة أنّ العنب لم يكن له حكم كي بعد جفافه والشكّ في بقاء ذلك الحكم يستصحب ؛ وذلك من جهة أنّ العنب كان جزء الموضوع ، والجزء الآخر هو الغليان ، وقبل وجود الموضوع بتمام أجزائه محال أن يوجد الحكم ؛ لأنّ وجود الحكم قبل ذلك خلف ، أي يلزم منه أن يكون ما فرضته موضوعا </w:t>
      </w:r>
    </w:p>
    <w:p>
      <w:pPr>
        <w:pStyle w:val="BookText"/>
        <w:rPr/>
      </w:pPr>
      <w:r>
        <w:rPr>
          <w:rFonts w:ascii="Amiri" w:hAnsi="Amiri" w:eastAsia="Amiri" w:cs="Amiri"/>
          <w:color w:val="111111"/>
          <w:sz w:val="28"/>
          <w:sz w:val="28"/>
          <w:szCs w:val="28"/>
          <w:rtl w:val="true"/>
          <w:lang w:bidi="ar-SA"/>
        </w:rPr>
        <w:t>لا يكون موضوعا ، ويكون من هذه الجهة حال الموضوع المركّب حال العلّة المركّبة ، أي كما لا يمكن وجود المعلول قبل وجود علّته بتمام أجزائها ، كذلك لا يمكن وجود الحكم قبل وجود الموضوع بتمامه ، والبرهان في الموردين هو لزوم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لم يكن للعنب قبل أن يجفّ ما لم يغل حكم كي يبقى بالاستصحاب إلى حال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الحرمة والنجاسة الفعليّة وإن لم تكونا للعنب قبل الغليان لعدم موضوعهما قبل الغليان ، ولكنّ الحرمة والنجاسة التقديريّتان كانتا له ، بمعنى أنّه كان يصحّ أن يقال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العنب يتّصف بالحرمة والنجاسة على تقدير غليانه ، وهذا نحو وجود للحكم ، ولا بأس بأن نسمّيه بالحكم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هذا القول في الكفاية </w:t>
      </w:r>
      <w:r>
        <w:rPr>
          <w:rStyle w:val="FootnoteAnchor"/>
          <w:rtl w:val="true"/>
        </w:rPr>
        <w:footnoteReference w:id="376"/>
      </w:r>
      <w:r>
        <w:rPr>
          <w:rFonts w:ascii="Amiri" w:hAnsi="Amiri" w:eastAsia="Amiri" w:cs="Amiri"/>
          <w:color w:val="111111"/>
          <w:sz w:val="28"/>
          <w:sz w:val="28"/>
          <w:szCs w:val="28"/>
          <w:rtl w:val="true"/>
          <w:lang w:bidi="ar-SA"/>
        </w:rPr>
        <w:t xml:space="preserve">، وأصرّ في وجود الحكم التقديري قبل وجود ما علّق عليه ، أي الجزء الآخر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المعلّق قبله إنّما لا يكون موجودا فعلا ، لا أنّه لا يكون موجودا أصلا ولو بنحو التعليق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بفساد هذا القول العجيب ؛ إذ لا شكّ في أنّ بداهة العقل يحكم بوجود كلّ معلول عند وجود علّته ، فهل يصحّ عند عدم وجود علّة شي‌ء أن يقال بالوجود التقديري لذلك المعلول في ظرف عدم علّته ، مثلا لا شكّ في أنّ غروب الشمس علّة لوجود الليل ، أفيصحّ أن يقول في وقت الظهر وارتفاع الشمس أنّ الليل موجود بالوجود التقديريّ؟ نعم الموجود هي الملازمة بين وجود العلّة والمعلول ، والحكم والموضوع ، والملازمة حكم عقلي لا دخل ولا ربط لها بالأحكام ، وقد يتحقّق بين الممتنعين كتعدّد الآلهة وفساد السماوات والأرضين ، ووجود الملازمة بين شيئين لا يدلّ على وجود طرفي الملازمة ، بل تثبت وتصدق كما ذكرنا بين الممتنعين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 هذا ما نسب إلى شيخنا الأعظم الأنصاري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تصحيح الاستصحاب التعليقيّ بإرجاعه إلى استصحاب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الشيئين حكم عقليّ أزلي ، ليس قابلا للجعل الشرعي ، وهو قدس سره اعترف بذلك وقال بأنّ الملازمة وكذلك السببيّة لا يمكن أن يكونا مجعولين بالجعل الشرعي ، فالقول باستصحاب الملازمة مناقض مع ذكره في الأحكام الوضعيّة من عدم إمكان جعل الملازمة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المستصحب لا بدّ وأن يكون إمّا من المجعولات الشرعيّة بنفسه ، أو يكون له أثر مجعول كي يكون قابلا للتعبّد ببقائه ، والسرّ في أنّ الملازمة ليست قابلة للجعل الشرعي أمّا في المقام ، فمن جهة أنّ فرض عدم الملازمة بين الحكم وموضوعه يرجع إلى جواز الانفكاك بينهما ، وهذا خلف ، أي يكون خلاف فرض كونهما موضوعا وحكما ، وهذا مناقضة ومحال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ينتزع الملازمة من كون الانفكاك بين شيئين محالا ، سواء كان بين العلّة والمعلول ، أو الحكم والموضوع ، أو بين معلولي علّة واحدة المسمّى بالمتلازمين ، فإذا كان الأمر كذلك ، فلا يبقى مجال للجعل الشرعي ، بل لا يمكن ؛ لأنّ انتزاعه قهريّ ، ويكون من لوازم الذات التي لا يتطرّق الجعل إليها مطلقا ، لا تكوينا ولا تشريعا ، كالإمكان بالنسبة إلى الممكنات ، والشيئيّة بالنسبة إلى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تكون الملازمة من المجعولات الشرعيّة ، تكون بين تمام الموضوع وحكمه ، فإنّها لا ينفكّان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جزء الموضوع مع جزئه الآخر مع الحكم فليسا بمتلازمين ، بل لا بدّ من الانفكاك بينهما ، وإلاّ يلزم الخلف ، أي يلزم ما فرضته جزء الموضوع أن يكون تمام الموضوع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المفروض الملازمة بين العنب المغلي مع الحرمة والنجاسة ، وأمّا العنب </w:t>
      </w:r>
    </w:p>
    <w:p>
      <w:pPr>
        <w:pStyle w:val="BookText"/>
        <w:rPr/>
      </w:pPr>
      <w:r>
        <w:rPr>
          <w:rFonts w:ascii="Amiri" w:hAnsi="Amiri" w:eastAsia="Amiri" w:cs="Amiri"/>
          <w:color w:val="111111"/>
          <w:sz w:val="28"/>
          <w:sz w:val="28"/>
          <w:szCs w:val="28"/>
          <w:rtl w:val="true"/>
          <w:lang w:bidi="ar-SA"/>
        </w:rPr>
        <w:t>مع عدم الغليان فلا ملازمة بينه وبين الحرمة والنجاسة ، فلا ملازمة كي يستصحب بقاؤها في ظرف الشكّ في البقاء بواسطة جفافه وصيرورته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إشكالات وأنظار من القائلين بصحّة الاستصحاب التعليقي ، ولكن نحن لسنا بصدد تحرير هذه المسألة من جميع النواحي والجهات ، وقد حقّقناها ودفعنا جميع ما أوردوا عليها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فليراجع إليها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باطناً</w:t>
      </w:r>
      <w:r>
        <w:rPr>
          <w:rFonts w:eastAsia="Amiri" w:cs="Amiri" w:ascii="Amiri" w:hAnsi="Amiri"/>
          <w:color w:val="111111"/>
          <w:sz w:val="28"/>
          <w:szCs w:val="28"/>
          <w:rtl w:val="true"/>
          <w:lang w:bidi="ar-SA"/>
        </w:rPr>
        <w:t xml:space="preserve">. </w:t>
      </w:r>
      <w:bookmarkStart w:id="183" w:name="pg15947_151184"/>
    </w:p>
    <w:p>
      <w:pPr>
        <w:pStyle w:val="Heading2"/>
        <w:numPr>
          <w:ilvl w:val="1"/>
          <w:numId w:val="1"/>
        </w:numPr>
        <w:rPr/>
      </w:pPr>
      <w:bookmarkStart w:id="184" w:name="__RefHeading___Toc16231980_2142443653"/>
      <w:bookmarkStart w:id="185" w:name="_Toc63"/>
      <w:bookmarkEnd w:id="183"/>
      <w:bookmarkEnd w:id="184"/>
      <w:r>
        <w:rPr/>
        <w:t>50</w:t>
      </w:r>
      <w:r>
        <w:rPr>
          <w:rtl w:val="true"/>
        </w:rPr>
        <w:t xml:space="preserve"> - </w:t>
      </w:r>
      <w:r>
        <w:rPr>
          <w:rtl w:val="true"/>
        </w:rPr>
        <w:t>قاعدة حرمة إبطال الأعمال العبادية</w:t>
      </w:r>
      <w:bookmarkEnd w:id="18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6231982_2142443653"/>
      <w:bookmarkStart w:id="187" w:name="_Toc64"/>
      <w:bookmarkEnd w:id="186"/>
      <w:r>
        <w:rPr>
          <w:rtl w:val="true"/>
        </w:rPr>
        <w:t>اشارة</w:t>
      </w:r>
      <w:bookmarkEnd w:id="1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947_151186"/>
      <w:bookmarkStart w:id="189" w:name="pg15947_151186"/>
      <w:bookmarkEnd w:id="189"/>
    </w:p>
    <w:p>
      <w:pPr>
        <w:pStyle w:val="BookText"/>
        <w:rPr/>
      </w:pPr>
      <w:bookmarkStart w:id="190" w:name="pg15947_151186"/>
      <w:bookmarkEnd w:id="190"/>
      <w:r>
        <w:rPr>
          <w:rFonts w:ascii="Amiri" w:hAnsi="Amiri" w:eastAsia="Amiri" w:cs="Amiri"/>
          <w:color w:val="111111"/>
          <w:sz w:val="28"/>
          <w:sz w:val="28"/>
          <w:szCs w:val="28"/>
          <w:rtl w:val="true"/>
          <w:lang w:bidi="ar-SA"/>
        </w:rPr>
        <w:t xml:space="preserve">قاعدة حرمة إبطال الأعمال العبادية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ومن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إبطال الأعمال العبادية إلاّ ما خرج بالدليل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من جهات </w:t>
      </w:r>
      <w:r>
        <w:rPr>
          <w:rFonts w:eastAsia="IRNazanin" w:cs="IRNazanin"/>
          <w:color w:val="111111"/>
          <w:sz w:val="28"/>
          <w:szCs w:val="28"/>
          <w:rtl w:val="true"/>
          <w:lang w:bidi="fa-IR"/>
        </w:rPr>
        <w:t>:</w:t>
      </w:r>
    </w:p>
    <w:p>
      <w:pPr>
        <w:pStyle w:val="Heading3"/>
        <w:numPr>
          <w:ilvl w:val="2"/>
          <w:numId w:val="1"/>
        </w:numPr>
        <w:rPr/>
      </w:pPr>
      <w:bookmarkStart w:id="191" w:name="__RefHeading___Toc16231984_2142443653"/>
      <w:bookmarkStart w:id="192" w:name="_Toc65"/>
      <w:bookmarkEnd w:id="191"/>
      <w:r>
        <w:rPr>
          <w:rtl w:val="true"/>
        </w:rPr>
        <w:t xml:space="preserve">الجهة الأولى </w:t>
      </w:r>
      <w:r>
        <w:rPr>
          <w:rtl w:val="true"/>
        </w:rPr>
        <w:t xml:space="preserve">: </w:t>
      </w:r>
      <w:r>
        <w:rPr>
          <w:rtl w:val="true"/>
        </w:rPr>
        <w:t>في بيان مفاد هذه القاعدة وأنّه ما المراد منها</w:t>
      </w:r>
      <w:bookmarkEnd w:id="19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هو أنّ العمل العبادي المركّب التدريجي الوجود لا يجوز إبطاله في الأثناء ، بمعنى رفع اليد عن إتيانها تماما في الأثناء ، أو يأتي بشي‌ء لا يصحّ معه الإتمام ويخرج عن قابليّة التحاق الأجزاء اللاحقة بسابقتها كي يتمّ العمل ويوجد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شرع في الصلاة فليس له أن يرفع اليد عنها في الأثناء ، أو يأتي بأحد قواطع الصلاة كي تخرج عن قابلية الإتمام ووقوعها صحيحا ، أو شرع في الإحرام لعمرة التمتّع كي يتمتّع بها إلى الحجّ ، فرفع اليد عن إتمام العمرة أو الحجّ أو أتى بمانع لا يقع معه الحجّ صحيحا ، مثل أن جامع عمدا وإن كان مع زوجته فيفسد حجّه ، ولا يمكن أن يتمّه صحيحا ، فهذا معنى حرمة الإبطال المراد من هذه القاعدة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شكّ في أنّ الواجبات المضيقة لا يجوز إبطالها قطعا ، ولكن ليس لأجل </w:t>
      </w:r>
      <w:bookmarkStart w:id="193" w:name="pg15947_151187"/>
    </w:p>
    <w:p>
      <w:pPr>
        <w:pStyle w:val="BookText"/>
        <w:rPr/>
      </w:pPr>
      <w:bookmarkEnd w:id="193"/>
      <w:r>
        <w:rPr>
          <w:rFonts w:ascii="Amiri" w:hAnsi="Amiri" w:eastAsia="Amiri" w:cs="Amiri"/>
          <w:color w:val="111111"/>
          <w:sz w:val="28"/>
          <w:sz w:val="28"/>
          <w:szCs w:val="28"/>
          <w:rtl w:val="true"/>
          <w:lang w:bidi="ar-SA"/>
        </w:rPr>
        <w:t>هذه القاعدة ، بل لو لم تثبت هذه القاعدة ولم يوجد عليها دليل ، أيضا لا يجوز قطع تلك الواجبات ؛ لأنّ مرجع قطعها وإبطالها بالمعنى الذي ذكرنا للإبطال تفويت تلك الواجبات وتركها في وقتها مع أنّها مضيّقة ، فهذا شي‌ء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الكلام في الواجبات الموسّعة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جواز قطعها لعذر دلّ الدليل عليه لا ينافي مع هذه القاعدة ، وذلك من جهة أنّ مفاد هذه القاعدة عدم جواز القطع بعنوانه الأوّلي ، فلا ينافي الجواز لطروّ عناوين أخر كطروّ ضرر أو حرج وأمثالها من الحالات الطارئة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231986_2142443653"/>
      <w:bookmarkStart w:id="195" w:name="_Toc66"/>
      <w:bookmarkEnd w:id="194"/>
      <w:r>
        <w:rPr>
          <w:rtl w:val="true"/>
        </w:rPr>
        <w:t xml:space="preserve">الجهة الثانية </w:t>
      </w:r>
      <w:r>
        <w:rPr>
          <w:rtl w:val="true"/>
        </w:rPr>
        <w:t xml:space="preserve">: </w:t>
      </w:r>
      <w:r>
        <w:rPr>
          <w:rtl w:val="true"/>
        </w:rPr>
        <w:t>في أنّه ما الدليل على هذه القاعدة؟ أي حرمة إبطال الأعمال العباديّة</w:t>
      </w:r>
      <w:r>
        <w:rPr>
          <w:rtl w:val="true"/>
        </w:rPr>
        <w:t>.</w:t>
      </w:r>
      <w:bookmarkEnd w:id="195"/>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وادّعاه جمع في خصوص الصلاة ، وتعبيراتهم وإن كانت مختلفة ولكن مفاد كلّها واحد ، وهو الاتّفاق وعدم الخلاف في عدم جواز قطع الصلاة اختيارا ولغير عذر ، بل ادّعى في شرح المفاتيح أنّه من بديهيّات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فرض وجوده لا يثبت كلّية هذه القاعدة ، نعم على تقدير ثبوته يكون دليلا على تحريم قطع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رفع اليد عن المركّبات العباديّة في أثناء العمل ، أو الإتيان بمانع أو قاطع يمنع عن إتمام العمل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يكون </w:t>
      </w:r>
    </w:p>
    <w:p>
      <w:pPr>
        <w:pStyle w:val="BookText"/>
        <w:rPr/>
      </w:pPr>
      <w:r>
        <w:rPr>
          <w:rFonts w:ascii="Amiri" w:hAnsi="Amiri" w:eastAsia="Amiri" w:cs="Amiri"/>
          <w:color w:val="111111"/>
          <w:sz w:val="28"/>
          <w:sz w:val="28"/>
          <w:szCs w:val="28"/>
          <w:rtl w:val="true"/>
          <w:lang w:bidi="ar-SA"/>
        </w:rPr>
        <w:t>المراد من الإبطال فيها هو المعنى الذي ذكرنا له ، من ترك العمل ورفع اليد عنه بعد الشروع فيه وفي أثنائه ، أو إيجاد مانع أو قاطع في أثنائه كي يسقط عن صلاحيّة إتمامه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ظهور لفظ الإبطال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لا يخلو عن مناقشة ؛ إذ من المحتمل القريب أن يكون المراد منه النهي عن إبطال العمل بالرياء أو الشرك أو العجب أو ارتكاب الكبائر التي أوعد اللّه عليها النار ، لا بمعنى الحبط الذي لا نقول به نحن الإماميّة الاثنى عشريّة وننكره ، بل بمعنى أنّه لا توجب تلك الأعمال دخول الجنّة بعد ارتكاب الكبائر العظيمة ، كقتل النفوس المحترمة ، والزنا بذات البعل وأمثالهما من الجرائم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الاحتمال ما رواه الصدوق قدس سره في ثواب الأعمال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 آله إنّ شجرنا في الجنة لكثير ،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ولكن إيّاكم أن ترسلوا عليها نيرانا فتحرقوها ، وذلك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فاستشهاد الإمام علیه السلام بهذه الآية على أنّ الشرك والكفر والمعاصي الكبيرة يذهب بأثر تلك الكلمات ويحرق الأشجار التي كانت آثار تلك الكلمات ، مؤيّد بل دليل على أنّ المراد من إبطال الأعمال في الآية الشريفة هو ما يوجب ذهاب أثر تلك الأعمال ، لا أنّ المراد من إبطال الأعمال رفع اليد عنها وتركها في الأثناء ، أو إتيان مانع أو قاطع يمنع عن إتمامها صحيحا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فمع وجود هذا الاحتمال القريب المؤيّد بما ذكرنا من الرواية التي رواها في ثواب الأعمال ، كيف يمكن دعوى ظهور هذه الجملة في مفاد هذه القاعدة ، فلا أقلّ من الإجمال وعدم ظهورها في كلّ واحد من هذين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حملها على مفاد القاعدة يوجب تخصيص الأكثر المستهجن ؛ وذلك لأنّ إرادة بعض أفراد العامّ من العموم الأفرادي ، أو إرادة بعض الأصناف من العموم الأصنافيّ مستهجن خلاف دأب أهل المحاورة وديدنهم في محاوراتهم ، ودليل المخصّص وظهوره يقدّم على دليل العامّ وظهوره فيما إذا لا يبلغ إلى حدّ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 وهو من صيغ العموم ، فيشمل جميع الأعمال المركّبة التي يمكن رفع اليد عنها في الأثناء على تقدير كون الإبطال بهذا المعنى الذي يدّعيه المستدلّ بهذه الآية على هذه القاعدة ، سواء كانت تلك الأعمال تعبّديا أو كانت توصّليا ، مع أنّ أغلب الأعمال يجوز إبطالها في الأثناء برفع اليد عنها أو بإتيان ما يوجب بطلانها ، وعدم إمكان إتمامها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قالوا بعدم جواز قطعه في الأثناء هو فريضة الصلاة والحجّ مطلقا ، واجبا كان أو مندوبا ، مع كلام فيهما أيضا ، فكيف يجوز التعبير عن هذين العملين بهذا العموم الواسع ، وهل هذا إلاّ حصر المراد من العموم فيما هو مستهجن جدّا ، لا يليق مثل هذا بكلام السوقة ، فضلا عن كلام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بحسب ظاهر الكلام تشمل جميع الأعمال ، عباديّة كانت أو غير عباديّة ، لكن سوق الآية في مقام بيان الأعمال العباديّة ، فبقرينة السياق ينقلب الظهور ويكون ظاهرا في خصوص العبادات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الآية أنّ أوامرها إرشاديّة ، وأنّ النهي إرشاد إلى أنّ إبطال العمل وعدم إتيانه على الوجه الذي أمر به ليست بإطاعة ، فكما أنّ الأمر المتعلّق بإطاعة اللّه وإطاعة الرسول إرشادي ولا يمكن أن يكون مولويّا لما تقرّر في محلّه ، فكذلك النهي </w:t>
      </w:r>
    </w:p>
    <w:p>
      <w:pPr>
        <w:pStyle w:val="BookText"/>
        <w:rPr/>
      </w:pPr>
      <w:r>
        <w:rPr>
          <w:rFonts w:ascii="Amiri" w:hAnsi="Amiri" w:eastAsia="Amiri" w:cs="Amiri"/>
          <w:color w:val="111111"/>
          <w:sz w:val="28"/>
          <w:sz w:val="28"/>
          <w:szCs w:val="28"/>
          <w:rtl w:val="true"/>
          <w:lang w:bidi="ar-SA"/>
        </w:rPr>
        <w:t>المتعلّق بالإبطال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الآية صدرا وذيلا هو أنّ وظيفة العبد هي الإطاعة وعدم التمرّد بترك الأعمال الواجبة ، أو إبطال أثرها بالعجب والكبر وارتكاب الكبائر ، أو إبطال نفسه بالرياء ، وهذا أجنبي عن عدم جواز رفع اليد عن الواجب الموسّع ثمَّ الإتيان بفرد آخر منه ، أو القول بأنّ سياق الآية يدلّ على أنّ المراد بأعمالكم فيها هو خصوص الأعمال العبادية لا عموم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 القول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في خصوص العبادات لا دليل عليه ، مضافا إلى أنّ اختصاصها بالعبادات وظهورها فيها لا يرتفع به تخصيص الأكثر المستهجن ؛ وذلك لكثرة المستحبّات العباديّة التي لا إشكال في جواز قطعها إلاّ في الحجّ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كثيرا من الواجبات التعبديّة يجوز قطعها إذا كانت موسّعة مثل الطهارات الثلاث ، فيجوز رفع اليد عنها في الأثناء والإتيان بفرد آخر ، حتّى أنّه في الصلاة حكى قول بجواز قطعها اختيارا وإن كان خلاف المختار ؛ لما ذكرنا من ادّعاء الإجماع من صاحب المدارك </w:t>
      </w:r>
      <w:r>
        <w:rPr>
          <w:rStyle w:val="FootnoteAnchor"/>
          <w:rtl w:val="true"/>
        </w:rPr>
        <w:footnoteReference w:id="381"/>
      </w:r>
      <w:r>
        <w:rPr>
          <w:rFonts w:ascii="Amiri" w:hAnsi="Amiri" w:eastAsia="Amiri" w:cs="Amiri"/>
          <w:color w:val="111111"/>
          <w:sz w:val="28"/>
          <w:sz w:val="28"/>
          <w:szCs w:val="28"/>
          <w:rtl w:val="true"/>
          <w:lang w:bidi="ar-SA"/>
        </w:rPr>
        <w:t xml:space="preserve">وكشف اللثام </w:t>
      </w:r>
      <w:r>
        <w:rPr>
          <w:rStyle w:val="FootnoteAnchor"/>
          <w:rtl w:val="true"/>
        </w:rPr>
        <w:footnoteReference w:id="382"/>
      </w:r>
      <w:r>
        <w:rPr>
          <w:rFonts w:ascii="Amiri" w:hAnsi="Amiri" w:eastAsia="Amiri" w:cs="Amiri"/>
          <w:color w:val="111111"/>
          <w:sz w:val="28"/>
          <w:sz w:val="28"/>
          <w:szCs w:val="28"/>
          <w:rtl w:val="true"/>
          <w:lang w:bidi="ar-SA"/>
        </w:rPr>
        <w:t>وغيرهما ، بل قال في شرح المفاتيح أنّه من بديهيّات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قلنا إنّ الواجبات المضيّقة لا يجوز قطعها ؛ لأجل أنّ قطعها وإبطالها بهذا المعنى يوجب تفويتها وعصيانها بالمرّة ، فلا ربط لها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الواجبات الموسّعة كالنذر الموسّع مثلا ، وكالطهارات الثلاث كما ذكرنا يجوز قطعها ورفع اليد عن الفرد الذي اشتغل بها والإتيان بفرد 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بوجوب الإتمام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بأن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العبادة عهد مع اللّه تعالى بأن يأتي بها تماما ، والأمر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 فيكون المعنى بناء على هذا أنّه يجب عليكم الوفاء بالعهد الذي عاهدتم معي بإتيان العبادة المنويّة تماما ، فيكون قطعه حراما ؛ لأنّه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بالخطابة أشبه من البرهان ، 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دليل على إثبات هذه القاعدة على نحو الكلّية ، بحيث إذا شككنا في جواز قطع عمل من الأعمال نرجع إليها ونحكم بعدم جواز قطعه لأجل هذه الكلّية ، إلى أن يأتي دليل على الجواز وتخصّص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الصلاة الواجبة تمسّكوا بأدلّة على عدم جواز 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 وقد عرفت الحال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تحريمها التكبير وتحليلها التسليم </w:t>
      </w:r>
      <w:r>
        <w:rPr>
          <w:rFonts w:eastAsia="IRNazanin" w:cs="IRNazanin"/>
          <w:color w:val="111111"/>
          <w:sz w:val="28"/>
          <w:szCs w:val="28"/>
          <w:rtl w:val="true"/>
          <w:lang w:bidi="fa-IR"/>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دلالته على حرمة قطع الصلاة أنّ ظاهره حرمة إيجاد المنافيات من الموانع والقواطع بوقوع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بمحض الشروع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المصلّي بالتكبير يشرع فيها ، ولا شكّ في أنّ إيجاد الموانع والقواطع ملزوم قطع الصلاة ، بل في نظر العرف هو عين قطعها ، فيكون مفاد الرواية عرفا هو حرمة قطع الصلاة ، ولا يجوز إيجادها إلاّ بالتسليم ، لأنّه مخرج ، فإذا خرج بالتسليم يحلّل به كلّ ما كان حراما عليه ؛ لأنّه خرج عن الصلاة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واستشكلوا على هذا الدليل بأنّ التحريم في المقام ظاهر في الحرمة الشرطيّة من قبيل تعلّق النهي ببعض الموانع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فيما لا يؤكل لحمه </w:t>
      </w:r>
      <w:r>
        <w:rPr>
          <w:rFonts w:eastAsia="IRNazanin" w:cs="IRNazanin"/>
          <w:color w:val="111111"/>
          <w:sz w:val="28"/>
          <w:szCs w:val="28"/>
          <w:rtl w:val="true"/>
          <w:lang w:bidi="fa-IR"/>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مثل هذا النهي منشأ اعتبار مانعيّة وجود النهي ، أو شرطيّة وجوده ، أو كليهما على اختلاف </w:t>
      </w:r>
    </w:p>
    <w:p>
      <w:pPr>
        <w:pStyle w:val="BookText"/>
        <w:rPr/>
      </w:pPr>
      <w:r>
        <w:rPr>
          <w:rFonts w:ascii="Amiri" w:hAnsi="Amiri" w:eastAsia="Amiri" w:cs="Amiri"/>
          <w:color w:val="111111"/>
          <w:sz w:val="28"/>
          <w:sz w:val="28"/>
          <w:szCs w:val="28"/>
          <w:rtl w:val="true"/>
          <w:lang w:bidi="ar-SA"/>
        </w:rPr>
        <w:t>المباني في المقام ، ولا أقلّ من الإجمال ، فلا يصحّ استظهار الحرمة التكليفيّة التي هي المدّعاة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الأعاظم قدس سره في مقام الردّ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التحريم الحرمة الشرطيّة لا التكليفيّة ، فكان هناك مركّبات أخر شرعيّة من العبادات ، كالوضوء والغسل ونحوهما ممّا لها منافيات ، فكان يقتضي ذكر هذه العبارة وإطلاقها عليها ، مع أنّه لم يعهد في لسان الشرع هذا الإطلاق ، إلاّ في باب الصلاة والإحرام ، وهذا يدلّ على تمحّض النظر فيه إلى حيث الحرمة التكليفيّة ، سواء اجتمعت مع الوضعيّة كما في قواطع الصلاة ، أم لا كما في بعض المحرّمات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إطلاق مثل هذه الجملة في غير الصلاة والإحرام لا يوجب ارتفاع ظهورها في الحرمة الشرطيّة أو إجماله واحتمالها لكلا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الصلاة وبل في الإحرام لأهمّيتهما ، وكثرة المنافيات من الموانع والقواطع فيهما ، فالإنصاف أنّ إثبات حرمة القطع بمثل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المحتمل القريب أن يكون المراد منها أنّه بعد أن شرع في الصلاة وكبّر بتكبيرة الإحرام يحرم عليه إيجاد المنافيات حرمة شرطيّة ، أي صحّتها موقوفة على عدم إيجاد تلك المنافيات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الصواب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النواهي المتعلّقة بإيجاد المنافيات من الموانع والقواطع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استقبل القبلة بوجهك فلا تقلّب وجهك عن القبلة فتفسد صلاتك </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الإقامة من الصلاة فإذا أقمت فلا تتكلّم </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هذه النواهي إنّها لبيان شرطيّة ما تعلّق النهي بعدمه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تقلّب وجهك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النهي مفاده شرطيّة الاستقبال بتمام البدن حتّى الوجه ، ولبيان مانعيّة ما تعلّق النهي بوجوده ، كقوله علیه السلام في خبر أبي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أقمت فلا تتكلّم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وسياقها سياق قوله علیه السلام في موثّقة ابن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فيما لا يؤكل لحمه فإنّ الصلاة في صوفه وشعره ووبره وبوله وروثه وكلّ شي‌ء منه فاسدة لا يقبل اللّه تلك الصلاة </w:t>
      </w:r>
      <w:r>
        <w:rPr>
          <w:rFonts w:eastAsia="IRNazanin" w:cs="IRNazanin"/>
          <w:color w:val="111111"/>
          <w:sz w:val="28"/>
          <w:szCs w:val="28"/>
          <w:rtl w:val="true"/>
          <w:lang w:bidi="fa-IR"/>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هذا النهي في الحرمة الوضعيّة ممّا لا ينكر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جواز القطع وجوبا أو إباحة على الخوف من ضياع مال ، كشرود دابّته ، أو إباق عبده ، أو الخوف على تلف نفسه من جهة مثلا ، وأمثال ذلك ، كفرار غريم لك عليه مال ، كما في صحيحة حريز بن عبد اللّه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صلاة الفريضة فرأيت غلامك قد أتى ، أو غريما لك عليه مال ، أو حيّة تتخوّفها على نفسك فاقطع الصلاة وابتغ غلامك أو غريمك واقتل الحيّة </w:t>
      </w:r>
      <w:r>
        <w:rPr>
          <w:rFonts w:eastAsia="IRNazanin" w:cs="IRNazanin"/>
          <w:color w:val="111111"/>
          <w:sz w:val="28"/>
          <w:szCs w:val="28"/>
          <w:rtl w:val="true"/>
          <w:lang w:bidi="fa-IR"/>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قطع الصلاة جائزا ابتداء وبمحض الميل والاشتهاء ، فلا يبقى وجه لهذا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ظاهر في وجوبه ، فما هو المعلّق هو وجوب القطع ، ولا ينافي ذلك جوازه بمعنى الإباحة مطلقا وبدون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يمكن أن يكون الأمر بالقطع ها هنا لخصوص الوجوب ؛ إذ لا يجب عليه طلب الغريم أو عبده الآبق ، ويجوز له أن يصرف النظر عن ماله ، فلا معنى لوجوب القطع إلاّ أن يكون صرف تعبّد وأن يكون مقدّمة لطلب غريمه أو عبده ، وهو ممّا لا يمكن الالتزام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أنّه لا دليل على حرمة قطع الصلاة إلاّ الإجماع المدّعى في المقام ومفهوم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وجود المفهوم لها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يجوز قطعها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حفظ نفس محترمة على القطع ، فيجب لوجوب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قطعها لحفظ مال محترم ، وقد يجب إذا كان حفظ ذلك المال عن التلف واجبا ، كما إذا كان أمانة مالكيّة أو شرعيّة عنده ، وصور وجوب حفظ المال كثيرة ، وملاك وجوب القطع في جميع موارد وجوب حفظ المال واحد ، وهو كونه مقدّمة لواجب ؛ فتطويل الكلام في هذا المقام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الصلاة مع واجب أهمّ ، ولو كان أهميّته من جهة كونه مضيّقا وكون الصلاة موسّعا ، كما هو كذلك في المثل المعروف ، أي وجوب إزالة النجاسة عن المسجد مع الصلاة في الوقت الموسّع ، فحيث أنّ أحد المرجّحات الخمسة المعروفة في باب التزاحم هو ضيق أحد الواجبين المتزاحمين بالنسبة إلى الآخر ، فيجوز قطع الصلاة إذا كان وقتها موسّعا بالنسبة إلى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علم بالنجاسة ووجوب إزالتها قبل الصلاة فعصى ودخل في الصلاة ، فحيث أنّ الأمر بالشي‌ء لا يقتضي النهي عن ضدّه الخاصّ ، وحرّرنا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فالصلاة صحيحة ، إمّا بالأمر الترتّبي ، وإمّا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بالصلاة كما أنّه حدوثا كان طوليّا بالنسبة إلى الأمر بالإزالة ، فكذلك يكون بقاء ، لأنّه ما لم يحصل العصيان ولم يسقط الأمر بالإزالة لا يكون الأمر بالصلاة في عرض الأمر بالإزالة ومطلقا ، بل يكون مشروطا بعصيان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بنينا صحّة الترتّب ، وإلاّ يكون من المحالات الواضحة البيّنة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الأمر الطولي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بعدم الاشتغال بالإزالة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مانعا عن قطعها والاشتغال بالإزالة ، فلا يمكن أن يكون قطع الصلاة في </w:t>
      </w:r>
    </w:p>
    <w:p>
      <w:pPr>
        <w:pStyle w:val="BookText"/>
        <w:rPr/>
      </w:pPr>
      <w:r>
        <w:rPr>
          <w:rFonts w:ascii="Amiri" w:hAnsi="Amiri" w:eastAsia="Amiri" w:cs="Amiri"/>
          <w:color w:val="111111"/>
          <w:sz w:val="28"/>
          <w:sz w:val="28"/>
          <w:szCs w:val="28"/>
          <w:rtl w:val="true"/>
          <w:lang w:bidi="ar-SA"/>
        </w:rPr>
        <w:t>هذا الفرض والتقدير حراما ، إلاّ أن يأتي دليل خاصّ على أنّ قطع الصلاة حتّى في فرض وجود المزاحم الأهمّ والالتفات إليه قبل الصلاة حرام ، ولكن مرجع هذا يكون إلى سقوط أمر الأهمّ ،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يعلم بالنجاسة إلاّ بعد الدخول في الصلاة ، فلا يجوز له قطع الصلاة ؛ وذلك لأنّ ما يمنع عن التكليف بالمهمّ مطلقا ومن غير الاشتراط بعصيان الأهمّ هو فعليّة الأهمّ وتنجّزه ، وإلاّ لو لم يكن منجّزا فصرف وجود التكليف واقعا لا يؤثّر في سقوط أمر المهمّ مطلقا بناء على عدم إمكان الترتّب ، أو إطلاقه بناء على إمكانه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الملاك في كلا المتزاحمين موجود ، وسقوط أصل خطاب المهمّ أو إطلاقه لأجل عدم القدرة على الجمع ، وإلاّ كان يجب أن يأتي بهما جميعا ، والذي يسلب القدرة شرعا عن المهمّ هو تنجّز الأهمّ ، وإلاّ فصرف وجوده وفعليّته من دون تنجّزه لا يكون موجبا لسلب القدرة عن المهمّ ؛ لأنّ سلب القدرة عن المهمّ يكون بصرف القدرة في الأهمّ ، فإذا لم يكن منجّزا فلا يحكم العقل بصرف القدرة في الأهمّ ، فتبقى قدرته للمهمّ بدون مزاحم ، فيكون وجوبه مطلقا غير مشروط بترك الأهمّ إن كان المهمّ هي الصلاة أيضا مطلقا ، فيقع التزاحم بين حرمة القطع الذي حرمته مطلق ، وبين وجوب الإزالة الذي هو مطلق أيضا بعد الالتفات إلى نجاسة المسجد ووجوب إزالتها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فشاغليّة وجوب الإزالة في هذا الظرف عن الأمر بالمهمّ متوقّف على تنجّزه ، وتنجّزه متوقّف على ارتفاع النهي عن الإبطال ، وارتفاعه متوقّف على شاغليّة وجوب الإزالة ، أي الأمر بالأهمّ عن الأمر بالمهمّ ، وهذا دور واضح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شيخنا الأستاذ قدس سره </w:t>
      </w:r>
      <w:r>
        <w:rPr>
          <w:rStyle w:val="FootnoteAnchor"/>
          <w:rtl w:val="true"/>
        </w:rPr>
        <w:footnoteReference w:id="391"/>
      </w:r>
      <w:r>
        <w:rPr>
          <w:rFonts w:ascii="Amiri" w:hAnsi="Amiri" w:eastAsia="Amiri" w:cs="Amiri"/>
          <w:color w:val="111111"/>
          <w:sz w:val="28"/>
          <w:sz w:val="28"/>
          <w:szCs w:val="28"/>
          <w:rtl w:val="true"/>
          <w:lang w:bidi="ar-SA"/>
        </w:rPr>
        <w:t xml:space="preserve">وفيه تأمّل واضح ، لأنّ تنجّزه ليس متوقّفا على </w:t>
      </w:r>
    </w:p>
    <w:p>
      <w:pPr>
        <w:pStyle w:val="BookText"/>
        <w:rPr/>
      </w:pPr>
      <w:r>
        <w:rPr>
          <w:rFonts w:ascii="Amiri" w:hAnsi="Amiri" w:eastAsia="Amiri" w:cs="Amiri"/>
          <w:color w:val="111111"/>
          <w:sz w:val="28"/>
          <w:sz w:val="28"/>
          <w:szCs w:val="28"/>
          <w:rtl w:val="true"/>
          <w:lang w:bidi="ar-SA"/>
        </w:rPr>
        <w:t>ارتفاع النهي ، بل تنجّزه موقوف على العلم به والالتفات إليه ، وبعد العلم به والالتفات إليه تطير حرمة الإبطال في ظرف الاشتغال بالإزالة كما كان في الأوّل ، لأنّه لا فرق من هذه الجهة بين الحدوث والبقاء ، فبقاء الأمر بالمهمّ أيضا مشروط بترك الأهمّ وعصيانه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947_151198"/>
      <w:bookmarkStart w:id="197" w:name="pg15947_151198"/>
      <w:bookmarkEnd w:id="197"/>
    </w:p>
    <w:p>
      <w:pPr>
        <w:pStyle w:val="Heading2"/>
        <w:numPr>
          <w:ilvl w:val="1"/>
          <w:numId w:val="1"/>
        </w:numPr>
        <w:rPr/>
      </w:pPr>
      <w:bookmarkStart w:id="198" w:name="pg15947_151198"/>
      <w:bookmarkStart w:id="199" w:name="__RefHeading___Toc16231988_2142443653"/>
      <w:bookmarkStart w:id="200" w:name="_Toc67"/>
      <w:bookmarkEnd w:id="198"/>
      <w:bookmarkEnd w:id="199"/>
      <w:r>
        <w:rPr/>
        <w:t>51</w:t>
      </w:r>
      <w:r>
        <w:rPr>
          <w:rtl w:val="true"/>
        </w:rPr>
        <w:t xml:space="preserve"> - </w:t>
      </w:r>
      <w:r>
        <w:rPr>
          <w:rtl w:val="true"/>
        </w:rPr>
        <w:t>قاعدة بطلان كلّ عقد بتعذّر الوفاء بمضمونه</w:t>
      </w:r>
      <w:bookmarkEnd w:id="2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6231990_2142443653"/>
      <w:bookmarkStart w:id="202" w:name="_Toc68"/>
      <w:bookmarkEnd w:id="201"/>
      <w:r>
        <w:rPr>
          <w:rtl w:val="true"/>
        </w:rPr>
        <w:t>اشارة</w:t>
      </w:r>
      <w:bookmarkEnd w:id="2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947_151200"/>
      <w:bookmarkStart w:id="204" w:name="pg15947_151200"/>
      <w:bookmarkEnd w:id="204"/>
    </w:p>
    <w:p>
      <w:pPr>
        <w:pStyle w:val="BookText"/>
        <w:rPr/>
      </w:pPr>
      <w:bookmarkStart w:id="205" w:name="pg15947_151200"/>
      <w:bookmarkEnd w:id="205"/>
      <w:r>
        <w:rPr>
          <w:rFonts w:ascii="Amiri" w:hAnsi="Amiri" w:eastAsia="Amiri" w:cs="Amiri"/>
          <w:color w:val="111111"/>
          <w:sz w:val="28"/>
          <w:sz w:val="28"/>
          <w:szCs w:val="28"/>
          <w:rtl w:val="true"/>
          <w:lang w:bidi="ar-SA"/>
        </w:rPr>
        <w:t xml:space="preserve">قاعدة بطلان كلّ عقد بتعذّر الوفاء بمضمونه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ومن جملة القواعد الفقهية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كلّ عقد بتعذّر الوفاء بمضمونه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6231992_2142443653"/>
      <w:bookmarkStart w:id="207" w:name="_Toc69"/>
      <w:bookmarkEnd w:id="206"/>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منها وما هو مفادها</w:t>
      </w:r>
      <w:bookmarkEnd w:id="20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أنّ المتعاقدين والمتعاملين إذا تعاقدا وتعاهدا والتزما مثلا في باب البيع بأن تكون هذه العين التي لأحدهما ملكا للآخر بعوض ثمن المسمّى من الآخر لصاحب تلك العين ومالكه ، فالوفاء بهذه المعاهدة عبارة عن أنّ صاحب العين يسلم تلك العين إلى مالك الثمن ، وكذلك الأمر من طرف مالك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فوفاؤه بهذه المعاملة معناه تسليم الثمن إلى مالك تلك العين وتسلّم العين منه ، فإذا تعذّر الوفاء بالمعنى المذكور تعذّرا دائميّا ، يكون مثل هذه المعاهدة لغوا باطلا عند العقلاء ، ولا فرق بين أن يكون تعذّر الوفاء من طرف واحد أو من طرفين ، وفي كلتا الصورتين تكون المعاملة باطلة ؛ لأنّ المعاهدة من الطرفين والعقد قائم بكلا المتعاقدين ، فعجز أحدهما في بطلان تلك المعاملة مثل عجز الطرفين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يجري في جميع العقود والمعاملات ، ففي باب الإجارة مثلا لو آجر دارا أو دكّانا أو خانا أو دابّة أو سيّارة أو طيارة أو غير ذلك ممّا يصحّ تمليك منفعته </w:t>
      </w:r>
      <w:bookmarkStart w:id="208" w:name="pg15947_151201"/>
    </w:p>
    <w:p>
      <w:pPr>
        <w:pStyle w:val="BookText"/>
        <w:rPr/>
      </w:pPr>
      <w:bookmarkEnd w:id="208"/>
      <w:r>
        <w:rPr>
          <w:rFonts w:ascii="Amiri" w:hAnsi="Amiri" w:eastAsia="Amiri" w:cs="Amiri"/>
          <w:color w:val="111111"/>
          <w:sz w:val="28"/>
          <w:sz w:val="28"/>
          <w:szCs w:val="28"/>
          <w:rtl w:val="true"/>
          <w:lang w:bidi="ar-SA"/>
        </w:rPr>
        <w:t>بعوض معلوم ، والتزم كلّ واحد من الموجر والمستأجر وتعاقدا وتعاهدا على ذلك ، فلو تعذّر وفاء كليهما أو أحدهما بهذه المعاوضة ، يكون مثل هذه الإجارة فاسدة وباطلة ، سواء كان تعذّر الوفاء بالتزامه لأجل تلف أحد العوضين ، أو كليهما ، أو كان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سائر العقود والمعاملات ، حتّى في مثل الوكالة التي هي من العقود الإذنيّة ، لو تلف المال الذي وكله في بيعه أو شرائه أو في سائر التصرّفات فيه تبطل الوكالة ، وكذلك في العارية والصلح والهبة والرهن وغيرها من المعاوضات ، وكذلك في الوديعة لو عجز الودعي عن حفظ ما أودع عنده يبطل عقد الوديعة ، ويجب عليه ردّه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الكلّي في هذا المقام هو ما ذكرنا في عنوان القاعدة ، وهو تعذّر الوفاء بمضمون المعاملة تعذّرا دائميّا من المتعاقدين ، أو من أحدهما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231994_2142443653"/>
      <w:bookmarkStart w:id="210" w:name="_Toc70"/>
      <w:bookmarkEnd w:id="209"/>
      <w:r>
        <w:rPr>
          <w:rtl w:val="true"/>
        </w:rPr>
        <w:t xml:space="preserve">الجهة الثانية </w:t>
      </w:r>
      <w:r>
        <w:rPr>
          <w:rtl w:val="true"/>
        </w:rPr>
        <w:t xml:space="preserve">: </w:t>
      </w:r>
      <w:r>
        <w:rPr>
          <w:rtl w:val="true"/>
        </w:rPr>
        <w:t>في بيان مدرك هذه القاعدة</w:t>
      </w:r>
      <w:bookmarkEnd w:id="210"/>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مرارا أنّ دعوى الإجماع في أمثال هذه المسائل التي لها مدرك أو مدارك أخر لا تفيد شيئا يركن إليه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الذي يمكن أن يعتمد عليه ، هو أنّ صحّة العقد وفساده أمران متقابلان ، فإن كان التقابل بينهما تقابل العدم والملكة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بالصحّة والفساد التماميّة وعدم تمامية المعاملة من حيث الأجزاء والشرائط وعدم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وتعريفهما بما يترتّب الأثر المقصود من ذلك العقد وعدم ترتّبه تعريف 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والمتقابلان بالعدم والملكة في الموضوع القابل في حكم النقيضين ، لا يمكن ارتفاعهما ، </w:t>
      </w:r>
    </w:p>
    <w:p>
      <w:pPr>
        <w:pStyle w:val="BookText"/>
        <w:rPr/>
      </w:pPr>
      <w:r>
        <w:rPr>
          <w:rFonts w:ascii="Amiri" w:hAnsi="Amiri" w:eastAsia="Amiri" w:cs="Amiri"/>
          <w:color w:val="111111"/>
          <w:sz w:val="28"/>
          <w:sz w:val="28"/>
          <w:szCs w:val="28"/>
          <w:rtl w:val="true"/>
          <w:lang w:bidi="ar-SA"/>
        </w:rPr>
        <w:t>فإذا ارتفع أحدهما لا بدّ وأن يكون الآخر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بعد ما كان التعذّر من أحدهما أو كليهما دائميّا ، فالوفاء بهذه المعاملة لا يمكن ، فلا 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بالمحال وقبيح ، فترتفع الصحّة ، لأنّ الأثر الظاهر للصحّة هو وجوب الوفاء بالعقد وترتيب آثار الصحّة ، فعدم إمكانه دليل على عدم الصحّة ، فإذا لم يكن صحيحا لا بدّ وأن يكون فاسدا وباطلا ، وإلاّ يلزم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بالصحّة ، ويكون أثرها ضمان التالف ثمنا كان أو مثمنا أو أيّ متعلّق في أيّ عقد من هذه العقود المتداولة بين العقلاء ، وليس بقاء نفس العوضين أو أحدهما من أركان المعاملة ، بل يمكن الالتزام ببقاء اللزوم وأخذ المثل أو القيمة من صاحب المال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العقود ليس المتعذّر ممّا يدخل فيه الضمان ، مثلا لو تعاقدا على المسابقة على فرس خاصّ فمات الفرس قبل الشروع في المسابقة ، أو تعاقدا على المراماة بقوس خاصّ فانكسر قبل الشروع في المراماة ، فلا وجه للضمان في مثل هذه الموارد ، بل تبقى المسابقة في الفرض الأوّل ، والمراماة في الفرض الثاني بلا موضوع ؛ لأنّ موضوع المسابقة في المثال الأوّل كان هو السبق مع الفرس المخصوص ، وموضوع المراماة في المثل الثاني هو الرمي بقوس خاصّ وانكسر ، فيبقى المراماة بلا موضوع ، ويكون حال تلف القوس حال شلل أحد المتراميين ، وحال تلف الفرس حال شلل أحد المتسابقين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القول بضمان المثل في المثلي والقيمة في القيمي فيما إذا كان التالف مالا منتقلا إلى أحد المتعاقدين فوقع عليه التلف قبل قبض من انتقل إليه ، فيمكن أن يقال بضمان من وقع في يده التلف ، مع أنّهم لم يقولوا بذلك ، بل قالوا بأنّ تلف المبيع قبل أن يقبضه المشتري من مال البائع بانفساخ العقد آنا ما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شرحنا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كلّ مبيع تلف قبل قبضه فهو 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هذا الكتاب </w:t>
      </w:r>
      <w:r>
        <w:rPr>
          <w:rStyle w:val="FootnoteAnchor"/>
          <w:rtl w:val="true"/>
        </w:rPr>
        <w:footnoteReference w:id="393"/>
      </w:r>
      <w:r>
        <w:rPr>
          <w:rFonts w:ascii="IRNazanin" w:hAnsi="IRNazanin" w:eastAsia="IRNazanin"/>
          <w:color w:val="111111"/>
          <w:sz w:val="28"/>
          <w:sz w:val="28"/>
          <w:szCs w:val="28"/>
          <w:rtl w:val="true"/>
          <w:lang w:bidi="fa-IR"/>
        </w:rPr>
        <w:t>مفصّلا ، وإن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إمّا عقدي ، وهو أن يضمن ما في ذمّة شخص فينتقل ما في ذمّة المضمون عنه إلى ذمّة الضامن ، ويسمّى بالضمان العقدي ؛ لأنّه عقد يحتاج إلى إيجاب وقبول ، فالإيجاب من الضامن ، والقبول من المضمون له ، فالضامن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في ذمّة زيد لك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أتعهّد بما في ذمّة زيد لك ، والمخاطب المضمون له ، فيقول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أو ما يفيد الرضا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المضمون عنه فأجنبيّ عن هذه المعاملة ، حتّى أنّ رضاه بهذه المعاملة ليس بشرط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يكون من قبيل ضمان المعاوضي في باب المعاوضات والمعاملات ، وهو المسمّى بضمان المسمّى ، وهو الذي يسمّيه المتعاقدان ويجعلونه عوضا لما ينتقل إليه من طرفه ، فكلّ واحد من العوضين في باب المعاوضات يسمّى بضمان المسمّى ، فالمبيع ضمان المسمّى للثمن كما أنّ الثمن أيضا ضمان المسمّى للمبيع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علیه السلام في رواية عقبة بن خالد عن المسمّى بالضمان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أخرجه من بيته فالمبتاع ضامن لحقّه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يكون ضمانا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المثل في المثلي والقيمة في القيمي ، والضمان الواقعي عبارة عن كون الشي‌ء بوجود الاعتباري في ذمّة الشخص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اعتبار وجود الشي‌ء في ذمّة الشخص ؛ وذلك لأنّ الأمر الاعتباري لا وجود له في الخارج ، وإلاّ لكان داخلا تحت إحدى المقولات العشر ، والخارج ليس وعاء لوجوده ، بل وعاء لاعتباره ، ولا يخرج عن عهدة هذا الأمر الاعتباري ولا تفرغ ذمّته إلاّ بأدائه إلى من هو له ، وأداؤه بعد انعدام نفسه في الخارج في الدرجة </w:t>
      </w:r>
    </w:p>
    <w:p>
      <w:pPr>
        <w:pStyle w:val="BookText"/>
        <w:rPr/>
      </w:pPr>
      <w:r>
        <w:rPr>
          <w:rFonts w:ascii="Amiri" w:hAnsi="Amiri" w:eastAsia="Amiri" w:cs="Amiri"/>
          <w:color w:val="111111"/>
          <w:sz w:val="28"/>
          <w:sz w:val="28"/>
          <w:szCs w:val="28"/>
          <w:rtl w:val="true"/>
          <w:lang w:bidi="ar-SA"/>
        </w:rPr>
        <w:t>الأولى بالمثل ، فإن تعذّر أو تعسّر فبالقيمة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هذه المسألة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وسبب هذا الضمان قد يكون العقد كما في عقد الدين ، فإنّ حقيقة الدين هو تمليك شي‌ء بضمانه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اليد غير المأذونة وقد يكون الإتلاف ، وشرحنا كلّ واحدة من القاعدتين ، وإن شئت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الوفاء بمضمون العقد من باب تلف أحد العوضين الشخصيّين أو لجهة أخرى ، فليس هناك ما يوجب الضمان لا اليد غير المأذونة ، ولا الإتلاف ، ولا عقد كان مفاده الضمان ، كلّ ذلك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المسمى استقرّ في ذمّته ، فإذا تعذّر يجب عليه تفريغ ذمّته بإعطاء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المعاملات الواقعة على أشخاص الأموال الخارجيّة لا يشتغل ذمّته بشي‌ء ، وإنّما المالك لتلك العين يخرجها عن ملكه ويدخلها في ملك طرفه ، فلم يستقرّ في ذمّته شي‌ء ، وإنّما يجب عليه أداؤه إلى صاحبه الجديد تكليفا ، فإذا تعذّر يسقط هذا التكليف ، وليس شي‌ء في البين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الواقعة على الكلّيات فليس التعذّر فيها بمعنى تلف العين ، لأنّ العين لم تكن موردا للمعاملة قط ، بل المراد التعذّر من 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باع كميّة من الحنطة فتعذّر عليه الأداء لأنّه صار معدما فقيرا لا يقدر حتّى على أداء قيمته ، فمثل هذه المعاملة تنحلّ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الصحّة والفساد ، وهما في الموضوع القابل بحكم النقيضين لا يمكن ارتفاعهما ، ولا يمكن أن تكون صحيحة لعدم إمكان الوفاء بها ، فقهرا تكون باطلة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 فإنّهم يرون مثل هذا العقد الذي يتعذّر الوفاء به من </w:t>
      </w:r>
    </w:p>
    <w:p>
      <w:pPr>
        <w:pStyle w:val="BookText"/>
        <w:rPr/>
      </w:pPr>
      <w:r>
        <w:rPr>
          <w:rFonts w:ascii="Amiri" w:hAnsi="Amiri" w:eastAsia="Amiri" w:cs="Amiri"/>
          <w:color w:val="111111"/>
          <w:sz w:val="28"/>
          <w:sz w:val="28"/>
          <w:szCs w:val="28"/>
          <w:rtl w:val="true"/>
          <w:lang w:bidi="ar-SA"/>
        </w:rPr>
        <w:t>الطرفين ، أو من طرف واحد لغوا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بيّنّا وشرحنا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من أنّ العقلاء في باب العقود المعاوضيّة وإن كانوا ينشأون المبادلة بين المالين والعوضين في عالم الاعتبار التشريعي ، وهذا المعنى يقع في عالم التشريع إذا كان العقد الواقع جامعا لشرائط العقد والمتعاقدين والعوضين ، وليس متوقّفا على النقل والانتقال الخارجي ، ولكنّهم يرون هذه المبادلة مقدّمة لوصول كلّ واحد من العوضين إلى الآخر بدل العوض الذي يعطيه للآخر ، بحيث لو لم يتحقّق النقل والانتقال الخارجي تكون تلك المبادلة لغوا ، وتكون المعاملة كالمعاملات السفهيّة باطلة عندهم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أنّه لو علموا من أوّل الأمر بعدم قدرة كلا المتعاقدين أو أحدهما على الوفاء بهذا العقد ، يكون ذلك العقد لغوا عندهم ولا يرتّبون أثر الصحة عليه ، فكذلك لو طرأ العجز وتعذّر الوفاء به بعد الوقوع قبل القبض والإقباض ، يكون بقاء العقد والمعاهدة لغوا ؛ لما قلنا إنّ هذه المعاقدة والمعاهدة تكون مقدّمة للأخذ والإعطاء ؛ إذ الذي يدور عليه نظام معاش العباد وبه قوام معيشتهم ، هو التبادل والأخذ والإعطاء خارجا ، وتكون المعاملات والمبادلات الاعتباريّة لأجل تلك الانتقالات الخارجيّة ، وإلاّ فنفس تملّك الناس في عالم الاعتبار التشريعي المآكل والمشارب والملابس والمساكن والمراكب من دون حصول وجوداتها الخارجيّة لهم لا أثر له ، فإنّ الناس يحتاجون إلى هذه الأشياء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 مقام بيان حجّية بعض الأمارات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لما قام للمسلمين سوق </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المراد من السوق هو السوق الخارجي ، لا المبادلات الاعتباريّة من دون أخذ وعطاء في البين</w:t>
      </w:r>
      <w:r>
        <w:rPr>
          <w:rFonts w:eastAsia="Amiri" w:cs="Amiri" w:ascii="Amiri" w:hAnsi="Amiri"/>
          <w:color w:val="111111"/>
          <w:sz w:val="28"/>
          <w:szCs w:val="28"/>
          <w:rtl w:val="true"/>
          <w:lang w:bidi="ar-SA"/>
        </w:rPr>
        <w:t xml:space="preserve">. </w:t>
      </w:r>
      <w:bookmarkStart w:id="211" w:name="pg15947_151206"/>
    </w:p>
    <w:p>
      <w:pPr>
        <w:pStyle w:val="BookText"/>
        <w:rPr/>
      </w:pPr>
      <w:bookmarkEnd w:id="211"/>
      <w:r>
        <w:rPr>
          <w:rFonts w:ascii="Amiri" w:hAnsi="Amiri" w:eastAsia="Amiri" w:cs="Amiri"/>
          <w:color w:val="111111"/>
          <w:sz w:val="28"/>
          <w:sz w:val="28"/>
          <w:szCs w:val="28"/>
          <w:rtl w:val="true"/>
          <w:lang w:bidi="ar-SA"/>
        </w:rPr>
        <w:t>وأيضا من الواضح المعلوم أنّ ما هو موجب لاختلال النظام هو عدم المبادلات الخارجيّة لا الاعتباريّة ، ولكذلك ترى أنّ الأسواق دائرة بنفس المبادلات الخارجيّة والأخذ والإعطاء معاطاة من دون عقد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يأتي هاهنا الإشكال الذي أشكلنا في مسألة تلف المبيع قبل قبض المشتري ، وهو الانفساخ قبل التلف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الالتزام بالانفساخ قبل التلف آنا مّا كان من جهة الرواية التي كان مفادها أنّ تلف المبيع قبل قبض المشتري يكون من مال البائع ، أي التلف وقع على مال البائع ، مع أنّه بنفس العقد صار مالا للمشتري ، فكون التلف في مال البائع لا يعقل إلاّ بالانفساخ آنا مّا قبل التلف ، ولا حاجة إلى هذا التقدير فيما نحن فيه ؛ لعدم كونه من موارد تلك الرواية دائما ؛ لأنّ تعذّر الوفاء ليس منشأه دائما تلف المبيع قبل أن يقبض ، بل له أنحاء</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231996_2142443653"/>
      <w:bookmarkStart w:id="213" w:name="_Toc71"/>
      <w:bookmarkEnd w:id="212"/>
      <w:r>
        <w:rPr>
          <w:rtl w:val="true"/>
        </w:rPr>
        <w:t xml:space="preserve">الجهة الثالثة </w:t>
      </w:r>
      <w:r>
        <w:rPr>
          <w:rtl w:val="true"/>
        </w:rPr>
        <w:t xml:space="preserve">: </w:t>
      </w:r>
      <w:r>
        <w:rPr>
          <w:rtl w:val="true"/>
        </w:rPr>
        <w:t>في بيان موارد تطبيق هذه القاعدة</w:t>
      </w:r>
      <w:bookmarkEnd w:id="213"/>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 مرضعة لإرضاع ولده ، فمات الولد أو المرضعة أو كلاهما قبل أن ترضعه أو يبس لبنها فتبطل الإجارة ؛ لتعذّر الوفاء بذلك العقد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التعذّر من الطرفين ، كما إذا استأجر الحمّال لحمل متاع معيّن ، فتلف المتاع وعجز الحمّال عن الحمل لمرض أو جهة أخرى ، كلّ ذلك قبل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استأجر الصائغ لصنع ذهب خاصّ مثلا آلة من أدوات الزينة ، فعجز الصائغ عن العمل وتلف الذهب قبل أن يشتغل بالصنع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وأمثلة هذا الفرع كثيرة في باب الأجراء ، سواء كان التعذّر من طرف واحد أو </w:t>
      </w:r>
    </w:p>
    <w:p>
      <w:pPr>
        <w:pStyle w:val="BookText"/>
        <w:rPr/>
      </w:pPr>
      <w:r>
        <w:rPr>
          <w:rFonts w:ascii="Amiri" w:hAnsi="Amiri" w:eastAsia="Amiri" w:cs="Amiri"/>
          <w:color w:val="111111"/>
          <w:sz w:val="28"/>
          <w:sz w:val="28"/>
          <w:szCs w:val="28"/>
          <w:rtl w:val="true"/>
          <w:lang w:bidi="ar-SA"/>
        </w:rPr>
        <w:t>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عجز النائب الأجير عن أداء ما استوجر عليه من العبادات كالحجّ والصلاة والصوم ، وزيارات المعصومين ، أو قراءة القرآن وأمثال ذلك إذا اشترط المستأجر على الأجير مباشرة نفسه ، كلّ ذلك لأجل تعذّر الوفاء من طرف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في باب استيجار الأجراء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إجارة الأعيان ، كما إذا آجر دارا أو خانا أو دكّانا فانهدمت ووقعت في الجادّة العموميّة بحيث لا يمكن بناؤها عادة أو في مدّة الإجارة ، أو صارت غير قابلة للانتفاع بها أصلا ولو قليلا ، كما إذا استأجر دابّة لركوبه في سفر أو لحمل متاع عليها ، فتلفت قبل الركوب أو قبل الحمل عليها ، فيكون ذلك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 في باب إجارة الأعيان هو تلف العين المستأجرة ، أو سقوطها عن الانتفاع بالمرّة ، ففي مثل ذلك تبطل الإجارة ، لأنّ عقد الإجارة مفاده تمليك منفعة العين بذلك العوض المعلوم ، فالوفاء بهذا العقد بالنسبة إلى الموجر أن يسلّم إلى المستأجر عينا ذات منفعة معلومة ، فإذا تلفت تلك العين التي وقعت عليها الإجارة ، أو سقطت عن تلك المنفعة المعلومة ، فلا يقدر أن يسلّم إلى المستأجر مثل تلك العين التي آجرها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التعذّر في باب استيجار الأجراء هو عجز الأجير عن الإتيان بما آجر 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سائر العقود المعاوضيّة ، ففي البيع إن باع عينا شخصيّا فوقع عليها التلف ، أو كانت حيوانا غير أهلي فشرد بحيث لا يمكن أخذه وإرجاعه عادة ، سواء كان من الطيور أو من غيرها كالغزال وغيره ، فالبائع لا يقدر على الوفاء بهذا العقد فيبطل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بالنسبة إلى المشتري والثمن الشخصي ، فإذا تعذّر له الوفاء بهذا </w:t>
      </w:r>
    </w:p>
    <w:p>
      <w:pPr>
        <w:pStyle w:val="BookText"/>
        <w:rPr/>
      </w:pPr>
      <w:r>
        <w:rPr>
          <w:rFonts w:ascii="Amiri" w:hAnsi="Amiri" w:eastAsia="Amiri" w:cs="Amiri"/>
          <w:color w:val="111111"/>
          <w:sz w:val="28"/>
          <w:sz w:val="28"/>
          <w:szCs w:val="28"/>
          <w:rtl w:val="true"/>
          <w:lang w:bidi="ar-SA"/>
        </w:rPr>
        <w:t>العقد فيبطل العقد ، ولا يبطل بموت أحد المتبايعين لقيام الوارث لكلّ واحد منهما مقام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العارية فهو مثل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تمليك المنفعة في الإجارة يكون بعوض ، وفي العارية تمليك المنفعة أو الانتفاع يكون مجّانا وبلا عوض ، فهما كالبيع وهبة الأعيان غير المعوّضة ، حيث أنّ البيع تمليك عين متموّلة بعوض مالي ، وهبة الأعيان أيضا تمليك عين لكن مجّانا ، وبدون عوض ، إذا كانت الهبة غير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الصلح ، فإذا لم يقدر المصالح على أداء مال المصالحة وتعذّر الوفاء بالعقد ، يكون الصلح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الرهن ، فلو لم يقدر الراهن على تسليم العين المرهونة إلى المرتهن ، أو إلى من رضيا بأن تكون عنده ، فيكون عقد الرهن باطلا ، وكذلك لو تلفت العين المرهونة قبل أن يقبضها المرتهن يبطل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رهن نخيلا فيبست ، أو دارا أو دكّانا أو خانا فانهدمت ، يبطل عقد الرهن ؛ أو ثوبا فأحرقت ، أو متاعا ففسدت بحيث لا يشتريه أحد ولا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عقد الكفالة ، فلو تعذّر للكفيل الوفاء بذلك العقد كما لو مات المكفول ، يبطل عقد الكفالة ويبرأ الكفيل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عقد المضاربة ، فلو عجز العامل عن العمل لمرض أو لجهة أخرى ولم يقدر على الوفاء بعقدها ، فيبطل 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لو مات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المقارض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والمال ، فإذا لم يقدر على إعطاء المال والوفاء بعقد المضاربة ، يكون العقد باطلا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العارية ، وهي عبارة عن تمليك المنفعة أو تمليك الانتفاع ، فلو عقدا على كون شي‌ء له منفعة عارية عند المستعير ، بأن يقول المعير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أعرتك إيّاه ، وصدر القبول من المستعير ، فقبل أن يعطى للمستعير تلف ذلك الشي‌ء ، أو سقط عن </w:t>
      </w:r>
    </w:p>
    <w:p>
      <w:pPr>
        <w:pStyle w:val="BookText"/>
        <w:rPr/>
      </w:pPr>
      <w:r>
        <w:rPr>
          <w:rFonts w:ascii="Amiri" w:hAnsi="Amiri" w:eastAsia="Amiri" w:cs="Amiri"/>
          <w:color w:val="111111"/>
          <w:sz w:val="28"/>
          <w:sz w:val="28"/>
          <w:szCs w:val="28"/>
          <w:rtl w:val="true"/>
          <w:lang w:bidi="ar-SA"/>
        </w:rPr>
        <w:t>الانتفاع ، أو مات المعير أو جنّ ، فيبطل عقد العارية ؛ وذلك لتعذّر الوفاء بذلك العقد في جميع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باعه أو وهبه يبطل العقد ؛ لأنّ ذلك الشي‌ء بعد بيعه أو هبته لشخص آخر يخرج أمره من يد المعير ، ويصير ملكا لغيره ، فلا يبقى موضوعا لإعارة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لتمليك المنفعة أو الانتفاع أو لإذنه في التصرّف فيه أثر بقاء ، أي بعد خروجه من يده ، بل يكون الأثر لتمليك المالك الثاني أو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المزارعة والمساقاة ، فإذا وقع عقد المزارعة والمساقاة ، فيجب الوفاء على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عجز عن العمل ولم يقدر على الوفاء بالعقد ، أو مات فيما إذا اشترط المالك عليه المباشرة بنفسه ،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الوديعة ، فلو عجز عن الحفظ ولم يقدر على الوفاء بالعقد ، يبطل عقد الوديعة ، ويجب عليه ردّه ، كما أنّه يبطل بموت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تجري في جميع العقود المعاوضيّة ، فلا نطول الكلام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947_151211"/>
      <w:bookmarkStart w:id="215" w:name="pg15947_151211"/>
      <w:bookmarkEnd w:id="215"/>
    </w:p>
    <w:p>
      <w:pPr>
        <w:pStyle w:val="Heading2"/>
        <w:numPr>
          <w:ilvl w:val="1"/>
          <w:numId w:val="1"/>
        </w:numPr>
        <w:rPr/>
      </w:pPr>
      <w:bookmarkStart w:id="216" w:name="pg15947_151211"/>
      <w:bookmarkStart w:id="217" w:name="__RefHeading___Toc16231998_2142443653"/>
      <w:bookmarkStart w:id="218" w:name="_Toc72"/>
      <w:bookmarkEnd w:id="216"/>
      <w:bookmarkEnd w:id="217"/>
      <w:r>
        <w:rPr/>
        <w:t>52</w:t>
      </w:r>
      <w:r>
        <w:rPr>
          <w:rtl w:val="true"/>
        </w:rPr>
        <w:t xml:space="preserve"> - </w:t>
      </w:r>
      <w:r>
        <w:rPr>
          <w:rtl w:val="true"/>
        </w:rPr>
        <w:t>قاعدة كلّ ما يصحّ إعارته يصحّ إجارته</w:t>
      </w:r>
      <w:bookmarkEnd w:id="2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6232000_2142443653"/>
      <w:bookmarkStart w:id="220" w:name="_Toc73"/>
      <w:bookmarkEnd w:id="219"/>
      <w:r>
        <w:rPr>
          <w:rtl w:val="true"/>
        </w:rPr>
        <w:t>اشارة</w:t>
      </w:r>
      <w:bookmarkEnd w:id="22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5947_151213"/>
      <w:bookmarkStart w:id="222" w:name="pg15947_151213"/>
      <w:bookmarkEnd w:id="222"/>
    </w:p>
    <w:p>
      <w:pPr>
        <w:pStyle w:val="BookText"/>
        <w:rPr/>
      </w:pPr>
      <w:bookmarkStart w:id="223" w:name="pg15947_151213"/>
      <w:bookmarkEnd w:id="223"/>
      <w:r>
        <w:rPr>
          <w:rFonts w:ascii="Amiri" w:hAnsi="Amiri" w:eastAsia="Amiri" w:cs="Amiri"/>
          <w:color w:val="111111"/>
          <w:sz w:val="28"/>
          <w:sz w:val="28"/>
          <w:szCs w:val="28"/>
          <w:rtl w:val="true"/>
          <w:lang w:bidi="ar-SA"/>
        </w:rPr>
        <w:t xml:space="preserve">قاعدة كلّ ما يصحّ إعارته يصحّ إجارته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ومن القواعد الفقهيّة المشهورة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إعارته صح إجارته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6232002_2142443653"/>
      <w:bookmarkStart w:id="225" w:name="_Toc74"/>
      <w:bookmarkEnd w:id="224"/>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منها</w:t>
      </w:r>
      <w:bookmarkEnd w:id="22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القاعدة أنّ كلّ شي‌ء يصحّ إعارته من جهة أنّه عين يصحّ الانتفاع بها مع بقاء نفسها ، يصحّ إجارته ، فمثل الأطعمة والأشربة ممّا ينتفع بها ، ولكن الانتفاع بها بإتلافها وإعدامها لا مع بقاء عينها ، لا يصحّ إعارتها ، وذلك لأنّ حقيقة العارية عبارة عن تمليك منفعة شي‌ء أو الانتفاع به مع بقاء ذلك الشي‌ء في ملك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عبارة عن تسليط المستعير على الانتفاع به مع بقاء العين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أحسن وأجود من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أجود من تمليك المنفعة ؛ فلأنّه ليس له أن ينقلها إلى شخص آخر ، وأيضا لا ترثها الورثة ، ولو كانت العارية تمليك المنفعة لجاز النقل إلى غيره ، وكانت ترثها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تمليك الانتفاع ففرع قابلية الانتفاع لكونه ملكا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مشكل ؛ لأنّ الملكيّة اعتبار عقلائي أمضاها الشارع في موارد وأسقطها في </w:t>
      </w:r>
    </w:p>
    <w:p>
      <w:pPr>
        <w:pStyle w:val="BookText"/>
        <w:rPr/>
      </w:pPr>
      <w:r>
        <w:rPr>
          <w:rFonts w:ascii="Amiri" w:hAnsi="Amiri" w:eastAsia="Amiri" w:cs="Amiri"/>
          <w:color w:val="111111"/>
          <w:sz w:val="28"/>
          <w:sz w:val="28"/>
          <w:szCs w:val="28"/>
          <w:rtl w:val="true"/>
          <w:lang w:bidi="ar-SA"/>
        </w:rPr>
        <w:t>موارد أخر ، وموضوع هذا الاعتبار عند العقلاء إمّا الأعيان التي تحتاج إليها الناس للأغراض التي عندهم ، أو منافع تلك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الانتفاع بتلك المنافع فجوازه وعدم جوازه من آثار ملكيّتها وعدم ملكيّتها ، وإلاّ فنفس الانتفاع ليس قابلا لاعتبار الملكيّة فيه ، فلا يصحّ أن يقال بأنّها تمليك الانتفاع بالشي‌ء الذي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بالتمليك التسليط ، لا ذلك الأمر الاعتباري المذكور ، فيكون المراد به هو التعريف الثاني ، أي التسليط على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التمليك بهذا المعنى في الكتاب العزيز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تعريفها بأنّه عقد ثمرته التبرّع بالمنفعة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في الشرائع </w:t>
      </w:r>
      <w:r>
        <w:rPr>
          <w:rStyle w:val="FootnoteAnchor"/>
          <w:rtl w:val="true"/>
        </w:rPr>
        <w:footnoteReference w:id="400"/>
      </w:r>
      <w:r>
        <w:rPr>
          <w:rFonts w:ascii="Amiri" w:hAnsi="Amiri" w:eastAsia="Amiri" w:cs="Amiri"/>
          <w:color w:val="111111"/>
          <w:sz w:val="28"/>
          <w:sz w:val="28"/>
          <w:szCs w:val="28"/>
          <w:rtl w:val="true"/>
          <w:lang w:bidi="ar-SA"/>
        </w:rPr>
        <w:t xml:space="preserve">، وغيره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 لأنّه أوّلا المتعارف والمتداول بين الناس في باب العارية هو إعطاء شي‌ء يصحّ الانتفاع به لغيره أنّ ينتفع به ، من دون عقد وتعهّد بينهما ، فليس عقد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إعطاؤه بعد العقد بإيجاب من قبل المعير وقبول من طرف المستعير يكاد أن لا يوجد ، لأنّ المتعارف بين العقلاء غير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التسليط مجانا وبلا عوض على العين التي لها منفعة لكي ينتفع بها مع بقاء نفسها ، فلا يصدق العارية على المأكولات والمشروبات التي يكون الانتفاع بها بإتلافها ، أي أكلها وشربها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لها منفعة غير الأكل والشرب كما قد يتّفق ، بل المتعارف في بعض البلاد يزينون مجالسهم التي تنعقد لأجل عقد القرآن بين الزوجين بأنواع الفواكه والحلويّات والشرابت من دون أكلها وشربها ، فلا بأس حينئذ بإعارتها كما أنّه لا بأس بإجارتها كذلك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وأن يكون الانتفاع بمنافع العين المعارة محلّلة ، فإن كان كلّ منافعه </w:t>
      </w:r>
    </w:p>
    <w:p>
      <w:pPr>
        <w:pStyle w:val="BookText"/>
        <w:rPr/>
      </w:pPr>
      <w:r>
        <w:rPr>
          <w:rFonts w:ascii="Amiri" w:hAnsi="Amiri" w:eastAsia="Amiri" w:cs="Amiri"/>
          <w:color w:val="111111"/>
          <w:sz w:val="28"/>
          <w:sz w:val="28"/>
          <w:szCs w:val="28"/>
          <w:rtl w:val="true"/>
          <w:lang w:bidi="ar-SA"/>
        </w:rPr>
        <w:t>محرّمة فلا يجوز لا إعارته ولا إجارته ، كأدوات اللّهو والأغاني ، وأواني الذهب والفضّة بناء على عموم حرمة الانتفاع بها ، لا خصوص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بعض منافعه محلّلة وبعضها محرّمة ، كأواني الذهب والفضّة بناء على عدم عموم حرمة الانتفاع بها واستعمالها ، بل يكون الحرام خصوص الأكل والشرب فيها ، وكالجارية التي يحرم بعض المنافع منها كوطيها ، لأنّه لا يحلّ إلاّ بالتزويج أو الملك أو التحليل ، ويحلّ بعض منافعها الأخر كاستخدامها في البيت ؛ فلا يجوز إعارته إلاّ باعتبار منافعه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القاعدة هو أنّ كلّ عين يصحّ إعارتها باعتبار أنّ لها منفعة محلّلة يمكن الانتفاع بها مع بقاء نفسها ، تصحّ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ليس لها منفعة محلّلة ، فليس لنفس المالك أن ينتفع بها باعتبار منافعها المحرّمة ، فكيف له أن يسلّط غيره عليه باعتبار تلك المنافع أو يملكها لغيره أو يملك انتفاع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إعارة كلّ ما له منفعة محلّلة باعتبار تلك المنافع المحلّلة مع بقاء عينه ، كالأراضي والبساتين والدوّاب والثياب والمساكن والدكاكين ، وأنواع الفرش والألبسة والأمتعة ، وأثاث البيت والكتب التي لا يوجب الإضلال ، وأدوات الطبخ ، وأقسام الحلي ، وكلب الصيد المحلّل ، وحراسة الدار والمراكب والسيّارات والطيّارات ، وأدوات الزراعة والفلاحة والمكائن بجميع أقسامها وأنواعها ، وغيرها ممّا لم نذكرها ، وكان مصداقا لعنوان ما له منفعة محلّلة ويمكن الانتفاع به مع بقاء عينه ، فهذه الأمور جميعا كما يجوز إعارتها كذلك يجوز إجارتها ، وهذا هو مفاد هذه القاعدة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يستشكل على هذه الكلّية بأنّ إعارة الشاة المنحة يجوز للانتفاع بلبنها ، ولا يجوز إجارتها لذلك ، وكذلك يجوز إعارة جاريته المرضعة للانتفاع بلبنها بأن يشرب الطفل من ذلك اللبن أو للانتفاع بإرضاعها للطفل ، وكذلك يجوز إعارة البئر للاستقاء منها ولا يجوز إجارتها لذلك ، وكذلك يجوز إعارة البستان للانتفاع بأثمار أشجارها ولا يجوز إجارته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هذه المذكورات قيل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كلام صاحب الجواهر </w:t>
      </w:r>
      <w:r>
        <w:rPr>
          <w:rStyle w:val="FootnoteAnchor"/>
          <w:rtl w:val="true"/>
        </w:rPr>
        <w:footnoteReference w:id="401"/>
      </w:r>
      <w:r>
        <w:rPr>
          <w:rFonts w:ascii="Amiri" w:hAnsi="Amiri" w:eastAsia="Amiri" w:cs="Amiri"/>
          <w:color w:val="111111"/>
          <w:sz w:val="28"/>
          <w:sz w:val="28"/>
          <w:szCs w:val="28"/>
          <w:rtl w:val="true"/>
          <w:lang w:bidi="ar-SA"/>
        </w:rPr>
        <w:t>أنّ إجارة المرضعة للرضاع جائزة ، ولا يجوز إعارتها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عين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هذا الضابط جواز عارية المنحة للحلب دون الإجارة له ، عكس المرأة للرضاع بعد أن كان ذلك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هذه النقوض غير واردة على هذه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عارية الشاة المنحة فأوّلا يمكن أن يقال بأنّه ليس من باب العارية ، بل يكون إباحة للبنها من طرف المالك لمن يعطيها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هذا لدليل خاصّ ورد في المقام ، فيكون مخصّصا لهذه القاعدة وهو الإجماع كما حكاه في الجواهر </w:t>
      </w:r>
      <w:r>
        <w:rPr>
          <w:rStyle w:val="FootnoteAnchor"/>
          <w:rtl w:val="true"/>
        </w:rPr>
        <w:footnoteReference w:id="402"/>
      </w:r>
      <w:r>
        <w:rPr>
          <w:rFonts w:ascii="IRNazanin" w:hAnsi="IRNazanin" w:eastAsia="IRNazanin"/>
          <w:color w:val="111111"/>
          <w:sz w:val="28"/>
          <w:sz w:val="28"/>
          <w:szCs w:val="28"/>
          <w:rtl w:val="true"/>
          <w:lang w:bidi="fa-IR"/>
        </w:rPr>
        <w:t xml:space="preserve">عن بعض متأخري المتأخّرين ، أو ما رواه الحلبي عن الصادق علیه السلام في الرجل يكون له الغنم يعطيها بضريبة سمنا شيئا معلوما أو دراهم معلومة من كلّ شاة كذا وكذا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بالدراهم ولست أحبّ بالسمن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صحيح ابن سنان ، سأله أيضا عن رجل دفع إلى رجل غنمه بسمن ودراهم معلومة لكلّ شاة كذا وكذا في كلّ شهر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بالدراهم ، وأمّا السمن فلا أحبّ ذلك إلاّ أن تكون حوالب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في الجواهر </w:t>
      </w:r>
      <w:r>
        <w:rPr>
          <w:rStyle w:val="FootnoteAnchor"/>
          <w:rtl w:val="true"/>
        </w:rPr>
        <w:footnoteReference w:id="405"/>
      </w:r>
      <w:r>
        <w:rPr>
          <w:rFonts w:ascii="Amiri" w:hAnsi="Amiri" w:eastAsia="Amiri" w:cs="Amiri"/>
          <w:color w:val="111111"/>
          <w:sz w:val="28"/>
          <w:sz w:val="28"/>
          <w:szCs w:val="28"/>
          <w:rtl w:val="true"/>
          <w:lang w:bidi="ar-SA"/>
        </w:rPr>
        <w:t xml:space="preserve">الاستدلال بهاتين الروايتين على جواز عارية الشاة المنحة </w:t>
      </w:r>
      <w:r>
        <w:rPr>
          <w:rStyle w:val="FootnoteAnchor"/>
          <w:rtl w:val="true"/>
        </w:rPr>
        <w:footnoteReference w:id="40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للانتفاع بلبنها بأنّ مفاد هاتين الروايتين جواز إعطاء الشاة بعوض وبضريبة للانتفاع بلبنها ، فتدلاّن على جواز الإعطاء مجّانا بطريق أولى أي بالفحوى ، وإعطاء الشاة بضريبة لا بدّ وأن يكون للانتفاع بلبنها أو بصوفها أو بكليهما ، فإذا دلّتا بالفحوى على جواز الإعطاء للانتفاع بهاتين المنفعتين مجّانا فيكون هذا عين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أنّ الرواية تدلّ على جواز إعطاء الشاة المنحة مجانا لهاتين المنفعتين ، لا تدلّ على أنّ جواز الإعطاء من باب العارية ، بل من الممكن أن يكون من باب الإباحة أو الصلح المجّاني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في التذكرة على جواز عارية الشاة المنحة بما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مؤدّاة ، والمنحة مردودة ، والدين مقضيّ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والغريم غارم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الإنصاف أنّ هذا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تسليم صدوره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المطلوب ، وأنّ المنحة ليست بعارية أدلّ ، لما جعله صلی اللّه علیه و آله مقابلا وعدلا للعارية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يدلّ على أنّ ردّ المنحة واجب ، كما أنّ تأدية العارية وقضاء الدين لازم ، والغريم غارم أي المديون يجب عليه أن يؤدّى دينه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نقل التذكرة ، وأمّا بناء على ما في سنن أبي داود وصحيح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فمعناه أنّ الكفيل يجب عليه أداء الغرامة ، إذ الزعيم بمعنى الكفيل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فالمستفاد من الحديث الشريف أنّ الشاة المنحة التي أعطاها المالك لشخص وأباح له لبنها يجب على ذلك الشخص ردّه ، وهذا لا ربط له بالعارية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التحقيق أنّه كما يجوز إعارة الشاة المنحة إجماعا يجوز إجارتها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 الإجارة تمليك المنفعة مع بقاء العين ، وأمّا تمليك الأعيان فليس بإجارة ، بل إمّا بيع إذا كان بعوض مالي ، أو هبة إن كان مجّانا وبلا عوض ، أو صلح إذا وقع التسالم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الإجارة في المفروض هي الشاة باعتبار تمليك منافعها ، غاية الأمر أنّ المنفعة قد تكون من الأعراض القائمة بعين في الخارج ، كسكنى الدار وركوب الدابّة والتفرّج في بستان ، وقد تكون من الأمور الاعتباريّة ، كما أنّهم يستأجرون الحلويّات الكثيرة ، وكذا الفواكه لأجل مجلس عقد القرآن بين الزوجين ، لا لأكلها بل لإظهار الجلالة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هذا القسم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من الأعيان الخارجيّة ومن الجواهر التي لها وجود تبعي قبل الانفصال عن متبوعه ، ووجود استقلالي بعد الانفصال كاللبن بالنسبة إلى الشاة المنحة والمرأة المرضعة ، وكالأثمار بالنسبة إلى الأشجار ، وكالمياه بالنسبة إلى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إذا ورد التمليك على هذه الأشياء باعتبار وجودها الاستقلالي ، أو كان بعد انفصالها عن متبوعها ، فلا شبهة في أنّ مثل هذا التمليك لا يمكن أن يكون إجارة ؛ لأنّ حقيقة الإجارة تمليك المنفعة ، وهذه تمليك عين لا تمليك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ورد التمليك عليها باعتبار وجودها قبل الانفصال ، أي باعتبار كونها من توابع متبوعاتها وصفات موضوعاتها ، ولذلك يقولون شاة منحة وامرأة مرضعة وشجرة مثمرة إلى غير ذلك من الأمثلة ، فهذا يعدّ من تمليك المنافع بهذا الاعتبار عند العرف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الشاة بكذا ، لا يفهم منه العرف إلاّ تمليك منافع هذه الشاة </w:t>
      </w:r>
    </w:p>
    <w:p>
      <w:pPr>
        <w:pStyle w:val="BookText"/>
        <w:rPr/>
      </w:pPr>
      <w:r>
        <w:rPr>
          <w:rFonts w:ascii="Amiri" w:hAnsi="Amiri" w:eastAsia="Amiri" w:cs="Amiri"/>
          <w:color w:val="111111"/>
          <w:sz w:val="28"/>
          <w:sz w:val="28"/>
          <w:szCs w:val="28"/>
          <w:rtl w:val="true"/>
          <w:lang w:bidi="ar-SA"/>
        </w:rPr>
        <w:t>التي بنظرهم عبارة عن صوفه ولبنه ، ولم يقم دليل عقلي ولا نقلي على أنّ منفعة عين لا يمكن أن تكون عين أخرى ، فهل يشكّ أحد في أنّ منفعة شجر الكرم هو العنب ، أو في أنّ منفعة النخيل هي التمور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المتفاهم العرفي في باب العارية والإجارة هو إعطاء العين الخارجيّة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تسليط على العين باعتبار كون منافعها ملكا له مدّة معلومة ، فإن كان هذا التسليط والتمليك مجّانا وبلا عوض يسمّى عارية ، وإن كان بعوض يسمّى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التسليط على الشاة المنحة مع تمليك أصوافها وألبانها وسائر منافعها المتّصلة بها لا بعد انفصالها عنها يكون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المتفاهم العرفي من هذا اللفظ الذي هو معنى ظهور اللفظ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بعوض ، وإن لم يكن بعوض يكون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المتفاهم العرفي بين أن تكون تلك المنافع من الأعراض الخارجيّة ، أو كانت من الاعتباريّات ، أو تكون من الأعيان الخارجيّة بشرط عدم انفصال هذا الأخير عن موصوفه ومتبوعه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الشاة المنحة والمرأة المرضعة والشجرة المثمرة والبئر التي لها ماء بالنسبة إلى الاستقاء منها ، ففي جميع ذلك تصحّ إجارتها وأيضا إعارتها ، إلاّ أن يأتي دليل خاصّ من إجماع أو رواية معتبرة على عدم صحّة كليهما أو أحدهما ، فلا يرد نقض على هذه القاعدة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أو يتوهّم بأنّهم متّفقون على أنّ الإجارة تمليك منافع العين التي يوجرها الموجر ، ويذكرون أنّ المنفعة مقابل العين ، ونقل الأعيان مقابل نقل المنفعة فلا يجتمعان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الأعيان ما دامت متّصلة بالعين المتعلّقة للإجارة </w:t>
      </w:r>
    </w:p>
    <w:p>
      <w:pPr>
        <w:pStyle w:val="BookText"/>
        <w:rPr/>
      </w:pPr>
      <w:r>
        <w:rPr>
          <w:rFonts w:ascii="Amiri" w:hAnsi="Amiri" w:eastAsia="Amiri" w:cs="Amiri"/>
          <w:color w:val="111111"/>
          <w:sz w:val="28"/>
          <w:sz w:val="28"/>
          <w:szCs w:val="28"/>
          <w:rtl w:val="true"/>
          <w:lang w:bidi="ar-SA"/>
        </w:rPr>
        <w:t>تعدّ منفعة ، ومفهوم المنفعة لا بدّ وأن يؤخذ من العرف كسائر المفاهيم ، فإذا كانت هذه المنافع المذكورة التي من الأعيان الخارجيّة منفعة للعين ما دامت متّصلة بها ، فتشمل الإطلاقات أدلّة الإجارة والعارية أيضا مثل هذه الموارد ، أي التسليط على الشاة المنحة والجارية المرضعة والشجرة المثمرة ، والبئر التي لها ماء وغير هذه الأمور ممّا يشبهها مع إنشاء تمليك المنافع المذكورة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مرادنا من إنشاء تمليك منافع هذه الأمور أن يكون بإنشاء مستقلّ ، وإلاّ يخرج عن كونه إجارة ، بل مرادنا من تمليك منافع هذه الأمور هو إنشاء تمليكها بلفظ الإجارة المتعلّقة بنفس هذه الأمور باعتبار 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والنقض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إجارة الشاة بلحاظ سخلها ، ولا الجارية بلحاظ ولدها ، ولا البذر بلحاظ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تامّ ؛ وذلك لأنّ السخل والولد موجودان منفصلان عن الشاة والجارية ، ورحم الشاة والجارية وعاء نمائهما وتربيتهما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المفاهيم تختلف بنظر العرف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هذه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من هذه العبارة تمليك صوفها ولبنها ، ولا يفهم منها تمليك سخلها التي في بطنها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تشخيص المفاهيم وتعيين مداليل الألفاظ والجمل هو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السخل والولد إن كانا من منافع الشاة والجارية في المتفاهم العرفي نقول بصحّة إجارتها وإعارتها ، إلاّ أن يأتي دليل من إجماع أو رواية على عدم صحّتها أو عدم صحّة أحدهما ، وأمّا البذر والزرع والبيض والدجاج والنواة والنخلة وأمثالها فالزرع والدجاج والنخلة هي عين البذر والبيض والنواة ، لا أنّها من منافعها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سيّدنا الأستاذ قدس سره في حاشية العروة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يشكل في إجارة الأشجار للثمار بأنّ الانتفاع الحاصل فيها يعدّ في العرف انتفاعا بالثمر لا بالشجر</w:t>
      </w:r>
      <w:r>
        <w:rPr>
          <w:rFonts w:eastAsia="Amiri" w:cs="Amiri" w:ascii="Amiri" w:hAnsi="Amiri"/>
          <w:color w:val="111111"/>
          <w:sz w:val="28"/>
          <w:szCs w:val="28"/>
          <w:rtl w:val="true"/>
          <w:lang w:bidi="ar-SA"/>
        </w:rPr>
        <w:t xml:space="preserve">. </w:t>
      </w:r>
      <w:bookmarkStart w:id="226" w:name="pg15947_151221"/>
    </w:p>
    <w:p>
      <w:pPr>
        <w:pStyle w:val="BookText"/>
        <w:rPr/>
      </w:pPr>
      <w:bookmarkEnd w:id="226"/>
      <w:r>
        <w:rPr>
          <w:rFonts w:ascii="Amiri" w:hAnsi="Amiri" w:eastAsia="Amiri" w:cs="Amiri"/>
          <w:color w:val="111111"/>
          <w:sz w:val="28"/>
          <w:sz w:val="28"/>
          <w:szCs w:val="28"/>
          <w:rtl w:val="true"/>
          <w:lang w:bidi="ar-SA"/>
        </w:rPr>
        <w:t>فكلام عجيب ؛ لأنّه بعد قبوله المبنى الذي ذكرنا وأنّه من الممكن أن تكون منفعة الشي‌ء من الأعيان الخارجيّة ، فأيّ فرق بين الشاة المنحة والانتفاع بلبنها ، وبين النخلة مثلا والانتفاع بثمرها ، بل كون ثمار الأشجار منفعة لها أبين من كون الماء الموجود في البئر منفعة لها ، وأيضا أبين من كون اللبن من منافع الشاة أو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الأستاذ قدس سره حيث أنّه لم يختر هذا المبنى ذهب إلى عدم صحّة إجارة هذه الأمور ، وقال في إجارة الشجر لأثماره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إنكار صحّة إجارة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إجارة الأشجار للانتفاع بأثمارها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قدس سره يرى القول بإجارة الأشجار بلحاظ الانتفاع بأثمارها أبعد عن الصحّة من إجارة الشاة المنحة بلحاظ لبنها ، والمرأة المرضعة بلحاظ إرضاعها أو لبنها ، والبئر بلحاظ الانتفاع بمائها ، ونحن لم نفهم فيها خصوصيّة أوجب ذلك</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6232004_2142443653"/>
      <w:bookmarkStart w:id="228" w:name="_Toc75"/>
      <w:bookmarkEnd w:id="227"/>
      <w:r>
        <w:rPr>
          <w:rtl w:val="true"/>
        </w:rPr>
        <w:t xml:space="preserve">الجهة الثانية </w:t>
      </w:r>
      <w:r>
        <w:rPr>
          <w:rtl w:val="true"/>
        </w:rPr>
        <w:t xml:space="preserve">: </w:t>
      </w:r>
      <w:r>
        <w:rPr>
          <w:rtl w:val="true"/>
        </w:rPr>
        <w:t>في بيان الدليل على هذه القاعدة</w:t>
      </w:r>
      <w:bookmarkEnd w:id="228"/>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فهذا صاحب الجواهر قدس سره يقول في مقام شرح هذه العبارة التي في الشرائع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صحّ إعارته صحّ إجارته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نقلا وتحصيلا ، بل إجماعا كذلك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العبارة من هذا الفقيه المحقّق المتتبّع لها قيمتها ، وإن كان قد تقدّم منّا مرارا الإشكال على أمثال هذه الإجماعات التي من المحتمل القريب أن يكون اتّفاقهم مستندا إلى مدرك يعتمدون عليه ، من دون أن يكون سبب اتّفاقهم تلقّيهم عن </w:t>
      </w:r>
    </w:p>
    <w:p>
      <w:pPr>
        <w:pStyle w:val="BookText"/>
        <w:rPr/>
      </w:pPr>
      <w:r>
        <w:rPr>
          <w:rFonts w:ascii="IRNazanin" w:hAnsi="IRNazanin" w:eastAsia="IRNazanin"/>
          <w:color w:val="111111"/>
          <w:sz w:val="28"/>
          <w:sz w:val="28"/>
          <w:szCs w:val="28"/>
          <w:rtl w:val="true"/>
          <w:lang w:bidi="fa-IR"/>
        </w:rPr>
        <w:t>الإمام علیه السلام فلا بدّ من الرجوع إلى نفس المدرك المحتمل إن كان معلوما ، وأنّه هل يصحّ الاعتماد عليه أم لا؟ كما أنّه في المقام من المحتمل القريب أن يكون مدركهم هذا الأمر الثاني الذي نبيّنه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الإعارة والإجارة لا تختلفان في الحقيقة ، وكلاهما عبارتان عن تسليط المالك المستعير والمستأجر على عين ماله لتمليك منفعته إيّاهما ، ولا فرق بينهما إلاّ بأنّ تمليك المنفعة أو الانتفاع بتلك العين في العارية مجّاني وبلا عوض ، وفي الإجارة يكون بعوض وليس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الإجارة والإعارة واحد ، وهو العين التي لها منفعة محلّلة يمكن الانتفاع بها ، فيسلط الطرف عليه ويملكه منفعتها أو الانتفاع بها فينتفع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الانتفاع بها بلا عوض أو مع العوض لا يغيّر المورد ، فالمورد في كليهما واحد ، إلاّ أن يأتي دليل خاصّ من إجماع أو رواية معتبرة على صحّة إحديها دون الأخرى ، وإلاّ فمقتضى الأصل الأوّلي هو أنّه لو صحّ أحدهما صحّ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هذا الدليل أنّ الكلّية من الطرفين ، أي كما أنّ كلّما صحّ إعارته صحّ إجارته ، كذلك كلّما صحّ إجارته صحّ إعارته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إلاّ أنّهم ذكروا الكلّية الأولى دون الثانية ، ولعلّه لأنّ الإجارة عقد لازم لا يمكن حلّه إلاّ بأحد موجبات الفسخ ، بخلاف العارية فإنّ العارية قابلة للاسترداد والرّد في أيّ وقت أراد كلّ واحد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فالإجارة تحتاج إلى دليل الإثبات وصحّة عقده كي يحكم عليها باللزوم ، وأمّا العارية في الحقيقة هو إذن في التصرّفات ، ولا أثر لكونها صحيحة أو فاسدة ؛ لأنّ فاسدها أيضا لا ضمان فيها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مهمّ لمعرفة أنّها صحيحة أو فاسدة ، ولذلك أهملوا ذكر الكليّة الثانية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السيرة العمليّة بالنسبة إلى موارد العارية أوسع ، فإنّ الناس يستعيرون </w:t>
      </w:r>
      <w:bookmarkStart w:id="229" w:name="pg15947_151223"/>
    </w:p>
    <w:p>
      <w:pPr>
        <w:pStyle w:val="BookText"/>
        <w:rPr/>
      </w:pPr>
      <w:bookmarkEnd w:id="229"/>
      <w:r>
        <w:rPr>
          <w:rFonts w:ascii="IRNazanin" w:hAnsi="IRNazanin" w:eastAsia="IRNazanin"/>
          <w:color w:val="111111"/>
          <w:sz w:val="28"/>
          <w:sz w:val="28"/>
          <w:szCs w:val="28"/>
          <w:rtl w:val="true"/>
          <w:lang w:bidi="fa-IR"/>
        </w:rPr>
        <w:t>أغلب الأشياء لقضاء حوائجهم ، من الظروف والفرش ، وأدوات الطبخ من القدور والمكائن التي يطبخون عليها ، والبسط والابر وأدوات شرب الچاى من السماور والكتلى والقوري والاستكان والمواعين على أنواعها وأقسامها ، والكتب العلميّة في مختلف العلوم ، وكتب الأدعية والزيارة وغير ذلك ممّا يطول إحصاؤها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له منفعة ويقضى الحاجة في مدّة قليلة إلاّ وقد يقع موردا للاستعارة ، بخلاف الإجارة ، فإنّ السيرة العمليّة لم تنعقد إلاّ في المهمّات من الحوائج وفيما لم يكن الاحتياج إليها في المدّة القليلة ، بل يكون الاحتياج إليها في مدّة معتدّة بها ، فيمكن أن تكون في بعض الموارد صحّة الإجارة مشكوكة لعدم قيام سيرة عمليّة عليها ، ولكن صحّة العارية تكون معلومة لقيام السيرة عليه ، فيستدلّ بها على صحّة الإجارة لأجل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هناك مورد تكون صحّة الإجارة معلومة وصحّة العارية ، مشكوكة في ذلك المورد كي يستدلّ بالكليّة الأخرى على صحّة تلك العارية ؛ فلذلك ذكروا الكلّية الأولى وأهملوا ذكر الثانية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6232006_2142443653"/>
      <w:bookmarkStart w:id="231" w:name="_Toc76"/>
      <w:bookmarkEnd w:id="230"/>
      <w:r>
        <w:rPr>
          <w:rtl w:val="true"/>
        </w:rPr>
        <w:t xml:space="preserve">الجهة الثالثة </w:t>
      </w:r>
      <w:r>
        <w:rPr>
          <w:rtl w:val="true"/>
        </w:rPr>
        <w:t xml:space="preserve">: </w:t>
      </w:r>
      <w:r>
        <w:rPr>
          <w:rtl w:val="true"/>
        </w:rPr>
        <w:t>في موارد تطبيق هذه القاعدة</w:t>
      </w:r>
      <w:bookmarkEnd w:id="2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تجري في إجارة الأعيان بلحاظ منافعها ، وأمّا في باب الأجراء الأحرار فلا تجري الكلّية الثانية ؛ لأنّه يجوز استئجارهم ولا يجوز إعارتهم ؛ لأنّهم وإن كانوا أعيانا ولهم منافع محلّلة ، ولكن لا يدخلون تحت يد أحد ولا يملكهم أحد ، وهم وإن كانوا يملكون أعمالهم ولكن لا ينطبق على أعمالهم عنوان العارية ؛ لأنّ العارية كما قلنا عبارة عن تسليط الغير على عين من أعيان ما يملكه لأجل أن ينتفع بها وفي الإجراء الأحرار لا يمكن ذلك لا من قبل أنفسهم ولا من </w:t>
      </w:r>
    </w:p>
    <w:p>
      <w:pPr>
        <w:pStyle w:val="BookText"/>
        <w:rPr/>
      </w:pPr>
      <w:r>
        <w:rPr>
          <w:rFonts w:ascii="Amiri" w:hAnsi="Amiri" w:eastAsia="Amiri" w:cs="Amiri"/>
          <w:color w:val="111111"/>
          <w:sz w:val="28"/>
          <w:sz w:val="28"/>
          <w:szCs w:val="28"/>
          <w:rtl w:val="true"/>
          <w:lang w:bidi="ar-SA"/>
        </w:rPr>
        <w:t>قبل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الأجير من العبيد فكما تصحّ إجارته كذلك تصحّ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تطبيق هذه القاعدة جميع الموارد التي قامت السيرة على صحّة إعارتها ، فمفاد هذه القاعدة صحّة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ذكرنا من الموارد الكثيرة التي بناء العقلاء على صحّة إعارتها ، وقامت السيرة على ذلك حتى المحقّرات ، كما إذا استعار إبرة لخياطة خرق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فإجارته لذلك أيضا صحيحة ، اللّهمّ إلاّ أن يكون منفعته قليلة بحدّ أنّ العقلاء لا يبذلون بإزائه المال ، فيمكن أن يقال حينئذ بالتفكيك بينهما بأنّ إعارته في ذلك المورد جائزة ، إذ لا مانع من إعطاء ذلك الشي‌ء بيد الطرف للانتفاع بتلك المنفعة القليلة مجّانا وبلا عوض ، ولكن لا يجوز إجارته لأنّ الإجارة لا يمكن بدون العوض ، والمفروض أنّ العقلاء لا يبذلون بإزاء تلك المنفعة القليلة مالا ، فيمكن أن يكون هذا نقضا على هذه الكلّية لجواز الإعارة دون الإجارة ، فتدبّر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5947_151226"/>
      <w:bookmarkStart w:id="233" w:name="pg15947_151226"/>
      <w:bookmarkEnd w:id="233"/>
    </w:p>
    <w:p>
      <w:pPr>
        <w:pStyle w:val="Heading2"/>
        <w:numPr>
          <w:ilvl w:val="1"/>
          <w:numId w:val="1"/>
        </w:numPr>
        <w:rPr/>
      </w:pPr>
      <w:bookmarkStart w:id="234" w:name="pg15947_151226"/>
      <w:bookmarkStart w:id="235" w:name="__RefHeading___Toc16232008_2142443653"/>
      <w:bookmarkStart w:id="236" w:name="_Toc77"/>
      <w:bookmarkEnd w:id="234"/>
      <w:bookmarkEnd w:id="235"/>
      <w:r>
        <w:rPr/>
        <w:t>53</w:t>
      </w:r>
      <w:r>
        <w:rPr>
          <w:rtl w:val="true"/>
        </w:rPr>
        <w:t xml:space="preserve"> - </w:t>
      </w:r>
      <w:r>
        <w:rPr>
          <w:rtl w:val="true"/>
        </w:rPr>
        <w:t>قاعدة حرمة إهانة المحترمات في الدين</w:t>
      </w:r>
      <w:bookmarkEnd w:id="2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6232010_2142443653"/>
      <w:bookmarkStart w:id="238" w:name="_Toc78"/>
      <w:bookmarkEnd w:id="237"/>
      <w:r>
        <w:rPr>
          <w:rtl w:val="true"/>
        </w:rPr>
        <w:t>اشارة</w:t>
      </w:r>
      <w:bookmarkEnd w:id="2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947_151228"/>
      <w:bookmarkStart w:id="240" w:name="pg15947_151228"/>
      <w:bookmarkEnd w:id="240"/>
    </w:p>
    <w:p>
      <w:pPr>
        <w:pStyle w:val="BookText"/>
        <w:rPr/>
      </w:pPr>
      <w:bookmarkStart w:id="241" w:name="pg15947_151228"/>
      <w:bookmarkEnd w:id="241"/>
      <w:r>
        <w:rPr>
          <w:rFonts w:ascii="Amiri" w:hAnsi="Amiri" w:eastAsia="Amiri" w:cs="Amiri"/>
          <w:color w:val="111111"/>
          <w:sz w:val="28"/>
          <w:sz w:val="28"/>
          <w:szCs w:val="28"/>
          <w:rtl w:val="true"/>
          <w:lang w:bidi="ar-SA"/>
        </w:rPr>
        <w:t>قاعدة حرمة إهانة المحترمات في الدين</w:t>
      </w:r>
    </w:p>
    <w:p>
      <w:pPr>
        <w:pStyle w:val="BookText"/>
        <w:rPr/>
      </w:pPr>
      <w:r>
        <w:rPr>
          <w:rFonts w:ascii="Amiri" w:hAnsi="Amiri" w:eastAsia="Amiri" w:cs="Amiri"/>
          <w:color w:val="111111"/>
          <w:sz w:val="28"/>
          <w:sz w:val="28"/>
          <w:szCs w:val="28"/>
          <w:rtl w:val="true"/>
          <w:lang w:bidi="ar-SA"/>
        </w:rPr>
        <w:t xml:space="preserve">ومن جملة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إهانة حرمات اللّه والاستخفاف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6232012_2142443653"/>
      <w:bookmarkStart w:id="243" w:name="_Toc79"/>
      <w:bookmarkEnd w:id="242"/>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 هذه القاعدة</w:t>
      </w:r>
      <w:bookmarkEnd w:id="24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فمعلومة عند كلّ أحد ، وأنّها أحد الأحكام الخمسة التكليفيّة ، وهو طلب ترك الشي‌ء وعدم رضاه بفعله بحيث يلزم عليه الترك ولو فعل كان عاصيا يستحقّ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مصدر باب الإفعال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 يهين ، والمراد به الاستخفاف والاستحقار ، فأهانه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به وحقّره وعدّه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بضمّتين وكهمزة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يحلّ انتهاكه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أيضا كذلك في الكشّاف </w:t>
      </w:r>
      <w:r>
        <w:rPr>
          <w:rStyle w:val="FootnoteAnchor"/>
          <w:rtl w:val="true"/>
        </w:rPr>
        <w:footnoteReference w:id="41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حُرُماتِ اللّهِ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هاهنا في هذه القاعدة مطلق ما هو محترم في الدين وله شأن عند اللّه على اختلاف مراتبها ، كالكعبة المعظّمة ، ومسجد الحرام وسائر المساجد ، والقرآن ، </w:t>
      </w:r>
      <w:bookmarkStart w:id="244" w:name="pg15947_151229"/>
    </w:p>
    <w:p>
      <w:pPr>
        <w:pStyle w:val="BookText"/>
        <w:rPr/>
      </w:pPr>
      <w:bookmarkEnd w:id="244"/>
      <w:r>
        <w:rPr>
          <w:rFonts w:ascii="IRNazanin" w:hAnsi="IRNazanin" w:eastAsia="IRNazanin"/>
          <w:color w:val="111111"/>
          <w:sz w:val="28"/>
          <w:sz w:val="28"/>
          <w:szCs w:val="28"/>
          <w:rtl w:val="true"/>
          <w:lang w:bidi="fa-IR"/>
        </w:rPr>
        <w:t>والنبي صلی اللّه علیه و آله والأئمّة المعصومين ، والضرائح المقدّسة ، وقبور الشهداء والصالحين والعلماء والفقهاء العاملين أحياء وأمواتا ، وكتب الأحاديث النبويّة المرويّة من طرق أهل البيت أو من طرق غيرهم من الصحابة الأخيار ، إلى غير ذلك من ذوي الشؤون في الدين وشريعة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القبيل التربة الحسينيّة وكتب الأدعية والمنابر في المساجد الموضوعة للوعظ أو للخطبة لصلاة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القاعدة والمراد منها أنّ كلّ ما هو من حرمات اللّه وله شأن في الدين لا يجوز هتكه ، ويحرم استحقاره وإهانته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232014_2142443653"/>
      <w:bookmarkStart w:id="246" w:name="_Toc80"/>
      <w:bookmarkEnd w:id="245"/>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الدليل على هذه القاعدة</w:t>
      </w:r>
      <w:bookmarkEnd w:id="24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حرمة هتك ما هو من حرمات اللّه وشعائر الدين ، فإنّهم ادّعوا الإجماع على حرمة تنجيس المساجد ، وإدخال النجاسة المسرية فيها معلّلا بأنّها مستلزم لهتكها ، فكأنّهم جعلوا حرمة الهتك أمرا مفروغا عنه ، وأيضا قالوا بجواز إدخال النجاسة غير المسرية فيها ما لم يستلزم هتكها فكأنّ حرمة ما يستلزم الهتك أمر مسلّم عندهم ، ومن المعلوم أنّ اتّفاقهم على حرمة الهتك ليس لخصوصيّة في المساجد ، بل تكون لأجل أنّها من حرمات الدين وشعائره ؛ وذلك لأنّ ما هو من حرمات اللّه وشعائره تعالى هتكه يؤول إلى هتك حرمة اللّه عزّ وجلّ ، وهذا شي‌ء ينكره العقل ويقبّحه ، كما سنذكره في الدليل العقلي إن شاء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شعائر اللّه عبارة عن مناسك الحجّ ، أو خصوص الهدى ، أو خصوص البدن ، وهكذا بالنسبة إلى حرمات اللّه كونها عبارة عن خصوص مناسك الحجّ فواضح البطلان ؛ لأنّ إطلاقها في القرآن الكريم على تلك الأمور من باب إطلاق </w:t>
      </w:r>
    </w:p>
    <w:p>
      <w:pPr>
        <w:pStyle w:val="BookText"/>
        <w:rPr/>
      </w:pPr>
      <w:r>
        <w:rPr>
          <w:rFonts w:ascii="Amiri" w:hAnsi="Amiri" w:eastAsia="Amiri" w:cs="Amiri"/>
          <w:color w:val="111111"/>
          <w:sz w:val="28"/>
          <w:sz w:val="28"/>
          <w:szCs w:val="28"/>
          <w:rtl w:val="true"/>
          <w:lang w:bidi="ar-SA"/>
        </w:rPr>
        <w:t xml:space="preserve">الكلّي على بعض المصاديق وليس من المجاز ، لما تحقّق في محلّه أنّه من باب تعدّد الدالّ والمدلول ؛ لأنّ الخصوصيّة تستفاد من دالّ آخر ، وما ذكره اللغويّون وبعض المفسّرين لهذين اللفظين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حرمات اللّه ،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باب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هو محترم عند اللّه ومن علائم الدين فهو من حرمات اللّه ومن شعائره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ما قاله الزمخشري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لا يحلّ هتكه ، فلوضوح ثبوت هذا الأثر لها عرّفوها به ، وكذلك اتّفقوا على أنّ هتك المؤمن حرام حيّا وميّتا ، وكذلك اتّفقوا على حرمة هتك المشاهد المشرّفة والضرائح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إنكار وجود الإجماع والاتّفاق على عدم جواز هتك ما هو من المحترمات في الدين ، بل ربما عدّ بعضهم هذا من ضروريات الدين ، والفقيه المتتبّع يجد هذا الاتّفاق في موارد كثيرة من صغريات هذه القاعدة من غير نكير من أحد ، نعم اختلفوا في وجوب تعظيم هذه الأمور ، وسنذكره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ارتكاز ذهن المتشرّعة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النساء والصبيان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جواز هتك حرمة هذه الأمور وإهانتها واستحقارها ، ويعترضون على من يهينها ويستحقرها وينكرونها أشدّ الإنكار ، وإن كان بعضهم يفرّطون في هذا الأمر ، ولا شكّ في أنّه لو شرب أحد سيكارة أو شطبا في حرم أحد أولاد الأئمّة علیهم السلام ينكرون عليه أشدّ الإنكار ، أو يدخل في حرمهم لابسا حذائه يصيحون عليه ، وأمثال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فالإنصاف أنّه لا يمكن أن ينكر ثبوت مثل هذا الارتكاز في أذهان المتشرّعة ، ولا يمكن أيضا إنكار أنّ هذا الارتكاز كاشف عن ثبوت هذا الحكم في الشريعة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تختلف مراتب إنكارهم بالنسبة إلى هذه الأمور ؛ فلو أهان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بالكعبة المعظّمة ، أو ضريح الرسول صلی اللّه علیه و آله ، أو القرآن الكريم ، فإنكارهم ربما </w:t>
      </w:r>
    </w:p>
    <w:p>
      <w:pPr>
        <w:pStyle w:val="BookText"/>
        <w:rPr/>
      </w:pPr>
      <w:r>
        <w:rPr>
          <w:rFonts w:ascii="IRNazanin" w:hAnsi="IRNazanin" w:eastAsia="IRNazanin"/>
          <w:color w:val="111111"/>
          <w:sz w:val="28"/>
          <w:sz w:val="28"/>
          <w:szCs w:val="28"/>
          <w:rtl w:val="true"/>
          <w:lang w:bidi="fa-IR"/>
        </w:rPr>
        <w:t>ينجرّ إلى قتله ، كما هو كذلك الحكم الوارد في الشرع بالنسبة إلى تلويث الكعبة المعظّمة ، بل القرآن الكريم وضريح الرسول صلی اللّه علیه و آله ؛ لأنّه كاشف قطعيّ عن كفره أو ارتداده إن كان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أهان نعمة من نعم اللّه ، كما لو سحق الخبز برجله متعمّدا من غير عذر ولا ضرورة ، ينكرون بالصيحة في وجهه لا أزيد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الإنكار بالنسبة إلى إهانة المحترمات في الدين من مرتكزاتهم ، وإن كانت مراتبه مختلفة بالنسبة إلى مراتب المحترمات ، نعم العوام كثيرا ما يشتبهون في تشخيص مراتب المحترمات كما هو شأنهم في كثير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إهانة ما هو محترم عند المولى ، واستحقار ما هو معظّم عنده ، ويرجع استحقار ما هو محترم عنده ومعظّم لديه إلى الاستخفاف بالمولى ، فيستحقّ الذمّ والعقاب ، واستحقاق الذمّ والعقاب من اللوازم التي لا ينفكّ عن فعل الحرام أو ترك الواجب الذي هو أيضا حرام ، فكلّ فعل كان موجبا لاستحقاق العقاب فلا محالة يستكشف منه أنّه حرام ، وذلك ببرهان الإنّ ، أي استكشاف العلّة من وجود المعلول والملزوم عن اللازم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العقل بقبح شي‌ء فيستكشف عنه حرمة ذلك الشي‌ء بقاعدة الملازمة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الإهانة واستحقار المحترمات والحرمات والشعائر والمشاعر تارة لا يتحقّق إلاّ بالقصد ، فهي في هذا القسم من العناوين القصديّة ، كالتعظيم الذي هو ضدّه ، فكما أنّ القيام لا يكون تعظيما ومن مصاديقه إلاّ بذلك القصد ، وإلاّ لو كان لجهة أخرى أو للاستهزاء بمن يقوم له لا يصدق عليه أنّه تعظيم ، فكذلك الأمر في الإهانة والاستحقار لا يصدق على الفعل القابل لذلك كمدّ الرجل إلى أحد هذه الأمور المحترمة ، أو وضعها عليه ، أو حرقها ، أو سحقها إلاّ أن يكون بقصد الإهانة والاستحقار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تكون بنفسه إهانة ولو لم يقصد ، كما أنّ في التعظيم أيضا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لشخص أيضا تعظيم له قصده أو لم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هذا فيما لا يكون قصد آخر منافيا للتعظيم ، مثل أن يكون قاصدا لاستهزائه بذلك السجود ، فكذلك الأمر في الإهانة ، فربما يكون نفس الفعل إهانة ، قصدها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وأن لا يقصد عنوانا آخر منافيا للإهانة ، كما أنّه حكى أنّ بعضهم أدخل عورته في بعض الضرائح المقدّسة استشفاء وطلبا للولادة ، فإنّ هذا الفعل القبيح إهانة لو لم يقصد شي‌ء أصلا ، لا الإهانة ولا غيرها ، وأمّا لو كان طلبا للأولاد وكان صادرا عن العوام ، فهذا القصد مناف لكونه إهانة ، نعم لو لم يقصد شي‌ء أصلا كان إهانة بنفسه من دون الاحتياج إلى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بعض الأفعال إهانة وإن قصد ما ينافيها بنظره ، بمعنى أنّ كونه إهانة لا تنفكّ عنه ، مثل الإيلام الذي لا ينفكّ عن الضرب الشديد بأيّ قصد كان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تعظيم حرمات اللّه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تعظيم شعائر اللّه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أنّ المراد من حرمات اللّه وشعائر اللّه مطلق ما هو محترم في الدين ، وتطبيقها على مناسك الحجّ ومشاعره من باب تطبيق الكلّي على بعض مصاديقه كما أشرنا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كان مفاد هذه </w:t>
      </w:r>
    </w:p>
    <w:p>
      <w:pPr>
        <w:pStyle w:val="BookText"/>
        <w:rPr/>
      </w:pPr>
      <w:r>
        <w:rPr>
          <w:rFonts w:ascii="Amiri" w:hAnsi="Amiri" w:eastAsia="Amiri" w:cs="Amiri"/>
          <w:color w:val="111111"/>
          <w:sz w:val="28"/>
          <w:sz w:val="28"/>
          <w:szCs w:val="28"/>
          <w:rtl w:val="true"/>
          <w:lang w:bidi="ar-SA"/>
        </w:rPr>
        <w:t>الآيات وجوب تعظيم المحترمات في الدين فتدلّ على حرمة إهانتها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الأمر بالشي‌ء بناء على أنّه يدلّ على النهي عن ضدّه العامّ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لنا فيه كلام ذكرناه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الأصول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ترك التعظيم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 الإهانة والتعظيم تقابل العدم والملكة ، والإهانة عبارة من عدم التعظيم فتكون حراما وذلك واضح ، وأمّا إن قلنا إنّهما ضدّان لأنّ الإهانة أيضا أمر وجوديّ كالتعظيم ، فإن قلنا أنّه لا ثالث لهما فتكون أيضا لا تنفكّ عمّا هو حرام ، وهو ترك التعظيم لما فرضنا أنّهما من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قلنا بوجود الواسطة بينهما ، فربما يقال بأنّه بناء على هذا لا ملازمة بين ترك التعظيم وتحقيق الإهانة ؛ إذ بناء على هذا يمكن أن لا يكون تعظيم ولا إهانة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بوجود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ترك التعظيم أعمّ ؛ إذ يمكن تحقّق ترك التعظيم بدون تحقّق الإهانة ، ولا يمكن تحقّق الإهانة بدون ترك التعظيم ، وإلاّ يلزم اجتماع الضدّين وارتفاع النقيضين ، وكلاهما محال ، فدائما تكون الإهانة مقرونة مع ترك التعظيم الذي هو حرام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الصحيح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لا ظهور لها في وجوب التعظيم ، 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إلى آخر الآية وإن كان النهي ظاهرا في التحريم كما قرّر في الأصول ، ولكن ليس المراد من إحلال شعائر اللّه هو إهانة ما هو محترم في الدين كي يكون دليلا على حرمة مطلق إهانة المحترمات ، بل الظاهر منها بقرينة فقرات البعد هي حرمة ترك فرائض الحجّ ومناسكه ، وأيضا حرمة عدم الاعتناء بالشهر الحرام أو </w:t>
      </w:r>
    </w:p>
    <w:p>
      <w:pPr>
        <w:pStyle w:val="BookText"/>
        <w:rPr/>
      </w:pPr>
      <w:r>
        <w:rPr>
          <w:rFonts w:ascii="Amiri" w:hAnsi="Amiri" w:eastAsia="Amiri" w:cs="Amiri"/>
          <w:color w:val="111111"/>
          <w:sz w:val="28"/>
          <w:sz w:val="28"/>
          <w:szCs w:val="28"/>
          <w:rtl w:val="true"/>
          <w:lang w:bidi="ar-SA"/>
        </w:rPr>
        <w:t>القتال فيه إلى آخر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في آيات أحكامه في مقام شرح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محرّمات اللّه حلالا ومباحا ، ولا بالعكس يعنى لا تتعدّوا حدود اللّه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ومورد نزول الآية أيضا يدلّ على أنّ المراد بإحلال الشعائر القتال والنهب والغارة في الشهر الحرام ، وهو أنّ الحطم بن هند البكري أحد بنى ربيعة أتى النبيّ صلی اللّه علیه و آله وحده ، وخلف خيله خارج 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تدعو؟ وقد قال النبيّ صلی اللّه علیه و آله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 عليكم اليوم رجل من بنى ربيعة يتكلّم بلسان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أجابه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أنظرني لعلّي أسلم ولي من أشاوره ، فخرج من عنده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دخل بوجه كافر وخرج بعقب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بسرح من سروح المدينة فساقه وانطلق به ويرتجز إلى آخر رجزه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من عام قابل حاجّا قلّد هديا ، فأراد رسول اللّه أن يبعث إليه ، فنزلت هذه الآية ومنع اللّه تعالى رسوله عن القتال ، وأخذ الهدي ، وهذا قول عكرمة وابن جريح في بيان شأن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الفتح في ناس يؤمّون البيت من المشركين يهلّون بعمرة ،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هؤلاء مشركون مثل هؤلاء ، دعنا نغير عليهم ، فأنزل اللّه تعالى هذه الآية ، أي منعهم عن الإغارة عليهم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وعلى كلّ حال يكون المورد أيضا قرينة أخرى على أنّ المراد بالشعائر في هذه الآية مناسك الحجّ ، لا مطلق المحترمات في الدين ، فلا دلالة في هذه الآية على حرمة إهانة مطلق ما هو محترم في الدين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رواية معتبرة تدلّ على حرمة إهانة ما هو محترم في </w:t>
      </w:r>
    </w:p>
    <w:p>
      <w:pPr>
        <w:pStyle w:val="BookText"/>
        <w:rPr/>
      </w:pPr>
      <w:r>
        <w:rPr>
          <w:rFonts w:ascii="Amiri" w:hAnsi="Amiri" w:eastAsia="Amiri" w:cs="Amiri"/>
          <w:color w:val="111111"/>
          <w:sz w:val="28"/>
          <w:sz w:val="28"/>
          <w:szCs w:val="28"/>
          <w:rtl w:val="true"/>
          <w:lang w:bidi="ar-SA"/>
        </w:rPr>
        <w:t xml:space="preserve">الدين بهذا العنوان العامّ ، نعم وردت روايات كثيرة تدلّ على حرمة إهانة بعض صغريات هذه القاعدة ، كما أنّه في خصوص إهانة المؤمن وردت روايات تدلّ على حرمة إهانته حرمة مؤكّدة ، ففي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أهان لي وليّا فقد بارزني بالمحاربة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أرصدني لمحاربتي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الكافي عن ابن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رميت الجمرة فاشتر هديك إنّ كان من البدن أو من البقرة ، وإلاّ فاجعل كبشا سمينا فحلا ، وإن لم تجد فما وجد من الضأن ، فان لم تجد فما تيسّر عليك ، وعظّم شعائر اللّه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فإنّ الأمر بالتعظيم ظاهر في وجوبه ، فإذا كان واجبا يكون تركه حراما ؛ لما ذكرنا أنّ الأمر بالشي‌ء يقتضي النهي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الإهانة لا تنفكّ عن ترك التعظيم ، فتكون ملازما مع ما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لا تنفكّ عن الحرام لا يلزم أن تكون حراما ؛ لأنّه لا يلزم أن يكون المتلازمان في الوجود متّحدين في الحكم ، نعم لا يمكن أن يكون أحدهما واجبا والآخر حراما على تفصيل مذكور في محلّه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بالتعظيم هاهنا ظاهر في الاستحباب لا في الوجوب ؛ وذلك من جهة أنّه لو كان المراد من الشعائر هي المحترمات في الدين ، فمن المعلوم عدم وجوب التعظيم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بالتعظيم هي المعاملة اللائقة بها معها وعدم إزالتها عن مقامها ، وبهذا المعنى يمكن الالتزام بوجوبها في جميع الموارد وبعدم </w:t>
      </w:r>
      <w:bookmarkStart w:id="247" w:name="pg15947_151236"/>
    </w:p>
    <w:p>
      <w:pPr>
        <w:pStyle w:val="BookText"/>
        <w:rPr/>
      </w:pPr>
      <w:bookmarkEnd w:id="247"/>
      <w:r>
        <w:rPr>
          <w:rFonts w:ascii="Amiri" w:hAnsi="Amiri" w:eastAsia="Amiri" w:cs="Amiri"/>
          <w:color w:val="111111"/>
          <w:sz w:val="28"/>
          <w:sz w:val="28"/>
          <w:szCs w:val="28"/>
          <w:rtl w:val="true"/>
          <w:lang w:bidi="ar-SA"/>
        </w:rPr>
        <w:t>ورود التخصيص عليها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232016_2142443653"/>
      <w:bookmarkStart w:id="249" w:name="_Toc81"/>
      <w:bookmarkEnd w:id="248"/>
      <w:r>
        <w:rPr>
          <w:rtl w:val="true"/>
        </w:rPr>
        <w:t xml:space="preserve">الجهة الثالثة </w:t>
      </w:r>
      <w:r>
        <w:rPr>
          <w:rtl w:val="true"/>
        </w:rPr>
        <w:t xml:space="preserve">: </w:t>
      </w:r>
      <w:r>
        <w:rPr>
          <w:rtl w:val="true"/>
        </w:rPr>
        <w:t>في موارد تطبيق هذه القاعدة</w:t>
      </w:r>
      <w:bookmarkEnd w:id="249"/>
    </w:p>
    <w:p>
      <w:pPr>
        <w:pStyle w:val="BookText"/>
        <w:rPr/>
      </w:pPr>
      <w:r>
        <w:rPr>
          <w:rFonts w:ascii="Amiri" w:hAnsi="Amiri" w:eastAsia="Amiri" w:cs="Amiri"/>
          <w:color w:val="111111"/>
          <w:sz w:val="28"/>
          <w:sz w:val="28"/>
          <w:szCs w:val="28"/>
          <w:rtl w:val="true"/>
          <w:lang w:bidi="ar-SA"/>
        </w:rPr>
        <w:t>وهي كثيرة منتشرة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إهانة الكعبة المعظّمة زادها اللّه شرفا بتلويثها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النجاسات العينيّة عمدا عن اختيار بلا كره ولا إجبار ولا مرض ولا اضطرار ، ولا يبعد أن يكون هذا العمل كفرا وإنكارا 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عنهم علیهم السلام أنّه يقتل كما في رواية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الإيمان أو الإسلام؟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فأوجدني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فيمن أحدث في المسجد الحرام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ضربا شديدا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تقول فيمن أحدث في الكعبة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ألا ترى أنّ الكعبة أفضل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إهانة رسول اللّه صلی اللّه علیه و آله أو القرآن ، كما ورد أنّ من شتم النبيّ صلی اللّه علیه و آله يقتل فيما رواه هشام بن سالم عن أبي عبد اللّه علیه السلام أنّه سئل عن شتم رسول اللّه صلی اللّه علیه و آله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يقتله الأدنى فالأدنى قبل أن يرفع إلى الإمام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بما لا يليق وسوء الأدب مع اللّه تعالى جلّ جلاله ، وأن يسأل بوجه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عبد اللّه بن أبي يعفور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w:t>
      </w:r>
    </w:p>
    <w:p>
      <w:pPr>
        <w:pStyle w:val="BookText"/>
        <w:rPr/>
      </w:pPr>
      <w:r>
        <w:rPr>
          <w:rFonts w:ascii="IRNazanin" w:hAnsi="IRNazanin" w:eastAsia="IRNazanin"/>
          <w:color w:val="111111"/>
          <w:sz w:val="28"/>
          <w:sz w:val="28"/>
          <w:szCs w:val="28"/>
          <w:rtl w:val="true"/>
          <w:lang w:bidi="fa-IR"/>
        </w:rPr>
        <w:t xml:space="preserve">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إنّي سألت رجلا بوجه اللّه فضربني خمسة أسواط ، فضربه النبيّ صلی اللّه علیه و آله خمسة أسواط أخرى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بوجهك اللئيم </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إهانة المسجد بأن يجعله القاصّ محلاّ لبيان قصّته ، ففي رواية هشام بن سالم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رأى قاصّا في المسجد ، فضربه بالدّرة وطرده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الإهانة بأموات المؤمنين ، ففي رواية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اللّه أن يظنّ بالمؤمن إلاّ خيرا ، وكسرك عظامه حيّا وميّتا سواء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عنه ، عن أبي عبد اللّه علیه السلام ، عن رجل كسر عظم ميّت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حرمته ميّتا أعظم من حرمته وهو حيّ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أخر ذكرها في الوسائل التي بهذا المضمون في نفس هذا الباب الذي عقده لاحترام ميّت المؤمن ، وأنّ حرمة حيّه وميّته سواء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مكّة المكرّمة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قدس سره رواية مفصّلة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معد بن عدنان خاف أن يدرس الحرم فوضع أنصابه ، وكان أوّل من وضعها ثمَّ غلبت جرهم على ولاية البيت ، فكان يلي منهم كابر عن كابر حتّى بغت </w:t>
      </w:r>
    </w:p>
    <w:p>
      <w:pPr>
        <w:pStyle w:val="BookText"/>
        <w:rPr/>
      </w:pPr>
      <w:r>
        <w:rPr>
          <w:rFonts w:ascii="Amiri" w:hAnsi="Amiri" w:eastAsia="Amiri" w:cs="Amiri"/>
          <w:color w:val="111111"/>
          <w:sz w:val="28"/>
          <w:sz w:val="28"/>
          <w:szCs w:val="28"/>
          <w:rtl w:val="true"/>
          <w:lang w:bidi="ar-SA"/>
        </w:rPr>
        <w:t>جرهم بمكّة واستحلّوا حرمتها ، وأكلوا مال الكعبة ، وظلموا من دخل مكّة وعتوا وبغوا ، وكانت مكّة في الجاهليّة لا يظلم ولا يبقى فيها ولا يستحلّ حرمتها ملك إلاّ هلك مكانه ، الحديث</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راجع الأخبار الواردة في حرمة إهانة المؤمن والاستخفاف به وكذلك الأخبار الواردة في عدم جواز الاستخفاف بالقرآن والكعبة والمسجد الحرام ومسجد النبيّ وضريحه المقدس وذاته الأقدس والمشاعر العظام المذكورة في كتاب الحجّ ، والأخبار الواردة في التربة الحسينيّة وغيرها من المحترمات ، يقطع بأنّ إهانة ما هو محترم وله مرتبة وشرف في الدين حرام ، بل تعظيمها بمعنى حفظ مرتبتها واجب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5947_151240"/>
      <w:bookmarkStart w:id="251" w:name="pg15947_151240"/>
      <w:bookmarkEnd w:id="251"/>
    </w:p>
    <w:p>
      <w:pPr>
        <w:pStyle w:val="Heading2"/>
        <w:numPr>
          <w:ilvl w:val="1"/>
          <w:numId w:val="1"/>
        </w:numPr>
        <w:rPr/>
      </w:pPr>
      <w:bookmarkStart w:id="252" w:name="pg15947_151240"/>
      <w:bookmarkStart w:id="253" w:name="__RefHeading___Toc16232018_2142443653"/>
      <w:bookmarkStart w:id="254" w:name="_Toc82"/>
      <w:bookmarkEnd w:id="252"/>
      <w:bookmarkEnd w:id="253"/>
      <w:r>
        <w:rPr/>
        <w:t>54</w:t>
      </w:r>
      <w:r>
        <w:rPr>
          <w:rtl w:val="true"/>
        </w:rPr>
        <w:t xml:space="preserve"> - </w:t>
      </w:r>
      <w:r>
        <w:rPr>
          <w:rtl w:val="true"/>
        </w:rPr>
        <w:t>قاعدة كلّ مسكر مائع بالأصالة فهو نجس</w:t>
      </w:r>
      <w:bookmarkEnd w:id="2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6232020_2142443653"/>
      <w:bookmarkStart w:id="256" w:name="_Toc83"/>
      <w:bookmarkEnd w:id="255"/>
      <w:r>
        <w:rPr>
          <w:rtl w:val="true"/>
        </w:rPr>
        <w:t>اشارة</w:t>
      </w:r>
      <w:bookmarkEnd w:id="2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5947_151242"/>
      <w:bookmarkStart w:id="258" w:name="pg15947_151242"/>
      <w:bookmarkEnd w:id="258"/>
    </w:p>
    <w:p>
      <w:pPr>
        <w:pStyle w:val="BookText"/>
        <w:rPr/>
      </w:pPr>
      <w:bookmarkStart w:id="259" w:name="pg15947_151242"/>
      <w:bookmarkEnd w:id="259"/>
      <w:r>
        <w:rPr>
          <w:rFonts w:ascii="Amiri" w:hAnsi="Amiri" w:eastAsia="Amiri" w:cs="Amiri"/>
          <w:color w:val="111111"/>
          <w:sz w:val="28"/>
          <w:sz w:val="28"/>
          <w:szCs w:val="28"/>
          <w:rtl w:val="true"/>
          <w:lang w:bidi="ar-SA"/>
        </w:rPr>
        <w:t xml:space="preserve">قاعدة كلّ مسكر مائع بالأصالة فهو نجس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ومن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مائع بالأصالة نجس وحرام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6232022_2142443653"/>
      <w:bookmarkStart w:id="261" w:name="_Toc84"/>
      <w:bookmarkEnd w:id="260"/>
      <w:r>
        <w:rPr>
          <w:rtl w:val="true"/>
        </w:rPr>
        <w:t xml:space="preserve">الجهة الأولى </w:t>
      </w:r>
      <w:r>
        <w:rPr>
          <w:rtl w:val="true"/>
        </w:rPr>
        <w:t xml:space="preserve">: </w:t>
      </w:r>
      <w:r>
        <w:rPr>
          <w:rtl w:val="true"/>
        </w:rPr>
        <w:t>في بيان المراد منها</w:t>
      </w:r>
      <w:bookmarkEnd w:id="26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كلمات الفقهاء واللغويّين في شرح مفهومه ، فقال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كفرح ، ثمَّ يذكر مصادر هذا الفعل ، ثمَّ يفسّره بأنّه نقيض صحى </w:t>
      </w:r>
      <w:r>
        <w:rPr>
          <w:rStyle w:val="FootnoteAnchor"/>
          <w:rtl w:val="true"/>
        </w:rPr>
        <w:footnoteReference w:id="432"/>
      </w:r>
      <w:r>
        <w:rPr>
          <w:rFonts w:ascii="Amiri" w:hAnsi="Amiri" w:eastAsia="Amiri" w:cs="Amiri"/>
          <w:color w:val="111111"/>
          <w:sz w:val="28"/>
          <w:sz w:val="28"/>
          <w:szCs w:val="28"/>
          <w:rtl w:val="true"/>
          <w:lang w:bidi="ar-SA"/>
        </w:rPr>
        <w:t xml:space="preserve">، ثمَّ يأتي في مادة الصحو ويقول 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الغيم والسكر </w:t>
      </w:r>
      <w:r>
        <w:rPr>
          <w:rStyle w:val="FootnoteAnchor"/>
          <w:rtl w:val="true"/>
        </w:rPr>
        <w:footnoteReference w:id="433"/>
      </w:r>
      <w:r>
        <w:rPr>
          <w:rFonts w:ascii="Amiri" w:hAnsi="Amiri" w:eastAsia="Amiri" w:cs="Amiri"/>
          <w:color w:val="111111"/>
          <w:sz w:val="28"/>
          <w:sz w:val="28"/>
          <w:szCs w:val="28"/>
          <w:rtl w:val="true"/>
          <w:lang w:bidi="ar-SA"/>
        </w:rPr>
        <w:t>، وهو عجيب ؛ لأنّه يحيل معرفة كلّ واحد منهما إلى معرفة الآخر ، وهذا دور إن كان مراده من هذا التفسير لهما تعريفهما ، ومثل هذا الأمر في كلام اللغويين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السكران خلاف الصاحي ، والسكر نقيض الصحو ، والسكر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الشاب ، وسكر المال ، وسكر السلطان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النّاسَ سُكارى وَما هُمْ بِسُكارى وَلكِنَّ عَذابَ اللّهِ </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سكارى بالضمّ جمع سكران ، فإنّ فعلان يجمع على فعالي بالضم ، وسكرهم عبارة عن دهشهم من هول العذاب ، فعقولهم ذاهبة من خوف العذاب ، فعرض عليهم حالة كحالة السكران واضطرابه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يحصل معه اختلال الكلام المنظوم وظهور السّر المكتوم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يغيّر العقل ويحصل معه نشو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الفرق بينه وبين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السكر حالة توجب اختلالا في العقل بالاستقلال ، والإغماء يوجبه بالتبع لضعف القلب واليد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السكر حالة توجب ضعف العقل وقوة القلب ، والإغماء حالة توجب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 والذي يظهر من مجموع المعاني الذي ذكروه أنّ السكر هو وجود حالة في النفس توجب اضطرابا في الفكر ، وزوال مرتبة من العقل بحيث لو كانت هذه الحالة فيه دائمة من غير شرب المسكر لكانت فيه مرتبة من الجنون ؛ وذلك لأنّ تلك الحالة ربما توجب ارتكاب بعض القبائح والجرائم التي لا يصدر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في أنّ هذه الحالة المذكورة تختلف بالنسبة إلى أشخاص شاربي المسكرات ، وأنواع نفس المسكرات ، وبالنسبة إلى القلّة وكثرة ما يشرب ، وبعض الجهات الأخر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السكر مثل مفهوم الجنون والعقل من المفاهيم الواضحة عند كلّ أحد ، فلا يحتاج إلى التعريف ، بل هو أجلى من التعاريف التي ذكروها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معنى السكر ، فالمسكر هو الذي يكون شربه أو أكله سببا لوجود السكر ، فالمسكر من المشتقّات التي يكون مبدء الاشتقاق قائما بموضوعه قياما صدوريّا ، لا حلوليّا كالكاتب مثلا</w:t>
      </w:r>
      <w:r>
        <w:rPr>
          <w:rFonts w:eastAsia="Amiri" w:cs="Amiri" w:ascii="Amiri" w:hAnsi="Amiri"/>
          <w:color w:val="111111"/>
          <w:sz w:val="28"/>
          <w:szCs w:val="28"/>
          <w:rtl w:val="true"/>
          <w:lang w:bidi="ar-SA"/>
        </w:rPr>
        <w:t xml:space="preserve">. </w:t>
      </w:r>
      <w:bookmarkStart w:id="262" w:name="pg15947_151244"/>
    </w:p>
    <w:p>
      <w:pPr>
        <w:pStyle w:val="BookText"/>
        <w:rPr/>
      </w:pPr>
      <w:bookmarkEnd w:id="262"/>
      <w:r>
        <w:rPr>
          <w:rFonts w:ascii="Amiri" w:hAnsi="Amiri" w:eastAsia="Amiri" w:cs="Amiri"/>
          <w:color w:val="111111"/>
          <w:sz w:val="28"/>
          <w:sz w:val="28"/>
          <w:szCs w:val="28"/>
          <w:rtl w:val="true"/>
          <w:lang w:bidi="ar-SA"/>
        </w:rPr>
        <w:t xml:space="preserve">وأمّا المراد من المائع بالأصالة ، فهو أنّ الشي‌ء الذي يوجب وجود هذه الحالة على اختلاف مراتبها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 ، وجامد ، فالمائع كأقسام الخمور والفقّاع وما يسمّونه العرق ، وغير ذلك ممّا ينطبق عليه هذا التعريف ، وكان في أصله مائعا ، لا أنّه صار مائعا بواسطة مزجه بالماء ، والجامد كالحشيش أو شي‌ء آخر إذا كان هناك شي‌ء آخر جامد بالأصل يوجب وجود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خصّصنا الموضوع في هذه القاعدة وقيّدناه بكونه مائعا بالأصالة لأنّ ما ليس من المسكرات كذلك وإن صار مائعا بواسطة مزجه بالماء كالحشيش ليس بنجس إجماعا ، وأدلّة نجاسة المسكرات أيضا منصرفة عن المسكر الجامد بالأصالة ، كما سننبّه على هذا فيما سيأتي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232024_2142443653"/>
      <w:bookmarkStart w:id="264" w:name="_Toc85"/>
      <w:bookmarkEnd w:id="263"/>
      <w:r>
        <w:rPr>
          <w:rtl w:val="true"/>
        </w:rPr>
        <w:t xml:space="preserve">الجهة الثانية </w:t>
      </w:r>
      <w:r>
        <w:rPr>
          <w:rtl w:val="true"/>
        </w:rPr>
        <w:t xml:space="preserve">: </w:t>
      </w:r>
      <w:r>
        <w:rPr>
          <w:rtl w:val="true"/>
        </w:rPr>
        <w:t>في بيان الدليل على هذه القاعدة</w:t>
      </w:r>
      <w:bookmarkEnd w:id="264"/>
    </w:p>
    <w:p>
      <w:pPr>
        <w:pStyle w:val="Heading4"/>
        <w:numPr>
          <w:ilvl w:val="3"/>
          <w:numId w:val="1"/>
        </w:numPr>
        <w:rPr/>
      </w:pPr>
      <w:bookmarkStart w:id="265" w:name="__RefHeading___Toc16232026_2142443653"/>
      <w:bookmarkStart w:id="266" w:name="_Toc86"/>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وقبل ذلك نذكر الأقوال فيها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عند الفقهاء قديما وحديثا هو نجاسة كلّ مسكر مائع بالأصالة ، وخالف المشهور جماعة من القدماء والمتأخّرين من أصحابنا الإماميّة وغيرهم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العمّاني حسن وهو المشهور بابن أبي عقيل </w:t>
      </w:r>
      <w:r>
        <w:rPr>
          <w:rStyle w:val="FootnoteAnchor"/>
          <w:rtl w:val="true"/>
        </w:rPr>
        <w:footnoteReference w:id="436"/>
      </w:r>
      <w:r>
        <w:rPr>
          <w:rFonts w:ascii="Amiri" w:hAnsi="Amiri" w:eastAsia="Amiri" w:cs="Amiri"/>
          <w:color w:val="111111"/>
          <w:sz w:val="28"/>
          <w:sz w:val="28"/>
          <w:szCs w:val="28"/>
          <w:rtl w:val="true"/>
          <w:lang w:bidi="ar-SA"/>
        </w:rPr>
        <w:t xml:space="preserve">وعن الصدوقين عليّ بن بابويه وابنه محمّد بن على ابن بابويه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متأخّريهم المقدّس الأردبيلي </w:t>
      </w:r>
      <w:r>
        <w:rPr>
          <w:rStyle w:val="FootnoteAnchor"/>
          <w:rtl w:val="true"/>
        </w:rPr>
        <w:footnoteReference w:id="438"/>
      </w:r>
      <w:r>
        <w:rPr>
          <w:rFonts w:ascii="Amiri" w:hAnsi="Amiri" w:eastAsia="Amiri" w:cs="Amiri"/>
          <w:color w:val="111111"/>
          <w:sz w:val="28"/>
          <w:sz w:val="28"/>
          <w:szCs w:val="28"/>
          <w:rtl w:val="true"/>
          <w:lang w:bidi="ar-SA"/>
        </w:rPr>
        <w:t xml:space="preserve">، وصاحب المدارك </w:t>
      </w:r>
      <w:r>
        <w:rPr>
          <w:rStyle w:val="FootnoteAnchor"/>
          <w:rtl w:val="true"/>
        </w:rPr>
        <w:footnoteReference w:id="439"/>
      </w:r>
      <w:r>
        <w:rPr>
          <w:rFonts w:ascii="Amiri" w:hAnsi="Amiri" w:eastAsia="Amiri" w:cs="Amiri"/>
          <w:color w:val="111111"/>
          <w:sz w:val="28"/>
          <w:sz w:val="28"/>
          <w:szCs w:val="28"/>
          <w:rtl w:val="true"/>
          <w:lang w:bidi="ar-SA"/>
        </w:rPr>
        <w:t xml:space="preserve">، وصاحب الذخيرة السبزواريّ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ومشارق الشموس في شرح الدروس الخوانساري قدس سره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غير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عبارة الفقه على المذاهب الأربعة </w:t>
      </w:r>
      <w:r>
        <w:rPr>
          <w:rStyle w:val="FootnoteAnchor"/>
          <w:rtl w:val="true"/>
        </w:rPr>
        <w:footnoteReference w:id="442"/>
      </w:r>
      <w:r>
        <w:rPr>
          <w:rFonts w:ascii="Amiri" w:hAnsi="Amiri" w:eastAsia="Amiri" w:cs="Amiri"/>
          <w:color w:val="111111"/>
          <w:sz w:val="28"/>
          <w:sz w:val="28"/>
          <w:szCs w:val="28"/>
          <w:rtl w:val="true"/>
          <w:lang w:bidi="ar-SA"/>
        </w:rPr>
        <w:t>نجاسة المسكر المائع بالأصالة من غير نقل خلاف ، ويستدلّ على ذلك بأنّ كلّ مسكر خمر ، وكل خمر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إنّ كلّ مسكر خمر ؛ لقوله صلی اللّه علیه و آله على ما رواه في صحيح مسلم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خمر ، وكلّ خمر حرام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كلّ خمر نجس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فحمل الرجس على الخمر ، والمراد من الرجس هو النجس ؛ لأنّه معناه عند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القول بطهارة الخمر من ربيعة الرأي ، </w:t>
      </w:r>
      <w:r>
        <w:rPr>
          <w:rStyle w:val="FootnoteAnchor"/>
          <w:rtl w:val="true"/>
        </w:rPr>
        <w:footnoteReference w:id="445"/>
      </w:r>
      <w:r>
        <w:rPr>
          <w:rFonts w:ascii="Amiri" w:hAnsi="Amiri" w:eastAsia="Amiri" w:cs="Amiri"/>
          <w:color w:val="111111"/>
          <w:sz w:val="28"/>
          <w:sz w:val="28"/>
          <w:szCs w:val="28"/>
          <w:rtl w:val="true"/>
          <w:lang w:bidi="ar-SA"/>
        </w:rPr>
        <w:t>وعلى كلّ حال لا شكّ في أنّ فتوى أكثر فقهاء الإسلام على النجاسة ، بل المخالف أي القائل بالطهارة منّا ومن غيرنا في غاية القلّة ، على كلام في النسبة إلى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ظهر لك من الأقوال في المسألة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نقلا وتحصيلا ، فهذا صاحب الجواهر الفقيه المتتبّع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نقلا وتحصيلا ، قديما وحديثا ، بيننا وبين غيرنا شهرة كادت تكون إجماعا ، بل هي </w:t>
      </w:r>
    </w:p>
    <w:p>
      <w:pPr>
        <w:pStyle w:val="BookText"/>
        <w:rPr/>
      </w:pPr>
      <w:r>
        <w:rPr>
          <w:rFonts w:ascii="Amiri" w:hAnsi="Amiri" w:eastAsia="Amiri" w:cs="Amiri"/>
          <w:color w:val="111111"/>
          <w:sz w:val="28"/>
          <w:sz w:val="28"/>
          <w:szCs w:val="28"/>
          <w:rtl w:val="true"/>
          <w:lang w:bidi="ar-SA"/>
        </w:rPr>
        <w:t xml:space="preserve">كذلك النجاسة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البهائي في 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علماء الخاصّة والعامّة على نجاسة الخمر ، إلاّ شر ذمّة منّا ومنهم لم يعتدّ الفريقان بمخالفتهم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وفي السرائر بعد أن نفى الخلاف عن نجاسة الخمر حكى عن ابن بابويه في كتاب له أنّ الصلاة تجوز في ثبوت أصابته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لإجماع المسلمين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وابن أبي عقيل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القائلين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بأحاديث لا تعارض القطعيّ</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نجسة بلا خلاف ، وكلّ مسكر عندنا حكمه حكم الخمر ، وألحق أصحابنا الفقّاع بذلك</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وقال ابن زهرة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نجسة بلا خلاف ممّن يعتد به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نجاستها ، وكلّ شراب مسكر نجس ، والفقّاع نجس بالإجماع ، </w:t>
      </w:r>
      <w:r>
        <w:rPr>
          <w:rStyle w:val="FootnoteAnchor"/>
          <w:rtl w:val="true"/>
        </w:rPr>
        <w:footnoteReference w:id="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دعوانا الإجماع تحصيلا مبنيّ على عدم الاعتداد بهؤلاء المخالفين للقول بنجاسة كلّ مسكر مائع بالأصالة القائلين بالطهارة ، مع أنّ في أصل النسبة إليهم إشكالا كما ذكره في الجواهر</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عدم الاعتناء بمخالفة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نقول بحجّيّة </w:t>
      </w:r>
    </w:p>
    <w:p>
      <w:pPr>
        <w:pStyle w:val="BookText"/>
        <w:rPr/>
      </w:pPr>
      <w:r>
        <w:rPr>
          <w:rFonts w:ascii="Amiri" w:hAnsi="Amiri" w:eastAsia="Amiri" w:cs="Amiri"/>
          <w:color w:val="111111"/>
          <w:sz w:val="28"/>
          <w:sz w:val="28"/>
          <w:szCs w:val="28"/>
          <w:rtl w:val="true"/>
          <w:lang w:bidi="ar-SA"/>
        </w:rPr>
        <w:t>الإجماع من باب أنّ اتّفاق هذا العدد الكثير من الفقهاء على حكم مع اختلاف أعصارهم وبلدانهم وسلائقهم ، وتعبّد جمع كثير منهم بالعمل بالأخبار المرويّة عن المعصومين وعدم اعتنائهم بالاستحسانات والظنون وعمل جمع آخر على طبق تلك الأمور ، وعدم مدرك من آية أو رواية يدلّ على ثبوت هذا الحكم الذي اتّفقوا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فيستكشف من مثل هذا الاتّفاق تلقّيهم هذا الحكم من المعصوم علیه السلام ، أو وجود دليل معتبر عند الكلّ كخبر قطعيّ الصدور وقطعيّ الدلالة ولكن نحن لم نجده لضياعه بطول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مثل هذا المعنى لا يضرّ به مخالفة عدّة قليلة ، خصوصا إذا علمنا بأنّ اعتمادهم على أخبار ضعيفة معرضة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إشكال آخر على هذا الإجماع ذكرناه مرارا في هذا الكتاب في أمثال المقام ، وهو أنّ الاتّفاق الذي من المحتمل القريب أن يكون اعتمادهم على الآية الموجودة في المقام ، أو الروايات الموجودة كذلك ، بل صرّح بعضهم بذلك كما أنّ ما نقلناه عن ابن زهرة في الغنية من استدلاله بالآية على نجاسة الخمر بعد ادّعائه عدم الخلاف ممّن يعتدّ به ، فمثل هذه الإجماعات لا اعتبار لها ، ولا بدّ من مراجعة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ولا يخفى أنّ الاستدلال بهذه الآية على نجاسة كلّ مسكر مائع بالأصالة على تقدير دلالتها على نجاسة الخمر منوط بأحد هذه الأمور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يكون كلّ مسكر خمرا حقيقة وموضوعا ، كما حكينا عن صحيح مسلم عن النبيّ صلی اللّه علیه و آله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خمر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وإمّا يكون خمرا تنزيلا بلحاظ جميع الآثار من الحرمة والنجاسة وغيرهما ، أو بلحاظ خصوص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احتمال الأوّل ؛ لأنّ الخمر بمعنى الستر ، ومنه خمار المرأة ، لأنّه يسترها ، ولا شكّ في أنّ كلّ مسكر يستر العقل على اختلاف مراتب الستر شدّة وضعفا ، حتّى أن في بعض أقسامها ربما يتخيّل من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مجنون ، ولا فرق في هذا المعنى بين ما يسمّونه خمرا حقيقة وبين سائر أقسام المسكرات على تقدير أنّ لا تكون خمرا في لغتهم ومحاوراتهم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على فرض أن لا تكون خمرا حقيقة لا شكّ في أنّ ظاهر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 أي في جميع الآثار ، وعلى فرض أن لا يكون ظاهرا في عموم المنزلة وكان التنزيل بلحاظ الأثر الظاهر ، لا شكّ في أنّ الأثر الظاهر للخمر عند المسلمين ليس خصوص الحرمة ، بل يكون هي الحرمة والنجاسة كلتاهما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دليل على إلحاقه بالخمر حكما من إجماع أو غيره كعموم التعليل مثلا لو كان في رواية أنّ الخمر نجسة لأنّه مسكر ، فهذا يكون بمنزلة كبرى كلّية تدلّ على نجاسة كلّ مسكر ، فحينئذ لا بدّ وأن نقول بأنّ خروج المسكرات الجامدة بالأصل عن تحت هذا العموم بالإجماع أو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أو الروايات على تقدير دلالتها على نجاسة الخمر تدلّ على نجاسة كلّ مسكر مائع بالأصالة بأحد الوجوه المذكورة ، والمسكر الجامد بالأصالة خارج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الواردة من طريق أهل البيت علیهم السلام بأنّ كلّ مسكر خمر ، فكثيرة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عطاء بن يسار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وكلّ مسكر خمر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مجمع البيان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بالخمر جميع الأشربة التي تسكر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تفسير عليّ بن إبراهيم القمّي في تفسير الآية المذكورة عن أبي الجارود ،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الخمر فكلّ مسكر من الشراب إذا أخمر فهو خمر ، وما أسكر كثيره فقليله حرام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عليّ بن يقطين ، عن أبي الحسن الماضي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لم يحرم الخمر لاسمها ، ولكن حرّمها لعاقبتها ، فما كان عاقبته عاقبة الخمر فهو خمر </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ظاهر هذه الرواية هو التنزيل في الحرمة ، لا أنّه خمر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ظهر لك ما قلناه فتقريب دلالة الآية على نجاسة كلّ مسكر مائع بالأصالة هو أنّ الرجس بمعنى النجس فتدلّ الآية على أنّ الخمر نجس ، وقد ظهر ممّا تقدّم أنّ كلّ مسكر إمّا خمر حقيقة كما أنّه لم نستبعده ، أو حكما ، فيكون بمنزلة الخمر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علّة نجاسة الخمر إسكارها ، وهذه العلة موجودة في كلّ مسكر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إثبات أنّ الرجس بمعنى النجاسة العينيّة في متفاهم العرف ، وإثبات هذا الأمر خصوصا في هذه الآية مشكل ، أمّا أوّلا فلانّ الرجس كما يطلق على النجس كذلك يطلق على معان 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القدر ، وقد يعبّر به عن الحرام ، والفعل القبيح ، والعذاب ، واللعنة ،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 والمأثم ، وكلّ ما استقذر من العمل المؤدّي إلى العذاب ، والشكّ والعقاب والغضب</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فاستظهار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بمعنى النجاسة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معيّنة لها من بين المعاني المذكورة ، وليس شي‌ء في البين ، بل القرينة على خلافه ، وهي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ظاهر الآية هو أنّ الرجس خبر إنّما في جميع الفقرات ، لا أنّه خبر لخصوص الخمر ، ولا شكّ في أنّ الميسر والأنصاب والأزلام لا يمكن أن يكون رجسا بهذا المعنى ، فلا بد وأن يكون بمعنى قابلا للحمل على الجميع ، وهذا هو المراد بوحدة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المعنى الذي هو قابل للحمل على الجميع هو المأثم الذي ذكره في القاموس ، أو الحرام الذي ذكره في النهاية ، والظاهر أنّهما واحد ، وعلى كلّ حال فلا تكون الآية مربوطة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مِنْ عَمَلِ الشَّيْطانِ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هذا المعنى ، لأنّ نجاسة الخمر كنجاسة سائر النجاسات العينيّة من الأحكام الشرعيّة وليست عملا للشيطان ، نعم شربه رجس ، أي حرام ومن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بهذه الآية على نجاسة الخمر لا مجال له ، وإن استدلّ بها بعض القدماء كابن زهرة في الغنية ، </w:t>
      </w:r>
      <w:r>
        <w:rPr>
          <w:rStyle w:val="FootnoteAnchor"/>
          <w:rtl w:val="true"/>
        </w:rPr>
        <w:footnoteReference w:id="460"/>
      </w:r>
      <w:r>
        <w:rPr>
          <w:rFonts w:ascii="IRNazanin" w:hAnsi="IRNazanin" w:eastAsia="IRNazanin"/>
          <w:color w:val="111111"/>
          <w:sz w:val="28"/>
          <w:sz w:val="28"/>
          <w:szCs w:val="28"/>
          <w:rtl w:val="true"/>
          <w:lang w:bidi="fa-IR"/>
        </w:rPr>
        <w:t>وقد تقدّم عبارته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المرويّة عن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العمدة في المقام ، وهي على طائفتين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إحداهما تدلّ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الذي يعير ثوبه لمن يعلم أنّه يأكل لحم الجري أو يشرب الخمر فيردّه أيصلّي فيه قبل أن يغسله؟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يصلّى فيه حتّى يغسله </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خيران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علیه السلام أسأله عن الثوب يصيبه الخمر ولحم الخنزير أيصلّى فيه ، أم لا؟ فإنّ أصحابنا قد اختلفوا فيه ، فقال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فيه فإنّ اللّه إنما حرّم شربها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فيه فإنّه رجس </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عليّ بن إبراهيم ، عن محمّد بن عيسى ، عن يونس ، عن بعض من رواه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ثوبك خمر أو نبيذ مسكر فاغسله إن عرفت موضعه ، وإن لم تعرف موضعه فاغسله كلّه ، وإن صلّيت فيه فأعد صلاتك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هشام بن الحكم أنّه سأل أبا عبد اللّه علیه السلام عن الفقّاع؟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فإنّه خمر مجهول ، فإذا أصاب ثوبك فاغسله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 عن أبي عبد اللّه علیه السلام في حديث النبيذ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يبل الميل ينجس حبّا من ماء يقولها ثلاثا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عمّار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في بيت فيه خمر ولا مسكر لأنّ الملائكة لا تدخله ، ولا تصلّ في ثوب قد أصابه خمر أو مسكر حتّى تغسله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صريحة في أنّ النجاسة ليست مختصّة بالخمر على فرض أن يكون الخمر اسما لمسكر خاصّ ، ولا يشمل سائر المسكرات ، وذلك لعطفه علیه السلام كلمة مسكر على الخمر بأو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 الأمر بالغسل في جميع هذه الروايات ظاهر في الوجوب ، وأيضا لا شكّ في أنّ وجوب الغسل من اللوازم الشرعيّة للنجاسة ، فيكون دليلا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كلّها تدلّ على نجاسة الخمر ، بل على نجاسة كلّ مسكر ، خصوصا رواية عمّار كما عرفت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زكريّا بن آدم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قطرة خمر أو نبيذ مسكر قطرت في قدر فيه لحم كثير ومرق كثير؟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يهراق المرق أو يطعمه </w:t>
      </w:r>
      <w:bookmarkStart w:id="267" w:name="pg15947_151253"/>
    </w:p>
    <w:p>
      <w:pPr>
        <w:pStyle w:val="BookText"/>
        <w:rPr/>
      </w:pPr>
      <w:bookmarkEnd w:id="267"/>
      <w:r>
        <w:rPr>
          <w:rFonts w:ascii="Amiri" w:hAnsi="Amiri" w:eastAsia="Amiri" w:cs="Amiri"/>
          <w:color w:val="111111"/>
          <w:sz w:val="28"/>
          <w:sz w:val="28"/>
          <w:szCs w:val="28"/>
          <w:rtl w:val="true"/>
          <w:lang w:bidi="ar-SA"/>
        </w:rPr>
        <w:t xml:space="preserve">أهل الذمّة أو الكلب واللحم اغسله 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التي تدلّ على نجاسة الخمر وكلّ مسكر كثير ، وعدّها بعضهم وأنهاها عشرين ، ولو كانت هذه الروايات هي وحدها لم يكن شكّ في نجاسة الخمر بل كلّ مسكر بالأصالة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6232028_2142443653"/>
      <w:bookmarkStart w:id="269" w:name="_Toc87"/>
      <w:bookmarkEnd w:id="268"/>
      <w:r>
        <w:rPr>
          <w:rtl w:val="true"/>
        </w:rPr>
        <w:t xml:space="preserve">ولكن هناك روايات أخر أيضا كثيرة تدلّ على طهارتها </w:t>
      </w:r>
      <w:r>
        <w:rPr>
          <w:rtl w:val="true"/>
        </w:rPr>
        <w:t>:</w:t>
      </w:r>
      <w:bookmarkEnd w:id="269"/>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نبيذ أصلّي فيه؟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من نبيذ قطر في حب أشرب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أصل النبيذ حلال وإنّ أصل الخمر حرام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النبيذ الذي 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حسن لا بأس به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أبي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ثوبي شي‌ء من الخمر أصلي فيه قبل أن أغسله؟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 الثوب لا يسكر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وأنا عنده عن المسكر </w:t>
      </w:r>
    </w:p>
    <w:p>
      <w:pPr>
        <w:pStyle w:val="BookText"/>
        <w:rPr/>
      </w:pPr>
      <w:r>
        <w:rPr>
          <w:rFonts w:ascii="Amiri" w:hAnsi="Amiri" w:eastAsia="Amiri" w:cs="Amiri"/>
          <w:color w:val="111111"/>
          <w:sz w:val="28"/>
          <w:sz w:val="28"/>
          <w:szCs w:val="28"/>
          <w:rtl w:val="true"/>
          <w:lang w:bidi="ar-SA"/>
        </w:rPr>
        <w:t xml:space="preserve">والنبيذ يصيب الثوب؟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رئاب المرويّة عن قرب 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الخمر والنبيذ المسكر يصيب ثوبي أغسله أو أصلّي فيه؟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إلاّ أن تقذره فتغسل منه موضع الأثر ، إنّ اللّه تبارك وتعالى إنّما حرّم شربها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موسى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يشرب الخمر ثمَّ يمجّه من فيه فيصيب ثوبي؟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حسن بن أبي سارة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نخالط اليهود والنصارى والمجوس وندخل عليهم وهم يأكلون ويشربون ، فيمرّ ساقيهم ويصبّ على ثيابي الخمر؟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إلاّ أن تشتهي أن تغسله لأثره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حفص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 يكون فيه الخمر ثمَّ يجفّف ويجعل فيه الخلّ؟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وأبو عبد اللّه علیهماالسلام فقيل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نشتري ثيابا يصيبها الخمر وودك الخنزير عند حاكتها ، أفنصلّي فيها قبل أن نغسلها؟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 إنّ اللّه حرّم أكله وشربه ولم يحرم لبسه ولمسه والصلاة فيه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موسى علیه السلام أنّه سئل عن الرجل يمرّ في ماء المطر وقد صبّ فيه خمر فأصاب ثوبه ، هل يصلّي فيه قبل أن يغسل ثوبه؟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ثوبه ولا رجله ،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 موسى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عبد اللّه علیه السلام وكانت صالحة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أتطيّب لزوجي فنجعل في المشطة التي أتمشط بها الخمر وأجعله في رأسي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بين هاتين الطائفتين من الروايات تعارض مستقرّ مستحكم ، ولا يمكن الجمع بينهما عرفا ، وإن كان من الممكن الخدشة في دلالة بعض روايات هذه الطائفة الأخيرة الدالّة على الطهارة تركنا ذكرها لعدم خفائها على المتضلّع الخبير ، ولأنّه ذكر أغلبها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لا يمكن إنكار دلالة مجموعها على الطهارة ، ولا إنكار حجيتها ، فلا بدّ من الرجوع إلى مرجّحات باب التعارض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 البعض أخبار النجاسة ؛ لمخالفتها مع فتوى ربيعة الرأي </w:t>
      </w:r>
      <w:r>
        <w:rPr>
          <w:rStyle w:val="FootnoteAnchor"/>
          <w:rtl w:val="true"/>
        </w:rPr>
        <w:footnoteReference w:id="479"/>
      </w:r>
      <w:r>
        <w:rPr>
          <w:rFonts w:ascii="IRNazanin" w:hAnsi="IRNazanin" w:eastAsia="IRNazanin"/>
          <w:color w:val="111111"/>
          <w:sz w:val="28"/>
          <w:sz w:val="28"/>
          <w:szCs w:val="28"/>
          <w:rtl w:val="true"/>
          <w:lang w:bidi="fa-IR"/>
        </w:rPr>
        <w:t xml:space="preserve">الذي كان في زمان الصادق علیه السلام وذلك لحمل أخبار الطهارة على التقيّة لموافقتها مع فتوى ربيعة الذي كان يؤيّده سلطان الوقت ، وذلك لأنّ الفتوى المخالف لفتوى ربيعة من الإمام </w:t>
      </w:r>
    </w:p>
    <w:p>
      <w:pPr>
        <w:pStyle w:val="BookText"/>
        <w:rPr/>
      </w:pPr>
      <w:r>
        <w:rPr>
          <w:rFonts w:ascii="IRNazanin" w:hAnsi="IRNazanin" w:eastAsia="IRNazanin"/>
          <w:color w:val="111111"/>
          <w:sz w:val="28"/>
          <w:sz w:val="28"/>
          <w:szCs w:val="28"/>
          <w:rtl w:val="true"/>
          <w:lang w:bidi="fa-IR"/>
        </w:rPr>
        <w:t>الصادق علیه السلام كان بعنوان أنّه إمام ومذهب مقابل سائر مذاهب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الذي كان يضرّ بسلاطين الوقت ، وكان الإمام الصادق علیه السلام كثيرا ما يأمر بإخفاء أمرهم ، وكان علیه السلام يخاف من ظهوره ؛ ولذلك ترى الأئمّة علیهم السلام كانوا يفتون طبق فتوى مفتي عصرهم وزمانهم لأجل هذه الجهة ، وإن كان رأي أغلب المخالفين لنا مخالفا للفقيه المعاصر معهم ، فحمل أخبار الطهارة على التقيّة مع أنّ أغلب المخالفين يفتون بالنجاسة ليس بعيدا عن الصواب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مع ذلك رفع اليد عن هذه الأخبار الكثيرة التي يطمئن الإنسان بصدورها إجماعا عن الإمام علیه السلام مع أنّ الطائفة الأخرى المعارضة لها موافقة مع أغلب المخالفين لنا لأجل الاحتمال المذكور ممّا لم تركن النفس إليه ، ولا تطمئن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ورجّح البعض أخبار النجاسة ؛ لأجل موافقتها مع المشهور الشهرة التي كادت أن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التي من المرجّحات هي على الظاهر الشهرة الروائيّة ، وهي أن يكون نقل الرواية مشهورا بين أصحابنا الإماميّة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العمليّة الفتوائيّة تكون موجبة لجبر ضعف السند ، كما أنّ إعراض الأصحاب عنها يكون سببا لوهنه ، بل كلّما ازداد صحّة ازداد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كلتا الطائفتين مشهورتان من حيث الرواية ، ورواهما أصحاب الكتب المعتبرة وأرباب الجوامع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الإعراض والفتوى على خلافها ، فلعلّه ليس من جهة عدم الاعتماد على سندها ، بل للتصرّفات في دلالتها ، أو لحملها على التقيّة كما تقدّم بيانه ، فمثل هذا الإعراض لا يوجب وهنها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هاهنا روايتان وردتا في مقام علاج التعارض بين هاتين الطائفتين ، وبأية واحدة يأخذ ويجب العمل بها </w:t>
      </w:r>
    </w:p>
    <w:p>
      <w:pPr>
        <w:pStyle w:val="BookText"/>
        <w:rPr/>
      </w:pPr>
      <w:r>
        <w:rPr>
          <w:rFonts w:ascii="Amiri" w:hAnsi="Amiri" w:eastAsia="Amiri" w:cs="Amiri"/>
          <w:color w:val="111111"/>
          <w:sz w:val="28"/>
          <w:sz w:val="28"/>
          <w:szCs w:val="28"/>
          <w:rtl w:val="true"/>
          <w:lang w:bidi="ar-SA"/>
        </w:rPr>
        <w:t xml:space="preserve">إحداهما رواية خيران الخادم التي تقدّم ذكرها </w:t>
      </w:r>
      <w:r>
        <w:rPr>
          <w:rStyle w:val="FootnoteAnchor"/>
          <w:rtl w:val="true"/>
        </w:rPr>
        <w:footnoteReference w:id="480"/>
      </w:r>
      <w:r>
        <w:rPr>
          <w:rFonts w:ascii="IRNazanin" w:hAnsi="IRNazanin" w:eastAsia="IRNazanin"/>
          <w:color w:val="111111"/>
          <w:sz w:val="28"/>
          <w:sz w:val="28"/>
          <w:szCs w:val="28"/>
          <w:rtl w:val="true"/>
          <w:lang w:bidi="fa-IR"/>
        </w:rPr>
        <w:t xml:space="preserve">، وهي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علیه السلام أسأله عن الثوب يصيبه الخمر ولحم الخنزير أيصلّى فيه ، أم لا؟ فإنّ أصحابنا قد اختلفوا فيه ، فقال بعضهم صلّ فيه فإنّ اللّه حرّم شربها ، وقال بعضهم لا تصلّ فيه فكتب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فيه فإنّه 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مقام الجواب عن السؤال عن العلاج بين الطائفتين المتعارضتين رجّح علیه السلام الطائفة الدالّة على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يقال إنّ هذه الرواية أيضا داخلة في الطائفة المتعارضة الدالّة على النجاسة ، لأنّ ورود هذه الرواية في العلاج بين الطائفتين بعد فرض وجودهما ، فتكون في الرتبة المتأخّرة عن وجودهما ، فلا يمكن أن تكون داخلة في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صحيح علىّ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عبد 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روى زرارة عن أبي جعفر علیه السلام وأبي عبد اللّه علیه السلام في الخمر يصيب ثوب الرجل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تصلّي فيه إنّما حرّم شربها ، وروى غير زرارة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ثوبك خمر أو نبيذ يعني المسكر فاغسله إن عرفت موضعه ، وإن لم تعرف موضعه فاغسله كلّه ، وإن صلّيت فيه فأعد صلاتك ، فأعلمني ما آخذ به؟ فوقّع علیه السلام بخطّه 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بقول أبي عبد اللّه علیه السلام </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أيضا كالأولى صريحة في تقديم إحدى الطائفتين ، وهي الطائفة الدالّة على النجاسة ، على الأخرى فبملاحظة هاتين الروايتين يتعيّن الأخذ بأخبار النجاسة ، وترك الطائفة الأخرى وردّ علمها إلى أهلها ، أو حملها على التقيّة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مع هذا الاتّفاق من فقهاء الإسلام قاطبة إلاّ الشّاذ ممّن لا يعتدّ بخلافهم وهذه الروايات التي ذكرناها وأنّها صحاح واضح الدلالة على النجاسة ، وهاتين </w:t>
      </w:r>
      <w:bookmarkStart w:id="270" w:name="pg15947_151258"/>
    </w:p>
    <w:p>
      <w:pPr>
        <w:pStyle w:val="BookText"/>
        <w:rPr/>
      </w:pPr>
      <w:bookmarkEnd w:id="270"/>
      <w:r>
        <w:rPr>
          <w:rFonts w:ascii="Amiri" w:hAnsi="Amiri" w:eastAsia="Amiri" w:cs="Amiri"/>
          <w:color w:val="111111"/>
          <w:sz w:val="28"/>
          <w:sz w:val="28"/>
          <w:szCs w:val="28"/>
          <w:rtl w:val="true"/>
          <w:lang w:bidi="ar-SA"/>
        </w:rPr>
        <w:t>الروايتين في مقام علاج التعارض بين الطائفتين ، لا يبقى شكّ للفقيه في نجاسة كلّ مسكر مائع بالأصالة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6232030_2142443653"/>
      <w:bookmarkStart w:id="272" w:name="_Toc88"/>
      <w:bookmarkEnd w:id="271"/>
      <w:r>
        <w:rPr>
          <w:rtl w:val="true"/>
        </w:rPr>
        <w:t>تتميم</w:t>
      </w:r>
      <w:bookmarkEnd w:id="272"/>
    </w:p>
    <w:p>
      <w:pPr>
        <w:pStyle w:val="BookText"/>
        <w:rPr/>
      </w:pPr>
      <w:r>
        <w:rPr>
          <w:rFonts w:ascii="Amiri" w:hAnsi="Amiri" w:eastAsia="Amiri" w:cs="Amiri"/>
          <w:color w:val="111111"/>
          <w:sz w:val="28"/>
          <w:sz w:val="28"/>
          <w:szCs w:val="28"/>
          <w:rtl w:val="true"/>
          <w:lang w:bidi="ar-SA"/>
        </w:rPr>
        <w:t xml:space="preserve">وهو أنّه هذا المطهّر الطّبي ، أي المائع المعروف باسبرتو هل 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نجاسة كلّ مسكر مائع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فالبحث يكون فيه صغرويا وأنّه هل هو نوع من أنواع المسكر المائع بالأصالة أم لا؟</w:t>
      </w:r>
    </w:p>
    <w:p>
      <w:pPr>
        <w:pStyle w:val="BookText"/>
        <w:rPr/>
      </w:pPr>
      <w:r>
        <w:rPr>
          <w:rFonts w:ascii="Amiri" w:hAnsi="Amiri" w:eastAsia="Amiri" w:cs="Amiri"/>
          <w:color w:val="111111"/>
          <w:sz w:val="28"/>
          <w:sz w:val="28"/>
          <w:szCs w:val="28"/>
          <w:rtl w:val="true"/>
          <w:lang w:bidi="ar-SA"/>
        </w:rPr>
        <w:t>فبناء على هذا ليست هذه المسألة من المسائل الفقهيّة ، وليس معرفتها من وظيفة الفقيه بما هو فقيه ، بل لا بدّ وأن يرجع فيها إلى أهل الخبرة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الشكّ في أنّه هل هو من المائع المسكر بالأصالة أو ليس منه راجع إلى الفقيه ، ولا شكّ في أنّ في الشبهة الموضوعيّة لما هو النجس المرجع هو أصل الطهارة إن لم يكن دليل حاكم في البين ، وكذلك في الشبهة الحكميّة إذا كان منشأ الشكّ هو إجمال المفهوم الذي جعل موضوعا للنجاسة من جهة الشكّ في سعته وضيقه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شككنا في هذا المائع المعروف والمطهّر الطبي المسمّى باسبرتو هل يطلق عليه المسكر المائع بالأصالة إطلاقا حقيقيّا بحيث لا يصح سلب هذا العنوان عنه ، وكان منشأ الشكّ عدم الإحاطة بحدود مفهوم المسكر المائع بالأصالة ، أي لم نتحقّق المفهوم العرفيّ من هذا العنوان أنّه هل هو خصوص ما يكون صالحا للشرب فعلا من دون احتياجه إلى علاج ، وإن كان ذلك العلاج مزجه بالماء ، فلا يطلق على هذا المائع المعروف إطلاقا حقيقيّا ، أو أعمّ منه وممّا يصير صالحا للشرب والإسكار ، وإن كان صلاحيّته للأمرين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الشرب والإسكار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العلاج ، وإن كان بمزجه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مثل هذا الشكّ ، ولم يقم دليل على أحد الطرفين ، فالمرجع هي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ظاهر أدلّة نجاسة المسكر المائع بالأصالة هو كون المائع بالفعل </w:t>
      </w:r>
    </w:p>
    <w:p>
      <w:pPr>
        <w:pStyle w:val="BookText"/>
        <w:rPr/>
      </w:pPr>
      <w:r>
        <w:rPr>
          <w:rFonts w:ascii="Amiri" w:hAnsi="Amiri" w:eastAsia="Amiri" w:cs="Amiri"/>
          <w:color w:val="111111"/>
          <w:sz w:val="28"/>
          <w:sz w:val="28"/>
          <w:szCs w:val="28"/>
          <w:rtl w:val="true"/>
          <w:lang w:bidi="ar-SA"/>
        </w:rPr>
        <w:t>صالحا للشرب وموجبا للإسكار من دون الاحتياج إلى علاج ولو بمزجه بالماء ، فيكون مقتضى ظاهر الأدلّة عدم نجاسته من هذه الجهة ، وقد عرفت أنّه لو شككنا أيضا مقتضى الأصل هي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إجمال المفهوم وأنّه عبارة عمّا يكون صالحا للشرب والإسكار ، وإن كان بعلاج ، فالإنصاف أنّه مكابرة ، وقد حكى لي بعض الثقات من أهل الفنّ أنّ هذا المائع الذي يسمّى الآن بأسبرتو ويستعمله الأطبّاء لتطهير الإبر وأدوات وآلات تطعيم الأدوية وتزريقها في بدن المرضي ، ليس ممّا يشرب ، وإنّما هو يعدّ من جملة السموم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قوّة الإسكار بالمرتبة الشديدة ، وبمزجه بالماء تخفّ عاديته ، وربما يكون صالحا لشرب بعض مدمني الخمور ولكن بعد مزجه بالماء ، وقبل المزج ليس صالحا للشرب لأيّ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مدمني الخمور والمكثرين لشرب ألكل لمدّة طويلة بالأخرة يتسمّم بدنهم ، فعدم تأثيره فيهم من هذه الجهة ، لا أنّه يصير من المشروبات العادية كسائر المسكرات التي يشربها شاربوا الخمر والمسكرات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لي أيضا أنّ بعض المفرطين في شرب الأفيون وبلعها بالأخرة انجرّ أمره إلى أن حبس حيّة سامّة في جعبة وكان يعرض نفسه للدغها كي ينوب عن سمّ الأفيون الذي تعوّد بشربه ، وكان لم يجده لعوز المال ، فمثل هذه الموارد الشاذّة لا توجب صدق المسكر على هذا المائع المعروف باسبرتو</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لو كان من مصاديق المسكر حقيقة تكون الأدلّة منصرفة عنه ، لأنّ الظاهر والمتفاهم العرفيّ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هو المسكر المعروف الذي كان المتعارف شربه </w:t>
      </w:r>
    </w:p>
    <w:p>
      <w:pPr>
        <w:pStyle w:val="BookText"/>
        <w:rPr/>
      </w:pPr>
      <w:r>
        <w:rPr>
          <w:rFonts w:ascii="Amiri" w:hAnsi="Amiri" w:eastAsia="Amiri" w:cs="Amiri"/>
          <w:color w:val="111111"/>
          <w:sz w:val="28"/>
          <w:sz w:val="28"/>
          <w:szCs w:val="28"/>
          <w:rtl w:val="true"/>
          <w:lang w:bidi="ar-SA"/>
        </w:rPr>
        <w:t>بين شرّاب الخمور ، وأمّا مثل هذا المائع الذي لا يشربه أحد إذ ليس صالحا للشرب عندهم ، فلفظ الخمر منصرف عنه ، وإن قلنا بأنّ الخمر اسم لكلّ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التعليل بأنّ حرمة الخمر ليست لاسمها ، بل لعاقبتها ، فما كان عاقبته عاقبة الخمر فهو خمر ، فالظاهر أنّه تعليل للحرمة وتنزيل لما كان عاقبته الخمر منزلة الخمر في خصوص الحرمة ، لا في جميع الآثار حتّى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التعليل راجع إلى المائعات التي يتعارف شربها بين شرّاب المسكرات ، وأمّا المائع الذي لا يشربه أحد فخارج عن موضوع الكلام ، فهو علیه السلام بصدد بيان أنّ اسم الخمر لا خصوصيّة له في هذا الحكم ، بل كلّ مائع من هذه الأشربة التي يشربونها إذا كان مسكرا يكون مثل الخمر حراما ، وإن لم يسمّ بالخمر ، فمثل الفقّاع والنبيذ المسكرين يكونان بحكم الخمر ، وإن لم يطلق عليهما لفظ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المتأمّل ربما يقطع بخروج مثل هذا المائع عن موضوع أدلّة نجاسة كلّ مسكر مائع بالأصالة ، ولا أقلّ من الشكّ ، فلا تشمله الإطلاقات والعمومات التي تدلّ على نجاسة كلّ مسكر مائع بالأصالة ، فيكون مجرى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بحقائق الأحكام وجميع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عن الخطاء والزلل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947_151262"/>
      <w:bookmarkStart w:id="274" w:name="pg15947_151262"/>
      <w:bookmarkEnd w:id="274"/>
    </w:p>
    <w:p>
      <w:pPr>
        <w:pStyle w:val="Heading2"/>
        <w:numPr>
          <w:ilvl w:val="1"/>
          <w:numId w:val="1"/>
        </w:numPr>
        <w:rPr/>
      </w:pPr>
      <w:bookmarkStart w:id="275" w:name="pg15947_151262"/>
      <w:bookmarkStart w:id="276" w:name="__RefHeading___Toc16232032_2142443653"/>
      <w:bookmarkStart w:id="277" w:name="_Toc89"/>
      <w:bookmarkEnd w:id="275"/>
      <w:bookmarkEnd w:id="276"/>
      <w:r>
        <w:rPr/>
        <w:t>55</w:t>
      </w:r>
      <w:r>
        <w:rPr>
          <w:rtl w:val="true"/>
        </w:rPr>
        <w:t xml:space="preserve"> - </w:t>
      </w:r>
      <w:r>
        <w:rPr>
          <w:rtl w:val="true"/>
        </w:rPr>
        <w:t>قاعدة كلّ كافر نجس كتابيّا كان أو غيره</w:t>
      </w:r>
      <w:bookmarkEnd w:id="2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6232034_2142443653"/>
      <w:bookmarkStart w:id="279" w:name="_Toc90"/>
      <w:bookmarkEnd w:id="278"/>
      <w:r>
        <w:rPr>
          <w:rtl w:val="true"/>
        </w:rPr>
        <w:t>اشارة</w:t>
      </w:r>
      <w:bookmarkEnd w:id="27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947_151264"/>
      <w:bookmarkStart w:id="281" w:name="pg15947_151264"/>
      <w:bookmarkEnd w:id="281"/>
    </w:p>
    <w:p>
      <w:pPr>
        <w:pStyle w:val="BookText"/>
        <w:rPr/>
      </w:pPr>
      <w:bookmarkStart w:id="282" w:name="pg15947_151264"/>
      <w:bookmarkEnd w:id="282"/>
      <w:r>
        <w:rPr>
          <w:rFonts w:ascii="Amiri" w:hAnsi="Amiri" w:eastAsia="Amiri" w:cs="Amiri"/>
          <w:color w:val="111111"/>
          <w:sz w:val="28"/>
          <w:sz w:val="28"/>
          <w:szCs w:val="28"/>
          <w:rtl w:val="true"/>
          <w:lang w:bidi="ar-SA"/>
        </w:rPr>
        <w:t>قاعدة كلّ كافر نجس كتابيّا كان أو غيره</w:t>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كافر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جهات من البحث</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6232036_2142443653"/>
      <w:bookmarkStart w:id="284" w:name="_Toc91"/>
      <w:bookmarkEnd w:id="283"/>
      <w:r>
        <w:rPr>
          <w:rtl w:val="true"/>
        </w:rPr>
        <w:t xml:space="preserve">الجهة الأولى </w:t>
      </w:r>
      <w:r>
        <w:rPr>
          <w:rtl w:val="true"/>
        </w:rPr>
        <w:t xml:space="preserve">: </w:t>
      </w:r>
      <w:r>
        <w:rPr>
          <w:rtl w:val="true"/>
        </w:rPr>
        <w:t>في بيان المراد منها</w:t>
      </w:r>
      <w:bookmarkEnd w:id="28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الكافر على أقسام ، ويجمعها عدم التصديق بنبوّة نبيّنا محمّد صلی اللّه علیه و آله أو إنكار شي‌ء ضروريّ الثبوت في دينه من العقائد الحقّة أو الأحكام الشرعيّة ، فمن أنكر وجوب الصلاة ، أو وجوب الزكاة ، أو وجوب الحجّ بعد اجتماع شرائط وجوب هذه الأمور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 هو الذي ينكر وجود صانع وخالق للعالم ، ويعتقد بأنّ مادّة هذا العالم المادّي قديم بالذات ، وليس وجودها مسبوقا بالعدم الواقعي المقابل للوجود ، فليست حادثة كي يحتاج إلى العلّة التي توجدها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الطبيعيّون الذين يزعمون أنّ الأنواع والأشخاص الموجودة من هذا العالم المادّي من اختلاط الموادّ الأصليّة والذرّات القديمة بعضها ببعض وأفاعليها وانفعالاتها ، وهؤلاءهم أكفر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المنكرون للتوحيد ، وهم المشركون وهم أقسام كثيرة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ينكر توحيد الذات الأحد القديم ويقول بأصلين قديمين بالذات أو </w:t>
      </w:r>
    </w:p>
    <w:p>
      <w:pPr>
        <w:pStyle w:val="BookText"/>
        <w:rPr/>
      </w:pPr>
      <w:r>
        <w:rPr>
          <w:rFonts w:ascii="Amiri" w:hAnsi="Amiri" w:eastAsia="Amiri" w:cs="Amiri"/>
          <w:color w:val="111111"/>
          <w:sz w:val="28"/>
          <w:sz w:val="28"/>
          <w:szCs w:val="28"/>
          <w:rtl w:val="true"/>
          <w:lang w:bidi="ar-SA"/>
        </w:rPr>
        <w:t xml:space="preserve">أكثر ، وربما ينسب هذه العقيدة إلى المجوس القائلين بمبدئين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 ، أو بقولهم يزدان وأهرمن ، ولكن الظاهر أنّهم لا يقولون بمبدئين قديمين بالذات ، وإنّما ينكرون التوحيد في مقام الفاعليّة لا في مقام الذات ، ولتفصيل المسألة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ينكر التوحيد في مقام الفاعليّة ، ويرون المؤثّر في الحوادث والموجودات غير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المشركين كثيرون ، وهؤلاء عبدة الأصنام التي ينحتونها هم أنفسهم أو يصنعونها من أحد الفلزّات ، أو عبدة الأجرام السماويّة كالشمس والقمر وغيرهما ، أو غير ذلك من النباتات والجمادات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مشركو العرب وأهل مكة من هذا القسم الذين ابتلى رسول اللّه صلی اللّه علیه و آله بهم ، بل غالب الأنبياء العظام سلام اللّه عليهم كموسى وإبراهيم وغيرهما ابتلوا بهذا القسم من المشركين ، وليس مقامنا مقام شرح الأديان وتفصيل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ينكرون الرسالة ، إمّا جميع الأنبياء حيث يقولون بكفاية العقل الذي خلقه اللّه لعباده وجعله رسولا باطنيّا ، وهو يكفي في لزوم الاجتناب عن ارتكاب القبائح وما فيها من المفاسد ، ولزوم الارتكاب لما فيها المحاسن والمصالح ، وإمّا ينكرون نبوّة بعض الأنبياء الذين هم أولوا العزم ، بل كلّ نبيّ في عصره دون بعض ، وذلك كالكتابيّين بعد ظهور نبيّنا صلی اللّه علیه و آله وبعثته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ينكرون ضروريّا من ضروريات الدين ، سواء كان ضروريّا في جميع الأديان الحقّة كالمعاد الجسماني ، أو كان ضروريّا في خصوص دين الإسلام كوجوب الصلاة والزكاة ، وحرمة شرب الخمر والزنا واللواط والسرقة ، وغيرها من الضروريات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ذكرنا أنّه من أوضح مصاديق منكر الضروريّ من يقول بوجود نبيّ بعد نبيّنا خاتم النبيّين محمد صلی اللّه علیه و آله فلا شكّ في كفر من يدّعي النبوّة ، أو يعتقد نبوة شخص بعد بعثة خاتم الأنبياء صلی اللّه علیه و آله فهذه الفرقة الضالّة الذين يدّعون مثل هذه المقالة في عصرنا لا شكّ في كفرهم</w:t>
      </w:r>
      <w:r>
        <w:rPr>
          <w:rFonts w:eastAsia="IRNazanin" w:cs="IRNazanin"/>
          <w:color w:val="111111"/>
          <w:sz w:val="28"/>
          <w:szCs w:val="28"/>
          <w:rtl w:val="true"/>
          <w:lang w:bidi="fa-IR"/>
        </w:rPr>
        <w:t xml:space="preserve">. </w:t>
      </w:r>
      <w:bookmarkStart w:id="285" w:name="pg15947_151266"/>
    </w:p>
    <w:p>
      <w:pPr>
        <w:pStyle w:val="BookText"/>
        <w:rPr/>
      </w:pPr>
      <w:bookmarkEnd w:id="285"/>
      <w:r>
        <w:rPr>
          <w:rFonts w:ascii="Amiri" w:hAnsi="Amiri" w:eastAsia="Amiri" w:cs="Amiri"/>
          <w:color w:val="111111"/>
          <w:sz w:val="28"/>
          <w:sz w:val="28"/>
          <w:szCs w:val="28"/>
          <w:rtl w:val="true"/>
          <w:lang w:bidi="ar-SA"/>
        </w:rPr>
        <w:t>وأمّا المجسّمة والغلاة والخوارج والنواصب سنتكلّم عنهم إن شاء اللّه في خاتمة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الكتابي فهو الذي يعتقد ويؤمن بكتاب منزل من السماء على نبيّ من الأنبياء ممّا عدا القرآن الكريم ، لأنّ المعتقد والمؤمن بالقرآن ، وأنّه منزّل من السماء على رسول اللّه محمّد صلی اللّه علیه و آله ليس بكافر ، إلاّ أن ينكر ضروريّا من ضروريّات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تبيّن ما ذكرنا فالمراد من هذه القاعدة نجاسة كلّ قسم من الأقسام الأربعة المذكورة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6232038_2142443653"/>
      <w:bookmarkStart w:id="287" w:name="_Toc92"/>
      <w:bookmarkEnd w:id="286"/>
      <w:r>
        <w:rPr>
          <w:rtl w:val="true"/>
        </w:rPr>
        <w:t xml:space="preserve">الجهة الثانية </w:t>
      </w:r>
      <w:r>
        <w:rPr>
          <w:rtl w:val="true"/>
        </w:rPr>
        <w:t xml:space="preserve">: </w:t>
      </w:r>
      <w:r>
        <w:rPr>
          <w:rtl w:val="true"/>
        </w:rPr>
        <w:t>في بيان أقوال الفقهاء في هذه المسألة والقاعدة</w:t>
      </w:r>
      <w:bookmarkEnd w:id="28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الإماميّة هو القول بنجاسة الكفّار مطلقا ، ذميّا كانوا أو حربيّا ، كتابيّا أو غير كتابي ، بل ادّعى الإجماع عليها جمع من الفقهاء المتقدّمين ، كما في الغنية</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والناصريّات </w:t>
      </w:r>
      <w:r>
        <w:rPr>
          <w:rStyle w:val="FootnoteAnchor"/>
          <w:rtl w:val="true"/>
        </w:rPr>
        <w:footnoteReference w:id="484"/>
      </w:r>
      <w:r>
        <w:rPr>
          <w:rFonts w:ascii="IRNazanin" w:hAnsi="IRNazanin" w:eastAsia="IRNazanin"/>
          <w:color w:val="111111"/>
          <w:sz w:val="28"/>
          <w:sz w:val="28"/>
          <w:szCs w:val="28"/>
          <w:rtl w:val="true"/>
          <w:lang w:bidi="fa-IR"/>
        </w:rPr>
        <w:t xml:space="preserve">والانتصار </w:t>
      </w:r>
      <w:r>
        <w:rPr>
          <w:rStyle w:val="FootnoteAnchor"/>
          <w:rtl w:val="true"/>
        </w:rPr>
        <w:footnoteReference w:id="485"/>
      </w:r>
      <w:r>
        <w:rPr>
          <w:rFonts w:ascii="IRNazanin" w:hAnsi="IRNazanin" w:eastAsia="IRNazanin"/>
          <w:color w:val="111111"/>
          <w:sz w:val="28"/>
          <w:sz w:val="28"/>
          <w:szCs w:val="28"/>
          <w:rtl w:val="true"/>
          <w:lang w:bidi="fa-IR"/>
        </w:rPr>
        <w:t xml:space="preserve">والسرائر </w:t>
      </w:r>
      <w:r>
        <w:rPr>
          <w:rStyle w:val="FootnoteAnchor"/>
          <w:rtl w:val="true"/>
        </w:rPr>
        <w:footnoteReference w:id="486"/>
      </w:r>
      <w:r>
        <w:rPr>
          <w:rFonts w:ascii="Amiri" w:hAnsi="Amiri" w:eastAsia="Amiri" w:cs="Amiri"/>
          <w:color w:val="111111"/>
          <w:sz w:val="28"/>
          <w:sz w:val="28"/>
          <w:szCs w:val="28"/>
          <w:rtl w:val="true"/>
          <w:lang w:bidi="ar-SA"/>
        </w:rPr>
        <w:t xml:space="preserve">وغيرهم ، بل ادّعى الشيخ في التهذيب </w:t>
      </w:r>
      <w:r>
        <w:rPr>
          <w:rStyle w:val="FootnoteAnchor"/>
          <w:rtl w:val="true"/>
        </w:rPr>
        <w:footnoteReference w:id="487"/>
      </w:r>
      <w:r>
        <w:rPr>
          <w:rFonts w:ascii="Amiri" w:hAnsi="Amiri" w:eastAsia="Amiri" w:cs="Amiri"/>
          <w:color w:val="111111"/>
          <w:sz w:val="28"/>
          <w:sz w:val="28"/>
          <w:szCs w:val="28"/>
          <w:rtl w:val="true"/>
          <w:lang w:bidi="ar-SA"/>
        </w:rPr>
        <w:t>إجماع الفقهاء قاطبة من الإماميّة ومن مخالفيهم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المشهور بين المخالفين هو القول بطهارتهم حتّى أنّه في الفقه على المذاهب الأربعة </w:t>
      </w:r>
      <w:r>
        <w:rPr>
          <w:rStyle w:val="FootnoteAnchor"/>
          <w:rtl w:val="true"/>
        </w:rPr>
        <w:footnoteReference w:id="488"/>
      </w:r>
      <w:r>
        <w:rPr>
          <w:rFonts w:ascii="Amiri" w:hAnsi="Amiri" w:eastAsia="Amiri" w:cs="Amiri"/>
          <w:color w:val="111111"/>
          <w:sz w:val="28"/>
          <w:sz w:val="28"/>
          <w:szCs w:val="28"/>
          <w:rtl w:val="true"/>
          <w:lang w:bidi="ar-SA"/>
        </w:rPr>
        <w:t xml:space="preserve">يدّعي طهارتهم حيّا وميّتا ، ويستدلّ على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ومن تكريمهم طهارة أبدانهم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قولا بالنجاسة من </w:t>
      </w:r>
      <w:bookmarkStart w:id="288" w:name="pg15947_151267"/>
    </w:p>
    <w:p>
      <w:pPr>
        <w:pStyle w:val="BookText"/>
        <w:rPr/>
      </w:pPr>
      <w:bookmarkEnd w:id="288"/>
      <w:r>
        <w:rPr>
          <w:rFonts w:ascii="Amiri" w:hAnsi="Amiri" w:eastAsia="Amiri" w:cs="Amiri"/>
          <w:color w:val="111111"/>
          <w:sz w:val="28"/>
          <w:sz w:val="28"/>
          <w:szCs w:val="28"/>
          <w:rtl w:val="true"/>
          <w:lang w:bidi="ar-SA"/>
        </w:rPr>
        <w:t>أحد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المشهور أو المجمع عليه قول شاذّ من بعض الإماميّة بطهارة خصوص الكتابيّ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هذا القول من القدماء إلى ابن الجنيد </w:t>
      </w:r>
      <w:r>
        <w:rPr>
          <w:rStyle w:val="FootnoteAnchor"/>
          <w:rtl w:val="true"/>
        </w:rPr>
        <w:footnoteReference w:id="490"/>
      </w:r>
      <w:r>
        <w:rPr>
          <w:rFonts w:ascii="Amiri" w:hAnsi="Amiri" w:eastAsia="Amiri" w:cs="Amiri"/>
          <w:color w:val="111111"/>
          <w:sz w:val="28"/>
          <w:sz w:val="28"/>
          <w:szCs w:val="28"/>
          <w:rtl w:val="true"/>
          <w:lang w:bidi="ar-SA"/>
        </w:rPr>
        <w:t xml:space="preserve">في مختصره ، وأنكر صاحب الجواهر </w:t>
      </w:r>
      <w:r>
        <w:rPr>
          <w:rStyle w:val="FootnoteAnchor"/>
          <w:rtl w:val="true"/>
        </w:rPr>
        <w:footnoteReference w:id="491"/>
      </w:r>
      <w:r>
        <w:rPr>
          <w:rFonts w:ascii="Amiri" w:hAnsi="Amiri" w:eastAsia="Amiri" w:cs="Amiri"/>
          <w:color w:val="111111"/>
          <w:sz w:val="28"/>
          <w:sz w:val="28"/>
          <w:szCs w:val="28"/>
          <w:rtl w:val="true"/>
          <w:lang w:bidi="ar-SA"/>
        </w:rPr>
        <w:t>صراحة كلامه في ذلك ، ومع ذلك طعن عليه بأنّه قائل بالعمل بالقياس ، وأنّ أقواله مرفوضة عند الفقهاء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المتتبّع في الفقه يحصل عنده الشهرة المحقّقة من أصحابنا الإماميّة على نجاسة الكفّار مطلقا وإن كان كتابيّا ، كما أنّ المشهور بين المخالفين خلاف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6232040_2142443653"/>
      <w:bookmarkStart w:id="290" w:name="_Toc93"/>
      <w:bookmarkEnd w:id="289"/>
      <w:r>
        <w:rPr>
          <w:rtl w:val="true"/>
        </w:rPr>
        <w:t xml:space="preserve">الجهة الثالثة </w:t>
      </w:r>
      <w:r>
        <w:rPr>
          <w:rtl w:val="true"/>
        </w:rPr>
        <w:t xml:space="preserve">: </w:t>
      </w:r>
      <w:r>
        <w:rPr>
          <w:rtl w:val="true"/>
        </w:rPr>
        <w:t>في بيان الأدلّة الدالّة على هذه القاعدة ، وشرحها وكيفيّة دلالتها</w:t>
      </w:r>
      <w:bookmarkEnd w:id="290"/>
    </w:p>
    <w:p>
      <w:pPr>
        <w:pStyle w:val="Heading4"/>
        <w:numPr>
          <w:ilvl w:val="3"/>
          <w:numId w:val="1"/>
        </w:numPr>
        <w:rPr/>
      </w:pPr>
      <w:bookmarkStart w:id="291" w:name="__RefHeading___Toc16232042_2142443653"/>
      <w:bookmarkStart w:id="292" w:name="_Toc94"/>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ادّعاه جمع كثير ، وقد تقدّم ذكر بعضهم ، والعبارة المنقولة عن الوحيد البهبهاني قدس سره </w:t>
      </w:r>
      <w:r>
        <w:rPr>
          <w:rStyle w:val="FootnoteAnchor"/>
          <w:rtl w:val="true"/>
        </w:rPr>
        <w:footnoteReference w:id="492"/>
      </w:r>
      <w:r>
        <w:rPr>
          <w:rFonts w:ascii="Amiri" w:hAnsi="Amiri" w:eastAsia="Amiri" w:cs="Amiri"/>
          <w:color w:val="111111"/>
          <w:sz w:val="28"/>
          <w:sz w:val="28"/>
          <w:szCs w:val="28"/>
          <w:rtl w:val="true"/>
          <w:lang w:bidi="ar-SA"/>
        </w:rPr>
        <w:t>أنّ الحكم بنجاسة الكفّار وإن كان كتابيّا من ضروريّات المذهب وشعار الشيعة يعرفه المخالفون لهم عنهم ، رجالهم ونسائهم بل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بعد أن حكى كلام القديمين ابن الجنيد وابن عقيل ، وأنكر ظهور كلامهما في طهارة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حينئذ يعتدّ به بيننا في الحكم المزبور ، بل لعلّه من ضروريّات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الأستاذ الأكبر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شعار الشيعة يعرفه منهم علماء العامّة وعوامهم ونسائهم وصبيانهم ، بل وأهل الكتاب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فقهاء الشيعة الإماميّة الاثنى عشريّة على هذا الحكم ممّا لا يمكن أن ينكر ، ومخالفة شاذّ من المتأخّرين منهم لا يضرّ بهذا الإجماع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293" w:name="pg15947_151268"/>
    </w:p>
    <w:p>
      <w:pPr>
        <w:pStyle w:val="BookText"/>
        <w:rPr/>
      </w:pPr>
      <w:bookmarkEnd w:id="293"/>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المتّفقين في هذا الحكم على المدارك الآتية فليس من الإجماع المصطلح الأصولي الذي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بهذه الآية الشريفة على نجاسة الكفّار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المشركين ، أي عبدة الأصنام والثنويّة فواضح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المنكرين لأصل الألوهيّة الذين لا يقولون بوجود خالق للعالم فبالأولويّة القطعيّة ، لأنّ منشأ هذه النجاسة هو خبث النفس ودناءتها ، ولا شكّ أنّ مثال هذا المعنى في المادّيين المنكرين لوجود الصانع الحكيم ثبوته بنحو أشدّ ، لأنّ الخباثة والذّناءة في نفوسهم أزيد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على القول بأنّهم منه فواضح ، لأنّهم الثنويّة القائلون بمبدئين ، ويعبّرون تارة بالنور والظلمة ، وأخرى بيزدان الذي هو مبدء الخيرات عندهم ، وأهرمن الذي هو مبدء الشرور باعتقادهم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اليهود والنصارى فلإطلاق المشرك عليهم في الكتاب العزيز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فنسب اليهود والنصارى إلى الشرك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w:t>
      </w:r>
    </w:p>
    <w:p>
      <w:pPr>
        <w:pStyle w:val="Heading4"/>
        <w:numPr>
          <w:ilvl w:val="3"/>
          <w:numId w:val="1"/>
        </w:numPr>
        <w:rPr/>
      </w:pPr>
      <w:bookmarkStart w:id="294" w:name="__RefHeading___Toc16232044_2142443653"/>
      <w:bookmarkStart w:id="295" w:name="_Toc95"/>
      <w:bookmarkEnd w:id="294"/>
      <w:r>
        <w:rPr>
          <w:rtl w:val="true"/>
        </w:rPr>
        <w:t xml:space="preserve">وأشكل على الاستدلال بهذه الآية بوجوه </w:t>
      </w:r>
      <w:r>
        <w:rPr>
          <w:rtl w:val="true"/>
        </w:rPr>
        <w:t>:</w:t>
      </w:r>
      <w:bookmarkEnd w:id="29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 ولا يحمل المصدر على الذات إلاّ بتقدير ذو ، فيكون معنى الآية بناء على هذا أنّ المشركين ذوو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لا يستفاد أنّها </w:t>
      </w:r>
    </w:p>
    <w:p>
      <w:pPr>
        <w:pStyle w:val="BookText"/>
        <w:rPr/>
      </w:pPr>
      <w:r>
        <w:rPr>
          <w:rFonts w:ascii="Amiri" w:hAnsi="Amiri" w:eastAsia="Amiri" w:cs="Amiri"/>
          <w:color w:val="111111"/>
          <w:sz w:val="28"/>
          <w:sz w:val="28"/>
          <w:szCs w:val="28"/>
          <w:rtl w:val="true"/>
          <w:lang w:bidi="ar-SA"/>
        </w:rPr>
        <w:t>نجاسات ذاتيّة ، بل يصدق عليهم هذا العنوان ، وإن كانت نجاستهم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المصدر على الذات باعتبار المبالغة وادّعاء أنّه من مصاديقه أظهر من التقدير حسب المتفاهم العرفي من أمثال هذه التراكيب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الجواب عن هذا الإشكال بأنّ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يكون مصدرا ، كذلك يصحّ أن يكون صفة ، لأنّ الصفة المشبّهة كما أنّها من الثلاثي اللازم على وزن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تأتي على وزن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 وصرّح في القاموس بذلك في هذه المادّة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بالفتح وبالكسر وبالتحريك وككتف وعضد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الطاهر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يأتي صفة كما أنّه يصحّ مصدرا فيكون مشتركا بين المصدر والصفة ، ولكن لا يمكن أن يكون هاهنا صفة ، لعدم مطابقة الخبر مع المبتدا في الإفراد والجمع ، مع أنّ الخبر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لا يرد إن كان مصدرا لأنّ المطابقة في الإفراد والجمع ليس شرطا إذا كان الخبر مصدرا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عدل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كان النجس مصدرا وكان حمله على المشركين من باب المبالغة ، فلا يناسب النجاسة العرضيّة ويكون ظاهرا في الذاتيّة ، فالحقّ ما أفاده الشيخ الأعظم الأنصاري </w:t>
      </w:r>
      <w:r>
        <w:rPr>
          <w:rStyle w:val="FootnoteAnchor"/>
          <w:rtl w:val="true"/>
        </w:rPr>
        <w:footnoteReference w:id="497"/>
      </w:r>
      <w:r>
        <w:rPr>
          <w:rFonts w:ascii="Amiri" w:hAnsi="Amiri" w:eastAsia="Amiri" w:cs="Amiri"/>
          <w:color w:val="111111"/>
          <w:sz w:val="28"/>
          <w:sz w:val="28"/>
          <w:szCs w:val="28"/>
          <w:rtl w:val="true"/>
          <w:lang w:bidi="ar-SA"/>
        </w:rPr>
        <w:t>في هذا المقام ، وهو أنّ النجس إمّا مصدر وإمّا صفة ، وأيّاما كان يكون ظاهرا في نجاستهم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فرض تماميّته أخصّ من المدّعى ، لأنّ المدّعى نجاسة كلّ كافر ، والدليل لا يثبت إلاّ نجاسة خصوص المشرك منهم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شمول الآية للمنكرين لأصل الألوهيّة بالأولويّة ، ولأهل </w:t>
      </w:r>
    </w:p>
    <w:p>
      <w:pPr>
        <w:pStyle w:val="BookText"/>
        <w:rPr/>
      </w:pPr>
      <w:r>
        <w:rPr>
          <w:rFonts w:ascii="Amiri" w:hAnsi="Amiri" w:eastAsia="Amiri" w:cs="Amiri"/>
          <w:color w:val="111111"/>
          <w:sz w:val="28"/>
          <w:sz w:val="28"/>
          <w:szCs w:val="28"/>
          <w:rtl w:val="true"/>
          <w:lang w:bidi="ar-SA"/>
        </w:rPr>
        <w:t xml:space="preserve">الكتاب أي اليهود والنصارى والمجوس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أنّهم أيضا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والشمول لإطلاق المشرك على اليهود والنصارى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المجوس فهم المشركون حقيقة من دون عناية وتجوّز في البين ، وأمّا في غيرهم كالمنكرين للضروريّات مثلا فبعدم القول بالفصل ، لعدم الخلاف في نجاسة الكفّار إلاّ في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عنهم إن شاء اللّه في خاتمة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بالنجس ليس هو المعنى المصطلح بين الفقهاء الذي هو أحد الأحكام الشرعيّة الوضعيّة ، وهو مقابل الطهارة الشرعيّة التي هي أيضا أحد الأحكام الوضعيّة ، بل المراد هو المعنى الذي يفهمه العرف من هذه اللفظة ، إذ الخطابات الشرعيّة على طريقة المحاورات العرفيّة ، إذ لم يخترع طريقا خاصّا لتفهيم المكلّفين ، فإن كان في مورد إرادته من لفظ غير ما يفهمه العرف فعليه البيان ، ولا شكّ أنّ معنى العرفي للفظ النجس هي القذارة ، فلا بدّ وأن يحمل على قذارة النفس وخباثتها لا قذارة البدن ، لأنّه ليس في أبدانهم قذارة أزيد ممّا في أبدان المسلمين ، بل حالهم من هذه الجهة مع المسلمين سواء ، فيكون أجنبيّا عن مورد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البيان يجري في ما ورد في سائر النجاسات كالكلب والخمر والميتة وغيرها ، ومع ذلك لم يتردّد أحد من الفقهاء في حمل هذه الكلمة على المعنى الشرعيّ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الكلب رجس نجس </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لم يحمله أحد إلاّ على النجاسة الشرعيّة الاعتباريّة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أنّ الشارع في مقام بيان أحكامه ، ولا شغل له بالقذارات العرفيّة إلاّ يكون موضوعا لحكم شرعيّ ، فإذا كانت النجاسة عنده أمر اعتبره في عالم التشريع ، فلا بدّ وأن يحمل اللفظ عليه إلاّ مع بيان على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نزول هذه الآية لم يشرّع الطهارة والنجاسة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الاحتمال لا مجال له ، لأنّ هذه الآية في سورة البراءة بعد هجرة النبيّ صلی اللّه علیه و آله وكان ذلك الوقت الطهارة والنجاسة الشرعيين معروفتان عند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بالمشركين هم المشركون في ذلك الوقت ، أي مكّة وسائر القبائل العربيّة الذين يأتون إلى الحجّ ويدخلون المسجد الحرام للطواف حول الكعبة ، وأولئك كلّهم كانوا عبدة الأصنام ، والكتابيّون لا يحجّون في ذلك الوقت وإلى الآن هم كذلك ، فعلى تقدير كون النجاسة في الآية بالمعنى الشرعي لا يشمل غيرهم من سائر فرق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بعموم الكلام لا بخصوصيّة المورد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العموم من جهة ظهور الجمع المعرف باللاّم في العموم لجميع الأفراد التي يصلح للانطباق عليها ، فورودها في مورد قسم خاصّ من المشركين لا يضرّ بالاستدلال بعمومها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الإشكالات لا يرد شي‌ء منها على الاستدلال بالآية الشريفة ، فالآية تدلّ على نجاسة المشركين مطلقا ، كتابيّا كانوا أم غيرهم ، وعلى غيرهم بعدم القول بالفصل ، غاية الأمر نجاسة ما عدا المشركين ليس مدلولا للآية ، وإنّما يثبت بأمر خارج عن الآية وهو 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الفقيه الهمداني أنّه قال في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الآية بشهادة سياقها مشركو أهل مكّة التي أنزلت البراءة من اللّه ورسوله منهم ومنعوا من قرب المسجد الحرام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الآية في مشركي خارج مكّة ، لقوله تعالى بعد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w:t>
      </w:r>
    </w:p>
    <w:p>
      <w:pPr>
        <w:pStyle w:val="BookText"/>
        <w:rPr/>
      </w:pPr>
      <w:r>
        <w:rPr>
          <w:rFonts w:ascii="Amiri" w:hAnsi="Amiri" w:eastAsia="Amiri" w:cs="Amiri"/>
          <w:color w:val="111111"/>
          <w:sz w:val="28"/>
          <w:sz w:val="28"/>
          <w:szCs w:val="28"/>
          <w:rtl w:val="true"/>
          <w:lang w:bidi="ar-SA"/>
        </w:rPr>
        <w:t xml:space="preserve">عَيْلَةً فَسَوْفَ يُغْنِيكُمُ اللّهُ مِنْ فَضْلِهِ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للفقر والنقص في معاشكم من ناحية عدم إتيانهم إلى الحجّ وإلى مكّة ، وعدم انتفاعكم بما يأتون به من الأجناس والأموال التي كانت معهم للبيع والشراء معكم ، وكان أهل مكّة خافوا انقطاع المتاجر عنهم بمنع المشركين عن دخول الحرم ، فوعدهم اللّه تعالى بأنّه جلّ شأنه سوف يغنيهم من فضله ، وهو تبارك وتعالى وفى بوعده ، وكان يحمل الميرة إليهم من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تدلّ على أنّ اللّه تبارك وتعالى منع المشركين عن دخول المسجد الحرام لأنّهم أنجاس ، وحيث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معرّف باللاّم فهو عامّ يشمل كلّ من ينطبق عليه هذا العنوان ، فالآية ظاهرة في أنّ كلّ مشرك نجس ، الموجودون في ذلك الزمان أو من يوجد فيما بعده إلى قيام القيامة وبقاء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من قبيل القضايا الخارجيّة والحكم فيها يكون على الأفراد الموجودة في ذلك العصر وفي ذلك القطر ، فلا يشمل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أظنّ أحدا يرتضي بهذه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ظاهر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كبرى كلّية يعلّل بها عدم جواز دخول مشركي القبائل في الحرم ، ووجوب منعهم ، فالتعليل عامّ يشمل المشركين الذين كانوا موجودين في ذلك الزمان ، ومن لم يكن ذلك الوقت موجودا ، والذين كانوا يحجّون كمشركي العرب في ذلك الزمان ، أو لا يحجّون كسائر المشركين وكاليهود والنصارى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هو شمول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والنصارى ، وعدم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 </w:t>
      </w:r>
    </w:p>
    <w:p>
      <w:pPr>
        <w:pStyle w:val="BookText"/>
        <w:rPr/>
      </w:pPr>
      <w:r>
        <w:rPr>
          <w:rFonts w:ascii="Amiri" w:hAnsi="Amiri" w:eastAsia="Amiri" w:cs="Amiri"/>
          <w:color w:val="111111"/>
          <w:sz w:val="28"/>
          <w:sz w:val="28"/>
          <w:szCs w:val="28"/>
          <w:rtl w:val="true"/>
          <w:lang w:bidi="ar-SA"/>
        </w:rPr>
        <w:t xml:space="preserve">أطلق المشرك في الكتاب العزيز على اليهود والنصارى في بعض الآيات ، وظاهر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قُلْتَ لِلنّاسِ اتَّخِذُونِي وَأُمِّي إِلهَيْنِ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أنّ النصارى مشركون حقيقة ، لأنّهم كانوا يعتقدون بألوهيّة عيسى وأمّه ، وكانوا يعبدون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أنّه 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قال عبد اللّه ابن الزبعري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وجدت محمّدا لخصمته ، سلوا محمّدا أكلّ من عبد من دون اللّه في جهنّم مع من عده ، ونحن نعبد الملائكة ، واليهود تعبد عزيزا ، والنصارى تعبد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هذا الكلام إلى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أجهله بلسان قومه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 ذوي العقول ، فلا يشمل هؤلاء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إشكالهم بوجه آخر ، لسنا في مقام الجواب عن هذا الإيراد وجوابه ، بل مقصودنا أنّ هؤلاء مشركون حقيقة في العبادة ، بل في الخلق والفاعلية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والنصارى الذين نسمّيهم بأهل الكتاب شركهم من سنخ شرك مشركي أهل مكّة ، كما كان يظهر من كلام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المجوس فكونهم من المشركين أوضح حتّى يعرفون بالثنويّة القائلين بإله الخير ويسمّونه يزدان ، وإله الشرّ ويسمونه بأهرمن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النصارى ، فإلى اليوم يقولون بألوهيّة المسيح ابن مريم علیهماالسلام ، فهذا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معلوف أحد الآباء العيسويين يقول في كلمة المسيح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الإله المتجسّد </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فلا ينبغي أن يشكّ في شرك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 والنصارى ، والمجوس ، ولا في 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الدالّة على نجاستهم الأخبار المرويّة عن الأئمّة الأطهار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سعيد الأعرج أنّه سأل أبا عبد اللّه علیه السلام عن سؤر اليهودي والنصراني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أيؤكل أو يشرب؟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 أبي جعفر علیه السلام في مصافحة المسلم لليهودي والنصراني؟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وراء الثياب ، فإن صافحك بيده فاغسل يدك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آنية أهل الذمّة والمجوس؟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تأكلوا في آنيتهم ولا من طعامهم الذي يطبخون ، ولا في آنيتهم التي يشربون فيها الخمر </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قوم مسلمين يأكلون وحضرهم رجل مجوسي يدعونه إلى طعامهم؟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أو أكل المجوسي ، وأكره أن أحرّم عليكم شيئا تصنعونه في بلادكم </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عليّ بن جعفر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مؤاكلة المجوس في قصعة واحدة وأرقد معه على فراش واحد وأصافحه؟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على بن جعفر علیه السلام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فراش اليهودي والنصراني أينام عليه؟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ولا يصلّى في ثيابهما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يأكل المسلم مع المجوسيّ في قصعة واحدة ، ولا يقعده على فراشه ولا مسجده ، ولا يصافحه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اشترى ثوبا من السوق ليس يدري لمن كان ، هل تصلح الصلاة فيه؟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اشتراه من مسلم فليغسل ثمَّ يصلّي فيه ، وإن اشتراه من نصرانيّ فلا يصلّي فيه حتّى يغسله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ظاهرة في نجاسة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موثّقة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السؤال والجواب عن سؤر اليهودي والنصراني جواز أكله وشربه ، وعدم جوازه من حيث نجاسة ذلك السؤر وعدم نجاسته ، إذ ليس هناك جهة أخرى توجب الشكّ في الجواز كي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حيث يأكلون لحم الخنزير ويشربون الخمر ، فمن الممكن أن تكون جهة السؤال هو احتمال أن يكون ذلك</w:t>
      </w:r>
    </w:p>
    <w:p>
      <w:pPr>
        <w:pStyle w:val="BookText"/>
        <w:rPr/>
      </w:pPr>
      <w:r>
        <w:rPr>
          <w:rFonts w:ascii="Amiri" w:hAnsi="Amiri" w:eastAsia="Amiri" w:cs="Amiri"/>
          <w:color w:val="111111"/>
          <w:sz w:val="28"/>
          <w:sz w:val="28"/>
          <w:szCs w:val="28"/>
          <w:rtl w:val="true"/>
          <w:lang w:bidi="ar-SA"/>
        </w:rPr>
        <w:t>السؤر عن بقيّة لحم الخنزير في المأكول ، ومن بقيّة الخمر في 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شبهة موضوعيّة تجري فيها أصالة الحلّ ، ولم يدّع أحد معارضة هذه الرواية لقاعدة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علیه السلام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وينفي جواز أكل سؤرهم وكذلك شربه مطلقا ، سواء كان في مورد ذلك الاحتمال أو لا يكون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السؤال والجواب في مورد هذا الاحتمال خلاف الظاهر ، إذ منشأ هذه الشبهة أمور خارجيّة بعد معلوميّة حكم لحم الخنزير ، وحكم الخمر ، ومعلوميّة حكم </w:t>
      </w:r>
    </w:p>
    <w:p>
      <w:pPr>
        <w:pStyle w:val="BookText"/>
        <w:rPr/>
      </w:pPr>
      <w:r>
        <w:rPr>
          <w:rFonts w:ascii="Amiri" w:hAnsi="Amiri" w:eastAsia="Amiri" w:cs="Amiri"/>
          <w:color w:val="111111"/>
          <w:sz w:val="28"/>
          <w:sz w:val="28"/>
          <w:szCs w:val="28"/>
          <w:rtl w:val="true"/>
          <w:lang w:bidi="ar-SA"/>
        </w:rPr>
        <w:t>الشبهة الموضوعيّة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جهة السؤال احتمال تنجّسهم بالنجاسات الخارجيّة لعدم اجتنابهم عنها وكثرة استعمالهم لحم الخنزير والخمر وسائر المسكرات المائعة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لا يكون مختصا بهم ، بل يأتي في حقّ كلّ من لا يجتنب عن النجاسات جميعا أو بعضها ، سواء كان عدم اجتنابه عنها عن قلّة المبالاة في الدين ، أو من جهة عدم القول بنجاسته في مذهبه ، وذلك لاختلاف الفتاوى في المذاهب في بعض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ظاهر الرواية هو السؤال عن سؤرهما من حيث كونهما يهوديّا ونصرانيّا ، والجواب أيضا كذلك ، فلا طريق ولا مجال لإنكار ظهور الرواية في نجاسة الكتابي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الثانية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صافحك بيده فاغسل يدك ، فلا ينبغي أن يشكّ في ظهورها في نجاستهم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احتمال أن يكون الأمر بالغسل من جهة النجاسة العرضيّة ، فقد رفعناه من أنّ الظاهر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أنّه في صورة رطوبة إحدى اليدين أو كلتيهما من جهة ارتكاز اعتبار الرطوبة في أذهان العرف في مقام تأثير النجس أو تأثّر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تنجّسه بواسطة المصافحة بيده المرطوبة أو يدك المرطوبة ، فيدلّ على نجاسة الكافر ولم تكن نجاسة عرضيّة في البين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فظاهرها أنّ كلّ واحدة من الجمل الثلاث التي ذكرها جملة مستقلّة في قبال الآخر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تأكلوا في آنيتهم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 بل المراد هو الذي لا يشرب فيه الخمر ، وأيضا ليس من طعامهم الذي يطبخونه ، فليس نجاسته بواسطة شرب الخمر أو وجود لحم الخنزير فيه ، بل المنع من جهة نجاستهم التي سرت إلى الكأس والآنية التي لهم ويستعملونها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الرواية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رواية الكاهلي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أواكل المجوسيّ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الممكن أن يكون تنزيها منه علیه السلام لا من جهة حرمته فلا يدلّ على حرمة المؤاكلة معهم كي يستكشف منها نجاستهم ، لكن قوله علیه السلام فيما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وأكره أن أحرّم عليكم شيئا تصنعونه في بلادكم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إشعار بأنّ الحكم الواقعي وإن كان هي الحرمة ، ولكن أنا أكره إظهاره لأجل إنّكم تصنعون خلافه في بلادكم ، فيشير بهذه العبارة إلى عدم التحريم ، وكراهته لأجل الخوف والتقيّة ، وعلى كلّ حال إن لم تكن ظاهرة في ما قلنا ليست ظاهرة في طهارتهم كما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صحيحة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يأكل المسلم مع المجوسي في قصعة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كمال الظهور في نجاسة المجوسي ، ولكن الاستدلال بها موقوف على عدم القول بالفصل بين المجوسي وبين اليهودي والنصراني ، وعلى هذا النمط سياق روايته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بعضهم استدلّ على نجاسة أهل الكتاب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باعتبار أنّ المراد من الرجس هي النجاسة ، ولا شكّ أنّ المراد من الذين لا يؤمنون في الكتاب العزيز هم مطلق الكفّار الذين لم يؤمنوا بالنبي وأنكروا رسالته ونبوّته ، سواء كانوا من أهل الكتاب أو من غيرهم ، فظاهر الآية أنّ اللّه تبارك وتعالى جعل النجاسة على الكفّار ، فهم نجسون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الرجس هنا العذاب والعقاب ، وعلى كلّ حال إذا جاء الاحتمال بطل الاستدلال ، لانهدام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عدم ظهور لفظة الرجس في حدّ نفسها في النجاسة الخبثيّة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استدلّ لنجاستهم بروايات أخر كثيرة متفرّقة في أبواب الفقه ، كصحيحة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النصراني يغتسل مع المسلم في </w:t>
      </w:r>
    </w:p>
    <w:p>
      <w:pPr>
        <w:pStyle w:val="BookText"/>
        <w:rPr/>
      </w:pPr>
      <w:r>
        <w:rPr>
          <w:rFonts w:ascii="IRNazanin" w:hAnsi="IRNazanin" w:eastAsia="IRNazanin"/>
          <w:color w:val="111111"/>
          <w:sz w:val="28"/>
          <w:sz w:val="28"/>
          <w:szCs w:val="28"/>
          <w:rtl w:val="true"/>
          <w:lang w:bidi="fa-IR"/>
        </w:rPr>
        <w:t xml:space="preserve">الحمّام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أنّه نصرانيّ اغتسل بغير ماء الحمام ، إلاّ أن يغتسل وحده على الحوض فيغسله ثمَّ يغتسل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اليهودي والنصراني يدخل يده في الماء أيتوضّأ منه للصلاة؟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يضطرّ إليه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وحمل الشيخ </w:t>
      </w:r>
      <w:r>
        <w:rPr>
          <w:rStyle w:val="FootnoteAnchor"/>
          <w:rtl w:val="true"/>
        </w:rPr>
        <w:footnoteReference w:id="514"/>
      </w:r>
      <w:r>
        <w:rPr>
          <w:rFonts w:ascii="Amiri" w:hAnsi="Amiri" w:eastAsia="Amiri" w:cs="Amiri"/>
          <w:color w:val="111111"/>
          <w:sz w:val="28"/>
          <w:sz w:val="28"/>
          <w:szCs w:val="28"/>
          <w:rtl w:val="true"/>
          <w:lang w:bidi="ar-SA"/>
        </w:rPr>
        <w:t xml:space="preserve">الاضطرار هاهنا على التقيّة ، لأن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لا يوجب جواز الوضوء بالماء النجس ، بل ينتقل إلى التيمّم ، ولا شكّ في أنّ ظاهر هذه الرواية نجاسة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وكمفهوم رواية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طعام أهل الكتاب ما يحلّ منه؟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الحبوب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وأمثال ذلك ممّا يدلّ على لزوم التجنّب عنهم ، وعدم الأكل من طعامهم ، والركون إليهم من الأخبار الكثيرة المتفرّقة في أبواب الفقه ، فلا يحتاج إلى التطويل وفيما ذكرنا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المذكورة وإن كان من الممكن المناقشة في ظهور بعضها في نجاستهم ، ولكن لا يمكن إنكار ظهور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أخبار أخر ظاهرة في عدم نجاستهم وجواز الأكل من طعامهم وفي آنيتهم ربما تكون أظهر دلالة من الأخبار المتقدّمة ، وأكثر عددا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الطهارة أدلّ من دلالة ما تقدّم على النّجاسة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طعام أهل الكتاب؟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هنيئة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سكت هنيئة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ولا تتركه تقول إنّه حرام ، ولكن تتركه تنزّها عنه ، إنّ في آنيتهم الخمر ولحم الخنزير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هذه الرواية على عدم النجاسة وجواز مؤاكلتهم واضحة بل صريحة ، وأنّ نهيه علیه السلام تنزيهي لا تحريمي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الفقيه النبيه الهمداني قدس سره في مصباح الفقيه </w:t>
      </w:r>
      <w:r>
        <w:rPr>
          <w:rStyle w:val="FootnoteAnchor"/>
          <w:rtl w:val="true"/>
        </w:rPr>
        <w:footnoteReference w:id="517"/>
      </w:r>
      <w:r>
        <w:rPr>
          <w:rFonts w:ascii="Amiri" w:hAnsi="Amiri" w:eastAsia="Amiri" w:cs="Amiri"/>
          <w:color w:val="111111"/>
          <w:sz w:val="28"/>
          <w:sz w:val="28"/>
          <w:szCs w:val="28"/>
          <w:rtl w:val="true"/>
          <w:lang w:bidi="ar-SA"/>
        </w:rPr>
        <w:t>إنّ هذه الرواية تصلح قرينة بمدلولها اللفظي على صرف الأخبار الظاهرة في الحرمة أو النجاسة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أنّ النواهي الموجودة في تلك الأخبار تكون أيضا تنزيهيّة ، وأشار شيخنا الأعظم قدس سره </w:t>
      </w:r>
      <w:r>
        <w:rPr>
          <w:rStyle w:val="FootnoteAnchor"/>
          <w:rtl w:val="true"/>
        </w:rPr>
        <w:footnoteReference w:id="518"/>
      </w:r>
      <w:r>
        <w:rPr>
          <w:rFonts w:ascii="Amiri" w:hAnsi="Amiri" w:eastAsia="Amiri" w:cs="Amiri"/>
          <w:color w:val="111111"/>
          <w:sz w:val="28"/>
          <w:sz w:val="28"/>
          <w:szCs w:val="28"/>
          <w:rtl w:val="true"/>
          <w:lang w:bidi="ar-SA"/>
        </w:rPr>
        <w:t>في طهارته إلى ظهورها في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قدس سره في غاية المتانة ، لأنّ آثار التقيّة بادية عليها ، فإنّه علیه السلام بعد ما بيّن الحكم الواقعي للسائل سكت هنيئة وتأمّل في طريق التخلّص عن شرّ مخالفتهم في هذه الفتوى ، فعلّل علیه السلام نهيه بذلك التعليل تقيّة ، فينبغي أن نعدّ هذه الرواية من أدلّة النجاسة ، لا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العيص ، سألت أبا عبد اللّه علیه السلام عن مؤاكلة اليهود والنصارى والمجوس؟</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من طعامك وتوضّأ فلا بأس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توجيه هذه الرواية أنّ المؤاكلة أعمّ من المساورة بل غيرها ، لأنّ معنى المؤاكلة أن يكون معه مائدة واحدة وإن كان يأكل في ظرف مستقلّ ومختصّ به فلا تدلّ على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التقييد بالتوضّؤ فيمكن أن يكون لأجل النظافة </w:t>
      </w:r>
    </w:p>
    <w:p>
      <w:pPr>
        <w:pStyle w:val="BookText"/>
        <w:rPr/>
      </w:pPr>
      <w:r>
        <w:rPr>
          <w:rFonts w:ascii="Amiri" w:hAnsi="Amiri" w:eastAsia="Amiri" w:cs="Amiri"/>
          <w:color w:val="111111"/>
          <w:sz w:val="28"/>
          <w:sz w:val="28"/>
          <w:szCs w:val="28"/>
          <w:rtl w:val="true"/>
          <w:lang w:bidi="ar-SA"/>
        </w:rPr>
        <w:t>لكي يرغب الجلوس معه على مائدة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هذا التوجيه خلاف ظاهر الرواية ، وأمّا التقييد والاشتراط بكونه من طعامه فلا ينافي طهارتهم ، لأنّ المراد منه أن لا يكون الطعام ممّا حرّم اللّه أكله كلحم الخنزير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إبراهيم بن أبي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النصرانية تخدمك وأنت تعلم أنّها نصرانيّة لا تتوضّأ ولا تغتسل من جنابة؟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تغسل يديها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الخيّاط أو القصّار يكون يهوديّا أو نصرانيّا وأنت تعلم أنّه يبول ولا يتوضّأ ، ما تقول في عمله؟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 دلالة هاتين الصحيحتين على طهارتهم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قضيّة خارجيّة وجهها غير معلوم ، فلعلّ تلك الجارية مأمورة بالخدمة من طرف سلطان الجور من دون إذنه ، بل وبدون رضاه علیه السلام ، ومن الممكن أن يكون الإمام علیه السلام يجتنب عمّا يلاقي بدنها مع الرطوبة ، ومن الممكن أنّها كانت تخدمه علیه السلام في غير المطاعم والمشارب والملابس ، كلّ ذلك مع احتمال أنّ الإمام علیه السلام كان مضطرّا في معاشرتها ، فليس كونها كذلك دليلا على إمضائه علیه السلام طهارتها وتقريره علیه السلام لها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تغسل 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أنّ المحذور في نظر الراوي كان عدم اغتسالها عن الجنابة وعدم التوضّأ عن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 بذلك الجواب بأنّ ذلك المحذور يرتفع بأن تغسل يديها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السؤال في الحقيقة عن حكم الشكّ خصوصا في الخيّاط ، لأنّه في الخيّاط من الممكن بل هو الغالب عدم ملاقاة الثوب مع بدن الخياط مع رطوبة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القصّار وإن كان يلاقي بدنه الثوب لا محالة ، لكن السؤال عن تنجّسه بواسطة عدم التوضّأ عن بوله ، فكأنّه عدم نجاسته الذاتيّة كان مفروغا عند السائل ويسأل عن تنجّس الثوب الذي يغسله بواسطة وصول النجاسة العرضيّة من طرف بوله وعدم التوضّأ إلى ذلك الثوب ، ومعلوم أنّ وصول تلك النجاسة العرضيّة إلى الثوب الذي يغسله مشكوك ، ولذلك لو كان القصّار مسلما لا يتوضّأ عن بوله لا نحكم بنجاسة الثوب الذي يغسله وإن كان غسله بالماء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يأتي إشكال آخر ، وهو أنّه علیه السلام لما ذا لم يردعه عن اعتقاده بطهارة الكتابي ، بل قرّره على ذلك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تقريره علیه السلام له لعلّه من جهة التقيّة ، وذلك من جهة أنّ تلك الأعصار كانت أعصار تقيّة لغلبة سلاطين الجور ، فكان الحكم الواقعي يخفى على أغلب الرواة ، ومع ذلك لا يردعهم الإمام علیه السلام إمّا خوفا على نفسه ، وإمّا خوفا عليهم ، ولذلك ترى أنّ إبراهيم بن أبي محمود يسأل عن النجاسة العرضيّة لجهله بالنجاسة الذاتيّة ، والإمام علیه السلام لا يردعه عن ذلك خوفا عليه أو لجهة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وأنا عنده عن قوم مسلمين وحضرهم رجل مجوسي ، أيدعونه إلى طعامهم؟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أدعوه ولا أؤاكله ، وإنّي لأكره أن أحرّم عليكم شيئا تصنعونه في بلادكم </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 هذه الرواية وأنّها أظهر في نجاستهم من ظهورها في الطهارة ، وأنّ عدم بيان الحكم الواقعي لهم من جهة الخوف عليهم لكثرة البانين على طهارتهم </w:t>
      </w:r>
    </w:p>
    <w:p>
      <w:pPr>
        <w:pStyle w:val="BookText"/>
        <w:rPr/>
      </w:pPr>
      <w:r>
        <w:rPr>
          <w:rFonts w:ascii="Amiri" w:hAnsi="Amiri" w:eastAsia="Amiri" w:cs="Amiri"/>
          <w:color w:val="111111"/>
          <w:sz w:val="28"/>
          <w:sz w:val="28"/>
          <w:szCs w:val="28"/>
          <w:rtl w:val="true"/>
          <w:lang w:bidi="ar-SA"/>
        </w:rPr>
        <w:t>في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الثياب السابريّة يعملها المجوس وهم أخباث ، وهم يشربون الخمر ، ونسائهم على تلك الحال ألبسها ولا أغسلها وأصلّي فيها؟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له قميصا وخططته وفتلت أزرارا ورداء من السابري ، ثمَّ بعثت بها إليه في يوم جمعة حين ارتفع النهار ، فكأنّه عرف ما أريد فخرج بها إلى الجمعة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والخدشة في هذه الصحيحة بنفس ما حدّثنا به صحيحة إبراهيم بن أبي محمود الثانية ، فلا نعيد فالسؤال عن النجاسة العرضيّة وهي مشكوكة ، بل هاهنا تنجّسه من قبل النجاسة أيضا مشكوكة ، فلا تقرير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أعير الذمّي ثوبي وأنا أعلم أنّه يشرب الخمر ، ويأكل لحم الخنزير فيردّه عليّ فاغسله قبل أن أصلّي فيه؟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فيه ولا تغسله من أجل ذلك ، فإنّك أعرته إيّاه وهو طاهر ، ولم تستيقن أنّه نجّسه ، فلا بأس أن تصلّي فيه حتّى تستيقن أنّه نجّسه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أيضا كما ترى سؤال عن النجاسة العرضيّة في مورد الشكّ ، فلا دلالة لها في ما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التعليل يكون دليلا على حجّية الاستصحاب وأجنبيّ عن محل بحثنا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زكريّا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w:t>
      </w:r>
    </w:p>
    <w:p>
      <w:pPr>
        <w:pStyle w:val="BookText"/>
        <w:rPr/>
      </w:pPr>
      <w:r>
        <w:rPr>
          <w:rFonts w:ascii="IRNazanin" w:hAnsi="IRNazanin" w:eastAsia="IRNazanin"/>
          <w:color w:val="111111"/>
          <w:sz w:val="28"/>
          <w:sz w:val="28"/>
          <w:szCs w:val="28"/>
          <w:rtl w:val="true"/>
          <w:lang w:bidi="fa-IR"/>
        </w:rPr>
        <w:t xml:space="preserve">من أهل الكتاب وإنّي أسلمت وبقي أهلي كلّهم على النصرانيّة وأنا معهم في بيت واحد لم أفارقهم ، فآكل من طعامهم؟ فقال علیه السلام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يأكلون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ولكنّهم يشربون الخمر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معهم واشرب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خبير بأنّ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معهم واشرب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 السائل بأنّهم يشربون الخمر ظاهر في التقيّة ، لأنّ الخمر طاهر عندهم بخلاف لحم الخنزير ، ولذلك سئل علیه السلام عن أكلهم لحم الخنزير ، فلو كان جوابه أنّهم يأكلون ، لم يكن مورد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السائل حيث نفى ذلك واعترف بأنّهم يشربون الخمر والخمر عندهم طاهر حكم بجواز الأكل والشرب معهم تقيّة ، إذ المنع عن الأكل والشرب معهم لا بدّ وأن يكون لأحد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لنجاستهم ذاتا ، أو لكون الخمر نجسا ، فإذا شربوا يتنجّسون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مخالفان للتقيّة ، لأنهم لا يقولون بنجاسة أهل الكتاب ولا بنجاسة الخمر ، فلو كان علیه السلام بصدد بيان الحكم الواقعي فلا بدّ له من الحكم بعدم جواز الأكل والشرب معهم ، لا الجواز ، فمعلوم أنّ حكمه بجواز الأكل والشرب معهم ليس حكما واقعيّا ، فلا يستكشف من حكمه هذا 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 عن أبي عبد اللّه علیه السلام عن الرجل هل يتوضّأ من كوز أو إناء غيره إذا شرب منه على أنّه يهوديّ؟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الماء الذي يشرب منه؟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حكمه علیه السلام بجواز التوضي عن ذلك الماء الذي شرب منه اليهودي مبني على عدم انفعال ماء القليل بملاقاة النجاسة ، فيكون سياق هذه </w:t>
      </w:r>
    </w:p>
    <w:p>
      <w:pPr>
        <w:pStyle w:val="BookText"/>
        <w:rPr/>
      </w:pPr>
      <w:r>
        <w:rPr>
          <w:rFonts w:ascii="Amiri" w:hAnsi="Amiri" w:eastAsia="Amiri" w:cs="Amiri"/>
          <w:color w:val="111111"/>
          <w:sz w:val="28"/>
          <w:sz w:val="28"/>
          <w:szCs w:val="28"/>
          <w:rtl w:val="true"/>
          <w:lang w:bidi="ar-SA"/>
        </w:rPr>
        <w:t>الموثقة سياق الروايات التي تدلّ على عدم انفعال ماء القليل بملاقاة النجس أو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الواردة </w:t>
      </w:r>
      <w:r>
        <w:rPr>
          <w:rStyle w:val="FootnoteAnchor"/>
          <w:rtl w:val="true"/>
        </w:rPr>
        <w:footnoteReference w:id="527"/>
      </w:r>
      <w:r>
        <w:rPr>
          <w:rFonts w:ascii="Amiri" w:hAnsi="Amiri" w:eastAsia="Amiri" w:cs="Amiri"/>
          <w:color w:val="111111"/>
          <w:sz w:val="28"/>
          <w:sz w:val="28"/>
          <w:szCs w:val="28"/>
          <w:rtl w:val="true"/>
          <w:lang w:bidi="ar-SA"/>
        </w:rPr>
        <w:t>في تغسيل النصراني للرجل المسلم إذا لم يكن مماثلا للميّت المسلم أو ذات محرم مسلمة ، وكذلك تغسيل النصرانيّة للمرأة المسلمة إن لم يكن مماثلة مسلمة أو محرم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هذه الرواية أيضا من الروايات التي تدلّ على عدم انفعال ماء القليل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تغسيله بصبّ الماء من 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ملاقاة بدنه لبدن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تغسيله بالماء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جميعها لا يخلو من المناقشات في دلالتها على طهارة أهل الكتاب ، ولو سلّمنا ظهور بعضها أو جميعها في ذلك وخلوها عن المناقشات فأيضا لا يصحّ الاستدلال بها ، بل لا بدّ من طرحها وعدم الاعتناء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الدليل على حجّية خبر الواحد هو بناء العقلاء ، والأخبار التي تدلّ على ذلك يكون مفادها هو إمضاء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المسألة مشروحا مفصّلا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ولا شكّ في أنّ بناء العقلاء على حجّية خبر موثوق الصدور ، وأمّا إذا لم يثقوا بصدوره فلا يرون حجيّته ، وإن كان الراوي إماميّا ثقة عدلا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أحد أسباب الوثوق بالصدور كون الراوي ثقة إن لم يعارضه جهة أخرى ، </w:t>
      </w:r>
    </w:p>
    <w:p>
      <w:pPr>
        <w:pStyle w:val="BookText"/>
        <w:rPr/>
      </w:pPr>
      <w:r>
        <w:rPr>
          <w:rFonts w:ascii="Amiri" w:hAnsi="Amiri" w:eastAsia="Amiri" w:cs="Amiri"/>
          <w:color w:val="111111"/>
          <w:sz w:val="28"/>
          <w:sz w:val="28"/>
          <w:szCs w:val="28"/>
          <w:rtl w:val="true"/>
          <w:lang w:bidi="ar-SA"/>
        </w:rPr>
        <w:t>ولا شكّ في أنّ إعراض قدماء الأصحاب عن رواية وعدم العمل بها مع كونها بمرأى منهم ومضبوطة في كتبهم ، ووصلت إلينا بواسطتهم ، ومع تعبّدهم بالعمل بالأخبار وعدم الاعتناء بالاستحسانات والظنون التي ليس على حجّيتها 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فتاويهم بعين ألفاظ الرواية حذرا من أن يكون ظاهر لفظ فتواه غير ما هو ظاهر ألفاظ الرواية ، ولذا اشتهر عنهم أنّ عند إعواز النصوص يرجع إلى فتاوى عليّ بن بابويه قدس سره وذلك لأنّ فتاواه كانت بعين ألفاظ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التعبّد الشديد بالعمل بالروايات الموثوق صدورها إن أعرضوا عن العمل برواية مع عدم إجمالها وظهورها وصحّة سندها ، فيستكشف من إعراضهم وعدم عملهم بها أنّهم رأوا خللا في صدورها ، أو جهة صدورها ، فيوجب إعراضهم عنها عدم حصول الوثوق بصدورها أو جهة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بعد تماميّة ظهورها وعدم إجمالها فتسقط عن الحجيّة التي موضوعها الوثوق بصدورها ، وجهة صدورها ، بعد تماميّة ظهور الرواية ، لأنّ الحجّية متوقّفة على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بصدورها ، والوثوق بجهة صدورها ، وعدم خلل في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يرجع ما اشتهر في ألسنتهم في مورد إعراض الأصحاب عن خبر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 صحّة ازداد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أنّ الإعراض كاسر للسند القوي ، وأنّ عمل الأصحاب جابر للسند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إجماع علماء الإماميّة وفقهائهم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الشاذّ ممّن لا يعتنى بخلافهم ، كابن الجنيد </w:t>
      </w:r>
      <w:r>
        <w:rPr>
          <w:rStyle w:val="FootnoteAnchor"/>
          <w:rtl w:val="true"/>
        </w:rPr>
        <w:footnoteReference w:id="529"/>
      </w:r>
      <w:r>
        <w:rPr>
          <w:rFonts w:ascii="Amiri" w:hAnsi="Amiri" w:eastAsia="Amiri" w:cs="Amiri"/>
          <w:color w:val="111111"/>
          <w:sz w:val="28"/>
          <w:sz w:val="28"/>
          <w:szCs w:val="28"/>
          <w:rtl w:val="true"/>
          <w:lang w:bidi="ar-SA"/>
        </w:rPr>
        <w:t xml:space="preserve">من الصدر الأوّل إلى زماننا هذا على نجاسة أهل الكتاب ، حتّى </w:t>
      </w:r>
    </w:p>
    <w:p>
      <w:pPr>
        <w:pStyle w:val="BookText"/>
        <w:rPr/>
      </w:pPr>
      <w:r>
        <w:rPr>
          <w:rFonts w:ascii="Amiri" w:hAnsi="Amiri" w:eastAsia="Amiri" w:cs="Amiri"/>
          <w:color w:val="111111"/>
          <w:sz w:val="28"/>
          <w:sz w:val="28"/>
          <w:szCs w:val="28"/>
          <w:rtl w:val="true"/>
          <w:lang w:bidi="ar-SA"/>
        </w:rPr>
        <w:t xml:space="preserve">أنّها صارت شعارا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ويعرفها نساؤهم وصبيانهم ، بل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هذه الفتوى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هذا الإعراض لا يبقى وثوق بصدور هذه الروايات ، أو وإن كانت صادرة فليست لبيان حكم اللّه الواقعي ، بل صدرت تقيّة وخوفا من اشتهارهم بمذهب خاصّ وطريقة مخصوصة على خلاف سائر الفقهاء ، ولخوف الأئمّة علیهم السلام من أن يكون لهم ولأصحابهم مسلك خاصّ في الفقه وفتاوى مخصوصة بهم علیهم السلام ولذلك كانوا يلقون الخلاف بين أصحابهم كي لا يتميّزون ولا يعدّون طائفة خاصّة منسوبين إليهم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الفقهاء من التفرّد في الفتوى ، لأنّ سلاطين الوقت قد علموا بأنّهم لا يدّعون الإمامة والخلافة ، ولم يكونوا في معرض هذا الأمر ، ومراجعة الناس إليهم كان صرف تقليد لهم في المسائل الشرعيّة والأحكام الدينيّة ، بخلاف الأئمّة علیهم السلام فإنّهم كانوا في معرض هذا الأمر ، ورجوع الناس إليهم لم يكن بعنوان تعلّم الحكم الشرعي والمسألة الفقهيّة فقط ، بل كان بعنوان أنّهم أئمّة معصومون مفترضوا الطاعة ، ولذلك كانوا يخافون من التفرّد في الفتوى ، والتميّز عن فتاوى 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ذلك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مورد كان أصحابنا القدماء متّفقين على فتوى مخالفا لفتاوي سائر الفقهاء ، وصدرت عنهم علیهم السلام أخبار موافقة لفتاوي سائر الفقهاء ، فليست تلك الأخبار حجّة وإن كانت معلوم الصدور ، فضلا عمّا لا يكون كذلك ، لأنّ أصالة جهة الصدور أصل عقلائي ، والدليل على حجّيتها بناء العقلاء ، إذ بناء العقلاء على أنّ كلّ متكلّم إذا تكلّم بكلام يكون بصدد بيان مراده ومقصوده ، وتشخيص مراده من كلامه يكون بأصل عقلائي آخر ، وهو أصالة الظهور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مثل المقام لا تجري ذلك الأصل العقلائي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جهة الصدور ، وذلك من جهة أنّه بعد ما علم أنّ المتكلّم يخاف من التفرّد والتميّز ، فلو تكلّم بكلام </w:t>
      </w:r>
    </w:p>
    <w:p>
      <w:pPr>
        <w:pStyle w:val="BookText"/>
        <w:rPr/>
      </w:pPr>
      <w:r>
        <w:rPr>
          <w:rFonts w:ascii="Amiri" w:hAnsi="Amiri" w:eastAsia="Amiri" w:cs="Amiri"/>
          <w:color w:val="111111"/>
          <w:sz w:val="28"/>
          <w:sz w:val="28"/>
          <w:szCs w:val="28"/>
          <w:rtl w:val="true"/>
          <w:lang w:bidi="ar-SA"/>
        </w:rPr>
        <w:t>موافق لهم مع أنّ أصحابه كلّهم يفتون بخلافهم ، فلا تجري أصالة جهة الصدور ، لعدم بناء العقلاء في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يحصل القطع غالبا بعدم كونه لبيان حكم اللّه الواقعي وإن لم يحصل القطع لشخص ، فأصالة جهة الصدور لا تجري قطعا ، وبدون جريانها لا حجّية لتلك الروايات قطعا ، لما ذكرنا أنّ حجّية الأخبار غير القطعيّة متوقّفة على جريان هذه الأصول العقلائيّة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الصدور ، وأصالة الظهور ، وأصالة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من ترجيح أحد المتعارضين بمخالفة العامّة كي يقال بأنّ هذا الترجيح بعد ثبوت التعارض واستقراره ، وثبوت التعارض واستقراره بعد فقد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الجمع الدلالي العرفي ممكن بحمل الأخبار التي مفادها نجاستهم والنهي عن مؤاكلتهم وأكل طعامهم وشرب سؤرهم وغير ذلك على الكراهة ، وأخبار الطهارة على الجواز ، فيرتفع التعارض من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لما قلنا من سقوط أخبار الطهارة عن الحجّية ، وإن لم تكن أخبار النجاسة في البين أصلا ، بل كان الصادر منهم علیهم السلام أخبار الطهارة فقط ، لعدم جريان أصالة جهة الصدور في نفسه ، وإن لم يكن معارض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تارة يكون بنفسه ظاهرا في التّقية وإن لم يكن له معارض ، وذلك من جهة ظهور أمارات التقيّة عليه ، وأخرى لا يكون كذلك ، بل ليس في البين شي‌ء إلاّ صرف مطابقة مضمونه لفتاويهم ، وهذا الأخير هو الذي يكون من المرجّحات عند التعارض ، وإعمال المرجّحات والترجيح بها وجوبا أو استحبابا كما ادّعاه بعضهم بعد فقد الجمع الدلالي العرفي ، ومع إمكانه ووجوده لا يبقى تعارض في البين كي يحتاج إلى إعمال المرجّحات ، بل ينعدم موضوع الترجيح</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فموجب لسقوط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معارض له أصلا ، وذلك لما قلنا إنّ الحجّية متوقّفة على الأصول العقلائيّة الثلاثة التي منها أصالة جهة الصدور ، ومع </w:t>
      </w:r>
    </w:p>
    <w:p>
      <w:pPr>
        <w:pStyle w:val="BookText"/>
        <w:rPr/>
      </w:pPr>
      <w:r>
        <w:rPr>
          <w:rFonts w:ascii="Amiri" w:hAnsi="Amiri" w:eastAsia="Amiri" w:cs="Amiri"/>
          <w:color w:val="111111"/>
          <w:sz w:val="28"/>
          <w:sz w:val="28"/>
          <w:szCs w:val="28"/>
          <w:rtl w:val="true"/>
          <w:lang w:bidi="ar-SA"/>
        </w:rPr>
        <w:t>تلك القرائن على كون صدوره تقيّة لا يجري ذلك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إنّ تلك الأمارات والظنون حجج شرعيّة على أنّ هذا الخبر صدر تقيّة كي تقول بأنّ تلك الأمارات والظنون المدّعاة في المقام ليست إلاّ ظنون غير معتبرة ، فلا يثبت بها صدوره تقيّة ، بل نقول مع وجود تلك الأمارات التي عمدتها اتّفاق الأصحاب على الإفتاء بخلافها والإعراض عنها وعدم العمل بها مع صحّة سند بعضها وظهورها في الطهارة ، لا يبقى مجال لجريان أصالة جهة الصدور ، وأنّها لبيان حكم اللّه الواقعي لأنّها أصل عقلائي ولا بناء للعقلاء في مثل المورد ، وإن كان إعراضهم عن الخبر في حدّ نفسه ليس حجّة شرعيّة على صدوره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الفقيه النبيه الهمداني قدس سره </w:t>
      </w:r>
      <w:r>
        <w:rPr>
          <w:rStyle w:val="FootnoteAnchor"/>
          <w:rtl w:val="true"/>
        </w:rPr>
        <w:footnoteReference w:id="530"/>
      </w:r>
      <w:r>
        <w:rPr>
          <w:rFonts w:ascii="Amiri" w:hAnsi="Amiri" w:eastAsia="Amiri" w:cs="Amiri"/>
          <w:color w:val="111111"/>
          <w:sz w:val="28"/>
          <w:sz w:val="28"/>
          <w:szCs w:val="28"/>
          <w:rtl w:val="true"/>
          <w:lang w:bidi="ar-SA"/>
        </w:rPr>
        <w:t xml:space="preserve">في هذا المقام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فإعراض الأصحاب عنه بالنسبة إليه أمارة ظنيّة لا دليل على اعتبارها ، واضح البطلان ، ثمَّ هو يعترف بأنّه إن أثرت وهنا في الرّواية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الحجيّة ولكن لا يؤثّر فيما هو موضوع أصالة الصدور ، لأنّه ليس موضوعه الظنّ الشخصي بالصدور ، بل يكفي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عنه وإن كان في حدّ نفسه لا يخلو عن مناقشة ، ولكن الإشكال عليه من جهة أخرى ، وهو أنّ كلامنا الآن في عدم جريان أصالة جهة الصدور مع وجود أمارة التقيّة والظنّ بذلك ، وإن كانت تلك الأمارة وذلك الظنّ غير معتبر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أيضا بأنّها نقطع بعدم صدور هذه الأخبار لبيان حكم اللّه الواقعي كي تقول بأنّ القطع حجّة في حقّ نفس القاطع لا غيره ، بل نقول بعدم جريان ذلك الأصل العقلائي والحجيّة متوقّفة عليه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أخيراً بعد كلام طويل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المسألة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بنجاستهم بالذات ، والعفو عنها عند عموم الابتلاء أو شدّة الحاجة إلى </w:t>
      </w:r>
    </w:p>
    <w:p>
      <w:pPr>
        <w:pStyle w:val="BookText"/>
        <w:rPr/>
      </w:pPr>
      <w:r>
        <w:rPr>
          <w:rFonts w:ascii="Amiri" w:hAnsi="Amiri" w:eastAsia="Amiri" w:cs="Amiri"/>
          <w:color w:val="111111"/>
          <w:sz w:val="28"/>
          <w:sz w:val="28"/>
          <w:szCs w:val="28"/>
          <w:rtl w:val="true"/>
          <w:lang w:bidi="ar-SA"/>
        </w:rPr>
        <w:t xml:space="preserve">معاشرتهم ومساورتهم ، أو معاشرة من يعاشرهم ، لمكان الحرج والضرورة كما يؤيّده أدلّة نفي الحرج ، لم يكن بعيدا إلى آخر ما قال وأفاد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أنّ المسألة 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بالعفو لأدلّة الحرج فقد بيّنّا في قاعدة الحرج من هذا الكتاب أنّ لقاعدة الحرج والضرر حكومة واقعيّة على أدلّة الأحكام الواقعيّة ، بمعنى رفع الحكم الحرجي والضرري واقعا ، فالدليل يدلّ على ثبوت حكم واقعي لموضوع من الموضوعات ، بعمومه أو إطلاقه يشمل أيّ حكم كان ، حرجيا أو غير حرجي ، ولكن القاعدة مفادها ارتفاع ذلك الحكم عن صفحة التشريع إن كان حرجيّا بالنسبة إلى أيّ شخص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هو وجوب الوضوء على كلّ واحد من أفراد المؤمنين ، سواء كان حرجيّا في حقّ شخص أو لم يكن ، ولكن قاعدة الحرج توجب رفع الوجوب الحرجيّ عن كلّ شخص كان الوجوب حرجيّا في حقّه ، ولكن النفي بلسان نفي المحمول ، والمحمول على الوضوء هو الوجوب ، فالنتيجة أنّ الوجوب الحرجيّ لم يجعل في الدين ، ولكن الحرج حرج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أنّ الحكم الحرجي في حقّ أي شخص كان ليس بمجعول في الدين ، فلا بدّ وأن يكون شخص ذلك الحكم المرفوع حرجيّا ، فيمكن أن يكون حرجيّا في حقّ شخص دون شخص آخر ، وفي وقت دون وقت آخر ، فليس كونه حرجيّا نوعا موجبا لارتفاعه عن كلّ شخص ، وإن لم يكن حرجيّا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الحرج منشأ لجعل حكم ، ولكن ذلك لا يثبت بدليل الحرج ، بل يحتاج إلى دليل آخر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ترك المؤاكلة أو المساورة معهم حرجيّا بالنسبة </w:t>
      </w:r>
    </w:p>
    <w:p>
      <w:pPr>
        <w:pStyle w:val="BookText"/>
        <w:rPr/>
      </w:pPr>
      <w:r>
        <w:rPr>
          <w:rFonts w:ascii="Amiri" w:hAnsi="Amiri" w:eastAsia="Amiri" w:cs="Amiri"/>
          <w:color w:val="111111"/>
          <w:sz w:val="28"/>
          <w:sz w:val="28"/>
          <w:szCs w:val="28"/>
          <w:rtl w:val="true"/>
          <w:lang w:bidi="ar-SA"/>
        </w:rPr>
        <w:t>إلى شخص ، فيرتفع حرمتهما عن ذلك الشخص دون الآخرين الذين ليس تركهما لهم حرجيّا ، وهذا ليس تفصيلا في المسألة ، بل هذه القاعدة تجري في جميع الأحكام الشرعيّة إلاّ في الأحكام التي يكون موضوعها حرجيّا دائما ، مثل الجهاد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أراد بارتفاع الحرمة وعدم لزوم الاجتناب عنهم ارتفاعها مطلقا ، ولو لم يكن بالنسبة إليه حرجيّا للحرج النوعي ، فيحتاج إلى دليل يدلّ على ذلك ، وليس شي‌ء هاهنا ومن هذا القبيل ، بل يجب الاجتناب عمّا لاقى بدنهم بالرطوبة إلاّ أن يكون الاجتناب بالنسبة إلى خصوص شخص حرجيّا ، وهذا لا اختصاص له بالكافر ، بل إذا كان الاجتناب عن أيّ نجس بالنسبة إلى أيّ شخص حرجيّا بالخصوص فلا يجب الاجتناب ، بناء على جريان القاعدة في المحرّمات أيضا مثل الواجبات ، على إشكال في ذلك خصوصا في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بقاعدة الحرج لإثبات طهارتهم ، أو العفو عن لزوم ترتيب آثار النجاسة مع ملاقاتهم بالرطوبة ، أو استعمال ما لاقاهم بالرطوبة فيما يشترط فيه الطهارة كالأكل والشرب إذا كان الملاقي لهم من المأكولات والمشروبات ، أو الصلاة فيه إذا كان من الثياب مثلا لا وجه له أصلا ، وقاعدة الحرج أجنبيّة عن هذا المقام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لطهارة أهل الكتاب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ما باشروه بالرطوبة وما لم يباشروه ، فإذا كان ما باشروه مع الرطوبة حلالا فلا بدّ من القول بطهارتهم ، وإلاّ لو كانوا نجسين فما باشروه مع الرطوبة يصير نجسا فيكون أكله حراما لحرمة أكل النجس ، فحلّيته مطلقا تكون ملازمة مع طهارتهم</w:t>
      </w:r>
      <w:r>
        <w:rPr>
          <w:rFonts w:eastAsia="Amiri" w:cs="Amiri" w:ascii="Amiri" w:hAnsi="Amiri"/>
          <w:color w:val="111111"/>
          <w:sz w:val="28"/>
          <w:szCs w:val="28"/>
          <w:rtl w:val="true"/>
          <w:lang w:bidi="ar-SA"/>
        </w:rPr>
        <w:t xml:space="preserve">. </w:t>
      </w:r>
      <w:bookmarkStart w:id="296" w:name="pg15947_151291"/>
    </w:p>
    <w:p>
      <w:pPr>
        <w:pStyle w:val="Heading4"/>
        <w:numPr>
          <w:ilvl w:val="3"/>
          <w:numId w:val="1"/>
        </w:numPr>
        <w:rPr/>
      </w:pPr>
      <w:bookmarkStart w:id="297" w:name="__RefHeading___Toc16232046_2142443653"/>
      <w:bookmarkStart w:id="298" w:name="_Toc96"/>
      <w:bookmarkEnd w:id="296"/>
      <w:bookmarkEnd w:id="297"/>
      <w:r>
        <w:rPr>
          <w:rtl w:val="true"/>
        </w:rPr>
        <w:t xml:space="preserve">وفي هذا الاستدلال جهات من الإشكال </w:t>
      </w:r>
      <w:r>
        <w:rPr>
          <w:rtl w:val="true"/>
        </w:rPr>
        <w:t>:</w:t>
      </w:r>
      <w:bookmarkEnd w:id="29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حسب نقل أهل اللغة إمّا خصوص البرّ ، أو مع الشعير ، أو الحبوب جميعا ، أو بإضافة البقول ، فهذه الكلمة وإن كانت في أصل اللغة تستعمل في كلّ ما يطعم به ، ولكن عند العرف تستعمل في المذكورات ، فتكون من قبيل المنقول العرفي كلفظ الدابة والغائط ، والمناط في باب تشخيص الظهورات هو الفهم العرفي ، والمعاني المذكورة أجنبيّة عن الاستدلال ، إذ مبناه على كون الطعام يشمل مطلق ما يطعم به من المطبوخ وغير المطبوخ كي يكون شاملا لما يباشره الكتابي مع الرطوبة في مقام الأكل أو الطبخ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بالحبوب المروي عن الأئمّة المعصومين علیهم السلام في أخبار كثيرة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بالحلّية هي أن طعامهم من حيث انتسابه إليهم وكونه ملكا لهم ليس محرّما عليكم ، فالآية في مقام دفع توهّم الحظر ، كما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أيضا في المقام دفع توهّم الحظر ، فكأنّهم كانوا يحتملون حرمة المبايعة والمعاملة معهم ، وأنّ أجناسهم من حيث الانتساب إليهم حرام عليهم مع أنّها من الطّيبات ، فلا ينافي هذا المعنى كونها محرّمة من جهة حرمتها في نفسه كلحم الخنزير مثلا ، أو من جهة نجاستها لملاقاتها لبدنهم مع الرطوبة ، أو لملاقاتها لنجاسة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فائدة ذكر حلّية طعام أهل الكتاب مع أنّه من الطيبات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لطهارتهم بأصالة الطهارة في الشبهات الحكميّة ، فهو مع هذا الإجماع القوي والاتّفاق الذي قلّما يتّفق في موارد الشبهات الحكميّة مثله ، وتلك الأخبار التي مرّت عليك والآية الشريف ، 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لا يخلو عن غرابة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بعد الفراغ عن دلالة الأدلّة المتقدّمة على نجاستهم ، فالظاهر شمول هذا الحكم لجميع أجزاء بدنهم ، سواء كانت ممّا تحلّه الحياة أو لم تكن ، 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الدليل إذا دلّ على نجاسة الكتابي أو بعناوين اليهود والنصارى والمجوس أو المشرك ، فظاهره أنّ بدن هؤلاء نجس ، لأنّ النجاسة الخبثيّة من عوارض الجسم ، ولو كان معروضها خصوص عضو ، أو كان بعض الأجزاء أو الأعضاء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معروضا للنجاسة لكان عليه البيان ، وإذ ليس فاللفظ يشمل البدن بجميع أعضائه وأجزائه ، سواء كانت ممّا تحلّه الحياة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إطلاق معقد الإجماع على نجاستهم وعدم تفريقهم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مخالفة السيّد لهذا الإجماع المدّعى في المقام ، لأنّه يقول هناك بعدم نجاسة شعر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المقامين ، لأنّه من الممكن أن يكون شعر الخنزير طاهرا ويكون شعر الكافر نجسا ، كما أنّ شعر الكلب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بطهارة شعر الخنزير لوجود رواية على جواز جعله حبلا والاستقاء به ، وهو مخصوص بمورده ، مع أنّ هذا الاستنباط لا يخلو عن إشكال ، إذ لا ملازمة لا عقلا ولا شرعا ولا عرفا بين جواز جعله حبلا مع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لا يضرّ بتحقّق الإجماع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استشكال صاحب المعالم </w:t>
      </w:r>
      <w:r>
        <w:rPr>
          <w:rStyle w:val="FootnoteAnchor"/>
          <w:rtl w:val="true"/>
        </w:rPr>
        <w:footnoteReference w:id="536"/>
      </w:r>
      <w:r>
        <w:rPr>
          <w:rFonts w:ascii="Amiri" w:hAnsi="Amiri" w:eastAsia="Amiri" w:cs="Amiri"/>
          <w:color w:val="111111"/>
          <w:sz w:val="28"/>
          <w:sz w:val="28"/>
          <w:szCs w:val="28"/>
          <w:rtl w:val="true"/>
          <w:lang w:bidi="ar-SA"/>
        </w:rPr>
        <w:t>في نجاسة ما لا تحلّه الحياة من أجزاء بدن الكافر وأعضائه ، بأنّ قياس الكافر على الكلب والخنزير ليس في محلّه ، لأنّ الحكم في الكلب والخنزير على المسمّى وعلى هذين العنوانين ، فيشمل جميع 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الكافر فليس الأمر كذلك ، لأنّ دلالة الآية ضعيفة ، والأخبار لا تدلّ على نجاسة هذا العنوان ، فلا دليل على نجاسة أجزائه التي لا تحلّها الحياة ، والإجماع دليل لبّي لا إطلاق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عرفت دلالة الآية والأخبار على العناوين المذكورة ، مضافا إلى إطلاق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أولاد الكفّار غير البالغين فبناء الأصحاب على نجاستهم ، ويظهر عن كلام جماعة أنّهم ادّعوا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من المتديّنين الملتزمين بالعمل بأحكام الدين على معاملة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السيرة ممّا لا يمكن أن ينكر وجودها وتحقّقها ، بل البحث عن نجاستهم وعدم نجاستهم مخصوص بالكتب العلميّة ، وإلاّ فالمرتكز في أذهان المسلمين أنّ حالهم حال آبائهم في النجاسة وعدمها ، ولا يخطر ببالهم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في النجاسة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في الحكم يحتاج إلى دليل ، وإلاّ لا وجه لإسراء الحكم من موضوع إلى موضوع آخر بناء على عدم صدق عنوان الكافر على أولادهم ، وإلاّ لو صدق لا تصل النوبة إلى الاستدلال بالتبعيّة ، بل يشملهم أدلّة نجاسة الكفّار مثل شمولها لآبائهم ، من دون احتياج إلى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على تبعيّتهم لآبائهم بالسيرة ، فهذا عدول عن هذا الدليل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كفّار فيشملهم أدلّة نجاسة الكفّار من الآيات والروايات والإجماع والسيرة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المطلب يحتاج إلى بيان معنى الكافر ، والمشرك ، واليهود ، </w:t>
      </w:r>
    </w:p>
    <w:p>
      <w:pPr>
        <w:pStyle w:val="BookText"/>
        <w:rPr/>
      </w:pPr>
      <w:r>
        <w:rPr>
          <w:rFonts w:ascii="Amiri" w:hAnsi="Amiri" w:eastAsia="Amiri" w:cs="Amiri"/>
          <w:color w:val="111111"/>
          <w:sz w:val="28"/>
          <w:sz w:val="28"/>
          <w:szCs w:val="28"/>
          <w:rtl w:val="true"/>
          <w:lang w:bidi="ar-SA"/>
        </w:rPr>
        <w:t xml:space="preserve">والنصارى ، والمجوس ، أي العناوين الواردة في الآيات والروايات ومعاقد الإجماعات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الكفر بمعنى صرف عدم الاعتقاد بنبوّة نبيّنا صلی اللّه علیه و آله وما جاء به ، 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الاعتقاد بأصول دين الإسلام ، كي يكون التقابل بينه وبين الإسلام تقابل السلب والإيجاب ، فأولاد الكفّار كافرون لأنّهم لا يعتقدون بالعقائد الإسلاميّة ، مميّزهم وغير مميّزهم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كان بمعنى عدم الاعتقاد في الموضوع القابل ، كي يكون التقابل بينهما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 بكفر الطفل غير المميّز ، لعدم قابليّته لهذا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بصحّة إطلاقه على الطفل المميّز القابل لهذا الاعتقاد ، وثبوت الحكم في سائر الأطفال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نجاسته حينما كان في بطن أمّه ، خصوصا قبل ولوج الروح فيه ، لأنّه قبل ولوج الروح هو يعدّ جزء أجزاء أمّه كسائر ما في احشائها من أعضائها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جزءا منها بحيث يكون نجسا كسائر أعضائها الباطنيّة مشكل ، وعلى تقدير كونه كذلك فاستصحاب بقائها أيضا لا يخلو من إشكال ، للشكّ في بقاء الموضوع بعد الولادة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سنان ، سألت أبا عبد اللّه علیه السلام عن أولاد المشركين يموتون قبل أن يبلغوا الحنث؟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 ، واللّه أعلم بما كانوا عاملين يدخلون مداخل آبائهم </w:t>
      </w:r>
      <w:r>
        <w:rPr>
          <w:rFonts w:eastAsia="IRNazanin" w:cs="IRNazanin"/>
          <w:color w:val="111111"/>
          <w:sz w:val="28"/>
          <w:szCs w:val="28"/>
          <w:rtl w:val="true"/>
          <w:lang w:bidi="fa-IR"/>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علیه السلام بأنّهم 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الإشكال على دلالة هذه الرّواية بأنّها واردة في مقام بيان حالهم بعد الموت ، وأنّهم يعاقبون أم لا؟ فلا دخل لها بنجاستهم في حال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فعجيب ، لأنّ جهة الاستدلال بهذه الرواية ليست باعتبار أنّهم يعاقبون بعد الموت أم لا كي يرد هذا الإشكال ، بل جهة الاستدلال بها هي حكمه علیه السلام بأنّهم كفّار ، ولا شكّ في أنّ كفرهم ليس باعتبار كونهم بعد الموت كذلك ، وذلك لوضوح أنّ من ليس بكافر حال الحياة لا يصير كافرا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أنّهم كفّار في حال الحياة ، فقهرا يترتّب على هذا العنوان حكمه ، أي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الرواية أنّ كونهم كافرين حكم ظاهري ، لعدم العلم بحالهم واللّه يعلم بما كانوا يعملون بعد بلوغهم ، وظاهر حالهم أنّهم يدخلون مداخل آبائهم في اعتقاداتهم ، كما هو المعهود من أغلب الطوائف والأمم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حفص بن غياث ، سألت أبا عبد اللّه علیه السلام عن الرجل من أهل الحرب إذا أسلم في دار الحرب ، فظهر عليه المسلمون بعد ذلك؟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إسلامه إسلام لنفسه ولولده الصغار ، وهم أحرار وولده ومتاعه ورقيقه له ، فأمّا الولد الكبار فهم في‌ء للمسلمين ، إلاّ أن يكونوا أسلموا قبل ذلك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دلّت على تبعيّة ولد الصغار لآبائهم في الإسلام ، ولكن إسراء تبعيّتهم في الإسلام إلى تبعيّتهم في الكفر يكون قياسا رديئا ، لأنّ من الممكن أن يكون الإسلام لشرافته يؤثّر في إسلام أولاده الصغار ، وأمّا الكفر حيث ليس له شرافة يقف على نفسه ولا يستتبع أولاده كما أن ولادة الطفل لو صار في حال إسلام أحد أبويه يستتبعه في الطهارة ، فهذه الرواية أجنبيّة عن محلّ بحثنا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الإيضاح </w:t>
      </w:r>
      <w:r>
        <w:rPr>
          <w:rStyle w:val="FootnoteAnchor"/>
          <w:rtl w:val="true"/>
        </w:rPr>
        <w:footnoteReference w:id="539"/>
      </w:r>
      <w:r>
        <w:rPr>
          <w:rFonts w:ascii="Amiri" w:hAnsi="Amiri" w:eastAsia="Amiri" w:cs="Amiri"/>
          <w:color w:val="111111"/>
          <w:sz w:val="28"/>
          <w:sz w:val="28"/>
          <w:szCs w:val="28"/>
          <w:rtl w:val="true"/>
          <w:lang w:bidi="ar-SA"/>
        </w:rPr>
        <w:t xml:space="preserve">في محكي مفتاح الكرامة لكفرهم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يَلِدُوا إِلاّ فاجِراً كَفّاراً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فلا وجه له أصلا ، لأنّ ظاهر الآية الشريفة أنّ نوحا علیه السلام بعد تلك الدعوة الطويلة وعدم إجابتهم يأس من قبولهم الإيمان ، أو يلدوا من يقبل الإيمان بعد بلوغه ، أو أخبره اللّه تعالى بأنّهم لا يلدون من يقبل الإيمان بعد بلوغهم ، كما احتمله في تفسير مجمع البيان ، </w:t>
      </w:r>
      <w:r>
        <w:rPr>
          <w:rStyle w:val="FootnoteAnchor"/>
          <w:rtl w:val="true"/>
        </w:rPr>
        <w:footnoteReference w:id="541"/>
      </w:r>
      <w:r>
        <w:rPr>
          <w:rFonts w:ascii="Amiri" w:hAnsi="Amiri" w:eastAsia="Amiri" w:cs="Amiri"/>
          <w:color w:val="111111"/>
          <w:sz w:val="28"/>
          <w:sz w:val="28"/>
          <w:szCs w:val="28"/>
          <w:rtl w:val="true"/>
          <w:lang w:bidi="ar-SA"/>
        </w:rPr>
        <w:t>ولذلك دعا عليهم وقال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لا يلدوا إلاّ من يكون عند بلوغه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هذا المعنى ذكر فاجرا قبل ذكر كفرهم ، بناء على أن يكون الفجور هاهنا بمعنى الزنا ، كما هو أحد معانيه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أنّه لا دليل على نجاسة أولاد الكفّار غير البالغين إلاّ السيرة التي تقدّم ذكرها ، والحكم بأنّهم كفّار في صحيحة ابن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وهب بن وهب عن الإمام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أولاد المشركين مع آبائهم في النار ، وأولاد المسلمين مع آبائهم في الجنة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الخبر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أطفال المؤمنين ، فإنّهم يلحقون بآبائهم ، وأولاد المشركين يلحقون بآبائهم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فدلالتهما على نجاسة أولاد الكفّار لا يخلو من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أولاد الكفّار الذين هم غير بالغين المعلوم أنّهم أولاد الكفّار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اللقيط الذي لا يعلم أنّه من أولاد المسلمين أو الكفّار ، فإن وجدت حجّة وأمارة شرعيّة على أنّه من أولاد إحدى الطائفتين يلحقه حكمها ، وإلاّ فمقتضى الأصل </w:t>
      </w:r>
    </w:p>
    <w:p>
      <w:pPr>
        <w:pStyle w:val="BookText"/>
        <w:rPr/>
      </w:pPr>
      <w:r>
        <w:rPr>
          <w:rFonts w:ascii="Amiri" w:hAnsi="Amiri" w:eastAsia="Amiri" w:cs="Amiri"/>
          <w:color w:val="111111"/>
          <w:sz w:val="28"/>
          <w:sz w:val="28"/>
          <w:szCs w:val="28"/>
          <w:rtl w:val="true"/>
          <w:lang w:bidi="ar-SA"/>
        </w:rPr>
        <w:t>هي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غيرها من سائر الأحكام ، فكلّ حكم كان الإسلام تمام موضوعه أو جزئه أو شرطه فلا يترتّب عليه ، للزوم إحراز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ما يحرزه في المقام إلاّ ما توهّم من كونه في بلد أو مكان يغلب عليه المسلمون ، أو التمسّك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مولود يولد على الفطرة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الغالب فيه المسلمون ، وإن ورد ما يدلّ على أنّه أمارة التذكية ، ولكن إثبات أماريّته مطلقا بحيث يثبت به إسلامه أشبه بالقياس ، إذ لا دليل عليه بالخصوص ، وإسراء أماريّته على التذكية بكونه أمارة على الإسلام مرجعه إلى القياس الذي 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المولود بحسب خلقته الأصليّة وما فطره اللّه عليه يولد غير مائل عن الحقّ ، وغير مائل عن الطريق المستقيم ، وغير معاند للحقّ خاليا عن التعصّب وعن الأخلاق الرذيلة ، وإنّما أبواه يحدثان فيه هذه الأمور ، فحبّ أخذ طريقة الآباء أمر عارضي فيهم حدث من تربية أبويه ، فلا يدلّ أنّ الولد مسلم حتّى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في مورد الشكّ في إسلامه يحكم بإسلامه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الولد في ابتداء تولّده ليس قابلا لأن يكون مسلما بالمعنى الحقيقي ، لأنّه عبارة بذلك المعنى من اعتقادات مخصوصة ، والولد غير قابل لذلك ، فهو ليس بمسلم حقيقة ، وإنّما الكلام في أنّه بحكم الإسلام أم لا ، وهذه الرواية أجنبيّة عن هذا المعنى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تمسّك به الشيخ قدس سره لإسلام الطفل المشكوك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يعلو ولا يعلى عليه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الجملة إن كانت إنشاء وفي مقام التشريع كما هو الظاهر هو أنّه بعد الفراغ عن إسلام شخص وأنّه مسلم يعلو على غير المسلم في عالم التشريع ولا يعلو غير المسلم عليه ، مثلا لا مانع من أن يكون هو مالكا أو زوجا لغير المسلم ، ولكن لا يمكن أن يكون غير المسلم زوجا أو مالكا له ، إلاّ أن يأتي دليل مخصّص لهذا العموم في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خبير أنّ مثل هذا المعنى حكم بعد الفراغ عن ثبوت الموضوع ، فلا يمكن إثبات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أو موضوعا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كانت إخبارا كما هو خلاف الظاهر ، فلا بدّ وأن تحمل إمّا على الآخرة ، أي في الآخرة يعلو الإسلام على الكفر ، لأنّ الكفّار في الآخرة يصيرون أذلاّء صاغرين ، أو تحمل على الدليل والبرهان ، أي الإسلام في مقام الدليل والبرهان يغلب على سائر الأديان الباطلة الحقّة المنسوخة إن تحمل على آخر الزمان بعد ظهور المهديّ عجل اللّه تعالى فرجه ، كلّ ذلك لأجل أن لا يلزم الكذب في كلامه صلی اللّه علیه و آله حاشاه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واحد من التقديرين لا ربط له بمسألة كون اللقيط المشكوك محكوما بالإسلام موضوعا أو حكما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أولادهم الصغار المسبيّون الذين سباهم المسلمون ، فلا يخلو الحال إمّا هم مع أبويهم أو أحدهما ، وإمّا هم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مع أبويهم أو مع أحدهما ، فالظاهر هو إلحاقهم بهما على إشكال فيما إذا كانوا مع أمّهم وحدها ، وذلك لشمول السيرة المدّعاة على إلحاقه بالسابي لمثل هذا المورد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كانوا وحدهم ، فالظاهر هو اتّفاق الأصحاب وتسالمهم على إلحاقه بالسابي وطهارته ، لعدم شمول إطلاقات أدلّة نجاسة الكفّار لمثل المقام ، ولا أدلّة تبعيّة الصغار لآبائهم الكفّار له ، فيكون المرجع هي </w:t>
      </w:r>
      <w:bookmarkStart w:id="299" w:name="pg15947_151299"/>
    </w:p>
    <w:p>
      <w:pPr>
        <w:pStyle w:val="BookText"/>
        <w:rPr/>
      </w:pPr>
      <w:bookmarkEnd w:id="299"/>
      <w:r>
        <w:rPr>
          <w:rFonts w:ascii="Amiri" w:hAnsi="Amiri" w:eastAsia="Amiri" w:cs="Amiri"/>
          <w:color w:val="111111"/>
          <w:sz w:val="28"/>
          <w:sz w:val="28"/>
          <w:szCs w:val="28"/>
          <w:rtl w:val="true"/>
          <w:lang w:bidi="ar-SA"/>
        </w:rPr>
        <w:t>أصالة الطهارة بعد ما لم يكن دليل على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باستصحاب نجاستهم قبل السبي ، بناء على عدم تغيّر الموضوع وأن لا يكون موضوع الإلحاق بآبائهم مقيّدا بما إذا كانوا معهم ، ولكن على فرض جريان هذا الاستصحاب وصحّته تكون السيرة المدّعاة على تبعيّته للسابي حاكمة على هذا الاستصحاب ، فالعمدة في هذا المقام هو تحقّق هذه السيرة وعدمه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6232048_2142443653"/>
      <w:bookmarkStart w:id="301" w:name="_Toc97"/>
      <w:bookmarkEnd w:id="300"/>
      <w:r>
        <w:rPr>
          <w:rtl w:val="true"/>
        </w:rPr>
        <w:t xml:space="preserve">وأمّا أولاد الكفّار الذين بلغوا وهم مجانين </w:t>
      </w:r>
      <w:r>
        <w:rPr>
          <w:rtl w:val="true"/>
        </w:rPr>
        <w:t>:</w:t>
      </w:r>
      <w:bookmarkEnd w:id="301"/>
    </w:p>
    <w:p>
      <w:pPr>
        <w:pStyle w:val="BookText"/>
        <w:rPr/>
      </w:pPr>
      <w:r>
        <w:rPr>
          <w:rFonts w:ascii="IRNazanin" w:hAnsi="IRNazanin" w:eastAsia="IRNazanin"/>
          <w:color w:val="111111"/>
          <w:sz w:val="28"/>
          <w:sz w:val="28"/>
          <w:szCs w:val="28"/>
          <w:rtl w:val="true"/>
          <w:lang w:bidi="fa-IR"/>
        </w:rPr>
        <w:t>فربما يتوهّم طهارتهم لأجل ارتفاع التبعيّة بالبلوغ ، وعدم صدق الكافر عليهم ، وإن كان الكفر على ما هو الحقّ عندي عبارة عن عدم الاعتقاد بالمبدإ والمعاد ونبوة نبيّنا صلی اللّه علیه و آله وحقّية ما جاء به ، فهو معنى عدمي ، ولكن ذلك العدم لا بدّ وأن يكون في موضوع قابل ، ولذلك لا يقال للجمادات والنباتات والحيوانات كفرة مع عدم اعتقادها بما ذكرنا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وإن كان حقّا ، ولكن هنا وجه آخر لعدم جريان أصالة الطهارة في حقّهم ، وهو 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شمول إطلاقات أدلّة نجاسة الكفّار لهم عرفا ، لأنّهم عندهم كفّار ، لا من باب خطائهم في التطبيق كي يقال ليس التطبيق بيد العرف ، فإذا كان تطبيقهم على غير ما هو مصداق حقيقي للمفهوم ، فلا أثر ، بل من جهة أنّ المفهوم عندهم معنى أوسع ، فينطبق على من بلغ مجنونا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هذا الوجه تأمّل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قيام السيرة المستمرّة من المتديّنين على الاجتناب عنهم ومعاملة النجاسة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وجود مثل هذه السيرة المتّصلة بزمانهم علیهم السلام غير معلوم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محكومة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عدم تغيير موضوع النجاسة عند </w:t>
      </w:r>
    </w:p>
    <w:p>
      <w:pPr>
        <w:pStyle w:val="BookText"/>
        <w:rPr/>
      </w:pPr>
      <w:r>
        <w:rPr>
          <w:rFonts w:ascii="Amiri" w:hAnsi="Amiri" w:eastAsia="Amiri" w:cs="Amiri"/>
          <w:color w:val="111111"/>
          <w:sz w:val="28"/>
          <w:sz w:val="28"/>
          <w:szCs w:val="28"/>
          <w:rtl w:val="true"/>
          <w:lang w:bidi="ar-SA"/>
        </w:rPr>
        <w:t>العرف بدقائق قليلة بعد البلوغ مع ما قبله ، فلا مجال لجريان أصالة الطهارة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الجنون متّصلا بالصغر وعدم البلوغ ، وأمّا لو جنّ بعد ما بلغ عاقلا ولو بمدّة قليلة ، فلا ينبغي أن يشكّ في نجاسته وعدم جريان أصالة الطهارة في حقّه ، لصدق الكافر عليه في ذلك الزمان الذي كان عاقلا ، وإن كان ذلك الزمان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فرق بين أن يكون الكافر عشرين سنة عاقلا فيصير مجنونا ، أو كان ساعة عاقلا وصار بعدها مجنونا ، لأنّ المناط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جنونه بعد مدّة الفسحة للنظر بعد أن صار بالغا بدون فاصل ، فبناء على طهارته أيّام الفسحة للنظر والاجتهاد كما هو الصحيح فالظاهر طهارته ، لأنّه بناء على هذا صار طاهرا بعد أن كان نجسا ، فطرأ جنونه على الإنسان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تبعيّته ارتفعت بالبلوغ ، فارتفعت النجاسة التبعية التي كانت فيه بارتفاع علّتها ، أو موضوعها بناء على 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في مدّة الفسحة أي النظر والاجتهاد لتشخيص ما هو الحقّ من العقائد والأديان يكون طاهرا وبحكم المسلم ، ثمَّ جنّ بلا فصل فيكون كمسلم جنّ ، لا من باب القياس بل من باب عدم شمول إطلاقات أدلّة نجاسة الكافر له ، فيكون المرجع أصالة الطهارة ، بل لا مانع من جريان استصحاب طهارة زمان الفسحة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أولاد الكفّار من الزنا فأيضا يتبعون آبائهم في النجاسة ، وذلك لأنّ نفي الولديّة عنهم باعتبار الإرث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w:t>
      </w:r>
      <w:r>
        <w:rPr>
          <w:rStyle w:val="FootnoteAnchor"/>
          <w:rtl w:val="true"/>
        </w:rPr>
        <w:footnoteReference w:id="546"/>
      </w:r>
      <w:r>
        <w:rPr>
          <w:rFonts w:ascii="IRNazanin" w:hAnsi="IRNazanin" w:eastAsia="IRNazanin"/>
          <w:color w:val="111111"/>
          <w:sz w:val="28"/>
          <w:sz w:val="28"/>
          <w:szCs w:val="28"/>
          <w:rtl w:val="true"/>
          <w:lang w:bidi="fa-IR"/>
        </w:rPr>
        <w:t xml:space="preserve">في قاعدة الولد للفراش أنّ رسول اللّه صلی اللّه علیه و آله أمر سودة بنت زمعة بالاحتجاب عن ولد ولد على فراش أبيها زمعة لكثرة شبهها بالزاني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الولد المخلوق من ماء رجل ومن بطن امرأة ولدا لها أمر تكويني ، بمعنى أنّ الانتساب بينه وبينها ليس أمرا اعتباريّا ، بل عرض خارجي وله حظّ من الوجود في الخارج ، ولا يرتفع بالرفع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يرفعه الشارع باعتبار آثاره الشرعي ، أي يجعل في عالم الاعتبار التشريعي وجوده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في ولد الزنا دليل ينفي الولديّة باعتبار جميع آثارها ، فيجب ترتيب آثار الولديّة ما عدا الذي يكون النفي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يجوز للزاني تزوّج بنته من الزنا ، ولا أمّه ولا أخته إذا كانت هذه النسبة حاصلة من الزنا ، فإذا جاء دليل على إلحاق أولاد الكفّار بآبائهم في النجاسة وتبعيّتهم لهم ، فيشمل الولد الذي حصل له من الزنا كما يشمل من لم يكن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الزنا من طرف واحد أو من الطرفين واتضح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الأبوان كلاهما كافرين ، وأمّا لو كان أحدهما مسلما لا يلحقه هذا الحكم ، لأنّ الولد ملحق بأشرف الأبوين وهو المسلم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معلوم إذا كان الولد شرعيّا ، كما إذا كان الأب مسلما في النكاح الصحيح ، أو كان الوطي من طرف الأمّ المسلمة وطي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المسلم الأب ، فالمسلمة التي تكون إمّا زان أو زانية فهل يلحق الولد بالطرف المسلم أيضا ، أم لا؟ الظاهر هو الإلحاق أيضا ، لما تقدّم أنّ النفي ليس إلاّ بلحاظ بعض الآثار لا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النسبة الحاصلة من الزنا ليست لها شرافة كي تكون موجبة للإلحاق بالزاني المسلم ، أو الزاني المسلمة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بالطهارة في المفروض ليس من جهة الإلحاق بالمسلم ، بل من جهة أنّ القدر المتيقّن من الإجماع على إلحاق ولد الصغير الكافر به في النجاسة فيما إذا كان الأبوان كافرين ، وأمّا إذا كان أحدهما مسلما فليس إجماع في البين ، وليس دليل لفظي على التبعية كي يؤخذ بإطلاقه ، فيكون المرجع هي أصالة الطهارة ، لا الإلحاق بالمسلم</w:t>
      </w:r>
      <w:r>
        <w:rPr>
          <w:rFonts w:eastAsia="Amiri" w:cs="Amiri" w:ascii="Amiri" w:hAnsi="Amiri"/>
          <w:color w:val="111111"/>
          <w:sz w:val="28"/>
          <w:szCs w:val="28"/>
          <w:rtl w:val="true"/>
          <w:lang w:bidi="ar-SA"/>
        </w:rPr>
        <w:t xml:space="preserve">. </w:t>
      </w:r>
      <w:bookmarkStart w:id="302" w:name="pg15947_151302"/>
    </w:p>
    <w:p>
      <w:pPr>
        <w:pStyle w:val="BookText"/>
        <w:rPr/>
      </w:pPr>
      <w:bookmarkEnd w:id="302"/>
      <w:r>
        <w:rPr>
          <w:rFonts w:ascii="Amiri" w:hAnsi="Amiri" w:eastAsia="Amiri" w:cs="Amiri"/>
          <w:color w:val="111111"/>
          <w:sz w:val="28"/>
          <w:sz w:val="28"/>
          <w:szCs w:val="28"/>
          <w:rtl w:val="true"/>
          <w:lang w:bidi="ar-SA"/>
        </w:rPr>
        <w:t>هذا ، مضافا إلى إطلاق معاقد الإجماعات فيما إذا كان أحد أبويه مسلما في الحكم بإلحاقه بالطرف المسلم وإن كانت النسبة من الزنا ، فعلى كلّ حال لا ينبغي الشكّ في أنّ الولد إذا كان أحد أبويه مسلما وإن كان من الزنا لا يلحق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عن كاشف الغطاء خلاف ذلك ، فقال بإلحاق الولد بالكافر إذا كان الحل من طرفه وكان الزنا من طرف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محجوج بما ذكرناه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عرفت أنّ الكافر بجميع أقسامه محكوم بالنجاسة ، يقع الكلام في عناوين أخر وأنّها هل داخلة في عنوان الكافر موضوعا ، أو حكما أو لا هذا ولا ذاك؟</w:t>
      </w:r>
    </w:p>
    <w:p>
      <w:pPr>
        <w:pStyle w:val="Heading4"/>
        <w:numPr>
          <w:ilvl w:val="3"/>
          <w:numId w:val="1"/>
        </w:numPr>
        <w:rPr/>
      </w:pPr>
      <w:bookmarkStart w:id="303" w:name="__RefHeading___Toc16232050_2142443653"/>
      <w:bookmarkStart w:id="304" w:name="_Toc98"/>
      <w:bookmarkEnd w:id="303"/>
      <w:r>
        <w:rPr>
          <w:rtl w:val="true"/>
        </w:rPr>
        <w:t>فنختم هذه المسألة ببيان أمور لتوضيح هذا المطلب</w:t>
      </w:r>
      <w:bookmarkEnd w:id="304"/>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منكر الضروري ، وهو من جحد ما ثبت أنّه من الدين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بثبوته من الدين أنّه لا يحتاج إثبات أنّه من الدين إلى نظر واستدلال ، بل يعرف كونه من الدين كل أحد ، إلاّ أن يكون جديد الإسلام بحيث لا علم ولا اطّلاع له على أحكام الإسلام ولا على عقائده ، أو عاش في بلد بعيد عن بلاد الإسلام ولا تردّد له إلى بلاد المسلمين ، ولا معاشرة 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خلاف عظيم بين الفقهاء في أنّ كفر منكر الضروري هل هو لأنّه سبب مستقلّ له تعبّدا ولو لم يكن موجبا لإنكار النبوّة والرسالة ، أو من جهة رجوعه إلى ذلك؟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في مفتاح الكرامة </w:t>
      </w:r>
      <w:r>
        <w:rPr>
          <w:rStyle w:val="FootnoteAnchor"/>
          <w:rtl w:val="true"/>
        </w:rPr>
        <w:footnoteReference w:id="548"/>
      </w:r>
      <w:r>
        <w:rPr>
          <w:rFonts w:ascii="Amiri" w:hAnsi="Amiri" w:eastAsia="Amiri" w:cs="Amiri"/>
          <w:color w:val="111111"/>
          <w:sz w:val="28"/>
          <w:sz w:val="28"/>
          <w:szCs w:val="28"/>
          <w:rtl w:val="true"/>
          <w:lang w:bidi="ar-SA"/>
        </w:rPr>
        <w:t xml:space="preserve">أنّه ظاهر الأصحاب ، وهذه العبارة مشعر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سبب مستقلّ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جماعة أخرى منهم المحقّق الخونساري ، وابنه آغا جمال ، </w:t>
      </w:r>
      <w:r>
        <w:rPr>
          <w:rStyle w:val="FootnoteAnchor"/>
          <w:rtl w:val="true"/>
        </w:rPr>
        <w:footnoteReference w:id="549"/>
      </w:r>
      <w:r>
        <w:rPr>
          <w:rFonts w:ascii="Amiri" w:hAnsi="Amiri" w:eastAsia="Amiri" w:cs="Amiri"/>
          <w:color w:val="111111"/>
          <w:sz w:val="28"/>
          <w:sz w:val="28"/>
          <w:szCs w:val="28"/>
          <w:rtl w:val="true"/>
          <w:lang w:bidi="ar-SA"/>
        </w:rPr>
        <w:t xml:space="preserve">والأردبيلي ، وكاشف اللّثام ، وصاحب الذخيرة </w:t>
      </w:r>
      <w:r>
        <w:rPr>
          <w:rStyle w:val="FootnoteAnchor"/>
          <w:rtl w:val="true"/>
        </w:rPr>
        <w:footnoteReference w:id="550"/>
      </w:r>
      <w:r>
        <w:rPr>
          <w:rFonts w:ascii="Amiri" w:hAnsi="Amiri" w:eastAsia="Amiri" w:cs="Amiri"/>
          <w:color w:val="111111"/>
          <w:sz w:val="28"/>
          <w:sz w:val="28"/>
          <w:szCs w:val="28"/>
          <w:rtl w:val="true"/>
          <w:lang w:bidi="ar-SA"/>
        </w:rPr>
        <w:t>، والمحقق القمّي قدس سره أنّ جحود الضروري ليس بكفر في نفسه ، إلاّ إذا كشف عن إنكار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للقول الأوّل بالإجماع والأخبار التي منها صحيحة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أن لا إله إلاّ اللّه وأنّ محمّدا رسول اللّه صلی اللّه علیه و آله كان مؤمنا؟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فأين فرائض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الإيمان كلاما لم ينزل فيه صوم ولا صلاة ولا حلال ولا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قوما يقولون إذا شهد أن لا إله إلاّ اللّه وأنّ محمّدا رسول اللّه صلی اللّه علیه و آله فهو مؤمن؟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يضربون الحدود؟ ولم تقطع أيديهم؟ وما خلق اللّه عزّ وجلّ خلقا أكرم على اللّه عزّ وجل من مؤمن ، لأنّ الملائكة خدّام المؤمنين ، وإنّ جوار اللّه للمؤمنين ، وإنّ الجنّة للمؤمنين ، وإنّ الحور للمؤمنين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من جحد الفرائض كان كافرا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الاستدلال لقولهم بأنّ إنكار الضروري موجب للكفر وإن لم يكن موجبا لتكذيب النبوّة هي الجملة الأخيرة من هذه الرواية ، فكأنّه علیه السلام جعل كفر من يجحد الفرائض من المسلّمات ومفروغا عنه ،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صرف قول الشهادتين كافيا في تحقيق الإسلام فلما ذا يكون جاحد الفرائض كافرا؟ فالنتيجة أنّ جاحد الفرائض كافر مع إقراره بالشهادتين ، فمنكر الضروري الجاحد للفرائض ليس كفره من جهة تكذيبه للنبوّة ، بل كافر مع إقراره بالتوحيد والنبوّة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الجحد هو الإنكار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مع </w:t>
      </w:r>
    </w:p>
    <w:p>
      <w:pPr>
        <w:pStyle w:val="BookText"/>
        <w:rPr/>
      </w:pPr>
      <w:r>
        <w:rPr>
          <w:rFonts w:ascii="IRNazanin" w:hAnsi="IRNazanin" w:eastAsia="IRNazanin"/>
          <w:color w:val="111111"/>
          <w:sz w:val="28"/>
          <w:sz w:val="28"/>
          <w:szCs w:val="28"/>
          <w:rtl w:val="true"/>
          <w:lang w:bidi="fa-IR"/>
        </w:rPr>
        <w:t xml:space="preserve">علمه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يكون جاحد الفرائض التي من الضروريّات مكذّبا للنبوّة ، فلا يتمّ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فجحده للفرائض ينقض إقراره ، فيكون كافرا من جهة أنّ إنكار وجوب الفرائض يرجع إلى تكذيب النبيّ صلی اللّه علیه و آله وتكذيب أنّ كلّ ما جاء به هو من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كبيرة من الكبائر فزعم أنّها حلال أخرجه ذلك من الإسلام وعذّب أشدّ العذاب ، وإن كان معترفا أنّه ذنب ومات عليها أخرجه من الإيمان ولم يخرجه من الإسلام ، وكان عذابه أهون من عذاب الأوّل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بهذه الصحيحة على أنّ إنكار الضروري كفر بنفسه من دون كونه موجبا لتكذيب النبوّة ،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فزعم أنّها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حلّية شرب الخمر مثلا التي هي إحدى الكبائر للضروري ، لأنّ حرمته من الضروريّات ، وهذا الإنكار والزعم سبب لخروجه عن الإسلام ، مع عدم إنكاره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الكبائر معلومة لنوع المسلمين ، ولا يجهله إلاّ من هو جديد العهد بالإسلام ، أو كان في بلاد بعيدة عن بلاد الإسلام ، مع عدم معاشرته مع المسلمين ، وإلاّ فزعم حلّية الكبيرة غالبا ملازم مع تكذيب النبيّ صلی اللّه علیه و آله وهذا هو ظاهر الرواية ، فلا تدلّ على أنّ إنكار الضروري بنفسه سبب مستقلّ للكفر الذي هو مدّعاهم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روايات أخر ذكروها لمدّعاهم تركنا ذكرها لوضوح عدم دلالتها ، فقد عرفت عدم دلالة هذه الأخبار على أنّ إنكار الضروري سبب مستقلّ للكفر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ادّعوه في المقام ، فلا صغرى له ولا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فلكثرة القائلين بالخلاف من الذين هم العظماء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فلأنّ إجماعهم ليس من الإجماع المصطلح الذي نقول بحجّية الذي كاشف قطعي عن رأي </w:t>
      </w:r>
    </w:p>
    <w:p>
      <w:pPr>
        <w:pStyle w:val="BookText"/>
        <w:rPr/>
      </w:pPr>
      <w:r>
        <w:rPr>
          <w:rFonts w:ascii="IRNazanin" w:hAnsi="IRNazanin" w:eastAsia="IRNazanin"/>
          <w:color w:val="111111"/>
          <w:sz w:val="28"/>
          <w:sz w:val="28"/>
          <w:szCs w:val="28"/>
          <w:rtl w:val="true"/>
          <w:lang w:bidi="fa-IR"/>
        </w:rPr>
        <w:t xml:space="preserve">المعصوم علیه السلام لاحتمال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اعتمادهم واتّكائهم على أمثال هذه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على هذا لو أنكر ضروريّا من الضروريّات لشبهة علميّة حصلت من دون تكذيبه للنبي صلی اللّه علیه و آله بل مع كمال إخلاصه والتصديق بنبوّته صلی اللّه علیه و آله لا يحكم بكفره ، كما أنّه ربما حصل مثل هذه الشبهة لبعض المحقّقين في الحكمة الإلهيّة في المعاد الجسمانيّ ، فإنّه بعد ما يبنى على تركّب الجسم من المادّة والصورة يقول بأنّ المعاد هي الصورة الجسميّة من دون مادّة ، وجسميّة الجسم بصورته لا بمادّته ، وذلك بناء منهم على أنّ شيئيّة الشي‌ء بصورته لا بمادّته ، فالمعاد في يوم النشور هو عين البدن الموجود في دار الغرور ولكن العينيّة بالصورة لا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خبير بأنّ هذا القول مخالف للضروري لما هو الثابت في الدين الإسلاميّ بالضرورة أنّ المعاد في يوم القيامة عين البدن الدنيوي صورة ومادة ، لا صورة فقط ، وأمثال ذلك ممّا أنكروه بشبهة علميّة حصلت لهم ، فلا يوجب أمثال ذلك الكفر بناء على قول من يقول بأنّ صرف إنكار الضروري لا يوجب الكفر ما لم يكن تكذيبا للنبيّ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والنواصب الذين يبغضون أمير المؤمنين علیه السلام وأولاده المعصومين وسيّدة نساء العالمين ويسبونهم ويقتلونهم لا يكذّبون النبي صلی اللّه علیه و آله ومع ذلك يعتقدون بأمثال هذه الآراء الباطلة ، فلما ذا يفتون بنجاستهم؟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بنجاستهم ليس من جهة إنكارهم الضروري ، بل لأجل أدلّة خاصّة وردت فيهم ، وسنتكلّم عنها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من جهة أنّ جهلهم بلزوم مودّة هؤلاء المكرمون عند اللّه وعند رسول اللّه صلی اللّه علیه و آله وأنّ بغضهم بغض رسول اللّه صلی اللّه علیه و آله يكون عن تقصير ، وإلاّ لو كانوا يفحصون ويلقون حبّ طريقة الآباء والعصبيّة يهديهم اللّه إلى طريق الحقّ والصواب ، 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w:t>
      </w:r>
    </w:p>
    <w:p>
      <w:pPr>
        <w:pStyle w:val="BookText"/>
        <w:rPr/>
      </w:pPr>
      <w:r>
        <w:rPr>
          <w:rFonts w:ascii="Amiri" w:hAnsi="Amiri" w:eastAsia="Amiri" w:cs="Amiri"/>
          <w:color w:val="111111"/>
          <w:sz w:val="28"/>
          <w:sz w:val="28"/>
          <w:szCs w:val="28"/>
          <w:rtl w:val="true"/>
          <w:lang w:bidi="ar-SA"/>
        </w:rPr>
        <w:t xml:space="preserve">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والجاهل المقصّر ليس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الجاهل المقصّر في الأحكام الفرعيّة الإلزاميّة لو خالف جهلا لا يعذر ويكون معاقبا مثل العالم ، كذلك في الأمور الاعتقاديّة لو لم يعتقد بما يلزم الاعتقاد به كالمعاد الجسمانيّ ، أو اعتقد الخلاف لا يكون معذورا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يظهر من الأدلّة إلاّ أنّ إنكار الضروري موجب للكفر لكونه موجبا لتكذيب النبي صلی اللّه علیه و آله لا أنّه سبب مستقلّ للكفر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والنواصب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هم الذين يستحلّون قتل أمير المؤمنين علیه السلام ، والثاني هم الذين يبغضونه أو يبغضون أهل البيت الذين أمر اللّه بمودّتهم ، فالظاهر هو الاتّفاق على نجاستهم ، مضافا إلى ورود روايات كثيرة عن أهل بيت العصمة تدلّ على نجاستهم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تلك الأخبار المرويّ عن العمل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لم يخلق خلقا أنجس من الكلب ، وأنّ النّاصب لنا أهل البيت أنجس منه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يدل على نجاسة النواصب يدلّ على نجاسة الخوارج بطريق أولى ، لأنّهم أشدّ نصبا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يألهون عليّا أمير المؤمنين أو أحد الأئمّة المعصومين علیهم السلام ، فيقولون بربوبيّتهم أو حلوله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كافرون أنجاس ، ولا فرق بينهم وبين سائر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اللّعن عليهم من الأئمّة المعصومين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هو أنّ العباد مجبورون في أفعالهم ، مسخّرون في إرادتهم بحيث لا يقدر العاصي على ترك العصيان ، ولا المطيع على ترك الإطاعة ، وذلك لانتهاء إرادتهم إلى إرادة اللّه تعالى شأنه الأزليّة القديمة بنحو ترتّب </w:t>
      </w:r>
    </w:p>
    <w:p>
      <w:pPr>
        <w:pStyle w:val="BookText"/>
        <w:rPr/>
      </w:pPr>
      <w:r>
        <w:rPr>
          <w:rFonts w:ascii="Amiri" w:hAnsi="Amiri" w:eastAsia="Amiri" w:cs="Amiri"/>
          <w:color w:val="111111"/>
          <w:sz w:val="28"/>
          <w:sz w:val="28"/>
          <w:szCs w:val="28"/>
          <w:rtl w:val="true"/>
          <w:lang w:bidi="ar-SA"/>
        </w:rPr>
        <w:t>المعاليل على عللها ، كما هو الظاهر من آراء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ومقابلهم المعتزلة القائلين بالتفويض ، وقد نسب إليهم أنّه لو جاز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إله العالم لما ضرّ عدمه بالعالم ، وأنّ العباد مستقلّون في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القول الأوّل صدور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 لأنّ العقاب على الفعل غير الاختياري قبيح ، خصوصا إذا كان سلب القدرة منه تعالى بإرادته تعالى ، وإسناد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إنكار للضروري ، وهو أنّه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المفوّضة ، فيرجع كلامهم إلى استغناء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محيطة بالأفعال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أسوأ من الأوّل ، ولذا قال الأئمّة المعصومون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بل أمر بين الأمرين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أبحاث كلاميّة لا ربط لهما بعقائد المسلمين ، يصيب فيها بعض ويخطئ بعض ، ولذلك لو سئلت عن أيّ واحد من المسلمين هل أنت مجبور على فعل كذا؟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حسب ارتكازه ، وأيضا لو يسأل عنه أنّه هل اللّه تبارك وتعالى يفعل القبيح؟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وكذلك لو سئل أنّ هذا الفعل الذي تريد أن تفعل تقدر أن تفعل ولو لم يرد اللّه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بإرادة اللّه ، ولذلك في أمر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 ويعلّقه على مشيّة اللّه جلّ جلاله ، فلوازم هذه الآراء الباطلة لا يلتزم بها أحد من المسلمين ، وإنّما هي صرف أبحاث علميّة التي يقع فيها الخطأ كثيرا من كثير من الباحثين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 والمشبّهة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بينهما عموم وخصوص مطلق ، وذلك من جهة أن تجسيمه تعالى نوع وقسم من التشبيه ، ودائرة التشبيه أعمّ ، إذ يمكن تشبيهه بغير الأجسام من الممكنات والمخلوقات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تبارك وتعالى إلى المخلوقات والعالم نسبة النفس الناطقة المجرّدة إلى أبدان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p>
    <w:p>
      <w:pPr>
        <w:pStyle w:val="BookText"/>
        <w:rPr/>
      </w:pPr>
      <w:r>
        <w:rPr>
          <w:rFonts w:ascii="Amiri" w:hAnsi="Amiri" w:eastAsia="Amiri" w:cs="Amiri"/>
          <w:color w:val="111111"/>
          <w:sz w:val="28"/>
          <w:sz w:val="28"/>
          <w:szCs w:val="28"/>
          <w:rtl w:val="true"/>
          <w:lang w:bidi="ar-SA"/>
        </w:rPr>
        <w:t>من الضروري أنّه تعالى ليس بجسم ولا شبيه بخلقه في كونه محلاّ للعوارض والطواري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بأنّه جسم أو شبيه بالمخلوقات إنكار للضروري ، فإن قلنا بأنّ إنكار الضروري سبب مستقلّ للكفر وإن لم يكن موجبا لتكذيب النبي صلی اللّه علیه و آله فحالهم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قلنا بأنّه ليس سببا مستقلا ، فإن كان ملتفتا إلى لوازم ما يقول من أنّ التجسّم واحتياجه إلى المكان والحيّز ينافي القدم ووجوب الوجود فهو كفر ، لأنّه في الحقيقة بناء على هذا لم يذعن بوجود صانع قديم ، فليس مقرّا باللّه خالق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التجسيم والتشبيه بالنسبة إليه تعالى ليس إنكارا للضروري ، لأنّ ظاهر بعض الآيات وبعض الأخبار يوهم ذلك ، فلا يخلو من غرابة ، وعلى كلّ حال لا شكّ في أنّ التجسيم كفر باللّه العظيم ، إلاّ أن يكون ضعيف العقل قاصرا عن فهم لوازم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بوحدة الوجود من الصوفيّة ، بمعنى أنّه ليس في عالم الوجود إلاّ وجود وهو اللّه تعالى ، فيدّعون أنّ وجود جميع الموجودات ليس أمرا مباينا مع وجود اللّه جلّ جلاله ، بل هي عينه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والأقوال في هذه المسألة هو أنّه بناء على أصالة الوجود واعتباريّة الماهيّة ، فالوجودات المنسوبات إلى الأشياء المحمولات على موضوعاتها إمّا حقائق متباينة بتمام ذواتها البسيطة ، كما يقول به المشّاؤون ، وهذا القول والرأي لا اشكال فيه شرعا ولا يخلّ بالاعتقادات ، وإن أشكل عليه أيضا بعض بأنّه لا يمكن إثبات وحدانيّته تعالى مع اتّخاذ هذا الرأي ، ولا يمكن دفع شبهة الثنويّة المنسوبة إلى ابن كمونة ، </w:t>
      </w:r>
      <w:r>
        <w:rPr>
          <w:rStyle w:val="FootnoteAnchor"/>
          <w:rtl w:val="true"/>
        </w:rPr>
        <w:footnoteReference w:id="557"/>
      </w:r>
      <w:r>
        <w:rPr>
          <w:rFonts w:ascii="Amiri" w:hAnsi="Amiri" w:eastAsia="Amiri" w:cs="Amiri"/>
          <w:color w:val="111111"/>
          <w:sz w:val="28"/>
          <w:sz w:val="28"/>
          <w:szCs w:val="28"/>
          <w:rtl w:val="true"/>
          <w:lang w:bidi="ar-SA"/>
        </w:rPr>
        <w:t xml:space="preserve">ولكن على فرض صحّة هذا الكلام هذا من اللوازم البعيدة المغفول عنها </w:t>
      </w:r>
    </w:p>
    <w:p>
      <w:pPr>
        <w:pStyle w:val="BookText"/>
        <w:rPr/>
      </w:pPr>
      <w:r>
        <w:rPr>
          <w:rFonts w:ascii="Amiri" w:hAnsi="Amiri" w:eastAsia="Amiri" w:cs="Amiri"/>
          <w:color w:val="111111"/>
          <w:sz w:val="28"/>
          <w:sz w:val="28"/>
          <w:szCs w:val="28"/>
          <w:rtl w:val="true"/>
          <w:lang w:bidi="ar-SA"/>
        </w:rPr>
        <w:t>لغالب أهل البرهان والتحقيق ، فضلا عن العوام ، فلا يوجب كفرا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حقيقة واحدة ، ولكن لها مراتب متفاوتة بالكمال والنقص ، والشدّة والضعف ، فوجود كلّ شي‌ء من الأشياء غير وجودات الآخر ، ولكن الجميع سنخ واحد ، والاختلاف بينها باختلاف المراتب ، غاية الأمر أنّ وجود الواجب تعالى المرتبة غير المتناهية غير المحدودة بحدّ مطلقا حتّى الحدّ الذهني والعقلي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ميزتموه بأوهامكم في أدقّ معانيه فهو مخلوق لكم مردود إليكم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وليس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بالوحدة السنخيّة مع تعدّد الوجودات واقعا وخارجا لا إشكال فيه من ناحية العقائد الدينيّة ، فإن كان فيه إشكال فهو من حيث البراهين والأدلّة العقليّة ، وأنّ التشكيك في الذاتيّات هل يمكن ، أولا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القول في عين الكثرة العدديّة والفرديّة وحدة ، وهي المعبّر عنها بالوحدة السنخيّة ، وفي عين الوحدة كثرة فرديّة ، وهي المعبّر عنها بالكثرة العدديّة أو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حقيقة واحدة ووجود واحد وموجود واحد لا تعدّد في الوجود أصلا ، ويظهر ذلك الوجود الواحد في المظاهر والمجالي المتعدّدة ، وكلّ واحد من هذه المظاهر والمجالي وجوده نفس ذلك الوجود الواحد وليس شي‌ء غيره ، فيصحّ أن يقول ذلك المظهر والمجلى باعتبار وجوده أنا هو</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ذلك الوجود الواحد هو اللّه ، والمظاهر والمجالي هي الممكنات والمخلوقات قاطبة ، فكلّ واحد من الممكنات بالنظر إلى وجوده هو اللّه جلّ جلاله ، العياذ باللّه من هذه الأباطيل التي ينكرها العقل والنقل ، وجميع الشرائع والأديان الحقّة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كانوا يقولون بأنّ ذلك الوجود الواحد هو اللّه ، والممكنات لا وجود لها ، وليست إلاّ صرف خيال وأوهام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ينفون الوجود عمّا سوى اللّه ، ولا يدّعون أنّ للممكنات وجودا ووجودها عين وجود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وإن لم يكن كفرا ، لكنّه إنكار للبديهي وخلاف ما يدركه العقل السليم عن شوائب الأوهام ، وكيف يمكن أن يدّعى أنّ هذه السماوات مع أنجمها والأرض مع جبالها وأنهارها وأشجارها وأبحرها ومعادنها ونباتاتها وحيواناتها على اختلاف مراتبها وآثارها لا وجود لها ، وجميعها أوهام وخيالات ، فبطلان هذا القول أوضح من أن يحتاج إلى بيان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أنّ كثيرا من الشعراء الذين يذكرون أمثال هذه الخرافات والأباطيل في أشعارهم أو أقوالهم ليس إلاّ صرف لقلقة لسان من دون تدبّر وتفكّر في معاني هذه الجمل والكلمات ، ولعلّه إلى ما ذكرنا يشير ففيه عصره في كتابه عروة الوثقى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المجسّمة والمجبّرة والقائلين بوحدة الوجود من الصوفية إذا التزموا بأحكام الإسلام فالأقوى عدم نجاستهم إلاّ مع العلم بالتزامهم بلوازم مذاهبهم من المفاسد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طاهر إن كان من المسلمين ، بل وإن كان أحد أبويه مسلما ، خصوصا إذا لم يكن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الكافر أو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الزنا من الطرفين ، ففي هذه الصورة لو كان أحد أبويه مسلما يكون الولد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طرف واحد ، وفي هذه الصّورة إن كان الزنا من طرف من ليس بمسلم ، فلا شكّ في إلحاقه بالطرف الذي هو مسلم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الزنا من طرف المسلم ، فربما يستشكل في إلحاقه بالمسلم ، لأنّ الطرف الآخر الذي هو غير المسلم ينسب إليه الولد ، ولا يعارضه انتسابه التكوينيّ </w:t>
      </w:r>
    </w:p>
    <w:p>
      <w:pPr>
        <w:pStyle w:val="BookText"/>
        <w:rPr/>
      </w:pPr>
      <w:r>
        <w:rPr>
          <w:rFonts w:ascii="Amiri" w:hAnsi="Amiri" w:eastAsia="Amiri" w:cs="Amiri"/>
          <w:color w:val="111111"/>
          <w:sz w:val="28"/>
          <w:sz w:val="28"/>
          <w:szCs w:val="28"/>
          <w:rtl w:val="true"/>
          <w:lang w:bidi="ar-SA"/>
        </w:rPr>
        <w:t>إلى المسلم ، لأنّ المفروض أنّه زان والشارع لم يعتبر الانتساب الذي يكون سببه الزنا وألقاه وجعله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 يلقه بالمرّة وإلاّ كان تزويج بنته من الزنا جائزا ، وأيضا لو كان الأبوان كلاهما مسلمين زانيين أيضا لا يلحق بهما ، والحديث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في مورد الشك ، والمورد المفروض في مورد اليقين بالانتساب إليهما فلا يشمله الحديث ، فهذا الإشكال أو التوهّم في غير محلّه ، وإن صدر عن بعض أعاظم أساتيذنا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بطهارته يكون بمقتضى الأصل مع عدم دليل يوجب الخروج عن مقتضاه ، والمسألة ذات قولين ، والمشهور على الطهارة ، وحكى عن الصدوق </w:t>
      </w:r>
      <w:r>
        <w:rPr>
          <w:rStyle w:val="FootnoteAnchor"/>
          <w:rtl w:val="true"/>
        </w:rPr>
        <w:footnoteReference w:id="561"/>
      </w:r>
      <w:r>
        <w:rPr>
          <w:rFonts w:ascii="Amiri" w:hAnsi="Amiri" w:eastAsia="Amiri" w:cs="Amiri"/>
          <w:color w:val="111111"/>
          <w:sz w:val="28"/>
          <w:sz w:val="28"/>
          <w:szCs w:val="28"/>
          <w:rtl w:val="true"/>
          <w:lang w:bidi="ar-SA"/>
        </w:rPr>
        <w:t xml:space="preserve">وعن السيّد </w:t>
      </w:r>
      <w:r>
        <w:rPr>
          <w:rStyle w:val="FootnoteAnchor"/>
          <w:rtl w:val="true"/>
        </w:rPr>
        <w:footnoteReference w:id="562"/>
      </w:r>
      <w:r>
        <w:rPr>
          <w:rFonts w:ascii="Amiri" w:hAnsi="Amiri" w:eastAsia="Amiri" w:cs="Amiri"/>
          <w:color w:val="111111"/>
          <w:sz w:val="28"/>
          <w:sz w:val="28"/>
          <w:szCs w:val="28"/>
          <w:rtl w:val="true"/>
          <w:lang w:bidi="ar-SA"/>
        </w:rPr>
        <w:t xml:space="preserve">والحلّي </w:t>
      </w:r>
      <w:r>
        <w:rPr>
          <w:rStyle w:val="FootnoteAnchor"/>
          <w:rtl w:val="true"/>
        </w:rPr>
        <w:footnoteReference w:id="563"/>
      </w:r>
      <w:r>
        <w:rPr>
          <w:rFonts w:ascii="Amiri" w:hAnsi="Amiri" w:eastAsia="Amiri" w:cs="Amiri"/>
          <w:color w:val="111111"/>
          <w:sz w:val="28"/>
          <w:sz w:val="28"/>
          <w:szCs w:val="28"/>
          <w:rtl w:val="true"/>
          <w:lang w:bidi="ar-SA"/>
        </w:rPr>
        <w:t xml:space="preserve">نجاسته ، ونسب صاحب الجواهر إلى الكليني أيضا احتمالا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إنّه ظاهر الكليني أيضا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صاحب الجواهر عن الحلّي في سرائره </w:t>
      </w:r>
      <w:r>
        <w:rPr>
          <w:rStyle w:val="FootnoteAnchor"/>
          <w:rtl w:val="true"/>
        </w:rPr>
        <w:footnoteReference w:id="565"/>
      </w:r>
      <w:r>
        <w:rPr>
          <w:rFonts w:ascii="Amiri" w:hAnsi="Amiri" w:eastAsia="Amiri" w:cs="Amiri"/>
          <w:color w:val="111111"/>
          <w:sz w:val="28"/>
          <w:sz w:val="28"/>
          <w:szCs w:val="28"/>
          <w:rtl w:val="true"/>
          <w:lang w:bidi="ar-SA"/>
        </w:rPr>
        <w:t>أنّ ولد الزنا قد ثبت كفره بالأدلّة بلا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ولد الزنا تارة من حيث كفره ، وأخرى من حيث طهارته ونجاسته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كفره ، فالظاهر أنّ هذه الدعوى كما يقول صاحب الجواهر ضروري البطلان ، لأنّه كيف يمكن أن يقال للمؤمن الموحّد المعترف بنبوة محمّد والمعتقد بالمعاد والمصدّق لما جاء به النبيّ صلی اللّه علیه و آله وأنّ كلّ ما جاء به حقّ ومن عند اللّه والمقرّ والمعترف </w:t>
      </w:r>
    </w:p>
    <w:p>
      <w:pPr>
        <w:pStyle w:val="BookText"/>
        <w:rPr/>
      </w:pPr>
      <w:r>
        <w:rPr>
          <w:rFonts w:ascii="Amiri" w:hAnsi="Amiri" w:eastAsia="Amiri" w:cs="Amiri"/>
          <w:color w:val="111111"/>
          <w:sz w:val="28"/>
          <w:sz w:val="28"/>
          <w:szCs w:val="28"/>
          <w:rtl w:val="true"/>
          <w:lang w:bidi="ar-SA"/>
        </w:rPr>
        <w:t xml:space="preserve">بولاية الأئمّة الطّاهرين أنّه كافر ، وهل هذا إلاّ مثل أن يقال للحارّ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 وللأبيض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نجاسته ، فعمدة مستند القائلين بها هي الأخبار الواردة فيهم وإلاّ فاستدلال الحلّي على نجاستهم بعدم الخلاف مع ذهاب المشهور إلى طهارتهم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الوشّاء عمّن ذكره ، عن أبي عبد اللّه علیه السلام أنّه كره سؤر ولد الزنا واليهودي والنصراني والمشرك وكلّ من خالف الإسلام ، وكان أشدّ ذلك عنده سؤر الناصب</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والاستدلال بهذه المرسلة باعتبار كراهته علیه السلام من سؤر ولد الزنا ، وجعله في رديف اليهودي والنصراني والمشرك الذين أثبتنا أنّهم أنجاس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كراهته السؤر أعمّ من نجاسة ما بقي من شربة السؤر ، لأنّه من الممكن أن تكون لجهات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الجهة في الأنجاس نجاستهم لا يوجب أن تكون الجهة في ولد الزنا أيضا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مانع من أن يكون الحكم الواحد على الأفراد أو الأنواع المتعدّدة بملاكات متعدّدة ، بأن يكون في كلّ واحد منها ملاك يخصّه ، مع أنّه من الممكن أن يكون الملاك في الجميع واحدا في المرسلة أيضا وهي الخباثة المعنوية الموجودة في الجميع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أبي يعفور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تغتسل من البئر التي تجتمع فيها غسالة الحمّام ، فإنّ فيها غسالة ولد الزنا وهو لا يطهر إلى سبعة آباء ، وفيها </w:t>
      </w:r>
    </w:p>
    <w:p>
      <w:pPr>
        <w:pStyle w:val="BookText"/>
        <w:rPr/>
      </w:pPr>
      <w:r>
        <w:rPr>
          <w:rFonts w:ascii="Amiri" w:hAnsi="Amiri" w:eastAsia="Amiri" w:cs="Amiri"/>
          <w:color w:val="111111"/>
          <w:sz w:val="28"/>
          <w:sz w:val="28"/>
          <w:szCs w:val="28"/>
          <w:rtl w:val="true"/>
          <w:lang w:bidi="ar-SA"/>
        </w:rPr>
        <w:t xml:space="preserve">غسالة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بها واضح ، خصوصا مع تعليل النهي عن الاغتسال فيها بعدم طهارة ولد الزنا إلى سبعة 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هذا التعليل دليل على أنّه ليس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لا يطهر إلى سبعة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الطهارة عن الخبث ، لأنّ هذا شي‌ء مستنكر لم يقل به أحد إنّ الولد الشرعي لولد الزنا نجس ، خصوصا إذا كان ولدا سابقا له ، والمراد هي الخباثة المعنويّة التي ربما ترثه الأولاد من الآباء ، ومن الممكن بقاء هذه القذارة إلى سبعة 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حمزة بن أحمد ، عن أبي الحسن الأوّل علیه السلام في حديث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يغتسل من البئر التي يجتمع فيها ماء الحمّام ، فإنّه يسيل فيها ما يغتسل به الجنب وولد الزنا والناصب لنا أهل البيت وهو شرّهم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سياقها استدلالا وجوابا سياق رواية ابن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سليمان الديلمي إلى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فما ذنبي فما كان لي في أمري صنع؟ فيناديه مناد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شرّ الثلاثة أذنب والداك فنشأت عليهما ، وأنت رجس ولن يدخل الجنّة إلاّ طاهر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بالرجس في هذه المرفوعة هي القذارة والخباثة المعنويّة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نشأتك نشأة الطغيان والتمرّد اللذين كانا في أبويك ، وإلاّ لم يكن أبواه نجسين ، لأنّ المسلم والمسلمة لا ينجسان بصدور الزنا منهما كي يكون نشأته في النجاسة نشأتهما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الصفات النفسانيّة والحالات والملكات ، سواء كانت فضائل ورذائل ترثه الأبناء في الأغلب عن الآباء ، فتفسير الرواية أنّ شقائك من قبل أبويك ، فليس في المرفوعة ما يكون دليلا على نجاسة بدن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نوحا لم يحمل معه ولد الزنا في السفينة ، مع أنّه حمل الكلب والخنزير ، فيستكشف من هذا أنّه أنجس من الكلب والخنزير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 أصلا ، بل ولا تأييد من قبله لهذا المطلب أي نجاسة ولد الزنا ، وذلك من جهة بناء السفينة وصنعها لأجل خلاص المؤمنين عن الغرق وهلاك الكافرين ، ولم يكن في المؤمنين ولد الزنا ، ولأجل ذلك لم يحمل ، لا أنّه كان في المؤمنين وتركه لأجل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يقال بوجوده ومع ذلك لم يحمله ، وإن كان في كمال الاستبعاد ، ويمكن أن يكون ترك حمله لأجل شقاوته وشؤمه ، فربما يوجب حمله ضررا على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زرارة ، عن أبي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ولد الزنا وبشره ولا في شعره ولا في لحمه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ابن مسلم ، 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لبن اليهوديّة والنصرانيّة والمجوسيّة أحبّ إليّ من لبن ولد الزنا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أجنبي عن محلّ البحث ، من جهة أنّ اللبن غذاء ينمو به الجسم ، </w:t>
      </w:r>
    </w:p>
    <w:p>
      <w:pPr>
        <w:pStyle w:val="BookText"/>
        <w:rPr/>
      </w:pPr>
      <w:r>
        <w:rPr>
          <w:rFonts w:ascii="IRNazanin" w:hAnsi="IRNazanin" w:eastAsia="IRNazanin"/>
          <w:color w:val="111111"/>
          <w:sz w:val="28"/>
          <w:sz w:val="28"/>
          <w:szCs w:val="28"/>
          <w:rtl w:val="true"/>
          <w:lang w:bidi="fa-IR"/>
        </w:rPr>
        <w:t xml:space="preserve">ولا شكّ في أنّ الغذاء يؤثّر في الجسم أوّلا وبالذات ، وفي الروح أيضا بتوسّط تأثيره في الجسم ، وربما يكون أثر السوء كحصول الأخلاق الذميمة والملكات الرذيلة في نفس الولد من لبن ولد الزنا أزيد من لبن الكفّار ، 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لبن الكفّار الثلاثة أحبّ إليّ من لبن ولد الزنا ، فلا ربط لهذه الرواية بمسألة نجاسة بدن ولد الزنا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وغيرها ممّا وردت في ذمّ ولد الزنا ، يستفاد منها أنّ المولود الذي يتولّد من الزنا فيه اقتضاء الشقاوة والفساد والضلالة والميل إلى الجور والباطل والخروج عن جادة الحقّ والطريق المستقيم ، ولكن لا بحيث يسلب عنه الاختيار كي يكون عقابه ومؤاخذته قبيحا وظلما عليه ، بل يرتكب القبائح بسوء اختياره ، فيعاقب على قبائح أعماله وأفعاله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يطهر إلى سبعة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يحب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ذلك من العبارات التي وردت في الازدراء به ، هو ما صرّح به علیه السلام في مرفوعة سليمان الديلمي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شرّ الثلاثة أذنب والداك فنشأت عليهما وأنت رجس </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نتيجة فسادهما وعملهما القبيح ، فورثت الخباثة والتمرّد والطغيان من ذلك الطاغي والمتمرّد ، وتلك الطاغية والمتمرّدة ، ومعلوم أنّ من كان جوهر ذاته ناشئة من عمل القبيح يكون فيه اقتضاء جميع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بحدّ يسلب الاختيار كي يكون عقابه قبيحا كما ذكرنا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يرتفع الإشكالات المتوهّمة بالنسبة إلى ما ورد في حقّ ولد الزنا من أنّه لا يدخل الجنّة وإن أطاع ولم يعص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ظلم في حقّ ولد الزنا ، وأيّ ذنب كي يكون مستحقّا لمثل هذا الطرد وعدم شمول رحمة اللّه له ، مع أنّه تعالى يقول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بِما كانُوا </w:t>
      </w:r>
    </w:p>
    <w:p>
      <w:pPr>
        <w:pStyle w:val="BookText"/>
        <w:rPr/>
      </w:pP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إلى غير ذلك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رواية كان في هذا المقام مخالفا للعدل الإلهي فلا بدّ وأن يؤوّل ، وإن لم يمكن تأويله فلا بدّ وأن يطرح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الفرق من الشيعة غير الاثنى عشرية ، فإنّهم أيضا طاهرون كسائر المسلمين ما لم يكونوا ناصبين وسابّين لبعض الأئمّة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كانوا ناصبين أي مبغضين لغير من يعتقدون بإمامته وسابّين له ، فيدخلون في جملة الناصبين ، وقد تقدّم حكم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الناصب بين أن يكون معتقدا بإمامة بعض الأئمّة أو لم يكن معتقدا بالإمامة أصلا ، لأنّ المناط في كونه ناصبا هو بغضه وسبّه لأمير المؤمنين علیه السلام أو لأحد أولاده الطاهرين الذين هم مطهّرون بنصّ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عدم الاعتقاد بإمامة بعض الأئمّة أو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هذا لا ينافي طهارتهم وجريان أحكام الإسلام في حقّهم ، فإنّ أغلب المسلمين لا يقولون بإمامة الأئمّة بالمعنى الأخصّ الذي يعتقدون به الإماميّة الاثنى عشريّة ، وأحكام الإسلام جارية في حقّهم من طهارة أبدانهم ، وجواز المناكحة معهم ، وحلّية ذبائحهم ، ووجوب دفن موتاهم ، وسائر أحكام الأموات ، واحترام أموالهم ونفوسهم إلى غير ذلك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بغضهم وعداوتهم وسبّهم ، والثاني هو الناصب ويكون مشمولا لحكمه ، وقد تقدّم حكمه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أنّهم ما لم يبغضوا ولم يسبّوا يكونون بحكم الإسلام ويجرى عليهم أحكامه من طهارة أبدانهم إلى آخر ما ذكرنا ، هو شمول إطلاقات أدلّة أحكام </w:t>
      </w:r>
    </w:p>
    <w:p>
      <w:pPr>
        <w:pStyle w:val="BookText"/>
        <w:rPr/>
      </w:pPr>
      <w:r>
        <w:rPr>
          <w:rFonts w:ascii="Amiri" w:hAnsi="Amiri" w:eastAsia="Amiri" w:cs="Amiri"/>
          <w:color w:val="111111"/>
          <w:sz w:val="28"/>
          <w:sz w:val="28"/>
          <w:szCs w:val="28"/>
          <w:rtl w:val="true"/>
          <w:lang w:bidi="ar-SA"/>
        </w:rPr>
        <w:t xml:space="preserve">الإسلام لهم ، لأنّ موضوع تلك الأحكام هو الإسلام ، وفسرّ الإسلام في الروايات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بشهادة أن لا إله إلاّ اللّه وأنّ محمّدا رسول اللّه صلی اللّه علیه و آله فالاعتراف بوجوب الصلاة والزكاة وصوم شهر رمضان لمن لا يكون معذورا وحجّ بيت اللّه الحرام ، كما في رواية سفيان بن السّمط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هو الظاهر الذي عليه الناس شهادة أن لا إله إلاّ اللّه ، وأنّ محمّدا رسول اللّه ، وإقام الصلاة ، وإيتاء الزكاة ، وحجّ البيت ، وصيام شهر رمضان ، فهذا الإسلام </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وغيرها من الروايات الكثيرة الواردة في بيان معنى الإسلام وما هو الموضوع لتلك الأحكام ، ولا شكّ في أنّ سائر فرق الشيعة غير الإماميّة الاثنى عشريّة معترفون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أنّهم أبغضوا بعض الأئمّة أو سبّوا يكونون من النصّاب ويلحقهم حكمهم مضافا إلى إطلاقات أدلّة نجاسة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فرق في شمول تلك الأدلّة بين أن يكون الناصب معترفا بإمامة بعض الأئمّة أو كان منكرا لإمامة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الروايات الواردة في هذا المقام ،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ابتليت برجلين أحدهما ناصب والآخر زيدي ولا بد من معاشرتها فمن أعاشر؟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سيّان من كذب بآية من آيات اللّه فقد نبذ الإسلام وراء ظهره ، وهو المكذّب لجميع القرآن والأنبياء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نصب لك وهذا الزيدي نصب لنا </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وآخرا ، وظاهرا وباطنا</w:t>
      </w:r>
      <w:r>
        <w:rPr>
          <w:rFonts w:eastAsia="IRNazanin" w:cs="IRNazanin"/>
          <w:color w:val="111111"/>
          <w:sz w:val="28"/>
          <w:szCs w:val="28"/>
          <w:rtl w:val="true"/>
          <w:lang w:bidi="fa-IR"/>
        </w:rPr>
        <w:t xml:space="preserve">. </w:t>
      </w:r>
      <w:bookmarkStart w:id="305" w:name="pg15947_1513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6" w:name="__RefHeading___Toc16232052_2142443653"/>
      <w:bookmarkStart w:id="307" w:name="_Toc99"/>
      <w:bookmarkEnd w:id="305"/>
      <w:bookmarkEnd w:id="306"/>
      <w:r>
        <w:rPr>
          <w:rtl w:val="true"/>
        </w:rPr>
        <w:t>فهرس الموضوعات</w:t>
      </w:r>
      <w:bookmarkEnd w:id="3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 وهو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الأمور المذكورة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معاملة مستقلة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الصلح مع إقرار المدعى عليه بما يدعيه المدعي وإنكاره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الصلح مشروط بما إذا لم يكن أحل حراما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الصلح مع علم الطرفين وجهلهما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عقد لازم لا ينحل إلا بالإقالة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الصلح بين الشريكين على أن يكون الربح والخسران على أحدهما وللآخر رأس ماله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أحد العوضين إما للغير واما مما 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على عين بعين أو منفعة وعلى منفعة بعين أو منفعة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فروع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التكلم في التقية في مقامات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حكمها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آثار الواقع والحق على الفعل الذي يأتي به لأجل التقية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الآثار الشرعية على الفعل أو الترك المخالفين للحق لو صدرا عنه بميله واختياره أم لا؟ بل صدورهما من باب التقية يوجب رفع تلك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التبيه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مشروعية التقية بين أن يكون من يتقيه من المخالفين أو من غيرهم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المأتي به لأجل التقية إذا كان موافقا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موضوع التقية مع عدم الخوف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التقية فهل يحكم بصحة العمل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مقام الافتاء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إلا فيما يكال أو يوزن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حرمة الربا مطلقا بيعا كان أو قرضا بحسب الآيات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البيع ويشترط في ثبوته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المراد من اتحاد الجنس والنوع في الشرط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المراد من المكيل والموزون في الشرط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الفروع الراجعة إلى إشتراط كون العوضين متحدي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الحنطة بالشعير إلا مثلا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النخل جنس واحد وان اختلفت أصنافه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والاختلاف في اللحوم تابع للاتحاد والاختلاف في أصولها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 تتبع اللحمان في التجانس والاختلاف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تتبع ما يستخرج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المركب من الجنسين أو المجموع من جنسين بأحدهما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لحم حيوان من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حالتا رطوبة وجفاف من الربويات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المتجانسين الربويين وفيه خليط بالآخر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درهم ودينار بدرهمين ودينارين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الضميمة عن ملك البايع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الفروع الراجعة إلى اشتراط كونهما مكيلا أو موزونا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جنس قد يباع بالوزن وقد يباع بالعد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صدق المكيل أو الموزون على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الأصل الواحد مع ذلك الأصل في حكم متحدي الجنسين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المكيل موزونا أو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البيع في شئ مختلفا بحسب الحالات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شئ يباع بكل من الوزن والعد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المالية لا يجري عليها أحكام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شئ من المكيل والموزون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جنس بعضه جيد وبعضه رديء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الربوية حرام وفاسدة بتمامها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فساط المعاملة الربوية هل هو فيما إذا ارتكب مع العلم بالحكم والموضوع أم يكون مطلقا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تعاملا بين شيئين رطبين متحدي الجنس فضوليا فأجاز الأصيل بعد يبس أحد العوضين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الشريكان المال المشترك وكان المال مما يكال أو يوزن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الاستثناء عن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الطرق التي يمكن التخلص من الربا بإعمالها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 في باب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هذه القاعدة في باب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في العقود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معناها والمراد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الدالة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والاطلاقات اللفظية من الآيات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الأدلة من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الأدلة من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لو فرض عدم دلالة الأدلة على لزوم العقود وصلت النوبة إلى حكم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خاتمة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العقود التعليقية التكميلية عند الشك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إبطال الأعمال العبادية</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مفاد القاعدة والمراد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الأدلة التي تمسكوا بها على عدم جواز قطع الصلاة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الموارد التي يجوز فيها قطع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كل عقد يتعذر الوفاء بمضمونة</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 وما هو مفادها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 أمران متقابلان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تطبيق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يصح إعارته يصح اجارته</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الدليل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الإعارة والإجارة لا تختلفان في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تطبيق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إهانة المحترمات في الدين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ذهن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إهانة ما هو مخترم عند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مايع بالأصالة فهو نجس</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الدليل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الخبر والميسر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مطهرية الاسپرتو</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كافر نجس كتابيا كان أو غيره</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الأدلة الدالة على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المروية عن الأئمة الأطهار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أولاد الكفار غير البالغين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أولاد الكفار الصغار المسبيون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أولاد الكفار الذين بلغوا وهم 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الكفار من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منكر الضروري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الخوارج والنواصب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المجبرة والمفوضة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المجسمة والمشبهة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القائلون بوحدة الوجود من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ولد الزنا طاهر إن كان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سائر الفرق من الشيعة غير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المضاربة ، ح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يجوز الدخول بالمرأة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الصلح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 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والقواعد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والنهى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التقية في المسح على الخفّين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الخف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الكتمان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يوجب الحق لمن انتحل الإيمان وينقضه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جواز الإفطار للتقيّة والخوف من القتل ونحوه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يوجب الحق لمن انتحل الإيمان وينقضه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الجماعة وفضلها ،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الجماعة وفضلها ،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وجوه الجمع بين الأحاديث المختلفة وكيفيّة العمل بها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والثياب وغير ذلك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 ح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 ح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 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وهو آخر أبواب الكتاب ، في وصايا النبيّ لعليّ علیه السلام ،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يابس مستحجر يتّخذ من مخيض الغنم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الحنطة والشعير جنس واحد في الربا لا يجوز التفاضل فيهما ويجوز التساوي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والثياب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وغير ذلك ،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ما لا يكال ولا يوزن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الصرف ووجوهه ، 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يعمل للتمر يشدّد ويخفّف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بالمشقق ما أخرجت نواته ، أو اسم نوع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تصحيف المشقّة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التمر حتى يشقه ، وجاء تفسيره في الحديث الإشقاه أن يحمر أو يصفر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الرطب بالتمر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الرطب بالتمر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الرطب بالتمر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وابن أبي عقيل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الصرف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الواحد بالاثنين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جمل من المعاوضات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والشي‌ء المبهم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البيوع ، ح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الواحد بالاثنين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الرطب بالتمر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الرطب بالتمر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الموصليّات الثانية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إنّه ليس بين الرجل وبين ولده وما يملكه ربا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الموصليّات الثانية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ولاء المعتق ، 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المعتق وأحكامه ،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ولاء المعتق لولد المعتق 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العتق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الولاء لحمة كلحمة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الحديث بنصّه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ذكرهما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رواية عمر بن جميع التي تقدمت ذكرها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ربا بين المسلم وبين أهل الحرب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سلف في طعام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السلف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 بدل جعفر بن غياث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يقرض الدراهم ويأخذ أجود منها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 يجوز قضاء الدين من الدراهم والدنانير وغيرها بأجود منها وبأزيد وزنا وعددا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الدين والقرض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الدين والقرض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يقرض الدراهم ويأخذ أجود منها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صحت وأصل 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شهيدى ، ماجستير ، جامعة الشهيد بهشتي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القتل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الدماء والأموال بغير 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مكان المصلي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جميع المصادر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يحلّ دم امرئ مسلم ولا ماله إلاّ بطيبة نفسه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تزوّج المرأة على حكمها في المهر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وفقه النكاح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وفقه النكاح ،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التسليم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لباس المصلّى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في النصّ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وكراهيّة العبث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القبلة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وفضلهما وثوابهما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المصلي تعرض له السباع والهوام فيقتلها ،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يجب ردّ شهادته ومن يجب قبول شهادته ، 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يجز هذا لم يقم للمسلمين سوق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الغنم تعطى بالضريبة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وشراء السرقة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إعطاء الغنم بالضريبة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الغنم تعطى بالضريبة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وشراء السرقة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إعطاء الغنم بالضريبة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الشاة أو الناقة يعطيها صاحبها رجلا يشرب لبنها ثمَّ يردّها إذا انقطع اللبن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الضمان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التوحيد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واحتقرهم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واحتقرهم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أهان لي وليّا فقد أرصد لمحاربتي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الهدى وما يجوزونه وما لا يجوز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الذبح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الايمان يشرك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والتعزيرات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حدّ المرتدّ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الحدود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والتعزيرات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الحدود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والتعزيرات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دية الأعور ولسان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دية من قطع رأس الميّت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دية الأعور ولسان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دية من قطع رأس الميّت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إبراهيم وإسماعيل وبنائهما البيت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مستقصی مدارك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سكر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ينجّس الثوب والجسد ، ذيل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بيان أنّ كلّ مسكر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بيان أنّ كلّ مسكر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انما حرمت لفعلها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والمكان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الثوب الذي يعار لمن يشرب الخمر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والنبيذ المسكر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اضطر إلى الخمر للدواء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والنبيذ المسكر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والنبيذ المسكر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والنبيذ المسكر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والنبيذ المسكر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يصلّى فيه وما لا يصلّى فيه من الثياب ،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نجس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الماء إذا ولغ فيه الكلب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يسوع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والمآكل ، ح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التطهير من مسّ الحيوانات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الثوب الذي يعار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أسئار الكفّار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الأسئار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وتوجيههم عند الوفاة ،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الميّت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الذبائح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 من يموت من أطفال المشركين والكفّار ، 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المشرك يسلم في دار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العدو وما يناسبه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حال من يموت من أطفال المشركين والكفّار ، 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قطرة الخلق على التوحيد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تفسير المشتبهات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من كتاب الايمان والكفر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جحد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والمستعمل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خيار العباد وأولياء اللّه ، 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ميّزتموه بأوهامكم في أدقّ معانيه مخلوق مصنوع مثلكم مردود إليكم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تفسير المشتبهات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والجنب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أسئار الكفّار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الأسئار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وغيره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والمستعمل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لبن ولد الزنا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الإسلام يحقن به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91941</Words>
  <Characters>365058</Characters>
  <CharactersWithSpaces>454907</CharactersWithSpaces>
  <Paragraphs>2443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2026-08-25T06:44:16Z</dcterms:created>
  <dc:creator>ghaemiyeh.com</dc:creator>
  <dc:description/>
  <dc:language>en-US</dc:language>
  <cp:lastModifiedBy/>
  <dcterms:modified xsi:type="dcterms:W3CDTF">2026-08-25T10:14:28Z</dcterms:modified>
  <cp:revision>1</cp:revision>
  <dc:subject/>
  <dc:title>القواعد الفقهیة جلد 5</dc:title>
</cp:coreProperties>
</file>

<file path=docProps/custom.xml><?xml version="1.0" encoding="utf-8"?>
<Properties xmlns="http://schemas.openxmlformats.org/officeDocument/2006/custom-properties" xmlns:vt="http://schemas.openxmlformats.org/officeDocument/2006/docPropsVTypes"/>
</file>